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DA50EB0">
      <w:pPr>
        <w:spacing w:line="360" w:lineRule="auto"/>
        <w:rPr>
          <w:rFonts w:hint="eastAsia" w:ascii="宋体" w:hAnsi="宋体"/>
          <w:b/>
          <w:sz w:val="48"/>
          <w:szCs w:val="48"/>
          <w:highlight w:val="none"/>
        </w:rPr>
      </w:pPr>
    </w:p>
    <w:p w14:paraId="5183D29C">
      <w:pPr>
        <w:spacing w:line="360" w:lineRule="auto"/>
        <w:jc w:val="center"/>
        <w:rPr>
          <w:rFonts w:hint="eastAsia" w:ascii="宋体" w:hAnsi="宋体"/>
          <w:b/>
          <w:sz w:val="48"/>
          <w:szCs w:val="48"/>
          <w:highlight w:val="none"/>
          <w:lang w:val="en-US" w:eastAsia="zh-CN"/>
        </w:rPr>
      </w:pPr>
      <w:r>
        <w:rPr>
          <w:rFonts w:hint="eastAsia" w:ascii="宋体" w:hAnsi="宋体"/>
          <w:b/>
          <w:sz w:val="48"/>
          <w:szCs w:val="48"/>
          <w:highlight w:val="none"/>
          <w:lang w:val="en-US" w:eastAsia="zh-CN"/>
        </w:rPr>
        <w:t>云南省保山第一中学附属设施（连廊）建设</w:t>
      </w:r>
    </w:p>
    <w:p w14:paraId="43312874">
      <w:pPr>
        <w:spacing w:line="360" w:lineRule="auto"/>
        <w:jc w:val="center"/>
        <w:rPr>
          <w:rFonts w:hint="eastAsia" w:ascii="宋体" w:hAnsi="宋体" w:eastAsia="宋体"/>
          <w:b/>
          <w:sz w:val="48"/>
          <w:szCs w:val="48"/>
          <w:highlight w:val="none"/>
          <w:lang w:eastAsia="zh-CN"/>
        </w:rPr>
      </w:pPr>
      <w:r>
        <w:rPr>
          <w:rFonts w:hint="eastAsia" w:ascii="宋体" w:hAnsi="宋体"/>
          <w:b/>
          <w:sz w:val="48"/>
          <w:szCs w:val="48"/>
          <w:highlight w:val="none"/>
          <w:lang w:val="en-US" w:eastAsia="zh-CN"/>
        </w:rPr>
        <w:t>项目（一期）</w:t>
      </w:r>
    </w:p>
    <w:p w14:paraId="299EE5C3">
      <w:pPr>
        <w:spacing w:line="360" w:lineRule="auto"/>
        <w:jc w:val="center"/>
        <w:rPr>
          <w:rFonts w:hint="eastAsia" w:ascii="宋体" w:hAnsi="宋体"/>
          <w:b/>
          <w:sz w:val="48"/>
          <w:szCs w:val="48"/>
          <w:highlight w:val="none"/>
        </w:rPr>
      </w:pPr>
    </w:p>
    <w:p w14:paraId="3CFE0FC3">
      <w:pPr>
        <w:spacing w:line="360" w:lineRule="auto"/>
        <w:jc w:val="center"/>
        <w:rPr>
          <w:rFonts w:hint="eastAsia" w:ascii="宋体" w:hAnsi="宋体"/>
          <w:b/>
          <w:color w:val="auto"/>
          <w:sz w:val="48"/>
          <w:szCs w:val="48"/>
          <w:highlight w:val="none"/>
        </w:rPr>
      </w:pPr>
    </w:p>
    <w:p w14:paraId="0FEA76E0">
      <w:pPr>
        <w:spacing w:line="360" w:lineRule="auto"/>
        <w:jc w:val="center"/>
        <w:rPr>
          <w:rFonts w:hint="eastAsia" w:ascii="宋体" w:hAnsi="宋体"/>
          <w:b/>
          <w:bCs/>
          <w:color w:val="auto"/>
          <w:sz w:val="84"/>
          <w:szCs w:val="84"/>
          <w:highlight w:val="none"/>
        </w:rPr>
      </w:pPr>
      <w:r>
        <w:rPr>
          <w:rFonts w:hint="eastAsia" w:ascii="宋体" w:hAnsi="宋体"/>
          <w:b/>
          <w:bCs/>
          <w:color w:val="auto"/>
          <w:sz w:val="84"/>
          <w:szCs w:val="84"/>
          <w:highlight w:val="none"/>
        </w:rPr>
        <w:t>竞争性磋商文件</w:t>
      </w:r>
    </w:p>
    <w:p w14:paraId="472AFFA7">
      <w:pPr>
        <w:spacing w:line="360" w:lineRule="auto"/>
        <w:jc w:val="center"/>
        <w:rPr>
          <w:rFonts w:hint="eastAsia" w:ascii="宋体" w:hAnsi="宋体"/>
          <w:b/>
          <w:bCs/>
          <w:color w:val="auto"/>
          <w:sz w:val="32"/>
          <w:szCs w:val="32"/>
          <w:highlight w:val="none"/>
          <w:lang w:eastAsia="zh-CN"/>
        </w:rPr>
      </w:pPr>
      <w:r>
        <w:rPr>
          <w:rFonts w:hint="eastAsia" w:ascii="宋体" w:hAnsi="宋体"/>
          <w:b/>
          <w:bCs/>
          <w:color w:val="auto"/>
          <w:sz w:val="32"/>
          <w:szCs w:val="32"/>
          <w:highlight w:val="none"/>
          <w:lang w:val="en-US" w:eastAsia="zh-CN"/>
        </w:rPr>
        <w:t>项目编号</w:t>
      </w:r>
      <w:r>
        <w:rPr>
          <w:rFonts w:hint="eastAsia" w:ascii="宋体" w:hAnsi="宋体"/>
          <w:b/>
          <w:bCs/>
          <w:color w:val="auto"/>
          <w:sz w:val="32"/>
          <w:szCs w:val="32"/>
          <w:highlight w:val="none"/>
        </w:rPr>
        <w:t>：</w:t>
      </w:r>
      <w:r>
        <w:rPr>
          <w:rFonts w:hint="eastAsia" w:ascii="宋体" w:hAnsi="宋体"/>
          <w:b/>
          <w:bCs/>
          <w:color w:val="auto"/>
          <w:sz w:val="32"/>
          <w:szCs w:val="32"/>
          <w:highlight w:val="none"/>
          <w:lang w:eastAsia="zh-CN"/>
        </w:rPr>
        <w:t xml:space="preserve">SYZB-2026-0901 </w:t>
      </w:r>
    </w:p>
    <w:p w14:paraId="4206750F">
      <w:pPr>
        <w:spacing w:line="360" w:lineRule="auto"/>
        <w:jc w:val="center"/>
        <w:rPr>
          <w:rFonts w:hint="default"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政采云采购编号：BSZC2026-C2-01160-BSSY-0005</w:t>
      </w:r>
    </w:p>
    <w:p w14:paraId="4A8758AD">
      <w:pPr>
        <w:spacing w:line="360" w:lineRule="auto"/>
        <w:jc w:val="center"/>
        <w:rPr>
          <w:rFonts w:hint="eastAsia" w:ascii="宋体" w:hAnsi="宋体"/>
          <w:color w:val="auto"/>
          <w:szCs w:val="21"/>
          <w:highlight w:val="none"/>
        </w:rPr>
      </w:pPr>
    </w:p>
    <w:p w14:paraId="676E0B19">
      <w:pPr>
        <w:spacing w:line="360" w:lineRule="auto"/>
        <w:jc w:val="center"/>
        <w:rPr>
          <w:rFonts w:hint="eastAsia" w:ascii="宋体" w:hAnsi="宋体"/>
          <w:color w:val="auto"/>
          <w:szCs w:val="21"/>
          <w:highlight w:val="none"/>
        </w:rPr>
      </w:pPr>
    </w:p>
    <w:p w14:paraId="316FEF94">
      <w:pPr>
        <w:spacing w:line="360" w:lineRule="auto"/>
        <w:jc w:val="center"/>
        <w:rPr>
          <w:rFonts w:hint="eastAsia" w:ascii="宋体" w:hAnsi="宋体"/>
          <w:szCs w:val="21"/>
          <w:highlight w:val="none"/>
        </w:rPr>
      </w:pPr>
    </w:p>
    <w:p w14:paraId="015908D7">
      <w:pPr>
        <w:spacing w:line="360" w:lineRule="auto"/>
        <w:jc w:val="center"/>
        <w:rPr>
          <w:rFonts w:hint="eastAsia" w:ascii="宋体" w:hAnsi="宋体"/>
          <w:szCs w:val="21"/>
          <w:highlight w:val="none"/>
        </w:rPr>
      </w:pPr>
    </w:p>
    <w:p w14:paraId="2E58FAF8">
      <w:pPr>
        <w:spacing w:line="360" w:lineRule="auto"/>
        <w:jc w:val="center"/>
        <w:rPr>
          <w:rFonts w:hint="eastAsia" w:ascii="宋体" w:hAnsi="宋体"/>
          <w:szCs w:val="21"/>
          <w:highlight w:val="none"/>
        </w:rPr>
      </w:pPr>
    </w:p>
    <w:p w14:paraId="282CF3C0">
      <w:pPr>
        <w:spacing w:line="360" w:lineRule="auto"/>
        <w:jc w:val="center"/>
        <w:rPr>
          <w:rFonts w:hint="eastAsia" w:ascii="宋体" w:hAnsi="宋体"/>
          <w:szCs w:val="21"/>
          <w:highlight w:val="none"/>
        </w:rPr>
      </w:pPr>
    </w:p>
    <w:p w14:paraId="63E23D0B">
      <w:pPr>
        <w:spacing w:line="360" w:lineRule="auto"/>
        <w:jc w:val="center"/>
        <w:rPr>
          <w:rFonts w:hint="eastAsia" w:ascii="宋体" w:hAnsi="宋体"/>
          <w:szCs w:val="21"/>
          <w:highlight w:val="none"/>
        </w:rPr>
      </w:pPr>
    </w:p>
    <w:p w14:paraId="4B92CBAB">
      <w:pPr>
        <w:spacing w:line="360" w:lineRule="auto"/>
        <w:jc w:val="center"/>
        <w:rPr>
          <w:rFonts w:hint="eastAsia" w:ascii="宋体" w:hAnsi="宋体"/>
          <w:szCs w:val="21"/>
          <w:highlight w:val="none"/>
        </w:rPr>
      </w:pPr>
    </w:p>
    <w:p w14:paraId="6EF50551">
      <w:pPr>
        <w:spacing w:line="360" w:lineRule="auto"/>
        <w:ind w:firstLine="1920" w:firstLineChars="600"/>
        <w:jc w:val="both"/>
        <w:rPr>
          <w:rFonts w:hint="eastAsia" w:ascii="宋体" w:hAnsi="宋体" w:eastAsia="宋体"/>
          <w:sz w:val="32"/>
          <w:szCs w:val="32"/>
          <w:highlight w:val="none"/>
          <w:lang w:eastAsia="zh-CN"/>
        </w:rPr>
      </w:pPr>
      <w:r>
        <w:rPr>
          <w:rFonts w:hint="eastAsia" w:ascii="宋体" w:hAnsi="宋体"/>
          <w:sz w:val="32"/>
          <w:szCs w:val="32"/>
          <w:highlight w:val="none"/>
        </w:rPr>
        <w:t>采购单位：</w:t>
      </w:r>
      <w:r>
        <w:rPr>
          <w:rFonts w:hint="eastAsia" w:ascii="宋体" w:hAnsi="宋体"/>
          <w:sz w:val="32"/>
          <w:szCs w:val="32"/>
          <w:highlight w:val="none"/>
          <w:lang w:val="en-US" w:eastAsia="zh-CN"/>
        </w:rPr>
        <w:t>云南省保山第一中学</w:t>
      </w:r>
    </w:p>
    <w:p w14:paraId="10A38BB5">
      <w:pPr>
        <w:spacing w:line="360" w:lineRule="auto"/>
        <w:ind w:firstLine="1920" w:firstLineChars="600"/>
        <w:rPr>
          <w:rFonts w:hint="eastAsia" w:ascii="宋体" w:hAnsi="宋体"/>
          <w:sz w:val="32"/>
          <w:szCs w:val="32"/>
          <w:highlight w:val="none"/>
        </w:rPr>
      </w:pPr>
      <w:r>
        <w:rPr>
          <w:rFonts w:hint="eastAsia" w:ascii="宋体" w:hAnsi="宋体"/>
          <w:sz w:val="32"/>
          <w:szCs w:val="32"/>
          <w:highlight w:val="none"/>
        </w:rPr>
        <w:t>采购代理机构：</w:t>
      </w:r>
      <w:r>
        <w:rPr>
          <w:rFonts w:hint="eastAsia" w:ascii="宋体" w:hAnsi="宋体"/>
          <w:sz w:val="32"/>
          <w:szCs w:val="32"/>
          <w:highlight w:val="none"/>
          <w:lang w:eastAsia="zh-CN"/>
        </w:rPr>
        <w:t>保山顺意招标代理有限责任公司</w:t>
      </w:r>
    </w:p>
    <w:p w14:paraId="01D997AB">
      <w:pPr>
        <w:spacing w:line="360" w:lineRule="auto"/>
        <w:jc w:val="center"/>
        <w:rPr>
          <w:rFonts w:ascii="宋体" w:hAnsi="宋体"/>
          <w:sz w:val="32"/>
          <w:szCs w:val="32"/>
          <w:highlight w:val="none"/>
        </w:rPr>
      </w:pPr>
      <w:r>
        <w:rPr>
          <w:rFonts w:hint="eastAsia" w:ascii="宋体" w:hAnsi="宋体"/>
          <w:sz w:val="32"/>
          <w:szCs w:val="32"/>
          <w:highlight w:val="none"/>
        </w:rPr>
        <w:t>二〇二</w:t>
      </w:r>
      <w:r>
        <w:rPr>
          <w:rFonts w:hint="eastAsia" w:ascii="宋体" w:hAnsi="宋体"/>
          <w:sz w:val="32"/>
          <w:szCs w:val="32"/>
          <w:highlight w:val="none"/>
          <w:lang w:val="en-US" w:eastAsia="zh-CN"/>
        </w:rPr>
        <w:t>六</w:t>
      </w:r>
      <w:r>
        <w:rPr>
          <w:rFonts w:hint="eastAsia" w:ascii="宋体" w:hAnsi="宋体"/>
          <w:sz w:val="32"/>
          <w:szCs w:val="32"/>
          <w:highlight w:val="none"/>
        </w:rPr>
        <w:t>年</w:t>
      </w:r>
      <w:r>
        <w:rPr>
          <w:rFonts w:hint="eastAsia" w:ascii="宋体" w:hAnsi="宋体"/>
          <w:sz w:val="32"/>
          <w:szCs w:val="32"/>
          <w:highlight w:val="none"/>
          <w:lang w:val="en-US" w:eastAsia="zh-CN"/>
        </w:rPr>
        <w:t>十</w:t>
      </w:r>
      <w:r>
        <w:rPr>
          <w:rFonts w:hint="eastAsia" w:ascii="宋体" w:hAnsi="宋体"/>
          <w:sz w:val="32"/>
          <w:szCs w:val="32"/>
          <w:highlight w:val="none"/>
        </w:rPr>
        <w:t>月</w:t>
      </w:r>
    </w:p>
    <w:p w14:paraId="525F71A2">
      <w:pPr>
        <w:spacing w:line="360" w:lineRule="auto"/>
        <w:jc w:val="center"/>
        <w:rPr>
          <w:rFonts w:ascii="宋体" w:hAnsi="宋体"/>
          <w:sz w:val="32"/>
          <w:szCs w:val="32"/>
          <w:highlight w:val="none"/>
        </w:rPr>
        <w:sectPr>
          <w:headerReference r:id="rId4" w:type="first"/>
          <w:footerReference r:id="rId7" w:type="first"/>
          <w:headerReference r:id="rId3" w:type="default"/>
          <w:footerReference r:id="rId5" w:type="default"/>
          <w:footerReference r:id="rId6" w:type="even"/>
          <w:pgSz w:w="11906" w:h="16838"/>
          <w:pgMar w:top="1440" w:right="1134" w:bottom="1270" w:left="1134" w:header="851" w:footer="992" w:gutter="0"/>
          <w:pgBorders>
            <w:top w:val="none" w:sz="0" w:space="0"/>
            <w:left w:val="none" w:sz="0" w:space="0"/>
            <w:bottom w:val="none" w:sz="0" w:space="0"/>
            <w:right w:val="none" w:sz="0" w:space="0"/>
          </w:pgBorders>
          <w:pgNumType w:fmt="decimal" w:start="1"/>
          <w:cols w:space="720" w:num="1"/>
          <w:rtlGutter w:val="0"/>
          <w:docGrid w:linePitch="312" w:charSpace="0"/>
        </w:sectPr>
      </w:pPr>
    </w:p>
    <w:p w14:paraId="724CD130">
      <w:pPr>
        <w:spacing w:line="360" w:lineRule="auto"/>
        <w:jc w:val="center"/>
        <w:rPr>
          <w:rFonts w:hint="eastAsia" w:ascii="宋体" w:hAnsi="宋体"/>
          <w:sz w:val="32"/>
          <w:szCs w:val="32"/>
          <w:highlight w:val="none"/>
        </w:rPr>
      </w:pPr>
    </w:p>
    <w:tbl>
      <w:tblPr>
        <w:tblStyle w:val="41"/>
        <w:tblW w:w="0" w:type="auto"/>
        <w:jc w:val="center"/>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Layout w:type="fixed"/>
        <w:tblCellMar>
          <w:top w:w="0" w:type="dxa"/>
          <w:left w:w="108" w:type="dxa"/>
          <w:bottom w:w="0" w:type="dxa"/>
          <w:right w:w="108" w:type="dxa"/>
        </w:tblCellMar>
      </w:tblPr>
      <w:tblGrid>
        <w:gridCol w:w="1990"/>
        <w:gridCol w:w="2250"/>
        <w:gridCol w:w="5330"/>
      </w:tblGrid>
      <w:tr w14:paraId="54995583">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8277" w:hRule="atLeast"/>
          <w:jc w:val="center"/>
        </w:trPr>
        <w:tc>
          <w:tcPr>
            <w:tcW w:w="9570" w:type="dxa"/>
            <w:gridSpan w:val="3"/>
            <w:tcBorders>
              <w:tl2br w:val="nil"/>
              <w:tr2bl w:val="nil"/>
            </w:tcBorders>
            <w:noWrap w:val="0"/>
            <w:vAlign w:val="center"/>
          </w:tcPr>
          <w:p w14:paraId="25979E76">
            <w:pPr>
              <w:spacing w:line="360" w:lineRule="auto"/>
              <w:jc w:val="center"/>
              <w:rPr>
                <w:rFonts w:hint="eastAsia" w:ascii="宋体" w:hAnsi="宋体"/>
                <w:b/>
                <w:sz w:val="28"/>
                <w:highlight w:val="none"/>
              </w:rPr>
            </w:pPr>
            <w:r>
              <w:rPr>
                <w:rFonts w:hint="eastAsia" w:ascii="宋体" w:hAnsi="宋体"/>
                <w:b/>
                <w:sz w:val="52"/>
                <w:szCs w:val="52"/>
                <w:highlight w:val="none"/>
              </w:rPr>
              <w:t>竞争性磋商文件</w:t>
            </w:r>
          </w:p>
        </w:tc>
      </w:tr>
      <w:tr w14:paraId="6B937654">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cantSplit/>
          <w:trHeight w:val="1690" w:hRule="atLeast"/>
          <w:jc w:val="center"/>
        </w:trPr>
        <w:tc>
          <w:tcPr>
            <w:tcW w:w="1990" w:type="dxa"/>
            <w:tcBorders>
              <w:tl2br w:val="nil"/>
              <w:tr2bl w:val="nil"/>
            </w:tcBorders>
            <w:noWrap w:val="0"/>
            <w:vAlign w:val="center"/>
          </w:tcPr>
          <w:p w14:paraId="01A73F26">
            <w:pPr>
              <w:spacing w:line="360" w:lineRule="auto"/>
              <w:ind w:left="1400" w:hanging="1400" w:hangingChars="500"/>
              <w:jc w:val="center"/>
              <w:rPr>
                <w:rFonts w:hint="eastAsia" w:ascii="宋体" w:hAnsi="宋体"/>
                <w:sz w:val="28"/>
                <w:highlight w:val="none"/>
              </w:rPr>
            </w:pPr>
            <w:r>
              <w:rPr>
                <w:rFonts w:hint="eastAsia" w:ascii="宋体" w:hAnsi="宋体"/>
                <w:sz w:val="28"/>
                <w:highlight w:val="none"/>
              </w:rPr>
              <w:t>编制：</w:t>
            </w:r>
          </w:p>
        </w:tc>
        <w:tc>
          <w:tcPr>
            <w:tcW w:w="2250" w:type="dxa"/>
            <w:tcBorders>
              <w:tl2br w:val="nil"/>
              <w:tr2bl w:val="nil"/>
            </w:tcBorders>
            <w:noWrap w:val="0"/>
            <w:vAlign w:val="center"/>
          </w:tcPr>
          <w:p w14:paraId="2777D2EE">
            <w:pPr>
              <w:keepNext w:val="0"/>
              <w:keepLines w:val="0"/>
              <w:pageBreakBefore w:val="0"/>
              <w:widowControl w:val="0"/>
              <w:kinsoku/>
              <w:wordWrap/>
              <w:overflowPunct/>
              <w:topLinePunct w:val="0"/>
              <w:autoSpaceDE/>
              <w:autoSpaceDN/>
              <w:bidi w:val="0"/>
              <w:adjustRightInd/>
              <w:snapToGrid/>
              <w:spacing w:line="240" w:lineRule="auto"/>
              <w:ind w:left="0" w:hanging="1400" w:hangingChars="500"/>
              <w:jc w:val="center"/>
              <w:textAlignment w:val="auto"/>
              <w:rPr>
                <w:rFonts w:hint="default" w:ascii="宋体" w:hAnsi="宋体" w:eastAsia="宋体"/>
                <w:sz w:val="28"/>
                <w:highlight w:val="none"/>
                <w:lang w:val="en-US" w:eastAsia="zh-CN"/>
              </w:rPr>
            </w:pPr>
            <w:r>
              <w:rPr>
                <w:rFonts w:hint="eastAsia" w:ascii="宋体" w:hAnsi="宋体" w:eastAsia="宋体"/>
                <w:sz w:val="28"/>
                <w:highlight w:val="none"/>
                <w:lang w:val="en-US" w:eastAsia="zh-CN"/>
              </w:rPr>
              <w:t>杨艳雪</w:t>
            </w:r>
          </w:p>
        </w:tc>
        <w:tc>
          <w:tcPr>
            <w:tcW w:w="5330" w:type="dxa"/>
            <w:tcBorders>
              <w:tl2br w:val="nil"/>
              <w:tr2bl w:val="nil"/>
            </w:tcBorders>
            <w:noWrap w:val="0"/>
            <w:vAlign w:val="center"/>
          </w:tcPr>
          <w:p w14:paraId="1A1F289A">
            <w:pPr>
              <w:spacing w:line="360" w:lineRule="auto"/>
              <w:jc w:val="both"/>
              <w:rPr>
                <w:rFonts w:hint="eastAsia" w:ascii="Times New Roman" w:hAnsi="Times New Roman" w:eastAsia="宋体" w:cs="Times New Roman"/>
                <w:sz w:val="28"/>
                <w:szCs w:val="24"/>
                <w:highlight w:val="none"/>
                <w:lang w:eastAsia="zh-CN"/>
              </w:rPr>
            </w:pPr>
            <w:r>
              <w:rPr>
                <w:rFonts w:hint="eastAsia" w:ascii="Times New Roman" w:hAnsi="Times New Roman" w:eastAsia="宋体" w:cs="Times New Roman"/>
                <w:sz w:val="28"/>
                <w:szCs w:val="24"/>
                <w:highlight w:val="none"/>
              </w:rPr>
              <w:t>项目名称：</w:t>
            </w:r>
            <w:r>
              <w:rPr>
                <w:rFonts w:hint="eastAsia" w:ascii="Times New Roman" w:hAnsi="Times New Roman" w:eastAsia="宋体" w:cs="Times New Roman"/>
                <w:sz w:val="28"/>
                <w:szCs w:val="24"/>
                <w:highlight w:val="none"/>
                <w:lang w:eastAsia="zh-CN"/>
              </w:rPr>
              <w:t>云南省保山第一中学附属设施（连廊）建设项目（一期）</w:t>
            </w:r>
          </w:p>
        </w:tc>
      </w:tr>
      <w:tr w14:paraId="39E726FA">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cantSplit/>
          <w:trHeight w:val="850" w:hRule="atLeast"/>
          <w:jc w:val="center"/>
        </w:trPr>
        <w:tc>
          <w:tcPr>
            <w:tcW w:w="1990" w:type="dxa"/>
            <w:tcBorders>
              <w:tl2br w:val="nil"/>
              <w:tr2bl w:val="nil"/>
            </w:tcBorders>
            <w:noWrap w:val="0"/>
            <w:vAlign w:val="center"/>
          </w:tcPr>
          <w:p w14:paraId="280114B2">
            <w:pPr>
              <w:spacing w:line="360" w:lineRule="auto"/>
              <w:ind w:left="1400" w:hanging="1400" w:hangingChars="500"/>
              <w:jc w:val="center"/>
              <w:rPr>
                <w:rFonts w:hint="eastAsia" w:ascii="宋体" w:hAnsi="宋体"/>
                <w:sz w:val="28"/>
                <w:highlight w:val="none"/>
              </w:rPr>
            </w:pPr>
            <w:r>
              <w:rPr>
                <w:rFonts w:hint="eastAsia" w:ascii="宋体" w:hAnsi="宋体"/>
                <w:sz w:val="28"/>
                <w:highlight w:val="none"/>
              </w:rPr>
              <w:t>校核：</w:t>
            </w:r>
          </w:p>
        </w:tc>
        <w:tc>
          <w:tcPr>
            <w:tcW w:w="2250" w:type="dxa"/>
            <w:tcBorders>
              <w:tl2br w:val="nil"/>
              <w:tr2bl w:val="nil"/>
            </w:tcBorders>
            <w:noWrap w:val="0"/>
            <w:vAlign w:val="center"/>
          </w:tcPr>
          <w:p w14:paraId="22AEC909">
            <w:pPr>
              <w:keepNext w:val="0"/>
              <w:keepLines w:val="0"/>
              <w:pageBreakBefore w:val="0"/>
              <w:widowControl w:val="0"/>
              <w:kinsoku/>
              <w:wordWrap/>
              <w:overflowPunct/>
              <w:topLinePunct w:val="0"/>
              <w:autoSpaceDE/>
              <w:autoSpaceDN/>
              <w:bidi w:val="0"/>
              <w:adjustRightInd/>
              <w:snapToGrid/>
              <w:spacing w:line="240" w:lineRule="auto"/>
              <w:ind w:left="0" w:hanging="1400" w:hangingChars="500"/>
              <w:jc w:val="center"/>
              <w:textAlignment w:val="auto"/>
              <w:rPr>
                <w:rFonts w:hint="eastAsia" w:ascii="宋体" w:hAnsi="宋体" w:eastAsia="宋体"/>
                <w:sz w:val="28"/>
                <w:highlight w:val="none"/>
                <w:lang w:eastAsia="zh-CN"/>
              </w:rPr>
            </w:pPr>
            <w:r>
              <w:rPr>
                <w:rFonts w:hint="eastAsia" w:ascii="宋体" w:hAnsi="宋体"/>
                <w:sz w:val="28"/>
                <w:highlight w:val="none"/>
                <w:lang w:val="en-US" w:eastAsia="zh-CN"/>
              </w:rPr>
              <w:t>陈泽楠</w:t>
            </w:r>
          </w:p>
        </w:tc>
        <w:tc>
          <w:tcPr>
            <w:tcW w:w="5330" w:type="dxa"/>
            <w:tcBorders>
              <w:tl2br w:val="nil"/>
              <w:tr2bl w:val="nil"/>
            </w:tcBorders>
            <w:noWrap w:val="0"/>
            <w:vAlign w:val="center"/>
          </w:tcPr>
          <w:p w14:paraId="32BD72DC">
            <w:pPr>
              <w:spacing w:line="360" w:lineRule="auto"/>
              <w:jc w:val="both"/>
              <w:rPr>
                <w:rFonts w:hint="eastAsia" w:ascii="Times New Roman" w:hAnsi="Times New Roman" w:eastAsia="宋体" w:cs="Times New Roman"/>
                <w:color w:val="auto"/>
                <w:sz w:val="28"/>
                <w:szCs w:val="24"/>
                <w:highlight w:val="none"/>
                <w:lang w:eastAsia="zh-CN"/>
              </w:rPr>
            </w:pPr>
            <w:r>
              <w:rPr>
                <w:rFonts w:hint="eastAsia" w:ascii="Times New Roman" w:hAnsi="Times New Roman" w:eastAsia="宋体" w:cs="Times New Roman"/>
                <w:color w:val="auto"/>
                <w:sz w:val="28"/>
                <w:szCs w:val="24"/>
                <w:highlight w:val="none"/>
              </w:rPr>
              <w:t>采购人：</w:t>
            </w:r>
            <w:r>
              <w:rPr>
                <w:rFonts w:hint="eastAsia" w:ascii="宋体" w:hAnsi="宋体"/>
                <w:sz w:val="28"/>
                <w:szCs w:val="28"/>
                <w:highlight w:val="none"/>
                <w:lang w:val="en-US" w:eastAsia="zh-CN"/>
              </w:rPr>
              <w:t>云南省保山第一中学</w:t>
            </w:r>
          </w:p>
        </w:tc>
      </w:tr>
      <w:tr w14:paraId="08E76F6A">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cantSplit/>
          <w:trHeight w:val="850" w:hRule="atLeast"/>
          <w:jc w:val="center"/>
        </w:trPr>
        <w:tc>
          <w:tcPr>
            <w:tcW w:w="1990" w:type="dxa"/>
            <w:tcBorders>
              <w:tl2br w:val="nil"/>
              <w:tr2bl w:val="nil"/>
            </w:tcBorders>
            <w:noWrap w:val="0"/>
            <w:vAlign w:val="center"/>
          </w:tcPr>
          <w:p w14:paraId="3F5AB9BC">
            <w:pPr>
              <w:spacing w:line="360" w:lineRule="auto"/>
              <w:ind w:left="1400" w:hanging="1400" w:hangingChars="500"/>
              <w:jc w:val="center"/>
              <w:rPr>
                <w:rFonts w:hint="eastAsia" w:ascii="宋体" w:hAnsi="宋体"/>
                <w:sz w:val="28"/>
                <w:highlight w:val="none"/>
              </w:rPr>
            </w:pPr>
            <w:r>
              <w:rPr>
                <w:rFonts w:hint="eastAsia" w:ascii="宋体" w:hAnsi="宋体"/>
                <w:sz w:val="28"/>
                <w:highlight w:val="none"/>
              </w:rPr>
              <w:t>批准：</w:t>
            </w:r>
          </w:p>
        </w:tc>
        <w:tc>
          <w:tcPr>
            <w:tcW w:w="2250" w:type="dxa"/>
            <w:tcBorders>
              <w:tl2br w:val="nil"/>
              <w:tr2bl w:val="nil"/>
            </w:tcBorders>
            <w:noWrap w:val="0"/>
            <w:vAlign w:val="center"/>
          </w:tcPr>
          <w:p w14:paraId="264EE64F">
            <w:pPr>
              <w:keepNext w:val="0"/>
              <w:keepLines w:val="0"/>
              <w:pageBreakBefore w:val="0"/>
              <w:widowControl w:val="0"/>
              <w:kinsoku/>
              <w:wordWrap/>
              <w:overflowPunct/>
              <w:topLinePunct w:val="0"/>
              <w:autoSpaceDE/>
              <w:autoSpaceDN/>
              <w:bidi w:val="0"/>
              <w:adjustRightInd/>
              <w:snapToGrid/>
              <w:spacing w:line="240" w:lineRule="auto"/>
              <w:ind w:left="0" w:hanging="1400" w:hangingChars="500"/>
              <w:jc w:val="center"/>
              <w:textAlignment w:val="auto"/>
              <w:rPr>
                <w:rFonts w:hint="eastAsia" w:ascii="宋体" w:hAnsi="宋体" w:eastAsia="宋体"/>
                <w:sz w:val="28"/>
                <w:highlight w:val="none"/>
                <w:lang w:eastAsia="zh-CN"/>
              </w:rPr>
            </w:pPr>
            <w:r>
              <w:rPr>
                <w:rFonts w:hint="eastAsia" w:ascii="宋体" w:hAnsi="宋体"/>
                <w:sz w:val="28"/>
                <w:highlight w:val="none"/>
                <w:lang w:val="en-US" w:eastAsia="zh-CN"/>
              </w:rPr>
              <w:t>达  明</w:t>
            </w:r>
          </w:p>
        </w:tc>
        <w:tc>
          <w:tcPr>
            <w:tcW w:w="5330" w:type="dxa"/>
            <w:tcBorders>
              <w:tl2br w:val="nil"/>
              <w:tr2bl w:val="nil"/>
            </w:tcBorders>
            <w:noWrap w:val="0"/>
            <w:vAlign w:val="center"/>
          </w:tcPr>
          <w:p w14:paraId="4798508E">
            <w:pPr>
              <w:spacing w:line="360" w:lineRule="auto"/>
              <w:jc w:val="both"/>
              <w:rPr>
                <w:rFonts w:hint="eastAsia" w:ascii="Times New Roman" w:hAnsi="Times New Roman" w:eastAsia="宋体" w:cs="Times New Roman"/>
                <w:color w:val="auto"/>
                <w:sz w:val="28"/>
                <w:szCs w:val="24"/>
                <w:highlight w:val="none"/>
                <w:lang w:eastAsia="zh-CN"/>
              </w:rPr>
            </w:pPr>
            <w:r>
              <w:rPr>
                <w:rFonts w:hint="eastAsia" w:cs="Times New Roman"/>
                <w:color w:val="auto"/>
                <w:sz w:val="28"/>
                <w:szCs w:val="24"/>
                <w:highlight w:val="none"/>
                <w:lang w:val="en-US" w:eastAsia="zh-CN"/>
              </w:rPr>
              <w:t>项目</w:t>
            </w:r>
            <w:r>
              <w:rPr>
                <w:rFonts w:hint="eastAsia" w:ascii="Times New Roman" w:hAnsi="Times New Roman" w:eastAsia="宋体" w:cs="Times New Roman"/>
                <w:color w:val="auto"/>
                <w:sz w:val="28"/>
                <w:szCs w:val="24"/>
                <w:highlight w:val="none"/>
              </w:rPr>
              <w:t>编号：</w:t>
            </w:r>
            <w:r>
              <w:rPr>
                <w:rFonts w:hint="eastAsia" w:ascii="Times New Roman" w:hAnsi="Times New Roman" w:eastAsia="宋体" w:cs="Times New Roman"/>
                <w:color w:val="auto"/>
                <w:sz w:val="28"/>
                <w:szCs w:val="24"/>
                <w:highlight w:val="none"/>
                <w:lang w:eastAsia="zh-CN"/>
              </w:rPr>
              <w:t xml:space="preserve">SYZB-2026-0901 </w:t>
            </w:r>
          </w:p>
        </w:tc>
      </w:tr>
      <w:tr w14:paraId="3972C55D">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850" w:hRule="atLeast"/>
          <w:jc w:val="center"/>
        </w:trPr>
        <w:tc>
          <w:tcPr>
            <w:tcW w:w="1990" w:type="dxa"/>
            <w:tcBorders>
              <w:tl2br w:val="nil"/>
              <w:tr2bl w:val="nil"/>
            </w:tcBorders>
            <w:noWrap w:val="0"/>
            <w:vAlign w:val="center"/>
          </w:tcPr>
          <w:p w14:paraId="4AB98832">
            <w:pPr>
              <w:spacing w:line="360" w:lineRule="auto"/>
              <w:ind w:left="1400" w:hanging="1400" w:hangingChars="500"/>
              <w:jc w:val="center"/>
              <w:rPr>
                <w:rFonts w:hint="eastAsia" w:ascii="宋体" w:hAnsi="宋体"/>
                <w:sz w:val="28"/>
                <w:highlight w:val="none"/>
              </w:rPr>
            </w:pPr>
            <w:r>
              <w:rPr>
                <w:rFonts w:hint="eastAsia" w:ascii="宋体" w:hAnsi="宋体"/>
                <w:sz w:val="28"/>
                <w:highlight w:val="none"/>
              </w:rPr>
              <w:t>日期：</w:t>
            </w:r>
          </w:p>
        </w:tc>
        <w:tc>
          <w:tcPr>
            <w:tcW w:w="2250" w:type="dxa"/>
            <w:tcBorders>
              <w:tl2br w:val="nil"/>
              <w:tr2bl w:val="nil"/>
            </w:tcBorders>
            <w:noWrap w:val="0"/>
            <w:vAlign w:val="center"/>
          </w:tcPr>
          <w:p w14:paraId="36AA5C54">
            <w:pPr>
              <w:keepNext w:val="0"/>
              <w:keepLines w:val="0"/>
              <w:pageBreakBefore w:val="0"/>
              <w:widowControl w:val="0"/>
              <w:kinsoku/>
              <w:wordWrap/>
              <w:overflowPunct/>
              <w:topLinePunct w:val="0"/>
              <w:autoSpaceDE/>
              <w:autoSpaceDN/>
              <w:bidi w:val="0"/>
              <w:adjustRightInd/>
              <w:snapToGrid/>
              <w:spacing w:line="240" w:lineRule="auto"/>
              <w:ind w:left="0" w:hanging="1400" w:hangingChars="500"/>
              <w:jc w:val="center"/>
              <w:textAlignment w:val="auto"/>
              <w:rPr>
                <w:rFonts w:hint="default" w:ascii="宋体" w:hAnsi="宋体" w:eastAsia="宋体"/>
                <w:sz w:val="28"/>
                <w:highlight w:val="none"/>
                <w:lang w:val="en-US" w:eastAsia="zh-CN"/>
              </w:rPr>
            </w:pPr>
            <w:r>
              <w:rPr>
                <w:rFonts w:hint="eastAsia" w:ascii="宋体" w:hAnsi="宋体"/>
                <w:sz w:val="28"/>
                <w:highlight w:val="none"/>
              </w:rPr>
              <w:t>20</w:t>
            </w:r>
            <w:r>
              <w:rPr>
                <w:rFonts w:ascii="宋体" w:hAnsi="宋体"/>
                <w:sz w:val="28"/>
                <w:highlight w:val="none"/>
              </w:rPr>
              <w:t>2</w:t>
            </w:r>
            <w:r>
              <w:rPr>
                <w:rFonts w:hint="eastAsia" w:ascii="宋体" w:hAnsi="宋体"/>
                <w:sz w:val="28"/>
                <w:highlight w:val="none"/>
                <w:lang w:val="en-US" w:eastAsia="zh-CN"/>
              </w:rPr>
              <w:t>6</w:t>
            </w:r>
            <w:r>
              <w:rPr>
                <w:rFonts w:ascii="宋体" w:hAnsi="宋体"/>
                <w:sz w:val="28"/>
                <w:highlight w:val="none"/>
              </w:rPr>
              <w:t>.</w:t>
            </w:r>
            <w:r>
              <w:rPr>
                <w:rFonts w:hint="eastAsia" w:ascii="宋体" w:hAnsi="宋体"/>
                <w:sz w:val="28"/>
                <w:highlight w:val="none"/>
                <w:lang w:val="en-US" w:eastAsia="zh-CN"/>
              </w:rPr>
              <w:t>10</w:t>
            </w:r>
          </w:p>
        </w:tc>
        <w:tc>
          <w:tcPr>
            <w:tcW w:w="5330" w:type="dxa"/>
            <w:tcBorders>
              <w:tl2br w:val="nil"/>
              <w:tr2bl w:val="nil"/>
            </w:tcBorders>
            <w:noWrap w:val="0"/>
            <w:vAlign w:val="center"/>
          </w:tcPr>
          <w:p w14:paraId="209EB8AD">
            <w:pPr>
              <w:spacing w:line="360" w:lineRule="auto"/>
              <w:jc w:val="both"/>
              <w:rPr>
                <w:rFonts w:hint="eastAsia" w:ascii="Times New Roman" w:hAnsi="Times New Roman" w:eastAsia="宋体" w:cs="Times New Roman"/>
                <w:sz w:val="28"/>
                <w:szCs w:val="24"/>
                <w:highlight w:val="none"/>
                <w:lang w:val="en-US" w:eastAsia="zh-CN"/>
              </w:rPr>
            </w:pPr>
            <w:r>
              <w:rPr>
                <w:rFonts w:hint="eastAsia" w:ascii="Times New Roman" w:hAnsi="Times New Roman" w:eastAsia="宋体" w:cs="Times New Roman"/>
                <w:sz w:val="28"/>
                <w:szCs w:val="24"/>
                <w:highlight w:val="none"/>
              </w:rPr>
              <w:t>版次：</w:t>
            </w:r>
            <w:r>
              <w:rPr>
                <w:rFonts w:hint="eastAsia" w:ascii="Times New Roman" w:hAnsi="Times New Roman" w:eastAsia="宋体" w:cs="Times New Roman"/>
                <w:sz w:val="28"/>
                <w:szCs w:val="24"/>
                <w:highlight w:val="none"/>
                <w:lang w:val="en-US" w:eastAsia="zh-CN"/>
              </w:rPr>
              <w:t>1</w:t>
            </w:r>
          </w:p>
        </w:tc>
      </w:tr>
    </w:tbl>
    <w:p w14:paraId="724DA617">
      <w:pPr>
        <w:spacing w:line="360" w:lineRule="auto"/>
        <w:jc w:val="center"/>
        <w:outlineLvl w:val="0"/>
        <w:rPr>
          <w:rFonts w:hint="eastAsia" w:ascii="宋体" w:hAnsi="宋体" w:eastAsia="宋体" w:cs="宋体"/>
          <w:sz w:val="24"/>
          <w:szCs w:val="24"/>
          <w:highlight w:val="none"/>
        </w:rPr>
      </w:pPr>
      <w:r>
        <w:rPr>
          <w:rFonts w:ascii="宋体" w:hAnsi="宋体"/>
          <w:b/>
          <w:sz w:val="36"/>
          <w:szCs w:val="36"/>
          <w:highlight w:val="none"/>
        </w:rPr>
        <w:br w:type="page"/>
      </w:r>
      <w:bookmarkStart w:id="0" w:name="_Toc185539564"/>
      <w:bookmarkStart w:id="1" w:name="_Toc17530"/>
      <w:bookmarkStart w:id="2" w:name="_Toc185540022"/>
      <w:bookmarkStart w:id="3" w:name="_Toc5048"/>
      <w:bookmarkStart w:id="4" w:name="_Toc171930039"/>
      <w:bookmarkStart w:id="5" w:name="_Toc191546015"/>
      <w:bookmarkStart w:id="6" w:name="_Toc183075140"/>
      <w:bookmarkStart w:id="7" w:name="_Toc191545807"/>
      <w:r>
        <w:rPr>
          <w:rFonts w:hint="eastAsia" w:ascii="宋体" w:hAnsi="宋体" w:eastAsia="宋体" w:cs="宋体"/>
          <w:b/>
          <w:bCs/>
          <w:sz w:val="24"/>
          <w:szCs w:val="24"/>
          <w:highlight w:val="none"/>
        </w:rPr>
        <w:t>目 录</w:t>
      </w:r>
      <w:bookmarkEnd w:id="0"/>
      <w:bookmarkEnd w:id="1"/>
      <w:bookmarkEnd w:id="2"/>
      <w:bookmarkEnd w:id="3"/>
      <w:bookmarkEnd w:id="4"/>
      <w:bookmarkEnd w:id="5"/>
      <w:bookmarkEnd w:id="6"/>
      <w:bookmarkEnd w:id="7"/>
    </w:p>
    <w:p w14:paraId="5EEC56BC">
      <w:pPr>
        <w:pStyle w:val="30"/>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b w:val="0"/>
          <w:sz w:val="22"/>
          <w:szCs w:val="22"/>
          <w:highlight w:val="none"/>
        </w:rPr>
        <w:fldChar w:fldCharType="begin"/>
      </w:r>
      <w:r>
        <w:rPr>
          <w:rFonts w:hint="eastAsia" w:ascii="宋体" w:hAnsi="宋体" w:eastAsia="宋体" w:cs="宋体"/>
          <w:b w:val="0"/>
          <w:sz w:val="22"/>
          <w:szCs w:val="22"/>
          <w:highlight w:val="none"/>
        </w:rPr>
        <w:instrText xml:space="preserve"> TOC \o "1-2" \h \z \u </w:instrText>
      </w:r>
      <w:r>
        <w:rPr>
          <w:rFonts w:hint="eastAsia" w:ascii="宋体" w:hAnsi="宋体" w:eastAsia="宋体" w:cs="宋体"/>
          <w:b w:val="0"/>
          <w:sz w:val="22"/>
          <w:szCs w:val="22"/>
          <w:highlight w:val="none"/>
        </w:rPr>
        <w:fldChar w:fldCharType="separate"/>
      </w: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_Toc21716 </w:instrText>
      </w:r>
      <w:r>
        <w:rPr>
          <w:rFonts w:hint="eastAsia" w:ascii="宋体" w:hAnsi="宋体" w:eastAsia="宋体" w:cs="宋体"/>
          <w:kern w:val="0"/>
          <w:sz w:val="22"/>
          <w:szCs w:val="22"/>
          <w:highlight w:val="none"/>
        </w:rPr>
        <w:fldChar w:fldCharType="separate"/>
      </w:r>
      <w:r>
        <w:rPr>
          <w:rFonts w:hint="eastAsia" w:ascii="宋体" w:hAnsi="宋体" w:eastAsia="宋体" w:cs="宋体"/>
          <w:bCs/>
          <w:sz w:val="22"/>
          <w:szCs w:val="22"/>
          <w:highlight w:val="none"/>
        </w:rPr>
        <w:t>第一章  竞争性磋商公告</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_Toc21716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4</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5BB53DB9">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_Toc13928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一、项目基本情况</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_Toc13928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4</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5FBAC4C4">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_Toc13794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二、申请人的资格要求</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_Toc13794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5</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44F9B808">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_Toc20989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三、获取采购文件</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_Toc20989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5</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5970EDDE">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_Toc22663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四、响应文件提交</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_Toc22663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5</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5B3AAA25">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_Toc29967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五、响应文件</w:t>
      </w:r>
      <w:r>
        <w:rPr>
          <w:rFonts w:hint="eastAsia" w:ascii="宋体" w:hAnsi="宋体" w:eastAsia="宋体" w:cs="宋体"/>
          <w:sz w:val="22"/>
          <w:szCs w:val="22"/>
          <w:highlight w:val="none"/>
          <w:lang w:val="en-US" w:eastAsia="zh-CN"/>
        </w:rPr>
        <w:t>开启</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_Toc29967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6</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4B82503E">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_Toc3313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六、</w:t>
      </w:r>
      <w:r>
        <w:rPr>
          <w:rFonts w:hint="eastAsia" w:ascii="宋体" w:hAnsi="宋体" w:eastAsia="宋体" w:cs="宋体"/>
          <w:sz w:val="22"/>
          <w:szCs w:val="22"/>
          <w:highlight w:val="none"/>
          <w:lang w:val="en-US" w:eastAsia="zh-CN"/>
        </w:rPr>
        <w:t>磋商</w:t>
      </w:r>
      <w:r>
        <w:rPr>
          <w:rFonts w:hint="eastAsia" w:ascii="宋体" w:hAnsi="宋体" w:eastAsia="宋体" w:cs="宋体"/>
          <w:sz w:val="22"/>
          <w:szCs w:val="22"/>
          <w:highlight w:val="none"/>
        </w:rPr>
        <w:t>保证金信息</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_Toc3313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6</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300380FF">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_Toc17160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lang w:val="en-US" w:eastAsia="zh-CN"/>
        </w:rPr>
        <w:t>七、公告期限</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_Toc17160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6</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2A4524D7">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_Toc5372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lang w:val="en-US" w:eastAsia="zh-CN"/>
        </w:rPr>
        <w:t>八</w:t>
      </w:r>
      <w:r>
        <w:rPr>
          <w:rFonts w:hint="eastAsia" w:ascii="宋体" w:hAnsi="宋体" w:eastAsia="宋体" w:cs="宋体"/>
          <w:sz w:val="22"/>
          <w:szCs w:val="22"/>
          <w:highlight w:val="none"/>
        </w:rPr>
        <w:t>、其他补充事宜</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_Toc5372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6</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310559B7">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_Toc14883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九、</w:t>
      </w:r>
      <w:r>
        <w:rPr>
          <w:rFonts w:hint="eastAsia" w:ascii="宋体" w:hAnsi="宋体" w:eastAsia="宋体" w:cs="宋体"/>
          <w:sz w:val="22"/>
          <w:szCs w:val="22"/>
          <w:highlight w:val="none"/>
          <w:lang w:eastAsia="zh-CN"/>
        </w:rPr>
        <w:t>凡对本次采购提出询问</w:t>
      </w:r>
      <w:r>
        <w:rPr>
          <w:rFonts w:hint="eastAsia" w:ascii="宋体" w:hAnsi="宋体" w:eastAsia="宋体" w:cs="宋体"/>
          <w:sz w:val="22"/>
          <w:szCs w:val="22"/>
          <w:highlight w:val="none"/>
        </w:rPr>
        <w:t>，请按以下方式联系</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_Toc14883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6</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27FCE0F5">
      <w:pPr>
        <w:pStyle w:val="30"/>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_Toc21145 </w:instrText>
      </w:r>
      <w:r>
        <w:rPr>
          <w:rFonts w:hint="eastAsia" w:ascii="宋体" w:hAnsi="宋体" w:eastAsia="宋体" w:cs="宋体"/>
          <w:kern w:val="0"/>
          <w:sz w:val="22"/>
          <w:szCs w:val="22"/>
          <w:highlight w:val="none"/>
        </w:rPr>
        <w:fldChar w:fldCharType="separate"/>
      </w:r>
      <w:r>
        <w:rPr>
          <w:rFonts w:hint="eastAsia" w:ascii="宋体" w:hAnsi="宋体" w:eastAsia="宋体" w:cs="宋体"/>
          <w:bCs/>
          <w:kern w:val="2"/>
          <w:sz w:val="22"/>
          <w:szCs w:val="22"/>
          <w:highlight w:val="none"/>
          <w:lang w:val="en-US" w:eastAsia="zh-CN" w:bidi="ar-SA"/>
        </w:rPr>
        <w:t>第二章 供应商须知</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_Toc21145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8</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7748D5EA">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_Toc9892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供应商须知前附表</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_Toc9892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8</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2E558DC9">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_Toc29357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一、总则</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_Toc29357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15</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1786B91C">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_Toc5321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二、磋商文件</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_Toc5321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17</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4D27C288">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_Toc16316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三、响应文件</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_Toc16316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18</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2A16F355">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_Toc24382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四、响应文件的提交</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_Toc24382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20</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4B253F7D">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_Toc25370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五、磋商</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_Toc25370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21</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69E1436B">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_Toc9745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六、成交结果</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_Toc9745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22</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6CEAE74D">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_Toc20602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七、其他事项</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_Toc20602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23</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1D8EDAED">
      <w:pPr>
        <w:pStyle w:val="30"/>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_Toc6787 </w:instrText>
      </w:r>
      <w:r>
        <w:rPr>
          <w:rFonts w:hint="eastAsia" w:ascii="宋体" w:hAnsi="宋体" w:eastAsia="宋体" w:cs="宋体"/>
          <w:kern w:val="0"/>
          <w:sz w:val="22"/>
          <w:szCs w:val="22"/>
          <w:highlight w:val="none"/>
        </w:rPr>
        <w:fldChar w:fldCharType="separate"/>
      </w:r>
      <w:r>
        <w:rPr>
          <w:rFonts w:hint="eastAsia" w:ascii="宋体" w:hAnsi="宋体" w:eastAsia="宋体" w:cs="宋体"/>
          <w:bCs/>
          <w:sz w:val="22"/>
          <w:szCs w:val="22"/>
          <w:highlight w:val="none"/>
        </w:rPr>
        <w:t>第三章 合同书样式及主要条款</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_Toc6787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25</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1AA33528">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_Toc14093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合同条款前附表</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_Toc14093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25</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0C9FE178">
      <w:pPr>
        <w:pStyle w:val="30"/>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_Toc13094 </w:instrText>
      </w:r>
      <w:r>
        <w:rPr>
          <w:rFonts w:hint="eastAsia" w:ascii="宋体" w:hAnsi="宋体" w:eastAsia="宋体" w:cs="宋体"/>
          <w:kern w:val="0"/>
          <w:sz w:val="22"/>
          <w:szCs w:val="22"/>
          <w:highlight w:val="none"/>
        </w:rPr>
        <w:fldChar w:fldCharType="separate"/>
      </w:r>
      <w:r>
        <w:rPr>
          <w:rFonts w:hint="eastAsia" w:ascii="宋体" w:hAnsi="宋体" w:eastAsia="宋体" w:cs="宋体"/>
          <w:bCs/>
          <w:sz w:val="22"/>
          <w:szCs w:val="22"/>
          <w:highlight w:val="none"/>
        </w:rPr>
        <w:t>第四章 响应文件格式</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_Toc13094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55</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7E97DE1F">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_Toc18312 </w:instrText>
      </w:r>
      <w:r>
        <w:rPr>
          <w:rFonts w:hint="eastAsia" w:ascii="宋体" w:hAnsi="宋体" w:eastAsia="宋体" w:cs="宋体"/>
          <w:kern w:val="0"/>
          <w:sz w:val="22"/>
          <w:szCs w:val="22"/>
          <w:highlight w:val="none"/>
        </w:rPr>
        <w:fldChar w:fldCharType="separate"/>
      </w:r>
      <w:r>
        <w:rPr>
          <w:rFonts w:hint="eastAsia" w:ascii="宋体" w:hAnsi="宋体" w:eastAsia="宋体" w:cs="宋体"/>
          <w:bCs w:val="0"/>
          <w:kern w:val="2"/>
          <w:sz w:val="22"/>
          <w:szCs w:val="22"/>
          <w:highlight w:val="none"/>
          <w:lang w:val="en-US" w:eastAsia="zh-CN" w:bidi="ar-SA"/>
        </w:rPr>
        <w:t>资格证明文件</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_Toc18312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56</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2D7771A3">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_Toc17422 </w:instrText>
      </w:r>
      <w:r>
        <w:rPr>
          <w:rFonts w:hint="eastAsia" w:ascii="宋体" w:hAnsi="宋体" w:eastAsia="宋体" w:cs="宋体"/>
          <w:kern w:val="0"/>
          <w:sz w:val="22"/>
          <w:szCs w:val="22"/>
          <w:highlight w:val="none"/>
        </w:rPr>
        <w:fldChar w:fldCharType="separate"/>
      </w:r>
      <w:r>
        <w:rPr>
          <w:rFonts w:hint="eastAsia" w:ascii="宋体" w:hAnsi="宋体" w:eastAsia="宋体" w:cs="宋体"/>
          <w:bCs w:val="0"/>
          <w:kern w:val="2"/>
          <w:sz w:val="22"/>
          <w:szCs w:val="22"/>
          <w:highlight w:val="none"/>
          <w:lang w:val="en-US" w:eastAsia="zh-CN" w:bidi="ar-SA"/>
        </w:rPr>
        <w:t>报价文件</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_Toc17422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78</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04C36AD3">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_Toc20841 </w:instrText>
      </w:r>
      <w:r>
        <w:rPr>
          <w:rFonts w:hint="eastAsia" w:ascii="宋体" w:hAnsi="宋体" w:eastAsia="宋体" w:cs="宋体"/>
          <w:kern w:val="0"/>
          <w:sz w:val="22"/>
          <w:szCs w:val="22"/>
          <w:highlight w:val="none"/>
        </w:rPr>
        <w:fldChar w:fldCharType="separate"/>
      </w:r>
      <w:r>
        <w:rPr>
          <w:rFonts w:hint="eastAsia" w:ascii="宋体" w:hAnsi="宋体" w:eastAsia="宋体" w:cs="宋体"/>
          <w:bCs w:val="0"/>
          <w:kern w:val="2"/>
          <w:sz w:val="22"/>
          <w:szCs w:val="22"/>
          <w:highlight w:val="none"/>
          <w:lang w:val="en-US" w:eastAsia="zh-CN" w:bidi="ar-SA"/>
        </w:rPr>
        <w:t>商务技术文件</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_Toc20841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81</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4AB6D991">
      <w:pPr>
        <w:pStyle w:val="30"/>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_Toc20670 </w:instrText>
      </w:r>
      <w:r>
        <w:rPr>
          <w:rFonts w:hint="eastAsia" w:ascii="宋体" w:hAnsi="宋体" w:eastAsia="宋体" w:cs="宋体"/>
          <w:kern w:val="0"/>
          <w:sz w:val="22"/>
          <w:szCs w:val="22"/>
          <w:highlight w:val="none"/>
        </w:rPr>
        <w:fldChar w:fldCharType="separate"/>
      </w:r>
      <w:r>
        <w:rPr>
          <w:rFonts w:hint="eastAsia" w:ascii="宋体" w:hAnsi="宋体" w:eastAsia="宋体" w:cs="宋体"/>
          <w:bCs/>
          <w:sz w:val="22"/>
          <w:szCs w:val="22"/>
          <w:highlight w:val="none"/>
        </w:rPr>
        <w:t xml:space="preserve">第五章 </w:t>
      </w:r>
      <w:r>
        <w:rPr>
          <w:rFonts w:hint="eastAsia" w:ascii="宋体" w:hAnsi="宋体" w:eastAsia="宋体" w:cs="宋体"/>
          <w:bCs/>
          <w:sz w:val="22"/>
          <w:szCs w:val="22"/>
          <w:highlight w:val="none"/>
          <w:lang w:eastAsia="zh-CN"/>
        </w:rPr>
        <w:t>项目需求</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_Toc20670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93</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1A5C5070">
      <w:pPr>
        <w:pStyle w:val="30"/>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_Toc3074 </w:instrText>
      </w:r>
      <w:r>
        <w:rPr>
          <w:rFonts w:hint="eastAsia" w:ascii="宋体" w:hAnsi="宋体" w:eastAsia="宋体" w:cs="宋体"/>
          <w:kern w:val="0"/>
          <w:sz w:val="22"/>
          <w:szCs w:val="22"/>
          <w:highlight w:val="none"/>
        </w:rPr>
        <w:fldChar w:fldCharType="separate"/>
      </w:r>
      <w:r>
        <w:rPr>
          <w:rFonts w:hint="eastAsia" w:ascii="宋体" w:hAnsi="宋体" w:eastAsia="宋体" w:cs="宋体"/>
          <w:bCs/>
          <w:sz w:val="22"/>
          <w:szCs w:val="22"/>
          <w:highlight w:val="none"/>
        </w:rPr>
        <w:t>第六章 磋商程序及方法</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_Toc3074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96</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5C884B29">
      <w:pPr>
        <w:pStyle w:val="34"/>
        <w:tabs>
          <w:tab w:val="right" w:leader="dot" w:pos="9638"/>
        </w:tabs>
        <w:spacing w:line="360" w:lineRule="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fldChar w:fldCharType="begin"/>
      </w:r>
      <w:r>
        <w:rPr>
          <w:rFonts w:hint="eastAsia" w:ascii="宋体" w:hAnsi="宋体" w:eastAsia="宋体" w:cs="宋体"/>
          <w:kern w:val="0"/>
          <w:sz w:val="22"/>
          <w:szCs w:val="22"/>
          <w:highlight w:val="none"/>
        </w:rPr>
        <w:instrText xml:space="preserve"> HYPERLINK \l _Toc24611 </w:instrText>
      </w:r>
      <w:r>
        <w:rPr>
          <w:rFonts w:hint="eastAsia" w:ascii="宋体" w:hAnsi="宋体" w:eastAsia="宋体" w:cs="宋体"/>
          <w:kern w:val="0"/>
          <w:sz w:val="22"/>
          <w:szCs w:val="22"/>
          <w:highlight w:val="none"/>
        </w:rPr>
        <w:fldChar w:fldCharType="separate"/>
      </w:r>
      <w:r>
        <w:rPr>
          <w:rFonts w:hint="eastAsia" w:ascii="宋体" w:hAnsi="宋体" w:eastAsia="宋体" w:cs="宋体"/>
          <w:sz w:val="22"/>
          <w:szCs w:val="22"/>
          <w:highlight w:val="none"/>
        </w:rPr>
        <w:t>磋商程序和方法前附表</w:t>
      </w:r>
      <w:r>
        <w:rPr>
          <w:rFonts w:hint="eastAsia" w:ascii="宋体" w:hAnsi="宋体" w:eastAsia="宋体" w:cs="宋体"/>
          <w:sz w:val="22"/>
          <w:szCs w:val="22"/>
          <w:highlight w:val="none"/>
        </w:rPr>
        <w:tab/>
      </w:r>
      <w:r>
        <w:rPr>
          <w:rFonts w:hint="eastAsia" w:ascii="宋体" w:hAnsi="宋体" w:eastAsia="宋体" w:cs="宋体"/>
          <w:sz w:val="22"/>
          <w:szCs w:val="22"/>
          <w:highlight w:val="none"/>
        </w:rPr>
        <w:fldChar w:fldCharType="begin"/>
      </w:r>
      <w:r>
        <w:rPr>
          <w:rFonts w:hint="eastAsia" w:ascii="宋体" w:hAnsi="宋体" w:eastAsia="宋体" w:cs="宋体"/>
          <w:sz w:val="22"/>
          <w:szCs w:val="22"/>
          <w:highlight w:val="none"/>
        </w:rPr>
        <w:instrText xml:space="preserve"> PAGEREF _Toc24611 \h </w:instrText>
      </w:r>
      <w:r>
        <w:rPr>
          <w:rFonts w:hint="eastAsia" w:ascii="宋体" w:hAnsi="宋体" w:eastAsia="宋体" w:cs="宋体"/>
          <w:sz w:val="22"/>
          <w:szCs w:val="22"/>
          <w:highlight w:val="none"/>
        </w:rPr>
        <w:fldChar w:fldCharType="separate"/>
      </w:r>
      <w:r>
        <w:rPr>
          <w:rFonts w:hint="eastAsia" w:ascii="宋体" w:hAnsi="宋体" w:eastAsia="宋体" w:cs="宋体"/>
          <w:sz w:val="22"/>
          <w:szCs w:val="22"/>
          <w:highlight w:val="none"/>
        </w:rPr>
        <w:t>96</w:t>
      </w:r>
      <w:r>
        <w:rPr>
          <w:rFonts w:hint="eastAsia" w:ascii="宋体" w:hAnsi="宋体" w:eastAsia="宋体" w:cs="宋体"/>
          <w:sz w:val="22"/>
          <w:szCs w:val="22"/>
          <w:highlight w:val="none"/>
        </w:rPr>
        <w:fldChar w:fldCharType="end"/>
      </w:r>
      <w:r>
        <w:rPr>
          <w:rFonts w:hint="eastAsia" w:ascii="宋体" w:hAnsi="宋体" w:eastAsia="宋体" w:cs="宋体"/>
          <w:kern w:val="0"/>
          <w:sz w:val="22"/>
          <w:szCs w:val="22"/>
          <w:highlight w:val="none"/>
        </w:rPr>
        <w:fldChar w:fldCharType="end"/>
      </w:r>
    </w:p>
    <w:p w14:paraId="7A710EFF">
      <w:pPr>
        <w:spacing w:line="360" w:lineRule="auto"/>
        <w:rPr>
          <w:rFonts w:ascii="宋体" w:hAnsi="宋体"/>
          <w:b/>
          <w:kern w:val="0"/>
          <w:sz w:val="32"/>
          <w:szCs w:val="21"/>
          <w:highlight w:val="none"/>
        </w:rPr>
        <w:sectPr>
          <w:pgSz w:w="11906" w:h="16838"/>
          <w:pgMar w:top="1440" w:right="1134" w:bottom="1270" w:left="1134" w:header="851" w:footer="992" w:gutter="0"/>
          <w:pgBorders>
            <w:top w:val="none" w:sz="0" w:space="0"/>
            <w:left w:val="none" w:sz="0" w:space="0"/>
            <w:bottom w:val="none" w:sz="0" w:space="0"/>
            <w:right w:val="none" w:sz="0" w:space="0"/>
          </w:pgBorders>
          <w:pgNumType w:fmt="decimal"/>
          <w:cols w:space="720" w:num="1"/>
          <w:rtlGutter w:val="0"/>
          <w:docGrid w:linePitch="312" w:charSpace="0"/>
        </w:sectPr>
      </w:pPr>
      <w:r>
        <w:rPr>
          <w:rFonts w:hint="eastAsia" w:ascii="宋体" w:hAnsi="宋体" w:eastAsia="宋体" w:cs="宋体"/>
          <w:kern w:val="0"/>
          <w:sz w:val="22"/>
          <w:szCs w:val="22"/>
          <w:highlight w:val="none"/>
        </w:rPr>
        <w:fldChar w:fldCharType="end"/>
      </w:r>
      <w:bookmarkStart w:id="8" w:name="_Toc46742446"/>
      <w:bookmarkStart w:id="9" w:name="OLE_LINK3"/>
      <w:bookmarkStart w:id="10" w:name="OLE_LINK5"/>
      <w:bookmarkStart w:id="11" w:name="_Toc185539565"/>
      <w:bookmarkStart w:id="12" w:name="_Toc427306785"/>
      <w:bookmarkStart w:id="13" w:name="_Toc171930040"/>
      <w:bookmarkStart w:id="14" w:name="_Toc183075141"/>
      <w:bookmarkStart w:id="15" w:name="_Toc185540023"/>
      <w:bookmarkStart w:id="16" w:name="_Toc427339166"/>
      <w:bookmarkStart w:id="17" w:name="_Toc209516062"/>
    </w:p>
    <w:p w14:paraId="06EA3007">
      <w:pPr>
        <w:pStyle w:val="2"/>
        <w:spacing w:line="360" w:lineRule="auto"/>
        <w:rPr>
          <w:rFonts w:hAnsi="宋体"/>
          <w:b/>
          <w:bCs/>
          <w:color w:val="auto"/>
          <w:sz w:val="36"/>
          <w:highlight w:val="none"/>
        </w:rPr>
      </w:pPr>
      <w:bookmarkStart w:id="405" w:name="_GoBack"/>
      <w:bookmarkEnd w:id="405"/>
      <w:bookmarkStart w:id="18" w:name="_Toc21716"/>
      <w:bookmarkStart w:id="19" w:name="OLE_LINK26"/>
      <w:r>
        <w:rPr>
          <w:rFonts w:hAnsi="宋体"/>
          <w:b/>
          <w:bCs/>
          <w:color w:val="auto"/>
          <w:sz w:val="36"/>
          <w:highlight w:val="none"/>
        </w:rPr>
        <w:t xml:space="preserve">第一章  </w:t>
      </w:r>
      <w:bookmarkStart w:id="20" w:name="_Hlk11056236"/>
      <w:bookmarkStart w:id="21" w:name="OLE_LINK2"/>
      <w:r>
        <w:rPr>
          <w:rFonts w:hint="eastAsia" w:hAnsi="宋体"/>
          <w:b/>
          <w:bCs/>
          <w:color w:val="auto"/>
          <w:sz w:val="36"/>
          <w:highlight w:val="none"/>
        </w:rPr>
        <w:t>竞争性磋商公告</w:t>
      </w:r>
      <w:bookmarkEnd w:id="8"/>
      <w:bookmarkEnd w:id="18"/>
      <w:bookmarkEnd w:id="20"/>
      <w:bookmarkStart w:id="22" w:name="_Hlk9265741"/>
    </w:p>
    <w:p w14:paraId="199BBBE4">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szCs w:val="21"/>
          <w:highlight w:val="none"/>
        </w:rPr>
      </w:pPr>
      <w:bookmarkStart w:id="23" w:name="OLE_LINK6"/>
      <w:bookmarkStart w:id="24" w:name="OLE_LINK1"/>
      <w:r>
        <w:rPr>
          <w:rFonts w:hint="eastAsia" w:ascii="宋体" w:hAnsi="宋体"/>
          <w:szCs w:val="21"/>
          <w:highlight w:val="none"/>
        </w:rPr>
        <w:t>项目概况</w:t>
      </w:r>
    </w:p>
    <w:p w14:paraId="2E776C37">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b w:val="0"/>
          <w:bCs w:val="0"/>
          <w:color w:val="auto"/>
          <w:szCs w:val="21"/>
          <w:highlight w:val="none"/>
        </w:rPr>
      </w:pPr>
      <w:r>
        <w:rPr>
          <w:rFonts w:hint="eastAsia" w:ascii="宋体" w:hAnsi="宋体"/>
          <w:szCs w:val="21"/>
          <w:highlight w:val="none"/>
        </w:rPr>
        <w:t xml:space="preserve"> </w:t>
      </w:r>
      <w:r>
        <w:rPr>
          <w:rFonts w:hint="eastAsia" w:ascii="宋体" w:hAnsi="宋体"/>
          <w:b/>
          <w:bCs/>
          <w:szCs w:val="21"/>
          <w:highlight w:val="none"/>
          <w:u w:val="single"/>
          <w:lang w:eastAsia="zh-CN"/>
        </w:rPr>
        <w:t>云南省保山第一中学附属设施（连廊）建设项目（一期）</w:t>
      </w:r>
      <w:r>
        <w:rPr>
          <w:rFonts w:hint="eastAsia" w:ascii="Times New Roman" w:hAnsi="Times New Roman" w:eastAsia="宋体" w:cs="Times New Roman"/>
          <w:color w:val="auto"/>
          <w:szCs w:val="21"/>
          <w:highlight w:val="none"/>
          <w:lang w:eastAsia="zh-CN"/>
        </w:rPr>
        <w:t>采购项目的潜在供应商应在云南省政府采购电子交易平台（政采云</w:t>
      </w:r>
      <w:r>
        <w:rPr>
          <w:rFonts w:hint="eastAsia" w:ascii="宋体" w:hAnsi="宋体" w:eastAsia="宋体" w:cs="宋体"/>
          <w:color w:val="auto"/>
          <w:szCs w:val="21"/>
          <w:highlight w:val="none"/>
          <w:lang w:eastAsia="zh-CN"/>
        </w:rPr>
        <w:t>https://www.zcygov.cn/</w:t>
      </w:r>
      <w:r>
        <w:rPr>
          <w:rFonts w:hint="eastAsia" w:ascii="Times New Roman" w:hAnsi="Times New Roman" w:eastAsia="宋体" w:cs="Times New Roman"/>
          <w:color w:val="auto"/>
          <w:szCs w:val="21"/>
          <w:highlight w:val="none"/>
          <w:lang w:eastAsia="zh-CN"/>
        </w:rPr>
        <w:t>）地址获取采购文件，并于</w:t>
      </w:r>
      <w:r>
        <w:rPr>
          <w:rFonts w:hint="eastAsia" w:ascii="宋体" w:hAnsi="宋体" w:eastAsia="宋体" w:cs="宋体"/>
          <w:b/>
          <w:bCs/>
          <w:color w:val="auto"/>
          <w:szCs w:val="21"/>
          <w:highlight w:val="none"/>
          <w:lang w:eastAsia="zh-CN"/>
        </w:rPr>
        <w:t>2026年</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eastAsia="zh-CN"/>
        </w:rPr>
        <w:t>月</w:t>
      </w:r>
      <w:r>
        <w:rPr>
          <w:rFonts w:hint="eastAsia" w:ascii="宋体" w:hAnsi="宋体" w:eastAsia="宋体" w:cs="宋体"/>
          <w:b/>
          <w:bCs/>
          <w:color w:val="auto"/>
          <w:szCs w:val="21"/>
          <w:highlight w:val="none"/>
          <w:lang w:val="en-US" w:eastAsia="zh-CN"/>
        </w:rPr>
        <w:t xml:space="preserve"> </w:t>
      </w:r>
      <w:r>
        <w:rPr>
          <w:rFonts w:hint="eastAsia" w:ascii="宋体" w:hAnsi="宋体" w:cs="宋体"/>
          <w:b/>
          <w:bCs/>
          <w:color w:val="auto"/>
          <w:szCs w:val="21"/>
          <w:highlight w:val="none"/>
          <w:lang w:val="en-US" w:eastAsia="zh-CN"/>
        </w:rPr>
        <w:t>20</w:t>
      </w:r>
      <w:r>
        <w:rPr>
          <w:rFonts w:hint="eastAsia" w:ascii="宋体" w:hAnsi="宋体" w:eastAsia="宋体" w:cs="宋体"/>
          <w:b/>
          <w:bCs/>
          <w:color w:val="auto"/>
          <w:szCs w:val="21"/>
          <w:highlight w:val="none"/>
          <w:lang w:eastAsia="zh-CN"/>
        </w:rPr>
        <w:t>日</w:t>
      </w:r>
      <w:r>
        <w:rPr>
          <w:rFonts w:hint="eastAsia" w:ascii="宋体" w:hAnsi="宋体" w:cs="宋体"/>
          <w:b/>
          <w:bCs/>
          <w:color w:val="auto"/>
          <w:szCs w:val="21"/>
          <w:highlight w:val="none"/>
          <w:lang w:val="en-US" w:eastAsia="zh-CN"/>
        </w:rPr>
        <w:t>14</w:t>
      </w:r>
      <w:r>
        <w:rPr>
          <w:rFonts w:hint="eastAsia" w:ascii="宋体" w:hAnsi="宋体" w:eastAsia="宋体" w:cs="宋体"/>
          <w:b/>
          <w:bCs/>
          <w:color w:val="auto"/>
          <w:szCs w:val="21"/>
          <w:highlight w:val="none"/>
          <w:lang w:val="en-US" w:eastAsia="zh-CN"/>
        </w:rPr>
        <w:t>：30</w:t>
      </w:r>
      <w:r>
        <w:rPr>
          <w:rFonts w:hint="eastAsia" w:ascii="Times New Roman" w:hAnsi="Times New Roman" w:eastAsia="宋体" w:cs="Times New Roman"/>
          <w:color w:val="auto"/>
          <w:szCs w:val="21"/>
          <w:highlight w:val="none"/>
          <w:lang w:eastAsia="zh-CN"/>
        </w:rPr>
        <w:t>（北京时间）前提交响应文件。</w:t>
      </w:r>
    </w:p>
    <w:p w14:paraId="6FB253FE">
      <w:pPr>
        <w:pStyle w:val="3"/>
        <w:spacing w:before="120" w:after="120" w:line="360" w:lineRule="auto"/>
        <w:jc w:val="left"/>
        <w:rPr>
          <w:rFonts w:ascii="宋体" w:hAnsi="宋体" w:eastAsia="宋体"/>
          <w:color w:val="auto"/>
          <w:sz w:val="21"/>
          <w:szCs w:val="21"/>
          <w:highlight w:val="none"/>
        </w:rPr>
      </w:pPr>
      <w:bookmarkStart w:id="25" w:name="_Toc28359012"/>
      <w:bookmarkStart w:id="26" w:name="_Toc35393629"/>
      <w:bookmarkStart w:id="27" w:name="_Toc13928"/>
      <w:bookmarkStart w:id="28" w:name="_Toc46742447"/>
      <w:bookmarkStart w:id="29" w:name="_Toc28359089"/>
      <w:bookmarkStart w:id="30" w:name="_Toc35393798"/>
      <w:r>
        <w:rPr>
          <w:rFonts w:hint="eastAsia" w:ascii="宋体" w:hAnsi="宋体" w:eastAsia="宋体"/>
          <w:color w:val="auto"/>
          <w:sz w:val="21"/>
          <w:szCs w:val="21"/>
          <w:highlight w:val="none"/>
        </w:rPr>
        <w:t>一、项目基本情况</w:t>
      </w:r>
      <w:bookmarkEnd w:id="25"/>
      <w:bookmarkEnd w:id="26"/>
      <w:bookmarkEnd w:id="27"/>
      <w:bookmarkEnd w:id="28"/>
      <w:bookmarkEnd w:id="29"/>
      <w:bookmarkEnd w:id="30"/>
    </w:p>
    <w:p w14:paraId="452F2575">
      <w:pPr>
        <w:spacing w:line="360" w:lineRule="auto"/>
        <w:ind w:firstLine="420" w:firstLineChars="200"/>
        <w:rPr>
          <w:rFonts w:hint="eastAsia" w:ascii="宋体" w:hAnsi="宋体" w:eastAsia="宋体" w:cs="Times New Roman"/>
          <w:color w:val="auto"/>
          <w:sz w:val="21"/>
          <w:szCs w:val="21"/>
          <w:highlight w:val="none"/>
          <w:lang w:eastAsia="zh-CN"/>
        </w:rPr>
      </w:pPr>
      <w:r>
        <w:rPr>
          <w:rFonts w:hint="eastAsia" w:ascii="宋体" w:hAnsi="宋体"/>
          <w:color w:val="auto"/>
          <w:sz w:val="21"/>
          <w:szCs w:val="21"/>
          <w:highlight w:val="none"/>
        </w:rPr>
        <w:t>项目编号：SYZB-2026-0901</w:t>
      </w:r>
    </w:p>
    <w:p w14:paraId="44D651DC">
      <w:pPr>
        <w:spacing w:line="360" w:lineRule="auto"/>
        <w:ind w:firstLine="420" w:firstLineChars="200"/>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rPr>
        <w:t>项目名称：</w:t>
      </w:r>
      <w:r>
        <w:rPr>
          <w:rFonts w:hint="eastAsia" w:ascii="宋体" w:hAnsi="宋体"/>
          <w:color w:val="auto"/>
          <w:sz w:val="21"/>
          <w:szCs w:val="21"/>
          <w:highlight w:val="none"/>
          <w:lang w:eastAsia="zh-CN"/>
        </w:rPr>
        <w:t>云南省保山第一中学附属设施（连廊）建设项目（一期）</w:t>
      </w:r>
    </w:p>
    <w:p w14:paraId="79B661AA">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采购方式：竞争性磋商</w:t>
      </w:r>
    </w:p>
    <w:p w14:paraId="50DC237D">
      <w:pPr>
        <w:spacing w:line="360" w:lineRule="auto"/>
        <w:ind w:firstLine="420" w:firstLineChars="200"/>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预算金额（元）：</w:t>
      </w:r>
      <w:r>
        <w:rPr>
          <w:rFonts w:hint="eastAsia" w:ascii="宋体" w:hAnsi="宋体"/>
          <w:color w:val="auto"/>
          <w:sz w:val="21"/>
          <w:szCs w:val="21"/>
          <w:highlight w:val="none"/>
          <w:lang w:val="en-US" w:eastAsia="zh-CN"/>
        </w:rPr>
        <w:t>3464100.00</w:t>
      </w:r>
    </w:p>
    <w:p w14:paraId="1F140AAD">
      <w:pPr>
        <w:spacing w:line="360" w:lineRule="auto"/>
        <w:ind w:firstLine="420" w:firstLineChars="200"/>
        <w:rPr>
          <w:rFonts w:hint="default" w:ascii="宋体" w:hAnsi="宋体" w:eastAsia="宋体"/>
          <w:color w:val="auto"/>
          <w:sz w:val="21"/>
          <w:szCs w:val="21"/>
          <w:highlight w:val="yellow"/>
          <w:lang w:val="en-US" w:eastAsia="zh-CN"/>
        </w:rPr>
      </w:pPr>
      <w:r>
        <w:rPr>
          <w:rFonts w:hint="eastAsia" w:ascii="宋体" w:hAnsi="宋体"/>
          <w:color w:val="auto"/>
          <w:sz w:val="21"/>
          <w:szCs w:val="21"/>
          <w:highlight w:val="none"/>
        </w:rPr>
        <w:t>最高限价（元）：</w:t>
      </w:r>
      <w:r>
        <w:rPr>
          <w:rFonts w:hint="eastAsia" w:ascii="宋体" w:hAnsi="宋体"/>
          <w:color w:val="auto"/>
          <w:sz w:val="21"/>
          <w:szCs w:val="21"/>
          <w:highlight w:val="none"/>
          <w:lang w:val="en-US" w:eastAsia="zh-CN"/>
        </w:rPr>
        <w:t>3431660.34</w:t>
      </w:r>
    </w:p>
    <w:p w14:paraId="643C3E09">
      <w:pPr>
        <w:spacing w:line="360" w:lineRule="auto"/>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rPr>
        <w:t>采购需求：</w:t>
      </w:r>
      <w:bookmarkStart w:id="31" w:name="OLE_LINK25"/>
      <w:r>
        <w:rPr>
          <w:rFonts w:hint="eastAsia" w:ascii="宋体" w:hAnsi="宋体"/>
          <w:color w:val="auto"/>
          <w:sz w:val="21"/>
          <w:szCs w:val="21"/>
          <w:highlight w:val="none"/>
          <w:lang w:eastAsia="zh-CN"/>
        </w:rPr>
        <w:t>简要规格描述：新建 2 座连廊 ，总长度 65.9 米 ，总面积 257.01平方米；购置并安装电梯 1 部。</w:t>
      </w:r>
    </w:p>
    <w:p w14:paraId="5149DAEF">
      <w:pPr>
        <w:spacing w:line="360" w:lineRule="auto"/>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（1）新建 1#连廊：连接教学楼（ 思齐院）三楼至图书馆三楼，钢框架结构，长度 33.4 米，宽度 3.9 米，高度 6 米，面积 130.26 平方米，主要用于师生从教学楼到图书馆查阅资料、借阅书籍的便捷通行，避免上下楼及户外绕行。</w:t>
      </w:r>
    </w:p>
    <w:p w14:paraId="32F79AEA">
      <w:pPr>
        <w:spacing w:line="360" w:lineRule="auto"/>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（2）新建 2#连廊：连接教学楼（见贤院）三楼至报告厅二楼，钢框架结构，长度 32.5 米，宽度 3.9 米，高度 6 米，面积 126.75 平方米，主要服务于师生参加报告厅各类会议、讲座、文艺活动等，实现教学区域与活动区域的无缝衔接。</w:t>
      </w:r>
    </w:p>
    <w:p w14:paraId="73BB3D22">
      <w:pPr>
        <w:spacing w:line="360" w:lineRule="auto"/>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（3）电梯安装：在办公楼（润泽楼）安装电梯 1 部，采用乘客电梯，额定载重量 1000kg，适配办公楼楼层高度，主要功能为解决办公楼内教职工垂直通行不便的问题，尤其方便老年教职工、携带文件资料及办公用品的教职工上下楼，提升办公便捷性；同时可兼顾残疾教职工、来访人员的通行需求，落实校园无障碍建设要求，完善办公楼服务功能，提升校园整体服务水平。</w:t>
      </w:r>
    </w:p>
    <w:p w14:paraId="180F1C06">
      <w:pPr>
        <w:spacing w:line="360" w:lineRule="auto"/>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lang w:eastAsia="zh-CN"/>
        </w:rPr>
        <w:t>）连廊建设包含主体结构施工、屋面工程、墙面装修、地面铺装、栏杆安装、照明系统、消防系统、防雷系统及配套附属设施等全部工程内容；电梯安装包含电梯设备采购、安装调试、基坑处理、机房配套、安全检测等全部工程内容，确保连廊及电梯使用安全、美观、实用，与校园整体建筑风格保持一致。</w:t>
      </w:r>
    </w:p>
    <w:p w14:paraId="5EBFBEA8">
      <w:pPr>
        <w:spacing w:line="360" w:lineRule="auto"/>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（5）</w:t>
      </w:r>
      <w:r>
        <w:rPr>
          <w:rFonts w:hint="eastAsia" w:ascii="宋体" w:hAnsi="宋体"/>
          <w:color w:val="auto"/>
          <w:sz w:val="21"/>
          <w:szCs w:val="21"/>
          <w:highlight w:val="none"/>
          <w:lang w:eastAsia="zh-CN"/>
        </w:rPr>
        <w:t xml:space="preserve">具体内容详见工程量清单。 </w:t>
      </w:r>
    </w:p>
    <w:p w14:paraId="48972544">
      <w:pPr>
        <w:spacing w:line="360" w:lineRule="auto"/>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（6）工程地点：云南省保山第一中学，采购人指定地点。</w:t>
      </w:r>
    </w:p>
    <w:p w14:paraId="0FEAFBE8">
      <w:pPr>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sz w:val="21"/>
          <w:szCs w:val="21"/>
          <w:highlight w:val="none"/>
        </w:rPr>
        <w:t>合同履行期限：</w:t>
      </w:r>
      <w:r>
        <w:rPr>
          <w:rFonts w:hint="eastAsia" w:ascii="宋体" w:hAnsi="宋体"/>
          <w:color w:val="auto"/>
          <w:sz w:val="21"/>
          <w:szCs w:val="21"/>
          <w:highlight w:val="none"/>
          <w:u w:val="none"/>
          <w:lang w:eastAsia="zh-CN"/>
        </w:rPr>
        <w:t>计划工期120个日历天，具体开工时间以采购人实际下达的通知为准</w:t>
      </w:r>
      <w:r>
        <w:rPr>
          <w:rFonts w:hint="eastAsia" w:ascii="宋体" w:hAnsi="宋体"/>
          <w:color w:val="auto"/>
          <w:sz w:val="21"/>
          <w:szCs w:val="21"/>
          <w:highlight w:val="none"/>
        </w:rPr>
        <w:t>。</w:t>
      </w:r>
    </w:p>
    <w:p w14:paraId="6B0FA566">
      <w:pPr>
        <w:spacing w:line="360" w:lineRule="auto"/>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本项目（否）接受联合体</w:t>
      </w:r>
      <w:r>
        <w:rPr>
          <w:rFonts w:hint="eastAsia" w:ascii="宋体" w:hAnsi="宋体"/>
          <w:color w:val="auto"/>
          <w:sz w:val="21"/>
          <w:szCs w:val="21"/>
          <w:highlight w:val="none"/>
          <w:lang w:val="en-US" w:eastAsia="zh-CN"/>
        </w:rPr>
        <w:t>磋商</w:t>
      </w:r>
      <w:r>
        <w:rPr>
          <w:rFonts w:hint="eastAsia" w:ascii="宋体" w:hAnsi="宋体"/>
          <w:color w:val="auto"/>
          <w:sz w:val="21"/>
          <w:szCs w:val="21"/>
          <w:highlight w:val="none"/>
        </w:rPr>
        <w:t>。</w:t>
      </w:r>
    </w:p>
    <w:bookmarkEnd w:id="31"/>
    <w:p w14:paraId="69885A8D">
      <w:pPr>
        <w:spacing w:line="360" w:lineRule="auto"/>
        <w:ind w:firstLine="420" w:firstLineChars="200"/>
        <w:rPr>
          <w:rFonts w:hint="eastAsia" w:ascii="宋体" w:hAnsi="宋体"/>
          <w:color w:val="auto"/>
          <w:sz w:val="21"/>
          <w:szCs w:val="21"/>
          <w:highlight w:val="none"/>
        </w:rPr>
      </w:pPr>
    </w:p>
    <w:p w14:paraId="3E9CC66C">
      <w:pPr>
        <w:pStyle w:val="3"/>
        <w:spacing w:before="120" w:after="120" w:line="360" w:lineRule="auto"/>
        <w:jc w:val="left"/>
        <w:rPr>
          <w:rFonts w:ascii="宋体" w:hAnsi="宋体" w:eastAsia="宋体"/>
          <w:color w:val="auto"/>
          <w:sz w:val="21"/>
          <w:szCs w:val="21"/>
          <w:highlight w:val="none"/>
        </w:rPr>
      </w:pPr>
      <w:bookmarkStart w:id="32" w:name="_Toc28359090"/>
      <w:bookmarkStart w:id="33" w:name="_Toc13794"/>
      <w:bookmarkStart w:id="34" w:name="_Toc28359013"/>
      <w:bookmarkStart w:id="35" w:name="_Toc46742448"/>
      <w:bookmarkStart w:id="36" w:name="_Toc35393630"/>
      <w:bookmarkStart w:id="37" w:name="_Toc35393799"/>
      <w:r>
        <w:rPr>
          <w:rFonts w:hint="eastAsia" w:ascii="宋体" w:hAnsi="宋体" w:eastAsia="宋体"/>
          <w:color w:val="auto"/>
          <w:sz w:val="21"/>
          <w:szCs w:val="21"/>
          <w:highlight w:val="none"/>
        </w:rPr>
        <w:t>二、申请人的资格要求</w:t>
      </w:r>
      <w:bookmarkEnd w:id="32"/>
      <w:bookmarkEnd w:id="33"/>
      <w:bookmarkEnd w:id="34"/>
      <w:bookmarkEnd w:id="35"/>
      <w:bookmarkEnd w:id="36"/>
      <w:bookmarkEnd w:id="37"/>
    </w:p>
    <w:p w14:paraId="7175551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1.满足《中华人民共和国政府采购法》第二十二条规定；符合《中华人民共和国政府采购法实施条例》第十八条规定；</w:t>
      </w:r>
    </w:p>
    <w:p w14:paraId="03EDE24E">
      <w:pPr>
        <w:spacing w:line="360" w:lineRule="auto"/>
        <w:ind w:firstLine="420" w:firstLineChars="200"/>
        <w:rPr>
          <w:b/>
          <w:bCs/>
          <w:color w:val="auto"/>
          <w:szCs w:val="21"/>
          <w:highlight w:val="none"/>
        </w:rPr>
      </w:pPr>
      <w:bookmarkStart w:id="38" w:name="_Toc28359014"/>
      <w:bookmarkStart w:id="39" w:name="_Toc28359091"/>
      <w:r>
        <w:rPr>
          <w:rFonts w:ascii="宋体" w:hAnsi="宋体"/>
          <w:color w:val="auto"/>
          <w:szCs w:val="21"/>
          <w:highlight w:val="none"/>
        </w:rPr>
        <w:t>2</w:t>
      </w:r>
      <w:r>
        <w:rPr>
          <w:rFonts w:hint="eastAsia" w:ascii="宋体" w:hAnsi="宋体"/>
          <w:color w:val="auto"/>
          <w:szCs w:val="21"/>
          <w:highlight w:val="none"/>
        </w:rPr>
        <w:t>.落实政府采购政策需满足的资格要求：</w:t>
      </w:r>
      <w:r>
        <w:rPr>
          <w:rFonts w:hint="eastAsia" w:ascii="宋体" w:hAnsi="宋体"/>
          <w:b/>
          <w:bCs/>
          <w:color w:val="auto"/>
          <w:szCs w:val="21"/>
          <w:highlight w:val="none"/>
        </w:rPr>
        <w:t>本项目</w:t>
      </w:r>
      <w:r>
        <w:rPr>
          <w:rFonts w:hint="eastAsia" w:ascii="宋体" w:hAnsi="宋体"/>
          <w:b/>
          <w:bCs/>
          <w:color w:val="auto"/>
          <w:szCs w:val="21"/>
          <w:highlight w:val="none"/>
          <w:lang w:val="en-US" w:eastAsia="zh-CN"/>
        </w:rPr>
        <w:t>专门</w:t>
      </w:r>
      <w:r>
        <w:rPr>
          <w:rFonts w:hint="eastAsia" w:ascii="宋体" w:hAnsi="宋体"/>
          <w:b/>
          <w:bCs/>
          <w:color w:val="auto"/>
          <w:szCs w:val="21"/>
          <w:highlight w:val="none"/>
        </w:rPr>
        <w:t>面向中小企业采购</w:t>
      </w:r>
      <w:r>
        <w:rPr>
          <w:rFonts w:hint="eastAsia" w:ascii="宋体" w:hAnsi="宋体" w:eastAsia="宋体" w:cs="Times New Roman"/>
          <w:color w:val="auto"/>
          <w:szCs w:val="21"/>
          <w:highlight w:val="none"/>
        </w:rPr>
        <w:t>；</w:t>
      </w:r>
    </w:p>
    <w:p w14:paraId="53C14221">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3.本项目的特定资格要求：</w:t>
      </w:r>
    </w:p>
    <w:p w14:paraId="70D4881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1</w:t>
      </w:r>
      <w:r>
        <w:rPr>
          <w:rFonts w:hint="eastAsia" w:ascii="宋体" w:hAnsi="宋体"/>
          <w:color w:val="auto"/>
          <w:szCs w:val="21"/>
          <w:highlight w:val="none"/>
        </w:rPr>
        <w:t>单位负责人为同一人或者存在直接控股、管理关系的不同</w:t>
      </w:r>
      <w:r>
        <w:rPr>
          <w:rFonts w:hint="eastAsia" w:ascii="宋体" w:hAnsi="宋体"/>
          <w:color w:val="auto"/>
          <w:szCs w:val="21"/>
          <w:highlight w:val="none"/>
          <w:lang w:val="en-US" w:eastAsia="zh-CN"/>
        </w:rPr>
        <w:t>供应商</w:t>
      </w:r>
      <w:r>
        <w:rPr>
          <w:rFonts w:hint="eastAsia" w:ascii="宋体" w:hAnsi="宋体"/>
          <w:color w:val="auto"/>
          <w:szCs w:val="21"/>
          <w:highlight w:val="none"/>
        </w:rPr>
        <w:t>，不得参加同一合同项下的政府采购活动</w:t>
      </w:r>
      <w:r>
        <w:rPr>
          <w:rFonts w:hint="eastAsia" w:ascii="宋体" w:hAnsi="宋体"/>
          <w:color w:val="auto"/>
          <w:szCs w:val="21"/>
          <w:highlight w:val="none"/>
          <w:lang w:eastAsia="zh-CN"/>
        </w:rPr>
        <w:t>，为本项目提供整体设计、规范编制或者项目管理、监理、检测等服务的</w:t>
      </w:r>
      <w:r>
        <w:rPr>
          <w:rFonts w:hint="eastAsia" w:ascii="宋体" w:hAnsi="宋体"/>
          <w:color w:val="auto"/>
          <w:szCs w:val="21"/>
          <w:highlight w:val="none"/>
          <w:lang w:val="en-US" w:eastAsia="zh-CN"/>
        </w:rPr>
        <w:t>供应商</w:t>
      </w:r>
      <w:r>
        <w:rPr>
          <w:rFonts w:hint="eastAsia" w:ascii="宋体" w:hAnsi="宋体"/>
          <w:color w:val="auto"/>
          <w:szCs w:val="21"/>
          <w:highlight w:val="none"/>
          <w:lang w:eastAsia="zh-CN"/>
        </w:rPr>
        <w:t>，不得再参加本次采购活动</w:t>
      </w:r>
      <w:r>
        <w:rPr>
          <w:rFonts w:hint="eastAsia" w:ascii="宋体" w:hAnsi="宋体"/>
          <w:color w:val="auto"/>
          <w:szCs w:val="21"/>
          <w:highlight w:val="none"/>
        </w:rPr>
        <w:t>；</w:t>
      </w:r>
    </w:p>
    <w:p w14:paraId="598A3455">
      <w:pPr>
        <w:spacing w:line="360" w:lineRule="auto"/>
        <w:ind w:firstLine="420" w:firstLineChars="200"/>
        <w:rPr>
          <w:rFonts w:ascii="宋体" w:hAnsi="宋体"/>
          <w:color w:val="auto"/>
          <w:highlight w:val="none"/>
        </w:rPr>
      </w:pPr>
      <w:bookmarkStart w:id="40" w:name="_Toc35393631"/>
      <w:bookmarkStart w:id="41" w:name="_Toc35393800"/>
      <w:bookmarkStart w:id="42" w:name="_Toc46742449"/>
      <w:r>
        <w:rPr>
          <w:rFonts w:hint="eastAsia" w:ascii="宋体" w:hAnsi="宋体"/>
          <w:color w:val="auto"/>
          <w:highlight w:val="none"/>
        </w:rPr>
        <w:t>3.</w:t>
      </w:r>
      <w:r>
        <w:rPr>
          <w:rFonts w:hint="eastAsia" w:ascii="宋体" w:hAnsi="宋体"/>
          <w:color w:val="auto"/>
          <w:highlight w:val="none"/>
          <w:lang w:val="en-US" w:eastAsia="zh-CN"/>
        </w:rPr>
        <w:t>2</w:t>
      </w:r>
      <w:r>
        <w:rPr>
          <w:rFonts w:hint="eastAsia" w:ascii="宋体" w:hAnsi="宋体"/>
          <w:color w:val="auto"/>
          <w:highlight w:val="none"/>
        </w:rPr>
        <w:t>供应商须具有建设行政主管部门颁发的有效的建筑工程施工总承包</w:t>
      </w:r>
      <w:r>
        <w:rPr>
          <w:rFonts w:hint="eastAsia" w:ascii="宋体" w:hAnsi="宋体"/>
          <w:color w:val="auto"/>
          <w:highlight w:val="none"/>
          <w:lang w:val="en-US" w:eastAsia="zh-CN"/>
        </w:rPr>
        <w:t>三</w:t>
      </w:r>
      <w:r>
        <w:rPr>
          <w:rFonts w:hint="eastAsia" w:ascii="宋体" w:hAnsi="宋体"/>
          <w:color w:val="auto"/>
          <w:highlight w:val="none"/>
        </w:rPr>
        <w:t>级（含</w:t>
      </w:r>
      <w:r>
        <w:rPr>
          <w:rFonts w:hint="eastAsia" w:ascii="宋体" w:hAnsi="宋体"/>
          <w:color w:val="auto"/>
          <w:highlight w:val="none"/>
          <w:lang w:val="en-US" w:eastAsia="zh-CN"/>
        </w:rPr>
        <w:t>三</w:t>
      </w:r>
      <w:r>
        <w:rPr>
          <w:rFonts w:hint="eastAsia" w:ascii="宋体" w:hAnsi="宋体"/>
          <w:color w:val="auto"/>
          <w:highlight w:val="none"/>
        </w:rPr>
        <w:t>级）及以上资质</w:t>
      </w:r>
      <w:r>
        <w:rPr>
          <w:rFonts w:hint="eastAsia" w:ascii="宋体" w:hAnsi="宋体"/>
          <w:color w:val="auto"/>
          <w:szCs w:val="21"/>
          <w:highlight w:val="none"/>
          <w:lang w:eastAsia="zh-CN"/>
        </w:rPr>
        <w:t>，</w:t>
      </w:r>
      <w:r>
        <w:rPr>
          <w:rFonts w:hint="eastAsia" w:ascii="宋体" w:hAnsi="宋体"/>
          <w:color w:val="auto"/>
          <w:highlight w:val="none"/>
        </w:rPr>
        <w:t>且具有有效期内的安全生产许可证。</w:t>
      </w:r>
    </w:p>
    <w:p w14:paraId="71A9544A">
      <w:pPr>
        <w:spacing w:line="360" w:lineRule="auto"/>
        <w:ind w:firstLine="420" w:firstLineChars="200"/>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3</w:t>
      </w:r>
      <w:r>
        <w:rPr>
          <w:rFonts w:hint="eastAsia" w:ascii="宋体" w:hAnsi="宋体"/>
          <w:color w:val="auto"/>
          <w:szCs w:val="21"/>
          <w:highlight w:val="none"/>
        </w:rPr>
        <w:t>供应商拟派项目经理须具备建筑工程专业二级及以上注册建造师执业资格，持有安全生产考核合格证书（B证），且必须为供应商本单位人员（</w:t>
      </w:r>
      <w:r>
        <w:rPr>
          <w:rFonts w:hint="eastAsia" w:ascii="宋体" w:hAnsi="宋体"/>
          <w:color w:val="auto"/>
          <w:szCs w:val="21"/>
          <w:highlight w:val="none"/>
          <w:lang w:val="en-US" w:eastAsia="zh-CN"/>
        </w:rPr>
        <w:t>提供</w:t>
      </w:r>
      <w:r>
        <w:rPr>
          <w:rFonts w:hint="eastAsia" w:ascii="宋体" w:hAnsi="宋体"/>
          <w:color w:val="auto"/>
          <w:szCs w:val="21"/>
          <w:highlight w:val="none"/>
        </w:rPr>
        <w:t>劳动合同及提交响应文件截止之日前</w:t>
      </w:r>
      <w:r>
        <w:rPr>
          <w:rFonts w:hint="eastAsia" w:ascii="宋体" w:hAnsi="宋体"/>
          <w:color w:val="auto"/>
          <w:szCs w:val="21"/>
          <w:highlight w:val="none"/>
          <w:lang w:val="en-US" w:eastAsia="zh-CN"/>
        </w:rPr>
        <w:t>3</w:t>
      </w:r>
      <w:r>
        <w:rPr>
          <w:rFonts w:hint="eastAsia" w:ascii="宋体" w:hAnsi="宋体"/>
          <w:color w:val="auto"/>
          <w:szCs w:val="21"/>
          <w:highlight w:val="none"/>
        </w:rPr>
        <w:t>个月内任意一个月的缴纳社会保险记录），且未担任其它在建工程项目的项目经理（提供无在建项目承诺书）（注：若项目经理有在建工程，但已做变更的，需提供全套项目经理变更相关证明材料扫描件；若项目经理在本项目成交人确定前已在其他项目中中标（成交）并担任项目经理,且</w:t>
      </w:r>
      <w:r>
        <w:rPr>
          <w:rFonts w:hint="eastAsia" w:ascii="宋体" w:hAnsi="宋体"/>
          <w:color w:val="auto"/>
          <w:szCs w:val="21"/>
          <w:highlight w:val="none"/>
          <w:lang w:val="en-US" w:eastAsia="zh-CN"/>
        </w:rPr>
        <w:t>磋商</w:t>
      </w:r>
      <w:r>
        <w:rPr>
          <w:rFonts w:hint="eastAsia" w:ascii="宋体" w:hAnsi="宋体"/>
          <w:color w:val="auto"/>
          <w:szCs w:val="21"/>
          <w:highlight w:val="none"/>
        </w:rPr>
        <w:t>时未提供项目经理变更材料的，视其为“担任其他在建设工程项目的项目经理”)。</w:t>
      </w:r>
    </w:p>
    <w:p w14:paraId="6D087E10">
      <w:pPr>
        <w:spacing w:line="360" w:lineRule="auto"/>
        <w:ind w:firstLine="420" w:firstLineChars="200"/>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4</w:t>
      </w:r>
      <w:r>
        <w:rPr>
          <w:rFonts w:hint="eastAsia" w:ascii="宋体" w:hAnsi="宋体"/>
          <w:color w:val="auto"/>
          <w:highlight w:val="none"/>
        </w:rPr>
        <w:t>供应商未被列入“信用中国”网站（www.creditchina.gov.cn）失信被执行人、重大税收违法失信主体及中国政府采购网（www.ccgp.gov.cn）“政府采购严重违法失信行为信息记录”</w:t>
      </w:r>
      <w:r>
        <w:rPr>
          <w:rFonts w:hint="eastAsia"/>
          <w:color w:val="auto"/>
          <w:szCs w:val="21"/>
          <w:highlight w:val="none"/>
        </w:rPr>
        <w:t>（处罚期限尚未届满的）</w:t>
      </w:r>
      <w:r>
        <w:rPr>
          <w:rFonts w:hint="eastAsia" w:ascii="宋体" w:hAnsi="宋体"/>
          <w:color w:val="auto"/>
          <w:highlight w:val="none"/>
        </w:rPr>
        <w:t>。（以</w:t>
      </w:r>
      <w:r>
        <w:rPr>
          <w:rFonts w:hint="eastAsia" w:ascii="宋体" w:hAnsi="宋体" w:eastAsia="宋体"/>
          <w:color w:val="auto"/>
          <w:sz w:val="21"/>
          <w:szCs w:val="21"/>
          <w:highlight w:val="none"/>
        </w:rPr>
        <w:t>响应文件提交</w:t>
      </w:r>
      <w:r>
        <w:rPr>
          <w:rFonts w:hint="eastAsia" w:ascii="宋体" w:hAnsi="宋体"/>
          <w:color w:val="auto"/>
          <w:highlight w:val="none"/>
        </w:rPr>
        <w:t>截止时间后磋商现场工作人员查询结果为准）。</w:t>
      </w:r>
    </w:p>
    <w:p w14:paraId="784686D4">
      <w:pPr>
        <w:spacing w:line="360" w:lineRule="auto"/>
        <w:ind w:firstLine="420" w:firstLineChars="200"/>
        <w:rPr>
          <w:rFonts w:hint="eastAsia" w:ascii="宋体" w:hAnsi="宋体" w:eastAsia="宋体" w:cs="Times New Roman"/>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5</w:t>
      </w:r>
      <w:r>
        <w:rPr>
          <w:rFonts w:hint="eastAsia" w:ascii="宋体" w:hAnsi="宋体"/>
          <w:color w:val="auto"/>
          <w:highlight w:val="none"/>
        </w:rPr>
        <w:t>本次磋商不接受联合体。</w:t>
      </w:r>
    </w:p>
    <w:p w14:paraId="5AB22CB8">
      <w:pPr>
        <w:spacing w:line="360" w:lineRule="auto"/>
        <w:ind w:firstLine="420" w:firstLineChars="200"/>
        <w:rPr>
          <w:rFonts w:hint="eastAsia" w:ascii="宋体" w:hAnsi="宋体" w:eastAsia="宋体" w:cs="Times New Roman"/>
          <w:color w:val="auto"/>
          <w:highlight w:val="none"/>
        </w:rPr>
      </w:pPr>
      <w:r>
        <w:rPr>
          <w:rFonts w:hint="eastAsia" w:ascii="宋体" w:hAnsi="宋体"/>
          <w:color w:val="auto"/>
          <w:highlight w:val="none"/>
        </w:rPr>
        <w:t>3.6 本项目电梯安装工程须由具备相应特种设备安装许可资质的单位实施。成交供应商可依法将电梯安装工程专业分包给具备相应资质的单位，分包单位须具备市场监督管理部门颁发的有效的《中华人民共和国特种设备生产许可证》（许可项目含电梯安装（含修理）），分包单位及资质须在响应文件中载明，分包单位不得再次分包。除电梯安装专业工程外，本项目其他工程不得分包。</w:t>
      </w:r>
    </w:p>
    <w:p w14:paraId="6CC3084C">
      <w:pPr>
        <w:pStyle w:val="3"/>
        <w:spacing w:before="120" w:after="120" w:line="360" w:lineRule="auto"/>
        <w:jc w:val="left"/>
        <w:rPr>
          <w:rFonts w:ascii="宋体" w:hAnsi="宋体" w:eastAsia="宋体"/>
          <w:color w:val="auto"/>
          <w:sz w:val="21"/>
          <w:szCs w:val="21"/>
          <w:highlight w:val="none"/>
        </w:rPr>
      </w:pPr>
      <w:bookmarkStart w:id="43" w:name="_Toc20989"/>
      <w:r>
        <w:rPr>
          <w:rFonts w:hint="eastAsia" w:ascii="宋体" w:hAnsi="宋体" w:eastAsia="宋体"/>
          <w:color w:val="auto"/>
          <w:sz w:val="21"/>
          <w:szCs w:val="21"/>
          <w:highlight w:val="none"/>
        </w:rPr>
        <w:t>三、获取采购文件</w:t>
      </w:r>
      <w:bookmarkEnd w:id="38"/>
      <w:bookmarkEnd w:id="39"/>
      <w:bookmarkEnd w:id="40"/>
      <w:bookmarkEnd w:id="41"/>
      <w:bookmarkEnd w:id="42"/>
      <w:bookmarkEnd w:id="43"/>
    </w:p>
    <w:p w14:paraId="1A4419C2">
      <w:pPr>
        <w:spacing w:line="360" w:lineRule="auto"/>
        <w:ind w:firstLine="420" w:firstLineChars="200"/>
        <w:rPr>
          <w:rFonts w:hint="eastAsia" w:ascii="宋体" w:hAnsi="宋体" w:eastAsia="宋体" w:cs="Times New Roman"/>
          <w:color w:val="auto"/>
          <w:highlight w:val="none"/>
        </w:rPr>
      </w:pPr>
      <w:bookmarkStart w:id="44" w:name="_Toc28359092"/>
      <w:bookmarkStart w:id="45" w:name="_Toc35393801"/>
      <w:bookmarkStart w:id="46" w:name="_Toc35393632"/>
      <w:bookmarkStart w:id="47" w:name="_Toc46742450"/>
      <w:bookmarkStart w:id="48" w:name="_Toc28359015"/>
      <w:r>
        <w:rPr>
          <w:rFonts w:hint="eastAsia" w:ascii="宋体" w:hAnsi="宋体" w:eastAsia="宋体" w:cs="Times New Roman"/>
          <w:color w:val="auto"/>
          <w:highlight w:val="none"/>
          <w:lang w:val="en-US" w:eastAsia="zh-CN"/>
        </w:rPr>
        <w:t>1.</w:t>
      </w:r>
      <w:r>
        <w:rPr>
          <w:rFonts w:hint="eastAsia" w:ascii="宋体" w:hAnsi="宋体" w:eastAsia="宋体" w:cs="Times New Roman"/>
          <w:color w:val="auto"/>
          <w:highlight w:val="none"/>
        </w:rPr>
        <w:t>时间：</w:t>
      </w:r>
      <w:r>
        <w:rPr>
          <w:rFonts w:hint="eastAsia" w:ascii="宋体" w:hAnsi="宋体" w:eastAsia="宋体" w:cs="宋体"/>
          <w:b/>
          <w:bCs/>
          <w:color w:val="auto"/>
          <w:szCs w:val="21"/>
          <w:highlight w:val="none"/>
          <w:lang w:eastAsia="zh-CN"/>
        </w:rPr>
        <w:t>2026年</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eastAsia="zh-CN"/>
        </w:rPr>
        <w:t>月</w:t>
      </w: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lang w:eastAsia="zh-CN"/>
        </w:rPr>
        <w:t>日至2026年</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eastAsia="zh-CN"/>
        </w:rPr>
        <w:t>月</w:t>
      </w:r>
      <w:r>
        <w:rPr>
          <w:rFonts w:hint="eastAsia" w:ascii="宋体" w:hAnsi="宋体" w:eastAsia="宋体" w:cs="宋体"/>
          <w:b/>
          <w:bCs/>
          <w:color w:val="auto"/>
          <w:szCs w:val="21"/>
          <w:highlight w:val="none"/>
          <w:lang w:val="en-US" w:eastAsia="zh-CN"/>
        </w:rPr>
        <w:t xml:space="preserve"> </w:t>
      </w:r>
      <w:r>
        <w:rPr>
          <w:rFonts w:hint="eastAsia" w:ascii="宋体" w:hAnsi="宋体" w:cs="宋体"/>
          <w:b/>
          <w:bCs/>
          <w:color w:val="auto"/>
          <w:szCs w:val="21"/>
          <w:highlight w:val="none"/>
          <w:lang w:val="en-US" w:eastAsia="zh-CN"/>
        </w:rPr>
        <w:t>15</w:t>
      </w:r>
      <w:r>
        <w:rPr>
          <w:rFonts w:hint="eastAsia" w:ascii="宋体" w:hAnsi="宋体" w:eastAsia="宋体" w:cs="宋体"/>
          <w:b/>
          <w:bCs/>
          <w:color w:val="auto"/>
          <w:szCs w:val="21"/>
          <w:highlight w:val="none"/>
          <w:lang w:eastAsia="zh-CN"/>
        </w:rPr>
        <w:t>日</w:t>
      </w:r>
      <w:r>
        <w:rPr>
          <w:rFonts w:hint="eastAsia" w:ascii="宋体" w:hAnsi="宋体" w:eastAsia="宋体" w:cs="Times New Roman"/>
          <w:color w:val="auto"/>
          <w:highlight w:val="none"/>
        </w:rPr>
        <w:t>，</w:t>
      </w:r>
      <w:r>
        <w:rPr>
          <w:rFonts w:hint="eastAsia" w:ascii="宋体" w:hAnsi="宋体" w:cs="宋体"/>
          <w:color w:val="auto"/>
          <w:szCs w:val="21"/>
          <w:highlight w:val="none"/>
        </w:rPr>
        <w:t>每日</w:t>
      </w:r>
      <w:r>
        <w:rPr>
          <w:rFonts w:hint="eastAsia" w:ascii="宋体" w:hAnsi="宋体" w:cs="宋体"/>
          <w:color w:val="auto"/>
          <w:szCs w:val="21"/>
          <w:highlight w:val="none"/>
          <w:lang w:val="en-US" w:eastAsia="zh-CN"/>
        </w:rPr>
        <w:t>0:00时</w:t>
      </w:r>
      <w:r>
        <w:rPr>
          <w:rFonts w:hint="eastAsia" w:ascii="宋体" w:hAnsi="宋体" w:cs="宋体"/>
          <w:color w:val="auto"/>
          <w:szCs w:val="21"/>
          <w:highlight w:val="none"/>
        </w:rPr>
        <w:t>至</w:t>
      </w:r>
      <w:r>
        <w:rPr>
          <w:rFonts w:hint="eastAsia" w:ascii="宋体" w:hAnsi="宋体" w:cs="宋体"/>
          <w:color w:val="auto"/>
          <w:szCs w:val="21"/>
          <w:highlight w:val="none"/>
          <w:lang w:val="en-US" w:eastAsia="zh-CN"/>
        </w:rPr>
        <w:t>23:59时</w:t>
      </w:r>
      <w:r>
        <w:rPr>
          <w:rFonts w:hint="eastAsia" w:ascii="宋体" w:hAnsi="宋体" w:eastAsia="宋体" w:cs="Times New Roman"/>
          <w:color w:val="auto"/>
          <w:highlight w:val="none"/>
        </w:rPr>
        <w:t xml:space="preserve">（北京时间，法定节假日除外） </w:t>
      </w:r>
    </w:p>
    <w:p w14:paraId="5120D85D">
      <w:pPr>
        <w:widowControl/>
        <w:spacing w:line="460" w:lineRule="exact"/>
        <w:ind w:firstLine="424" w:firstLineChars="202"/>
        <w:rPr>
          <w:rFonts w:hint="eastAsia" w:ascii="宋体" w:hAnsi="宋体" w:eastAsia="宋体" w:cs="宋体"/>
          <w:color w:val="auto"/>
          <w:sz w:val="21"/>
          <w:szCs w:val="21"/>
          <w:highlight w:val="none"/>
        </w:rPr>
      </w:pPr>
      <w:bookmarkStart w:id="49" w:name="_Toc22663"/>
      <w:r>
        <w:rPr>
          <w:rFonts w:hint="eastAsia" w:ascii="宋体" w:hAnsi="宋体" w:eastAsia="宋体" w:cs="宋体"/>
          <w:color w:val="auto"/>
          <w:sz w:val="21"/>
          <w:szCs w:val="21"/>
          <w:highlight w:val="none"/>
        </w:rPr>
        <w:t>2.地点：</w:t>
      </w:r>
      <w:r>
        <w:rPr>
          <w:rFonts w:hint="eastAsia" w:ascii="宋体" w:hAnsi="宋体" w:eastAsia="宋体" w:cs="宋体"/>
          <w:color w:val="auto"/>
          <w:sz w:val="21"/>
          <w:szCs w:val="21"/>
          <w:highlight w:val="none"/>
          <w:lang w:eastAsia="zh-CN"/>
        </w:rPr>
        <w:t>云南省政府采购电子交易平台</w:t>
      </w:r>
      <w:r>
        <w:rPr>
          <w:rFonts w:hint="eastAsia" w:ascii="宋体" w:hAnsi="宋体" w:eastAsia="宋体" w:cs="宋体"/>
          <w:color w:val="auto"/>
          <w:sz w:val="21"/>
          <w:szCs w:val="21"/>
          <w:highlight w:val="none"/>
        </w:rPr>
        <w:t>（www.zcygov.cn）。</w:t>
      </w:r>
    </w:p>
    <w:p w14:paraId="3F3F8223">
      <w:pPr>
        <w:widowControl/>
        <w:spacing w:line="44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3.方式：请</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于本公告规</w:t>
      </w:r>
      <w:r>
        <w:rPr>
          <w:rFonts w:hint="eastAsia" w:ascii="宋体" w:hAnsi="宋体" w:eastAsia="宋体" w:cs="宋体"/>
          <w:color w:val="auto"/>
          <w:sz w:val="21"/>
          <w:szCs w:val="21"/>
          <w:highlight w:val="none"/>
          <w:lang w:eastAsia="zh-CN"/>
        </w:rPr>
        <w:t>定的</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文件获取时间内登录</w:t>
      </w:r>
      <w:r>
        <w:rPr>
          <w:rFonts w:hint="eastAsia" w:ascii="宋体" w:hAnsi="宋体" w:eastAsia="宋体" w:cs="宋体"/>
          <w:color w:val="auto"/>
          <w:sz w:val="21"/>
          <w:szCs w:val="21"/>
          <w:highlight w:val="none"/>
          <w:lang w:eastAsia="zh-CN"/>
        </w:rPr>
        <w:t>云南省政府采购电子交易平台</w:t>
      </w:r>
      <w:r>
        <w:rPr>
          <w:rFonts w:hint="eastAsia" w:ascii="宋体" w:hAnsi="宋体" w:eastAsia="宋体" w:cs="宋体"/>
          <w:color w:val="auto"/>
          <w:sz w:val="21"/>
          <w:szCs w:val="21"/>
          <w:highlight w:val="none"/>
        </w:rPr>
        <w:t>，采用单位数字证书（CA）登录</w:t>
      </w:r>
      <w:r>
        <w:rPr>
          <w:rFonts w:hint="eastAsia" w:ascii="宋体" w:hAnsi="宋体" w:eastAsia="宋体" w:cs="宋体"/>
          <w:color w:val="auto"/>
          <w:sz w:val="21"/>
          <w:szCs w:val="21"/>
          <w:highlight w:val="none"/>
          <w:lang w:eastAsia="zh-CN"/>
        </w:rPr>
        <w:t>云南省政府采购电子交易平台</w:t>
      </w:r>
      <w:r>
        <w:rPr>
          <w:rFonts w:hint="eastAsia" w:ascii="宋体" w:hAnsi="宋体" w:eastAsia="宋体" w:cs="宋体"/>
          <w:color w:val="auto"/>
          <w:sz w:val="21"/>
          <w:szCs w:val="21"/>
          <w:highlight w:val="none"/>
        </w:rPr>
        <w:t>并进行账号与数字证书（CA）绑定后，凭数字证书（CA）进行确认参与本项目并免费获取采购文件及其他相关资料（如有）。</w:t>
      </w:r>
    </w:p>
    <w:p w14:paraId="086314A3">
      <w:pPr>
        <w:widowControl/>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注：本次采购采用在</w:t>
      </w:r>
      <w:r>
        <w:rPr>
          <w:rFonts w:hint="eastAsia" w:ascii="宋体" w:hAnsi="宋体" w:eastAsia="宋体" w:cs="宋体"/>
          <w:color w:val="auto"/>
          <w:sz w:val="21"/>
          <w:szCs w:val="21"/>
          <w:highlight w:val="none"/>
          <w:lang w:eastAsia="zh-CN"/>
        </w:rPr>
        <w:t>云南省政府采购电子交易平台</w:t>
      </w:r>
      <w:r>
        <w:rPr>
          <w:rFonts w:hint="eastAsia" w:ascii="宋体" w:hAnsi="宋体" w:eastAsia="宋体" w:cs="宋体"/>
          <w:color w:val="auto"/>
          <w:sz w:val="21"/>
          <w:szCs w:val="21"/>
          <w:highlight w:val="none"/>
        </w:rPr>
        <w:t>开展电子化政府采购活动，</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参与本项目需要使用CA（数字证书），云南支持云南壹证通CA、云南CA等，申请相关说明如下：</w:t>
      </w:r>
    </w:p>
    <w:p w14:paraId="66BCED14">
      <w:pPr>
        <w:widowControl/>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（1）云南壹证通CA申领链接：http://yzt.ynsmartcert.cn/cms/yztyzt0011.html，紧急CA办理电话：19987563037。</w:t>
      </w:r>
    </w:p>
    <w:p w14:paraId="053D64B0">
      <w:pPr>
        <w:widowControl/>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（2）云南CA申领链接：https://cap.yunnanca.net/login，请</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 xml:space="preserve">自行注册办理，云南CA客服热线400-6727-666。 </w:t>
      </w:r>
    </w:p>
    <w:p w14:paraId="52F2B986">
      <w:pPr>
        <w:widowControl/>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（3）如果</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已办理以上任一CA机构的数字证书（CA）且证书处于有效期内，均可直接在</w:t>
      </w:r>
      <w:r>
        <w:rPr>
          <w:rFonts w:hint="eastAsia" w:ascii="宋体" w:hAnsi="宋体" w:eastAsia="宋体" w:cs="宋体"/>
          <w:color w:val="auto"/>
          <w:sz w:val="21"/>
          <w:szCs w:val="21"/>
          <w:highlight w:val="none"/>
          <w:lang w:eastAsia="zh-CN"/>
        </w:rPr>
        <w:t>云南省政府采购电子交易平台</w:t>
      </w:r>
      <w:r>
        <w:rPr>
          <w:rFonts w:hint="eastAsia" w:ascii="宋体" w:hAnsi="宋体" w:eastAsia="宋体" w:cs="宋体"/>
          <w:color w:val="auto"/>
          <w:sz w:val="21"/>
          <w:szCs w:val="21"/>
          <w:highlight w:val="none"/>
        </w:rPr>
        <w:t>绑定即可，无需重复办理。云南省外供应商在</w:t>
      </w:r>
      <w:r>
        <w:rPr>
          <w:rFonts w:hint="eastAsia" w:ascii="宋体" w:hAnsi="宋体" w:eastAsia="宋体" w:cs="宋体"/>
          <w:color w:val="auto"/>
          <w:sz w:val="21"/>
          <w:szCs w:val="21"/>
          <w:highlight w:val="none"/>
          <w:lang w:eastAsia="zh-CN"/>
        </w:rPr>
        <w:t>云南省政府采购电子交易平台</w:t>
      </w:r>
      <w:r>
        <w:rPr>
          <w:rFonts w:hint="eastAsia" w:ascii="宋体" w:hAnsi="宋体" w:eastAsia="宋体" w:cs="宋体"/>
          <w:color w:val="auto"/>
          <w:sz w:val="21"/>
          <w:szCs w:val="21"/>
          <w:highlight w:val="none"/>
        </w:rPr>
        <w:t>办理的其他CA（汇信CA、福建CA</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）可直接使用，无需重复办理。</w:t>
      </w:r>
    </w:p>
    <w:p w14:paraId="7DDB21D0">
      <w:pPr>
        <w:pStyle w:val="3"/>
        <w:spacing w:before="120" w:after="120"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四、响应文件提交</w:t>
      </w:r>
      <w:bookmarkEnd w:id="44"/>
      <w:bookmarkEnd w:id="45"/>
      <w:bookmarkEnd w:id="46"/>
      <w:bookmarkEnd w:id="47"/>
      <w:bookmarkEnd w:id="48"/>
      <w:bookmarkEnd w:id="49"/>
    </w:p>
    <w:p w14:paraId="0EA4C466">
      <w:pPr>
        <w:snapToGrid w:val="0"/>
        <w:spacing w:line="360" w:lineRule="auto"/>
        <w:ind w:firstLine="420" w:firstLineChars="200"/>
        <w:rPr>
          <w:rFonts w:hint="eastAsia" w:ascii="宋体" w:hAnsi="宋体"/>
          <w:color w:val="auto"/>
          <w:szCs w:val="21"/>
          <w:highlight w:val="none"/>
        </w:rPr>
      </w:pPr>
      <w:bookmarkStart w:id="50" w:name="_Toc28359016"/>
      <w:bookmarkStart w:id="51" w:name="_Toc35393633"/>
      <w:bookmarkStart w:id="52" w:name="_Toc35393802"/>
      <w:bookmarkStart w:id="53" w:name="_Toc46742451"/>
      <w:bookmarkStart w:id="54" w:name="_Toc28359093"/>
      <w:r>
        <w:rPr>
          <w:rFonts w:hint="eastAsia" w:ascii="宋体" w:hAnsi="宋体"/>
          <w:color w:val="auto"/>
          <w:szCs w:val="21"/>
          <w:highlight w:val="none"/>
        </w:rPr>
        <w:t>截止时间：</w:t>
      </w:r>
      <w:bookmarkStart w:id="55" w:name="OLE_LINK7"/>
      <w:r>
        <w:rPr>
          <w:rFonts w:hint="eastAsia" w:ascii="宋体" w:hAnsi="宋体" w:eastAsia="宋体" w:cs="宋体"/>
          <w:b/>
          <w:bCs/>
          <w:color w:val="auto"/>
          <w:szCs w:val="21"/>
          <w:highlight w:val="none"/>
          <w:lang w:eastAsia="zh-CN"/>
        </w:rPr>
        <w:t>2026年</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eastAsia="zh-CN"/>
        </w:rPr>
        <w:t>月</w:t>
      </w:r>
      <w:r>
        <w:rPr>
          <w:rFonts w:hint="eastAsia" w:ascii="宋体" w:hAnsi="宋体" w:eastAsia="宋体" w:cs="宋体"/>
          <w:b/>
          <w:bCs/>
          <w:color w:val="auto"/>
          <w:szCs w:val="21"/>
          <w:highlight w:val="none"/>
          <w:lang w:val="en-US" w:eastAsia="zh-CN"/>
        </w:rPr>
        <w:t xml:space="preserve"> </w:t>
      </w:r>
      <w:r>
        <w:rPr>
          <w:rFonts w:hint="eastAsia" w:ascii="宋体" w:hAnsi="宋体" w:cs="宋体"/>
          <w:b/>
          <w:bCs/>
          <w:color w:val="auto"/>
          <w:szCs w:val="21"/>
          <w:highlight w:val="none"/>
          <w:lang w:val="en-US" w:eastAsia="zh-CN"/>
        </w:rPr>
        <w:t>20</w:t>
      </w:r>
      <w:r>
        <w:rPr>
          <w:rFonts w:hint="eastAsia" w:ascii="宋体" w:hAnsi="宋体" w:eastAsia="宋体" w:cs="宋体"/>
          <w:b/>
          <w:bCs/>
          <w:color w:val="auto"/>
          <w:szCs w:val="21"/>
          <w:highlight w:val="none"/>
          <w:lang w:eastAsia="zh-CN"/>
        </w:rPr>
        <w:t>日</w:t>
      </w:r>
      <w:r>
        <w:rPr>
          <w:rFonts w:hint="eastAsia" w:ascii="宋体" w:hAnsi="宋体" w:cs="宋体"/>
          <w:b/>
          <w:bCs/>
          <w:color w:val="auto"/>
          <w:szCs w:val="21"/>
          <w:highlight w:val="none"/>
          <w:lang w:val="en-US" w:eastAsia="zh-CN"/>
        </w:rPr>
        <w:t>14</w:t>
      </w:r>
      <w:r>
        <w:rPr>
          <w:rFonts w:hint="eastAsia" w:ascii="宋体" w:hAnsi="宋体" w:eastAsia="宋体" w:cs="宋体"/>
          <w:b/>
          <w:bCs/>
          <w:color w:val="auto"/>
          <w:szCs w:val="21"/>
          <w:highlight w:val="none"/>
          <w:lang w:val="en-US" w:eastAsia="zh-CN"/>
        </w:rPr>
        <w:t>：30</w:t>
      </w:r>
      <w:r>
        <w:rPr>
          <w:rFonts w:hint="eastAsia" w:ascii="宋体" w:hAnsi="宋体"/>
          <w:color w:val="auto"/>
          <w:szCs w:val="21"/>
          <w:highlight w:val="none"/>
        </w:rPr>
        <w:t>（北京时间）</w:t>
      </w:r>
      <w:bookmarkEnd w:id="55"/>
    </w:p>
    <w:p w14:paraId="0036BC38">
      <w:pPr>
        <w:snapToGrid w:val="0"/>
        <w:spacing w:line="360" w:lineRule="auto"/>
        <w:ind w:firstLine="420" w:firstLineChars="200"/>
        <w:rPr>
          <w:rFonts w:ascii="宋体" w:hAnsi="宋体"/>
          <w:bCs/>
          <w:color w:val="auto"/>
          <w:szCs w:val="21"/>
          <w:highlight w:val="none"/>
        </w:rPr>
      </w:pPr>
      <w:r>
        <w:rPr>
          <w:rFonts w:hint="eastAsia" w:ascii="宋体" w:hAnsi="宋体"/>
          <w:color w:val="auto"/>
          <w:szCs w:val="21"/>
          <w:highlight w:val="none"/>
        </w:rPr>
        <w:t>地点：请登录云南省政府采购电子交易平台（政采云）投标客户端投标。</w:t>
      </w:r>
    </w:p>
    <w:p w14:paraId="26AC947F">
      <w:pPr>
        <w:pStyle w:val="3"/>
        <w:spacing w:before="120" w:after="120" w:line="360" w:lineRule="auto"/>
        <w:jc w:val="left"/>
        <w:rPr>
          <w:rFonts w:hint="eastAsia" w:ascii="宋体" w:hAnsi="宋体" w:eastAsia="宋体"/>
          <w:color w:val="auto"/>
          <w:sz w:val="21"/>
          <w:szCs w:val="21"/>
          <w:highlight w:val="none"/>
          <w:lang w:val="en-US" w:eastAsia="zh-CN"/>
        </w:rPr>
      </w:pPr>
      <w:bookmarkStart w:id="56" w:name="_Toc29967"/>
      <w:r>
        <w:rPr>
          <w:rFonts w:hint="eastAsia" w:ascii="宋体" w:hAnsi="宋体" w:eastAsia="宋体"/>
          <w:color w:val="auto"/>
          <w:sz w:val="21"/>
          <w:szCs w:val="21"/>
          <w:highlight w:val="none"/>
        </w:rPr>
        <w:t>五、</w:t>
      </w:r>
      <w:bookmarkEnd w:id="50"/>
      <w:bookmarkEnd w:id="51"/>
      <w:bookmarkEnd w:id="52"/>
      <w:bookmarkEnd w:id="53"/>
      <w:bookmarkEnd w:id="54"/>
      <w:r>
        <w:rPr>
          <w:rFonts w:hint="eastAsia" w:ascii="宋体" w:hAnsi="宋体" w:eastAsia="宋体"/>
          <w:color w:val="auto"/>
          <w:sz w:val="21"/>
          <w:szCs w:val="21"/>
          <w:highlight w:val="none"/>
        </w:rPr>
        <w:t>响应文件</w:t>
      </w:r>
      <w:r>
        <w:rPr>
          <w:rFonts w:hint="eastAsia" w:ascii="宋体" w:hAnsi="宋体" w:eastAsia="宋体"/>
          <w:color w:val="auto"/>
          <w:sz w:val="21"/>
          <w:szCs w:val="21"/>
          <w:highlight w:val="none"/>
          <w:lang w:val="en-US" w:eastAsia="zh-CN"/>
        </w:rPr>
        <w:t>开启</w:t>
      </w:r>
      <w:bookmarkEnd w:id="56"/>
    </w:p>
    <w:p w14:paraId="76A665C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开启</w:t>
      </w:r>
      <w:r>
        <w:rPr>
          <w:rFonts w:hint="eastAsia" w:ascii="宋体" w:hAnsi="宋体"/>
          <w:color w:val="auto"/>
          <w:szCs w:val="21"/>
          <w:highlight w:val="none"/>
        </w:rPr>
        <w:t>时间：</w:t>
      </w:r>
      <w:r>
        <w:rPr>
          <w:rFonts w:hint="eastAsia" w:ascii="宋体" w:hAnsi="宋体" w:eastAsia="宋体" w:cs="宋体"/>
          <w:b/>
          <w:bCs/>
          <w:color w:val="auto"/>
          <w:szCs w:val="21"/>
          <w:highlight w:val="none"/>
          <w:lang w:eastAsia="zh-CN"/>
        </w:rPr>
        <w:t>2026年</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eastAsia="zh-CN"/>
        </w:rPr>
        <w:t>月</w:t>
      </w:r>
      <w:r>
        <w:rPr>
          <w:rFonts w:hint="eastAsia" w:ascii="宋体" w:hAnsi="宋体" w:cs="宋体"/>
          <w:b/>
          <w:bCs/>
          <w:color w:val="auto"/>
          <w:szCs w:val="21"/>
          <w:highlight w:val="none"/>
          <w:lang w:val="en-US" w:eastAsia="zh-CN"/>
        </w:rPr>
        <w:t>20</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lang w:eastAsia="zh-CN"/>
        </w:rPr>
        <w:t>日</w:t>
      </w:r>
      <w:r>
        <w:rPr>
          <w:rFonts w:hint="eastAsia" w:ascii="宋体" w:hAnsi="宋体" w:cs="宋体"/>
          <w:b/>
          <w:bCs/>
          <w:color w:val="auto"/>
          <w:szCs w:val="21"/>
          <w:highlight w:val="none"/>
          <w:lang w:val="en-US" w:eastAsia="zh-CN"/>
        </w:rPr>
        <w:t>14</w:t>
      </w:r>
      <w:r>
        <w:rPr>
          <w:rFonts w:hint="eastAsia" w:ascii="宋体" w:hAnsi="宋体" w:eastAsia="宋体" w:cs="宋体"/>
          <w:b/>
          <w:bCs/>
          <w:color w:val="auto"/>
          <w:szCs w:val="21"/>
          <w:highlight w:val="none"/>
          <w:lang w:val="en-US" w:eastAsia="zh-CN"/>
        </w:rPr>
        <w:t>：30</w:t>
      </w:r>
      <w:r>
        <w:rPr>
          <w:rFonts w:hint="eastAsia" w:ascii="宋体" w:hAnsi="宋体"/>
          <w:color w:val="auto"/>
          <w:szCs w:val="21"/>
          <w:highlight w:val="none"/>
        </w:rPr>
        <w:t>（北京时间）</w:t>
      </w:r>
    </w:p>
    <w:p w14:paraId="1AC3D874">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color w:val="auto"/>
          <w:szCs w:val="21"/>
          <w:highlight w:val="none"/>
        </w:rPr>
        <w:t>地点：</w:t>
      </w:r>
      <w:r>
        <w:rPr>
          <w:rFonts w:hint="eastAsia" w:ascii="宋体" w:hAnsi="宋体" w:eastAsia="宋体" w:cs="宋体"/>
          <w:color w:val="auto"/>
          <w:sz w:val="21"/>
          <w:szCs w:val="21"/>
          <w:highlight w:val="none"/>
          <w:lang w:val="en-US" w:eastAsia="zh-CN"/>
        </w:rPr>
        <w:t>保山市隆阳区兰城路（四季经典写字楼）15层1501室（保山顺意招标代理有限责任公司）</w:t>
      </w:r>
      <w:r>
        <w:rPr>
          <w:rFonts w:hint="eastAsia" w:ascii="宋体" w:hAnsi="宋体" w:eastAsia="宋体" w:cs="宋体"/>
          <w:color w:val="auto"/>
          <w:sz w:val="21"/>
          <w:szCs w:val="21"/>
          <w:highlight w:val="none"/>
          <w:lang w:eastAsia="zh-CN"/>
        </w:rPr>
        <w:t>，本项目采用云南省政府采购电子交易平台进行远程开标评标工作，</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无需到达开标现场，请各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登录政采云投标客户端参与采购活动并递交</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w:t>
      </w:r>
      <w:r>
        <w:rPr>
          <w:rFonts w:hint="eastAsia" w:ascii="宋体" w:hAnsi="宋体" w:eastAsia="宋体" w:cs="宋体"/>
          <w:color w:val="auto"/>
          <w:sz w:val="21"/>
          <w:szCs w:val="21"/>
          <w:highlight w:val="none"/>
        </w:rPr>
        <w:t>。</w:t>
      </w:r>
    </w:p>
    <w:p w14:paraId="759864D3">
      <w:pPr>
        <w:spacing w:line="360" w:lineRule="auto"/>
        <w:ind w:firstLine="420" w:firstLineChars="200"/>
        <w:rPr>
          <w:rFonts w:hint="default" w:ascii="宋体" w:hAnsi="宋体" w:eastAsia="宋体"/>
          <w:bCs/>
          <w:color w:val="auto"/>
          <w:szCs w:val="21"/>
          <w:highlight w:val="none"/>
          <w:lang w:val="en-US" w:eastAsia="zh-CN"/>
        </w:rPr>
      </w:pPr>
    </w:p>
    <w:p w14:paraId="357840CB">
      <w:pPr>
        <w:pStyle w:val="3"/>
        <w:spacing w:before="120" w:after="120" w:line="360" w:lineRule="auto"/>
        <w:jc w:val="left"/>
        <w:rPr>
          <w:rFonts w:hint="eastAsia" w:ascii="宋体" w:hAnsi="宋体" w:eastAsia="宋体" w:cs="Times New Roman"/>
          <w:b/>
          <w:color w:val="auto"/>
          <w:sz w:val="21"/>
          <w:szCs w:val="21"/>
          <w:highlight w:val="none"/>
        </w:rPr>
      </w:pPr>
      <w:bookmarkStart w:id="57" w:name="_Toc3313"/>
      <w:bookmarkStart w:id="58" w:name="_Toc28359017"/>
      <w:bookmarkStart w:id="59" w:name="_Toc35393803"/>
      <w:bookmarkStart w:id="60" w:name="_Toc35393634"/>
      <w:bookmarkStart w:id="61" w:name="_Toc46742452"/>
      <w:bookmarkStart w:id="62" w:name="_Toc28359094"/>
      <w:r>
        <w:rPr>
          <w:rFonts w:hint="eastAsia" w:ascii="宋体" w:hAnsi="宋体" w:eastAsia="宋体" w:cs="Times New Roman"/>
          <w:b/>
          <w:color w:val="auto"/>
          <w:sz w:val="21"/>
          <w:szCs w:val="21"/>
          <w:highlight w:val="none"/>
        </w:rPr>
        <w:t>六、</w:t>
      </w:r>
      <w:r>
        <w:rPr>
          <w:rFonts w:hint="eastAsia" w:ascii="宋体" w:hAnsi="宋体" w:eastAsia="宋体" w:cs="Times New Roman"/>
          <w:b/>
          <w:color w:val="auto"/>
          <w:sz w:val="21"/>
          <w:szCs w:val="21"/>
          <w:highlight w:val="none"/>
          <w:lang w:val="en-US" w:eastAsia="zh-CN"/>
        </w:rPr>
        <w:t>磋商</w:t>
      </w:r>
      <w:r>
        <w:rPr>
          <w:rFonts w:hint="eastAsia" w:ascii="宋体" w:hAnsi="宋体" w:eastAsia="宋体" w:cs="Times New Roman"/>
          <w:b/>
          <w:color w:val="auto"/>
          <w:sz w:val="21"/>
          <w:szCs w:val="21"/>
          <w:highlight w:val="none"/>
        </w:rPr>
        <w:t>保证金信息</w:t>
      </w:r>
      <w:bookmarkEnd w:id="57"/>
    </w:p>
    <w:p w14:paraId="07524680">
      <w:pPr>
        <w:spacing w:line="360" w:lineRule="auto"/>
        <w:ind w:firstLine="420" w:firstLineChars="200"/>
        <w:rPr>
          <w:rFonts w:hint="eastAsia" w:ascii="宋体" w:hAnsi="宋体" w:eastAsia="宋体" w:cs="Times New Roman"/>
          <w:color w:val="auto"/>
          <w:szCs w:val="21"/>
          <w:highlight w:val="none"/>
          <w:lang w:val="en-US" w:eastAsia="zh-CN"/>
        </w:rPr>
      </w:pPr>
      <w:bookmarkStart w:id="63" w:name="_Toc17160"/>
      <w:r>
        <w:rPr>
          <w:rFonts w:hint="eastAsia" w:ascii="宋体" w:hAnsi="宋体" w:eastAsia="宋体" w:cs="Times New Roman"/>
          <w:color w:val="auto"/>
          <w:szCs w:val="21"/>
          <w:highlight w:val="none"/>
          <w:lang w:val="en-US" w:eastAsia="zh-CN"/>
        </w:rPr>
        <w:t>是否需要缴纳磋商保证金：</w:t>
      </w:r>
      <w:r>
        <w:rPr>
          <w:rFonts w:hint="eastAsia" w:ascii="宋体" w:hAnsi="宋体" w:eastAsia="宋体" w:cs="Times New Roman"/>
          <w:b/>
          <w:bCs/>
          <w:color w:val="auto"/>
          <w:szCs w:val="21"/>
          <w:highlight w:val="none"/>
          <w:lang w:val="en-US" w:eastAsia="zh-CN"/>
        </w:rPr>
        <w:t>是</w:t>
      </w:r>
    </w:p>
    <w:p w14:paraId="305695AF">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缴纳形式：</w:t>
      </w:r>
    </w:p>
    <w:p w14:paraId="4FF3858E">
      <w:pPr>
        <w:spacing w:line="360" w:lineRule="auto"/>
        <w:ind w:firstLine="422"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b/>
          <w:bCs/>
          <w:color w:val="auto"/>
          <w:szCs w:val="21"/>
          <w:highlight w:val="none"/>
          <w:lang w:val="en-US" w:eastAsia="zh-CN"/>
        </w:rPr>
        <w:t>保函</w:t>
      </w:r>
      <w:r>
        <w:rPr>
          <w:rFonts w:hint="eastAsia" w:ascii="宋体" w:hAnsi="宋体" w:eastAsia="宋体" w:cs="Times New Roman"/>
          <w:color w:val="auto"/>
          <w:szCs w:val="21"/>
          <w:highlight w:val="none"/>
          <w:lang w:val="en-US" w:eastAsia="zh-CN"/>
        </w:rPr>
        <w:t>：供应商在云南省政府采购电子交易平台-金融支撑服务模块（https://jinrong.zcygov.cn/luban/finance/yunnan）申请电子保函的，平台自动提交和验真，具体办理流程详见：</w:t>
      </w:r>
      <w:r>
        <w:rPr>
          <w:rFonts w:hint="eastAsia" w:ascii="宋体" w:hAnsi="宋体" w:eastAsia="宋体" w:cs="Times New Roman"/>
          <w:color w:val="auto"/>
          <w:szCs w:val="21"/>
          <w:highlight w:val="none"/>
          <w:lang w:val="en-US" w:eastAsia="zh-CN"/>
        </w:rPr>
        <w:fldChar w:fldCharType="begin"/>
      </w:r>
      <w:r>
        <w:rPr>
          <w:rFonts w:hint="eastAsia" w:ascii="宋体" w:hAnsi="宋体" w:eastAsia="宋体" w:cs="Times New Roman"/>
          <w:color w:val="auto"/>
          <w:szCs w:val="21"/>
          <w:highlight w:val="none"/>
          <w:lang w:val="en-US" w:eastAsia="zh-CN"/>
        </w:rPr>
        <w:instrText xml:space="preserve"> HYPERLINK "https://jinrong.zcygov.cn/luban/anti-disease/detail/yn?id=1007531。" </w:instrText>
      </w:r>
      <w:r>
        <w:rPr>
          <w:rFonts w:hint="eastAsia" w:ascii="宋体" w:hAnsi="宋体" w:eastAsia="宋体" w:cs="Times New Roman"/>
          <w:color w:val="auto"/>
          <w:szCs w:val="21"/>
          <w:highlight w:val="none"/>
          <w:lang w:val="en-US" w:eastAsia="zh-CN"/>
        </w:rPr>
        <w:fldChar w:fldCharType="separate"/>
      </w:r>
      <w:r>
        <w:rPr>
          <w:rStyle w:val="48"/>
          <w:rFonts w:hint="eastAsia" w:ascii="宋体" w:hAnsi="宋体" w:eastAsia="宋体" w:cs="Times New Roman"/>
          <w:szCs w:val="21"/>
          <w:highlight w:val="none"/>
          <w:lang w:val="en-US" w:eastAsia="zh-CN"/>
        </w:rPr>
        <w:t>https://jinrong.zcygov.cn/luban/anti-disease/detail/yn?id=1007531。</w:t>
      </w:r>
      <w:r>
        <w:rPr>
          <w:rFonts w:hint="eastAsia" w:ascii="宋体" w:hAnsi="宋体" w:eastAsia="宋体" w:cs="Times New Roman"/>
          <w:color w:val="auto"/>
          <w:szCs w:val="21"/>
          <w:highlight w:val="none"/>
          <w:lang w:val="en-US" w:eastAsia="zh-CN"/>
        </w:rPr>
        <w:fldChar w:fldCharType="end"/>
      </w:r>
    </w:p>
    <w:p w14:paraId="65195828">
      <w:pPr>
        <w:spacing w:line="360" w:lineRule="auto"/>
        <w:ind w:firstLine="422"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b/>
          <w:bCs/>
          <w:color w:val="auto"/>
          <w:szCs w:val="21"/>
          <w:highlight w:val="none"/>
          <w:lang w:val="en-US" w:eastAsia="zh-CN"/>
        </w:rPr>
        <w:t>银行转账</w:t>
      </w:r>
      <w:r>
        <w:rPr>
          <w:rFonts w:hint="eastAsia" w:ascii="宋体" w:hAnsi="宋体" w:eastAsia="宋体" w:cs="Times New Roman"/>
          <w:color w:val="auto"/>
          <w:szCs w:val="21"/>
          <w:highlight w:val="none"/>
          <w:lang w:val="en-US" w:eastAsia="zh-CN"/>
        </w:rPr>
        <w:t>：</w:t>
      </w:r>
    </w:p>
    <w:p w14:paraId="15E34F87">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开户银行：</w:t>
      </w:r>
      <w:r>
        <w:rPr>
          <w:rFonts w:hint="eastAsia" w:ascii="宋体" w:hAnsi="宋体" w:eastAsia="宋体" w:cs="宋体"/>
          <w:color w:val="auto"/>
          <w:sz w:val="21"/>
          <w:szCs w:val="24"/>
          <w:highlight w:val="none"/>
        </w:rPr>
        <w:t>中国建设银行股份有限公司保山北城五洲支行</w:t>
      </w:r>
    </w:p>
    <w:p w14:paraId="57A08A7B">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收款户名：</w:t>
      </w:r>
      <w:r>
        <w:rPr>
          <w:rFonts w:hint="eastAsia" w:ascii="宋体" w:hAnsi="宋体" w:eastAsia="宋体" w:cs="宋体"/>
          <w:color w:val="auto"/>
          <w:sz w:val="21"/>
          <w:szCs w:val="21"/>
          <w:highlight w:val="none"/>
          <w:lang w:eastAsia="zh-CN"/>
        </w:rPr>
        <w:t>保山顺意招标代理有限责任公司</w:t>
      </w:r>
    </w:p>
    <w:p w14:paraId="25D5D37E">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收款账号：</w:t>
      </w:r>
      <w:r>
        <w:rPr>
          <w:rFonts w:hint="eastAsia" w:ascii="宋体" w:hAnsi="宋体" w:eastAsia="宋体" w:cs="宋体"/>
          <w:color w:val="auto"/>
          <w:sz w:val="21"/>
          <w:szCs w:val="24"/>
          <w:highlight w:val="none"/>
        </w:rPr>
        <w:t>53050172863900001891</w:t>
      </w:r>
      <w:r>
        <w:rPr>
          <w:rFonts w:hint="eastAsia" w:ascii="宋体" w:hAnsi="宋体" w:eastAsia="宋体" w:cs="Times New Roman"/>
          <w:color w:val="auto"/>
          <w:szCs w:val="21"/>
          <w:highlight w:val="none"/>
          <w:lang w:val="en-US" w:eastAsia="zh-CN"/>
        </w:rPr>
        <w:t xml:space="preserve">  </w:t>
      </w:r>
    </w:p>
    <w:p w14:paraId="659DA40A">
      <w:pPr>
        <w:pStyle w:val="3"/>
        <w:spacing w:before="120" w:after="120" w:line="360" w:lineRule="auto"/>
        <w:jc w:val="lef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七、公告期限</w:t>
      </w:r>
      <w:bookmarkEnd w:id="58"/>
      <w:bookmarkEnd w:id="59"/>
      <w:bookmarkEnd w:id="60"/>
      <w:bookmarkEnd w:id="61"/>
      <w:bookmarkEnd w:id="62"/>
      <w:bookmarkEnd w:id="63"/>
    </w:p>
    <w:p w14:paraId="1475CBFD">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Times New Roman"/>
          <w:color w:val="auto"/>
          <w:highlight w:val="none"/>
        </w:rPr>
        <w:t>自本公告发布之日起</w:t>
      </w:r>
      <w:r>
        <w:rPr>
          <w:rFonts w:hint="eastAsia" w:ascii="宋体" w:hAnsi="宋体" w:eastAsia="宋体" w:cs="Times New Roman"/>
          <w:color w:val="auto"/>
          <w:highlight w:val="none"/>
          <w:lang w:val="en-US" w:eastAsia="zh-CN"/>
        </w:rPr>
        <w:t>5</w:t>
      </w:r>
      <w:r>
        <w:rPr>
          <w:rFonts w:hint="eastAsia" w:ascii="宋体" w:hAnsi="宋体" w:eastAsia="宋体" w:cs="Times New Roman"/>
          <w:color w:val="auto"/>
          <w:highlight w:val="none"/>
        </w:rPr>
        <w:t>个工作日。</w:t>
      </w:r>
    </w:p>
    <w:p w14:paraId="229C5282">
      <w:pPr>
        <w:pStyle w:val="3"/>
        <w:spacing w:before="120" w:after="120" w:line="360" w:lineRule="auto"/>
        <w:jc w:val="left"/>
        <w:rPr>
          <w:rFonts w:ascii="宋体" w:hAnsi="宋体" w:eastAsia="宋体"/>
          <w:color w:val="auto"/>
          <w:sz w:val="21"/>
          <w:szCs w:val="21"/>
          <w:highlight w:val="none"/>
        </w:rPr>
      </w:pPr>
      <w:bookmarkStart w:id="64" w:name="_Toc35393804"/>
      <w:bookmarkStart w:id="65" w:name="_Toc35393635"/>
      <w:bookmarkStart w:id="66" w:name="_Toc46742453"/>
      <w:bookmarkStart w:id="67" w:name="_Toc5372"/>
      <w:r>
        <w:rPr>
          <w:rFonts w:hint="eastAsia" w:ascii="宋体" w:hAnsi="宋体" w:eastAsia="宋体"/>
          <w:color w:val="auto"/>
          <w:sz w:val="21"/>
          <w:szCs w:val="21"/>
          <w:highlight w:val="none"/>
          <w:lang w:val="en-US" w:eastAsia="zh-CN"/>
        </w:rPr>
        <w:t>八</w:t>
      </w:r>
      <w:r>
        <w:rPr>
          <w:rFonts w:hint="eastAsia" w:ascii="宋体" w:hAnsi="宋体" w:eastAsia="宋体"/>
          <w:color w:val="auto"/>
          <w:sz w:val="21"/>
          <w:szCs w:val="21"/>
          <w:highlight w:val="none"/>
        </w:rPr>
        <w:t>、其他补充事宜</w:t>
      </w:r>
      <w:bookmarkEnd w:id="64"/>
      <w:bookmarkEnd w:id="65"/>
      <w:bookmarkEnd w:id="66"/>
      <w:bookmarkEnd w:id="67"/>
    </w:p>
    <w:p w14:paraId="7D6B1096">
      <w:pPr>
        <w:spacing w:line="360" w:lineRule="auto"/>
        <w:ind w:firstLine="420" w:firstLineChars="200"/>
        <w:rPr>
          <w:rFonts w:hint="eastAsia" w:ascii="宋体" w:hAnsi="宋体"/>
          <w:color w:val="auto"/>
          <w:szCs w:val="21"/>
          <w:highlight w:val="none"/>
        </w:rPr>
      </w:pPr>
      <w:bookmarkStart w:id="68" w:name="_Toc35393805"/>
      <w:bookmarkStart w:id="69" w:name="_Toc28359018"/>
      <w:bookmarkStart w:id="70" w:name="_Toc46742454"/>
      <w:bookmarkStart w:id="71" w:name="_Toc28359095"/>
      <w:bookmarkStart w:id="72" w:name="_Toc35393636"/>
      <w:bookmarkStart w:id="73" w:name="_Toc14883"/>
      <w:r>
        <w:rPr>
          <w:rFonts w:hint="eastAsia" w:ascii="宋体" w:hAnsi="宋体"/>
          <w:color w:val="auto"/>
          <w:szCs w:val="21"/>
          <w:highlight w:val="none"/>
        </w:rPr>
        <w:t>1.本次采购公告在云南省政府采购网上发布。请各位供应商在递交投标（响应）文件前随时查看，以获取最新的消息。</w:t>
      </w:r>
    </w:p>
    <w:p w14:paraId="3A1D1A8B">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w:t>
      </w:r>
      <w:r>
        <w:rPr>
          <w:rFonts w:hint="eastAsia" w:ascii="宋体" w:hAnsi="宋体"/>
          <w:color w:val="auto"/>
          <w:szCs w:val="21"/>
          <w:highlight w:val="none"/>
          <w:lang w:val="en-US" w:eastAsia="zh-CN"/>
        </w:rPr>
        <w:t>政采云</w:t>
      </w:r>
      <w:r>
        <w:rPr>
          <w:rFonts w:hint="eastAsia" w:ascii="宋体" w:hAnsi="宋体"/>
          <w:color w:val="auto"/>
          <w:szCs w:val="21"/>
          <w:highlight w:val="none"/>
        </w:rPr>
        <w:t>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7A48B3AC">
      <w:pPr>
        <w:pStyle w:val="3"/>
        <w:spacing w:before="120" w:after="120" w:line="360" w:lineRule="auto"/>
        <w:jc w:val="left"/>
        <w:rPr>
          <w:rFonts w:ascii="宋体" w:hAnsi="宋体" w:eastAsia="宋体"/>
          <w:sz w:val="21"/>
          <w:szCs w:val="21"/>
          <w:highlight w:val="none"/>
        </w:rPr>
      </w:pPr>
      <w:r>
        <w:rPr>
          <w:rFonts w:hint="eastAsia" w:ascii="宋体" w:hAnsi="宋体" w:eastAsia="宋体"/>
          <w:sz w:val="21"/>
          <w:szCs w:val="21"/>
          <w:highlight w:val="none"/>
        </w:rPr>
        <w:t>九、</w:t>
      </w:r>
      <w:r>
        <w:rPr>
          <w:rFonts w:hint="eastAsia" w:ascii="宋体" w:hAnsi="宋体" w:eastAsia="宋体"/>
          <w:sz w:val="21"/>
          <w:szCs w:val="21"/>
          <w:highlight w:val="none"/>
          <w:lang w:eastAsia="zh-CN"/>
        </w:rPr>
        <w:t>凡对本次采购提出询问</w:t>
      </w:r>
      <w:r>
        <w:rPr>
          <w:rFonts w:hint="eastAsia" w:ascii="宋体" w:hAnsi="宋体" w:eastAsia="宋体"/>
          <w:sz w:val="21"/>
          <w:szCs w:val="21"/>
          <w:highlight w:val="none"/>
        </w:rPr>
        <w:t>，请按以下方式联系</w:t>
      </w:r>
      <w:bookmarkEnd w:id="68"/>
      <w:bookmarkEnd w:id="69"/>
      <w:bookmarkEnd w:id="70"/>
      <w:bookmarkEnd w:id="71"/>
      <w:bookmarkEnd w:id="72"/>
      <w:bookmarkEnd w:id="73"/>
    </w:p>
    <w:p w14:paraId="3FD6474E">
      <w:pPr>
        <w:spacing w:line="360" w:lineRule="auto"/>
        <w:ind w:firstLine="420" w:firstLineChars="200"/>
        <w:rPr>
          <w:rFonts w:hint="eastAsia" w:ascii="宋体" w:hAnsi="宋体" w:eastAsia="宋体" w:cs="宋体"/>
          <w:bCs/>
          <w:szCs w:val="21"/>
          <w:highlight w:val="none"/>
        </w:rPr>
      </w:pPr>
      <w:bookmarkStart w:id="74" w:name="_Hlk49174613"/>
      <w:r>
        <w:rPr>
          <w:rFonts w:hint="eastAsia" w:ascii="宋体" w:hAnsi="宋体" w:eastAsia="宋体" w:cs="宋体"/>
          <w:bCs/>
          <w:szCs w:val="21"/>
          <w:highlight w:val="none"/>
        </w:rPr>
        <w:t>1.采购人信息</w:t>
      </w:r>
    </w:p>
    <w:p w14:paraId="6E5D4A76">
      <w:pPr>
        <w:spacing w:line="360" w:lineRule="auto"/>
        <w:ind w:firstLine="420" w:firstLineChars="200"/>
        <w:rPr>
          <w:rFonts w:hint="eastAsia" w:ascii="宋体" w:hAnsi="宋体" w:eastAsia="宋体" w:cs="宋体"/>
          <w:bCs/>
          <w:szCs w:val="21"/>
          <w:highlight w:val="none"/>
        </w:rPr>
      </w:pPr>
      <w:bookmarkStart w:id="75" w:name="_Toc28359009"/>
      <w:bookmarkStart w:id="76" w:name="_Toc28359086"/>
      <w:r>
        <w:rPr>
          <w:rFonts w:hint="eastAsia" w:ascii="宋体" w:hAnsi="宋体" w:eastAsia="宋体" w:cs="宋体"/>
          <w:bCs/>
          <w:szCs w:val="21"/>
          <w:highlight w:val="none"/>
        </w:rPr>
        <w:t>名称：</w:t>
      </w:r>
      <w:r>
        <w:rPr>
          <w:rFonts w:hint="eastAsia" w:ascii="宋体" w:hAnsi="宋体"/>
          <w:color w:val="auto"/>
          <w:sz w:val="21"/>
          <w:szCs w:val="21"/>
          <w:highlight w:val="none"/>
          <w:lang w:eastAsia="zh-CN"/>
        </w:rPr>
        <w:t>云南省保山第一中学</w:t>
      </w:r>
    </w:p>
    <w:p w14:paraId="115AB130">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地址：云南省保山市隆阳区黉学路 7 号</w:t>
      </w:r>
    </w:p>
    <w:p w14:paraId="25F727E0">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联系人：陈老师（</w:t>
      </w:r>
      <w:r>
        <w:rPr>
          <w:rFonts w:hint="eastAsia" w:ascii="宋体" w:hAnsi="宋体" w:eastAsia="宋体" w:cs="宋体"/>
          <w:bCs/>
          <w:szCs w:val="21"/>
          <w:highlight w:val="none"/>
          <w:lang w:val="en-US" w:eastAsia="zh-CN"/>
        </w:rPr>
        <w:t>0875-2122431</w:t>
      </w:r>
      <w:r>
        <w:rPr>
          <w:rFonts w:hint="eastAsia" w:ascii="宋体" w:hAnsi="宋体" w:eastAsia="宋体" w:cs="宋体"/>
          <w:bCs/>
          <w:szCs w:val="21"/>
          <w:highlight w:val="none"/>
        </w:rPr>
        <w:t>）</w:t>
      </w:r>
    </w:p>
    <w:p w14:paraId="1C6D4035">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2.采购代理机构信息</w:t>
      </w:r>
      <w:bookmarkEnd w:id="75"/>
      <w:bookmarkEnd w:id="76"/>
    </w:p>
    <w:p w14:paraId="4C6F27C7">
      <w:pPr>
        <w:widowControl/>
        <w:spacing w:line="460" w:lineRule="exact"/>
        <w:ind w:firstLine="420" w:firstLineChars="200"/>
        <w:jc w:val="left"/>
        <w:rPr>
          <w:rFonts w:hint="eastAsia" w:ascii="宋体" w:hAnsi="宋体" w:eastAsia="宋体" w:cs="宋体"/>
          <w:color w:val="auto"/>
          <w:sz w:val="21"/>
          <w:szCs w:val="21"/>
          <w:highlight w:val="none"/>
        </w:rPr>
      </w:pPr>
      <w:bookmarkStart w:id="77" w:name="_Toc28359087"/>
      <w:bookmarkStart w:id="78" w:name="_Toc28359010"/>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保山顺意招标代理有限责任公司</w:t>
      </w:r>
      <w:r>
        <w:rPr>
          <w:rFonts w:hint="eastAsia" w:ascii="宋体" w:hAnsi="宋体" w:eastAsia="宋体" w:cs="宋体"/>
          <w:color w:val="auto"/>
          <w:sz w:val="21"/>
          <w:szCs w:val="21"/>
          <w:highlight w:val="none"/>
        </w:rPr>
        <w:t>　</w:t>
      </w:r>
    </w:p>
    <w:p w14:paraId="2139619C">
      <w:pPr>
        <w:widowControl/>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eastAsia="zh-CN"/>
        </w:rPr>
        <w:t>保山市隆阳区兰城路（四季经典写字楼）15层1501室</w:t>
      </w:r>
      <w:r>
        <w:rPr>
          <w:rFonts w:hint="eastAsia" w:ascii="宋体" w:hAnsi="宋体" w:eastAsia="宋体" w:cs="宋体"/>
          <w:color w:val="auto"/>
          <w:sz w:val="21"/>
          <w:szCs w:val="21"/>
          <w:highlight w:val="none"/>
        </w:rPr>
        <w:t>　</w:t>
      </w:r>
    </w:p>
    <w:p w14:paraId="46005697">
      <w:pPr>
        <w:widowControl/>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 </w:t>
      </w:r>
      <w:r>
        <w:rPr>
          <w:rFonts w:hint="eastAsia" w:ascii="宋体" w:hAnsi="宋体" w:eastAsia="宋体" w:cs="宋体"/>
          <w:color w:val="auto"/>
          <w:sz w:val="21"/>
          <w:szCs w:val="21"/>
          <w:highlight w:val="none"/>
          <w:lang w:eastAsia="zh-CN"/>
        </w:rPr>
        <w:t>0875-6842899</w:t>
      </w:r>
      <w:r>
        <w:rPr>
          <w:rFonts w:hint="eastAsia" w:ascii="宋体" w:hAnsi="宋体" w:eastAsia="宋体" w:cs="宋体"/>
          <w:color w:val="auto"/>
          <w:sz w:val="21"/>
          <w:szCs w:val="21"/>
          <w:highlight w:val="none"/>
        </w:rPr>
        <w:t>　</w:t>
      </w:r>
    </w:p>
    <w:p w14:paraId="0215E7A3">
      <w:pPr>
        <w:widowControl/>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6A0DD750">
      <w:pPr>
        <w:widowControl/>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采购代理机构项目联系人：</w:t>
      </w:r>
      <w:r>
        <w:rPr>
          <w:rFonts w:hint="eastAsia" w:hAnsi="宋体" w:cs="宋体"/>
          <w:color w:val="auto"/>
          <w:sz w:val="21"/>
          <w:szCs w:val="21"/>
          <w:highlight w:val="none"/>
          <w:lang w:val="en-US" w:eastAsia="zh-CN"/>
        </w:rPr>
        <w:t>杨艳雪、陈泽楠、陈建保、达明</w:t>
      </w:r>
      <w:r>
        <w:rPr>
          <w:rFonts w:hint="eastAsia" w:ascii="宋体" w:hAnsi="宋体" w:eastAsia="宋体" w:cs="宋体"/>
          <w:color w:val="auto"/>
          <w:sz w:val="21"/>
          <w:szCs w:val="21"/>
          <w:highlight w:val="none"/>
        </w:rPr>
        <w:t xml:space="preserve">  </w:t>
      </w:r>
    </w:p>
    <w:p w14:paraId="67411292">
      <w:pPr>
        <w:widowControl/>
        <w:spacing w:line="46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eastAsia="zh-CN"/>
        </w:rPr>
        <w:t>0875-6842899</w:t>
      </w:r>
    </w:p>
    <w:bookmarkEnd w:id="19"/>
    <w:bookmarkEnd w:id="23"/>
    <w:bookmarkEnd w:id="24"/>
    <w:bookmarkEnd w:id="74"/>
    <w:bookmarkEnd w:id="77"/>
    <w:bookmarkEnd w:id="78"/>
    <w:p w14:paraId="432801E5">
      <w:pPr>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eastAsia" w:hAnsi="宋体"/>
          <w:b/>
          <w:bCs/>
          <w:color w:val="auto"/>
          <w:sz w:val="36"/>
          <w:highlight w:val="none"/>
        </w:rPr>
      </w:pPr>
      <w:r>
        <w:rPr>
          <w:rFonts w:ascii="宋体" w:hAnsi="宋体"/>
          <w:szCs w:val="21"/>
          <w:highlight w:val="none"/>
        </w:rPr>
        <w:br w:type="page"/>
      </w:r>
      <w:bookmarkEnd w:id="9"/>
      <w:bookmarkEnd w:id="10"/>
      <w:bookmarkEnd w:id="21"/>
      <w:bookmarkEnd w:id="22"/>
      <w:bookmarkStart w:id="79" w:name="_Toc21145"/>
      <w:r>
        <w:rPr>
          <w:rFonts w:hint="eastAsia" w:ascii="宋体" w:hAnsi="宋体" w:eastAsia="宋体" w:cs="Times New Roman"/>
          <w:b/>
          <w:bCs/>
          <w:color w:val="auto"/>
          <w:kern w:val="2"/>
          <w:sz w:val="36"/>
          <w:highlight w:val="none"/>
          <w:lang w:val="en-US" w:eastAsia="zh-CN" w:bidi="ar-SA"/>
        </w:rPr>
        <w:t>第二章 供应商须知</w:t>
      </w:r>
      <w:bookmarkEnd w:id="11"/>
      <w:bookmarkEnd w:id="12"/>
      <w:bookmarkEnd w:id="13"/>
      <w:bookmarkEnd w:id="14"/>
      <w:bookmarkEnd w:id="15"/>
      <w:bookmarkEnd w:id="16"/>
      <w:bookmarkEnd w:id="17"/>
      <w:bookmarkEnd w:id="79"/>
    </w:p>
    <w:p w14:paraId="11461B94">
      <w:pPr>
        <w:pStyle w:val="3"/>
        <w:pageBreakBefore w:val="0"/>
        <w:widowControl w:val="0"/>
        <w:kinsoku/>
        <w:wordWrap/>
        <w:overflowPunct/>
        <w:topLinePunct w:val="0"/>
        <w:autoSpaceDE/>
        <w:autoSpaceDN/>
        <w:bidi w:val="0"/>
        <w:adjustRightInd/>
        <w:snapToGrid/>
        <w:spacing w:before="0" w:line="360" w:lineRule="auto"/>
        <w:ind w:firstLine="0" w:firstLineChars="0"/>
        <w:jc w:val="center"/>
        <w:textAlignment w:val="auto"/>
        <w:rPr>
          <w:rFonts w:ascii="宋体" w:hAnsi="宋体" w:eastAsia="宋体"/>
          <w:szCs w:val="28"/>
          <w:highlight w:val="none"/>
        </w:rPr>
      </w:pPr>
      <w:bookmarkStart w:id="80" w:name="_Toc373844162"/>
      <w:bookmarkStart w:id="81" w:name="_Toc427339167"/>
      <w:bookmarkStart w:id="82" w:name="_Toc373844095"/>
      <w:bookmarkStart w:id="83" w:name="_Toc86124039"/>
      <w:bookmarkStart w:id="84" w:name="_Toc9892"/>
      <w:bookmarkStart w:id="85" w:name="_Toc348011922"/>
      <w:bookmarkStart w:id="86" w:name="_Toc427306786"/>
      <w:r>
        <w:rPr>
          <w:rFonts w:ascii="宋体" w:hAnsi="宋体" w:eastAsia="宋体"/>
          <w:szCs w:val="28"/>
          <w:highlight w:val="none"/>
        </w:rPr>
        <w:t>供应商须知前附表</w:t>
      </w:r>
      <w:bookmarkEnd w:id="80"/>
      <w:bookmarkEnd w:id="81"/>
      <w:bookmarkEnd w:id="82"/>
      <w:bookmarkEnd w:id="83"/>
      <w:bookmarkEnd w:id="84"/>
      <w:bookmarkEnd w:id="85"/>
      <w:bookmarkEnd w:id="86"/>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2"/>
        <w:gridCol w:w="1830"/>
        <w:gridCol w:w="6231"/>
      </w:tblGrid>
      <w:tr w14:paraId="49D15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432" w:type="dxa"/>
            <w:noWrap w:val="0"/>
            <w:vAlign w:val="center"/>
          </w:tcPr>
          <w:p w14:paraId="47DC185A">
            <w:pPr>
              <w:pStyle w:val="23"/>
              <w:spacing w:line="360" w:lineRule="auto"/>
              <w:jc w:val="center"/>
              <w:rPr>
                <w:rFonts w:hAnsi="宋体"/>
                <w:b/>
                <w:sz w:val="21"/>
                <w:szCs w:val="21"/>
                <w:highlight w:val="none"/>
              </w:rPr>
            </w:pPr>
            <w:r>
              <w:rPr>
                <w:rFonts w:hAnsi="宋体"/>
                <w:b/>
                <w:sz w:val="21"/>
                <w:szCs w:val="21"/>
                <w:highlight w:val="none"/>
              </w:rPr>
              <w:t>条款号</w:t>
            </w:r>
          </w:p>
        </w:tc>
        <w:tc>
          <w:tcPr>
            <w:tcW w:w="1830" w:type="dxa"/>
            <w:noWrap w:val="0"/>
            <w:vAlign w:val="center"/>
          </w:tcPr>
          <w:p w14:paraId="2BE7BB2D">
            <w:pPr>
              <w:pStyle w:val="23"/>
              <w:spacing w:line="360" w:lineRule="auto"/>
              <w:jc w:val="center"/>
              <w:rPr>
                <w:rFonts w:hAnsi="宋体"/>
                <w:b/>
                <w:sz w:val="21"/>
                <w:szCs w:val="21"/>
                <w:highlight w:val="none"/>
              </w:rPr>
            </w:pPr>
            <w:r>
              <w:rPr>
                <w:rFonts w:hAnsi="宋体"/>
                <w:b/>
                <w:sz w:val="21"/>
                <w:szCs w:val="21"/>
                <w:highlight w:val="none"/>
              </w:rPr>
              <w:t>条款名称</w:t>
            </w:r>
          </w:p>
        </w:tc>
        <w:tc>
          <w:tcPr>
            <w:tcW w:w="6231" w:type="dxa"/>
            <w:noWrap w:val="0"/>
            <w:vAlign w:val="center"/>
          </w:tcPr>
          <w:p w14:paraId="0B3B5D33">
            <w:pPr>
              <w:pStyle w:val="23"/>
              <w:spacing w:line="360" w:lineRule="auto"/>
              <w:jc w:val="center"/>
              <w:rPr>
                <w:rFonts w:hAnsi="宋体"/>
                <w:b/>
                <w:sz w:val="21"/>
                <w:szCs w:val="21"/>
                <w:highlight w:val="none"/>
              </w:rPr>
            </w:pPr>
            <w:r>
              <w:rPr>
                <w:rFonts w:hAnsi="宋体"/>
                <w:b/>
                <w:sz w:val="21"/>
                <w:szCs w:val="21"/>
                <w:highlight w:val="none"/>
              </w:rPr>
              <w:t>编列内容</w:t>
            </w:r>
          </w:p>
        </w:tc>
      </w:tr>
      <w:tr w14:paraId="78645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vMerge w:val="restart"/>
            <w:noWrap w:val="0"/>
            <w:vAlign w:val="center"/>
          </w:tcPr>
          <w:p w14:paraId="198526C2">
            <w:pPr>
              <w:pStyle w:val="23"/>
              <w:spacing w:line="360" w:lineRule="auto"/>
              <w:jc w:val="center"/>
              <w:rPr>
                <w:rFonts w:hAnsi="宋体"/>
                <w:sz w:val="21"/>
                <w:szCs w:val="21"/>
                <w:highlight w:val="none"/>
              </w:rPr>
            </w:pPr>
            <w:r>
              <w:rPr>
                <w:rFonts w:hAnsi="宋体"/>
                <w:sz w:val="21"/>
                <w:szCs w:val="21"/>
                <w:highlight w:val="none"/>
              </w:rPr>
              <w:t>1</w:t>
            </w:r>
            <w:r>
              <w:rPr>
                <w:rFonts w:hint="eastAsia" w:hAnsi="宋体"/>
                <w:sz w:val="21"/>
                <w:szCs w:val="21"/>
                <w:highlight w:val="none"/>
              </w:rPr>
              <w:t>.1</w:t>
            </w:r>
          </w:p>
        </w:tc>
        <w:tc>
          <w:tcPr>
            <w:tcW w:w="1830" w:type="dxa"/>
            <w:noWrap w:val="0"/>
            <w:vAlign w:val="center"/>
          </w:tcPr>
          <w:p w14:paraId="423D40C8">
            <w:pPr>
              <w:pStyle w:val="23"/>
              <w:spacing w:line="360" w:lineRule="auto"/>
              <w:rPr>
                <w:rFonts w:hAnsi="宋体"/>
                <w:sz w:val="21"/>
                <w:szCs w:val="21"/>
                <w:highlight w:val="none"/>
                <w:u w:val="single"/>
              </w:rPr>
            </w:pPr>
            <w:r>
              <w:rPr>
                <w:rFonts w:hAnsi="宋体"/>
                <w:bCs/>
                <w:sz w:val="21"/>
                <w:szCs w:val="21"/>
                <w:highlight w:val="none"/>
              </w:rPr>
              <w:t>采购人</w:t>
            </w:r>
          </w:p>
        </w:tc>
        <w:tc>
          <w:tcPr>
            <w:tcW w:w="6231" w:type="dxa"/>
            <w:noWrap w:val="0"/>
            <w:vAlign w:val="center"/>
          </w:tcPr>
          <w:p w14:paraId="766A056B">
            <w:pPr>
              <w:pStyle w:val="23"/>
              <w:spacing w:line="360" w:lineRule="auto"/>
              <w:rPr>
                <w:rFonts w:hint="eastAsia" w:hAnsi="宋体" w:eastAsia="宋体"/>
                <w:sz w:val="21"/>
                <w:szCs w:val="21"/>
                <w:highlight w:val="none"/>
                <w:lang w:eastAsia="zh-CN"/>
              </w:rPr>
            </w:pPr>
            <w:r>
              <w:rPr>
                <w:rFonts w:hint="eastAsia" w:hAnsi="宋体"/>
                <w:sz w:val="21"/>
                <w:szCs w:val="21"/>
                <w:highlight w:val="none"/>
                <w:lang w:eastAsia="zh-CN"/>
              </w:rPr>
              <w:t>云南省保山第一中学</w:t>
            </w:r>
          </w:p>
        </w:tc>
      </w:tr>
      <w:tr w14:paraId="1145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vMerge w:val="continue"/>
            <w:noWrap w:val="0"/>
            <w:vAlign w:val="center"/>
          </w:tcPr>
          <w:p w14:paraId="0C8B895A">
            <w:pPr>
              <w:spacing w:line="360" w:lineRule="auto"/>
              <w:rPr>
                <w:rFonts w:ascii="宋体" w:hAnsi="宋体"/>
                <w:sz w:val="21"/>
                <w:szCs w:val="21"/>
                <w:highlight w:val="none"/>
              </w:rPr>
            </w:pPr>
          </w:p>
        </w:tc>
        <w:tc>
          <w:tcPr>
            <w:tcW w:w="1830" w:type="dxa"/>
            <w:noWrap w:val="0"/>
            <w:vAlign w:val="center"/>
          </w:tcPr>
          <w:p w14:paraId="44C0FC42">
            <w:pPr>
              <w:pStyle w:val="23"/>
              <w:spacing w:line="360" w:lineRule="auto"/>
              <w:rPr>
                <w:rFonts w:hAnsi="宋体"/>
                <w:bCs/>
                <w:sz w:val="21"/>
                <w:szCs w:val="21"/>
                <w:highlight w:val="none"/>
              </w:rPr>
            </w:pPr>
            <w:r>
              <w:rPr>
                <w:rFonts w:hAnsi="宋体"/>
                <w:bCs/>
                <w:sz w:val="21"/>
                <w:szCs w:val="21"/>
                <w:highlight w:val="none"/>
              </w:rPr>
              <w:t>采购代理机构</w:t>
            </w:r>
          </w:p>
        </w:tc>
        <w:tc>
          <w:tcPr>
            <w:tcW w:w="6231" w:type="dxa"/>
            <w:noWrap w:val="0"/>
            <w:vAlign w:val="center"/>
          </w:tcPr>
          <w:p w14:paraId="59A7EA3C">
            <w:pPr>
              <w:pStyle w:val="23"/>
              <w:spacing w:line="360" w:lineRule="auto"/>
              <w:rPr>
                <w:rFonts w:hint="eastAsia" w:hAnsi="宋体"/>
                <w:sz w:val="21"/>
                <w:szCs w:val="21"/>
                <w:highlight w:val="none"/>
              </w:rPr>
            </w:pPr>
            <w:r>
              <w:rPr>
                <w:rFonts w:hint="eastAsia" w:ascii="宋体" w:hAnsi="宋体" w:eastAsia="宋体" w:cs="宋体"/>
                <w:color w:val="auto"/>
                <w:sz w:val="21"/>
                <w:szCs w:val="21"/>
                <w:highlight w:val="none"/>
                <w:lang w:eastAsia="zh-CN"/>
              </w:rPr>
              <w:t>保山顺意招标代理有限责任公司</w:t>
            </w:r>
          </w:p>
        </w:tc>
      </w:tr>
      <w:tr w14:paraId="375E2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vMerge w:val="continue"/>
            <w:noWrap w:val="0"/>
            <w:vAlign w:val="center"/>
          </w:tcPr>
          <w:p w14:paraId="193A2DBF">
            <w:pPr>
              <w:spacing w:line="360" w:lineRule="auto"/>
              <w:rPr>
                <w:rFonts w:ascii="宋体" w:hAnsi="宋体"/>
                <w:sz w:val="21"/>
                <w:szCs w:val="21"/>
                <w:highlight w:val="none"/>
              </w:rPr>
            </w:pPr>
          </w:p>
        </w:tc>
        <w:tc>
          <w:tcPr>
            <w:tcW w:w="1830" w:type="dxa"/>
            <w:noWrap w:val="0"/>
            <w:vAlign w:val="center"/>
          </w:tcPr>
          <w:p w14:paraId="748CB7BF">
            <w:pPr>
              <w:pStyle w:val="23"/>
              <w:spacing w:line="360" w:lineRule="auto"/>
              <w:rPr>
                <w:rFonts w:hAnsi="宋体"/>
                <w:sz w:val="21"/>
                <w:szCs w:val="21"/>
                <w:highlight w:val="none"/>
              </w:rPr>
            </w:pPr>
            <w:r>
              <w:rPr>
                <w:rFonts w:hAnsi="宋体"/>
                <w:sz w:val="21"/>
                <w:szCs w:val="21"/>
                <w:highlight w:val="none"/>
              </w:rPr>
              <w:t>项目名称</w:t>
            </w:r>
          </w:p>
        </w:tc>
        <w:tc>
          <w:tcPr>
            <w:tcW w:w="6231" w:type="dxa"/>
            <w:noWrap w:val="0"/>
            <w:vAlign w:val="center"/>
          </w:tcPr>
          <w:p w14:paraId="156D34C7">
            <w:pPr>
              <w:pStyle w:val="23"/>
              <w:spacing w:line="360" w:lineRule="auto"/>
              <w:rPr>
                <w:rFonts w:hint="eastAsia" w:hAnsi="宋体" w:eastAsia="宋体"/>
                <w:sz w:val="21"/>
                <w:szCs w:val="21"/>
                <w:highlight w:val="none"/>
                <w:lang w:eastAsia="zh-CN"/>
              </w:rPr>
            </w:pPr>
            <w:r>
              <w:rPr>
                <w:rFonts w:hint="eastAsia" w:hAnsi="宋体"/>
                <w:sz w:val="21"/>
                <w:szCs w:val="21"/>
                <w:highlight w:val="none"/>
                <w:lang w:eastAsia="zh-CN"/>
              </w:rPr>
              <w:t>云南省保山第一中学附属设施（连廊）建设项目（一期）</w:t>
            </w:r>
          </w:p>
        </w:tc>
      </w:tr>
      <w:tr w14:paraId="646E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vMerge w:val="continue"/>
            <w:noWrap w:val="0"/>
            <w:vAlign w:val="center"/>
          </w:tcPr>
          <w:p w14:paraId="43DFAC66">
            <w:pPr>
              <w:spacing w:line="360" w:lineRule="auto"/>
              <w:rPr>
                <w:rFonts w:ascii="宋体" w:hAnsi="宋体"/>
                <w:sz w:val="21"/>
                <w:szCs w:val="21"/>
                <w:highlight w:val="none"/>
              </w:rPr>
            </w:pPr>
          </w:p>
        </w:tc>
        <w:tc>
          <w:tcPr>
            <w:tcW w:w="1830" w:type="dxa"/>
            <w:noWrap w:val="0"/>
            <w:vAlign w:val="center"/>
          </w:tcPr>
          <w:p w14:paraId="110150DD">
            <w:pPr>
              <w:pStyle w:val="23"/>
              <w:spacing w:line="360" w:lineRule="auto"/>
              <w:rPr>
                <w:rFonts w:hint="eastAsia" w:hAnsi="宋体"/>
                <w:sz w:val="21"/>
                <w:szCs w:val="21"/>
                <w:highlight w:val="none"/>
                <w:lang w:eastAsia="zh-CN"/>
              </w:rPr>
            </w:pPr>
            <w:r>
              <w:rPr>
                <w:rFonts w:hint="eastAsia" w:hAnsi="宋体"/>
                <w:sz w:val="21"/>
                <w:szCs w:val="21"/>
                <w:highlight w:val="none"/>
                <w:lang w:val="en-US" w:eastAsia="zh-CN"/>
              </w:rPr>
              <w:t>政采云采购</w:t>
            </w:r>
            <w:r>
              <w:rPr>
                <w:rFonts w:hint="eastAsia" w:hAnsi="宋体"/>
                <w:sz w:val="21"/>
                <w:szCs w:val="21"/>
                <w:highlight w:val="none"/>
                <w:lang w:eastAsia="zh-CN"/>
              </w:rPr>
              <w:t>编号</w:t>
            </w:r>
          </w:p>
        </w:tc>
        <w:tc>
          <w:tcPr>
            <w:tcW w:w="6231" w:type="dxa"/>
            <w:noWrap w:val="0"/>
            <w:vAlign w:val="center"/>
          </w:tcPr>
          <w:p w14:paraId="06DB98B8">
            <w:pPr>
              <w:pStyle w:val="23"/>
              <w:spacing w:line="360" w:lineRule="auto"/>
              <w:rPr>
                <w:rFonts w:hint="default" w:hAnsi="宋体"/>
                <w:sz w:val="21"/>
                <w:szCs w:val="21"/>
                <w:highlight w:val="none"/>
                <w:lang w:val="en-US" w:eastAsia="zh-CN"/>
              </w:rPr>
            </w:pPr>
            <w:r>
              <w:rPr>
                <w:rFonts w:hint="default" w:hAnsi="宋体"/>
                <w:sz w:val="21"/>
                <w:szCs w:val="21"/>
                <w:highlight w:val="none"/>
                <w:lang w:val="en-US" w:eastAsia="zh-CN"/>
              </w:rPr>
              <w:t>BSZC2026-C2-01160-BSSY-0005</w:t>
            </w:r>
          </w:p>
        </w:tc>
      </w:tr>
      <w:tr w14:paraId="3EDE9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vMerge w:val="continue"/>
            <w:noWrap w:val="0"/>
            <w:vAlign w:val="center"/>
          </w:tcPr>
          <w:p w14:paraId="097F6E37">
            <w:pPr>
              <w:spacing w:line="360" w:lineRule="auto"/>
              <w:rPr>
                <w:rFonts w:ascii="宋体" w:hAnsi="宋体"/>
                <w:sz w:val="21"/>
                <w:szCs w:val="21"/>
                <w:highlight w:val="none"/>
              </w:rPr>
            </w:pPr>
          </w:p>
        </w:tc>
        <w:tc>
          <w:tcPr>
            <w:tcW w:w="1830" w:type="dxa"/>
            <w:noWrap w:val="0"/>
            <w:vAlign w:val="center"/>
          </w:tcPr>
          <w:p w14:paraId="553DAB96">
            <w:pPr>
              <w:pStyle w:val="23"/>
              <w:spacing w:line="360" w:lineRule="auto"/>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项目编号</w:t>
            </w:r>
          </w:p>
        </w:tc>
        <w:tc>
          <w:tcPr>
            <w:tcW w:w="6231" w:type="dxa"/>
            <w:noWrap w:val="0"/>
            <w:vAlign w:val="center"/>
          </w:tcPr>
          <w:p w14:paraId="506C03F1">
            <w:pPr>
              <w:pStyle w:val="23"/>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SYZB-2026-0901 </w:t>
            </w:r>
          </w:p>
        </w:tc>
      </w:tr>
      <w:tr w14:paraId="03BB9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7A816356">
            <w:pPr>
              <w:spacing w:line="360" w:lineRule="auto"/>
              <w:jc w:val="center"/>
              <w:rPr>
                <w:rFonts w:ascii="宋体" w:hAnsi="宋体"/>
                <w:sz w:val="21"/>
                <w:szCs w:val="21"/>
                <w:highlight w:val="none"/>
              </w:rPr>
            </w:pPr>
            <w:r>
              <w:rPr>
                <w:rFonts w:hint="eastAsia" w:ascii="宋体" w:hAnsi="宋体"/>
                <w:sz w:val="21"/>
                <w:szCs w:val="21"/>
                <w:highlight w:val="none"/>
              </w:rPr>
              <w:t>2</w:t>
            </w:r>
          </w:p>
        </w:tc>
        <w:tc>
          <w:tcPr>
            <w:tcW w:w="1830" w:type="dxa"/>
            <w:noWrap w:val="0"/>
            <w:vAlign w:val="center"/>
          </w:tcPr>
          <w:p w14:paraId="1B3FB84C">
            <w:pPr>
              <w:pStyle w:val="23"/>
              <w:spacing w:line="360" w:lineRule="auto"/>
              <w:rPr>
                <w:rFonts w:hAnsi="宋体"/>
                <w:sz w:val="21"/>
                <w:szCs w:val="21"/>
                <w:highlight w:val="none"/>
              </w:rPr>
            </w:pPr>
            <w:r>
              <w:rPr>
                <w:rFonts w:hint="eastAsia" w:hAnsi="宋体"/>
                <w:sz w:val="21"/>
                <w:szCs w:val="21"/>
                <w:highlight w:val="none"/>
              </w:rPr>
              <w:t>资金来源</w:t>
            </w:r>
          </w:p>
        </w:tc>
        <w:tc>
          <w:tcPr>
            <w:tcW w:w="6231" w:type="dxa"/>
            <w:noWrap w:val="0"/>
            <w:vAlign w:val="center"/>
          </w:tcPr>
          <w:p w14:paraId="160C310D">
            <w:pPr>
              <w:pStyle w:val="23"/>
              <w:spacing w:line="360" w:lineRule="auto"/>
              <w:rPr>
                <w:rFonts w:hint="default" w:hAnsi="宋体" w:eastAsia="宋体"/>
                <w:sz w:val="21"/>
                <w:szCs w:val="21"/>
                <w:highlight w:val="none"/>
                <w:lang w:val="en-US" w:eastAsia="zh-CN"/>
              </w:rPr>
            </w:pPr>
            <w:r>
              <w:rPr>
                <w:rFonts w:hint="eastAsia" w:hAnsi="宋体" w:eastAsia="宋体"/>
                <w:sz w:val="21"/>
                <w:szCs w:val="21"/>
                <w:highlight w:val="none"/>
                <w:lang w:val="en-US" w:eastAsia="zh-CN"/>
              </w:rPr>
              <w:t>财政性资金</w:t>
            </w:r>
          </w:p>
        </w:tc>
      </w:tr>
      <w:tr w14:paraId="73E46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4569C0DA">
            <w:pPr>
              <w:pStyle w:val="23"/>
              <w:spacing w:line="360" w:lineRule="auto"/>
              <w:jc w:val="center"/>
              <w:rPr>
                <w:rFonts w:hAnsi="宋体"/>
                <w:sz w:val="21"/>
                <w:szCs w:val="21"/>
                <w:highlight w:val="none"/>
              </w:rPr>
            </w:pPr>
            <w:r>
              <w:rPr>
                <w:rFonts w:hAnsi="宋体"/>
                <w:sz w:val="21"/>
                <w:szCs w:val="21"/>
                <w:highlight w:val="none"/>
              </w:rPr>
              <w:t>3.1</w:t>
            </w:r>
          </w:p>
        </w:tc>
        <w:tc>
          <w:tcPr>
            <w:tcW w:w="1830" w:type="dxa"/>
            <w:noWrap w:val="0"/>
            <w:vAlign w:val="center"/>
          </w:tcPr>
          <w:p w14:paraId="2D769659">
            <w:pPr>
              <w:pStyle w:val="23"/>
              <w:spacing w:line="360" w:lineRule="auto"/>
              <w:rPr>
                <w:rFonts w:hAnsi="宋体"/>
                <w:sz w:val="21"/>
                <w:szCs w:val="21"/>
                <w:highlight w:val="none"/>
              </w:rPr>
            </w:pPr>
            <w:r>
              <w:rPr>
                <w:rFonts w:hint="eastAsia" w:hAnsi="宋体"/>
                <w:sz w:val="21"/>
                <w:szCs w:val="21"/>
                <w:highlight w:val="none"/>
              </w:rPr>
              <w:t>采购内容</w:t>
            </w:r>
          </w:p>
        </w:tc>
        <w:tc>
          <w:tcPr>
            <w:tcW w:w="6231" w:type="dxa"/>
            <w:noWrap w:val="0"/>
            <w:vAlign w:val="center"/>
          </w:tcPr>
          <w:p w14:paraId="32AA74E7">
            <w:pPr>
              <w:pStyle w:val="23"/>
              <w:spacing w:line="360" w:lineRule="auto"/>
              <w:rPr>
                <w:rFonts w:hAnsi="宋体"/>
                <w:sz w:val="21"/>
                <w:szCs w:val="21"/>
                <w:highlight w:val="none"/>
              </w:rPr>
            </w:pPr>
            <w:r>
              <w:rPr>
                <w:rFonts w:hint="eastAsia" w:hAnsi="宋体"/>
                <w:sz w:val="21"/>
                <w:szCs w:val="21"/>
                <w:highlight w:val="none"/>
              </w:rPr>
              <w:t xml:space="preserve">详见“第五章 </w:t>
            </w:r>
            <w:r>
              <w:rPr>
                <w:rFonts w:hint="eastAsia" w:hAnsi="宋体"/>
                <w:sz w:val="21"/>
                <w:szCs w:val="21"/>
                <w:highlight w:val="none"/>
                <w:lang w:eastAsia="zh-CN"/>
              </w:rPr>
              <w:t>项目需求</w:t>
            </w:r>
            <w:r>
              <w:rPr>
                <w:rFonts w:hint="eastAsia" w:hAnsi="宋体"/>
                <w:sz w:val="21"/>
                <w:szCs w:val="21"/>
                <w:highlight w:val="none"/>
              </w:rPr>
              <w:t>”</w:t>
            </w:r>
          </w:p>
        </w:tc>
      </w:tr>
      <w:tr w14:paraId="1B1D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2CAD97F4">
            <w:pPr>
              <w:pStyle w:val="23"/>
              <w:spacing w:line="360" w:lineRule="auto"/>
              <w:jc w:val="center"/>
              <w:rPr>
                <w:rFonts w:hAnsi="宋体"/>
                <w:sz w:val="21"/>
                <w:szCs w:val="21"/>
                <w:highlight w:val="none"/>
              </w:rPr>
            </w:pPr>
            <w:r>
              <w:rPr>
                <w:rFonts w:hint="eastAsia" w:ascii="宋体" w:hAnsi="宋体" w:eastAsia="宋体" w:cs="Times New Roman"/>
                <w:sz w:val="21"/>
                <w:szCs w:val="21"/>
                <w:highlight w:val="none"/>
              </w:rPr>
              <w:t>★</w:t>
            </w:r>
            <w:r>
              <w:rPr>
                <w:rFonts w:hAnsi="宋体"/>
                <w:sz w:val="21"/>
                <w:szCs w:val="21"/>
                <w:highlight w:val="none"/>
              </w:rPr>
              <w:t>3.2</w:t>
            </w:r>
          </w:p>
        </w:tc>
        <w:tc>
          <w:tcPr>
            <w:tcW w:w="1830" w:type="dxa"/>
            <w:noWrap w:val="0"/>
            <w:vAlign w:val="center"/>
          </w:tcPr>
          <w:p w14:paraId="05234DCE">
            <w:pPr>
              <w:pStyle w:val="23"/>
              <w:spacing w:line="360" w:lineRule="auto"/>
              <w:rPr>
                <w:rFonts w:hint="eastAsia" w:hAnsi="宋体" w:eastAsia="宋体"/>
                <w:color w:val="auto"/>
                <w:sz w:val="21"/>
                <w:szCs w:val="21"/>
                <w:highlight w:val="none"/>
                <w:lang w:eastAsia="zh-CN"/>
              </w:rPr>
            </w:pPr>
            <w:r>
              <w:rPr>
                <w:rFonts w:ascii="Times New Roman" w:hAnsi="Times New Roman"/>
                <w:color w:val="auto"/>
                <w:sz w:val="21"/>
                <w:szCs w:val="21"/>
                <w:highlight w:val="none"/>
              </w:rPr>
              <w:t>工期、</w:t>
            </w:r>
            <w:r>
              <w:rPr>
                <w:rFonts w:hint="eastAsia" w:ascii="Times New Roman" w:hAnsi="Times New Roman"/>
                <w:color w:val="auto"/>
                <w:sz w:val="21"/>
                <w:szCs w:val="21"/>
                <w:highlight w:val="none"/>
                <w:lang w:eastAsia="zh-CN"/>
              </w:rPr>
              <w:t>工程地点</w:t>
            </w:r>
            <w:r>
              <w:rPr>
                <w:rFonts w:ascii="Times New Roman" w:hAnsi="Times New Roman"/>
                <w:color w:val="auto"/>
                <w:sz w:val="21"/>
                <w:szCs w:val="21"/>
                <w:highlight w:val="none"/>
              </w:rPr>
              <w:t>、质量标准</w:t>
            </w:r>
          </w:p>
        </w:tc>
        <w:tc>
          <w:tcPr>
            <w:tcW w:w="6231" w:type="dxa"/>
            <w:noWrap w:val="0"/>
            <w:vAlign w:val="center"/>
          </w:tcPr>
          <w:p w14:paraId="36977116">
            <w:pPr>
              <w:pStyle w:val="23"/>
              <w:spacing w:line="360" w:lineRule="auto"/>
              <w:rPr>
                <w:rFonts w:hint="eastAsia"/>
                <w:color w:val="auto"/>
                <w:sz w:val="21"/>
                <w:szCs w:val="21"/>
                <w:highlight w:val="none"/>
              </w:rPr>
            </w:pPr>
            <w:r>
              <w:rPr>
                <w:rFonts w:hint="eastAsia"/>
                <w:color w:val="auto"/>
                <w:sz w:val="21"/>
                <w:szCs w:val="21"/>
                <w:highlight w:val="none"/>
              </w:rPr>
              <w:t>工期：</w:t>
            </w:r>
            <w:r>
              <w:rPr>
                <w:rFonts w:hint="eastAsia"/>
                <w:color w:val="auto"/>
                <w:sz w:val="21"/>
                <w:szCs w:val="21"/>
                <w:highlight w:val="none"/>
                <w:lang w:eastAsia="zh-CN"/>
              </w:rPr>
              <w:t>计划工期120个日历天，具体开工时间以采购人实际下达的通知为准</w:t>
            </w:r>
            <w:r>
              <w:rPr>
                <w:rFonts w:hint="eastAsia"/>
                <w:color w:val="auto"/>
                <w:sz w:val="21"/>
                <w:szCs w:val="21"/>
                <w:highlight w:val="none"/>
              </w:rPr>
              <w:t>。</w:t>
            </w:r>
          </w:p>
          <w:p w14:paraId="5A6B0B96">
            <w:pPr>
              <w:pStyle w:val="23"/>
              <w:spacing w:line="360" w:lineRule="auto"/>
              <w:rPr>
                <w:rFonts w:hint="eastAsia" w:eastAsia="宋体"/>
                <w:color w:val="auto"/>
                <w:sz w:val="21"/>
                <w:szCs w:val="21"/>
                <w:highlight w:val="none"/>
                <w:lang w:eastAsia="zh-CN"/>
              </w:rPr>
            </w:pPr>
            <w:r>
              <w:rPr>
                <w:rFonts w:hint="eastAsia"/>
                <w:color w:val="auto"/>
                <w:sz w:val="21"/>
                <w:szCs w:val="21"/>
                <w:highlight w:val="none"/>
                <w:lang w:eastAsia="zh-CN"/>
              </w:rPr>
              <w:t>工程地点</w:t>
            </w:r>
            <w:r>
              <w:rPr>
                <w:rFonts w:hint="eastAsia"/>
                <w:color w:val="auto"/>
                <w:sz w:val="21"/>
                <w:szCs w:val="21"/>
                <w:highlight w:val="none"/>
              </w:rPr>
              <w:t>：</w:t>
            </w:r>
            <w:r>
              <w:rPr>
                <w:rFonts w:hint="eastAsia" w:hAnsi="宋体"/>
                <w:sz w:val="21"/>
                <w:szCs w:val="21"/>
                <w:highlight w:val="none"/>
                <w:lang w:eastAsia="zh-CN"/>
              </w:rPr>
              <w:t>云南省保山第一中学</w:t>
            </w:r>
            <w:r>
              <w:rPr>
                <w:rFonts w:hint="eastAsia" w:ascii="宋体" w:hAnsi="宋体" w:eastAsia="宋体" w:cs="宋体"/>
                <w:bCs/>
                <w:szCs w:val="21"/>
                <w:highlight w:val="none"/>
                <w:lang w:eastAsia="zh-CN"/>
              </w:rPr>
              <w:t>，</w:t>
            </w:r>
            <w:r>
              <w:rPr>
                <w:rFonts w:hint="eastAsia"/>
                <w:szCs w:val="21"/>
                <w:highlight w:val="none"/>
                <w:lang w:val="en-US" w:eastAsia="zh-CN"/>
              </w:rPr>
              <w:t>采购人</w:t>
            </w:r>
            <w:r>
              <w:rPr>
                <w:rFonts w:hint="eastAsia"/>
                <w:szCs w:val="21"/>
                <w:highlight w:val="none"/>
              </w:rPr>
              <w:t>指定地点</w:t>
            </w:r>
            <w:r>
              <w:rPr>
                <w:rFonts w:hint="eastAsia"/>
                <w:szCs w:val="21"/>
                <w:highlight w:val="none"/>
                <w:lang w:eastAsia="zh-CN"/>
              </w:rPr>
              <w:t>。</w:t>
            </w:r>
          </w:p>
          <w:p w14:paraId="5BFB8CEC">
            <w:pPr>
              <w:spacing w:line="360" w:lineRule="auto"/>
              <w:rPr>
                <w:rFonts w:hint="eastAsia" w:eastAsia="宋体"/>
                <w:color w:val="auto"/>
                <w:sz w:val="21"/>
                <w:szCs w:val="21"/>
                <w:highlight w:val="none"/>
                <w:lang w:eastAsia="zh-CN"/>
              </w:rPr>
            </w:pPr>
            <w:r>
              <w:rPr>
                <w:rFonts w:hint="eastAsia"/>
                <w:color w:val="auto"/>
                <w:sz w:val="21"/>
                <w:szCs w:val="21"/>
                <w:highlight w:val="none"/>
              </w:rPr>
              <w:t>质量标准：</w:t>
            </w:r>
            <w:r>
              <w:rPr>
                <w:rFonts w:hint="eastAsia"/>
                <w:color w:val="auto"/>
                <w:sz w:val="21"/>
                <w:szCs w:val="21"/>
                <w:highlight w:val="none"/>
                <w:lang w:eastAsia="zh-CN"/>
              </w:rPr>
              <w:t>符合现行国家及行业施工质量统一验收标准和规范要求，一次性验收合格。</w:t>
            </w:r>
          </w:p>
        </w:tc>
      </w:tr>
      <w:tr w14:paraId="5ACEE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78C975EA">
            <w:pPr>
              <w:pStyle w:val="23"/>
              <w:spacing w:line="360" w:lineRule="auto"/>
              <w:jc w:val="center"/>
              <w:rPr>
                <w:rFonts w:hAnsi="宋体"/>
                <w:sz w:val="21"/>
                <w:szCs w:val="21"/>
                <w:highlight w:val="none"/>
              </w:rPr>
            </w:pPr>
            <w:r>
              <w:rPr>
                <w:rFonts w:hint="eastAsia" w:hAnsi="宋体"/>
                <w:sz w:val="21"/>
                <w:szCs w:val="21"/>
                <w:highlight w:val="none"/>
              </w:rPr>
              <w:t>★4.</w:t>
            </w:r>
            <w:r>
              <w:rPr>
                <w:rFonts w:hAnsi="宋体"/>
                <w:sz w:val="21"/>
                <w:szCs w:val="21"/>
                <w:highlight w:val="none"/>
              </w:rPr>
              <w:t>1</w:t>
            </w:r>
            <w:r>
              <w:rPr>
                <w:rFonts w:hint="eastAsia" w:hAnsi="宋体"/>
                <w:sz w:val="21"/>
                <w:szCs w:val="21"/>
                <w:highlight w:val="none"/>
              </w:rPr>
              <w:t>.2</w:t>
            </w:r>
          </w:p>
        </w:tc>
        <w:tc>
          <w:tcPr>
            <w:tcW w:w="1830" w:type="dxa"/>
            <w:noWrap w:val="0"/>
            <w:vAlign w:val="center"/>
          </w:tcPr>
          <w:p w14:paraId="35877601">
            <w:pPr>
              <w:pStyle w:val="23"/>
              <w:spacing w:line="360" w:lineRule="auto"/>
              <w:rPr>
                <w:rFonts w:hAnsi="宋体"/>
                <w:sz w:val="21"/>
                <w:szCs w:val="21"/>
                <w:highlight w:val="none"/>
              </w:rPr>
            </w:pPr>
            <w:r>
              <w:rPr>
                <w:rFonts w:hint="eastAsia" w:hAnsi="宋体"/>
                <w:sz w:val="21"/>
                <w:szCs w:val="21"/>
                <w:highlight w:val="none"/>
              </w:rPr>
              <w:t>财务状况报告</w:t>
            </w:r>
          </w:p>
        </w:tc>
        <w:tc>
          <w:tcPr>
            <w:tcW w:w="6231" w:type="dxa"/>
            <w:noWrap w:val="0"/>
            <w:vAlign w:val="center"/>
          </w:tcPr>
          <w:p w14:paraId="7CD88434">
            <w:pPr>
              <w:pStyle w:val="23"/>
              <w:spacing w:line="360" w:lineRule="auto"/>
              <w:rPr>
                <w:rFonts w:hint="eastAsia" w:ascii="宋体" w:hAnsi="Courier New" w:eastAsia="宋体" w:cs="Times New Roman"/>
                <w:color w:val="auto"/>
                <w:sz w:val="21"/>
                <w:szCs w:val="21"/>
                <w:highlight w:val="none"/>
                <w:lang w:eastAsia="zh-CN"/>
              </w:rPr>
            </w:pPr>
            <w:r>
              <w:rPr>
                <w:rFonts w:hint="eastAsia" w:ascii="宋体" w:hAnsi="Courier New" w:eastAsia="宋体" w:cs="Times New Roman"/>
                <w:color w:val="auto"/>
                <w:sz w:val="21"/>
                <w:szCs w:val="21"/>
                <w:highlight w:val="none"/>
                <w:lang w:eastAsia="zh-CN"/>
              </w:rPr>
              <w:t>（1）提供2024年或2025年经审计的财务报告（包括资产负债表、利润表/损益表、现金流量表、所有者权益变动表及其附注，执行小企业会计制度的可不用提供所有者权益变动表，事业单位按财务制度提供资产负债表和收入费用表）；</w:t>
            </w:r>
          </w:p>
          <w:p w14:paraId="456A3CBF">
            <w:pPr>
              <w:pStyle w:val="23"/>
              <w:spacing w:line="360" w:lineRule="auto"/>
              <w:rPr>
                <w:rFonts w:hint="eastAsia" w:ascii="宋体" w:hAnsi="Courier New" w:eastAsia="宋体" w:cs="Times New Roman"/>
                <w:color w:val="auto"/>
                <w:sz w:val="21"/>
                <w:szCs w:val="21"/>
                <w:highlight w:val="none"/>
                <w:lang w:eastAsia="zh-CN"/>
              </w:rPr>
            </w:pPr>
            <w:r>
              <w:rPr>
                <w:rFonts w:hint="eastAsia" w:ascii="宋体" w:hAnsi="Courier New" w:eastAsia="宋体" w:cs="Times New Roman"/>
                <w:b/>
                <w:bCs/>
                <w:color w:val="auto"/>
                <w:sz w:val="21"/>
                <w:szCs w:val="21"/>
                <w:highlight w:val="none"/>
                <w:lang w:eastAsia="zh-CN"/>
              </w:rPr>
              <w:t>注：根据《关于加强审计报告查验工作的通知》（财会〔2023〕15号）规定，在2022年10月以后出具的审计报告须在注册会计师行业统一监管平台（网址：https：//acc.mof.gov.cn）取得赋码，未取得赋码的财务报告视为无效（采购人或</w:t>
            </w:r>
            <w:r>
              <w:rPr>
                <w:rFonts w:hint="eastAsia" w:ascii="宋体" w:hAnsi="Courier New" w:eastAsia="宋体" w:cs="Times New Roman"/>
                <w:b/>
                <w:bCs/>
                <w:color w:val="auto"/>
                <w:sz w:val="21"/>
                <w:szCs w:val="21"/>
                <w:highlight w:val="none"/>
                <w:lang w:val="en-US" w:eastAsia="zh-CN"/>
              </w:rPr>
              <w:t>采购</w:t>
            </w:r>
            <w:r>
              <w:rPr>
                <w:rFonts w:hint="eastAsia" w:ascii="宋体" w:hAnsi="Courier New" w:eastAsia="宋体" w:cs="Times New Roman"/>
                <w:b/>
                <w:bCs/>
                <w:color w:val="auto"/>
                <w:sz w:val="21"/>
                <w:szCs w:val="21"/>
                <w:highlight w:val="none"/>
                <w:lang w:eastAsia="zh-CN"/>
              </w:rPr>
              <w:t>代理机构将通过“注册会计师行业统一监管平台——审计报告查询”对审计报告进行查验，未取得赋码或查验结果显示不符或无法查询的视为无效）</w:t>
            </w:r>
            <w:r>
              <w:rPr>
                <w:rFonts w:hint="eastAsia" w:ascii="宋体" w:hAnsi="Courier New" w:eastAsia="宋体" w:cs="Times New Roman"/>
                <w:color w:val="auto"/>
                <w:sz w:val="21"/>
                <w:szCs w:val="21"/>
                <w:highlight w:val="none"/>
                <w:lang w:eastAsia="zh-CN"/>
              </w:rPr>
              <w:t>。</w:t>
            </w:r>
          </w:p>
          <w:p w14:paraId="1752419B">
            <w:pPr>
              <w:pStyle w:val="23"/>
              <w:spacing w:line="360" w:lineRule="auto"/>
              <w:rPr>
                <w:rFonts w:hint="eastAsia" w:ascii="宋体" w:hAnsi="Courier New" w:eastAsia="宋体" w:cs="Times New Roman"/>
                <w:color w:val="auto"/>
                <w:sz w:val="21"/>
                <w:szCs w:val="21"/>
                <w:highlight w:val="none"/>
                <w:lang w:eastAsia="zh-CN"/>
              </w:rPr>
            </w:pPr>
            <w:r>
              <w:rPr>
                <w:rFonts w:hint="eastAsia" w:ascii="宋体" w:hAnsi="Courier New" w:eastAsia="宋体" w:cs="Times New Roman"/>
                <w:color w:val="auto"/>
                <w:sz w:val="21"/>
                <w:szCs w:val="21"/>
                <w:highlight w:val="none"/>
                <w:lang w:eastAsia="zh-CN"/>
              </w:rPr>
              <w:t>（2）提供自响应文件提交截止时间前三个月内基本开户银行出具的资信证明；</w:t>
            </w:r>
          </w:p>
          <w:p w14:paraId="16ED6756">
            <w:pPr>
              <w:pStyle w:val="23"/>
              <w:spacing w:line="360" w:lineRule="auto"/>
              <w:rPr>
                <w:rFonts w:hint="eastAsia"/>
                <w:sz w:val="21"/>
                <w:szCs w:val="21"/>
                <w:highlight w:val="none"/>
                <w:lang w:eastAsia="zh-CN"/>
              </w:rPr>
            </w:pPr>
            <w:r>
              <w:rPr>
                <w:rFonts w:hint="eastAsia" w:ascii="宋体" w:hAnsi="Courier New" w:eastAsia="宋体" w:cs="Times New Roman"/>
                <w:color w:val="auto"/>
                <w:sz w:val="21"/>
                <w:szCs w:val="21"/>
                <w:highlight w:val="none"/>
                <w:lang w:val="en-US" w:eastAsia="zh-CN"/>
              </w:rPr>
              <w:t>供应商</w:t>
            </w:r>
            <w:r>
              <w:rPr>
                <w:rFonts w:hint="eastAsia" w:ascii="宋体" w:hAnsi="Courier New" w:eastAsia="宋体" w:cs="Times New Roman"/>
                <w:color w:val="auto"/>
                <w:sz w:val="21"/>
                <w:szCs w:val="21"/>
                <w:highlight w:val="none"/>
                <w:lang w:eastAsia="zh-CN"/>
              </w:rPr>
              <w:t>可根据自身情况提供上述任意一种证明材料，2026年新成立供应商的财务报告若未经审计可提供（2），若已审计可按（1）的要求提供成立后经审计的财务报告。</w:t>
            </w:r>
          </w:p>
        </w:tc>
      </w:tr>
      <w:tr w14:paraId="779B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030DD930">
            <w:pPr>
              <w:pStyle w:val="23"/>
              <w:spacing w:line="360" w:lineRule="auto"/>
              <w:jc w:val="center"/>
              <w:rPr>
                <w:rFonts w:hint="eastAsia" w:hAnsi="宋体"/>
                <w:sz w:val="21"/>
                <w:szCs w:val="21"/>
                <w:highlight w:val="none"/>
              </w:rPr>
            </w:pPr>
            <w:r>
              <w:rPr>
                <w:rFonts w:hint="eastAsia" w:hAnsi="宋体"/>
                <w:sz w:val="21"/>
                <w:szCs w:val="21"/>
                <w:highlight w:val="none"/>
              </w:rPr>
              <w:t>★4.</w:t>
            </w:r>
            <w:r>
              <w:rPr>
                <w:rFonts w:hAnsi="宋体"/>
                <w:sz w:val="21"/>
                <w:szCs w:val="21"/>
                <w:highlight w:val="none"/>
              </w:rPr>
              <w:t>1</w:t>
            </w:r>
            <w:r>
              <w:rPr>
                <w:rFonts w:hint="eastAsia" w:hAnsi="宋体"/>
                <w:sz w:val="21"/>
                <w:szCs w:val="21"/>
                <w:highlight w:val="none"/>
              </w:rPr>
              <w:t>.3</w:t>
            </w:r>
          </w:p>
        </w:tc>
        <w:tc>
          <w:tcPr>
            <w:tcW w:w="1830" w:type="dxa"/>
            <w:noWrap w:val="0"/>
            <w:vAlign w:val="center"/>
          </w:tcPr>
          <w:p w14:paraId="18863094">
            <w:pPr>
              <w:pStyle w:val="23"/>
              <w:spacing w:line="360" w:lineRule="auto"/>
              <w:rPr>
                <w:rFonts w:hAnsi="宋体"/>
                <w:sz w:val="21"/>
                <w:szCs w:val="21"/>
                <w:highlight w:val="none"/>
              </w:rPr>
            </w:pPr>
            <w:r>
              <w:rPr>
                <w:rFonts w:hAnsi="宋体"/>
                <w:sz w:val="21"/>
                <w:szCs w:val="21"/>
                <w:highlight w:val="none"/>
              </w:rPr>
              <w:t>纳税证明材料的时间范围</w:t>
            </w:r>
          </w:p>
        </w:tc>
        <w:tc>
          <w:tcPr>
            <w:tcW w:w="6231" w:type="dxa"/>
            <w:noWrap w:val="0"/>
            <w:vAlign w:val="center"/>
          </w:tcPr>
          <w:p w14:paraId="029BE076">
            <w:pPr>
              <w:pStyle w:val="23"/>
              <w:spacing w:line="360" w:lineRule="auto"/>
              <w:rPr>
                <w:rFonts w:hAnsi="宋体"/>
                <w:color w:val="FF0000"/>
                <w:sz w:val="21"/>
                <w:szCs w:val="21"/>
                <w:highlight w:val="none"/>
              </w:rPr>
            </w:pPr>
            <w:r>
              <w:rPr>
                <w:rFonts w:hint="eastAsia"/>
                <w:bCs/>
                <w:sz w:val="21"/>
                <w:szCs w:val="21"/>
                <w:highlight w:val="none"/>
              </w:rPr>
              <w:t>缴税所属</w:t>
            </w:r>
            <w:r>
              <w:rPr>
                <w:rFonts w:hint="eastAsia" w:ascii="Times New Roman" w:hAnsi="Times New Roman" w:eastAsia="宋体" w:cs="Times New Roman"/>
                <w:bCs/>
                <w:kern w:val="2"/>
                <w:sz w:val="21"/>
                <w:szCs w:val="21"/>
                <w:highlight w:val="none"/>
                <w:lang w:val="en-US" w:eastAsia="zh-CN" w:bidi="ar-SA"/>
              </w:rPr>
              <w:t>时间在</w:t>
            </w:r>
            <w:r>
              <w:rPr>
                <w:rFonts w:hint="eastAsia" w:ascii="Times New Roman" w:hAnsi="Times New Roman" w:eastAsia="宋体" w:cs="Times New Roman"/>
                <w:bCs/>
                <w:kern w:val="2"/>
                <w:sz w:val="21"/>
                <w:szCs w:val="21"/>
                <w:highlight w:val="none"/>
                <w:u w:val="single"/>
                <w:lang w:val="en-US" w:eastAsia="zh-CN" w:bidi="ar-SA"/>
              </w:rPr>
              <w:t>20</w:t>
            </w:r>
            <w:r>
              <w:rPr>
                <w:rFonts w:hint="eastAsia" w:ascii="Times New Roman" w:hAnsi="Times New Roman" w:cs="Times New Roman"/>
                <w:bCs/>
                <w:kern w:val="2"/>
                <w:sz w:val="21"/>
                <w:szCs w:val="21"/>
                <w:highlight w:val="none"/>
                <w:u w:val="single"/>
                <w:lang w:val="en-US" w:eastAsia="zh-CN" w:bidi="ar-SA"/>
              </w:rPr>
              <w:t>26</w:t>
            </w:r>
            <w:r>
              <w:rPr>
                <w:rFonts w:hint="eastAsia" w:ascii="Times New Roman" w:hAnsi="Times New Roman" w:eastAsia="宋体" w:cs="Times New Roman"/>
                <w:bCs/>
                <w:kern w:val="2"/>
                <w:sz w:val="21"/>
                <w:szCs w:val="21"/>
                <w:highlight w:val="none"/>
                <w:u w:val="single"/>
                <w:lang w:val="en-US" w:eastAsia="zh-CN" w:bidi="ar-SA"/>
              </w:rPr>
              <w:t>年01月</w:t>
            </w:r>
            <w:r>
              <w:rPr>
                <w:rFonts w:hint="eastAsia" w:ascii="Times New Roman" w:hAnsi="Times New Roman" w:eastAsia="宋体" w:cs="Times New Roman"/>
                <w:bCs/>
                <w:kern w:val="2"/>
                <w:sz w:val="21"/>
                <w:szCs w:val="21"/>
                <w:highlight w:val="none"/>
                <w:lang w:val="en-US" w:eastAsia="zh-CN" w:bidi="ar-SA"/>
              </w:rPr>
              <w:t>至</w:t>
            </w:r>
            <w:r>
              <w:rPr>
                <w:rFonts w:hint="eastAsia" w:eastAsia="宋体"/>
                <w:bCs/>
                <w:sz w:val="21"/>
                <w:szCs w:val="21"/>
                <w:highlight w:val="none"/>
                <w:lang w:eastAsia="zh-CN"/>
              </w:rPr>
              <w:t>提交响应文件截止日期</w:t>
            </w:r>
            <w:r>
              <w:rPr>
                <w:rFonts w:hint="eastAsia"/>
                <w:bCs/>
                <w:sz w:val="21"/>
                <w:szCs w:val="21"/>
                <w:highlight w:val="none"/>
              </w:rPr>
              <w:t>前任意1个月的税务局税收通用缴款书扫描件或银行电子缴税（费）凭证扫描件或税务局出具纳税情况的相关证明扫描件。（成立未满1个月的提供成立以来的相关证明或相关情况说明；依法免税的</w:t>
            </w:r>
            <w:r>
              <w:rPr>
                <w:rFonts w:hint="eastAsia"/>
                <w:bCs/>
                <w:sz w:val="21"/>
                <w:szCs w:val="21"/>
                <w:highlight w:val="none"/>
                <w:lang w:eastAsia="zh-CN"/>
              </w:rPr>
              <w:t>供应商</w:t>
            </w:r>
            <w:r>
              <w:rPr>
                <w:rFonts w:hint="eastAsia"/>
                <w:bCs/>
                <w:sz w:val="21"/>
                <w:szCs w:val="21"/>
                <w:highlight w:val="none"/>
              </w:rPr>
              <w:t>，应提供相应文件证明其依法免税）</w:t>
            </w:r>
          </w:p>
        </w:tc>
      </w:tr>
      <w:tr w14:paraId="4FB4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0CAE0AAA">
            <w:pPr>
              <w:pStyle w:val="23"/>
              <w:spacing w:line="360" w:lineRule="auto"/>
              <w:jc w:val="center"/>
              <w:rPr>
                <w:rFonts w:hint="eastAsia" w:hAnsi="宋体"/>
                <w:sz w:val="21"/>
                <w:szCs w:val="21"/>
                <w:highlight w:val="none"/>
              </w:rPr>
            </w:pPr>
            <w:r>
              <w:rPr>
                <w:rFonts w:hint="eastAsia" w:hAnsi="宋体"/>
                <w:sz w:val="21"/>
                <w:szCs w:val="21"/>
                <w:highlight w:val="none"/>
              </w:rPr>
              <w:t>★4.</w:t>
            </w:r>
            <w:r>
              <w:rPr>
                <w:rFonts w:hAnsi="宋体"/>
                <w:sz w:val="21"/>
                <w:szCs w:val="21"/>
                <w:highlight w:val="none"/>
              </w:rPr>
              <w:t>1</w:t>
            </w:r>
            <w:r>
              <w:rPr>
                <w:rFonts w:hint="eastAsia" w:hAnsi="宋体"/>
                <w:sz w:val="21"/>
                <w:szCs w:val="21"/>
                <w:highlight w:val="none"/>
              </w:rPr>
              <w:t>.4</w:t>
            </w:r>
          </w:p>
        </w:tc>
        <w:tc>
          <w:tcPr>
            <w:tcW w:w="1830" w:type="dxa"/>
            <w:noWrap w:val="0"/>
            <w:vAlign w:val="center"/>
          </w:tcPr>
          <w:p w14:paraId="5826AE3F">
            <w:pPr>
              <w:pStyle w:val="23"/>
              <w:spacing w:line="360" w:lineRule="auto"/>
              <w:jc w:val="left"/>
              <w:rPr>
                <w:rFonts w:hint="eastAsia" w:hAnsi="宋体"/>
                <w:sz w:val="21"/>
                <w:szCs w:val="21"/>
                <w:highlight w:val="none"/>
              </w:rPr>
            </w:pPr>
            <w:r>
              <w:rPr>
                <w:rFonts w:hAnsi="宋体"/>
                <w:sz w:val="21"/>
                <w:szCs w:val="21"/>
                <w:highlight w:val="none"/>
              </w:rPr>
              <w:t>缴纳社会保险证明材料的时间范围</w:t>
            </w:r>
          </w:p>
        </w:tc>
        <w:tc>
          <w:tcPr>
            <w:tcW w:w="6231" w:type="dxa"/>
            <w:noWrap w:val="0"/>
            <w:vAlign w:val="center"/>
          </w:tcPr>
          <w:p w14:paraId="09B96625">
            <w:pPr>
              <w:autoSpaceDE w:val="0"/>
              <w:autoSpaceDN w:val="0"/>
              <w:snapToGrid w:val="0"/>
              <w:spacing w:line="360" w:lineRule="auto"/>
              <w:textAlignment w:val="bottom"/>
              <w:rPr>
                <w:rFonts w:hAnsi="宋体"/>
                <w:sz w:val="21"/>
                <w:szCs w:val="21"/>
                <w:highlight w:val="none"/>
              </w:rPr>
            </w:pPr>
            <w:r>
              <w:rPr>
                <w:rFonts w:hint="eastAsia"/>
                <w:bCs/>
                <w:sz w:val="21"/>
                <w:szCs w:val="21"/>
                <w:highlight w:val="none"/>
              </w:rPr>
              <w:t>缴费所属时间在2026年01月至提交响应文件截止日期前任意1个月的社会保险费缴款书扫描件或银行电子缴税（费）凭证扫描件或社保管理部门出具的有效的缴款证明扫描件。（成立未满1个月的提供成立以来的社会保险费缴纳证明或相关情况说明；不需要缴纳社会保险费的供应商，应提供相应文件证明其不需要缴纳社会保险费）</w:t>
            </w:r>
          </w:p>
        </w:tc>
      </w:tr>
      <w:tr w14:paraId="3E0F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09ADAA11">
            <w:pPr>
              <w:pStyle w:val="23"/>
              <w:spacing w:line="360" w:lineRule="auto"/>
              <w:jc w:val="center"/>
              <w:rPr>
                <w:rFonts w:hint="default" w:hAnsi="宋体" w:eastAsia="宋体"/>
                <w:sz w:val="21"/>
                <w:szCs w:val="21"/>
                <w:highlight w:val="none"/>
                <w:lang w:val="en-US" w:eastAsia="zh-CN"/>
              </w:rPr>
            </w:pPr>
            <w:r>
              <w:rPr>
                <w:rFonts w:hint="eastAsia" w:hAnsi="宋体"/>
                <w:sz w:val="21"/>
                <w:szCs w:val="21"/>
                <w:highlight w:val="none"/>
              </w:rPr>
              <w:t>★</w:t>
            </w:r>
            <w:r>
              <w:rPr>
                <w:rFonts w:hint="eastAsia" w:hAnsi="宋体"/>
                <w:sz w:val="21"/>
                <w:szCs w:val="21"/>
                <w:highlight w:val="none"/>
                <w:lang w:val="en-US" w:eastAsia="zh-CN"/>
              </w:rPr>
              <w:t>4.1.5</w:t>
            </w:r>
          </w:p>
        </w:tc>
        <w:tc>
          <w:tcPr>
            <w:tcW w:w="1830" w:type="dxa"/>
            <w:noWrap w:val="0"/>
            <w:vAlign w:val="center"/>
          </w:tcPr>
          <w:p w14:paraId="44820E25">
            <w:pPr>
              <w:pStyle w:val="23"/>
              <w:spacing w:line="360" w:lineRule="auto"/>
              <w:jc w:val="left"/>
              <w:rPr>
                <w:rFonts w:hint="eastAsia" w:hAnsi="宋体"/>
                <w:sz w:val="21"/>
                <w:szCs w:val="21"/>
                <w:highlight w:val="none"/>
              </w:rPr>
            </w:pPr>
            <w:bookmarkStart w:id="87" w:name="OLE_LINK16"/>
            <w:r>
              <w:rPr>
                <w:rFonts w:hint="eastAsia" w:hAnsi="宋体" w:cs="宋体"/>
                <w:sz w:val="21"/>
                <w:szCs w:val="21"/>
                <w:highlight w:val="none"/>
              </w:rPr>
              <w:t>具有履行合同所必需的设备和专业技术能力</w:t>
            </w:r>
            <w:bookmarkEnd w:id="87"/>
          </w:p>
        </w:tc>
        <w:tc>
          <w:tcPr>
            <w:tcW w:w="6231" w:type="dxa"/>
            <w:noWrap w:val="0"/>
            <w:vAlign w:val="center"/>
          </w:tcPr>
          <w:p w14:paraId="1C9F950C">
            <w:pPr>
              <w:pStyle w:val="23"/>
              <w:spacing w:line="360" w:lineRule="auto"/>
              <w:rPr>
                <w:rFonts w:hAnsi="宋体"/>
                <w:sz w:val="21"/>
                <w:szCs w:val="21"/>
                <w:highlight w:val="none"/>
              </w:rPr>
            </w:pPr>
            <w:r>
              <w:rPr>
                <w:rFonts w:hint="eastAsia"/>
                <w:sz w:val="21"/>
                <w:szCs w:val="21"/>
                <w:highlight w:val="none"/>
                <w:lang w:eastAsia="zh-CN"/>
              </w:rPr>
              <w:t>供应商</w:t>
            </w:r>
            <w:r>
              <w:rPr>
                <w:sz w:val="21"/>
                <w:szCs w:val="21"/>
                <w:highlight w:val="none"/>
              </w:rPr>
              <w:t>须提供具备履行合同所必需的设备和专业技术能力的</w:t>
            </w:r>
            <w:r>
              <w:rPr>
                <w:rFonts w:hint="eastAsia"/>
                <w:sz w:val="21"/>
                <w:szCs w:val="21"/>
                <w:highlight w:val="none"/>
              </w:rPr>
              <w:t>证明材料或相关承诺</w:t>
            </w:r>
            <w:r>
              <w:rPr>
                <w:rFonts w:hint="eastAsia" w:ascii="Times New Roman" w:hAnsi="Times New Roman"/>
                <w:kern w:val="0"/>
                <w:sz w:val="21"/>
                <w:szCs w:val="21"/>
                <w:highlight w:val="none"/>
              </w:rPr>
              <w:t>。</w:t>
            </w:r>
          </w:p>
        </w:tc>
      </w:tr>
      <w:tr w14:paraId="32ECA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5C7531D8">
            <w:pPr>
              <w:pStyle w:val="23"/>
              <w:spacing w:line="360" w:lineRule="auto"/>
              <w:jc w:val="center"/>
              <w:rPr>
                <w:rFonts w:hint="eastAsia" w:hAnsi="宋体"/>
                <w:sz w:val="21"/>
                <w:szCs w:val="21"/>
                <w:highlight w:val="none"/>
              </w:rPr>
            </w:pPr>
            <w:r>
              <w:rPr>
                <w:rFonts w:hint="eastAsia" w:hAnsi="宋体"/>
                <w:sz w:val="21"/>
                <w:szCs w:val="21"/>
                <w:highlight w:val="none"/>
              </w:rPr>
              <w:t>★4.</w:t>
            </w:r>
            <w:r>
              <w:rPr>
                <w:rFonts w:hAnsi="宋体"/>
                <w:sz w:val="21"/>
                <w:szCs w:val="21"/>
                <w:highlight w:val="none"/>
              </w:rPr>
              <w:t>1</w:t>
            </w:r>
            <w:r>
              <w:rPr>
                <w:rFonts w:hint="eastAsia" w:hAnsi="宋体"/>
                <w:sz w:val="21"/>
                <w:szCs w:val="21"/>
                <w:highlight w:val="none"/>
              </w:rPr>
              <w:t>.6</w:t>
            </w:r>
          </w:p>
        </w:tc>
        <w:tc>
          <w:tcPr>
            <w:tcW w:w="1830" w:type="dxa"/>
            <w:noWrap w:val="0"/>
            <w:vAlign w:val="center"/>
          </w:tcPr>
          <w:p w14:paraId="5CA0CE71">
            <w:pPr>
              <w:pStyle w:val="23"/>
              <w:spacing w:line="360" w:lineRule="auto"/>
              <w:jc w:val="left"/>
              <w:rPr>
                <w:rFonts w:hint="eastAsia" w:hAnsi="宋体"/>
                <w:sz w:val="21"/>
                <w:szCs w:val="21"/>
                <w:highlight w:val="none"/>
              </w:rPr>
            </w:pPr>
            <w:bookmarkStart w:id="88" w:name="OLE_LINK17"/>
            <w:r>
              <w:rPr>
                <w:rFonts w:hint="eastAsia" w:hAnsi="宋体" w:cs="宋体"/>
                <w:sz w:val="21"/>
                <w:szCs w:val="21"/>
                <w:highlight w:val="none"/>
              </w:rPr>
              <w:t>参加政府采购活动前三年内，在经营活动中没有重大违法记录</w:t>
            </w:r>
            <w:bookmarkEnd w:id="88"/>
          </w:p>
        </w:tc>
        <w:tc>
          <w:tcPr>
            <w:tcW w:w="6231" w:type="dxa"/>
            <w:noWrap w:val="0"/>
            <w:vAlign w:val="center"/>
          </w:tcPr>
          <w:p w14:paraId="157D0077">
            <w:pPr>
              <w:pStyle w:val="23"/>
              <w:spacing w:line="360" w:lineRule="auto"/>
              <w:rPr>
                <w:sz w:val="21"/>
                <w:szCs w:val="21"/>
                <w:highlight w:val="none"/>
              </w:rPr>
            </w:pPr>
            <w:bookmarkStart w:id="89" w:name="OLE_LINK18"/>
            <w:r>
              <w:rPr>
                <w:rFonts w:hint="eastAsia"/>
                <w:sz w:val="21"/>
                <w:szCs w:val="21"/>
                <w:highlight w:val="none"/>
                <w:lang w:eastAsia="zh-CN"/>
              </w:rPr>
              <w:t>供应商</w:t>
            </w:r>
            <w:r>
              <w:rPr>
                <w:sz w:val="21"/>
                <w:szCs w:val="21"/>
                <w:highlight w:val="none"/>
              </w:rPr>
              <w:t>必须提供参加政府采购活动前3年内在经营活动中没有重大违法记录的书面声明（重大违法记录，是指供应商因违法经营受到刑事处罚或者责令停产停业、吊销许可证或者执照、较大数额罚款等行政处罚）</w:t>
            </w:r>
            <w:bookmarkEnd w:id="89"/>
          </w:p>
          <w:p w14:paraId="6419B557">
            <w:pPr>
              <w:rPr>
                <w:rFonts w:hint="eastAsia" w:eastAsia="宋体"/>
                <w:sz w:val="21"/>
                <w:szCs w:val="21"/>
                <w:highlight w:val="none"/>
                <w:lang w:val="en-US" w:eastAsia="zh-CN"/>
              </w:rPr>
            </w:pPr>
            <w:r>
              <w:rPr>
                <w:rFonts w:hint="eastAsia"/>
                <w:sz w:val="21"/>
                <w:szCs w:val="21"/>
                <w:highlight w:val="none"/>
                <w:lang w:val="en-US" w:eastAsia="zh-CN"/>
              </w:rPr>
              <w:t>注：</w:t>
            </w:r>
            <w:r>
              <w:rPr>
                <w:sz w:val="21"/>
                <w:szCs w:val="21"/>
                <w:highlight w:val="none"/>
              </w:rPr>
              <w:t>较大数额罚款是指200万元以上罚款</w:t>
            </w:r>
          </w:p>
        </w:tc>
      </w:tr>
      <w:tr w14:paraId="45D4B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7EC46104">
            <w:pPr>
              <w:pStyle w:val="23"/>
              <w:spacing w:line="360" w:lineRule="auto"/>
              <w:jc w:val="center"/>
              <w:rPr>
                <w:rFonts w:hint="default" w:hAnsi="宋体" w:eastAsia="宋体"/>
                <w:sz w:val="21"/>
                <w:szCs w:val="21"/>
                <w:highlight w:val="none"/>
                <w:lang w:val="en-US" w:eastAsia="zh-CN"/>
              </w:rPr>
            </w:pPr>
            <w:r>
              <w:rPr>
                <w:rFonts w:hint="eastAsia" w:hAnsi="宋体"/>
                <w:sz w:val="21"/>
                <w:szCs w:val="21"/>
                <w:highlight w:val="none"/>
              </w:rPr>
              <w:t>★</w:t>
            </w:r>
            <w:r>
              <w:rPr>
                <w:rFonts w:hint="eastAsia" w:hAnsi="宋体"/>
                <w:sz w:val="21"/>
                <w:szCs w:val="21"/>
                <w:highlight w:val="none"/>
                <w:lang w:val="en-US" w:eastAsia="zh-CN"/>
              </w:rPr>
              <w:t>4.1.7</w:t>
            </w:r>
          </w:p>
        </w:tc>
        <w:tc>
          <w:tcPr>
            <w:tcW w:w="1830" w:type="dxa"/>
            <w:noWrap w:val="0"/>
            <w:vAlign w:val="center"/>
          </w:tcPr>
          <w:p w14:paraId="04080D9D">
            <w:pPr>
              <w:pStyle w:val="23"/>
              <w:keepNext w:val="0"/>
              <w:keepLines w:val="0"/>
              <w:pageBreakBefore w:val="0"/>
              <w:widowControl w:val="0"/>
              <w:kinsoku/>
              <w:wordWrap/>
              <w:topLinePunct w:val="0"/>
              <w:bidi w:val="0"/>
              <w:snapToGrid w:val="0"/>
              <w:spacing w:line="360" w:lineRule="auto"/>
              <w:jc w:val="center"/>
              <w:rPr>
                <w:rFonts w:hint="eastAsia" w:hAnsi="宋体" w:cs="宋体"/>
                <w:sz w:val="21"/>
                <w:szCs w:val="21"/>
                <w:highlight w:val="none"/>
              </w:rPr>
            </w:pPr>
            <w:r>
              <w:rPr>
                <w:rFonts w:hint="eastAsia" w:ascii="Times New Roman" w:hAnsi="Times New Roman"/>
                <w:color w:val="auto"/>
                <w:sz w:val="21"/>
                <w:szCs w:val="21"/>
                <w:highlight w:val="none"/>
              </w:rPr>
              <w:t>符合《中华人民共和国政府采购法实施条例》第十八条规定</w:t>
            </w:r>
          </w:p>
        </w:tc>
        <w:tc>
          <w:tcPr>
            <w:tcW w:w="6231" w:type="dxa"/>
            <w:noWrap w:val="0"/>
            <w:vAlign w:val="center"/>
          </w:tcPr>
          <w:p w14:paraId="3D36EB30">
            <w:pPr>
              <w:pStyle w:val="23"/>
              <w:keepNext w:val="0"/>
              <w:keepLines w:val="0"/>
              <w:pageBreakBefore w:val="0"/>
              <w:widowControl w:val="0"/>
              <w:kinsoku/>
              <w:wordWrap/>
              <w:topLinePunct w:val="0"/>
              <w:bidi w:val="0"/>
              <w:snapToGrid w:val="0"/>
              <w:spacing w:line="360" w:lineRule="auto"/>
              <w:rPr>
                <w:rFonts w:hint="eastAsia"/>
                <w:sz w:val="21"/>
                <w:szCs w:val="21"/>
                <w:highlight w:val="none"/>
                <w:lang w:val="en-US" w:eastAsia="zh-CN"/>
              </w:rPr>
            </w:pPr>
            <w:r>
              <w:rPr>
                <w:rFonts w:hint="eastAsia" w:ascii="Times New Roman" w:hAnsi="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Times New Roman" w:hAnsi="Times New Roman"/>
                <w:color w:val="auto"/>
                <w:sz w:val="21"/>
                <w:szCs w:val="21"/>
                <w:highlight w:val="none"/>
                <w:lang w:val="en-US" w:eastAsia="zh-CN"/>
              </w:rPr>
              <w:t>供应商</w:t>
            </w:r>
            <w:r>
              <w:rPr>
                <w:rFonts w:hint="eastAsia" w:ascii="Times New Roman" w:hAnsi="Times New Roman"/>
                <w:color w:val="auto"/>
                <w:sz w:val="21"/>
                <w:szCs w:val="21"/>
                <w:highlight w:val="none"/>
              </w:rPr>
              <w:t>须提供</w:t>
            </w:r>
            <w:r>
              <w:rPr>
                <w:rFonts w:hint="eastAsia" w:ascii="Times New Roman" w:hAnsi="Times New Roman"/>
                <w:color w:val="auto"/>
                <w:sz w:val="21"/>
                <w:szCs w:val="21"/>
                <w:highlight w:val="none"/>
                <w:lang w:val="en-US" w:eastAsia="zh-CN"/>
              </w:rPr>
              <w:t>承诺函</w:t>
            </w:r>
            <w:r>
              <w:rPr>
                <w:rFonts w:hint="eastAsia" w:ascii="Times New Roman" w:hAnsi="Times New Roman"/>
                <w:color w:val="auto"/>
                <w:sz w:val="21"/>
                <w:szCs w:val="21"/>
                <w:highlight w:val="none"/>
                <w:lang w:eastAsia="zh-CN"/>
              </w:rPr>
              <w:t>。</w:t>
            </w:r>
          </w:p>
        </w:tc>
      </w:tr>
      <w:tr w14:paraId="5F27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6D84AB64">
            <w:pPr>
              <w:pStyle w:val="23"/>
              <w:spacing w:line="360" w:lineRule="auto"/>
              <w:jc w:val="center"/>
              <w:rPr>
                <w:rFonts w:hint="eastAsia" w:hAnsi="宋体"/>
                <w:sz w:val="21"/>
                <w:szCs w:val="21"/>
                <w:highlight w:val="none"/>
              </w:rPr>
            </w:pPr>
            <w:r>
              <w:rPr>
                <w:rFonts w:hint="eastAsia" w:hAnsi="宋体"/>
                <w:sz w:val="21"/>
                <w:szCs w:val="21"/>
                <w:highlight w:val="none"/>
              </w:rPr>
              <w:t>★4</w:t>
            </w:r>
            <w:r>
              <w:rPr>
                <w:rFonts w:hAnsi="宋体"/>
                <w:sz w:val="21"/>
                <w:szCs w:val="21"/>
                <w:highlight w:val="none"/>
              </w:rPr>
              <w:t>.2</w:t>
            </w:r>
          </w:p>
        </w:tc>
        <w:tc>
          <w:tcPr>
            <w:tcW w:w="1830" w:type="dxa"/>
            <w:noWrap w:val="0"/>
            <w:vAlign w:val="center"/>
          </w:tcPr>
          <w:p w14:paraId="6C40EBC1">
            <w:pPr>
              <w:pStyle w:val="23"/>
              <w:spacing w:line="360" w:lineRule="auto"/>
              <w:rPr>
                <w:rFonts w:hint="eastAsia" w:hAnsi="宋体"/>
                <w:sz w:val="21"/>
                <w:szCs w:val="21"/>
                <w:highlight w:val="none"/>
              </w:rPr>
            </w:pPr>
            <w:r>
              <w:rPr>
                <w:rFonts w:hint="eastAsia" w:hAnsi="宋体"/>
                <w:sz w:val="21"/>
                <w:szCs w:val="21"/>
                <w:highlight w:val="none"/>
              </w:rPr>
              <w:t>落实政府采购政策需满足的资格要求</w:t>
            </w:r>
          </w:p>
        </w:tc>
        <w:tc>
          <w:tcPr>
            <w:tcW w:w="6231" w:type="dxa"/>
            <w:noWrap w:val="0"/>
            <w:vAlign w:val="center"/>
          </w:tcPr>
          <w:p w14:paraId="6F25105A">
            <w:pPr>
              <w:pStyle w:val="23"/>
              <w:spacing w:line="360" w:lineRule="auto"/>
              <w:rPr>
                <w:rFonts w:hint="eastAsia" w:hAnsi="宋体"/>
                <w:sz w:val="21"/>
                <w:szCs w:val="21"/>
                <w:highlight w:val="none"/>
              </w:rPr>
            </w:pPr>
            <w:r>
              <w:rPr>
                <w:rFonts w:hint="eastAsia" w:hAnsi="宋体"/>
                <w:sz w:val="21"/>
                <w:szCs w:val="21"/>
                <w:highlight w:val="none"/>
              </w:rPr>
              <w:t xml:space="preserve">见第一章 </w:t>
            </w:r>
            <w:r>
              <w:rPr>
                <w:rFonts w:hint="eastAsia" w:hAnsi="宋体"/>
                <w:sz w:val="21"/>
                <w:szCs w:val="21"/>
                <w:highlight w:val="none"/>
                <w:lang w:val="en-US" w:eastAsia="zh-CN"/>
              </w:rPr>
              <w:t>竞争性磋商公告</w:t>
            </w:r>
            <w:r>
              <w:rPr>
                <w:rFonts w:hint="eastAsia" w:hAnsi="宋体"/>
                <w:sz w:val="21"/>
                <w:szCs w:val="21"/>
                <w:highlight w:val="none"/>
              </w:rPr>
              <w:t>二、申请人的资格要求</w:t>
            </w:r>
          </w:p>
        </w:tc>
      </w:tr>
      <w:tr w14:paraId="6C56B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0107AC8F">
            <w:pPr>
              <w:pStyle w:val="23"/>
              <w:spacing w:line="360" w:lineRule="auto"/>
              <w:jc w:val="center"/>
              <w:rPr>
                <w:rFonts w:hint="eastAsia" w:hAnsi="宋体"/>
                <w:sz w:val="21"/>
                <w:szCs w:val="21"/>
                <w:highlight w:val="none"/>
              </w:rPr>
            </w:pPr>
            <w:r>
              <w:rPr>
                <w:rFonts w:hint="eastAsia" w:hAnsi="宋体"/>
                <w:sz w:val="21"/>
                <w:szCs w:val="21"/>
                <w:highlight w:val="none"/>
              </w:rPr>
              <w:t>★4</w:t>
            </w:r>
            <w:r>
              <w:rPr>
                <w:rFonts w:hAnsi="宋体"/>
                <w:sz w:val="21"/>
                <w:szCs w:val="21"/>
                <w:highlight w:val="none"/>
              </w:rPr>
              <w:t>.3</w:t>
            </w:r>
          </w:p>
        </w:tc>
        <w:tc>
          <w:tcPr>
            <w:tcW w:w="1830" w:type="dxa"/>
            <w:noWrap w:val="0"/>
            <w:vAlign w:val="center"/>
          </w:tcPr>
          <w:p w14:paraId="18B7A995">
            <w:pPr>
              <w:pStyle w:val="23"/>
              <w:spacing w:line="360" w:lineRule="auto"/>
              <w:rPr>
                <w:rFonts w:hAnsi="宋体"/>
                <w:sz w:val="21"/>
                <w:szCs w:val="21"/>
                <w:highlight w:val="none"/>
              </w:rPr>
            </w:pPr>
            <w:r>
              <w:rPr>
                <w:rFonts w:hint="eastAsia" w:hAnsi="宋体"/>
                <w:sz w:val="21"/>
                <w:szCs w:val="21"/>
                <w:highlight w:val="none"/>
              </w:rPr>
              <w:t>本项目的特定要求</w:t>
            </w:r>
          </w:p>
        </w:tc>
        <w:tc>
          <w:tcPr>
            <w:tcW w:w="6231" w:type="dxa"/>
            <w:noWrap w:val="0"/>
            <w:vAlign w:val="center"/>
          </w:tcPr>
          <w:p w14:paraId="678C5405">
            <w:pPr>
              <w:pStyle w:val="23"/>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见第一章 </w:t>
            </w:r>
            <w:r>
              <w:rPr>
                <w:rFonts w:hint="eastAsia" w:ascii="宋体" w:hAnsi="宋体" w:eastAsia="宋体" w:cs="Times New Roman"/>
                <w:sz w:val="21"/>
                <w:szCs w:val="21"/>
                <w:highlight w:val="none"/>
                <w:lang w:val="en-US" w:eastAsia="zh-CN"/>
              </w:rPr>
              <w:t>竞争性磋商公告</w:t>
            </w:r>
            <w:r>
              <w:rPr>
                <w:rFonts w:hint="eastAsia" w:ascii="宋体" w:hAnsi="宋体" w:eastAsia="宋体" w:cs="Times New Roman"/>
                <w:sz w:val="21"/>
                <w:szCs w:val="21"/>
                <w:highlight w:val="none"/>
              </w:rPr>
              <w:t>二、申请人的资格要求</w:t>
            </w:r>
          </w:p>
          <w:p w14:paraId="46D74CF7">
            <w:pPr>
              <w:pStyle w:val="23"/>
              <w:spacing w:line="360" w:lineRule="auto"/>
              <w:rPr>
                <w:sz w:val="21"/>
                <w:szCs w:val="21"/>
                <w:highlight w:val="none"/>
              </w:rPr>
            </w:pPr>
            <w:r>
              <w:rPr>
                <w:rFonts w:hint="eastAsia"/>
                <w:b/>
                <w:bCs/>
                <w:color w:val="auto"/>
                <w:sz w:val="21"/>
                <w:szCs w:val="21"/>
                <w:highlight w:val="none"/>
                <w:lang w:val="en-US" w:eastAsia="zh-CN"/>
              </w:rPr>
              <w:t>注：根据</w:t>
            </w:r>
            <w:r>
              <w:rPr>
                <w:rFonts w:hint="eastAsia"/>
                <w:b/>
                <w:bCs/>
                <w:color w:val="auto"/>
                <w:sz w:val="21"/>
                <w:szCs w:val="21"/>
                <w:highlight w:val="none"/>
                <w:lang w:eastAsia="zh-CN"/>
              </w:rPr>
              <w:t>《</w:t>
            </w:r>
            <w:r>
              <w:rPr>
                <w:rFonts w:hint="eastAsia"/>
                <w:b/>
                <w:bCs/>
                <w:color w:val="auto"/>
                <w:sz w:val="21"/>
                <w:szCs w:val="21"/>
                <w:highlight w:val="none"/>
              </w:rPr>
              <w:t>财政部关于在政府采购活动中查询及使用信用记</w:t>
            </w:r>
            <w:r>
              <w:rPr>
                <w:rFonts w:hint="eastAsia" w:ascii="Times New Roman" w:hAnsi="Times New Roman"/>
                <w:b/>
                <w:bCs/>
                <w:color w:val="auto"/>
                <w:sz w:val="21"/>
                <w:szCs w:val="21"/>
                <w:highlight w:val="none"/>
              </w:rPr>
              <w:t>录有关问题的通知</w:t>
            </w:r>
            <w:r>
              <w:rPr>
                <w:rFonts w:hint="eastAsia" w:ascii="Times New Roman" w:hAnsi="Times New Roman"/>
                <w:b/>
                <w:bCs/>
                <w:color w:val="auto"/>
                <w:sz w:val="21"/>
                <w:szCs w:val="21"/>
                <w:highlight w:val="none"/>
                <w:lang w:eastAsia="zh-CN"/>
              </w:rPr>
              <w:t>》（财库[2016]125号）</w:t>
            </w:r>
            <w:r>
              <w:rPr>
                <w:rFonts w:hint="eastAsia" w:ascii="Times New Roman" w:hAnsi="Times New Roman"/>
                <w:b/>
                <w:bCs/>
                <w:color w:val="auto"/>
                <w:sz w:val="21"/>
                <w:szCs w:val="21"/>
                <w:highlight w:val="none"/>
                <w:lang w:val="en-US" w:eastAsia="zh-CN"/>
              </w:rPr>
              <w:t>的要求</w:t>
            </w:r>
            <w:r>
              <w:rPr>
                <w:rFonts w:hint="eastAsia" w:ascii="Times New Roman" w:hAnsi="Times New Roman"/>
                <w:b/>
                <w:bCs/>
                <w:color w:val="auto"/>
                <w:sz w:val="21"/>
                <w:szCs w:val="21"/>
                <w:highlight w:val="none"/>
              </w:rPr>
              <w:t>，信用信息查询记录由采购代理机构负责查询、存档</w:t>
            </w:r>
            <w:r>
              <w:rPr>
                <w:rFonts w:ascii="Times New Roman" w:hAnsi="Times New Roman"/>
                <w:b/>
                <w:bCs/>
                <w:color w:val="auto"/>
                <w:sz w:val="21"/>
                <w:szCs w:val="21"/>
                <w:highlight w:val="none"/>
              </w:rPr>
              <w:t>，信用信息查询记录及相关证据与其他采购文件一并保存</w:t>
            </w:r>
            <w:r>
              <w:rPr>
                <w:rFonts w:hint="eastAsia"/>
                <w:b/>
                <w:bCs/>
                <w:color w:val="auto"/>
                <w:sz w:val="21"/>
                <w:szCs w:val="21"/>
                <w:highlight w:val="none"/>
                <w:lang w:eastAsia="zh-CN"/>
              </w:rPr>
              <w:t>。</w:t>
            </w:r>
          </w:p>
        </w:tc>
      </w:tr>
      <w:tr w14:paraId="173A3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63B081C4">
            <w:pPr>
              <w:pStyle w:val="23"/>
              <w:spacing w:line="360" w:lineRule="auto"/>
              <w:jc w:val="center"/>
              <w:rPr>
                <w:rFonts w:hint="eastAsia" w:hAnsi="宋体"/>
                <w:sz w:val="21"/>
                <w:szCs w:val="21"/>
                <w:highlight w:val="none"/>
              </w:rPr>
            </w:pPr>
            <w:r>
              <w:rPr>
                <w:rFonts w:hint="eastAsia" w:hAnsi="宋体"/>
                <w:sz w:val="21"/>
                <w:szCs w:val="21"/>
                <w:highlight w:val="none"/>
              </w:rPr>
              <w:t>★4</w:t>
            </w:r>
            <w:r>
              <w:rPr>
                <w:rFonts w:hAnsi="宋体"/>
                <w:sz w:val="21"/>
                <w:szCs w:val="21"/>
                <w:highlight w:val="none"/>
              </w:rPr>
              <w:t>.4</w:t>
            </w:r>
          </w:p>
        </w:tc>
        <w:tc>
          <w:tcPr>
            <w:tcW w:w="1830" w:type="dxa"/>
            <w:noWrap w:val="0"/>
            <w:vAlign w:val="center"/>
          </w:tcPr>
          <w:p w14:paraId="3ABFD139">
            <w:pPr>
              <w:pStyle w:val="23"/>
              <w:spacing w:line="360" w:lineRule="auto"/>
              <w:rPr>
                <w:rFonts w:hint="eastAsia" w:hAnsi="宋体"/>
                <w:sz w:val="21"/>
                <w:szCs w:val="21"/>
                <w:highlight w:val="none"/>
              </w:rPr>
            </w:pPr>
            <w:r>
              <w:rPr>
                <w:rFonts w:hint="eastAsia" w:hAnsi="宋体"/>
                <w:sz w:val="21"/>
                <w:szCs w:val="21"/>
                <w:highlight w:val="none"/>
              </w:rPr>
              <w:t>是否接受联合体参加磋商</w:t>
            </w:r>
          </w:p>
        </w:tc>
        <w:tc>
          <w:tcPr>
            <w:tcW w:w="6231" w:type="dxa"/>
            <w:noWrap w:val="0"/>
            <w:vAlign w:val="center"/>
          </w:tcPr>
          <w:p w14:paraId="08250725">
            <w:pPr>
              <w:pStyle w:val="23"/>
              <w:spacing w:line="360" w:lineRule="auto"/>
              <w:rPr>
                <w:rFonts w:hint="eastAsia" w:hAnsi="宋体"/>
                <w:sz w:val="21"/>
                <w:szCs w:val="21"/>
                <w:highlight w:val="none"/>
              </w:rPr>
            </w:pPr>
            <w:r>
              <w:rPr>
                <w:sz w:val="21"/>
                <w:szCs w:val="21"/>
                <w:highlight w:val="none"/>
              </w:rPr>
              <w:t xml:space="preserve">见 </w:t>
            </w:r>
            <w:r>
              <w:rPr>
                <w:rFonts w:hint="eastAsia"/>
                <w:sz w:val="21"/>
                <w:szCs w:val="21"/>
                <w:highlight w:val="none"/>
                <w:lang w:eastAsia="zh-CN"/>
              </w:rPr>
              <w:t>“</w:t>
            </w:r>
            <w:r>
              <w:rPr>
                <w:sz w:val="21"/>
                <w:szCs w:val="21"/>
                <w:highlight w:val="none"/>
              </w:rPr>
              <w:t xml:space="preserve">第一章 </w:t>
            </w:r>
            <w:r>
              <w:rPr>
                <w:rFonts w:hint="eastAsia"/>
                <w:sz w:val="21"/>
                <w:szCs w:val="21"/>
                <w:highlight w:val="none"/>
                <w:lang w:val="en-US" w:eastAsia="zh-CN"/>
              </w:rPr>
              <w:t>竞争性磋商</w:t>
            </w:r>
            <w:r>
              <w:rPr>
                <w:sz w:val="21"/>
                <w:szCs w:val="21"/>
                <w:highlight w:val="none"/>
              </w:rPr>
              <w:t>公告二、申请人的资格要求</w:t>
            </w:r>
            <w:r>
              <w:rPr>
                <w:rFonts w:hint="eastAsia"/>
                <w:sz w:val="21"/>
                <w:szCs w:val="21"/>
                <w:highlight w:val="none"/>
                <w:lang w:eastAsia="zh-CN"/>
              </w:rPr>
              <w:t>”</w:t>
            </w:r>
          </w:p>
        </w:tc>
      </w:tr>
      <w:tr w14:paraId="0D4A1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22FED0B8">
            <w:pPr>
              <w:pStyle w:val="23"/>
              <w:spacing w:line="360" w:lineRule="auto"/>
              <w:jc w:val="center"/>
              <w:rPr>
                <w:rFonts w:hAnsi="宋体"/>
                <w:sz w:val="21"/>
                <w:szCs w:val="21"/>
                <w:highlight w:val="none"/>
              </w:rPr>
            </w:pPr>
            <w:r>
              <w:rPr>
                <w:rFonts w:hint="eastAsia" w:hAnsi="宋体"/>
                <w:sz w:val="21"/>
                <w:szCs w:val="21"/>
                <w:highlight w:val="none"/>
              </w:rPr>
              <w:t>9</w:t>
            </w:r>
            <w:r>
              <w:rPr>
                <w:rFonts w:hAnsi="宋体"/>
                <w:sz w:val="21"/>
                <w:szCs w:val="21"/>
                <w:highlight w:val="none"/>
              </w:rPr>
              <w:t>.</w:t>
            </w:r>
            <w:r>
              <w:rPr>
                <w:rFonts w:hint="eastAsia" w:hAnsi="宋体"/>
                <w:sz w:val="21"/>
                <w:szCs w:val="21"/>
                <w:highlight w:val="none"/>
              </w:rPr>
              <w:t>1</w:t>
            </w:r>
          </w:p>
        </w:tc>
        <w:tc>
          <w:tcPr>
            <w:tcW w:w="1830" w:type="dxa"/>
            <w:noWrap w:val="0"/>
            <w:vAlign w:val="center"/>
          </w:tcPr>
          <w:p w14:paraId="4C1C274E">
            <w:pPr>
              <w:autoSpaceDE w:val="0"/>
              <w:autoSpaceDN w:val="0"/>
              <w:snapToGrid w:val="0"/>
              <w:spacing w:line="360" w:lineRule="auto"/>
              <w:textAlignment w:val="bottom"/>
              <w:rPr>
                <w:rFonts w:ascii="宋体" w:hAnsi="宋体"/>
                <w:kern w:val="0"/>
                <w:sz w:val="21"/>
                <w:szCs w:val="21"/>
                <w:highlight w:val="none"/>
              </w:rPr>
            </w:pPr>
            <w:r>
              <w:rPr>
                <w:rFonts w:ascii="宋体" w:hAnsi="宋体"/>
                <w:kern w:val="0"/>
                <w:sz w:val="21"/>
                <w:szCs w:val="21"/>
                <w:highlight w:val="none"/>
              </w:rPr>
              <w:t>磋商文件</w:t>
            </w:r>
            <w:r>
              <w:rPr>
                <w:rFonts w:hint="eastAsia" w:ascii="宋体" w:hAnsi="宋体"/>
                <w:kern w:val="0"/>
                <w:sz w:val="21"/>
                <w:szCs w:val="21"/>
                <w:highlight w:val="none"/>
              </w:rPr>
              <w:t>的澄清或者修改</w:t>
            </w:r>
          </w:p>
        </w:tc>
        <w:tc>
          <w:tcPr>
            <w:tcW w:w="6231" w:type="dxa"/>
            <w:noWrap w:val="0"/>
            <w:vAlign w:val="center"/>
          </w:tcPr>
          <w:p w14:paraId="1A693EED">
            <w:pPr>
              <w:autoSpaceDE w:val="0"/>
              <w:autoSpaceDN w:val="0"/>
              <w:snapToGrid w:val="0"/>
              <w:spacing w:line="360" w:lineRule="auto"/>
              <w:textAlignment w:val="bottom"/>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提交首次响应文件截止时间5日前</w:t>
            </w:r>
          </w:p>
        </w:tc>
      </w:tr>
      <w:tr w14:paraId="2586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0FEB06D7">
            <w:pPr>
              <w:pStyle w:val="23"/>
              <w:spacing w:line="360" w:lineRule="auto"/>
              <w:jc w:val="center"/>
              <w:rPr>
                <w:rFonts w:hint="default" w:hAnsi="宋体" w:eastAsia="宋体"/>
                <w:sz w:val="21"/>
                <w:szCs w:val="21"/>
                <w:highlight w:val="none"/>
                <w:lang w:val="en-US" w:eastAsia="zh-CN"/>
              </w:rPr>
            </w:pPr>
            <w:r>
              <w:rPr>
                <w:rFonts w:hint="eastAsia" w:hAnsi="宋体"/>
                <w:sz w:val="21"/>
                <w:szCs w:val="21"/>
                <w:highlight w:val="none"/>
                <w:lang w:val="en-US" w:eastAsia="zh-CN"/>
              </w:rPr>
              <w:t>9.6</w:t>
            </w:r>
          </w:p>
        </w:tc>
        <w:tc>
          <w:tcPr>
            <w:tcW w:w="1830" w:type="dxa"/>
            <w:noWrap w:val="0"/>
            <w:vAlign w:val="center"/>
          </w:tcPr>
          <w:p w14:paraId="17E37ED5">
            <w:pPr>
              <w:autoSpaceDE w:val="0"/>
              <w:autoSpaceDN w:val="0"/>
              <w:snapToGrid w:val="0"/>
              <w:spacing w:line="360" w:lineRule="auto"/>
              <w:textAlignment w:val="bottom"/>
              <w:rPr>
                <w:rFonts w:ascii="宋体" w:hAnsi="宋体"/>
                <w:kern w:val="0"/>
                <w:sz w:val="21"/>
                <w:szCs w:val="21"/>
                <w:highlight w:val="none"/>
              </w:rPr>
            </w:pPr>
            <w:r>
              <w:rPr>
                <w:rFonts w:hint="eastAsia" w:ascii="宋体" w:hAnsi="宋体" w:eastAsia="宋体" w:cs="宋体"/>
                <w:sz w:val="21"/>
                <w:szCs w:val="21"/>
                <w:highlight w:val="none"/>
              </w:rPr>
              <w:t>本项目磋商小组根据与供应商磋商情况可能</w:t>
            </w:r>
            <w:r>
              <w:rPr>
                <w:rFonts w:hint="eastAsia" w:ascii="宋体" w:hAnsi="宋体" w:eastAsia="宋体" w:cs="Times New Roman"/>
                <w:kern w:val="0"/>
                <w:sz w:val="21"/>
                <w:szCs w:val="21"/>
                <w:highlight w:val="none"/>
              </w:rPr>
              <w:t>实质性</w:t>
            </w:r>
            <w:r>
              <w:rPr>
                <w:rFonts w:hint="eastAsia" w:ascii="宋体" w:hAnsi="宋体" w:eastAsia="宋体" w:cs="宋体"/>
                <w:sz w:val="21"/>
                <w:szCs w:val="21"/>
                <w:highlight w:val="none"/>
              </w:rPr>
              <w:t>变动的内容</w:t>
            </w:r>
          </w:p>
        </w:tc>
        <w:tc>
          <w:tcPr>
            <w:tcW w:w="6231" w:type="dxa"/>
            <w:noWrap w:val="0"/>
            <w:vAlign w:val="center"/>
          </w:tcPr>
          <w:p w14:paraId="4CA2A4E9">
            <w:pPr>
              <w:autoSpaceDE w:val="0"/>
              <w:autoSpaceDN w:val="0"/>
              <w:snapToGrid w:val="0"/>
              <w:spacing w:line="360" w:lineRule="auto"/>
              <w:textAlignment w:val="bottom"/>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在磋商过程中，磋商小组可以根据磋商文件和磋商情况实质性变动第五章中的技术、服务要求以及合同草案条款，但不得变动磋商文件中的其他内容</w:t>
            </w:r>
            <w:r>
              <w:rPr>
                <w:rFonts w:hint="eastAsia" w:ascii="宋体" w:hAnsi="宋体" w:eastAsia="宋体" w:cs="Times New Roman"/>
                <w:sz w:val="21"/>
                <w:szCs w:val="21"/>
                <w:highlight w:val="none"/>
                <w:lang w:eastAsia="zh-CN"/>
              </w:rPr>
              <w:t>。</w:t>
            </w:r>
            <w:r>
              <w:rPr>
                <w:rFonts w:hint="eastAsia" w:ascii="宋体" w:hAnsi="宋体" w:eastAsia="宋体" w:cs="Times New Roman"/>
                <w:sz w:val="21"/>
                <w:szCs w:val="21"/>
                <w:highlight w:val="none"/>
              </w:rPr>
              <w:t>实质性变动的内容，须经采购人代表确认。</w:t>
            </w:r>
          </w:p>
        </w:tc>
      </w:tr>
      <w:tr w14:paraId="6266D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1EF3B15C">
            <w:pPr>
              <w:pStyle w:val="23"/>
              <w:spacing w:line="360" w:lineRule="auto"/>
              <w:jc w:val="center"/>
              <w:rPr>
                <w:rFonts w:hint="eastAsia" w:hAnsi="宋体"/>
                <w:sz w:val="21"/>
                <w:szCs w:val="21"/>
                <w:highlight w:val="none"/>
              </w:rPr>
            </w:pPr>
            <w:r>
              <w:rPr>
                <w:rFonts w:hint="eastAsia" w:hAnsi="宋体"/>
                <w:sz w:val="21"/>
                <w:szCs w:val="21"/>
                <w:highlight w:val="none"/>
              </w:rPr>
              <w:t>11</w:t>
            </w:r>
            <w:r>
              <w:rPr>
                <w:rFonts w:hAnsi="宋体"/>
                <w:sz w:val="21"/>
                <w:szCs w:val="21"/>
                <w:highlight w:val="none"/>
              </w:rPr>
              <w:t>.</w:t>
            </w:r>
            <w:r>
              <w:rPr>
                <w:rFonts w:hint="eastAsia" w:hAnsi="宋体"/>
                <w:sz w:val="21"/>
                <w:szCs w:val="21"/>
                <w:highlight w:val="none"/>
              </w:rPr>
              <w:t>1（</w:t>
            </w:r>
            <w:r>
              <w:rPr>
                <w:rFonts w:hint="eastAsia" w:hAnsi="宋体"/>
                <w:sz w:val="21"/>
                <w:szCs w:val="21"/>
                <w:highlight w:val="none"/>
                <w:lang w:val="en-US" w:eastAsia="zh-CN"/>
              </w:rPr>
              <w:t>4</w:t>
            </w:r>
            <w:r>
              <w:rPr>
                <w:rFonts w:hint="eastAsia" w:hAnsi="宋体"/>
                <w:sz w:val="21"/>
                <w:szCs w:val="21"/>
                <w:highlight w:val="none"/>
              </w:rPr>
              <w:t>）</w:t>
            </w:r>
          </w:p>
        </w:tc>
        <w:tc>
          <w:tcPr>
            <w:tcW w:w="1830" w:type="dxa"/>
            <w:noWrap w:val="0"/>
            <w:vAlign w:val="center"/>
          </w:tcPr>
          <w:p w14:paraId="45A2E139">
            <w:pPr>
              <w:autoSpaceDE w:val="0"/>
              <w:autoSpaceDN w:val="0"/>
              <w:snapToGrid w:val="0"/>
              <w:spacing w:line="360" w:lineRule="auto"/>
              <w:textAlignment w:val="bottom"/>
              <w:rPr>
                <w:rFonts w:ascii="宋体" w:hAnsi="宋体"/>
                <w:kern w:val="0"/>
                <w:sz w:val="21"/>
                <w:szCs w:val="21"/>
                <w:highlight w:val="none"/>
              </w:rPr>
            </w:pPr>
            <w:r>
              <w:rPr>
                <w:rFonts w:ascii="宋体" w:hAnsi="宋体"/>
                <w:kern w:val="0"/>
                <w:sz w:val="21"/>
                <w:szCs w:val="21"/>
                <w:highlight w:val="none"/>
              </w:rPr>
              <w:t>构成</w:t>
            </w:r>
            <w:r>
              <w:rPr>
                <w:rFonts w:hint="eastAsia" w:ascii="宋体" w:hAnsi="宋体"/>
                <w:kern w:val="0"/>
                <w:sz w:val="21"/>
                <w:szCs w:val="21"/>
                <w:highlight w:val="none"/>
              </w:rPr>
              <w:t>响应文件</w:t>
            </w:r>
            <w:r>
              <w:rPr>
                <w:rFonts w:ascii="宋体" w:hAnsi="宋体"/>
                <w:kern w:val="0"/>
                <w:sz w:val="21"/>
                <w:szCs w:val="21"/>
                <w:highlight w:val="none"/>
              </w:rPr>
              <w:t>的其他资料</w:t>
            </w:r>
          </w:p>
        </w:tc>
        <w:tc>
          <w:tcPr>
            <w:tcW w:w="6231" w:type="dxa"/>
            <w:noWrap w:val="0"/>
            <w:vAlign w:val="center"/>
          </w:tcPr>
          <w:p w14:paraId="475DD681">
            <w:pPr>
              <w:pStyle w:val="23"/>
              <w:spacing w:line="360" w:lineRule="auto"/>
              <w:rPr>
                <w:rFonts w:hint="eastAsia" w:hAnsi="宋体"/>
                <w:sz w:val="21"/>
                <w:szCs w:val="21"/>
                <w:highlight w:val="none"/>
              </w:rPr>
            </w:pPr>
            <w:r>
              <w:rPr>
                <w:rFonts w:hAnsi="宋体"/>
                <w:sz w:val="21"/>
                <w:szCs w:val="21"/>
                <w:highlight w:val="none"/>
              </w:rPr>
              <w:t>1</w:t>
            </w:r>
            <w:r>
              <w:rPr>
                <w:rFonts w:hint="eastAsia" w:hAnsi="宋体"/>
                <w:sz w:val="21"/>
                <w:szCs w:val="21"/>
                <w:highlight w:val="none"/>
              </w:rPr>
              <w:t xml:space="preserve">、“第五章 </w:t>
            </w:r>
            <w:r>
              <w:rPr>
                <w:rFonts w:hint="eastAsia" w:hAnsi="宋体"/>
                <w:sz w:val="21"/>
                <w:szCs w:val="21"/>
                <w:highlight w:val="none"/>
                <w:lang w:eastAsia="zh-CN"/>
              </w:rPr>
              <w:t>项目需求</w:t>
            </w:r>
            <w:r>
              <w:rPr>
                <w:rFonts w:hint="eastAsia" w:hAnsi="宋体"/>
                <w:sz w:val="21"/>
                <w:szCs w:val="21"/>
                <w:highlight w:val="none"/>
              </w:rPr>
              <w:t>”中要求提供的其他资料。</w:t>
            </w:r>
          </w:p>
          <w:p w14:paraId="7EC456D5">
            <w:pPr>
              <w:pStyle w:val="23"/>
              <w:spacing w:line="360" w:lineRule="auto"/>
              <w:rPr>
                <w:rFonts w:hAnsi="宋体"/>
                <w:sz w:val="21"/>
                <w:szCs w:val="21"/>
                <w:highlight w:val="none"/>
              </w:rPr>
            </w:pPr>
            <w:r>
              <w:rPr>
                <w:rFonts w:hAnsi="宋体"/>
                <w:sz w:val="21"/>
                <w:szCs w:val="21"/>
                <w:highlight w:val="none"/>
              </w:rPr>
              <w:t>2</w:t>
            </w:r>
            <w:r>
              <w:rPr>
                <w:rFonts w:hint="eastAsia" w:hAnsi="宋体"/>
                <w:sz w:val="21"/>
                <w:szCs w:val="21"/>
                <w:highlight w:val="none"/>
              </w:rPr>
              <w:t>、竞争性磋商</w:t>
            </w:r>
            <w:r>
              <w:rPr>
                <w:rFonts w:hAnsi="宋体"/>
                <w:sz w:val="21"/>
                <w:szCs w:val="21"/>
                <w:highlight w:val="none"/>
              </w:rPr>
              <w:t>文件中所涉及到的相关资料及证明文件或供应商认为必须提供的其他相关资料。</w:t>
            </w:r>
          </w:p>
          <w:p w14:paraId="4F588E5B">
            <w:pPr>
              <w:pStyle w:val="23"/>
              <w:spacing w:line="360" w:lineRule="auto"/>
              <w:rPr>
                <w:rFonts w:hint="eastAsia" w:hAnsi="宋体" w:eastAsia="宋体"/>
                <w:sz w:val="21"/>
                <w:szCs w:val="21"/>
                <w:highlight w:val="none"/>
                <w:lang w:val="en-US" w:eastAsia="zh-CN"/>
              </w:rPr>
            </w:pPr>
            <w:r>
              <w:rPr>
                <w:rFonts w:hint="eastAsia" w:hAnsi="宋体"/>
                <w:sz w:val="21"/>
                <w:szCs w:val="21"/>
                <w:highlight w:val="none"/>
                <w:lang w:val="en-US" w:eastAsia="zh-CN"/>
              </w:rPr>
              <w:t>3、供应商在评审过程中作出的符合法律法规和竞争性磋商文件规定的澄清文件。</w:t>
            </w:r>
          </w:p>
        </w:tc>
      </w:tr>
      <w:tr w14:paraId="74AA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7FF9ADAA">
            <w:pPr>
              <w:pStyle w:val="23"/>
              <w:spacing w:line="360" w:lineRule="auto"/>
              <w:jc w:val="center"/>
              <w:rPr>
                <w:rFonts w:hAnsi="宋体"/>
                <w:sz w:val="21"/>
                <w:szCs w:val="21"/>
                <w:highlight w:val="none"/>
              </w:rPr>
            </w:pPr>
            <w:r>
              <w:rPr>
                <w:rFonts w:hAnsi="宋体"/>
                <w:sz w:val="21"/>
                <w:szCs w:val="21"/>
                <w:highlight w:val="none"/>
              </w:rPr>
              <w:t>1</w:t>
            </w:r>
            <w:r>
              <w:rPr>
                <w:rFonts w:hint="eastAsia" w:hAnsi="宋体"/>
                <w:sz w:val="21"/>
                <w:szCs w:val="21"/>
                <w:highlight w:val="none"/>
              </w:rPr>
              <w:t>3</w:t>
            </w:r>
            <w:r>
              <w:rPr>
                <w:rFonts w:hAnsi="宋体"/>
                <w:sz w:val="21"/>
                <w:szCs w:val="21"/>
                <w:highlight w:val="none"/>
              </w:rPr>
              <w:t>.1</w:t>
            </w:r>
          </w:p>
        </w:tc>
        <w:tc>
          <w:tcPr>
            <w:tcW w:w="1830" w:type="dxa"/>
            <w:noWrap w:val="0"/>
            <w:vAlign w:val="center"/>
          </w:tcPr>
          <w:p w14:paraId="1B1D342B">
            <w:pPr>
              <w:pStyle w:val="23"/>
              <w:spacing w:line="360" w:lineRule="auto"/>
              <w:rPr>
                <w:rFonts w:hAnsi="宋体"/>
                <w:sz w:val="21"/>
                <w:szCs w:val="21"/>
                <w:highlight w:val="none"/>
              </w:rPr>
            </w:pPr>
            <w:r>
              <w:rPr>
                <w:rFonts w:hAnsi="宋体"/>
                <w:sz w:val="21"/>
                <w:szCs w:val="21"/>
                <w:highlight w:val="none"/>
              </w:rPr>
              <w:t>有效期</w:t>
            </w:r>
          </w:p>
        </w:tc>
        <w:tc>
          <w:tcPr>
            <w:tcW w:w="6231" w:type="dxa"/>
            <w:noWrap w:val="0"/>
            <w:vAlign w:val="center"/>
          </w:tcPr>
          <w:p w14:paraId="661C78A3">
            <w:pPr>
              <w:pStyle w:val="23"/>
              <w:spacing w:line="360" w:lineRule="auto"/>
              <w:rPr>
                <w:rFonts w:hAnsi="宋体"/>
                <w:sz w:val="21"/>
                <w:szCs w:val="21"/>
                <w:highlight w:val="none"/>
              </w:rPr>
            </w:pPr>
            <w:r>
              <w:rPr>
                <w:rFonts w:hint="eastAsia" w:hAnsi="宋体"/>
                <w:sz w:val="21"/>
                <w:szCs w:val="21"/>
                <w:highlight w:val="none"/>
              </w:rPr>
              <w:t>从</w:t>
            </w:r>
            <w:r>
              <w:rPr>
                <w:rFonts w:hint="eastAsia" w:hAnsi="宋体"/>
                <w:sz w:val="21"/>
                <w:szCs w:val="21"/>
                <w:highlight w:val="none"/>
                <w:lang w:eastAsia="zh-CN"/>
              </w:rPr>
              <w:t>提交响应文件</w:t>
            </w:r>
            <w:r>
              <w:rPr>
                <w:rFonts w:hAnsi="宋体"/>
                <w:sz w:val="21"/>
                <w:szCs w:val="21"/>
                <w:highlight w:val="none"/>
              </w:rPr>
              <w:t>截止</w:t>
            </w:r>
            <w:r>
              <w:rPr>
                <w:rFonts w:hint="eastAsia" w:hAnsi="宋体"/>
                <w:sz w:val="21"/>
                <w:szCs w:val="21"/>
                <w:highlight w:val="none"/>
              </w:rPr>
              <w:t>之日起</w:t>
            </w:r>
            <w:r>
              <w:rPr>
                <w:rFonts w:hint="eastAsia" w:hAnsi="宋体"/>
                <w:sz w:val="21"/>
                <w:szCs w:val="21"/>
                <w:highlight w:val="none"/>
                <w:u w:val="single"/>
              </w:rPr>
              <w:t>90</w:t>
            </w:r>
            <w:r>
              <w:rPr>
                <w:rFonts w:hint="eastAsia" w:hAnsi="宋体"/>
                <w:sz w:val="21"/>
                <w:szCs w:val="21"/>
                <w:highlight w:val="none"/>
              </w:rPr>
              <w:t>日历</w:t>
            </w:r>
            <w:r>
              <w:rPr>
                <w:rFonts w:hAnsi="宋体"/>
                <w:sz w:val="21"/>
                <w:szCs w:val="21"/>
                <w:highlight w:val="none"/>
              </w:rPr>
              <w:t>天</w:t>
            </w:r>
          </w:p>
        </w:tc>
      </w:tr>
      <w:tr w14:paraId="1FE0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30550427">
            <w:pPr>
              <w:pStyle w:val="23"/>
              <w:spacing w:line="360" w:lineRule="auto"/>
              <w:jc w:val="center"/>
              <w:rPr>
                <w:rFonts w:hAnsi="宋体"/>
                <w:sz w:val="21"/>
                <w:szCs w:val="21"/>
                <w:highlight w:val="none"/>
              </w:rPr>
            </w:pPr>
            <w:r>
              <w:rPr>
                <w:rFonts w:hAnsi="宋体"/>
                <w:sz w:val="21"/>
                <w:szCs w:val="21"/>
                <w:highlight w:val="none"/>
              </w:rPr>
              <w:t>1</w:t>
            </w:r>
            <w:r>
              <w:rPr>
                <w:rFonts w:hint="eastAsia" w:hAnsi="宋体"/>
                <w:sz w:val="21"/>
                <w:szCs w:val="21"/>
                <w:highlight w:val="none"/>
              </w:rPr>
              <w:t>5</w:t>
            </w:r>
            <w:r>
              <w:rPr>
                <w:rFonts w:hAnsi="宋体"/>
                <w:sz w:val="21"/>
                <w:szCs w:val="21"/>
                <w:highlight w:val="none"/>
              </w:rPr>
              <w:t>.</w:t>
            </w:r>
            <w:r>
              <w:rPr>
                <w:rFonts w:hint="eastAsia" w:hAnsi="宋体"/>
                <w:sz w:val="21"/>
                <w:szCs w:val="21"/>
                <w:highlight w:val="none"/>
              </w:rPr>
              <w:t>1</w:t>
            </w:r>
          </w:p>
        </w:tc>
        <w:tc>
          <w:tcPr>
            <w:tcW w:w="1830" w:type="dxa"/>
            <w:noWrap w:val="0"/>
            <w:vAlign w:val="center"/>
          </w:tcPr>
          <w:p w14:paraId="5989B9E8">
            <w:pPr>
              <w:pStyle w:val="23"/>
              <w:spacing w:line="360" w:lineRule="auto"/>
              <w:rPr>
                <w:rFonts w:hAnsi="宋体"/>
                <w:sz w:val="21"/>
                <w:szCs w:val="21"/>
                <w:highlight w:val="none"/>
              </w:rPr>
            </w:pPr>
            <w:r>
              <w:rPr>
                <w:rFonts w:hint="eastAsia" w:hAnsi="宋体"/>
                <w:sz w:val="21"/>
                <w:szCs w:val="21"/>
                <w:highlight w:val="none"/>
              </w:rPr>
              <w:t>磋商</w:t>
            </w:r>
            <w:r>
              <w:rPr>
                <w:rFonts w:hAnsi="宋体"/>
                <w:sz w:val="21"/>
                <w:szCs w:val="21"/>
                <w:highlight w:val="none"/>
              </w:rPr>
              <w:t>保证金</w:t>
            </w:r>
          </w:p>
        </w:tc>
        <w:tc>
          <w:tcPr>
            <w:tcW w:w="6231" w:type="dxa"/>
            <w:noWrap w:val="0"/>
            <w:vAlign w:val="center"/>
          </w:tcPr>
          <w:p w14:paraId="69CB4331">
            <w:pPr>
              <w:pStyle w:val="23"/>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保证金相关信息</w:t>
            </w:r>
          </w:p>
          <w:p w14:paraId="55E5E531">
            <w:pPr>
              <w:pStyle w:val="23"/>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磋商保证金</w:t>
            </w:r>
            <w:r>
              <w:rPr>
                <w:rFonts w:hint="eastAsia" w:ascii="宋体" w:hAnsi="宋体" w:eastAsia="宋体" w:cs="宋体"/>
                <w:color w:val="auto"/>
                <w:sz w:val="21"/>
                <w:szCs w:val="21"/>
                <w:highlight w:val="none"/>
              </w:rPr>
              <w:t>形式：银行转账或银行保函或保证保险或其他非现金方式（不接受现场缴纳现金）</w:t>
            </w:r>
          </w:p>
          <w:p w14:paraId="4A742771">
            <w:pPr>
              <w:pStyle w:val="59"/>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磋商保证金</w:t>
            </w:r>
            <w:r>
              <w:rPr>
                <w:rFonts w:hint="eastAsia" w:ascii="宋体" w:hAnsi="宋体" w:eastAsia="宋体" w:cs="宋体"/>
                <w:color w:val="auto"/>
                <w:sz w:val="21"/>
                <w:szCs w:val="21"/>
                <w:highlight w:val="none"/>
              </w:rPr>
              <w:t>金额：¥</w:t>
            </w:r>
            <w:r>
              <w:rPr>
                <w:rFonts w:hint="eastAsia" w:hAnsi="宋体" w:cs="宋体"/>
                <w:color w:val="auto"/>
                <w:sz w:val="21"/>
                <w:szCs w:val="21"/>
                <w:highlight w:val="none"/>
                <w:lang w:val="en-US" w:eastAsia="zh-CN"/>
              </w:rPr>
              <w:t>30000</w:t>
            </w:r>
            <w:r>
              <w:rPr>
                <w:rFonts w:hint="eastAsia" w:ascii="宋体" w:hAnsi="宋体" w:eastAsia="宋体" w:cs="宋体"/>
                <w:color w:val="auto"/>
                <w:sz w:val="21"/>
                <w:szCs w:val="21"/>
                <w:highlight w:val="none"/>
              </w:rPr>
              <w:t>.00元</w:t>
            </w:r>
            <w:r>
              <w:rPr>
                <w:rFonts w:hint="eastAsia" w:ascii="宋体" w:hAnsi="宋体" w:eastAsia="宋体" w:cs="宋体"/>
                <w:color w:val="auto"/>
                <w:sz w:val="21"/>
                <w:szCs w:val="21"/>
                <w:highlight w:val="none"/>
                <w:lang w:eastAsia="zh-CN"/>
              </w:rPr>
              <w:t>（</w:t>
            </w:r>
            <w:r>
              <w:rPr>
                <w:rFonts w:hint="eastAsia" w:hAnsi="宋体" w:cs="宋体"/>
                <w:color w:val="auto"/>
                <w:sz w:val="21"/>
                <w:szCs w:val="21"/>
                <w:highlight w:val="none"/>
                <w:lang w:val="en-US" w:eastAsia="zh-CN"/>
              </w:rPr>
              <w:t>叁万</w:t>
            </w:r>
            <w:r>
              <w:rPr>
                <w:rFonts w:hint="eastAsia" w:ascii="宋体" w:hAnsi="宋体" w:eastAsia="宋体" w:cs="宋体"/>
                <w:color w:val="auto"/>
                <w:sz w:val="21"/>
                <w:szCs w:val="21"/>
                <w:highlight w:val="none"/>
                <w:lang w:val="en-US" w:eastAsia="zh-CN"/>
              </w:rPr>
              <w:t>元整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352A0206">
            <w:pPr>
              <w:pStyle w:val="23"/>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eastAsia="zh-CN"/>
              </w:rPr>
              <w:t>磋商保证金</w:t>
            </w:r>
            <w:r>
              <w:rPr>
                <w:rFonts w:hint="eastAsia" w:ascii="宋体" w:hAnsi="宋体" w:eastAsia="宋体" w:cs="宋体"/>
                <w:color w:val="auto"/>
                <w:highlight w:val="none"/>
              </w:rPr>
              <w:t>的提交方式</w:t>
            </w:r>
          </w:p>
          <w:p w14:paraId="1A047AB8">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磋商保证金</w:t>
            </w:r>
            <w:r>
              <w:rPr>
                <w:rFonts w:hint="eastAsia" w:ascii="宋体" w:hAnsi="宋体" w:eastAsia="宋体" w:cs="宋体"/>
                <w:color w:val="auto"/>
                <w:highlight w:val="none"/>
              </w:rPr>
              <w:t>形式：银行转账或银行保函或保证保险或其他非现金方式（不接受现场缴纳现金），</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可根据实际情况，选择保证金的提供或缴纳方式，有关部门、单位和企业不得以任何方式排斥、限制或拒绝接受。</w:t>
            </w:r>
          </w:p>
          <w:p w14:paraId="7D18EBE8">
            <w:pPr>
              <w:pStyle w:val="23"/>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①采用银行转账：</w:t>
            </w:r>
          </w:p>
          <w:p w14:paraId="588CBB74">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投标（交易）保证金应以</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自身的名义提交，并且必须从其基本账户转出（按照规定，</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可以为自然人的项目除外，若为联合体，保证金由联合体牵头人进行缴纳）。</w:t>
            </w:r>
          </w:p>
          <w:p w14:paraId="306AC567">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本次项目</w:t>
            </w:r>
            <w:r>
              <w:rPr>
                <w:rFonts w:hint="eastAsia" w:ascii="宋体" w:hAnsi="宋体" w:eastAsia="宋体" w:cs="宋体"/>
                <w:color w:val="auto"/>
                <w:highlight w:val="none"/>
                <w:lang w:eastAsia="zh-CN"/>
              </w:rPr>
              <w:t>磋商保证金</w:t>
            </w:r>
            <w:r>
              <w:rPr>
                <w:rFonts w:hint="eastAsia" w:ascii="宋体" w:hAnsi="宋体" w:eastAsia="宋体" w:cs="宋体"/>
                <w:color w:val="auto"/>
                <w:highlight w:val="none"/>
              </w:rPr>
              <w:t>专用账号转账信息如下（唯一账户）：</w:t>
            </w:r>
          </w:p>
          <w:p w14:paraId="6AC8E4A8">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磋商保证金</w:t>
            </w:r>
            <w:r>
              <w:rPr>
                <w:rFonts w:hint="eastAsia" w:ascii="宋体" w:hAnsi="宋体" w:eastAsia="宋体" w:cs="宋体"/>
                <w:color w:val="auto"/>
                <w:highlight w:val="none"/>
              </w:rPr>
              <w:t>指定账户：</w:t>
            </w:r>
          </w:p>
          <w:p w14:paraId="14D7550F">
            <w:pPr>
              <w:pStyle w:val="23"/>
              <w:spacing w:line="440" w:lineRule="exact"/>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户名：</w:t>
            </w:r>
            <w:r>
              <w:rPr>
                <w:rFonts w:hint="eastAsia" w:ascii="宋体" w:hAnsi="宋体" w:eastAsia="宋体" w:cs="宋体"/>
                <w:color w:val="auto"/>
                <w:highlight w:val="none"/>
                <w:lang w:eastAsia="zh-CN"/>
              </w:rPr>
              <w:t>保山顺意招标代理有限责任公司</w:t>
            </w:r>
          </w:p>
          <w:p w14:paraId="73ADFEE3">
            <w:pPr>
              <w:pStyle w:val="23"/>
              <w:spacing w:line="440" w:lineRule="exact"/>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开户银行：</w:t>
            </w:r>
            <w:r>
              <w:rPr>
                <w:rFonts w:hint="eastAsia" w:ascii="宋体" w:hAnsi="宋体" w:eastAsia="宋体" w:cs="宋体"/>
                <w:color w:val="auto"/>
                <w:highlight w:val="none"/>
                <w:lang w:eastAsia="zh-CN"/>
              </w:rPr>
              <w:t>中国建设银行股份有限公司保山北城五洲支行</w:t>
            </w:r>
          </w:p>
          <w:p w14:paraId="244F1E41">
            <w:pPr>
              <w:pStyle w:val="23"/>
              <w:spacing w:line="440" w:lineRule="exact"/>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账号：</w:t>
            </w:r>
            <w:r>
              <w:rPr>
                <w:rFonts w:hint="eastAsia" w:ascii="宋体" w:hAnsi="宋体" w:eastAsia="宋体" w:cs="宋体"/>
                <w:color w:val="auto"/>
                <w:highlight w:val="none"/>
                <w:lang w:eastAsia="zh-CN"/>
              </w:rPr>
              <w:t>53050172863900001891</w:t>
            </w:r>
          </w:p>
          <w:p w14:paraId="47429318">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汇入地址：云南省保山市</w:t>
            </w:r>
          </w:p>
          <w:p w14:paraId="5C875DC9">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汇款缴纳查询电话：</w:t>
            </w:r>
            <w:r>
              <w:rPr>
                <w:rFonts w:hint="eastAsia" w:ascii="宋体" w:hAnsi="宋体" w:eastAsia="宋体" w:cs="宋体"/>
                <w:color w:val="auto"/>
                <w:highlight w:val="none"/>
                <w:lang w:eastAsia="zh-CN"/>
              </w:rPr>
              <w:t>0875-6842899</w:t>
            </w:r>
          </w:p>
          <w:p w14:paraId="379DE79B">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hAnsi="宋体" w:cs="宋体"/>
                <w:color w:val="auto"/>
                <w:highlight w:val="none"/>
                <w:lang w:val="en-US" w:eastAsia="zh-CN"/>
              </w:rPr>
              <w:t>杨艳雪</w:t>
            </w:r>
          </w:p>
          <w:p w14:paraId="5122B2BF">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需在</w:t>
            </w:r>
            <w:r>
              <w:rPr>
                <w:rFonts w:hint="eastAsia" w:ascii="宋体" w:hAnsi="宋体" w:eastAsia="宋体" w:cs="宋体"/>
                <w:color w:val="auto"/>
                <w:highlight w:val="none"/>
                <w:lang w:eastAsia="zh-CN"/>
              </w:rPr>
              <w:t>磋商保证金</w:t>
            </w:r>
            <w:r>
              <w:rPr>
                <w:rFonts w:hint="eastAsia" w:ascii="宋体" w:hAnsi="宋体" w:eastAsia="宋体" w:cs="宋体"/>
                <w:color w:val="auto"/>
                <w:highlight w:val="none"/>
              </w:rPr>
              <w:t>缴纳截止时间前递交保证金，保证金单据内要注明项目名称或项目编号（内容须填写完整），到账时间以实际到达专用账号时间为准，未在</w:t>
            </w:r>
            <w:r>
              <w:rPr>
                <w:rFonts w:hint="eastAsia" w:ascii="宋体" w:hAnsi="宋体" w:eastAsia="宋体" w:cs="宋体"/>
                <w:color w:val="auto"/>
                <w:highlight w:val="none"/>
                <w:lang w:eastAsia="zh-CN"/>
              </w:rPr>
              <w:t>磋商保证金</w:t>
            </w:r>
            <w:r>
              <w:rPr>
                <w:rFonts w:hint="eastAsia" w:ascii="宋体" w:hAnsi="宋体" w:eastAsia="宋体" w:cs="宋体"/>
                <w:color w:val="auto"/>
                <w:highlight w:val="none"/>
              </w:rPr>
              <w:t>缴纳 截止时间前到账的保证金视为未提交，为避免由于晚到账的原因造成投标失败，请各</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预留充足时间。在跨行转账时请考虑以下因素：1.按照人民银行相关规定，跨行转账在工作日下午四点半前办理手续，可以保证实时跨行到账；2.跨行转账尽量采用电汇方式。</w:t>
            </w:r>
          </w:p>
          <w:p w14:paraId="574425BC">
            <w:pPr>
              <w:pStyle w:val="23"/>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注意事项：</w:t>
            </w:r>
          </w:p>
          <w:p w14:paraId="4E5E06C0">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1）保证金必须从</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的基本账户划出；</w:t>
            </w:r>
          </w:p>
          <w:p w14:paraId="36BB18ED">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2）保证金转账仅限电汇、网银方式，其他转账方式视为无效；</w:t>
            </w:r>
          </w:p>
          <w:p w14:paraId="1D34174E">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3）到账时间以保证金专用账户实际到账时间为准，未在缴纳保证金截止时间前到账的保证金无效。</w:t>
            </w:r>
          </w:p>
          <w:p w14:paraId="0210D5CA">
            <w:pPr>
              <w:pStyle w:val="23"/>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②采用银行保函：</w:t>
            </w:r>
          </w:p>
          <w:p w14:paraId="52D48012">
            <w:pPr>
              <w:pStyle w:val="23"/>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保函申请人必须是</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，受益人必须是采购人，保证人必须是</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基本账户的开户银行；银行保函必须正确填写受益人和申请人的全称，并与采购文件规定的名称一致，以免造成投标无效。</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需在投标截止时间前提供银行纸质保函。</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持确认函参加投标。</w:t>
            </w:r>
          </w:p>
          <w:p w14:paraId="002B7AC3">
            <w:pPr>
              <w:pStyle w:val="23"/>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③采用保证保险：</w:t>
            </w:r>
          </w:p>
          <w:p w14:paraId="5C5D2F74">
            <w:pPr>
              <w:pStyle w:val="23"/>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须按照国家关于保证保险的要求购买保证保险，</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持保证保险材料参加投标。保险受益人（采购人）：</w:t>
            </w:r>
            <w:r>
              <w:rPr>
                <w:rFonts w:hint="eastAsia" w:hAnsi="宋体"/>
                <w:sz w:val="21"/>
                <w:szCs w:val="21"/>
                <w:highlight w:val="none"/>
                <w:lang w:eastAsia="zh-CN"/>
              </w:rPr>
              <w:t>云南省保山第一中学</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统一社会信用代码</w:t>
            </w:r>
            <w:r>
              <w:rPr>
                <w:rFonts w:hint="eastAsia" w:ascii="宋体" w:hAnsi="宋体" w:eastAsia="宋体" w:cs="宋体"/>
                <w:color w:val="auto"/>
                <w:highlight w:val="none"/>
              </w:rPr>
              <w:t>：</w:t>
            </w:r>
            <w:r>
              <w:rPr>
                <w:rFonts w:hint="eastAsia" w:ascii="宋体" w:hAnsi="宋体" w:eastAsia="宋体" w:cs="宋体"/>
                <w:color w:val="auto"/>
                <w:szCs w:val="21"/>
                <w:highlight w:val="none"/>
                <w:lang w:eastAsia="zh-CN"/>
              </w:rPr>
              <w:t>125330004326953799</w:t>
            </w:r>
            <w:r>
              <w:rPr>
                <w:rFonts w:hint="eastAsia" w:ascii="宋体" w:hAnsi="宋体" w:eastAsia="宋体" w:cs="宋体"/>
                <w:color w:val="auto"/>
                <w:highlight w:val="none"/>
              </w:rPr>
              <w:t>）。</w:t>
            </w:r>
          </w:p>
          <w:p w14:paraId="7011503E">
            <w:pPr>
              <w:pStyle w:val="23"/>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注：</w:t>
            </w:r>
            <w:r>
              <w:rPr>
                <w:rFonts w:hint="eastAsia" w:ascii="宋体" w:hAnsi="宋体" w:eastAsia="宋体" w:cs="宋体"/>
                <w:color w:val="auto"/>
                <w:highlight w:val="none"/>
              </w:rPr>
              <w:t>为支持和促进中小企业发展，进一步发挥政府采购政策功能，鼓励</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使用电子保险/保函替代投标、履约保证金，支持中标人基于成交项目进行合同融资。采用银行保函或保证保险或其他非现金方式提供</w:t>
            </w:r>
            <w:r>
              <w:rPr>
                <w:rFonts w:hint="eastAsia" w:ascii="宋体" w:hAnsi="宋体" w:eastAsia="宋体" w:cs="宋体"/>
                <w:color w:val="auto"/>
                <w:highlight w:val="none"/>
                <w:lang w:eastAsia="zh-CN"/>
              </w:rPr>
              <w:t>磋商保证金</w:t>
            </w:r>
            <w:r>
              <w:rPr>
                <w:rFonts w:hint="eastAsia" w:ascii="宋体" w:hAnsi="宋体" w:eastAsia="宋体" w:cs="宋体"/>
                <w:color w:val="auto"/>
                <w:highlight w:val="none"/>
              </w:rPr>
              <w:t>按照国家现行规定实施，其中银行保函或保证保险可实行线下购买银行保函或保证保险，也可以登录【云南省政府采购金融服务支撑平台】进行了解办理或致电95763，如有紧急需求的可联系13732226998。直达链接：https://jinrong.zcygov.cn/luban/finance/yunnan</w:t>
            </w:r>
            <w:r>
              <w:rPr>
                <w:rFonts w:hint="eastAsia" w:ascii="宋体" w:hAnsi="宋体" w:eastAsia="宋体" w:cs="宋体"/>
                <w:color w:val="auto"/>
                <w:highlight w:val="none"/>
                <w:lang w:eastAsia="zh-CN"/>
              </w:rPr>
              <w:t>。</w:t>
            </w:r>
          </w:p>
          <w:p w14:paraId="2ABEA3C2">
            <w:pPr>
              <w:pStyle w:val="2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（3）对未足额提交</w:t>
            </w:r>
            <w:r>
              <w:rPr>
                <w:rFonts w:hint="eastAsia" w:ascii="宋体" w:hAnsi="宋体" w:eastAsia="宋体" w:cs="宋体"/>
                <w:color w:val="auto"/>
                <w:highlight w:val="none"/>
                <w:lang w:eastAsia="zh-CN"/>
              </w:rPr>
              <w:t>磋商保证金</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提交的</w:t>
            </w:r>
            <w:r>
              <w:rPr>
                <w:rFonts w:hint="eastAsia" w:ascii="宋体" w:hAnsi="宋体" w:eastAsia="宋体" w:cs="宋体"/>
                <w:color w:val="auto"/>
                <w:highlight w:val="none"/>
                <w:lang w:val="en-US" w:eastAsia="zh-CN"/>
              </w:rPr>
              <w:t>响应</w:t>
            </w:r>
            <w:r>
              <w:rPr>
                <w:rFonts w:hint="eastAsia" w:ascii="宋体" w:hAnsi="宋体" w:eastAsia="宋体" w:cs="宋体"/>
                <w:color w:val="auto"/>
                <w:highlight w:val="none"/>
              </w:rPr>
              <w:t>文件，采购代理机构将视其为不响应投标条件而予以拒绝。</w:t>
            </w:r>
          </w:p>
          <w:p w14:paraId="77ED40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sz w:val="21"/>
                <w:szCs w:val="21"/>
                <w:highlight w:val="none"/>
              </w:rPr>
            </w:pPr>
            <w:r>
              <w:rPr>
                <w:rFonts w:hint="eastAsia" w:ascii="宋体" w:hAnsi="宋体" w:eastAsia="宋体" w:cs="宋体"/>
                <w:color w:val="auto"/>
                <w:highlight w:val="none"/>
              </w:rPr>
              <w:t>（4）</w:t>
            </w:r>
            <w:r>
              <w:rPr>
                <w:rFonts w:hint="eastAsia" w:ascii="宋体" w:hAnsi="宋体" w:eastAsia="宋体" w:cs="宋体"/>
                <w:color w:val="auto"/>
                <w:sz w:val="21"/>
                <w:szCs w:val="21"/>
                <w:highlight w:val="none"/>
              </w:rPr>
              <w:t>在</w:t>
            </w:r>
            <w:r>
              <w:rPr>
                <w:rFonts w:hint="eastAsia" w:ascii="宋体" w:hAnsi="宋体" w:cs="宋体"/>
                <w:color w:val="auto"/>
                <w:sz w:val="21"/>
                <w:szCs w:val="21"/>
                <w:highlight w:val="none"/>
                <w:lang w:eastAsia="zh-CN"/>
              </w:rPr>
              <w:t>成交公告</w:t>
            </w:r>
            <w:r>
              <w:rPr>
                <w:rFonts w:hint="eastAsia" w:ascii="宋体" w:hAnsi="宋体" w:eastAsia="宋体" w:cs="宋体"/>
                <w:color w:val="auto"/>
                <w:sz w:val="21"/>
                <w:szCs w:val="21"/>
                <w:highlight w:val="none"/>
              </w:rPr>
              <w:t>发布后，</w:t>
            </w:r>
            <w:r>
              <w:rPr>
                <w:rFonts w:hint="eastAsia" w:ascii="宋体" w:hAnsi="宋体" w:eastAsia="宋体" w:cs="宋体"/>
                <w:color w:val="auto"/>
                <w:sz w:val="21"/>
                <w:szCs w:val="21"/>
                <w:highlight w:val="none"/>
                <w:lang w:val="en-US" w:eastAsia="zh-CN"/>
              </w:rPr>
              <w:t>采购代理机构将在5个工作日内退还未成交供应商缴纳的磋商保证金；成交人与采购人签署后应当及时告知采购代理机构，采购代理机构自政府采购合同签订之日起5个工作日内退还成交人缴纳的磋商保证金，并请成交人将政府采购合同复印件送至采购代理机构或将采购合同扫描件发送至采购代理机构电子邮箱（1215766639@qq.com）。</w:t>
            </w:r>
          </w:p>
        </w:tc>
      </w:tr>
      <w:tr w14:paraId="1168B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4D3CCEA9">
            <w:pPr>
              <w:pStyle w:val="23"/>
              <w:spacing w:line="360" w:lineRule="auto"/>
              <w:jc w:val="center"/>
              <w:rPr>
                <w:rFonts w:hAnsi="宋体"/>
                <w:sz w:val="21"/>
                <w:szCs w:val="21"/>
                <w:highlight w:val="none"/>
              </w:rPr>
            </w:pPr>
            <w:r>
              <w:rPr>
                <w:rFonts w:hAnsi="宋体"/>
                <w:sz w:val="21"/>
                <w:szCs w:val="21"/>
                <w:highlight w:val="none"/>
              </w:rPr>
              <w:t>1</w:t>
            </w:r>
            <w:r>
              <w:rPr>
                <w:rFonts w:hint="eastAsia" w:hAnsi="宋体"/>
                <w:sz w:val="21"/>
                <w:szCs w:val="21"/>
                <w:highlight w:val="none"/>
              </w:rPr>
              <w:t>7</w:t>
            </w:r>
            <w:r>
              <w:rPr>
                <w:rFonts w:hAnsi="宋体"/>
                <w:sz w:val="21"/>
                <w:szCs w:val="21"/>
                <w:highlight w:val="none"/>
              </w:rPr>
              <w:t>.1</w:t>
            </w:r>
          </w:p>
        </w:tc>
        <w:tc>
          <w:tcPr>
            <w:tcW w:w="1830" w:type="dxa"/>
            <w:noWrap w:val="0"/>
            <w:vAlign w:val="center"/>
          </w:tcPr>
          <w:p w14:paraId="30400ED3">
            <w:pPr>
              <w:pStyle w:val="23"/>
              <w:spacing w:line="360" w:lineRule="auto"/>
              <w:rPr>
                <w:rFonts w:hAnsi="宋体"/>
                <w:sz w:val="21"/>
                <w:szCs w:val="21"/>
                <w:highlight w:val="none"/>
              </w:rPr>
            </w:pPr>
            <w:r>
              <w:rPr>
                <w:rFonts w:hint="eastAsia" w:hAnsi="宋体"/>
                <w:sz w:val="21"/>
                <w:szCs w:val="21"/>
                <w:highlight w:val="none"/>
                <w:lang w:val="en-US" w:eastAsia="zh-CN"/>
              </w:rPr>
              <w:t>提交</w:t>
            </w:r>
            <w:r>
              <w:rPr>
                <w:rFonts w:hAnsi="宋体"/>
                <w:sz w:val="21"/>
                <w:szCs w:val="21"/>
                <w:highlight w:val="none"/>
              </w:rPr>
              <w:t>响应文件截止时间</w:t>
            </w:r>
          </w:p>
        </w:tc>
        <w:tc>
          <w:tcPr>
            <w:tcW w:w="6231" w:type="dxa"/>
            <w:noWrap w:val="0"/>
            <w:vAlign w:val="center"/>
          </w:tcPr>
          <w:p w14:paraId="1202305B">
            <w:pPr>
              <w:pStyle w:val="23"/>
              <w:spacing w:line="360" w:lineRule="auto"/>
              <w:rPr>
                <w:rFonts w:hAnsi="宋体"/>
                <w:sz w:val="21"/>
                <w:szCs w:val="21"/>
                <w:highlight w:val="none"/>
              </w:rPr>
            </w:pPr>
            <w:r>
              <w:rPr>
                <w:rFonts w:hint="eastAsia" w:hAnsi="宋体"/>
                <w:sz w:val="21"/>
                <w:szCs w:val="21"/>
                <w:highlight w:val="none"/>
              </w:rPr>
              <w:t>详见第一章“竞争性磋商公告”</w:t>
            </w:r>
          </w:p>
        </w:tc>
      </w:tr>
      <w:tr w14:paraId="4A37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0B41C7B3">
            <w:pPr>
              <w:pStyle w:val="23"/>
              <w:spacing w:line="360" w:lineRule="auto"/>
              <w:jc w:val="center"/>
              <w:rPr>
                <w:rFonts w:hAnsi="宋体"/>
                <w:sz w:val="21"/>
                <w:szCs w:val="21"/>
                <w:highlight w:val="none"/>
              </w:rPr>
            </w:pPr>
            <w:r>
              <w:rPr>
                <w:rFonts w:hAnsi="宋体"/>
                <w:sz w:val="21"/>
                <w:szCs w:val="21"/>
                <w:highlight w:val="none"/>
              </w:rPr>
              <w:t>1</w:t>
            </w:r>
            <w:r>
              <w:rPr>
                <w:rFonts w:hint="eastAsia" w:hAnsi="宋体"/>
                <w:sz w:val="21"/>
                <w:szCs w:val="21"/>
                <w:highlight w:val="none"/>
              </w:rPr>
              <w:t>7</w:t>
            </w:r>
            <w:r>
              <w:rPr>
                <w:rFonts w:hAnsi="宋体"/>
                <w:sz w:val="21"/>
                <w:szCs w:val="21"/>
                <w:highlight w:val="none"/>
              </w:rPr>
              <w:t>.2</w:t>
            </w:r>
          </w:p>
        </w:tc>
        <w:tc>
          <w:tcPr>
            <w:tcW w:w="1830" w:type="dxa"/>
            <w:noWrap w:val="0"/>
            <w:vAlign w:val="center"/>
          </w:tcPr>
          <w:p w14:paraId="0166D6FE">
            <w:pPr>
              <w:pStyle w:val="23"/>
              <w:spacing w:line="360" w:lineRule="auto"/>
              <w:rPr>
                <w:rFonts w:hAnsi="宋体"/>
                <w:sz w:val="21"/>
                <w:szCs w:val="21"/>
                <w:highlight w:val="none"/>
              </w:rPr>
            </w:pPr>
            <w:r>
              <w:rPr>
                <w:rFonts w:hint="eastAsia" w:hAnsi="宋体"/>
                <w:sz w:val="21"/>
                <w:szCs w:val="21"/>
                <w:highlight w:val="none"/>
                <w:lang w:eastAsia="zh-CN"/>
              </w:rPr>
              <w:t>提交响应文件</w:t>
            </w:r>
            <w:r>
              <w:rPr>
                <w:rFonts w:hAnsi="宋体"/>
                <w:sz w:val="21"/>
                <w:szCs w:val="21"/>
                <w:highlight w:val="none"/>
              </w:rPr>
              <w:t>地点</w:t>
            </w:r>
          </w:p>
        </w:tc>
        <w:tc>
          <w:tcPr>
            <w:tcW w:w="6231" w:type="dxa"/>
            <w:noWrap w:val="0"/>
            <w:vAlign w:val="center"/>
          </w:tcPr>
          <w:p w14:paraId="57779FB7">
            <w:pPr>
              <w:pStyle w:val="23"/>
              <w:spacing w:line="360" w:lineRule="auto"/>
              <w:rPr>
                <w:rFonts w:hAnsi="宋体"/>
                <w:sz w:val="21"/>
                <w:szCs w:val="21"/>
                <w:highlight w:val="none"/>
              </w:rPr>
            </w:pPr>
            <w:r>
              <w:rPr>
                <w:rFonts w:hint="eastAsia" w:hAnsi="宋体"/>
                <w:sz w:val="21"/>
                <w:szCs w:val="21"/>
                <w:highlight w:val="none"/>
              </w:rPr>
              <w:t>详见第一章“竞争性磋商公告”</w:t>
            </w:r>
          </w:p>
        </w:tc>
      </w:tr>
      <w:tr w14:paraId="489D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3AA39E02">
            <w:pPr>
              <w:pStyle w:val="23"/>
              <w:spacing w:line="360" w:lineRule="auto"/>
              <w:jc w:val="center"/>
              <w:rPr>
                <w:rFonts w:hAnsi="宋体"/>
                <w:sz w:val="21"/>
                <w:szCs w:val="21"/>
                <w:highlight w:val="none"/>
              </w:rPr>
            </w:pPr>
            <w:r>
              <w:rPr>
                <w:rFonts w:hAnsi="宋体"/>
                <w:sz w:val="21"/>
                <w:szCs w:val="21"/>
                <w:highlight w:val="none"/>
              </w:rPr>
              <w:t>1</w:t>
            </w:r>
            <w:r>
              <w:rPr>
                <w:rFonts w:hint="eastAsia" w:hAnsi="宋体"/>
                <w:sz w:val="21"/>
                <w:szCs w:val="21"/>
                <w:highlight w:val="none"/>
              </w:rPr>
              <w:t>7</w:t>
            </w:r>
            <w:r>
              <w:rPr>
                <w:rFonts w:hAnsi="宋体"/>
                <w:sz w:val="21"/>
                <w:szCs w:val="21"/>
                <w:highlight w:val="none"/>
              </w:rPr>
              <w:t>.3</w:t>
            </w:r>
          </w:p>
        </w:tc>
        <w:tc>
          <w:tcPr>
            <w:tcW w:w="1830" w:type="dxa"/>
            <w:noWrap w:val="0"/>
            <w:vAlign w:val="center"/>
          </w:tcPr>
          <w:p w14:paraId="5F9B28E3">
            <w:pPr>
              <w:pStyle w:val="23"/>
              <w:spacing w:line="360" w:lineRule="auto"/>
              <w:rPr>
                <w:rFonts w:hAnsi="宋体"/>
                <w:sz w:val="21"/>
                <w:szCs w:val="21"/>
                <w:highlight w:val="none"/>
              </w:rPr>
            </w:pPr>
            <w:r>
              <w:rPr>
                <w:rFonts w:hAnsi="宋体"/>
                <w:sz w:val="21"/>
                <w:szCs w:val="21"/>
                <w:highlight w:val="none"/>
              </w:rPr>
              <w:t>是否退还响应文件</w:t>
            </w:r>
          </w:p>
        </w:tc>
        <w:tc>
          <w:tcPr>
            <w:tcW w:w="6231" w:type="dxa"/>
            <w:noWrap w:val="0"/>
            <w:vAlign w:val="center"/>
          </w:tcPr>
          <w:p w14:paraId="1F882762">
            <w:pPr>
              <w:pStyle w:val="23"/>
              <w:spacing w:line="360" w:lineRule="auto"/>
              <w:rPr>
                <w:rFonts w:hAnsi="宋体"/>
                <w:sz w:val="21"/>
                <w:szCs w:val="21"/>
                <w:highlight w:val="none"/>
              </w:rPr>
            </w:pPr>
            <w:r>
              <w:rPr>
                <w:rFonts w:hint="eastAsia" w:hAnsi="宋体"/>
                <w:sz w:val="21"/>
                <w:szCs w:val="21"/>
                <w:highlight w:val="none"/>
              </w:rPr>
              <w:t>不予退还</w:t>
            </w:r>
          </w:p>
        </w:tc>
      </w:tr>
      <w:tr w14:paraId="5EB7F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57FE672A">
            <w:pPr>
              <w:pStyle w:val="23"/>
              <w:spacing w:line="360" w:lineRule="auto"/>
              <w:jc w:val="center"/>
              <w:rPr>
                <w:rFonts w:hAnsi="宋体"/>
                <w:sz w:val="21"/>
                <w:szCs w:val="21"/>
                <w:highlight w:val="none"/>
              </w:rPr>
            </w:pPr>
            <w:r>
              <w:rPr>
                <w:rFonts w:hAnsi="宋体"/>
                <w:sz w:val="21"/>
                <w:szCs w:val="21"/>
                <w:highlight w:val="none"/>
              </w:rPr>
              <w:t>1</w:t>
            </w:r>
            <w:r>
              <w:rPr>
                <w:rFonts w:hint="eastAsia" w:hAnsi="宋体"/>
                <w:sz w:val="21"/>
                <w:szCs w:val="21"/>
                <w:highlight w:val="none"/>
              </w:rPr>
              <w:t>8.1</w:t>
            </w:r>
          </w:p>
        </w:tc>
        <w:tc>
          <w:tcPr>
            <w:tcW w:w="1830" w:type="dxa"/>
            <w:noWrap w:val="0"/>
            <w:vAlign w:val="center"/>
          </w:tcPr>
          <w:p w14:paraId="24C1EB68">
            <w:pPr>
              <w:pStyle w:val="23"/>
              <w:spacing w:line="360" w:lineRule="auto"/>
              <w:rPr>
                <w:rFonts w:hAnsi="宋体"/>
                <w:sz w:val="21"/>
                <w:szCs w:val="21"/>
                <w:highlight w:val="none"/>
              </w:rPr>
            </w:pPr>
            <w:r>
              <w:rPr>
                <w:rFonts w:hAnsi="宋体"/>
                <w:sz w:val="21"/>
                <w:szCs w:val="21"/>
                <w:highlight w:val="none"/>
              </w:rPr>
              <w:t>磋商时间和地点</w:t>
            </w:r>
          </w:p>
        </w:tc>
        <w:tc>
          <w:tcPr>
            <w:tcW w:w="6231" w:type="dxa"/>
            <w:noWrap w:val="0"/>
            <w:vAlign w:val="center"/>
          </w:tcPr>
          <w:p w14:paraId="6A51C699">
            <w:pPr>
              <w:pStyle w:val="23"/>
              <w:spacing w:line="360" w:lineRule="auto"/>
              <w:rPr>
                <w:rFonts w:hAnsi="宋体"/>
                <w:sz w:val="21"/>
                <w:szCs w:val="21"/>
                <w:highlight w:val="none"/>
              </w:rPr>
            </w:pPr>
            <w:r>
              <w:rPr>
                <w:rFonts w:hAnsi="宋体"/>
                <w:sz w:val="21"/>
                <w:szCs w:val="21"/>
                <w:highlight w:val="none"/>
              </w:rPr>
              <w:t>磋商时间：</w:t>
            </w:r>
            <w:r>
              <w:rPr>
                <w:rFonts w:hint="eastAsia" w:hAnsi="宋体"/>
                <w:sz w:val="21"/>
                <w:szCs w:val="21"/>
                <w:highlight w:val="none"/>
              </w:rPr>
              <w:t>同</w:t>
            </w:r>
            <w:r>
              <w:rPr>
                <w:rFonts w:hint="eastAsia" w:hAnsi="宋体"/>
                <w:sz w:val="21"/>
                <w:szCs w:val="21"/>
                <w:highlight w:val="none"/>
                <w:lang w:eastAsia="zh-CN"/>
              </w:rPr>
              <w:t>提交响应文件</w:t>
            </w:r>
            <w:r>
              <w:rPr>
                <w:rFonts w:hint="eastAsia" w:hAnsi="宋体"/>
                <w:sz w:val="21"/>
                <w:szCs w:val="21"/>
                <w:highlight w:val="none"/>
              </w:rPr>
              <w:t>截止时间</w:t>
            </w:r>
          </w:p>
          <w:p w14:paraId="568C79DA">
            <w:pPr>
              <w:pStyle w:val="23"/>
              <w:spacing w:line="360" w:lineRule="auto"/>
              <w:rPr>
                <w:rFonts w:hAnsi="宋体"/>
                <w:sz w:val="21"/>
                <w:szCs w:val="21"/>
                <w:highlight w:val="none"/>
              </w:rPr>
            </w:pPr>
            <w:r>
              <w:rPr>
                <w:rFonts w:hAnsi="宋体"/>
                <w:sz w:val="21"/>
                <w:szCs w:val="21"/>
                <w:highlight w:val="none"/>
              </w:rPr>
              <w:t>磋商地点：</w:t>
            </w:r>
            <w:r>
              <w:rPr>
                <w:rFonts w:hint="eastAsia" w:hAnsi="宋体"/>
                <w:sz w:val="21"/>
                <w:szCs w:val="21"/>
                <w:highlight w:val="none"/>
              </w:rPr>
              <w:t>同</w:t>
            </w:r>
            <w:r>
              <w:rPr>
                <w:rFonts w:hint="eastAsia" w:hAnsi="宋体"/>
                <w:sz w:val="21"/>
                <w:szCs w:val="21"/>
                <w:highlight w:val="none"/>
                <w:lang w:eastAsia="zh-CN"/>
              </w:rPr>
              <w:t>提交响应文件</w:t>
            </w:r>
            <w:r>
              <w:rPr>
                <w:rFonts w:hint="eastAsia" w:hAnsi="宋体"/>
                <w:sz w:val="21"/>
                <w:szCs w:val="21"/>
                <w:highlight w:val="none"/>
              </w:rPr>
              <w:t>地点</w:t>
            </w:r>
          </w:p>
        </w:tc>
      </w:tr>
      <w:tr w14:paraId="66B5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vMerge w:val="restart"/>
            <w:noWrap w:val="0"/>
            <w:vAlign w:val="center"/>
          </w:tcPr>
          <w:p w14:paraId="4D6EFEC0">
            <w:pPr>
              <w:pStyle w:val="23"/>
              <w:spacing w:line="360" w:lineRule="auto"/>
              <w:jc w:val="center"/>
              <w:rPr>
                <w:rFonts w:hAnsi="宋体"/>
                <w:sz w:val="21"/>
                <w:szCs w:val="21"/>
                <w:highlight w:val="none"/>
              </w:rPr>
            </w:pPr>
            <w:r>
              <w:rPr>
                <w:rFonts w:hAnsi="宋体"/>
                <w:sz w:val="21"/>
                <w:szCs w:val="21"/>
                <w:highlight w:val="none"/>
              </w:rPr>
              <w:t>1</w:t>
            </w:r>
            <w:r>
              <w:rPr>
                <w:rFonts w:hint="eastAsia" w:hAnsi="宋体"/>
                <w:sz w:val="21"/>
                <w:szCs w:val="21"/>
                <w:highlight w:val="none"/>
              </w:rPr>
              <w:t>8.4</w:t>
            </w:r>
          </w:p>
        </w:tc>
        <w:tc>
          <w:tcPr>
            <w:tcW w:w="1830" w:type="dxa"/>
            <w:noWrap w:val="0"/>
            <w:vAlign w:val="center"/>
          </w:tcPr>
          <w:p w14:paraId="47A11A95">
            <w:pPr>
              <w:pStyle w:val="23"/>
              <w:spacing w:line="360" w:lineRule="auto"/>
              <w:rPr>
                <w:rFonts w:hAnsi="宋体"/>
                <w:sz w:val="21"/>
                <w:szCs w:val="21"/>
                <w:highlight w:val="none"/>
              </w:rPr>
            </w:pPr>
            <w:r>
              <w:rPr>
                <w:rFonts w:hAnsi="宋体"/>
                <w:sz w:val="21"/>
                <w:szCs w:val="21"/>
                <w:highlight w:val="none"/>
              </w:rPr>
              <w:t>磋商程序和方法</w:t>
            </w:r>
          </w:p>
        </w:tc>
        <w:tc>
          <w:tcPr>
            <w:tcW w:w="6231" w:type="dxa"/>
            <w:noWrap w:val="0"/>
            <w:vAlign w:val="center"/>
          </w:tcPr>
          <w:p w14:paraId="5C697845">
            <w:pPr>
              <w:pStyle w:val="23"/>
              <w:spacing w:line="360" w:lineRule="auto"/>
              <w:rPr>
                <w:rFonts w:hAnsi="宋体"/>
                <w:sz w:val="21"/>
                <w:szCs w:val="21"/>
                <w:highlight w:val="none"/>
              </w:rPr>
            </w:pPr>
            <w:r>
              <w:rPr>
                <w:rFonts w:hint="eastAsia" w:hAnsi="宋体"/>
                <w:sz w:val="21"/>
                <w:szCs w:val="21"/>
                <w:highlight w:val="none"/>
              </w:rPr>
              <w:t>综合评分法</w:t>
            </w:r>
          </w:p>
        </w:tc>
      </w:tr>
      <w:tr w14:paraId="01A29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vMerge w:val="continue"/>
            <w:noWrap w:val="0"/>
            <w:vAlign w:val="center"/>
          </w:tcPr>
          <w:p w14:paraId="22C2AF32">
            <w:pPr>
              <w:pStyle w:val="23"/>
              <w:spacing w:line="360" w:lineRule="auto"/>
              <w:jc w:val="center"/>
              <w:rPr>
                <w:rFonts w:hAnsi="宋体"/>
                <w:sz w:val="21"/>
                <w:szCs w:val="21"/>
                <w:highlight w:val="none"/>
              </w:rPr>
            </w:pPr>
          </w:p>
        </w:tc>
        <w:tc>
          <w:tcPr>
            <w:tcW w:w="8061" w:type="dxa"/>
            <w:gridSpan w:val="2"/>
            <w:noWrap w:val="0"/>
            <w:vAlign w:val="center"/>
          </w:tcPr>
          <w:p w14:paraId="397B771E">
            <w:pPr>
              <w:pStyle w:val="23"/>
              <w:spacing w:line="360" w:lineRule="auto"/>
              <w:rPr>
                <w:rFonts w:hAnsi="宋体"/>
                <w:b/>
                <w:sz w:val="21"/>
                <w:szCs w:val="21"/>
                <w:highlight w:val="none"/>
              </w:rPr>
            </w:pPr>
            <w:r>
              <w:rPr>
                <w:rFonts w:hAnsi="宋体"/>
                <w:b/>
                <w:sz w:val="21"/>
                <w:szCs w:val="21"/>
                <w:highlight w:val="none"/>
              </w:rPr>
              <w:t>第六章“</w:t>
            </w:r>
            <w:r>
              <w:rPr>
                <w:rFonts w:hint="eastAsia" w:hAnsi="宋体"/>
                <w:b/>
                <w:sz w:val="21"/>
                <w:szCs w:val="21"/>
                <w:highlight w:val="none"/>
              </w:rPr>
              <w:t>磋商程序和方法</w:t>
            </w:r>
            <w:r>
              <w:rPr>
                <w:rFonts w:hAnsi="宋体"/>
                <w:b/>
                <w:sz w:val="21"/>
                <w:szCs w:val="21"/>
                <w:highlight w:val="none"/>
              </w:rPr>
              <w:t>”第</w:t>
            </w:r>
            <w:r>
              <w:rPr>
                <w:rFonts w:hint="eastAsia" w:hAnsi="宋体"/>
                <w:b/>
                <w:sz w:val="21"/>
                <w:szCs w:val="21"/>
                <w:highlight w:val="none"/>
                <w:lang w:val="en-US" w:eastAsia="zh-CN"/>
              </w:rPr>
              <w:t>4.2.1</w:t>
            </w:r>
            <w:r>
              <w:rPr>
                <w:rFonts w:hAnsi="宋体"/>
                <w:b/>
                <w:sz w:val="21"/>
                <w:szCs w:val="21"/>
                <w:highlight w:val="none"/>
              </w:rPr>
              <w:t>款</w:t>
            </w:r>
            <w:r>
              <w:rPr>
                <w:rFonts w:hint="eastAsia" w:hAnsi="宋体"/>
                <w:b/>
                <w:sz w:val="21"/>
                <w:szCs w:val="21"/>
                <w:highlight w:val="none"/>
                <w:lang w:eastAsia="zh-CN"/>
              </w:rPr>
              <w:t>实质性审查标准</w:t>
            </w:r>
            <w:r>
              <w:rPr>
                <w:rFonts w:hAnsi="宋体"/>
                <w:b/>
                <w:sz w:val="21"/>
                <w:szCs w:val="21"/>
                <w:highlight w:val="none"/>
              </w:rPr>
              <w:t>规定的内容</w:t>
            </w:r>
            <w:r>
              <w:rPr>
                <w:rFonts w:hint="eastAsia" w:hAnsi="宋体"/>
                <w:b/>
                <w:sz w:val="21"/>
                <w:szCs w:val="21"/>
                <w:highlight w:val="none"/>
              </w:rPr>
              <w:t>，</w:t>
            </w:r>
            <w:r>
              <w:rPr>
                <w:rFonts w:hAnsi="宋体"/>
                <w:b/>
                <w:sz w:val="21"/>
                <w:szCs w:val="21"/>
                <w:highlight w:val="none"/>
              </w:rPr>
              <w:t>为参加磋商的供应商必须具备的资格条件，凡有一条不满足的供应商不再参与磋商。请各参加磋商的供应商仔细阅读</w:t>
            </w:r>
            <w:r>
              <w:rPr>
                <w:rFonts w:hint="eastAsia" w:hAnsi="宋体"/>
                <w:b/>
                <w:sz w:val="21"/>
                <w:szCs w:val="21"/>
                <w:highlight w:val="none"/>
                <w:lang w:eastAsia="zh-CN"/>
              </w:rPr>
              <w:t>实质性审查标准</w:t>
            </w:r>
            <w:r>
              <w:rPr>
                <w:rFonts w:hAnsi="宋体"/>
                <w:b/>
                <w:sz w:val="21"/>
                <w:szCs w:val="21"/>
                <w:highlight w:val="none"/>
              </w:rPr>
              <w:t>。</w:t>
            </w:r>
          </w:p>
        </w:tc>
      </w:tr>
      <w:tr w14:paraId="19A9E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5A91C30F">
            <w:pPr>
              <w:pStyle w:val="23"/>
              <w:spacing w:line="360" w:lineRule="auto"/>
              <w:jc w:val="center"/>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24.1</w:t>
            </w:r>
          </w:p>
        </w:tc>
        <w:tc>
          <w:tcPr>
            <w:tcW w:w="1830" w:type="dxa"/>
            <w:noWrap w:val="0"/>
            <w:vAlign w:val="center"/>
          </w:tcPr>
          <w:p w14:paraId="65DC7D4E">
            <w:pPr>
              <w:pStyle w:val="23"/>
              <w:spacing w:line="360" w:lineRule="auto"/>
              <w:rPr>
                <w:rFonts w:hint="eastAsia" w:hAnsi="宋体" w:eastAsia="宋体"/>
                <w:color w:val="auto"/>
                <w:sz w:val="21"/>
                <w:szCs w:val="21"/>
                <w:highlight w:val="none"/>
                <w:lang w:val="en-US" w:eastAsia="zh-CN"/>
              </w:rPr>
            </w:pPr>
            <w:r>
              <w:rPr>
                <w:rFonts w:hint="eastAsia" w:hAnsi="宋体"/>
                <w:color w:val="auto"/>
                <w:sz w:val="21"/>
                <w:szCs w:val="21"/>
                <w:highlight w:val="none"/>
                <w:lang w:val="en-US" w:eastAsia="zh-CN"/>
              </w:rPr>
              <w:t>履约保证金</w:t>
            </w:r>
          </w:p>
        </w:tc>
        <w:tc>
          <w:tcPr>
            <w:tcW w:w="6231" w:type="dxa"/>
            <w:noWrap w:val="0"/>
            <w:vAlign w:val="center"/>
          </w:tcPr>
          <w:p w14:paraId="59EC1485">
            <w:pPr>
              <w:pStyle w:val="38"/>
              <w:keepNext w:val="0"/>
              <w:keepLines w:val="0"/>
              <w:pageBreakBefore w:val="0"/>
              <w:suppressLineNumbers w:val="0"/>
              <w:kinsoku/>
              <w:overflowPunct/>
              <w:topLinePunct w:val="0"/>
              <w:bidi w:val="0"/>
              <w:adjustRightInd w:val="0"/>
              <w:snapToGrid w:val="0"/>
              <w:spacing w:before="0" w:beforeAutospacing="0" w:after="0" w:afterAutospacing="0" w:line="360" w:lineRule="auto"/>
              <w:ind w:left="0" w:leftChars="0" w:right="0" w:righ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本项目收取履约保证金。</w:t>
            </w:r>
          </w:p>
          <w:p w14:paraId="6BD6096D">
            <w:pPr>
              <w:pStyle w:val="23"/>
              <w:spacing w:line="360" w:lineRule="auto"/>
              <w:rPr>
                <w:rFonts w:hint="default" w:hAnsi="宋体" w:eastAsia="宋体"/>
                <w:color w:val="auto"/>
                <w:sz w:val="21"/>
                <w:szCs w:val="21"/>
                <w:highlight w:val="none"/>
                <w:u w:val="single"/>
                <w:lang w:val="en-US" w:eastAsia="zh-CN"/>
              </w:rPr>
            </w:pPr>
            <w:r>
              <w:rPr>
                <w:rFonts w:hint="eastAsia" w:ascii="宋体" w:hAnsi="宋体" w:eastAsia="宋体" w:cs="宋体"/>
                <w:color w:val="auto"/>
                <w:sz w:val="21"/>
                <w:szCs w:val="21"/>
                <w:highlight w:val="none"/>
              </w:rPr>
              <w:t>履约保证金金额为合同总金额的</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%，形式为支票、汇票、本票或者金融机构、担保机构出具的保函等非现金形式提交。</w:t>
            </w:r>
          </w:p>
        </w:tc>
      </w:tr>
      <w:tr w14:paraId="418C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40E6313A">
            <w:pPr>
              <w:pStyle w:val="23"/>
              <w:spacing w:line="360" w:lineRule="auto"/>
              <w:jc w:val="center"/>
              <w:rPr>
                <w:rFonts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5</w:t>
            </w:r>
            <w:r>
              <w:rPr>
                <w:rFonts w:hAnsi="宋体"/>
                <w:color w:val="auto"/>
                <w:sz w:val="21"/>
                <w:szCs w:val="21"/>
                <w:highlight w:val="none"/>
              </w:rPr>
              <w:t>.1</w:t>
            </w:r>
          </w:p>
        </w:tc>
        <w:tc>
          <w:tcPr>
            <w:tcW w:w="1830" w:type="dxa"/>
            <w:noWrap w:val="0"/>
            <w:vAlign w:val="center"/>
          </w:tcPr>
          <w:p w14:paraId="71CC9409">
            <w:pPr>
              <w:pStyle w:val="23"/>
              <w:spacing w:line="360" w:lineRule="auto"/>
              <w:rPr>
                <w:rFonts w:hAnsi="宋体"/>
                <w:color w:val="auto"/>
                <w:sz w:val="21"/>
                <w:szCs w:val="21"/>
                <w:highlight w:val="none"/>
              </w:rPr>
            </w:pPr>
            <w:r>
              <w:rPr>
                <w:rFonts w:hAnsi="宋体"/>
                <w:color w:val="auto"/>
                <w:sz w:val="21"/>
                <w:szCs w:val="21"/>
                <w:highlight w:val="none"/>
              </w:rPr>
              <w:t>采购代理服务费</w:t>
            </w:r>
          </w:p>
        </w:tc>
        <w:tc>
          <w:tcPr>
            <w:tcW w:w="6231" w:type="dxa"/>
            <w:noWrap w:val="0"/>
            <w:vAlign w:val="center"/>
          </w:tcPr>
          <w:p w14:paraId="7B41E8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eastAsia="宋体"/>
                <w:color w:val="auto"/>
                <w:sz w:val="21"/>
                <w:szCs w:val="21"/>
                <w:highlight w:val="none"/>
                <w:lang w:eastAsia="zh-CN"/>
              </w:rPr>
            </w:pPr>
            <w:r>
              <w:rPr>
                <w:rFonts w:ascii="Times New Roman" w:hAnsi="Times New Roman"/>
                <w:color w:val="auto"/>
                <w:szCs w:val="21"/>
                <w:highlight w:val="none"/>
              </w:rPr>
              <w:t>本项目采购代理服务费收费按照</w:t>
            </w:r>
            <w:r>
              <w:rPr>
                <w:rFonts w:ascii="Times New Roman" w:hAnsi="Times New Roman"/>
                <w:szCs w:val="21"/>
                <w:highlight w:val="none"/>
              </w:rPr>
              <w:t>《云南省建设工程招标代理服务收费参考意见》（云建招协〔2024〕58号）差额定率累进法以成交价为计费基数，</w:t>
            </w:r>
            <w:r>
              <w:rPr>
                <w:rFonts w:hint="eastAsia" w:ascii="Times New Roman" w:hAnsi="Times New Roman"/>
                <w:szCs w:val="21"/>
                <w:highlight w:val="none"/>
                <w:lang w:val="en-US" w:eastAsia="zh-CN"/>
              </w:rPr>
              <w:t>工程类</w:t>
            </w:r>
            <w:r>
              <w:rPr>
                <w:rFonts w:ascii="Times New Roman" w:hAnsi="Times New Roman"/>
                <w:szCs w:val="21"/>
                <w:highlight w:val="none"/>
              </w:rPr>
              <w:t>计费结果下浮20%，由成交供应商支付</w:t>
            </w:r>
            <w:r>
              <w:rPr>
                <w:rFonts w:hint="eastAsia"/>
                <w:szCs w:val="21"/>
                <w:highlight w:val="none"/>
                <w:lang w:eastAsia="zh-CN"/>
              </w:rPr>
              <w:t>。</w:t>
            </w:r>
          </w:p>
        </w:tc>
      </w:tr>
      <w:tr w14:paraId="525E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57C44AB7">
            <w:pPr>
              <w:pStyle w:val="23"/>
              <w:spacing w:line="360" w:lineRule="auto"/>
              <w:jc w:val="center"/>
              <w:rPr>
                <w:rFonts w:hAnsi="宋体"/>
                <w:color w:val="auto"/>
                <w:sz w:val="21"/>
                <w:szCs w:val="21"/>
                <w:highlight w:val="none"/>
              </w:rPr>
            </w:pPr>
            <w:r>
              <w:rPr>
                <w:rFonts w:hint="eastAsia" w:hAnsi="宋体"/>
                <w:color w:val="auto"/>
                <w:sz w:val="21"/>
                <w:szCs w:val="21"/>
                <w:highlight w:val="none"/>
              </w:rPr>
              <w:t>27.1</w:t>
            </w:r>
          </w:p>
        </w:tc>
        <w:tc>
          <w:tcPr>
            <w:tcW w:w="1830" w:type="dxa"/>
            <w:noWrap w:val="0"/>
            <w:vAlign w:val="center"/>
          </w:tcPr>
          <w:p w14:paraId="18B995F4">
            <w:pPr>
              <w:pStyle w:val="23"/>
              <w:spacing w:line="360" w:lineRule="auto"/>
              <w:rPr>
                <w:rFonts w:hAnsi="宋体"/>
                <w:color w:val="auto"/>
                <w:sz w:val="21"/>
                <w:szCs w:val="21"/>
                <w:highlight w:val="none"/>
              </w:rPr>
            </w:pPr>
            <w:r>
              <w:rPr>
                <w:rFonts w:hint="eastAsia" w:hAnsi="宋体"/>
                <w:color w:val="auto"/>
                <w:sz w:val="21"/>
                <w:szCs w:val="21"/>
                <w:highlight w:val="none"/>
              </w:rPr>
              <w:t>备选方案</w:t>
            </w:r>
          </w:p>
        </w:tc>
        <w:tc>
          <w:tcPr>
            <w:tcW w:w="6231" w:type="dxa"/>
            <w:noWrap w:val="0"/>
            <w:vAlign w:val="center"/>
          </w:tcPr>
          <w:p w14:paraId="3B6F4F9D">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不接受</w:t>
            </w:r>
          </w:p>
        </w:tc>
      </w:tr>
      <w:tr w14:paraId="1D1E9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4314BE2D">
            <w:pPr>
              <w:pStyle w:val="23"/>
              <w:spacing w:line="360" w:lineRule="auto"/>
              <w:jc w:val="center"/>
              <w:rPr>
                <w:rFonts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7</w:t>
            </w:r>
            <w:r>
              <w:rPr>
                <w:rFonts w:hAnsi="宋体"/>
                <w:color w:val="auto"/>
                <w:sz w:val="21"/>
                <w:szCs w:val="21"/>
                <w:highlight w:val="none"/>
              </w:rPr>
              <w:t>.</w:t>
            </w:r>
            <w:r>
              <w:rPr>
                <w:rFonts w:hint="eastAsia" w:hAnsi="宋体"/>
                <w:color w:val="auto"/>
                <w:sz w:val="21"/>
                <w:szCs w:val="21"/>
                <w:highlight w:val="none"/>
              </w:rPr>
              <w:t>2</w:t>
            </w:r>
          </w:p>
        </w:tc>
        <w:tc>
          <w:tcPr>
            <w:tcW w:w="8061" w:type="dxa"/>
            <w:gridSpan w:val="2"/>
            <w:noWrap w:val="0"/>
            <w:vAlign w:val="center"/>
          </w:tcPr>
          <w:p w14:paraId="7597DD57">
            <w:pPr>
              <w:pStyle w:val="23"/>
              <w:spacing w:line="360" w:lineRule="auto"/>
              <w:rPr>
                <w:rFonts w:hAnsi="宋体"/>
                <w:color w:val="auto"/>
                <w:sz w:val="21"/>
                <w:szCs w:val="21"/>
                <w:highlight w:val="none"/>
              </w:rPr>
            </w:pPr>
            <w:r>
              <w:rPr>
                <w:rFonts w:hAnsi="宋体"/>
                <w:color w:val="auto"/>
                <w:sz w:val="21"/>
                <w:szCs w:val="21"/>
                <w:highlight w:val="none"/>
              </w:rPr>
              <w:t>需要补充的其他内容</w:t>
            </w:r>
          </w:p>
        </w:tc>
      </w:tr>
      <w:tr w14:paraId="66D9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146C1B2D">
            <w:pPr>
              <w:pStyle w:val="23"/>
              <w:numPr>
                <w:ilvl w:val="0"/>
                <w:numId w:val="0"/>
              </w:numPr>
              <w:spacing w:line="360" w:lineRule="auto"/>
              <w:ind w:left="387" w:leftChars="0"/>
              <w:jc w:val="both"/>
              <w:rPr>
                <w:rFonts w:hint="eastAsia" w:hAnsi="宋体" w:eastAsia="宋体"/>
                <w:color w:val="auto"/>
                <w:sz w:val="21"/>
                <w:szCs w:val="21"/>
                <w:highlight w:val="none"/>
                <w:lang w:eastAsia="zh-CN"/>
              </w:rPr>
            </w:pPr>
            <w:r>
              <w:rPr>
                <w:rFonts w:hint="eastAsia" w:hAnsi="宋体"/>
                <w:color w:val="auto"/>
                <w:sz w:val="21"/>
                <w:szCs w:val="21"/>
                <w:highlight w:val="none"/>
                <w:lang w:eastAsia="zh-CN"/>
              </w:rPr>
              <w:t>（</w:t>
            </w:r>
            <w:r>
              <w:rPr>
                <w:rFonts w:hint="eastAsia" w:hAnsi="宋体"/>
                <w:color w:val="auto"/>
                <w:sz w:val="21"/>
                <w:szCs w:val="21"/>
                <w:highlight w:val="none"/>
                <w:lang w:val="en-US" w:eastAsia="zh-CN"/>
              </w:rPr>
              <w:t>1</w:t>
            </w:r>
            <w:r>
              <w:rPr>
                <w:rFonts w:hint="eastAsia" w:hAnsi="宋体"/>
                <w:color w:val="auto"/>
                <w:sz w:val="21"/>
                <w:szCs w:val="21"/>
                <w:highlight w:val="none"/>
                <w:lang w:eastAsia="zh-CN"/>
              </w:rPr>
              <w:t>）</w:t>
            </w:r>
          </w:p>
        </w:tc>
        <w:tc>
          <w:tcPr>
            <w:tcW w:w="8061" w:type="dxa"/>
            <w:gridSpan w:val="2"/>
            <w:noWrap w:val="0"/>
            <w:vAlign w:val="center"/>
          </w:tcPr>
          <w:p w14:paraId="679B86CE">
            <w:pPr>
              <w:spacing w:line="360" w:lineRule="auto"/>
              <w:rPr>
                <w:rFonts w:hint="eastAsia" w:hAnsi="宋体"/>
                <w:color w:val="auto"/>
                <w:sz w:val="21"/>
                <w:szCs w:val="21"/>
                <w:highlight w:val="none"/>
              </w:rPr>
            </w:pPr>
            <w:r>
              <w:rPr>
                <w:rFonts w:hint="eastAsia" w:ascii="宋体" w:hAnsi="宋体"/>
                <w:b/>
                <w:bCs/>
                <w:color w:val="auto"/>
                <w:sz w:val="21"/>
                <w:szCs w:val="21"/>
                <w:highlight w:val="none"/>
              </w:rPr>
              <w:t>本项目</w:t>
            </w:r>
            <w:r>
              <w:rPr>
                <w:rFonts w:hint="eastAsia" w:ascii="宋体" w:hAnsi="宋体"/>
                <w:b/>
                <w:bCs/>
                <w:color w:val="auto"/>
                <w:sz w:val="21"/>
                <w:szCs w:val="21"/>
                <w:highlight w:val="none"/>
                <w:lang w:val="en-US" w:eastAsia="zh-CN"/>
              </w:rPr>
              <w:t>不组织踏勘</w:t>
            </w:r>
            <w:r>
              <w:rPr>
                <w:rFonts w:hint="eastAsia" w:ascii="宋体" w:hAnsi="宋体"/>
                <w:b/>
                <w:bCs/>
                <w:color w:val="auto"/>
                <w:sz w:val="21"/>
                <w:szCs w:val="21"/>
                <w:highlight w:val="none"/>
              </w:rPr>
              <w:t>。</w:t>
            </w:r>
            <w:r>
              <w:rPr>
                <w:rFonts w:hint="eastAsia" w:ascii="宋体" w:hAnsi="宋体"/>
                <w:color w:val="auto"/>
                <w:sz w:val="21"/>
                <w:szCs w:val="21"/>
                <w:highlight w:val="none"/>
              </w:rPr>
              <w:t>如供应商需要现场踏勘的，需先跟采购单位进行对接，按采购单位的相关要求，征得采购单位同意后进行踏勘， 踏勘现场所发生的费用及其一切风险由供应商自行承担。</w:t>
            </w:r>
          </w:p>
        </w:tc>
      </w:tr>
      <w:tr w14:paraId="064F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31EAD2A7">
            <w:pPr>
              <w:pStyle w:val="23"/>
              <w:numPr>
                <w:ilvl w:val="0"/>
                <w:numId w:val="0"/>
              </w:numPr>
              <w:spacing w:line="360" w:lineRule="auto"/>
              <w:ind w:left="387" w:leftChars="0"/>
              <w:jc w:val="both"/>
              <w:rPr>
                <w:rFonts w:hint="eastAsia" w:hAnsi="宋体"/>
                <w:color w:val="auto"/>
                <w:sz w:val="21"/>
                <w:szCs w:val="21"/>
                <w:highlight w:val="none"/>
              </w:rPr>
            </w:pPr>
            <w:r>
              <w:rPr>
                <w:rFonts w:hint="eastAsia" w:hAnsi="宋体"/>
                <w:color w:val="auto"/>
                <w:sz w:val="21"/>
                <w:szCs w:val="21"/>
                <w:highlight w:val="none"/>
                <w:lang w:eastAsia="zh-CN"/>
              </w:rPr>
              <w:t>（</w:t>
            </w:r>
            <w:r>
              <w:rPr>
                <w:rFonts w:hint="eastAsia" w:hAnsi="宋体"/>
                <w:color w:val="auto"/>
                <w:sz w:val="21"/>
                <w:szCs w:val="21"/>
                <w:highlight w:val="none"/>
                <w:lang w:val="en-US" w:eastAsia="zh-CN"/>
              </w:rPr>
              <w:t>2</w:t>
            </w:r>
            <w:r>
              <w:rPr>
                <w:rFonts w:hint="eastAsia" w:hAnsi="宋体"/>
                <w:color w:val="auto"/>
                <w:sz w:val="21"/>
                <w:szCs w:val="21"/>
                <w:highlight w:val="none"/>
                <w:lang w:eastAsia="zh-CN"/>
              </w:rPr>
              <w:t>）</w:t>
            </w:r>
          </w:p>
        </w:tc>
        <w:tc>
          <w:tcPr>
            <w:tcW w:w="8061" w:type="dxa"/>
            <w:gridSpan w:val="2"/>
            <w:noWrap w:val="0"/>
            <w:vAlign w:val="center"/>
          </w:tcPr>
          <w:p w14:paraId="412F6ED4">
            <w:pPr>
              <w:pStyle w:val="23"/>
              <w:spacing w:line="360" w:lineRule="auto"/>
              <w:ind w:right="1470"/>
              <w:rPr>
                <w:rFonts w:hint="eastAsia" w:hAnsi="宋体" w:cs="宋体"/>
                <w:color w:val="auto"/>
                <w:sz w:val="21"/>
                <w:szCs w:val="21"/>
                <w:highlight w:val="none"/>
              </w:rPr>
            </w:pPr>
            <w:r>
              <w:rPr>
                <w:rFonts w:hint="eastAsia" w:hAnsi="宋体"/>
                <w:color w:val="auto"/>
                <w:sz w:val="21"/>
                <w:szCs w:val="21"/>
                <w:highlight w:val="none"/>
              </w:rPr>
              <w:t>★分包：</w:t>
            </w:r>
          </w:p>
          <w:p w14:paraId="1392201D">
            <w:pPr>
              <w:pStyle w:val="23"/>
              <w:spacing w:line="360" w:lineRule="auto"/>
              <w:ind w:right="1470"/>
              <w:rPr>
                <w:rFonts w:hint="eastAsia" w:hAnsi="宋体" w:cs="宋体"/>
                <w:color w:val="auto"/>
                <w:sz w:val="21"/>
                <w:szCs w:val="21"/>
                <w:highlight w:val="none"/>
              </w:rPr>
            </w:pPr>
            <w:r>
              <w:rPr>
                <w:rFonts w:hint="eastAsia" w:hAnsi="宋体"/>
                <w:color w:val="auto"/>
                <w:sz w:val="21"/>
                <w:szCs w:val="21"/>
                <w:highlight w:val="none"/>
              </w:rPr>
              <w:t>□本项目不得分包。</w:t>
            </w:r>
          </w:p>
          <w:p w14:paraId="38FF6C81">
            <w:pPr>
              <w:pStyle w:val="23"/>
              <w:spacing w:line="360" w:lineRule="auto"/>
              <w:ind w:right="1470"/>
              <w:rPr>
                <w:rFonts w:hint="eastAsia" w:hAnsi="宋体" w:cs="宋体"/>
                <w:color w:val="auto"/>
                <w:sz w:val="21"/>
                <w:szCs w:val="21"/>
                <w:highlight w:val="none"/>
              </w:rPr>
            </w:pPr>
            <w:r>
              <w:rPr>
                <w:rFonts w:hint="eastAsia" w:hAnsi="宋体"/>
                <w:color w:val="auto"/>
                <w:sz w:val="21"/>
                <w:szCs w:val="21"/>
                <w:highlight w:val="none"/>
              </w:rPr>
              <w:t>☑本项目允许专业工程分包（仅限电梯安装工程）：</w:t>
            </w:r>
          </w:p>
          <w:p w14:paraId="6D826E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highlight w:val="none"/>
                <w:lang w:val="en-US" w:eastAsia="zh-CN"/>
              </w:rPr>
              <w:t>①允许分包的专业工程：电梯安装工程（含电梯设备采购、安装调试、基坑处理、机房配套、安全检测及质保期内电梯维保服务）；</w:t>
            </w:r>
          </w:p>
          <w:p w14:paraId="2879E4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highlight w:val="none"/>
                <w:lang w:val="en-US" w:eastAsia="zh-CN"/>
              </w:rPr>
              <w:t>②分包单位须具备市场监督管理部门颁发的有效的《中华人民共和国特种设备生产许可证》（许可项目含电梯安装（含修理）），供应商须在响应文件中按格式要求载明分包单位名称、资质证书，并附证书扫描件，分包单位不得再次分包；</w:t>
            </w:r>
          </w:p>
          <w:p w14:paraId="131365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highlight w:val="none"/>
                <w:lang w:val="en-US" w:eastAsia="zh-CN"/>
              </w:rPr>
              <w:t>③除电梯安装专业工程外，本项目其余工程一律不得分包，连廊主体钢结构工程及与主体结构安全直接相关的部位不得分包；</w:t>
            </w:r>
          </w:p>
          <w:p w14:paraId="74FCF4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s="宋体"/>
                <w:color w:val="auto"/>
                <w:szCs w:val="21"/>
                <w:highlight w:val="none"/>
              </w:rPr>
            </w:pPr>
            <w:r>
              <w:rPr>
                <w:rFonts w:hint="eastAsia"/>
                <w:highlight w:val="none"/>
                <w:lang w:val="en-US" w:eastAsia="zh-CN"/>
              </w:rPr>
              <w:t>④承包人（成交供应商）对分包工程的质量、安全、工期及售后服务向发包人承担全部责任，发包人不直接向分包单位支付任何款项。</w:t>
            </w:r>
          </w:p>
        </w:tc>
      </w:tr>
      <w:tr w14:paraId="1731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02BCB9DC">
            <w:pPr>
              <w:pStyle w:val="23"/>
              <w:numPr>
                <w:ilvl w:val="0"/>
                <w:numId w:val="0"/>
              </w:numPr>
              <w:spacing w:line="360" w:lineRule="auto"/>
              <w:ind w:left="387" w:leftChars="0"/>
              <w:jc w:val="both"/>
              <w:rPr>
                <w:rFonts w:hAnsi="宋体"/>
                <w:sz w:val="21"/>
                <w:szCs w:val="21"/>
                <w:highlight w:val="none"/>
              </w:rPr>
            </w:pPr>
            <w:r>
              <w:rPr>
                <w:rFonts w:hint="eastAsia" w:hAnsi="宋体"/>
                <w:color w:val="auto"/>
                <w:sz w:val="21"/>
                <w:szCs w:val="21"/>
                <w:highlight w:val="none"/>
                <w:lang w:eastAsia="zh-CN"/>
              </w:rPr>
              <w:t>（</w:t>
            </w:r>
            <w:r>
              <w:rPr>
                <w:rFonts w:hint="eastAsia" w:hAnsi="宋体"/>
                <w:color w:val="auto"/>
                <w:sz w:val="21"/>
                <w:szCs w:val="21"/>
                <w:highlight w:val="none"/>
                <w:lang w:val="en-US" w:eastAsia="zh-CN"/>
              </w:rPr>
              <w:t>3</w:t>
            </w:r>
            <w:r>
              <w:rPr>
                <w:rFonts w:hint="eastAsia" w:hAnsi="宋体"/>
                <w:color w:val="auto"/>
                <w:sz w:val="21"/>
                <w:szCs w:val="21"/>
                <w:highlight w:val="none"/>
                <w:lang w:eastAsia="zh-CN"/>
              </w:rPr>
              <w:t>）</w:t>
            </w:r>
          </w:p>
        </w:tc>
        <w:tc>
          <w:tcPr>
            <w:tcW w:w="8061" w:type="dxa"/>
            <w:gridSpan w:val="2"/>
            <w:noWrap w:val="0"/>
            <w:vAlign w:val="center"/>
          </w:tcPr>
          <w:p w14:paraId="3D4181FE">
            <w:pPr>
              <w:spacing w:line="360" w:lineRule="auto"/>
              <w:rPr>
                <w:rFonts w:ascii="宋体" w:hAnsi="宋体"/>
                <w:sz w:val="21"/>
                <w:szCs w:val="21"/>
                <w:highlight w:val="none"/>
              </w:rPr>
            </w:pPr>
            <w:r>
              <w:rPr>
                <w:rFonts w:hint="eastAsia"/>
                <w:b/>
                <w:bCs/>
                <w:sz w:val="21"/>
                <w:szCs w:val="21"/>
                <w:highlight w:val="none"/>
              </w:rPr>
              <w:t>采购代理机构将依托电子交易平台发起开始解密指令，供应商的法定代表人或其委托代理人须携带加密时所用的CA锁按平台提示和采购文件的规定登录到</w:t>
            </w:r>
            <w:r>
              <w:rPr>
                <w:rFonts w:hint="eastAsia"/>
                <w:b/>
                <w:bCs/>
                <w:sz w:val="21"/>
                <w:szCs w:val="21"/>
                <w:highlight w:val="none"/>
                <w:lang w:eastAsia="zh-CN"/>
              </w:rPr>
              <w:t>“</w:t>
            </w:r>
            <w:r>
              <w:rPr>
                <w:rFonts w:hint="eastAsia"/>
                <w:b/>
                <w:bCs/>
                <w:sz w:val="21"/>
                <w:szCs w:val="21"/>
                <w:highlight w:val="none"/>
              </w:rPr>
              <w:t>政采云</w:t>
            </w:r>
            <w:r>
              <w:rPr>
                <w:rFonts w:hint="eastAsia"/>
                <w:b/>
                <w:bCs/>
                <w:sz w:val="21"/>
                <w:szCs w:val="21"/>
                <w:highlight w:val="none"/>
                <w:lang w:eastAsia="zh-CN"/>
              </w:rPr>
              <w:t>”</w:t>
            </w:r>
            <w:r>
              <w:rPr>
                <w:rFonts w:hint="eastAsia"/>
                <w:b/>
                <w:bCs/>
                <w:sz w:val="21"/>
                <w:szCs w:val="21"/>
                <w:highlight w:val="none"/>
              </w:rPr>
              <w:t>平台电子开标大厅签到并在发起解密指令之时起在规定的解密时间（30分钟）内完成对电子响应文件在线解密。响应文件未按时解密的，视为撤回</w:t>
            </w:r>
            <w:r>
              <w:rPr>
                <w:rFonts w:hint="eastAsia"/>
                <w:b/>
                <w:bCs/>
                <w:sz w:val="21"/>
                <w:szCs w:val="21"/>
                <w:highlight w:val="none"/>
                <w:lang w:eastAsia="zh-CN"/>
              </w:rPr>
              <w:t>响应文件</w:t>
            </w:r>
            <w:r>
              <w:rPr>
                <w:rFonts w:hint="eastAsia"/>
                <w:b/>
                <w:bCs/>
                <w:sz w:val="21"/>
                <w:szCs w:val="21"/>
                <w:highlight w:val="none"/>
              </w:rPr>
              <w:t>。</w:t>
            </w:r>
          </w:p>
        </w:tc>
      </w:tr>
      <w:tr w14:paraId="50909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3D7AE06B">
            <w:pPr>
              <w:pStyle w:val="23"/>
              <w:numPr>
                <w:ilvl w:val="0"/>
                <w:numId w:val="0"/>
              </w:numPr>
              <w:spacing w:line="360" w:lineRule="auto"/>
              <w:jc w:val="center"/>
              <w:rPr>
                <w:rFonts w:hint="eastAsia" w:hAnsi="宋体" w:eastAsia="宋体"/>
                <w:sz w:val="21"/>
                <w:szCs w:val="21"/>
                <w:highlight w:val="none"/>
                <w:lang w:eastAsia="zh-CN"/>
              </w:rPr>
            </w:pPr>
            <w:r>
              <w:rPr>
                <w:rFonts w:hint="eastAsia" w:hAnsi="宋体"/>
                <w:sz w:val="21"/>
                <w:szCs w:val="21"/>
                <w:highlight w:val="none"/>
                <w:lang w:eastAsia="zh-CN"/>
              </w:rPr>
              <w:t>（</w:t>
            </w:r>
            <w:r>
              <w:rPr>
                <w:rFonts w:hint="eastAsia" w:hAnsi="宋体"/>
                <w:sz w:val="21"/>
                <w:szCs w:val="21"/>
                <w:highlight w:val="none"/>
                <w:lang w:val="en-US" w:eastAsia="zh-CN"/>
              </w:rPr>
              <w:t>4</w:t>
            </w:r>
            <w:r>
              <w:rPr>
                <w:rFonts w:hint="eastAsia" w:hAnsi="宋体"/>
                <w:sz w:val="21"/>
                <w:szCs w:val="21"/>
                <w:highlight w:val="none"/>
                <w:lang w:eastAsia="zh-CN"/>
              </w:rPr>
              <w:t>）</w:t>
            </w:r>
          </w:p>
        </w:tc>
        <w:tc>
          <w:tcPr>
            <w:tcW w:w="8061" w:type="dxa"/>
            <w:gridSpan w:val="2"/>
            <w:noWrap w:val="0"/>
            <w:vAlign w:val="center"/>
          </w:tcPr>
          <w:p w14:paraId="6374BFD5">
            <w:pPr>
              <w:pStyle w:val="23"/>
              <w:spacing w:line="360" w:lineRule="auto"/>
              <w:rPr>
                <w:rFonts w:hint="eastAsia" w:ascii="宋体" w:hAnsi="宋体"/>
                <w:sz w:val="21"/>
                <w:szCs w:val="21"/>
                <w:highlight w:val="none"/>
              </w:rPr>
            </w:pPr>
            <w:r>
              <w:rPr>
                <w:rFonts w:ascii="Times New Roman" w:hAnsi="Times New Roman"/>
                <w:b/>
                <w:sz w:val="21"/>
                <w:szCs w:val="21"/>
                <w:highlight w:val="none"/>
              </w:rPr>
              <w:t>本采购文件明确</w:t>
            </w:r>
            <w:r>
              <w:rPr>
                <w:rFonts w:hint="eastAsia" w:ascii="Times New Roman" w:hAnsi="Times New Roman"/>
                <w:b/>
                <w:sz w:val="21"/>
                <w:szCs w:val="21"/>
                <w:highlight w:val="none"/>
              </w:rPr>
              <w:t>中小企业划分标准所属行业</w:t>
            </w:r>
            <w:r>
              <w:rPr>
                <w:rFonts w:ascii="Times New Roman" w:hAnsi="Times New Roman"/>
                <w:b/>
                <w:sz w:val="21"/>
                <w:szCs w:val="21"/>
                <w:highlight w:val="none"/>
              </w:rPr>
              <w:t>：</w:t>
            </w:r>
            <w:r>
              <w:rPr>
                <w:rFonts w:hint="eastAsia" w:ascii="Times New Roman" w:hAnsi="Times New Roman"/>
                <w:b/>
                <w:sz w:val="21"/>
                <w:szCs w:val="21"/>
                <w:highlight w:val="none"/>
                <w:u w:val="single"/>
              </w:rPr>
              <w:t>建筑业</w:t>
            </w:r>
          </w:p>
        </w:tc>
      </w:tr>
      <w:tr w14:paraId="4C6BB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3313FD6B">
            <w:pPr>
              <w:pStyle w:val="23"/>
              <w:numPr>
                <w:ilvl w:val="0"/>
                <w:numId w:val="0"/>
              </w:numPr>
              <w:spacing w:line="360" w:lineRule="auto"/>
              <w:ind w:left="387" w:leftChars="0"/>
              <w:jc w:val="both"/>
              <w:rPr>
                <w:rFonts w:hint="eastAsia" w:hAnsi="宋体" w:eastAsia="宋体"/>
                <w:sz w:val="21"/>
                <w:szCs w:val="21"/>
                <w:highlight w:val="none"/>
                <w:lang w:eastAsia="zh-CN"/>
              </w:rPr>
            </w:pPr>
            <w:r>
              <w:rPr>
                <w:rFonts w:hint="eastAsia" w:hAnsi="宋体"/>
                <w:sz w:val="21"/>
                <w:szCs w:val="21"/>
                <w:highlight w:val="none"/>
                <w:lang w:eastAsia="zh-CN"/>
              </w:rPr>
              <w:t>（</w:t>
            </w:r>
            <w:r>
              <w:rPr>
                <w:rFonts w:hint="eastAsia" w:hAnsi="宋体"/>
                <w:sz w:val="21"/>
                <w:szCs w:val="21"/>
                <w:highlight w:val="none"/>
                <w:lang w:val="en-US" w:eastAsia="zh-CN"/>
              </w:rPr>
              <w:t>5</w:t>
            </w:r>
            <w:r>
              <w:rPr>
                <w:rFonts w:hint="eastAsia" w:hAnsi="宋体"/>
                <w:sz w:val="21"/>
                <w:szCs w:val="21"/>
                <w:highlight w:val="none"/>
                <w:lang w:eastAsia="zh-CN"/>
              </w:rPr>
              <w:t>）</w:t>
            </w:r>
          </w:p>
        </w:tc>
        <w:tc>
          <w:tcPr>
            <w:tcW w:w="8061" w:type="dxa"/>
            <w:gridSpan w:val="2"/>
            <w:noWrap w:val="0"/>
            <w:vAlign w:val="center"/>
          </w:tcPr>
          <w:p w14:paraId="04488095">
            <w:pPr>
              <w:pStyle w:val="23"/>
              <w:spacing w:line="360" w:lineRule="auto"/>
              <w:rPr>
                <w:rFonts w:ascii="Times New Roman" w:hAnsi="Times New Roman"/>
                <w:b/>
                <w:sz w:val="21"/>
                <w:szCs w:val="21"/>
                <w:highlight w:val="none"/>
              </w:rPr>
            </w:pPr>
            <w:r>
              <w:rPr>
                <w:rFonts w:hint="eastAsia" w:ascii="宋体" w:hAnsi="宋体" w:cs="宋体"/>
                <w:sz w:val="21"/>
                <w:szCs w:val="21"/>
                <w:highlight w:val="none"/>
              </w:rPr>
              <w:t>磋商的顺序：按“政采云”系统的编号顺序</w:t>
            </w:r>
          </w:p>
        </w:tc>
      </w:tr>
      <w:tr w14:paraId="0AEA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4A6B3332">
            <w:pPr>
              <w:pStyle w:val="23"/>
              <w:numPr>
                <w:ilvl w:val="0"/>
                <w:numId w:val="0"/>
              </w:numPr>
              <w:spacing w:line="360" w:lineRule="auto"/>
              <w:jc w:val="center"/>
              <w:rPr>
                <w:rFonts w:hint="eastAsia" w:hAnsi="宋体" w:eastAsia="宋体"/>
                <w:sz w:val="21"/>
                <w:szCs w:val="21"/>
                <w:highlight w:val="none"/>
                <w:lang w:eastAsia="zh-CN"/>
              </w:rPr>
            </w:pPr>
            <w:bookmarkStart w:id="90" w:name="_Toc370221705"/>
            <w:bookmarkStart w:id="91" w:name="_Toc120603070"/>
            <w:bookmarkStart w:id="92" w:name="_Toc106422663"/>
            <w:bookmarkStart w:id="93" w:name="_Toc326774462"/>
            <w:bookmarkStart w:id="94" w:name="_Toc370221801"/>
            <w:bookmarkStart w:id="95" w:name="_Toc347234398"/>
            <w:bookmarkStart w:id="96" w:name="_Toc171930041"/>
            <w:bookmarkStart w:id="97" w:name="_Toc370221891"/>
            <w:r>
              <w:rPr>
                <w:rFonts w:hint="eastAsia" w:hAnsi="宋体"/>
                <w:sz w:val="21"/>
                <w:szCs w:val="21"/>
                <w:highlight w:val="none"/>
                <w:lang w:eastAsia="zh-CN"/>
              </w:rPr>
              <w:t>（</w:t>
            </w:r>
            <w:r>
              <w:rPr>
                <w:rFonts w:hint="eastAsia" w:hAnsi="宋体"/>
                <w:sz w:val="21"/>
                <w:szCs w:val="21"/>
                <w:highlight w:val="none"/>
                <w:lang w:val="en-US" w:eastAsia="zh-CN"/>
              </w:rPr>
              <w:t>6</w:t>
            </w:r>
            <w:r>
              <w:rPr>
                <w:rFonts w:hint="eastAsia" w:hAnsi="宋体"/>
                <w:sz w:val="21"/>
                <w:szCs w:val="21"/>
                <w:highlight w:val="none"/>
                <w:lang w:eastAsia="zh-CN"/>
              </w:rPr>
              <w:t>）</w:t>
            </w:r>
          </w:p>
        </w:tc>
        <w:tc>
          <w:tcPr>
            <w:tcW w:w="8061" w:type="dxa"/>
            <w:gridSpan w:val="2"/>
            <w:noWrap w:val="0"/>
            <w:vAlign w:val="center"/>
          </w:tcPr>
          <w:p w14:paraId="486D6460">
            <w:pPr>
              <w:spacing w:line="360" w:lineRule="auto"/>
              <w:rPr>
                <w:sz w:val="21"/>
                <w:szCs w:val="21"/>
                <w:highlight w:val="none"/>
              </w:rPr>
            </w:pPr>
            <w:r>
              <w:rPr>
                <w:rFonts w:hint="eastAsia"/>
                <w:b/>
                <w:bCs/>
                <w:color w:val="auto"/>
                <w:sz w:val="21"/>
                <w:szCs w:val="21"/>
                <w:highlight w:val="none"/>
                <w:lang w:val="en-US" w:eastAsia="zh-CN"/>
              </w:rPr>
              <w:t>本项目不适用政府采购本国产品的支持政策。</w:t>
            </w:r>
          </w:p>
        </w:tc>
      </w:tr>
      <w:tr w14:paraId="67EB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30AE876E">
            <w:pPr>
              <w:pStyle w:val="23"/>
              <w:numPr>
                <w:ilvl w:val="0"/>
                <w:numId w:val="0"/>
              </w:numPr>
              <w:spacing w:line="360" w:lineRule="auto"/>
              <w:ind w:left="387" w:leftChars="0"/>
              <w:jc w:val="center"/>
              <w:rPr>
                <w:rFonts w:hint="eastAsia" w:hAnsi="宋体" w:eastAsia="宋体"/>
                <w:sz w:val="21"/>
                <w:szCs w:val="21"/>
                <w:highlight w:val="none"/>
                <w:lang w:eastAsia="zh-CN"/>
              </w:rPr>
            </w:pPr>
            <w:r>
              <w:rPr>
                <w:rFonts w:hint="eastAsia" w:hAnsi="宋体"/>
                <w:sz w:val="21"/>
                <w:szCs w:val="21"/>
                <w:highlight w:val="none"/>
                <w:lang w:eastAsia="zh-CN"/>
              </w:rPr>
              <w:t>（</w:t>
            </w:r>
            <w:r>
              <w:rPr>
                <w:rFonts w:hint="eastAsia" w:hAnsi="宋体"/>
                <w:sz w:val="21"/>
                <w:szCs w:val="21"/>
                <w:highlight w:val="none"/>
                <w:lang w:val="en-US" w:eastAsia="zh-CN"/>
              </w:rPr>
              <w:t>7</w:t>
            </w:r>
            <w:r>
              <w:rPr>
                <w:rFonts w:hint="eastAsia" w:hAnsi="宋体"/>
                <w:sz w:val="21"/>
                <w:szCs w:val="21"/>
                <w:highlight w:val="none"/>
                <w:lang w:eastAsia="zh-CN"/>
              </w:rPr>
              <w:t>）</w:t>
            </w:r>
          </w:p>
        </w:tc>
        <w:tc>
          <w:tcPr>
            <w:tcW w:w="8061" w:type="dxa"/>
            <w:gridSpan w:val="2"/>
            <w:noWrap w:val="0"/>
            <w:vAlign w:val="center"/>
          </w:tcPr>
          <w:p w14:paraId="64B475B2">
            <w:pPr>
              <w:spacing w:line="360" w:lineRule="auto"/>
              <w:rPr>
                <w:rFonts w:hint="eastAsia" w:ascii="宋体" w:hAnsi="宋体" w:eastAsia="宋体" w:cs="Times New Roman"/>
                <w:b/>
                <w:highlight w:val="none"/>
              </w:rPr>
            </w:pPr>
            <w:r>
              <w:rPr>
                <w:rFonts w:hint="eastAsia" w:ascii="宋体" w:hAnsi="宋体" w:eastAsia="宋体" w:cs="Times New Roman"/>
                <w:b/>
                <w:highlight w:val="none"/>
                <w:lang w:val="en-US" w:eastAsia="zh-CN"/>
              </w:rPr>
              <w:t>1</w:t>
            </w:r>
            <w:r>
              <w:rPr>
                <w:rFonts w:hint="eastAsia" w:ascii="宋体" w:hAnsi="宋体" w:eastAsia="宋体" w:cs="Times New Roman"/>
                <w:b/>
                <w:highlight w:val="none"/>
              </w:rPr>
              <w:t>、关于注册建造师的证书规定：</w:t>
            </w:r>
          </w:p>
          <w:p w14:paraId="5437846C">
            <w:pPr>
              <w:spacing w:line="360" w:lineRule="auto"/>
              <w:rPr>
                <w:rFonts w:hint="eastAsia" w:ascii="宋体" w:hAnsi="宋体" w:eastAsia="宋体" w:cs="Times New Roman"/>
                <w:b/>
                <w:highlight w:val="none"/>
              </w:rPr>
            </w:pPr>
            <w:r>
              <w:rPr>
                <w:rFonts w:hint="eastAsia" w:ascii="宋体" w:hAnsi="宋体" w:eastAsia="宋体" w:cs="Times New Roman"/>
                <w:b/>
                <w:highlight w:val="none"/>
              </w:rPr>
              <w:t>若</w:t>
            </w:r>
            <w:r>
              <w:rPr>
                <w:rFonts w:hint="eastAsia" w:ascii="宋体" w:hAnsi="宋体" w:cs="Times New Roman"/>
                <w:b/>
                <w:highlight w:val="none"/>
                <w:lang w:val="en-US" w:eastAsia="zh-CN"/>
              </w:rPr>
              <w:t>供应商</w:t>
            </w:r>
            <w:r>
              <w:rPr>
                <w:rFonts w:hint="eastAsia" w:ascii="宋体" w:hAnsi="宋体" w:eastAsia="宋体" w:cs="Times New Roman"/>
                <w:b/>
                <w:highlight w:val="none"/>
              </w:rPr>
              <w:t>拟派的注册建造师为一级注册建造师，证书须符合《住房和城乡建设部办公厅关于全面实行一级建造师电子注册证书的通知》（建办市〔2021〕40号）文件的有关规定：</w:t>
            </w:r>
          </w:p>
          <w:p w14:paraId="46600ED5">
            <w:pPr>
              <w:spacing w:line="360" w:lineRule="auto"/>
              <w:rPr>
                <w:rFonts w:hint="eastAsia" w:ascii="宋体" w:hAnsi="宋体" w:eastAsia="宋体" w:cs="Times New Roman"/>
                <w:b/>
                <w:highlight w:val="none"/>
              </w:rPr>
            </w:pPr>
            <w:r>
              <w:rPr>
                <w:rFonts w:hint="eastAsia" w:ascii="宋体" w:hAnsi="宋体" w:eastAsia="宋体" w:cs="Times New Roman"/>
                <w:b/>
                <w:highlight w:val="none"/>
              </w:rPr>
              <w:t>（一）一级建造师可登录国家政务服务平台、住房和城乡建设部政务服务门户查看和下载电子证书，具体操作流程可查阅《住房和城乡建设部一级建造师电子证照申领和使用手册》。查看和下载电子证书时，本人应确认该证书的使用时限。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w:t>
            </w:r>
          </w:p>
          <w:p w14:paraId="7BE7CC4A">
            <w:pPr>
              <w:spacing w:line="360" w:lineRule="auto"/>
              <w:rPr>
                <w:rFonts w:hint="eastAsia" w:ascii="宋体" w:hAnsi="宋体" w:eastAsia="宋体" w:cs="Times New Roman"/>
                <w:b/>
                <w:highlight w:val="none"/>
              </w:rPr>
            </w:pPr>
            <w:r>
              <w:rPr>
                <w:rFonts w:hint="eastAsia" w:ascii="宋体" w:hAnsi="宋体" w:eastAsia="宋体" w:cs="Times New Roman"/>
                <w:b/>
                <w:highlight w:val="none"/>
              </w:rPr>
              <w:t>（二）一级建造师打印电子证书后，应在个人签名处手写本人签名，未手写签名或与签名图像笔迹不一致的，该电子证书无效。</w:t>
            </w:r>
          </w:p>
          <w:p w14:paraId="12E00D80">
            <w:pPr>
              <w:spacing w:line="360" w:lineRule="auto"/>
              <w:rPr>
                <w:rFonts w:hint="eastAsia" w:ascii="宋体" w:hAnsi="宋体" w:eastAsia="宋体" w:cs="Times New Roman"/>
                <w:b/>
                <w:highlight w:val="none"/>
              </w:rPr>
            </w:pPr>
            <w:r>
              <w:rPr>
                <w:rFonts w:hint="eastAsia" w:ascii="宋体" w:hAnsi="宋体" w:eastAsia="宋体" w:cs="Times New Roman"/>
                <w:b/>
                <w:highlight w:val="none"/>
              </w:rPr>
              <w:t>（三）电子证书与纸质注册证书的聘用单位信息、个人基本信息、注册专业有效期等不一致的，以电子证书信息为准。</w:t>
            </w:r>
          </w:p>
          <w:p w14:paraId="689C2EA8">
            <w:pPr>
              <w:spacing w:line="360" w:lineRule="auto"/>
              <w:rPr>
                <w:rFonts w:hint="eastAsia"/>
                <w:b/>
                <w:bCs/>
                <w:color w:val="auto"/>
                <w:sz w:val="21"/>
                <w:szCs w:val="21"/>
                <w:highlight w:val="none"/>
                <w:lang w:val="en-US" w:eastAsia="zh-CN"/>
              </w:rPr>
            </w:pPr>
            <w:r>
              <w:rPr>
                <w:rFonts w:hint="eastAsia" w:ascii="宋体" w:hAnsi="宋体" w:eastAsia="宋体" w:cs="Times New Roman"/>
                <w:b/>
                <w:highlight w:val="none"/>
                <w:lang w:val="en-US" w:eastAsia="zh-CN"/>
              </w:rPr>
              <w:t>2</w:t>
            </w:r>
            <w:r>
              <w:rPr>
                <w:rFonts w:hint="eastAsia" w:ascii="宋体" w:hAnsi="宋体" w:eastAsia="宋体" w:cs="Times New Roman"/>
                <w:b/>
                <w:highlight w:val="none"/>
              </w:rPr>
              <w:t>、按照《关于结束全省房屋建筑和市政基础设施工程建设领域建筑行业企业信用综合评价评级试点工作的通知》《云南省住房和城乡建设厅关于暂停云南省建筑行业企业信用评价工作的通知》文件精神，自通知印发之日起云南省建筑行业企业信用评级评价结果暂停应用于招投标活动。</w:t>
            </w:r>
          </w:p>
        </w:tc>
      </w:tr>
      <w:tr w14:paraId="6384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2" w:type="dxa"/>
            <w:noWrap w:val="0"/>
            <w:vAlign w:val="center"/>
          </w:tcPr>
          <w:p w14:paraId="307C760C">
            <w:pPr>
              <w:spacing w:line="420" w:lineRule="atLeast"/>
              <w:jc w:val="center"/>
              <w:rPr>
                <w:rFonts w:hint="eastAsia" w:hAnsi="宋体" w:eastAsia="宋体"/>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p>
        </w:tc>
        <w:tc>
          <w:tcPr>
            <w:tcW w:w="8061" w:type="dxa"/>
            <w:gridSpan w:val="2"/>
            <w:noWrap w:val="0"/>
            <w:vAlign w:val="center"/>
          </w:tcPr>
          <w:p w14:paraId="2D65F793">
            <w:pPr>
              <w:pStyle w:val="23"/>
              <w:spacing w:line="420" w:lineRule="exact"/>
              <w:rPr>
                <w:rFonts w:hint="eastAsia" w:ascii="宋体" w:hAnsi="宋体" w:eastAsia="宋体" w:cs="宋体"/>
                <w:color w:val="auto"/>
                <w:kern w:val="0"/>
                <w:highlight w:val="none"/>
              </w:rPr>
            </w:pPr>
            <w:r>
              <w:rPr>
                <w:rFonts w:hint="eastAsia" w:hAnsi="宋体" w:cs="宋体"/>
                <w:color w:val="auto"/>
                <w:kern w:val="0"/>
                <w:highlight w:val="none"/>
                <w:lang w:val="en-US" w:eastAsia="zh-CN"/>
              </w:rPr>
              <w:t>1、</w:t>
            </w:r>
            <w:r>
              <w:rPr>
                <w:rFonts w:hint="eastAsia" w:ascii="宋体" w:hAnsi="宋体" w:eastAsia="宋体" w:cs="宋体"/>
                <w:color w:val="auto"/>
                <w:kern w:val="0"/>
                <w:highlight w:val="none"/>
              </w:rPr>
              <w:t>本</w:t>
            </w:r>
            <w:r>
              <w:rPr>
                <w:rFonts w:hint="eastAsia" w:ascii="宋体" w:hAnsi="宋体" w:eastAsia="宋体" w:cs="宋体"/>
                <w:color w:val="auto"/>
                <w:kern w:val="0"/>
                <w:highlight w:val="none"/>
                <w:lang w:val="en-US" w:eastAsia="zh-CN"/>
              </w:rPr>
              <w:t>磋商</w:t>
            </w:r>
            <w:r>
              <w:rPr>
                <w:rFonts w:hint="eastAsia" w:ascii="宋体" w:hAnsi="宋体" w:eastAsia="宋体" w:cs="宋体"/>
                <w:color w:val="auto"/>
                <w:kern w:val="0"/>
                <w:highlight w:val="none"/>
              </w:rPr>
              <w:t>文件中所提到的公章：指公安部门备案的行政公章或合法电子公章；签字：指亲笔签字或电子签名。</w:t>
            </w:r>
          </w:p>
          <w:p w14:paraId="69E32BBA">
            <w:pPr>
              <w:pStyle w:val="23"/>
              <w:spacing w:line="420" w:lineRule="exact"/>
              <w:rPr>
                <w:rFonts w:hint="eastAsia" w:ascii="宋体" w:hAnsi="宋体" w:eastAsia="宋体" w:cs="宋体"/>
                <w:color w:val="auto"/>
                <w:kern w:val="0"/>
                <w:highlight w:val="none"/>
                <w:lang w:eastAsia="zh-CN"/>
              </w:rPr>
            </w:pPr>
            <w:r>
              <w:rPr>
                <w:rFonts w:hint="eastAsia" w:hAnsi="宋体" w:cs="宋体"/>
                <w:color w:val="auto"/>
                <w:kern w:val="0"/>
                <w:highlight w:val="none"/>
                <w:lang w:val="en-US" w:eastAsia="zh-CN"/>
              </w:rPr>
              <w:t>2、</w:t>
            </w:r>
            <w:r>
              <w:rPr>
                <w:rFonts w:hint="eastAsia" w:ascii="宋体" w:hAnsi="宋体" w:eastAsia="宋体" w:cs="宋体"/>
                <w:color w:val="auto"/>
                <w:kern w:val="0"/>
                <w:sz w:val="21"/>
                <w:szCs w:val="21"/>
                <w:highlight w:val="none"/>
                <w:lang w:eastAsia="zh-CN"/>
              </w:rPr>
              <w:t>法定代表人：是指具有独立承担民事责任的法人</w:t>
            </w:r>
            <w:r>
              <w:rPr>
                <w:rFonts w:hint="eastAsia" w:ascii="宋体" w:hAnsi="宋体" w:eastAsia="宋体" w:cs="宋体"/>
                <w:color w:val="auto"/>
                <w:kern w:val="0"/>
                <w:sz w:val="21"/>
                <w:szCs w:val="21"/>
                <w:highlight w:val="none"/>
                <w:lang w:val="en-US" w:eastAsia="zh-CN"/>
              </w:rPr>
              <w:t>机构的法定代表人；负责人：</w:t>
            </w:r>
            <w:r>
              <w:rPr>
                <w:rFonts w:hint="eastAsia" w:ascii="宋体" w:hAnsi="宋体" w:eastAsia="宋体" w:cs="宋体"/>
                <w:color w:val="auto"/>
                <w:kern w:val="0"/>
                <w:sz w:val="21"/>
                <w:szCs w:val="21"/>
                <w:highlight w:val="none"/>
                <w:lang w:eastAsia="zh-CN"/>
              </w:rPr>
              <w:t>是指具有独立承担民事责任的非法人机构行使机构管理和代表权利义务的主体，如：自然人本人、个体经营户的经营者、民办非企业单位（社会团体）和合伙制机构等非法人机构的负责人。</w:t>
            </w:r>
          </w:p>
          <w:p w14:paraId="293FEF11">
            <w:pPr>
              <w:pStyle w:val="23"/>
              <w:spacing w:line="420" w:lineRule="exact"/>
              <w:rPr>
                <w:rFonts w:hint="eastAsia" w:ascii="宋体" w:hAnsi="宋体" w:eastAsia="宋体" w:cs="宋体"/>
                <w:color w:val="auto"/>
                <w:kern w:val="0"/>
                <w:highlight w:val="none"/>
              </w:rPr>
            </w:pPr>
            <w:r>
              <w:rPr>
                <w:rFonts w:hint="eastAsia" w:hAnsi="宋体" w:cs="宋体"/>
                <w:color w:val="auto"/>
                <w:kern w:val="0"/>
                <w:highlight w:val="none"/>
                <w:lang w:val="en-US" w:eastAsia="zh-CN"/>
              </w:rPr>
              <w:t>3、</w:t>
            </w:r>
            <w:r>
              <w:rPr>
                <w:rFonts w:hint="eastAsia" w:ascii="宋体" w:hAnsi="宋体" w:eastAsia="宋体" w:cs="宋体"/>
                <w:color w:val="auto"/>
                <w:kern w:val="0"/>
                <w:highlight w:val="none"/>
              </w:rPr>
              <w:t>采购人有权对被推荐为第一</w:t>
            </w:r>
            <w:r>
              <w:rPr>
                <w:rFonts w:hint="eastAsia" w:ascii="宋体" w:hAnsi="宋体" w:eastAsia="宋体" w:cs="宋体"/>
                <w:color w:val="auto"/>
                <w:kern w:val="0"/>
                <w:highlight w:val="none"/>
                <w:lang w:val="en-US" w:eastAsia="zh-CN"/>
              </w:rPr>
              <w:t>成交</w:t>
            </w:r>
            <w:r>
              <w:rPr>
                <w:rFonts w:hint="eastAsia" w:ascii="宋体" w:hAnsi="宋体" w:eastAsia="宋体" w:cs="宋体"/>
                <w:color w:val="auto"/>
                <w:kern w:val="0"/>
                <w:highlight w:val="none"/>
              </w:rPr>
              <w:t>候选人的投标文件中不合理的条款在进行合同谈判时要求其进行修正的权力，否则，采购人有权拒绝与之签订合同并选择下一排序的候选人进行合同谈判，以此类推。</w:t>
            </w:r>
          </w:p>
          <w:p w14:paraId="2C3BDBB7">
            <w:pPr>
              <w:widowControl/>
              <w:spacing w:line="420" w:lineRule="atLeast"/>
              <w:jc w:val="left"/>
              <w:rPr>
                <w:rFonts w:hint="eastAsia" w:ascii="宋体" w:hAnsi="宋体" w:eastAsia="宋体" w:cs="Times New Roman"/>
                <w:b/>
                <w:highlight w:val="none"/>
                <w:lang w:val="en-US" w:eastAsia="zh-CN"/>
              </w:rPr>
            </w:pPr>
            <w:r>
              <w:rPr>
                <w:rFonts w:hint="eastAsia" w:ascii="宋体" w:hAnsi="宋体" w:cs="宋体"/>
                <w:color w:val="auto"/>
                <w:kern w:val="0"/>
                <w:sz w:val="21"/>
                <w:highlight w:val="none"/>
                <w:lang w:val="en-US" w:eastAsia="zh-CN" w:bidi="ar-SA"/>
              </w:rPr>
              <w:t>4、</w:t>
            </w:r>
            <w:r>
              <w:rPr>
                <w:rFonts w:hint="eastAsia"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若有幸成交，须在领取成交通知书的同时向采购代理机构提交与上传的电子响应文件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签章版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完全一致的纸质响应文件两份（纸质响应文件不得采用活页夹等可随时拆换的方式装订，必须采用胶装或者钉装等专业装订方式装订成册，正本一份，副本一份）。</w:t>
            </w:r>
          </w:p>
        </w:tc>
      </w:tr>
    </w:tbl>
    <w:p w14:paraId="04B901DD">
      <w:pPr>
        <w:pStyle w:val="3"/>
        <w:spacing w:before="0" w:line="360" w:lineRule="auto"/>
        <w:jc w:val="center"/>
        <w:rPr>
          <w:rFonts w:ascii="宋体" w:hAnsi="宋体" w:eastAsia="宋体"/>
          <w:sz w:val="21"/>
          <w:szCs w:val="21"/>
          <w:highlight w:val="none"/>
        </w:rPr>
      </w:pPr>
      <w:r>
        <w:rPr>
          <w:rFonts w:ascii="宋体" w:hAnsi="宋体" w:eastAsia="宋体" w:cs="Arial"/>
          <w:sz w:val="24"/>
          <w:highlight w:val="none"/>
        </w:rPr>
        <w:br w:type="page"/>
      </w:r>
      <w:bookmarkEnd w:id="90"/>
      <w:bookmarkEnd w:id="91"/>
      <w:bookmarkEnd w:id="92"/>
      <w:bookmarkEnd w:id="93"/>
      <w:bookmarkEnd w:id="94"/>
      <w:bookmarkEnd w:id="95"/>
      <w:bookmarkEnd w:id="96"/>
      <w:bookmarkEnd w:id="97"/>
      <w:bookmarkStart w:id="98" w:name="_Toc427339168"/>
      <w:bookmarkStart w:id="99" w:name="_Toc373844163"/>
      <w:bookmarkStart w:id="100" w:name="_Toc348011923"/>
      <w:bookmarkStart w:id="101" w:name="_Toc427306787"/>
      <w:bookmarkStart w:id="102" w:name="_Toc29357"/>
      <w:bookmarkStart w:id="103" w:name="_Toc373844096"/>
      <w:r>
        <w:rPr>
          <w:rFonts w:ascii="宋体" w:hAnsi="宋体" w:eastAsia="宋体"/>
          <w:sz w:val="21"/>
          <w:szCs w:val="21"/>
          <w:highlight w:val="none"/>
        </w:rPr>
        <w:t>一、总则</w:t>
      </w:r>
      <w:bookmarkEnd w:id="98"/>
      <w:bookmarkEnd w:id="99"/>
      <w:bookmarkEnd w:id="100"/>
      <w:bookmarkEnd w:id="101"/>
      <w:bookmarkEnd w:id="102"/>
      <w:bookmarkEnd w:id="103"/>
    </w:p>
    <w:p w14:paraId="5AAEB0A3">
      <w:pPr>
        <w:keepNext w:val="0"/>
        <w:keepLines w:val="0"/>
        <w:pageBreakBefore w:val="0"/>
        <w:widowControl w:val="0"/>
        <w:kinsoku/>
        <w:wordWrap/>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04" w:name="_Toc348011924"/>
      <w:bookmarkStart w:id="105" w:name="_Toc329810186"/>
      <w:r>
        <w:rPr>
          <w:rFonts w:hint="eastAsia" w:ascii="宋体" w:hAnsi="宋体"/>
          <w:b/>
          <w:szCs w:val="21"/>
          <w:highlight w:val="none"/>
        </w:rPr>
        <w:t>1、</w:t>
      </w:r>
      <w:r>
        <w:rPr>
          <w:rFonts w:ascii="宋体" w:hAnsi="宋体"/>
          <w:b/>
          <w:szCs w:val="21"/>
          <w:highlight w:val="none"/>
        </w:rPr>
        <w:t>项目概况</w:t>
      </w:r>
      <w:bookmarkEnd w:id="104"/>
      <w:bookmarkEnd w:id="105"/>
    </w:p>
    <w:p w14:paraId="0F5A2492">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1.</w:t>
      </w:r>
      <w:r>
        <w:rPr>
          <w:rFonts w:hint="eastAsia" w:ascii="宋体" w:hAnsi="宋体"/>
          <w:szCs w:val="21"/>
          <w:highlight w:val="none"/>
        </w:rPr>
        <w:t>1</w:t>
      </w:r>
      <w:r>
        <w:rPr>
          <w:rFonts w:hint="eastAsia" w:ascii="宋体" w:hAnsi="宋体"/>
          <w:bCs/>
          <w:szCs w:val="21"/>
          <w:highlight w:val="none"/>
        </w:rPr>
        <w:t>采购人、采购代理机构、</w:t>
      </w:r>
      <w:r>
        <w:rPr>
          <w:rFonts w:hint="eastAsia" w:ascii="宋体" w:hAnsi="宋体"/>
          <w:szCs w:val="21"/>
          <w:highlight w:val="none"/>
        </w:rPr>
        <w:t>项目名称</w:t>
      </w:r>
      <w:r>
        <w:rPr>
          <w:rFonts w:hint="eastAsia" w:ascii="宋体" w:hAnsi="宋体"/>
          <w:szCs w:val="21"/>
          <w:highlight w:val="none"/>
          <w:lang w:eastAsia="zh-CN"/>
        </w:rPr>
        <w:t>、</w:t>
      </w:r>
      <w:r>
        <w:rPr>
          <w:rFonts w:hint="eastAsia" w:ascii="宋体" w:hAnsi="宋体"/>
          <w:szCs w:val="21"/>
          <w:highlight w:val="none"/>
        </w:rPr>
        <w:t>项目编号</w:t>
      </w:r>
      <w:r>
        <w:rPr>
          <w:rFonts w:hint="eastAsia" w:ascii="宋体" w:hAnsi="宋体"/>
          <w:szCs w:val="21"/>
          <w:highlight w:val="none"/>
          <w:lang w:eastAsia="zh-CN"/>
        </w:rPr>
        <w:t>、</w:t>
      </w:r>
      <w:r>
        <w:rPr>
          <w:rFonts w:hint="eastAsia" w:ascii="宋体" w:hAnsi="宋体"/>
          <w:szCs w:val="21"/>
          <w:highlight w:val="none"/>
          <w:lang w:val="en-US" w:eastAsia="zh-CN"/>
        </w:rPr>
        <w:t>采购编号</w:t>
      </w:r>
      <w:r>
        <w:rPr>
          <w:rFonts w:ascii="宋体" w:hAnsi="宋体"/>
          <w:szCs w:val="21"/>
          <w:highlight w:val="none"/>
        </w:rPr>
        <w:t>：见“</w:t>
      </w:r>
      <w:r>
        <w:rPr>
          <w:rFonts w:ascii="宋体" w:hAnsi="宋体"/>
          <w:b/>
          <w:bCs/>
          <w:szCs w:val="21"/>
          <w:highlight w:val="none"/>
        </w:rPr>
        <w:t>供应商须知前附表</w:t>
      </w:r>
      <w:r>
        <w:rPr>
          <w:rFonts w:ascii="宋体" w:hAnsi="宋体"/>
          <w:szCs w:val="21"/>
          <w:highlight w:val="none"/>
        </w:rPr>
        <w:t>”。</w:t>
      </w:r>
    </w:p>
    <w:p w14:paraId="1F88D996">
      <w:pPr>
        <w:keepNext w:val="0"/>
        <w:keepLines w:val="0"/>
        <w:pageBreakBefore w:val="0"/>
        <w:widowControl w:val="0"/>
        <w:kinsoku/>
        <w:wordWrap/>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06" w:name="_Toc265142411"/>
      <w:bookmarkStart w:id="107" w:name="_Toc329810187"/>
      <w:bookmarkStart w:id="108" w:name="_Toc348011925"/>
      <w:r>
        <w:rPr>
          <w:rFonts w:hint="eastAsia" w:ascii="宋体" w:hAnsi="宋体"/>
          <w:b/>
          <w:szCs w:val="21"/>
          <w:highlight w:val="none"/>
        </w:rPr>
        <w:t>2、</w:t>
      </w:r>
      <w:r>
        <w:rPr>
          <w:rFonts w:ascii="宋体" w:hAnsi="宋体"/>
          <w:b/>
          <w:szCs w:val="21"/>
          <w:highlight w:val="none"/>
        </w:rPr>
        <w:t>资金来源</w:t>
      </w:r>
      <w:bookmarkEnd w:id="106"/>
      <w:bookmarkEnd w:id="107"/>
      <w:bookmarkEnd w:id="108"/>
    </w:p>
    <w:p w14:paraId="391EC55E">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2.1 “</w:t>
      </w:r>
      <w:r>
        <w:rPr>
          <w:rFonts w:ascii="宋体" w:hAnsi="宋体"/>
          <w:b/>
          <w:bCs/>
          <w:szCs w:val="21"/>
          <w:highlight w:val="none"/>
        </w:rPr>
        <w:t>供应商须知前附表</w:t>
      </w:r>
      <w:r>
        <w:rPr>
          <w:rFonts w:ascii="宋体" w:hAnsi="宋体"/>
          <w:szCs w:val="21"/>
          <w:highlight w:val="none"/>
        </w:rPr>
        <w:t>”</w:t>
      </w:r>
      <w:r>
        <w:rPr>
          <w:rFonts w:hint="eastAsia" w:ascii="宋体" w:hAnsi="宋体"/>
          <w:szCs w:val="21"/>
          <w:highlight w:val="none"/>
        </w:rPr>
        <w:t xml:space="preserve"> 中所述的采购资金</w:t>
      </w:r>
      <w:r>
        <w:rPr>
          <w:rFonts w:ascii="宋体" w:hAnsi="宋体"/>
          <w:szCs w:val="21"/>
          <w:highlight w:val="none"/>
        </w:rPr>
        <w:t>，用于采购“</w:t>
      </w:r>
      <w:r>
        <w:rPr>
          <w:rFonts w:hint="eastAsia" w:ascii="宋体" w:hAnsi="宋体"/>
          <w:b/>
          <w:szCs w:val="21"/>
          <w:highlight w:val="none"/>
        </w:rPr>
        <w:t xml:space="preserve">第五章 </w:t>
      </w:r>
      <w:r>
        <w:rPr>
          <w:rFonts w:hint="eastAsia" w:ascii="宋体" w:hAnsi="宋体"/>
          <w:b/>
          <w:bCs/>
          <w:szCs w:val="21"/>
          <w:highlight w:val="none"/>
          <w:lang w:eastAsia="zh-CN"/>
        </w:rPr>
        <w:t>项目需求</w:t>
      </w:r>
      <w:r>
        <w:rPr>
          <w:rFonts w:ascii="宋体" w:hAnsi="宋体"/>
          <w:szCs w:val="21"/>
          <w:highlight w:val="none"/>
        </w:rPr>
        <w:t>”所列</w:t>
      </w:r>
      <w:r>
        <w:rPr>
          <w:rFonts w:hint="eastAsia" w:ascii="宋体" w:hAnsi="宋体"/>
          <w:szCs w:val="21"/>
          <w:highlight w:val="none"/>
        </w:rPr>
        <w:t>工程</w:t>
      </w:r>
      <w:r>
        <w:rPr>
          <w:rFonts w:ascii="宋体" w:hAnsi="宋体"/>
          <w:szCs w:val="21"/>
          <w:highlight w:val="none"/>
        </w:rPr>
        <w:t>。</w:t>
      </w:r>
    </w:p>
    <w:p w14:paraId="0D45F143">
      <w:pPr>
        <w:keepNext w:val="0"/>
        <w:keepLines w:val="0"/>
        <w:pageBreakBefore w:val="0"/>
        <w:widowControl w:val="0"/>
        <w:kinsoku/>
        <w:wordWrap/>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09" w:name="_Toc329810188"/>
      <w:bookmarkStart w:id="110" w:name="_Toc348011926"/>
      <w:bookmarkStart w:id="111" w:name="_Toc265142412"/>
      <w:r>
        <w:rPr>
          <w:rFonts w:hint="eastAsia" w:ascii="宋体" w:hAnsi="宋体"/>
          <w:b/>
          <w:szCs w:val="21"/>
          <w:highlight w:val="none"/>
        </w:rPr>
        <w:t>3、</w:t>
      </w:r>
      <w:r>
        <w:rPr>
          <w:rFonts w:ascii="宋体" w:hAnsi="宋体"/>
          <w:b/>
          <w:szCs w:val="21"/>
          <w:highlight w:val="none"/>
        </w:rPr>
        <w:t>采购范围</w:t>
      </w:r>
      <w:bookmarkEnd w:id="109"/>
      <w:bookmarkEnd w:id="110"/>
      <w:bookmarkEnd w:id="111"/>
    </w:p>
    <w:p w14:paraId="7F8D0D38">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3.1 本项目</w:t>
      </w:r>
      <w:r>
        <w:rPr>
          <w:rFonts w:hint="eastAsia" w:ascii="宋体" w:hAnsi="宋体"/>
          <w:szCs w:val="21"/>
          <w:highlight w:val="none"/>
        </w:rPr>
        <w:t>采购内容</w:t>
      </w:r>
      <w:r>
        <w:rPr>
          <w:rFonts w:ascii="宋体" w:hAnsi="宋体"/>
          <w:szCs w:val="21"/>
          <w:highlight w:val="none"/>
        </w:rPr>
        <w:t>：见“</w:t>
      </w:r>
      <w:r>
        <w:rPr>
          <w:rFonts w:ascii="宋体" w:hAnsi="宋体"/>
          <w:b/>
          <w:bCs/>
          <w:szCs w:val="21"/>
          <w:highlight w:val="none"/>
        </w:rPr>
        <w:t>供应商须知前附表</w:t>
      </w:r>
      <w:r>
        <w:rPr>
          <w:rFonts w:ascii="宋体" w:hAnsi="宋体"/>
          <w:szCs w:val="21"/>
          <w:highlight w:val="none"/>
        </w:rPr>
        <w:t>”。</w:t>
      </w:r>
    </w:p>
    <w:p w14:paraId="57710D8F">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ascii="宋体" w:hAnsi="宋体"/>
          <w:szCs w:val="21"/>
          <w:highlight w:val="none"/>
        </w:rPr>
        <w:t>3.2 本项目</w:t>
      </w:r>
      <w:r>
        <w:rPr>
          <w:rFonts w:ascii="Times New Roman" w:hAnsi="Times New Roman"/>
          <w:color w:val="auto"/>
          <w:highlight w:val="none"/>
        </w:rPr>
        <w:t>工期、</w:t>
      </w:r>
      <w:r>
        <w:rPr>
          <w:rFonts w:hint="eastAsia" w:ascii="Times New Roman" w:hAnsi="Times New Roman"/>
          <w:color w:val="auto"/>
          <w:highlight w:val="none"/>
          <w:lang w:eastAsia="zh-CN"/>
        </w:rPr>
        <w:t>工程地点</w:t>
      </w:r>
      <w:r>
        <w:rPr>
          <w:rFonts w:ascii="Times New Roman" w:hAnsi="Times New Roman"/>
          <w:color w:val="auto"/>
          <w:highlight w:val="none"/>
        </w:rPr>
        <w:t>、质量标准</w:t>
      </w:r>
      <w:r>
        <w:rPr>
          <w:rFonts w:ascii="宋体" w:hAnsi="宋体"/>
          <w:szCs w:val="21"/>
          <w:highlight w:val="none"/>
        </w:rPr>
        <w:t>：见“</w:t>
      </w:r>
      <w:r>
        <w:rPr>
          <w:rFonts w:ascii="宋体" w:hAnsi="宋体"/>
          <w:b/>
          <w:bCs/>
          <w:szCs w:val="21"/>
          <w:highlight w:val="none"/>
        </w:rPr>
        <w:t>供应商须知前附表</w:t>
      </w:r>
      <w:r>
        <w:rPr>
          <w:rFonts w:ascii="宋体" w:hAnsi="宋体"/>
          <w:szCs w:val="21"/>
          <w:highlight w:val="none"/>
        </w:rPr>
        <w:t>”。</w:t>
      </w:r>
    </w:p>
    <w:p w14:paraId="4746138F">
      <w:pPr>
        <w:keepNext w:val="0"/>
        <w:keepLines w:val="0"/>
        <w:pageBreakBefore w:val="0"/>
        <w:widowControl w:val="0"/>
        <w:kinsoku/>
        <w:wordWrap/>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12" w:name="_Toc348011927"/>
      <w:bookmarkStart w:id="113" w:name="_Toc329810189"/>
      <w:r>
        <w:rPr>
          <w:rFonts w:hint="eastAsia" w:ascii="宋体" w:hAnsi="宋体"/>
          <w:b/>
          <w:szCs w:val="21"/>
          <w:highlight w:val="none"/>
        </w:rPr>
        <w:t>4、</w:t>
      </w:r>
      <w:r>
        <w:rPr>
          <w:rFonts w:ascii="宋体" w:hAnsi="宋体"/>
          <w:b/>
          <w:szCs w:val="21"/>
          <w:highlight w:val="none"/>
        </w:rPr>
        <w:t>合格的供应商（以下简称供应商）</w:t>
      </w:r>
      <w:bookmarkEnd w:id="112"/>
      <w:bookmarkEnd w:id="113"/>
    </w:p>
    <w:p w14:paraId="1115F1ED">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bookmarkStart w:id="114" w:name="_Hlt200176664"/>
      <w:bookmarkEnd w:id="114"/>
      <w:bookmarkStart w:id="115" w:name="_Toc424897008"/>
      <w:r>
        <w:rPr>
          <w:rFonts w:hint="eastAsia" w:ascii="宋体" w:hAnsi="宋体"/>
          <w:szCs w:val="21"/>
          <w:highlight w:val="none"/>
        </w:rPr>
        <w:t>4.</w:t>
      </w:r>
      <w:r>
        <w:rPr>
          <w:rFonts w:ascii="宋体" w:hAnsi="宋体"/>
          <w:szCs w:val="21"/>
          <w:highlight w:val="none"/>
        </w:rPr>
        <w:t>1供应商</w:t>
      </w:r>
      <w:r>
        <w:rPr>
          <w:rFonts w:hint="eastAsia" w:ascii="宋体" w:hAnsi="宋体"/>
          <w:szCs w:val="21"/>
          <w:highlight w:val="none"/>
        </w:rPr>
        <w:t>应</w:t>
      </w:r>
      <w:r>
        <w:rPr>
          <w:rFonts w:hint="eastAsia" w:ascii="宋体" w:hAnsi="宋体"/>
          <w:color w:val="auto"/>
          <w:szCs w:val="21"/>
          <w:highlight w:val="none"/>
        </w:rPr>
        <w:t>满足《中华人民共和国政府采购法》第二十二条规定；符合《中华人民共和国政府采购法实施条例》第十八条规定</w:t>
      </w:r>
      <w:r>
        <w:rPr>
          <w:rFonts w:hint="eastAsia" w:ascii="宋体" w:hAnsi="宋体"/>
          <w:szCs w:val="21"/>
          <w:highlight w:val="none"/>
        </w:rPr>
        <w:t>，并提供下列材料：</w:t>
      </w:r>
    </w:p>
    <w:p w14:paraId="30912114">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1</w:t>
      </w:r>
      <w:r>
        <w:rPr>
          <w:rFonts w:hint="eastAsia" w:ascii="宋体" w:hAnsi="宋体"/>
          <w:szCs w:val="21"/>
          <w:highlight w:val="none"/>
        </w:rPr>
        <w:t>.1</w:t>
      </w:r>
      <w:r>
        <w:rPr>
          <w:rFonts w:ascii="宋体" w:hAnsi="宋体"/>
          <w:szCs w:val="21"/>
          <w:highlight w:val="none"/>
        </w:rPr>
        <w:t>供应商</w:t>
      </w:r>
      <w:r>
        <w:rPr>
          <w:rFonts w:hint="eastAsia" w:ascii="宋体" w:hAnsi="宋体"/>
          <w:szCs w:val="21"/>
          <w:highlight w:val="none"/>
        </w:rPr>
        <w:t>必须是具有独立承担民事责任能力的法人、其他组织或自然人；</w:t>
      </w:r>
      <w:r>
        <w:rPr>
          <w:szCs w:val="21"/>
          <w:highlight w:val="none"/>
        </w:rPr>
        <w:t>提供营业执照、事业单位法人证书或自然人的身份证明</w:t>
      </w:r>
      <w:r>
        <w:rPr>
          <w:rFonts w:hint="eastAsia" w:ascii="宋体" w:hAnsi="宋体"/>
          <w:szCs w:val="21"/>
          <w:highlight w:val="none"/>
        </w:rPr>
        <w:t>；</w:t>
      </w:r>
    </w:p>
    <w:p w14:paraId="72923BB8">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1</w:t>
      </w:r>
      <w:r>
        <w:rPr>
          <w:rFonts w:hint="eastAsia" w:ascii="宋体" w:hAnsi="宋体"/>
          <w:szCs w:val="21"/>
          <w:highlight w:val="none"/>
        </w:rPr>
        <w:t>.2供应商须提供财务状况报告，内容详见“</w:t>
      </w:r>
      <w:r>
        <w:rPr>
          <w:rFonts w:hint="eastAsia" w:ascii="宋体" w:hAnsi="宋体"/>
          <w:b/>
          <w:bCs/>
          <w:szCs w:val="21"/>
          <w:highlight w:val="none"/>
        </w:rPr>
        <w:t>供应商须知前附表</w:t>
      </w:r>
      <w:r>
        <w:rPr>
          <w:rFonts w:hint="eastAsia" w:ascii="宋体" w:hAnsi="宋体"/>
          <w:szCs w:val="21"/>
          <w:highlight w:val="none"/>
        </w:rPr>
        <w:t>”</w:t>
      </w:r>
      <w:r>
        <w:rPr>
          <w:rFonts w:hint="eastAsia" w:ascii="宋体" w:hAnsi="宋体"/>
          <w:bCs/>
          <w:szCs w:val="21"/>
          <w:highlight w:val="none"/>
        </w:rPr>
        <w:t>；</w:t>
      </w:r>
    </w:p>
    <w:p w14:paraId="5843114B">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4.</w:t>
      </w:r>
      <w:r>
        <w:rPr>
          <w:rFonts w:ascii="宋体" w:hAnsi="宋体"/>
          <w:szCs w:val="21"/>
          <w:highlight w:val="none"/>
        </w:rPr>
        <w:t>1</w:t>
      </w:r>
      <w:r>
        <w:rPr>
          <w:rFonts w:hint="eastAsia" w:ascii="宋体" w:hAnsi="宋体"/>
          <w:szCs w:val="21"/>
          <w:highlight w:val="none"/>
        </w:rPr>
        <w:t>.3</w:t>
      </w:r>
      <w:r>
        <w:rPr>
          <w:rFonts w:ascii="宋体" w:hAnsi="宋体"/>
          <w:szCs w:val="21"/>
          <w:highlight w:val="none"/>
        </w:rPr>
        <w:t>供应商</w:t>
      </w:r>
      <w:r>
        <w:rPr>
          <w:szCs w:val="21"/>
          <w:highlight w:val="none"/>
        </w:rPr>
        <w:t>提供近期内（具体月份详见</w:t>
      </w:r>
      <w:r>
        <w:rPr>
          <w:rFonts w:hint="eastAsia"/>
          <w:szCs w:val="21"/>
          <w:highlight w:val="none"/>
          <w:lang w:eastAsia="zh-CN"/>
        </w:rPr>
        <w:t>“</w:t>
      </w:r>
      <w:r>
        <w:rPr>
          <w:rFonts w:hint="eastAsia"/>
          <w:b/>
          <w:bCs/>
          <w:szCs w:val="21"/>
          <w:highlight w:val="none"/>
          <w:lang w:eastAsia="zh-CN"/>
        </w:rPr>
        <w:t>供应商</w:t>
      </w:r>
      <w:r>
        <w:rPr>
          <w:b/>
          <w:bCs/>
          <w:szCs w:val="21"/>
          <w:highlight w:val="none"/>
        </w:rPr>
        <w:t>须知前附表</w:t>
      </w:r>
      <w:r>
        <w:rPr>
          <w:rFonts w:hint="eastAsia"/>
          <w:szCs w:val="21"/>
          <w:highlight w:val="none"/>
          <w:lang w:eastAsia="zh-CN"/>
        </w:rPr>
        <w:t>”</w:t>
      </w:r>
      <w:r>
        <w:rPr>
          <w:szCs w:val="21"/>
          <w:highlight w:val="none"/>
        </w:rPr>
        <w:t>）的税务局税收通用缴款书</w:t>
      </w:r>
      <w:r>
        <w:rPr>
          <w:rFonts w:hint="eastAsia"/>
          <w:szCs w:val="21"/>
          <w:highlight w:val="none"/>
        </w:rPr>
        <w:t>扫描件</w:t>
      </w:r>
      <w:r>
        <w:rPr>
          <w:szCs w:val="21"/>
          <w:highlight w:val="none"/>
        </w:rPr>
        <w:t>或银行电子缴税（费）凭证</w:t>
      </w:r>
      <w:r>
        <w:rPr>
          <w:rFonts w:hint="eastAsia"/>
          <w:szCs w:val="21"/>
          <w:highlight w:val="none"/>
        </w:rPr>
        <w:t>扫描件</w:t>
      </w:r>
      <w:r>
        <w:rPr>
          <w:szCs w:val="21"/>
          <w:highlight w:val="none"/>
        </w:rPr>
        <w:t>或税务局出具纳税情况的相关证明</w:t>
      </w:r>
      <w:r>
        <w:rPr>
          <w:rFonts w:hint="eastAsia"/>
          <w:szCs w:val="21"/>
          <w:highlight w:val="none"/>
        </w:rPr>
        <w:t>扫描件</w:t>
      </w:r>
      <w:r>
        <w:rPr>
          <w:rFonts w:hint="eastAsia" w:ascii="宋体" w:hAnsi="宋体"/>
          <w:szCs w:val="21"/>
          <w:highlight w:val="none"/>
        </w:rPr>
        <w:t>；</w:t>
      </w:r>
    </w:p>
    <w:p w14:paraId="1D11A3C3">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1</w:t>
      </w:r>
      <w:r>
        <w:rPr>
          <w:rFonts w:hint="eastAsia" w:ascii="宋体" w:hAnsi="宋体"/>
          <w:szCs w:val="21"/>
          <w:highlight w:val="none"/>
        </w:rPr>
        <w:t>.4</w:t>
      </w:r>
      <w:r>
        <w:rPr>
          <w:rFonts w:ascii="宋体" w:hAnsi="宋体"/>
          <w:szCs w:val="21"/>
          <w:highlight w:val="none"/>
        </w:rPr>
        <w:t>供应商</w:t>
      </w:r>
      <w:r>
        <w:rPr>
          <w:szCs w:val="21"/>
          <w:highlight w:val="none"/>
        </w:rPr>
        <w:t>提供近期内（具体月份详见</w:t>
      </w:r>
      <w:r>
        <w:rPr>
          <w:rFonts w:hint="eastAsia"/>
          <w:szCs w:val="21"/>
          <w:highlight w:val="none"/>
          <w:lang w:eastAsia="zh-CN"/>
        </w:rPr>
        <w:t>“</w:t>
      </w:r>
      <w:r>
        <w:rPr>
          <w:rFonts w:hint="eastAsia"/>
          <w:b/>
          <w:bCs/>
          <w:szCs w:val="21"/>
          <w:highlight w:val="none"/>
          <w:lang w:eastAsia="zh-CN"/>
        </w:rPr>
        <w:t>供应商</w:t>
      </w:r>
      <w:r>
        <w:rPr>
          <w:b/>
          <w:bCs/>
          <w:szCs w:val="21"/>
          <w:highlight w:val="none"/>
        </w:rPr>
        <w:t>须知前附表</w:t>
      </w:r>
      <w:r>
        <w:rPr>
          <w:rFonts w:hint="eastAsia"/>
          <w:szCs w:val="21"/>
          <w:highlight w:val="none"/>
          <w:lang w:eastAsia="zh-CN"/>
        </w:rPr>
        <w:t>”</w:t>
      </w:r>
      <w:r>
        <w:rPr>
          <w:szCs w:val="21"/>
          <w:highlight w:val="none"/>
        </w:rPr>
        <w:t>）的社会保险费缴款书</w:t>
      </w:r>
      <w:r>
        <w:rPr>
          <w:rFonts w:hint="eastAsia"/>
          <w:szCs w:val="21"/>
          <w:highlight w:val="none"/>
        </w:rPr>
        <w:t>扫描件</w:t>
      </w:r>
      <w:r>
        <w:rPr>
          <w:szCs w:val="21"/>
          <w:highlight w:val="none"/>
        </w:rPr>
        <w:t>或银行电子缴税（费）凭证</w:t>
      </w:r>
      <w:r>
        <w:rPr>
          <w:rFonts w:hint="eastAsia"/>
          <w:szCs w:val="21"/>
          <w:highlight w:val="none"/>
        </w:rPr>
        <w:t>扫描件</w:t>
      </w:r>
      <w:r>
        <w:rPr>
          <w:szCs w:val="21"/>
          <w:highlight w:val="none"/>
        </w:rPr>
        <w:t>或社保管理部门出具的有效的缴款证明</w:t>
      </w:r>
      <w:r>
        <w:rPr>
          <w:rFonts w:hint="eastAsia"/>
          <w:szCs w:val="21"/>
          <w:highlight w:val="none"/>
        </w:rPr>
        <w:t>扫描件</w:t>
      </w:r>
      <w:r>
        <w:rPr>
          <w:rFonts w:hint="eastAsia" w:ascii="宋体" w:hAnsi="宋体"/>
          <w:szCs w:val="21"/>
          <w:highlight w:val="none"/>
        </w:rPr>
        <w:t>；</w:t>
      </w:r>
    </w:p>
    <w:p w14:paraId="03DC081A">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1</w:t>
      </w:r>
      <w:r>
        <w:rPr>
          <w:rFonts w:hint="eastAsia" w:ascii="宋体" w:hAnsi="宋体"/>
          <w:szCs w:val="21"/>
          <w:highlight w:val="none"/>
        </w:rPr>
        <w:t>.5</w:t>
      </w:r>
      <w:r>
        <w:rPr>
          <w:rFonts w:ascii="宋体" w:hAnsi="宋体"/>
          <w:szCs w:val="21"/>
          <w:highlight w:val="none"/>
        </w:rPr>
        <w:t>供应商</w:t>
      </w:r>
      <w:r>
        <w:rPr>
          <w:rFonts w:hint="eastAsia" w:ascii="宋体" w:hAnsi="宋体"/>
          <w:szCs w:val="21"/>
          <w:highlight w:val="none"/>
        </w:rPr>
        <w:t>须</w:t>
      </w:r>
      <w:r>
        <w:rPr>
          <w:szCs w:val="21"/>
          <w:highlight w:val="none"/>
        </w:rPr>
        <w:t>提供具备履行合同所必需的设备和专业技术能力的</w:t>
      </w:r>
      <w:r>
        <w:rPr>
          <w:rFonts w:hint="eastAsia"/>
          <w:szCs w:val="21"/>
          <w:highlight w:val="none"/>
        </w:rPr>
        <w:t>证明材料或相关承诺</w:t>
      </w:r>
      <w:r>
        <w:rPr>
          <w:rFonts w:hint="eastAsia" w:ascii="宋体" w:hAnsi="宋体"/>
          <w:szCs w:val="21"/>
          <w:highlight w:val="none"/>
        </w:rPr>
        <w:t>；</w:t>
      </w:r>
    </w:p>
    <w:p w14:paraId="192220F3">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4.</w:t>
      </w:r>
      <w:r>
        <w:rPr>
          <w:rFonts w:ascii="宋体" w:hAnsi="宋体"/>
          <w:szCs w:val="21"/>
          <w:highlight w:val="none"/>
        </w:rPr>
        <w:t>1</w:t>
      </w:r>
      <w:r>
        <w:rPr>
          <w:rFonts w:hint="eastAsia" w:ascii="宋体" w:hAnsi="宋体"/>
          <w:szCs w:val="21"/>
          <w:highlight w:val="none"/>
        </w:rPr>
        <w:t>.6</w:t>
      </w:r>
      <w:r>
        <w:rPr>
          <w:rFonts w:ascii="宋体" w:hAnsi="宋体"/>
          <w:szCs w:val="21"/>
          <w:highlight w:val="none"/>
        </w:rPr>
        <w:t>供应商</w:t>
      </w:r>
      <w:r>
        <w:rPr>
          <w:szCs w:val="21"/>
          <w:highlight w:val="none"/>
        </w:rPr>
        <w:t>必须提供参加政府采购活动前3年内在经营活动中没有重大违法记录的书面声明（重大违法记录，是指供应商因违法经营受到刑事处罚或者责令停产停业、吊销许可证或者执照、较大数额罚款等行政处罚）</w:t>
      </w:r>
    </w:p>
    <w:p w14:paraId="0263701F">
      <w:pPr>
        <w:keepNext w:val="0"/>
        <w:keepLines w:val="0"/>
        <w:pageBreakBefore w:val="0"/>
        <w:widowControl w:val="0"/>
        <w:kinsoku/>
        <w:wordWrap/>
        <w:overflowPunct w:val="0"/>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4.1.7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szCs w:val="21"/>
          <w:highlight w:val="none"/>
          <w:lang w:val="en-US" w:eastAsia="zh-CN"/>
        </w:rPr>
        <w:t>供应商</w:t>
      </w:r>
      <w:r>
        <w:rPr>
          <w:rFonts w:hint="eastAsia" w:ascii="宋体" w:hAnsi="宋体"/>
          <w:szCs w:val="21"/>
          <w:highlight w:val="none"/>
        </w:rPr>
        <w:t>须提供声明函。</w:t>
      </w:r>
    </w:p>
    <w:p w14:paraId="73E4EDE2">
      <w:pPr>
        <w:keepNext w:val="0"/>
        <w:keepLines w:val="0"/>
        <w:pageBreakBefore w:val="0"/>
        <w:widowControl w:val="0"/>
        <w:kinsoku/>
        <w:wordWrap/>
        <w:overflowPunct w:val="0"/>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2</w:t>
      </w:r>
      <w:r>
        <w:rPr>
          <w:rFonts w:hint="eastAsia" w:ascii="宋体" w:hAnsi="宋体"/>
          <w:szCs w:val="21"/>
          <w:highlight w:val="none"/>
        </w:rPr>
        <w:t>落实政府采购政策需满足的资格要求：</w:t>
      </w:r>
      <w:r>
        <w:rPr>
          <w:rFonts w:ascii="宋体" w:hAnsi="宋体"/>
          <w:szCs w:val="21"/>
          <w:highlight w:val="none"/>
        </w:rPr>
        <w:t>见“</w:t>
      </w:r>
      <w:r>
        <w:rPr>
          <w:rFonts w:ascii="宋体" w:hAnsi="宋体"/>
          <w:b/>
          <w:bCs/>
          <w:szCs w:val="21"/>
          <w:highlight w:val="none"/>
        </w:rPr>
        <w:t>供应商须知前附表</w:t>
      </w:r>
      <w:r>
        <w:rPr>
          <w:rFonts w:ascii="宋体" w:hAnsi="宋体"/>
          <w:szCs w:val="21"/>
          <w:highlight w:val="none"/>
        </w:rPr>
        <w:t>”</w:t>
      </w:r>
      <w:r>
        <w:rPr>
          <w:rFonts w:hint="eastAsia" w:ascii="宋体" w:hAnsi="宋体"/>
          <w:szCs w:val="21"/>
          <w:highlight w:val="none"/>
        </w:rPr>
        <w:t>。</w:t>
      </w:r>
    </w:p>
    <w:p w14:paraId="6D92E35C">
      <w:pPr>
        <w:keepNext w:val="0"/>
        <w:keepLines w:val="0"/>
        <w:pageBreakBefore w:val="0"/>
        <w:widowControl w:val="0"/>
        <w:kinsoku/>
        <w:wordWrap/>
        <w:overflowPunct w:val="0"/>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3</w:t>
      </w:r>
      <w:r>
        <w:rPr>
          <w:rFonts w:hint="eastAsia" w:ascii="宋体" w:hAnsi="宋体"/>
          <w:szCs w:val="21"/>
          <w:highlight w:val="none"/>
        </w:rPr>
        <w:t>本项目的特定要求：</w:t>
      </w:r>
      <w:r>
        <w:rPr>
          <w:rFonts w:ascii="宋体" w:hAnsi="宋体"/>
          <w:szCs w:val="21"/>
          <w:highlight w:val="none"/>
        </w:rPr>
        <w:t>见“</w:t>
      </w:r>
      <w:r>
        <w:rPr>
          <w:rFonts w:ascii="宋体" w:hAnsi="宋体"/>
          <w:b/>
          <w:bCs/>
          <w:szCs w:val="21"/>
          <w:highlight w:val="none"/>
        </w:rPr>
        <w:t>供应商须知前附表</w:t>
      </w:r>
      <w:r>
        <w:rPr>
          <w:rFonts w:ascii="宋体" w:hAnsi="宋体"/>
          <w:szCs w:val="21"/>
          <w:highlight w:val="none"/>
        </w:rPr>
        <w:t>”</w:t>
      </w:r>
      <w:r>
        <w:rPr>
          <w:rFonts w:hint="eastAsia" w:ascii="宋体" w:hAnsi="宋体"/>
          <w:szCs w:val="21"/>
          <w:highlight w:val="none"/>
        </w:rPr>
        <w:t>。</w:t>
      </w:r>
    </w:p>
    <w:p w14:paraId="08EAF24D">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4.</w:t>
      </w:r>
      <w:r>
        <w:rPr>
          <w:rFonts w:ascii="宋体" w:hAnsi="宋体"/>
          <w:szCs w:val="21"/>
          <w:highlight w:val="none"/>
        </w:rPr>
        <w:t>4</w:t>
      </w:r>
      <w:r>
        <w:rPr>
          <w:rFonts w:hint="eastAsia" w:ascii="宋体" w:hAnsi="宋体"/>
          <w:szCs w:val="21"/>
          <w:highlight w:val="none"/>
        </w:rPr>
        <w:t>“</w:t>
      </w:r>
      <w:r>
        <w:rPr>
          <w:rFonts w:ascii="宋体" w:hAnsi="宋体"/>
          <w:b/>
          <w:bCs/>
          <w:szCs w:val="21"/>
          <w:highlight w:val="none"/>
        </w:rPr>
        <w:t>供应商须知前附表</w:t>
      </w:r>
      <w:r>
        <w:rPr>
          <w:rFonts w:hint="eastAsia" w:ascii="宋体" w:hAnsi="宋体"/>
          <w:szCs w:val="21"/>
          <w:highlight w:val="none"/>
        </w:rPr>
        <w:t>”规定接受联合体参与磋商的，除应符合本章第4.1~4.</w:t>
      </w:r>
      <w:r>
        <w:rPr>
          <w:rFonts w:hint="eastAsia" w:ascii="宋体" w:hAnsi="宋体"/>
          <w:szCs w:val="21"/>
          <w:highlight w:val="none"/>
          <w:lang w:val="en-US" w:eastAsia="zh-CN"/>
        </w:rPr>
        <w:t>3</w:t>
      </w:r>
      <w:r>
        <w:rPr>
          <w:rFonts w:hint="eastAsia" w:ascii="宋体" w:hAnsi="宋体"/>
          <w:szCs w:val="21"/>
          <w:highlight w:val="none"/>
        </w:rPr>
        <w:t>项的要求外，还应遵守以下规定：</w:t>
      </w:r>
    </w:p>
    <w:p w14:paraId="44E00E86">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（1）联合体中有同类资质的</w:t>
      </w:r>
      <w:r>
        <w:rPr>
          <w:rFonts w:hint="eastAsia" w:ascii="宋体" w:hAnsi="宋体"/>
          <w:szCs w:val="21"/>
          <w:highlight w:val="none"/>
          <w:lang w:eastAsia="zh-CN"/>
        </w:rPr>
        <w:t>供应商</w:t>
      </w:r>
      <w:r>
        <w:rPr>
          <w:rFonts w:hint="eastAsia" w:ascii="宋体" w:hAnsi="宋体"/>
          <w:szCs w:val="21"/>
          <w:highlight w:val="none"/>
        </w:rPr>
        <w:t>按照联合体分工承担相同工作的，应当按照资质等级较低的</w:t>
      </w:r>
      <w:r>
        <w:rPr>
          <w:rFonts w:hint="eastAsia" w:ascii="宋体" w:hAnsi="宋体"/>
          <w:szCs w:val="21"/>
          <w:highlight w:val="none"/>
          <w:lang w:eastAsia="zh-CN"/>
        </w:rPr>
        <w:t>供应商</w:t>
      </w:r>
      <w:r>
        <w:rPr>
          <w:rFonts w:hint="eastAsia" w:ascii="宋体" w:hAnsi="宋体"/>
          <w:szCs w:val="21"/>
          <w:highlight w:val="none"/>
        </w:rPr>
        <w:t>确定资质等级；</w:t>
      </w:r>
    </w:p>
    <w:p w14:paraId="6470AC79">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（2）联合体各方之间应当签订共同</w:t>
      </w:r>
      <w:r>
        <w:rPr>
          <w:rFonts w:hint="eastAsia" w:ascii="宋体" w:hAnsi="宋体"/>
          <w:szCs w:val="21"/>
          <w:highlight w:val="none"/>
          <w:lang w:val="en-US" w:eastAsia="zh-CN"/>
        </w:rPr>
        <w:t>联合体</w:t>
      </w:r>
      <w:r>
        <w:rPr>
          <w:rFonts w:hint="eastAsia" w:ascii="宋体" w:hAnsi="宋体"/>
          <w:szCs w:val="21"/>
          <w:highlight w:val="none"/>
        </w:rPr>
        <w:t>协议，明确约定联合体各方承担的工作和相应的责任，并将共同</w:t>
      </w:r>
      <w:r>
        <w:rPr>
          <w:rFonts w:hint="eastAsia" w:ascii="宋体" w:hAnsi="宋体"/>
          <w:szCs w:val="21"/>
          <w:highlight w:val="none"/>
          <w:lang w:val="en-US" w:eastAsia="zh-CN"/>
        </w:rPr>
        <w:t>磋商</w:t>
      </w:r>
      <w:r>
        <w:rPr>
          <w:rFonts w:hint="eastAsia" w:ascii="宋体" w:hAnsi="宋体"/>
          <w:szCs w:val="21"/>
          <w:highlight w:val="none"/>
        </w:rPr>
        <w:t>协议连同</w:t>
      </w:r>
      <w:r>
        <w:rPr>
          <w:rFonts w:hint="eastAsia" w:ascii="宋体" w:hAnsi="宋体"/>
          <w:szCs w:val="21"/>
          <w:highlight w:val="none"/>
          <w:lang w:val="en-US" w:eastAsia="zh-CN"/>
        </w:rPr>
        <w:t>采购</w:t>
      </w:r>
      <w:r>
        <w:rPr>
          <w:rFonts w:hint="eastAsia" w:ascii="宋体" w:hAnsi="宋体"/>
          <w:szCs w:val="21"/>
          <w:highlight w:val="none"/>
        </w:rPr>
        <w:t>文件一并提交采购人。联合体</w:t>
      </w:r>
      <w:r>
        <w:rPr>
          <w:rFonts w:hint="eastAsia" w:ascii="宋体" w:hAnsi="宋体"/>
          <w:szCs w:val="21"/>
          <w:highlight w:val="none"/>
          <w:lang w:val="en-US" w:eastAsia="zh-CN"/>
        </w:rPr>
        <w:t>成交</w:t>
      </w:r>
      <w:r>
        <w:rPr>
          <w:rFonts w:hint="eastAsia" w:ascii="宋体" w:hAnsi="宋体"/>
          <w:szCs w:val="21"/>
          <w:highlight w:val="none"/>
        </w:rPr>
        <w:t>的，联合体各方应当共同与采购人签订合同；</w:t>
      </w:r>
    </w:p>
    <w:p w14:paraId="21E75B5D">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（3）以联合体形式参加政府采购活动的，联合体各方不得再单独参加或者与其他</w:t>
      </w:r>
      <w:r>
        <w:rPr>
          <w:rFonts w:hint="eastAsia" w:ascii="宋体" w:hAnsi="宋体"/>
          <w:szCs w:val="21"/>
          <w:highlight w:val="none"/>
          <w:lang w:eastAsia="zh-CN"/>
        </w:rPr>
        <w:t>供应商</w:t>
      </w:r>
      <w:r>
        <w:rPr>
          <w:rFonts w:hint="eastAsia" w:ascii="宋体" w:hAnsi="宋体"/>
          <w:szCs w:val="21"/>
          <w:highlight w:val="none"/>
        </w:rPr>
        <w:t>另外组成联合体参加同一项目包下的政府采购活动；</w:t>
      </w:r>
    </w:p>
    <w:p w14:paraId="040D231F">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（4）联合体各方须指定联合体牵头人，授权其代表所有联合体成员负责</w:t>
      </w:r>
      <w:r>
        <w:rPr>
          <w:rFonts w:hint="eastAsia" w:ascii="宋体" w:hAnsi="宋体"/>
          <w:szCs w:val="21"/>
          <w:highlight w:val="none"/>
          <w:lang w:val="en-US" w:eastAsia="zh-CN"/>
        </w:rPr>
        <w:t>磋商</w:t>
      </w:r>
      <w:r>
        <w:rPr>
          <w:rFonts w:hint="eastAsia" w:ascii="宋体" w:hAnsi="宋体"/>
          <w:szCs w:val="21"/>
          <w:highlight w:val="none"/>
        </w:rPr>
        <w:t>和合同实施阶段的主办、协调工作，并应当向采购人提交由所有联合体成员法定代表人签署的授权书。</w:t>
      </w:r>
    </w:p>
    <w:p w14:paraId="1E88F2F6">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4.</w:t>
      </w:r>
      <w:r>
        <w:rPr>
          <w:rFonts w:ascii="宋体" w:hAnsi="宋体"/>
          <w:szCs w:val="21"/>
          <w:highlight w:val="none"/>
        </w:rPr>
        <w:t xml:space="preserve">5 </w:t>
      </w:r>
      <w:r>
        <w:rPr>
          <w:rFonts w:hint="eastAsia" w:ascii="宋体" w:hAnsi="宋体"/>
          <w:szCs w:val="21"/>
          <w:highlight w:val="none"/>
        </w:rPr>
        <w:t>符合上述条件的供应商应承担磋商及履约中应承担的全部责任与义务且提供的所有资料真实有效。</w:t>
      </w:r>
    </w:p>
    <w:p w14:paraId="54018682">
      <w:pPr>
        <w:keepNext w:val="0"/>
        <w:keepLines w:val="0"/>
        <w:pageBreakBefore w:val="0"/>
        <w:widowControl w:val="0"/>
        <w:kinsoku/>
        <w:wordWrap/>
        <w:topLinePunct w:val="0"/>
        <w:autoSpaceDE/>
        <w:autoSpaceDN/>
        <w:bidi w:val="0"/>
        <w:adjustRightInd/>
        <w:snapToGrid/>
        <w:spacing w:line="360" w:lineRule="auto"/>
        <w:ind w:firstLine="422" w:firstLineChars="200"/>
        <w:textAlignment w:val="auto"/>
        <w:rPr>
          <w:rFonts w:ascii="宋体" w:hAnsi="宋体"/>
          <w:b/>
          <w:szCs w:val="21"/>
          <w:highlight w:val="none"/>
        </w:rPr>
      </w:pPr>
      <w:r>
        <w:rPr>
          <w:rFonts w:hint="eastAsia" w:ascii="宋体" w:hAnsi="宋体"/>
          <w:b/>
          <w:szCs w:val="21"/>
          <w:highlight w:val="none"/>
        </w:rPr>
        <w:t>5、磋商</w:t>
      </w:r>
      <w:r>
        <w:rPr>
          <w:rFonts w:ascii="宋体" w:hAnsi="宋体"/>
          <w:b/>
          <w:szCs w:val="21"/>
          <w:highlight w:val="none"/>
        </w:rPr>
        <w:t>费用</w:t>
      </w:r>
      <w:bookmarkEnd w:id="115"/>
    </w:p>
    <w:p w14:paraId="6B64F947">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5.1</w:t>
      </w:r>
      <w:r>
        <w:rPr>
          <w:rFonts w:ascii="宋体" w:hAnsi="宋体"/>
          <w:szCs w:val="21"/>
          <w:highlight w:val="none"/>
        </w:rPr>
        <w:t>无论是否成交，供应商自行承担所有与参加磋商有关的全部费用。</w:t>
      </w:r>
    </w:p>
    <w:p w14:paraId="7700E105">
      <w:pPr>
        <w:keepNext w:val="0"/>
        <w:keepLines w:val="0"/>
        <w:pageBreakBefore w:val="0"/>
        <w:widowControl w:val="0"/>
        <w:kinsoku/>
        <w:wordWrap/>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16" w:name="_Toc321836356"/>
      <w:r>
        <w:rPr>
          <w:rFonts w:hint="eastAsia" w:ascii="宋体" w:hAnsi="宋体"/>
          <w:b/>
          <w:szCs w:val="21"/>
          <w:highlight w:val="none"/>
        </w:rPr>
        <w:t>6、</w:t>
      </w:r>
      <w:r>
        <w:rPr>
          <w:rFonts w:ascii="宋体" w:hAnsi="宋体"/>
          <w:b/>
          <w:szCs w:val="21"/>
          <w:highlight w:val="none"/>
        </w:rPr>
        <w:t>质疑</w:t>
      </w:r>
      <w:bookmarkEnd w:id="116"/>
    </w:p>
    <w:p w14:paraId="4787587C">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ascii="宋体" w:hAnsi="宋体"/>
          <w:szCs w:val="21"/>
          <w:highlight w:val="none"/>
        </w:rPr>
        <w:t xml:space="preserve">6.1 </w:t>
      </w:r>
      <w:r>
        <w:rPr>
          <w:rFonts w:hint="eastAsia" w:ascii="宋体" w:hAnsi="宋体"/>
          <w:szCs w:val="21"/>
          <w:highlight w:val="none"/>
        </w:rPr>
        <w:t>供应商</w:t>
      </w:r>
      <w:r>
        <w:rPr>
          <w:rFonts w:ascii="宋体" w:hAnsi="宋体"/>
          <w:szCs w:val="21"/>
          <w:highlight w:val="none"/>
        </w:rPr>
        <w:t>认为</w:t>
      </w:r>
      <w:r>
        <w:rPr>
          <w:rFonts w:hint="eastAsia" w:ascii="宋体" w:hAnsi="宋体"/>
          <w:szCs w:val="21"/>
          <w:highlight w:val="none"/>
        </w:rPr>
        <w:t>竞争性磋商文件</w:t>
      </w:r>
      <w:r>
        <w:rPr>
          <w:rFonts w:ascii="宋体" w:hAnsi="宋体"/>
          <w:szCs w:val="21"/>
          <w:highlight w:val="none"/>
        </w:rPr>
        <w:t>、</w:t>
      </w:r>
      <w:r>
        <w:rPr>
          <w:rFonts w:hint="eastAsia" w:ascii="宋体" w:hAnsi="宋体"/>
          <w:szCs w:val="21"/>
          <w:highlight w:val="none"/>
        </w:rPr>
        <w:t>磋商</w:t>
      </w:r>
      <w:r>
        <w:rPr>
          <w:rFonts w:ascii="宋体" w:hAnsi="宋体"/>
          <w:szCs w:val="21"/>
          <w:highlight w:val="none"/>
        </w:rPr>
        <w:t>过程和</w:t>
      </w:r>
      <w:r>
        <w:rPr>
          <w:rFonts w:hint="eastAsia" w:ascii="宋体" w:hAnsi="宋体"/>
          <w:szCs w:val="21"/>
          <w:highlight w:val="none"/>
        </w:rPr>
        <w:t>成交</w:t>
      </w:r>
      <w:r>
        <w:rPr>
          <w:rFonts w:ascii="宋体" w:hAnsi="宋体"/>
          <w:szCs w:val="21"/>
          <w:highlight w:val="none"/>
        </w:rPr>
        <w:t>结果使自己的权益受到损害的，</w:t>
      </w:r>
      <w:r>
        <w:rPr>
          <w:rFonts w:hint="eastAsia" w:ascii="宋体" w:hAnsi="宋体"/>
          <w:szCs w:val="21"/>
          <w:highlight w:val="none"/>
        </w:rPr>
        <w:t>可以在知道或者应知其权益受到损害之日起7个工作日内，以书面形式向采购人、采购代理机构提出质疑，</w:t>
      </w:r>
      <w:r>
        <w:rPr>
          <w:rFonts w:ascii="宋体" w:hAnsi="宋体"/>
          <w:szCs w:val="21"/>
          <w:highlight w:val="none"/>
        </w:rPr>
        <w:t>质疑内容不得含有虚假、恶意成分。</w:t>
      </w:r>
      <w:r>
        <w:rPr>
          <w:rFonts w:hint="eastAsia" w:ascii="宋体" w:hAnsi="宋体"/>
          <w:szCs w:val="21"/>
          <w:highlight w:val="none"/>
        </w:rPr>
        <w:t>供应商需在法定质疑期内一次性提出针对同一采购程序环节的质疑。</w:t>
      </w:r>
      <w:r>
        <w:rPr>
          <w:rFonts w:ascii="宋体" w:hAnsi="宋体"/>
          <w:szCs w:val="21"/>
          <w:highlight w:val="none"/>
        </w:rPr>
        <w:t>当事人对自己提出的主张，有责任提供证据，提出质疑时</w:t>
      </w:r>
      <w:r>
        <w:rPr>
          <w:rFonts w:hint="eastAsia" w:ascii="宋体" w:hAnsi="宋体"/>
          <w:szCs w:val="21"/>
          <w:highlight w:val="none"/>
        </w:rPr>
        <w:t>应</w:t>
      </w:r>
      <w:r>
        <w:rPr>
          <w:rFonts w:ascii="宋体" w:hAnsi="宋体"/>
          <w:szCs w:val="21"/>
          <w:highlight w:val="none"/>
        </w:rPr>
        <w:t>同时提交相关证据材料和注明事实的确切来源</w:t>
      </w:r>
      <w:r>
        <w:rPr>
          <w:rFonts w:hint="eastAsia" w:ascii="宋体" w:hAnsi="宋体"/>
          <w:szCs w:val="21"/>
          <w:highlight w:val="none"/>
        </w:rPr>
        <w:t>且</w:t>
      </w:r>
      <w:r>
        <w:rPr>
          <w:rFonts w:ascii="宋体" w:hAnsi="宋体"/>
          <w:szCs w:val="21"/>
          <w:highlight w:val="none"/>
        </w:rPr>
        <w:t>证据</w:t>
      </w:r>
      <w:r>
        <w:rPr>
          <w:rFonts w:hint="eastAsia" w:ascii="宋体" w:hAnsi="宋体"/>
          <w:szCs w:val="21"/>
          <w:highlight w:val="none"/>
        </w:rPr>
        <w:t>合法、真实、有效。采购人或采购代理机构应当在7</w:t>
      </w:r>
      <w:r>
        <w:rPr>
          <w:rFonts w:ascii="宋体" w:hAnsi="宋体"/>
          <w:szCs w:val="21"/>
          <w:highlight w:val="none"/>
        </w:rPr>
        <w:t>个工作日内对供应商依法提出的</w:t>
      </w:r>
      <w:r>
        <w:rPr>
          <w:rFonts w:hint="eastAsia" w:ascii="宋体" w:hAnsi="宋体"/>
          <w:szCs w:val="21"/>
          <w:highlight w:val="none"/>
        </w:rPr>
        <w:t>质疑</w:t>
      </w:r>
      <w:r>
        <w:rPr>
          <w:rFonts w:ascii="宋体" w:hAnsi="宋体"/>
          <w:szCs w:val="21"/>
          <w:highlight w:val="none"/>
        </w:rPr>
        <w:t>作出</w:t>
      </w:r>
      <w:r>
        <w:rPr>
          <w:rFonts w:hint="eastAsia" w:ascii="宋体" w:hAnsi="宋体"/>
          <w:szCs w:val="21"/>
          <w:highlight w:val="none"/>
        </w:rPr>
        <w:t>书面</w:t>
      </w:r>
      <w:r>
        <w:rPr>
          <w:rFonts w:ascii="宋体" w:hAnsi="宋体"/>
          <w:szCs w:val="21"/>
          <w:highlight w:val="none"/>
        </w:rPr>
        <w:t>答复</w:t>
      </w:r>
      <w:r>
        <w:rPr>
          <w:rFonts w:hint="eastAsia" w:ascii="宋体" w:hAnsi="宋体"/>
          <w:szCs w:val="21"/>
          <w:highlight w:val="none"/>
        </w:rPr>
        <w:t>，但答复的内容不得涉及商业秘密</w:t>
      </w:r>
      <w:r>
        <w:rPr>
          <w:rFonts w:ascii="宋体" w:hAnsi="宋体"/>
          <w:szCs w:val="21"/>
          <w:highlight w:val="none"/>
        </w:rPr>
        <w:t>。</w:t>
      </w:r>
    </w:p>
    <w:p w14:paraId="5955A08E">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供应商知其权益受到损害之日，是指：</w:t>
      </w:r>
    </w:p>
    <w:p w14:paraId="1796E9E0">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（一）</w:t>
      </w:r>
      <w:r>
        <w:rPr>
          <w:color w:val="auto"/>
          <w:szCs w:val="21"/>
          <w:highlight w:val="none"/>
        </w:rPr>
        <w:t>对可以质疑的采购文件提出质疑的，为收到采购文件之日</w:t>
      </w:r>
      <w:r>
        <w:rPr>
          <w:rFonts w:hint="eastAsia"/>
          <w:color w:val="auto"/>
          <w:szCs w:val="21"/>
          <w:highlight w:val="none"/>
          <w:lang w:eastAsia="zh-CN"/>
        </w:rPr>
        <w:t>（</w:t>
      </w:r>
      <w:r>
        <w:rPr>
          <w:rFonts w:hint="eastAsia"/>
          <w:color w:val="auto"/>
          <w:szCs w:val="21"/>
          <w:highlight w:val="none"/>
          <w:lang w:val="en-US" w:eastAsia="zh-CN"/>
        </w:rPr>
        <w:t>以政采云系统显示获取时间之日为准</w:t>
      </w:r>
      <w:r>
        <w:rPr>
          <w:rFonts w:hint="eastAsia"/>
          <w:color w:val="auto"/>
          <w:szCs w:val="21"/>
          <w:highlight w:val="none"/>
          <w:lang w:eastAsia="zh-CN"/>
        </w:rPr>
        <w:t>）</w:t>
      </w:r>
      <w:r>
        <w:rPr>
          <w:rFonts w:hint="eastAsia" w:ascii="宋体" w:hAnsi="宋体"/>
          <w:szCs w:val="21"/>
          <w:highlight w:val="none"/>
        </w:rPr>
        <w:t>；</w:t>
      </w:r>
    </w:p>
    <w:p w14:paraId="0D571F11">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（二）对采购过程提出质疑的，为各采购程序环节结束之日；</w:t>
      </w:r>
    </w:p>
    <w:p w14:paraId="00A12887">
      <w:pPr>
        <w:keepNext w:val="0"/>
        <w:keepLines w:val="0"/>
        <w:pageBreakBefore w:val="0"/>
        <w:widowControl w:val="0"/>
        <w:kinsoku/>
        <w:wordWrap/>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（三）对成交结果提出质疑的，为成交结果公告期限届满之日。</w:t>
      </w:r>
    </w:p>
    <w:p w14:paraId="1489ACAB">
      <w:pPr>
        <w:spacing w:line="360" w:lineRule="auto"/>
        <w:ind w:firstLine="420" w:firstLineChars="200"/>
        <w:rPr>
          <w:rFonts w:hint="eastAsia" w:ascii="宋体" w:hAnsi="宋体"/>
          <w:szCs w:val="21"/>
          <w:highlight w:val="none"/>
        </w:rPr>
      </w:pPr>
      <w:r>
        <w:rPr>
          <w:rFonts w:hint="eastAsia" w:ascii="宋体" w:hAnsi="宋体"/>
          <w:bCs/>
          <w:szCs w:val="21"/>
          <w:highlight w:val="none"/>
        </w:rPr>
        <w:t>6.2</w:t>
      </w:r>
      <w:r>
        <w:rPr>
          <w:rFonts w:hint="eastAsia" w:ascii="宋体" w:hAnsi="宋体"/>
          <w:szCs w:val="21"/>
          <w:highlight w:val="none"/>
        </w:rPr>
        <w:t>根据中华人民共和国财政部令第94号令《政府采购质疑和投诉办法》“第十二条 供应商提出质疑应当提交质疑函和必要的证明材料”的规定，</w:t>
      </w:r>
      <w:r>
        <w:rPr>
          <w:rFonts w:hint="eastAsia" w:ascii="宋体" w:hAnsi="宋体"/>
          <w:szCs w:val="21"/>
          <w:highlight w:val="none"/>
          <w:lang w:val="en-US" w:eastAsia="zh-CN"/>
        </w:rPr>
        <w:t>供应商</w:t>
      </w:r>
      <w:r>
        <w:rPr>
          <w:rFonts w:hint="eastAsia" w:ascii="宋体" w:hAnsi="宋体"/>
          <w:szCs w:val="21"/>
          <w:highlight w:val="none"/>
        </w:rPr>
        <w:t>应在有效期限内提交质疑函及必要的证明材料。</w:t>
      </w:r>
    </w:p>
    <w:p w14:paraId="1DF48D60">
      <w:pPr>
        <w:spacing w:line="360" w:lineRule="auto"/>
        <w:ind w:firstLine="420" w:firstLineChars="200"/>
        <w:rPr>
          <w:rFonts w:hint="eastAsia" w:ascii="宋体" w:hAnsi="宋体"/>
          <w:szCs w:val="21"/>
          <w:highlight w:val="none"/>
        </w:rPr>
      </w:pPr>
      <w:r>
        <w:rPr>
          <w:rFonts w:hint="eastAsia" w:ascii="宋体" w:hAnsi="宋体"/>
          <w:szCs w:val="21"/>
          <w:highlight w:val="none"/>
          <w:lang w:val="en-US" w:eastAsia="zh-CN"/>
        </w:rPr>
        <w:t>供应商</w:t>
      </w:r>
      <w:r>
        <w:rPr>
          <w:rFonts w:hint="eastAsia" w:ascii="宋体" w:hAnsi="宋体"/>
          <w:szCs w:val="21"/>
          <w:highlight w:val="none"/>
        </w:rPr>
        <w:t>提供的质疑函（如材料中有外文资料应同时附上中文译本）应当包括以下主要内容：</w:t>
      </w:r>
    </w:p>
    <w:p w14:paraId="11DB4C4C">
      <w:pPr>
        <w:spacing w:line="360" w:lineRule="auto"/>
        <w:ind w:firstLine="420" w:firstLineChars="200"/>
        <w:rPr>
          <w:rFonts w:hint="eastAsia" w:ascii="宋体" w:hAnsi="宋体"/>
          <w:szCs w:val="21"/>
          <w:highlight w:val="none"/>
        </w:rPr>
      </w:pPr>
      <w:r>
        <w:rPr>
          <w:rFonts w:hint="eastAsia" w:ascii="宋体" w:hAnsi="宋体"/>
          <w:szCs w:val="21"/>
          <w:highlight w:val="none"/>
        </w:rPr>
        <w:t>（1）供应商的姓名或者名称、地址、邮编、联系人及联系电话；</w:t>
      </w:r>
    </w:p>
    <w:p w14:paraId="1ABB4AFD">
      <w:pPr>
        <w:spacing w:line="360" w:lineRule="auto"/>
        <w:ind w:firstLine="420" w:firstLineChars="200"/>
        <w:rPr>
          <w:rFonts w:hint="eastAsia" w:ascii="宋体" w:hAnsi="宋体"/>
          <w:szCs w:val="21"/>
          <w:highlight w:val="none"/>
        </w:rPr>
      </w:pPr>
      <w:r>
        <w:rPr>
          <w:rFonts w:hint="eastAsia" w:ascii="宋体" w:hAnsi="宋体"/>
          <w:szCs w:val="21"/>
          <w:highlight w:val="none"/>
        </w:rPr>
        <w:t>（2）质疑项目的名称、编号；</w:t>
      </w:r>
    </w:p>
    <w:p w14:paraId="402A9DD4">
      <w:pPr>
        <w:spacing w:line="360" w:lineRule="auto"/>
        <w:ind w:firstLine="420" w:firstLineChars="200"/>
        <w:rPr>
          <w:rFonts w:hint="eastAsia" w:ascii="宋体" w:hAnsi="宋体"/>
          <w:szCs w:val="21"/>
          <w:highlight w:val="none"/>
        </w:rPr>
      </w:pPr>
      <w:r>
        <w:rPr>
          <w:rFonts w:hint="eastAsia" w:ascii="宋体" w:hAnsi="宋体"/>
          <w:szCs w:val="21"/>
          <w:highlight w:val="none"/>
        </w:rPr>
        <w:t>（3）具体、明确的质疑事项和与质疑事项相关的请求；</w:t>
      </w:r>
    </w:p>
    <w:p w14:paraId="1C05EA61">
      <w:pPr>
        <w:spacing w:line="360" w:lineRule="auto"/>
        <w:ind w:firstLine="420" w:firstLineChars="200"/>
        <w:rPr>
          <w:rFonts w:hint="eastAsia" w:ascii="宋体" w:hAnsi="宋体"/>
          <w:szCs w:val="21"/>
          <w:highlight w:val="none"/>
        </w:rPr>
      </w:pPr>
      <w:r>
        <w:rPr>
          <w:rFonts w:hint="eastAsia" w:ascii="宋体" w:hAnsi="宋体"/>
          <w:szCs w:val="21"/>
          <w:highlight w:val="none"/>
        </w:rPr>
        <w:t>（4）事实依据；</w:t>
      </w:r>
    </w:p>
    <w:p w14:paraId="6F84F044">
      <w:pPr>
        <w:spacing w:line="360" w:lineRule="auto"/>
        <w:ind w:firstLine="420" w:firstLineChars="200"/>
        <w:rPr>
          <w:rFonts w:hint="eastAsia" w:ascii="宋体" w:hAnsi="宋体"/>
          <w:szCs w:val="21"/>
          <w:highlight w:val="none"/>
        </w:rPr>
      </w:pPr>
      <w:r>
        <w:rPr>
          <w:rFonts w:hint="eastAsia" w:ascii="宋体" w:hAnsi="宋体"/>
          <w:szCs w:val="21"/>
          <w:highlight w:val="none"/>
        </w:rPr>
        <w:t>（5）必要的法律依据；</w:t>
      </w:r>
    </w:p>
    <w:p w14:paraId="1A4213B9">
      <w:pPr>
        <w:spacing w:line="360" w:lineRule="auto"/>
        <w:ind w:firstLine="420" w:firstLineChars="200"/>
        <w:rPr>
          <w:rFonts w:hint="eastAsia" w:ascii="宋体" w:hAnsi="宋体"/>
          <w:szCs w:val="21"/>
          <w:highlight w:val="none"/>
        </w:rPr>
      </w:pPr>
      <w:r>
        <w:rPr>
          <w:rFonts w:hint="eastAsia" w:ascii="宋体" w:hAnsi="宋体"/>
          <w:szCs w:val="21"/>
          <w:highlight w:val="none"/>
        </w:rPr>
        <w:t>（6）提出质疑的日期。</w:t>
      </w:r>
    </w:p>
    <w:p w14:paraId="0C11F473">
      <w:pPr>
        <w:spacing w:line="360" w:lineRule="auto"/>
        <w:ind w:firstLine="420" w:firstLineChars="200"/>
        <w:rPr>
          <w:rFonts w:hint="eastAsia" w:ascii="宋体" w:hAnsi="宋体"/>
          <w:szCs w:val="21"/>
          <w:highlight w:val="none"/>
        </w:rPr>
      </w:pPr>
      <w:r>
        <w:rPr>
          <w:rFonts w:hint="eastAsia" w:ascii="宋体" w:hAnsi="宋体"/>
          <w:szCs w:val="21"/>
          <w:highlight w:val="none"/>
        </w:rPr>
        <w:t>质疑函实行实名制，并提交由法定代表人或其委托代理人签字且盖单位章的原件。</w:t>
      </w:r>
    </w:p>
    <w:p w14:paraId="6DA67F98">
      <w:pPr>
        <w:spacing w:line="360" w:lineRule="auto"/>
        <w:ind w:firstLine="420" w:firstLineChars="200"/>
        <w:rPr>
          <w:rFonts w:hint="eastAsia" w:ascii="宋体" w:hAnsi="宋体"/>
          <w:szCs w:val="21"/>
          <w:highlight w:val="none"/>
        </w:rPr>
      </w:pPr>
      <w:r>
        <w:rPr>
          <w:rFonts w:hint="eastAsia" w:ascii="宋体" w:hAnsi="宋体"/>
          <w:szCs w:val="21"/>
          <w:highlight w:val="none"/>
          <w:lang w:val="en-US" w:eastAsia="zh-CN"/>
        </w:rPr>
        <w:t>6.3</w:t>
      </w:r>
      <w:r>
        <w:rPr>
          <w:rFonts w:hint="eastAsia" w:ascii="宋体" w:hAnsi="宋体"/>
          <w:szCs w:val="21"/>
          <w:highlight w:val="none"/>
        </w:rPr>
        <w:t>供应商为自然人的，质疑函应当由本人签字；供应商为法人或者其他组织的，质疑函应当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6FBBE085">
      <w:pPr>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接收质疑函的方式：以书面形式递交由法定代表人、主要负责人签字或者盖章，并加盖公章的质疑函原件和必要的证明材料；邮寄送达的以邮件交邮日期为准。</w:t>
      </w:r>
    </w:p>
    <w:p w14:paraId="65025B4F">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szCs w:val="21"/>
          <w:highlight w:val="none"/>
        </w:rPr>
      </w:pPr>
      <w:r>
        <w:rPr>
          <w:rFonts w:hint="eastAsia" w:ascii="宋体" w:hAnsi="宋体"/>
          <w:szCs w:val="21"/>
          <w:highlight w:val="none"/>
        </w:rPr>
        <w:t>接收质疑函的部门：</w:t>
      </w:r>
      <w:r>
        <w:rPr>
          <w:rFonts w:hint="eastAsia" w:ascii="宋体" w:hAnsi="宋体" w:eastAsia="宋体" w:cs="宋体"/>
          <w:color w:val="auto"/>
          <w:sz w:val="21"/>
          <w:szCs w:val="21"/>
          <w:highlight w:val="none"/>
          <w:lang w:eastAsia="zh-CN"/>
        </w:rPr>
        <w:t>保山顺意招标代理有限责任公司</w:t>
      </w:r>
      <w:r>
        <w:rPr>
          <w:rFonts w:hint="eastAsia" w:ascii="宋体" w:hAnsi="宋体"/>
          <w:szCs w:val="21"/>
          <w:highlight w:val="none"/>
        </w:rPr>
        <w:t>；</w:t>
      </w:r>
    </w:p>
    <w:p w14:paraId="445B5A8B">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保山顺意招标代理有限责任公司</w:t>
      </w:r>
      <w:r>
        <w:rPr>
          <w:rFonts w:hint="eastAsia" w:ascii="宋体" w:hAnsi="宋体" w:eastAsia="宋体" w:cs="宋体"/>
          <w:color w:val="auto"/>
          <w:sz w:val="21"/>
          <w:szCs w:val="21"/>
          <w:highlight w:val="none"/>
        </w:rPr>
        <w:t>　</w:t>
      </w:r>
    </w:p>
    <w:p w14:paraId="4D3BB5E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szCs w:val="21"/>
          <w:highlight w:val="none"/>
        </w:rPr>
        <w:t>通讯地址</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保山市隆阳区兰城路（四季经典写字楼）15层1501室</w:t>
      </w:r>
    </w:p>
    <w:p w14:paraId="1168913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eastAsia="宋体" w:cs="宋体"/>
          <w:color w:val="auto"/>
          <w:sz w:val="21"/>
          <w:szCs w:val="21"/>
          <w:highlight w:val="none"/>
        </w:rPr>
        <w:t xml:space="preserve">联系方式： </w:t>
      </w:r>
      <w:r>
        <w:rPr>
          <w:rFonts w:hint="eastAsia" w:ascii="宋体" w:hAnsi="宋体" w:eastAsia="宋体" w:cs="宋体"/>
          <w:color w:val="auto"/>
          <w:sz w:val="21"/>
          <w:szCs w:val="21"/>
          <w:highlight w:val="none"/>
          <w:lang w:eastAsia="zh-CN"/>
        </w:rPr>
        <w:t>0875-6842899</w:t>
      </w:r>
    </w:p>
    <w:p w14:paraId="5DA4EC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b w:val="0"/>
          <w:bCs/>
          <w:szCs w:val="21"/>
          <w:highlight w:val="none"/>
          <w:lang w:val="en-US" w:eastAsia="zh-CN"/>
        </w:rPr>
      </w:pPr>
      <w:bookmarkStart w:id="117" w:name="_Toc321836357"/>
      <w:r>
        <w:rPr>
          <w:rFonts w:hint="eastAsia" w:ascii="宋体" w:hAnsi="宋体"/>
          <w:b w:val="0"/>
          <w:bCs/>
          <w:szCs w:val="21"/>
          <w:highlight w:val="none"/>
          <w:lang w:val="en-US" w:eastAsia="zh-CN"/>
        </w:rPr>
        <w:t>6.4参与政府采购活动的供应商对评审过程或者结果提出质疑的，采购人或采购代理机构可以组织原磋商小组成员协助处理质疑事项，并依据磋商小组会出具的意见进行答复。质疑答复导致成交结果改变的，采购人或采购代理机构应当将相关情况报财政部门备案。</w:t>
      </w:r>
    </w:p>
    <w:p w14:paraId="4194A90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r>
        <w:rPr>
          <w:rFonts w:hint="eastAsia" w:ascii="宋体" w:hAnsi="宋体"/>
          <w:b/>
          <w:szCs w:val="21"/>
          <w:highlight w:val="none"/>
        </w:rPr>
        <w:t>7、</w:t>
      </w:r>
      <w:r>
        <w:rPr>
          <w:rFonts w:ascii="宋体" w:hAnsi="宋体"/>
          <w:b/>
          <w:szCs w:val="21"/>
          <w:highlight w:val="none"/>
        </w:rPr>
        <w:t>投诉</w:t>
      </w:r>
      <w:bookmarkEnd w:id="117"/>
    </w:p>
    <w:p w14:paraId="1696A01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bookmarkStart w:id="118" w:name="_Toc416715974"/>
      <w:r>
        <w:rPr>
          <w:rFonts w:hint="eastAsia" w:ascii="宋体" w:hAnsi="宋体"/>
          <w:szCs w:val="21"/>
          <w:highlight w:val="none"/>
        </w:rPr>
        <w:t>当事人提出的</w:t>
      </w:r>
      <w:r>
        <w:rPr>
          <w:rFonts w:ascii="宋体" w:hAnsi="宋体"/>
          <w:szCs w:val="21"/>
          <w:highlight w:val="none"/>
        </w:rPr>
        <w:t>投诉</w:t>
      </w:r>
      <w:r>
        <w:rPr>
          <w:rFonts w:hint="eastAsia" w:ascii="宋体" w:hAnsi="宋体"/>
          <w:szCs w:val="21"/>
          <w:highlight w:val="none"/>
        </w:rPr>
        <w:t>事项</w:t>
      </w:r>
      <w:r>
        <w:rPr>
          <w:rFonts w:ascii="宋体" w:hAnsi="宋体"/>
          <w:szCs w:val="21"/>
          <w:highlight w:val="none"/>
        </w:rPr>
        <w:t>必须首先经过质疑程序。</w:t>
      </w:r>
      <w:r>
        <w:rPr>
          <w:rFonts w:hint="eastAsia" w:ascii="宋体" w:hAnsi="宋体"/>
          <w:szCs w:val="21"/>
          <w:highlight w:val="none"/>
        </w:rPr>
        <w:t>质疑供应商对采购人、采购代理机构的答复不满意，或者采购人、采购代理机构未在规定时间内作出答复的，可以在答复期满后15个工作日内向本级财政部门提起投诉。</w:t>
      </w:r>
    </w:p>
    <w:bookmarkEnd w:id="118"/>
    <w:p w14:paraId="59122658">
      <w:pPr>
        <w:pStyle w:val="3"/>
        <w:spacing w:line="360" w:lineRule="auto"/>
        <w:jc w:val="center"/>
        <w:rPr>
          <w:rFonts w:ascii="宋体" w:hAnsi="宋体" w:eastAsia="宋体"/>
          <w:sz w:val="21"/>
          <w:szCs w:val="21"/>
          <w:highlight w:val="none"/>
        </w:rPr>
      </w:pPr>
      <w:bookmarkStart w:id="119" w:name="_Toc373844164"/>
      <w:bookmarkStart w:id="120" w:name="_Toc427306788"/>
      <w:bookmarkStart w:id="121" w:name="_Toc373844097"/>
      <w:bookmarkStart w:id="122" w:name="_Toc86124047"/>
      <w:bookmarkStart w:id="123" w:name="_Toc348011929"/>
      <w:bookmarkStart w:id="124" w:name="_Toc5321"/>
      <w:bookmarkStart w:id="125" w:name="_Toc427339169"/>
      <w:r>
        <w:rPr>
          <w:rFonts w:ascii="宋体" w:hAnsi="宋体" w:eastAsia="宋体"/>
          <w:sz w:val="21"/>
          <w:szCs w:val="21"/>
          <w:highlight w:val="none"/>
        </w:rPr>
        <w:t>二、磋商文件</w:t>
      </w:r>
      <w:bookmarkEnd w:id="119"/>
      <w:bookmarkEnd w:id="120"/>
      <w:bookmarkEnd w:id="121"/>
      <w:bookmarkEnd w:id="122"/>
      <w:bookmarkEnd w:id="123"/>
      <w:bookmarkEnd w:id="124"/>
      <w:bookmarkEnd w:id="125"/>
    </w:p>
    <w:p w14:paraId="438D0B1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26" w:name="_Toc348011930"/>
      <w:bookmarkStart w:id="127" w:name="_Toc329810192"/>
      <w:r>
        <w:rPr>
          <w:rFonts w:hint="eastAsia" w:ascii="宋体" w:hAnsi="宋体"/>
          <w:b/>
          <w:szCs w:val="21"/>
          <w:highlight w:val="none"/>
        </w:rPr>
        <w:t>8、</w:t>
      </w:r>
      <w:r>
        <w:rPr>
          <w:rFonts w:ascii="宋体" w:hAnsi="宋体"/>
          <w:b/>
          <w:szCs w:val="21"/>
          <w:highlight w:val="none"/>
        </w:rPr>
        <w:t>磋商文件的组成</w:t>
      </w:r>
      <w:bookmarkEnd w:id="126"/>
      <w:bookmarkEnd w:id="127"/>
    </w:p>
    <w:p w14:paraId="77A892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要求提供的采购过程及合同条款在磋商文件中均有说明，磋商文件共六章，各章的内容如下：</w:t>
      </w:r>
    </w:p>
    <w:p w14:paraId="04B3A46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ascii="宋体" w:hAnsi="宋体"/>
          <w:szCs w:val="21"/>
          <w:highlight w:val="none"/>
        </w:rPr>
        <w:t xml:space="preserve">第一章  </w:t>
      </w:r>
      <w:r>
        <w:rPr>
          <w:rFonts w:hint="eastAsia" w:ascii="宋体" w:hAnsi="宋体"/>
          <w:szCs w:val="21"/>
          <w:highlight w:val="none"/>
        </w:rPr>
        <w:t>竞争性磋商公告</w:t>
      </w:r>
    </w:p>
    <w:p w14:paraId="7B7156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第二章  供应商须知</w:t>
      </w:r>
    </w:p>
    <w:p w14:paraId="751CE8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第三章  合同书样式及主要条款</w:t>
      </w:r>
    </w:p>
    <w:p w14:paraId="7561FDF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第四章  响应文件格式</w:t>
      </w:r>
    </w:p>
    <w:p w14:paraId="654A466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szCs w:val="21"/>
          <w:highlight w:val="none"/>
          <w:lang w:eastAsia="zh-CN"/>
        </w:rPr>
      </w:pPr>
      <w:r>
        <w:rPr>
          <w:rFonts w:ascii="宋体" w:hAnsi="宋体"/>
          <w:szCs w:val="21"/>
          <w:highlight w:val="none"/>
        </w:rPr>
        <w:t xml:space="preserve">第五章  </w:t>
      </w:r>
      <w:r>
        <w:rPr>
          <w:rFonts w:hint="eastAsia" w:ascii="宋体" w:hAnsi="宋体"/>
          <w:szCs w:val="21"/>
          <w:highlight w:val="none"/>
          <w:lang w:eastAsia="zh-CN"/>
        </w:rPr>
        <w:t>项目需求</w:t>
      </w:r>
    </w:p>
    <w:p w14:paraId="6E01DA5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 xml:space="preserve">第六章  </w:t>
      </w:r>
      <w:r>
        <w:rPr>
          <w:rFonts w:hint="eastAsia" w:ascii="宋体" w:hAnsi="宋体"/>
          <w:szCs w:val="21"/>
          <w:highlight w:val="none"/>
        </w:rPr>
        <w:t>磋商程序及方</w:t>
      </w:r>
      <w:r>
        <w:rPr>
          <w:rFonts w:ascii="宋体" w:hAnsi="宋体"/>
          <w:szCs w:val="21"/>
          <w:highlight w:val="none"/>
        </w:rPr>
        <w:t>法</w:t>
      </w:r>
    </w:p>
    <w:p w14:paraId="259B261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Times New Roman"/>
          <w:b/>
          <w:szCs w:val="21"/>
          <w:highlight w:val="none"/>
        </w:rPr>
      </w:pPr>
      <w:bookmarkStart w:id="128" w:name="_Toc86124049"/>
      <w:bookmarkStart w:id="129" w:name="_Toc348011931"/>
      <w:bookmarkStart w:id="130" w:name="_Toc329810193"/>
      <w:r>
        <w:rPr>
          <w:rFonts w:hint="eastAsia" w:ascii="宋体" w:hAnsi="宋体" w:eastAsia="宋体" w:cs="Times New Roman"/>
          <w:b/>
          <w:szCs w:val="21"/>
          <w:highlight w:val="none"/>
        </w:rPr>
        <w:t>9、磋商文件的澄清</w:t>
      </w:r>
      <w:bookmarkEnd w:id="128"/>
      <w:r>
        <w:rPr>
          <w:rFonts w:hint="eastAsia" w:ascii="宋体" w:hAnsi="宋体" w:eastAsia="宋体" w:cs="Times New Roman"/>
          <w:b/>
          <w:szCs w:val="21"/>
          <w:highlight w:val="none"/>
        </w:rPr>
        <w:t>、修改</w:t>
      </w:r>
      <w:bookmarkEnd w:id="129"/>
      <w:bookmarkEnd w:id="130"/>
    </w:p>
    <w:p w14:paraId="40B72B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lang w:val="en-US" w:eastAsia="zh-CN"/>
        </w:rPr>
        <w:t>9</w:t>
      </w:r>
      <w:r>
        <w:rPr>
          <w:rFonts w:hint="eastAsia" w:ascii="宋体" w:hAnsi="宋体" w:eastAsia="宋体" w:cs="宋体"/>
          <w:sz w:val="21"/>
          <w:highlight w:val="none"/>
        </w:rPr>
        <w:t>.1 参加供应商应认真审核磋商文件，如有疑问的，供应商可以在“供应商须知前附表”规定截止时间前以在线不署名形式要求采购代理机构澄清，截止时间后送达的澄清要求概不接受。所有获取了采购文件的潜在供应商凭企业数字证书（CA）登录“政采云”平台，通过在线方式进行不署名提问。</w:t>
      </w:r>
    </w:p>
    <w:p w14:paraId="1B8C17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lang w:val="en-US" w:eastAsia="zh-CN"/>
        </w:rPr>
        <w:t>9</w:t>
      </w:r>
      <w:r>
        <w:rPr>
          <w:rFonts w:hint="eastAsia" w:ascii="宋体" w:hAnsi="宋体" w:eastAsia="宋体" w:cs="宋体"/>
          <w:sz w:val="21"/>
          <w:highlight w:val="none"/>
        </w:rPr>
        <w:t>.2 采购代理机构对已发出的磋商文件进行必要澄清或者修改的，于磋商文件要求递交响应文件截止时间5日前，在财政部门指定的政府采购</w:t>
      </w:r>
      <w:r>
        <w:rPr>
          <w:rFonts w:hint="eastAsia" w:ascii="宋体" w:hAnsi="宋体" w:eastAsia="宋体" w:cs="Times New Roman"/>
          <w:szCs w:val="21"/>
          <w:highlight w:val="none"/>
        </w:rPr>
        <w:t>信息</w:t>
      </w:r>
      <w:r>
        <w:rPr>
          <w:rFonts w:hint="eastAsia" w:ascii="宋体" w:hAnsi="宋体" w:eastAsia="宋体" w:cs="宋体"/>
          <w:sz w:val="21"/>
          <w:highlight w:val="none"/>
        </w:rPr>
        <w:t>发布媒体上发布澄清公告，不足5日的，将顺延提交首次响应文件截止之日。该澄清或者修改的内容为磋商文件的组成部分。</w:t>
      </w:r>
    </w:p>
    <w:p w14:paraId="5B4567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lang w:val="en-US" w:eastAsia="zh-CN"/>
        </w:rPr>
        <w:t>9</w:t>
      </w:r>
      <w:r>
        <w:rPr>
          <w:rFonts w:hint="eastAsia" w:ascii="宋体" w:hAnsi="宋体" w:eastAsia="宋体" w:cs="宋体"/>
          <w:sz w:val="21"/>
          <w:highlight w:val="none"/>
        </w:rPr>
        <w:t xml:space="preserve">.3 </w:t>
      </w:r>
      <w:r>
        <w:rPr>
          <w:rFonts w:hint="eastAsia" w:ascii="宋体" w:hAnsi="宋体" w:eastAsia="宋体" w:cs="宋体"/>
          <w:sz w:val="21"/>
          <w:szCs w:val="21"/>
          <w:highlight w:val="none"/>
        </w:rPr>
        <w:t>采购代理机构和采购单位可以视采购具体情况，延长响应文件递交截止时间和开启时间，但至少在磋商文件要求递交响应文件的截止时间前，将变更时间通知所有获取磋商文件的供应商，并在财政部门指定的政府采购信息发布媒体上发布变更公告。</w:t>
      </w:r>
    </w:p>
    <w:p w14:paraId="37C1C17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lang w:val="en-US" w:eastAsia="zh-CN"/>
        </w:rPr>
        <w:t>9</w:t>
      </w:r>
      <w:r>
        <w:rPr>
          <w:rFonts w:hint="eastAsia" w:ascii="宋体" w:hAnsi="宋体" w:eastAsia="宋体" w:cs="宋体"/>
          <w:sz w:val="21"/>
          <w:highlight w:val="none"/>
        </w:rPr>
        <w:t xml:space="preserve">.4 </w:t>
      </w:r>
      <w:r>
        <w:rPr>
          <w:rFonts w:hint="eastAsia" w:ascii="宋体" w:hAnsi="宋体" w:eastAsia="宋体" w:cs="宋体"/>
          <w:sz w:val="21"/>
          <w:szCs w:val="21"/>
          <w:highlight w:val="none"/>
        </w:rPr>
        <w:t>供应商应在递交响应文件截止时间前及时登录云南省政府采购网、“政采云”平台中查看有关该项目磋商文件的答疑、补遗内容。否则，后果自负。</w:t>
      </w:r>
    </w:p>
    <w:p w14:paraId="6BCDBB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highlight w:val="none"/>
          <w:lang w:val="en-US" w:eastAsia="zh-CN"/>
        </w:rPr>
        <w:t>9</w:t>
      </w:r>
      <w:r>
        <w:rPr>
          <w:rFonts w:hint="eastAsia" w:ascii="宋体" w:hAnsi="宋体" w:eastAsia="宋体" w:cs="宋体"/>
          <w:sz w:val="21"/>
          <w:highlight w:val="none"/>
        </w:rPr>
        <w:t xml:space="preserve">.5 </w:t>
      </w:r>
      <w:r>
        <w:rPr>
          <w:rFonts w:hint="eastAsia" w:ascii="宋体" w:hAnsi="宋体" w:eastAsia="宋体" w:cs="宋体"/>
          <w:sz w:val="21"/>
          <w:szCs w:val="21"/>
          <w:highlight w:val="none"/>
        </w:rPr>
        <w:t>磋商文件澄清、磋商文件修改文件内容均以网上电子文件为准，当磋商文件、磋商文件澄清、磋商文件修改文件内容之间相互矛盾时，以最后发出的为准。</w:t>
      </w:r>
    </w:p>
    <w:p w14:paraId="07AD389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cs="Times New Roman"/>
          <w:szCs w:val="21"/>
          <w:highlight w:val="none"/>
        </w:rPr>
      </w:pP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.6 在磋商过程中，磋商小组可以</w:t>
      </w:r>
      <w:r>
        <w:rPr>
          <w:rFonts w:hint="eastAsia" w:ascii="宋体" w:hAnsi="宋体" w:eastAsia="宋体" w:cs="Times New Roman"/>
          <w:szCs w:val="21"/>
          <w:highlight w:val="none"/>
        </w:rPr>
        <w:t>根据</w:t>
      </w:r>
      <w:r>
        <w:rPr>
          <w:rFonts w:hint="eastAsia" w:ascii="宋体" w:hAnsi="宋体" w:eastAsia="宋体" w:cs="宋体"/>
          <w:sz w:val="21"/>
          <w:szCs w:val="21"/>
          <w:highlight w:val="none"/>
        </w:rPr>
        <w:t>磋商文件和磋商情况实质性变动采购需求中的技术、服务要求以及合同草案条款，但不得变动磋商文件中的其他内容。实质性变动的内容，须经采购人代表确认。本项目磋商小组根据与供应商磋商情况可能实质性变动的内容见供应商须知前附表</w:t>
      </w:r>
      <w:r>
        <w:rPr>
          <w:rFonts w:hint="eastAsia" w:ascii="宋体" w:hAnsi="宋体" w:eastAsia="宋体" w:cs="Times New Roman"/>
          <w:szCs w:val="21"/>
          <w:highlight w:val="none"/>
        </w:rPr>
        <w:t>。</w:t>
      </w:r>
    </w:p>
    <w:p w14:paraId="25CFC711">
      <w:pPr>
        <w:pStyle w:val="3"/>
        <w:spacing w:line="360" w:lineRule="auto"/>
        <w:jc w:val="center"/>
        <w:rPr>
          <w:rFonts w:ascii="宋体" w:hAnsi="宋体" w:eastAsia="宋体"/>
          <w:sz w:val="21"/>
          <w:szCs w:val="21"/>
          <w:highlight w:val="none"/>
        </w:rPr>
      </w:pPr>
      <w:bookmarkStart w:id="131" w:name="_Toc86124051"/>
      <w:bookmarkStart w:id="132" w:name="_Toc373844098"/>
      <w:bookmarkStart w:id="133" w:name="_Toc348011932"/>
      <w:bookmarkStart w:id="134" w:name="_Toc427306789"/>
      <w:bookmarkStart w:id="135" w:name="_Toc16316"/>
      <w:bookmarkStart w:id="136" w:name="_Toc427339170"/>
      <w:bookmarkStart w:id="137" w:name="_Toc373844165"/>
      <w:r>
        <w:rPr>
          <w:rFonts w:ascii="宋体" w:hAnsi="宋体" w:eastAsia="宋体"/>
          <w:sz w:val="21"/>
          <w:szCs w:val="21"/>
          <w:highlight w:val="none"/>
        </w:rPr>
        <w:t>三、响应文件</w:t>
      </w:r>
      <w:bookmarkEnd w:id="131"/>
      <w:bookmarkEnd w:id="132"/>
      <w:bookmarkEnd w:id="133"/>
      <w:bookmarkEnd w:id="134"/>
      <w:bookmarkEnd w:id="135"/>
      <w:bookmarkEnd w:id="136"/>
      <w:bookmarkEnd w:id="137"/>
    </w:p>
    <w:p w14:paraId="44F7D68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b/>
          <w:szCs w:val="21"/>
          <w:highlight w:val="none"/>
          <w:lang w:val="en-US" w:eastAsia="zh-CN"/>
        </w:rPr>
      </w:pPr>
      <w:bookmarkStart w:id="138" w:name="_Toc348011933"/>
      <w:bookmarkStart w:id="139" w:name="_Toc329810195"/>
      <w:bookmarkStart w:id="140" w:name="_Toc86124052"/>
      <w:r>
        <w:rPr>
          <w:rFonts w:hint="eastAsia" w:ascii="宋体" w:hAnsi="宋体"/>
          <w:b/>
          <w:szCs w:val="21"/>
          <w:highlight w:val="none"/>
        </w:rPr>
        <w:t>10、</w:t>
      </w:r>
      <w:r>
        <w:rPr>
          <w:rFonts w:ascii="宋体" w:hAnsi="宋体"/>
          <w:b/>
          <w:szCs w:val="21"/>
          <w:highlight w:val="none"/>
        </w:rPr>
        <w:t>响应文件</w:t>
      </w:r>
      <w:bookmarkEnd w:id="138"/>
      <w:bookmarkEnd w:id="139"/>
      <w:bookmarkEnd w:id="140"/>
      <w:r>
        <w:rPr>
          <w:rFonts w:hint="eastAsia" w:ascii="宋体" w:hAnsi="宋体"/>
          <w:b/>
          <w:szCs w:val="21"/>
          <w:highlight w:val="none"/>
          <w:lang w:val="en-US" w:eastAsia="zh-CN"/>
        </w:rPr>
        <w:t>的编制注意事项</w:t>
      </w:r>
    </w:p>
    <w:p w14:paraId="453DEDF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10</w:t>
      </w:r>
      <w:r>
        <w:rPr>
          <w:rFonts w:ascii="宋体" w:hAnsi="宋体"/>
          <w:szCs w:val="21"/>
          <w:highlight w:val="none"/>
        </w:rPr>
        <w:t>.1 供应商应仔细阅读磋商文件，在完全了解采购的内容、</w:t>
      </w:r>
      <w:r>
        <w:rPr>
          <w:rFonts w:hint="eastAsia" w:ascii="宋体" w:hAnsi="宋体"/>
          <w:szCs w:val="21"/>
          <w:highlight w:val="none"/>
          <w:lang w:eastAsia="zh-CN"/>
        </w:rPr>
        <w:t>项目需求</w:t>
      </w:r>
      <w:r>
        <w:rPr>
          <w:rFonts w:ascii="宋体" w:hAnsi="宋体"/>
          <w:szCs w:val="21"/>
          <w:highlight w:val="none"/>
        </w:rPr>
        <w:t>（见第五章“</w:t>
      </w:r>
      <w:r>
        <w:rPr>
          <w:rFonts w:hint="eastAsia" w:ascii="宋体" w:hAnsi="宋体"/>
          <w:szCs w:val="21"/>
          <w:highlight w:val="none"/>
          <w:lang w:eastAsia="zh-CN"/>
        </w:rPr>
        <w:t>项目需求</w:t>
      </w:r>
      <w:r>
        <w:rPr>
          <w:rFonts w:ascii="宋体" w:hAnsi="宋体"/>
          <w:szCs w:val="21"/>
          <w:highlight w:val="none"/>
        </w:rPr>
        <w:t>”）和商务条件后，</w:t>
      </w:r>
      <w:r>
        <w:rPr>
          <w:rFonts w:hint="eastAsia" w:ascii="宋体" w:hAnsi="宋体"/>
          <w:szCs w:val="21"/>
          <w:highlight w:val="none"/>
          <w:lang w:val="en-US" w:eastAsia="zh-CN"/>
        </w:rPr>
        <w:t>编制</w:t>
      </w:r>
      <w:r>
        <w:rPr>
          <w:rFonts w:ascii="宋体" w:hAnsi="宋体"/>
          <w:szCs w:val="21"/>
          <w:highlight w:val="none"/>
        </w:rPr>
        <w:t>响应文件。</w:t>
      </w:r>
    </w:p>
    <w:p w14:paraId="255CFE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szCs w:val="21"/>
          <w:highlight w:val="none"/>
        </w:rPr>
        <w:t>10</w:t>
      </w:r>
      <w:r>
        <w:rPr>
          <w:rFonts w:ascii="宋体" w:hAnsi="宋体"/>
          <w:szCs w:val="21"/>
          <w:highlight w:val="none"/>
        </w:rPr>
        <w:t>.2 对磋商文件提出的实质性要求和条件作出响应是指供应商必须对磋商文件中规定的成交实质性</w:t>
      </w:r>
      <w:r>
        <w:rPr>
          <w:rFonts w:hint="eastAsia" w:ascii="宋体" w:hAnsi="宋体" w:eastAsia="宋体" w:cs="Times New Roman"/>
          <w:szCs w:val="21"/>
          <w:highlight w:val="none"/>
        </w:rPr>
        <w:t>要求和条件作出满足或者优于原要求和条件的承诺，并提供相应的证明材料。</w:t>
      </w:r>
    </w:p>
    <w:p w14:paraId="70924C8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41" w:name="_Toc329810196"/>
      <w:bookmarkStart w:id="142" w:name="_Toc86124054"/>
      <w:bookmarkStart w:id="143" w:name="_Toc348011934"/>
      <w:r>
        <w:rPr>
          <w:rFonts w:hint="eastAsia" w:ascii="宋体" w:hAnsi="宋体"/>
          <w:b/>
          <w:szCs w:val="21"/>
          <w:highlight w:val="none"/>
        </w:rPr>
        <w:t>11、</w:t>
      </w:r>
      <w:r>
        <w:rPr>
          <w:rFonts w:ascii="宋体" w:hAnsi="宋体"/>
          <w:b/>
          <w:szCs w:val="21"/>
          <w:highlight w:val="none"/>
        </w:rPr>
        <w:t>响应文件构成</w:t>
      </w:r>
      <w:bookmarkEnd w:id="141"/>
      <w:bookmarkEnd w:id="142"/>
      <w:bookmarkEnd w:id="143"/>
    </w:p>
    <w:p w14:paraId="4AE9688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11</w:t>
      </w:r>
      <w:r>
        <w:rPr>
          <w:rFonts w:ascii="宋体" w:hAnsi="宋体"/>
          <w:szCs w:val="21"/>
          <w:highlight w:val="none"/>
        </w:rPr>
        <w:t>.</w:t>
      </w:r>
      <w:r>
        <w:rPr>
          <w:rFonts w:hint="eastAsia" w:ascii="宋体" w:hAnsi="宋体"/>
          <w:szCs w:val="21"/>
          <w:highlight w:val="none"/>
        </w:rPr>
        <w:t>1</w:t>
      </w:r>
      <w:r>
        <w:rPr>
          <w:rFonts w:ascii="宋体" w:hAnsi="宋体"/>
          <w:szCs w:val="21"/>
          <w:highlight w:val="none"/>
        </w:rPr>
        <w:t>供应商</w:t>
      </w:r>
      <w:r>
        <w:rPr>
          <w:rFonts w:hint="eastAsia" w:ascii="宋体" w:hAnsi="宋体"/>
          <w:szCs w:val="21"/>
          <w:highlight w:val="none"/>
        </w:rPr>
        <w:t>编写的</w:t>
      </w:r>
      <w:r>
        <w:rPr>
          <w:rFonts w:ascii="宋体" w:hAnsi="宋体"/>
          <w:szCs w:val="21"/>
          <w:highlight w:val="none"/>
        </w:rPr>
        <w:t>响应文件</w:t>
      </w:r>
      <w:r>
        <w:rPr>
          <w:rFonts w:hint="eastAsia" w:ascii="宋体" w:hAnsi="宋体"/>
          <w:szCs w:val="21"/>
          <w:highlight w:val="none"/>
        </w:rPr>
        <w:t>应由下列部分构成，并按第四章“响应文件格式”要求填写。</w:t>
      </w:r>
      <w:r>
        <w:rPr>
          <w:highlight w:val="none"/>
        </w:rPr>
        <w:t>有关文件的提交如未特别注明需提供原件的，可提供</w:t>
      </w:r>
      <w:r>
        <w:rPr>
          <w:rFonts w:hint="eastAsia"/>
          <w:highlight w:val="none"/>
        </w:rPr>
        <w:t>扫描件</w:t>
      </w:r>
      <w:r>
        <w:rPr>
          <w:rFonts w:hint="eastAsia" w:ascii="宋体" w:hAnsi="宋体"/>
          <w:szCs w:val="21"/>
          <w:highlight w:val="none"/>
        </w:rPr>
        <w:t>。</w:t>
      </w:r>
    </w:p>
    <w:p w14:paraId="0085DB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（1）资格证明文件</w:t>
      </w:r>
    </w:p>
    <w:p w14:paraId="28BD02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szCs w:val="21"/>
          <w:highlight w:val="none"/>
          <w:lang w:eastAsia="zh-CN"/>
        </w:rPr>
      </w:pPr>
      <w:r>
        <w:rPr>
          <w:rFonts w:hint="eastAsia" w:ascii="宋体" w:hAnsi="宋体"/>
          <w:szCs w:val="21"/>
          <w:highlight w:val="none"/>
        </w:rPr>
        <w:t>（2）</w:t>
      </w:r>
      <w:r>
        <w:rPr>
          <w:rFonts w:hint="eastAsia" w:ascii="宋体" w:hAnsi="宋体"/>
          <w:szCs w:val="21"/>
          <w:highlight w:val="none"/>
          <w:lang w:val="en-US" w:eastAsia="zh-CN"/>
        </w:rPr>
        <w:t>报价部分</w:t>
      </w:r>
    </w:p>
    <w:p w14:paraId="21D7D4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（3）</w:t>
      </w:r>
      <w:r>
        <w:rPr>
          <w:rFonts w:hint="eastAsia" w:ascii="宋体" w:hAnsi="宋体"/>
          <w:szCs w:val="21"/>
          <w:highlight w:val="none"/>
          <w:lang w:val="en-US" w:eastAsia="zh-CN"/>
        </w:rPr>
        <w:t>商务技术部分</w:t>
      </w:r>
      <w:r>
        <w:rPr>
          <w:rFonts w:hint="eastAsia" w:ascii="宋体" w:hAnsi="宋体"/>
          <w:szCs w:val="21"/>
          <w:highlight w:val="none"/>
        </w:rPr>
        <w:t>；</w:t>
      </w:r>
    </w:p>
    <w:p w14:paraId="3C2F40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4</w:t>
      </w:r>
      <w:r>
        <w:rPr>
          <w:rFonts w:hint="eastAsia" w:ascii="宋体" w:hAnsi="宋体"/>
          <w:szCs w:val="21"/>
          <w:highlight w:val="none"/>
        </w:rPr>
        <w:t>）</w:t>
      </w:r>
      <w:r>
        <w:rPr>
          <w:rFonts w:ascii="宋体" w:hAnsi="宋体"/>
          <w:szCs w:val="21"/>
          <w:highlight w:val="none"/>
        </w:rPr>
        <w:t>构成响应文件的其他资料：详见“</w:t>
      </w:r>
      <w:r>
        <w:rPr>
          <w:rFonts w:ascii="宋体" w:hAnsi="宋体"/>
          <w:b/>
          <w:szCs w:val="21"/>
          <w:highlight w:val="none"/>
        </w:rPr>
        <w:t>供应商须知前附表</w:t>
      </w:r>
      <w:r>
        <w:rPr>
          <w:rFonts w:ascii="宋体" w:hAnsi="宋体"/>
          <w:szCs w:val="21"/>
          <w:highlight w:val="none"/>
        </w:rPr>
        <w:t>”要求</w:t>
      </w:r>
      <w:r>
        <w:rPr>
          <w:rFonts w:hint="eastAsia" w:ascii="宋体" w:hAnsi="宋体"/>
          <w:szCs w:val="21"/>
          <w:highlight w:val="none"/>
        </w:rPr>
        <w:t>。</w:t>
      </w:r>
    </w:p>
    <w:p w14:paraId="3C4B940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11.2若同时参与多个标段（若分标段时）磋商的，响应文件应按标段分别编制，单独成册。</w:t>
      </w:r>
    </w:p>
    <w:p w14:paraId="2E146AA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44" w:name="_Toc86124056"/>
      <w:bookmarkStart w:id="145" w:name="_Toc329810197"/>
      <w:bookmarkStart w:id="146" w:name="_Toc348011935"/>
      <w:r>
        <w:rPr>
          <w:rFonts w:hint="eastAsia" w:ascii="宋体" w:hAnsi="宋体"/>
          <w:b/>
          <w:szCs w:val="21"/>
          <w:highlight w:val="none"/>
        </w:rPr>
        <w:t>12、</w:t>
      </w:r>
      <w:r>
        <w:rPr>
          <w:rFonts w:ascii="宋体" w:hAnsi="宋体"/>
          <w:b/>
          <w:szCs w:val="21"/>
          <w:highlight w:val="none"/>
        </w:rPr>
        <w:t>报价</w:t>
      </w:r>
      <w:bookmarkEnd w:id="144"/>
      <w:r>
        <w:rPr>
          <w:rFonts w:ascii="宋体" w:hAnsi="宋体"/>
          <w:b/>
          <w:szCs w:val="21"/>
          <w:highlight w:val="none"/>
        </w:rPr>
        <w:t>和报价货币</w:t>
      </w:r>
      <w:bookmarkEnd w:id="145"/>
      <w:bookmarkEnd w:id="146"/>
    </w:p>
    <w:p w14:paraId="4F430863">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eastAsia="宋体" w:cs="宋体"/>
        </w:rPr>
      </w:pPr>
      <w:bookmarkStart w:id="147" w:name="_Toc329810198"/>
      <w:bookmarkStart w:id="148" w:name="_Toc86124058"/>
      <w:bookmarkStart w:id="149" w:name="_Toc348011936"/>
      <w:r>
        <w:rPr>
          <w:rFonts w:hint="eastAsia" w:ascii="宋体" w:hAnsi="宋体" w:eastAsia="宋体" w:cs="宋体"/>
          <w:b w:val="0"/>
        </w:rPr>
        <w:t>12.1 本项目采用工程量清单综合单价方式报价，报价汇总形成磋商总报价。磋商总报价为暂估总价，仅作评审汇总使用，不作为合同结算依据。</w:t>
      </w:r>
    </w:p>
    <w:p w14:paraId="747ED236">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eastAsia="宋体" w:cs="宋体"/>
        </w:rPr>
      </w:pPr>
      <w:r>
        <w:rPr>
          <w:rFonts w:hint="eastAsia" w:ascii="宋体" w:hAnsi="宋体" w:eastAsia="宋体" w:cs="宋体"/>
          <w:b w:val="0"/>
        </w:rPr>
        <w:t>12.2 供应商应按“工程量清单”的要求填写相应报价。若在响应文件递交截止时间前修改磋商申请函中的磋商总报价，应同时修改“工程量清单”中的相应报价，确保两者一致。</w:t>
      </w:r>
    </w:p>
    <w:p w14:paraId="2AE4783E">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eastAsia="宋体" w:cs="宋体"/>
        </w:rPr>
      </w:pPr>
      <w:r>
        <w:rPr>
          <w:rFonts w:hint="eastAsia" w:ascii="宋体" w:hAnsi="宋体" w:eastAsia="宋体" w:cs="宋体"/>
          <w:b w:val="0"/>
        </w:rPr>
        <w:t>12.3 供应商应按照现行法律、法规及标准规范文件，依据“工程量清单”中的编制说明，结合供应商实际和市场价格，综合考虑各种风险后采用综合单价形式进行工程量清单报价，不得采用总价让利或以百分比让利等形式进行磋商报价（按本文件第12.5条约定的结算优惠率调整的除外），磋商报价不得低于其企业成本价。每一项目只允许有一个报价，任何有选择的报价将不被接受。</w:t>
      </w:r>
    </w:p>
    <w:p w14:paraId="1378524D">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eastAsia="宋体" w:cs="宋体"/>
        </w:rPr>
      </w:pPr>
      <w:r>
        <w:rPr>
          <w:rFonts w:hint="eastAsia" w:ascii="宋体" w:hAnsi="宋体" w:eastAsia="宋体" w:cs="宋体"/>
          <w:b w:val="0"/>
        </w:rPr>
        <w:t>12.4 供应商根据自身实力，结合市场情况自主报价。</w:t>
      </w:r>
    </w:p>
    <w:p w14:paraId="18D3B3C3">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eastAsia="宋体" w:cs="宋体"/>
        </w:rPr>
      </w:pPr>
      <w:r>
        <w:rPr>
          <w:rFonts w:hint="eastAsia" w:ascii="宋体" w:hAnsi="宋体" w:eastAsia="宋体" w:cs="宋体"/>
          <w:b w:val="0"/>
        </w:rPr>
        <w:t>12.5 本工程合同方式：采用固定综合单价合同，合同单价以成交供应商第一次磋商报价的“已标价工程量清单”为准，工程量按实结算。</w:t>
      </w:r>
    </w:p>
    <w:p w14:paraId="0EFA721F">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eastAsia="宋体" w:cs="宋体"/>
        </w:rPr>
      </w:pPr>
      <w:r>
        <w:rPr>
          <w:rFonts w:hint="eastAsia" w:ascii="宋体" w:hAnsi="宋体" w:eastAsia="宋体" w:cs="宋体"/>
          <w:b w:val="0"/>
        </w:rPr>
        <w:t>工程审核结算价（应支付实际工程款）按下列公式计算：</w:t>
      </w:r>
    </w:p>
    <w:p w14:paraId="6AC5C141">
      <w:pPr>
        <w:keepNext w:val="0"/>
        <w:keepLines w:val="0"/>
        <w:pageBreakBefore w:val="0"/>
        <w:widowControl w:val="0"/>
        <w:kinsoku/>
        <w:wordWrap/>
        <w:overflowPunct/>
        <w:topLinePunct w:val="0"/>
        <w:autoSpaceDE/>
        <w:autoSpaceDN/>
        <w:bidi w:val="0"/>
        <w:adjustRightInd/>
        <w:snapToGrid/>
        <w:spacing w:line="360" w:lineRule="auto"/>
        <w:ind w:left="40" w:firstLine="422" w:firstLineChars="200"/>
        <w:jc w:val="center"/>
        <w:textAlignment w:val="auto"/>
        <w:rPr>
          <w:rFonts w:hint="eastAsia" w:ascii="宋体" w:hAnsi="宋体" w:eastAsia="宋体" w:cs="宋体"/>
        </w:rPr>
      </w:pPr>
      <w:r>
        <w:rPr>
          <w:rFonts w:hint="eastAsia" w:ascii="宋体" w:hAnsi="宋体" w:eastAsia="宋体" w:cs="宋体"/>
          <w:b/>
        </w:rPr>
        <w:t>工程审核结算价＝（审核结算金额－暂列金、暂估价、安全生产措施项目费、税金等非竞争性费用）×优惠率＋暂列金、暂估价、安全生产措施项目费、税金等非竞争性费用的实际结算金额</w:t>
      </w:r>
    </w:p>
    <w:p w14:paraId="74F7DA86">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eastAsia="宋体" w:cs="宋体"/>
        </w:rPr>
      </w:pPr>
      <w:r>
        <w:rPr>
          <w:rFonts w:hint="eastAsia" w:ascii="宋体" w:hAnsi="宋体" w:eastAsia="宋体" w:cs="宋体"/>
          <w:b w:val="0"/>
        </w:rPr>
        <w:t>其中：</w:t>
      </w:r>
    </w:p>
    <w:p w14:paraId="76F47F94">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eastAsia="宋体" w:cs="宋体"/>
        </w:rPr>
      </w:pPr>
      <w:r>
        <w:rPr>
          <w:rFonts w:hint="eastAsia" w:ascii="宋体" w:hAnsi="宋体" w:eastAsia="宋体" w:cs="宋体"/>
          <w:b w:val="0"/>
        </w:rPr>
        <w:t>（1）审核结算金额，由采购人委托或内部审计部门委托的造价咨询单位，以成交供应商响应文件中提交的第一次磋商报价“已标价工程量清单”为审核依据核定；</w:t>
      </w:r>
    </w:p>
    <w:p w14:paraId="37DC8B7A">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eastAsia="宋体" w:cs="宋体"/>
        </w:rPr>
      </w:pPr>
      <w:r>
        <w:rPr>
          <w:rFonts w:hint="eastAsia" w:ascii="宋体" w:hAnsi="宋体" w:eastAsia="宋体" w:cs="宋体"/>
          <w:b w:val="0"/>
        </w:rPr>
        <w:t>（2）优惠率＝第二次报价总价÷第一次报价总价（第二次报价不得高于第一次报价），计算结果保留小数点后四位（四舍五入）；</w:t>
      </w:r>
    </w:p>
    <w:p w14:paraId="23AB4278">
      <w:pPr>
        <w:keepNext w:val="0"/>
        <w:keepLines w:val="0"/>
        <w:pageBreakBefore w:val="0"/>
        <w:widowControl w:val="0"/>
        <w:kinsoku/>
        <w:wordWrap/>
        <w:overflowPunct/>
        <w:topLinePunct w:val="0"/>
        <w:autoSpaceDE/>
        <w:autoSpaceDN/>
        <w:bidi w:val="0"/>
        <w:adjustRightInd/>
        <w:snapToGrid/>
        <w:spacing w:line="360" w:lineRule="auto"/>
        <w:ind w:left="40" w:firstLine="420" w:firstLineChars="200"/>
        <w:textAlignment w:val="auto"/>
        <w:rPr>
          <w:rFonts w:hint="eastAsia" w:ascii="宋体" w:hAnsi="宋体"/>
          <w:szCs w:val="21"/>
          <w:highlight w:val="none"/>
        </w:rPr>
      </w:pPr>
      <w:r>
        <w:rPr>
          <w:rFonts w:hint="eastAsia" w:ascii="宋体" w:hAnsi="宋体" w:eastAsia="宋体" w:cs="宋体"/>
          <w:b w:val="0"/>
        </w:rPr>
        <w:t>（3）安全生产措施项目费、税金等非竞争性费用，按相关规定或法定标准及实际发生情况单独足额计取或支付；暂列金、暂估价按采购人、成交供应商、监理、过程跟踪审计共同确认的实际价格结算。</w:t>
      </w:r>
    </w:p>
    <w:p w14:paraId="08A6C89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b/>
          <w:szCs w:val="21"/>
          <w:highlight w:val="none"/>
        </w:rPr>
      </w:pPr>
      <w:r>
        <w:rPr>
          <w:rFonts w:ascii="宋体" w:hAnsi="宋体"/>
          <w:szCs w:val="21"/>
          <w:highlight w:val="none"/>
        </w:rPr>
        <w:t>12.6通过实质性审查的供应商才能进入磋商程序并进行第二轮报价，第二轮报价为最终报价，最终报价不得高于其首次报价（磋商总报价）。</w:t>
      </w:r>
    </w:p>
    <w:p w14:paraId="5CCBFC13">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ascii="宋体" w:hAnsi="宋体"/>
          <w:b/>
          <w:szCs w:val="21"/>
          <w:highlight w:val="none"/>
        </w:rPr>
      </w:pPr>
      <w:r>
        <w:rPr>
          <w:rFonts w:ascii="宋体" w:hAnsi="宋体"/>
          <w:b/>
          <w:szCs w:val="21"/>
          <w:highlight w:val="none"/>
        </w:rPr>
        <w:t>12.</w:t>
      </w:r>
      <w:r>
        <w:rPr>
          <w:rFonts w:hint="eastAsia" w:ascii="宋体" w:hAnsi="宋体"/>
          <w:b/>
          <w:szCs w:val="21"/>
          <w:highlight w:val="none"/>
          <w:lang w:val="en-US" w:eastAsia="zh-CN"/>
        </w:rPr>
        <w:t>7</w:t>
      </w:r>
      <w:r>
        <w:rPr>
          <w:rFonts w:hint="eastAsia" w:ascii="宋体" w:hAnsi="宋体"/>
          <w:b/>
          <w:szCs w:val="21"/>
          <w:highlight w:val="none"/>
        </w:rPr>
        <w:t>最终报价文件在政采云平台</w:t>
      </w:r>
      <w:r>
        <w:rPr>
          <w:rFonts w:hint="eastAsia" w:ascii="宋体" w:hAnsi="宋体"/>
          <w:b/>
          <w:szCs w:val="21"/>
          <w:highlight w:val="none"/>
          <w:lang w:val="en-US" w:eastAsia="zh-CN"/>
        </w:rPr>
        <w:t>按要求填报</w:t>
      </w:r>
      <w:r>
        <w:rPr>
          <w:rFonts w:hint="eastAsia" w:ascii="宋体" w:hAnsi="宋体"/>
          <w:b/>
          <w:szCs w:val="21"/>
          <w:highlight w:val="none"/>
        </w:rPr>
        <w:t>，在规定的时间内提交后统一开启，供应商未在规定时间按要求提交最终报价的，视为未进行最终报价及放弃参加磋商权利，按照无效响应文件处理</w:t>
      </w:r>
      <w:r>
        <w:rPr>
          <w:rFonts w:hint="eastAsia" w:ascii="宋体" w:hAnsi="宋体" w:eastAsia="宋体" w:cs="Times New Roman"/>
          <w:b/>
          <w:bCs w:val="0"/>
          <w:szCs w:val="21"/>
          <w:highlight w:val="none"/>
          <w:lang w:eastAsia="zh-CN"/>
        </w:rPr>
        <w:t>。</w:t>
      </w:r>
      <w:r>
        <w:rPr>
          <w:rFonts w:hint="eastAsia" w:ascii="宋体" w:hAnsi="宋体"/>
          <w:b w:val="0"/>
          <w:bCs w:val="0"/>
          <w:szCs w:val="21"/>
          <w:highlight w:val="none"/>
        </w:rPr>
        <w:t>若已</w:t>
      </w:r>
      <w:r>
        <w:rPr>
          <w:rFonts w:hint="eastAsia" w:ascii="宋体" w:hAnsi="宋体"/>
          <w:b w:val="0"/>
          <w:bCs w:val="0"/>
          <w:szCs w:val="21"/>
          <w:highlight w:val="none"/>
          <w:lang w:val="en-US" w:eastAsia="zh-CN"/>
        </w:rPr>
        <w:t>提交</w:t>
      </w:r>
      <w:r>
        <w:rPr>
          <w:rFonts w:hint="eastAsia" w:ascii="宋体" w:hAnsi="宋体"/>
          <w:b w:val="0"/>
          <w:bCs w:val="0"/>
          <w:szCs w:val="21"/>
          <w:highlight w:val="none"/>
        </w:rPr>
        <w:t>的最终报价文件若出现含义不明确、同类问题表述不一致或者签署不完整、有明显文字和计算错误的，可以进行澄清和补充，但不得改变最终报价文件中报价等实质性内容（算术性错误修正的除外）。</w:t>
      </w:r>
    </w:p>
    <w:p w14:paraId="590F759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b/>
          <w:szCs w:val="21"/>
          <w:highlight w:val="none"/>
        </w:rPr>
      </w:pPr>
      <w:r>
        <w:rPr>
          <w:rFonts w:hint="eastAsia" w:ascii="宋体" w:hAnsi="宋体" w:cs="宋体"/>
          <w:kern w:val="0"/>
          <w:szCs w:val="21"/>
          <w:highlight w:val="none"/>
        </w:rPr>
        <w:t>供应商的澄清、说明或者更正应当由法定代表人或其授权代表签字或者加盖公章。由授权代表签字的，应当附法定代表人授权书。供应商为自然人的，应当由本人签字并附身份证明。</w:t>
      </w:r>
    </w:p>
    <w:p w14:paraId="3B859AF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szCs w:val="21"/>
          <w:highlight w:val="none"/>
          <w:lang w:eastAsia="zh-CN"/>
        </w:rPr>
      </w:pPr>
      <w:r>
        <w:rPr>
          <w:rFonts w:hint="eastAsia" w:ascii="宋体" w:hAnsi="宋体" w:eastAsia="宋体" w:cs="Times New Roman"/>
          <w:szCs w:val="21"/>
          <w:highlight w:val="none"/>
        </w:rPr>
        <w:t>★</w:t>
      </w:r>
      <w:r>
        <w:rPr>
          <w:rFonts w:ascii="宋体" w:hAnsi="宋体"/>
          <w:szCs w:val="21"/>
          <w:highlight w:val="none"/>
        </w:rPr>
        <w:t>12.</w:t>
      </w:r>
      <w:r>
        <w:rPr>
          <w:rFonts w:hint="eastAsia" w:ascii="宋体" w:hAnsi="宋体"/>
          <w:szCs w:val="21"/>
          <w:highlight w:val="none"/>
          <w:lang w:val="en-US" w:eastAsia="zh-CN"/>
        </w:rPr>
        <w:t>8</w:t>
      </w:r>
      <w:r>
        <w:rPr>
          <w:rFonts w:hint="eastAsia" w:ascii="宋体" w:hAnsi="宋体"/>
          <w:szCs w:val="21"/>
          <w:highlight w:val="none"/>
        </w:rPr>
        <w:t>供应商不得哄抬报价，也不应低于成本价（或进价）报价。磋商小组认为供应商的最低报价或者某些分项报价明显不合理或者低于成本，有可能影响项目质量和不能诚信履约的，将要求其在规定的</w:t>
      </w:r>
      <w:r>
        <w:rPr>
          <w:rFonts w:hint="eastAsia" w:ascii="宋体" w:hAnsi="宋体"/>
          <w:szCs w:val="21"/>
          <w:highlight w:val="none"/>
          <w:lang w:val="en-US" w:eastAsia="zh-CN"/>
        </w:rPr>
        <w:t>时间</w:t>
      </w:r>
      <w:r>
        <w:rPr>
          <w:rFonts w:hint="eastAsia" w:ascii="宋体" w:hAnsi="宋体"/>
          <w:szCs w:val="21"/>
          <w:highlight w:val="none"/>
        </w:rPr>
        <w:t>内</w:t>
      </w:r>
      <w:r>
        <w:rPr>
          <w:rFonts w:hint="eastAsia" w:ascii="宋体" w:hAnsi="宋体"/>
          <w:szCs w:val="21"/>
          <w:highlight w:val="none"/>
          <w:lang w:val="en-US" w:eastAsia="zh-CN"/>
        </w:rPr>
        <w:t>提交</w:t>
      </w:r>
      <w:r>
        <w:rPr>
          <w:rFonts w:hint="eastAsia" w:ascii="宋体" w:hAnsi="宋体"/>
          <w:highlight w:val="none"/>
        </w:rPr>
        <w:t>说明，必要时提交相关证明材料；供应商不能证明其报价合理性的，磋商小组应当将其作为无效</w:t>
      </w:r>
      <w:r>
        <w:rPr>
          <w:rFonts w:hint="eastAsia" w:ascii="宋体" w:hAnsi="宋体"/>
          <w:highlight w:val="none"/>
          <w:lang w:val="en-US" w:eastAsia="zh-CN"/>
        </w:rPr>
        <w:t>文件</w:t>
      </w:r>
      <w:r>
        <w:rPr>
          <w:rFonts w:hint="eastAsia" w:ascii="宋体" w:hAnsi="宋体"/>
          <w:highlight w:val="none"/>
          <w:lang w:eastAsia="zh-CN"/>
        </w:rPr>
        <w:t>。</w:t>
      </w:r>
    </w:p>
    <w:p w14:paraId="57EE66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szCs w:val="21"/>
          <w:highlight w:val="none"/>
        </w:rPr>
      </w:pPr>
      <w:r>
        <w:rPr>
          <w:rFonts w:ascii="宋体" w:hAnsi="宋体"/>
          <w:szCs w:val="21"/>
          <w:highlight w:val="none"/>
        </w:rPr>
        <w:t>12</w:t>
      </w:r>
      <w:r>
        <w:rPr>
          <w:rFonts w:hint="eastAsia" w:ascii="宋体" w:hAnsi="宋体"/>
          <w:szCs w:val="21"/>
          <w:highlight w:val="none"/>
        </w:rPr>
        <w:t>.</w:t>
      </w:r>
      <w:r>
        <w:rPr>
          <w:rFonts w:hint="eastAsia" w:ascii="宋体" w:hAnsi="宋体"/>
          <w:szCs w:val="21"/>
          <w:highlight w:val="none"/>
          <w:lang w:val="en-US" w:eastAsia="zh-CN"/>
        </w:rPr>
        <w:t>9</w:t>
      </w:r>
      <w:r>
        <w:rPr>
          <w:rFonts w:hint="eastAsia"/>
          <w:szCs w:val="21"/>
          <w:highlight w:val="none"/>
        </w:rPr>
        <w:t>报价货币为人民币。</w:t>
      </w:r>
    </w:p>
    <w:p w14:paraId="6BECC3C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r>
        <w:rPr>
          <w:rFonts w:hint="eastAsia" w:ascii="宋体" w:hAnsi="宋体"/>
          <w:b/>
          <w:szCs w:val="21"/>
          <w:highlight w:val="none"/>
        </w:rPr>
        <w:t>13、</w:t>
      </w:r>
      <w:r>
        <w:rPr>
          <w:rFonts w:ascii="宋体" w:hAnsi="宋体"/>
          <w:b/>
          <w:szCs w:val="21"/>
          <w:highlight w:val="none"/>
        </w:rPr>
        <w:t>有效期</w:t>
      </w:r>
      <w:bookmarkEnd w:id="147"/>
      <w:bookmarkEnd w:id="148"/>
      <w:bookmarkEnd w:id="149"/>
    </w:p>
    <w:p w14:paraId="72F76D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1</w:t>
      </w:r>
      <w:r>
        <w:rPr>
          <w:rFonts w:hint="eastAsia" w:ascii="宋体" w:hAnsi="宋体"/>
          <w:szCs w:val="21"/>
          <w:highlight w:val="none"/>
        </w:rPr>
        <w:t>3</w:t>
      </w:r>
      <w:r>
        <w:rPr>
          <w:rFonts w:ascii="宋体" w:hAnsi="宋体"/>
          <w:szCs w:val="21"/>
          <w:highlight w:val="none"/>
        </w:rPr>
        <w:t>.1 在“</w:t>
      </w:r>
      <w:r>
        <w:rPr>
          <w:rFonts w:ascii="宋体" w:hAnsi="宋体"/>
          <w:b/>
          <w:szCs w:val="21"/>
          <w:highlight w:val="none"/>
        </w:rPr>
        <w:t>供应商须知前附表</w:t>
      </w:r>
      <w:r>
        <w:rPr>
          <w:rFonts w:ascii="宋体" w:hAnsi="宋体"/>
          <w:szCs w:val="21"/>
          <w:highlight w:val="none"/>
        </w:rPr>
        <w:t>”规定的有效期内，供应商不得要求撤销或修改其响应文件。</w:t>
      </w:r>
    </w:p>
    <w:p w14:paraId="39F0B2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1</w:t>
      </w:r>
      <w:r>
        <w:rPr>
          <w:rFonts w:hint="eastAsia" w:ascii="宋体" w:hAnsi="宋体"/>
          <w:szCs w:val="21"/>
          <w:highlight w:val="none"/>
        </w:rPr>
        <w:t>3</w:t>
      </w:r>
      <w:r>
        <w:rPr>
          <w:rFonts w:ascii="宋体" w:hAnsi="宋体"/>
          <w:szCs w:val="21"/>
          <w:highlight w:val="none"/>
        </w:rPr>
        <w:t>.2 因特殊情况需要延长有效期的，采购代理机构以书面形式通知所有供应商延长有效期。供应商同意延长的，应相应延长其保证金的有效期，但不得要求或被允许修改或撤销其响应文件；供应商拒绝延长的，其</w:t>
      </w:r>
      <w:r>
        <w:rPr>
          <w:rFonts w:hint="eastAsia" w:ascii="宋体" w:hAnsi="宋体"/>
          <w:szCs w:val="21"/>
          <w:highlight w:val="none"/>
        </w:rPr>
        <w:t>响应文件</w:t>
      </w:r>
      <w:r>
        <w:rPr>
          <w:rFonts w:ascii="宋体" w:hAnsi="宋体"/>
          <w:szCs w:val="21"/>
          <w:highlight w:val="none"/>
        </w:rPr>
        <w:t>失效，但供应商有权收回其保证金。</w:t>
      </w:r>
    </w:p>
    <w:p w14:paraId="4D55FB6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50" w:name="_Toc329810199"/>
      <w:bookmarkStart w:id="151" w:name="_Toc86124059"/>
      <w:bookmarkStart w:id="152" w:name="_Toc348011937"/>
      <w:r>
        <w:rPr>
          <w:rFonts w:hint="eastAsia" w:ascii="宋体" w:hAnsi="宋体"/>
          <w:b/>
          <w:szCs w:val="21"/>
          <w:highlight w:val="none"/>
        </w:rPr>
        <w:t>14、</w:t>
      </w:r>
      <w:r>
        <w:rPr>
          <w:rFonts w:ascii="宋体" w:hAnsi="宋体"/>
          <w:b/>
          <w:szCs w:val="21"/>
          <w:highlight w:val="none"/>
        </w:rPr>
        <w:t>响应文件的</w:t>
      </w:r>
      <w:bookmarkEnd w:id="150"/>
      <w:bookmarkEnd w:id="151"/>
      <w:r>
        <w:rPr>
          <w:rFonts w:hint="eastAsia" w:ascii="宋体" w:hAnsi="宋体"/>
          <w:b/>
          <w:szCs w:val="21"/>
          <w:highlight w:val="none"/>
        </w:rPr>
        <w:t>编制</w:t>
      </w:r>
      <w:bookmarkEnd w:id="152"/>
    </w:p>
    <w:p w14:paraId="39F2215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bookmarkStart w:id="153" w:name="_Toc329810200"/>
      <w:bookmarkStart w:id="154" w:name="_Toc348011938"/>
      <w:r>
        <w:rPr>
          <w:rFonts w:hint="eastAsia" w:ascii="宋体" w:hAnsi="宋体" w:eastAsia="宋体" w:cs="Times New Roman"/>
          <w:szCs w:val="21"/>
          <w:highlight w:val="none"/>
          <w:lang w:val="en-US" w:eastAsia="zh-CN"/>
        </w:rPr>
        <w:t>14.1</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全部采用电子文档，</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应安装客户端软件—</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政采云电子交易客户端</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，并按照</w:t>
      </w:r>
      <w:r>
        <w:rPr>
          <w:rFonts w:hint="eastAsia" w:ascii="宋体" w:hAnsi="宋体" w:eastAsia="宋体" w:cs="Times New Roman"/>
          <w:szCs w:val="21"/>
          <w:highlight w:val="none"/>
          <w:lang w:eastAsia="zh-CN"/>
        </w:rPr>
        <w:t>采购文件</w:t>
      </w:r>
      <w:r>
        <w:rPr>
          <w:rFonts w:hint="eastAsia" w:ascii="宋体" w:hAnsi="宋体" w:eastAsia="宋体" w:cs="Times New Roman"/>
          <w:szCs w:val="21"/>
          <w:highlight w:val="none"/>
        </w:rPr>
        <w:t>和政采云电子交易平台的要求编制，编制后应进行电子签名及加密。</w:t>
      </w:r>
    </w:p>
    <w:p w14:paraId="271DFE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w:t>
      </w:r>
      <w:r>
        <w:rPr>
          <w:rFonts w:hint="eastAsia" w:ascii="宋体" w:hAnsi="宋体" w:eastAsia="宋体" w:cs="Times New Roman"/>
          <w:szCs w:val="21"/>
          <w:highlight w:val="none"/>
          <w:lang w:val="en-US" w:eastAsia="zh-CN"/>
        </w:rPr>
        <w:t>14.2</w:t>
      </w:r>
      <w:r>
        <w:rPr>
          <w:rFonts w:hint="eastAsia" w:ascii="宋体" w:hAnsi="宋体" w:eastAsia="宋体" w:cs="Times New Roman"/>
          <w:szCs w:val="21"/>
          <w:highlight w:val="none"/>
        </w:rPr>
        <w:t>如</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提交的电子标书不符合</w:t>
      </w:r>
      <w:r>
        <w:rPr>
          <w:rFonts w:hint="eastAsia" w:ascii="宋体" w:hAnsi="宋体" w:eastAsia="宋体" w:cs="Times New Roman"/>
          <w:szCs w:val="21"/>
          <w:highlight w:val="none"/>
          <w:lang w:val="en-US" w:eastAsia="zh-CN"/>
        </w:rPr>
        <w:t>14.1</w:t>
      </w:r>
      <w:r>
        <w:rPr>
          <w:rFonts w:hint="eastAsia" w:ascii="宋体" w:hAnsi="宋体" w:eastAsia="宋体" w:cs="Times New Roman"/>
          <w:szCs w:val="21"/>
          <w:highlight w:val="none"/>
        </w:rPr>
        <w:t>要求或</w:t>
      </w:r>
      <w:r>
        <w:rPr>
          <w:rFonts w:hint="eastAsia" w:ascii="宋体" w:hAnsi="宋体" w:eastAsia="宋体" w:cs="Times New Roman"/>
          <w:szCs w:val="21"/>
          <w:highlight w:val="none"/>
          <w:lang w:val="en-US" w:eastAsia="zh-CN"/>
        </w:rPr>
        <w:t>开启文件</w:t>
      </w:r>
      <w:r>
        <w:rPr>
          <w:rFonts w:hint="eastAsia" w:ascii="宋体" w:hAnsi="宋体" w:eastAsia="宋体" w:cs="Times New Roman"/>
          <w:szCs w:val="21"/>
          <w:highlight w:val="none"/>
        </w:rPr>
        <w:t>时无法读取导入或解密，其</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将不予受理。</w:t>
      </w:r>
    </w:p>
    <w:p w14:paraId="6C7A9E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14.3</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改动之处应加盖单位章（电子签章）或由</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的法定代表人/单位负责人电子签名确认。</w:t>
      </w:r>
    </w:p>
    <w:p w14:paraId="62DB19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14.4</w:t>
      </w:r>
      <w:r>
        <w:rPr>
          <w:rFonts w:hint="eastAsia" w:ascii="宋体" w:hAnsi="宋体" w:eastAsia="宋体" w:cs="Times New Roman"/>
          <w:szCs w:val="21"/>
          <w:highlight w:val="none"/>
        </w:rPr>
        <w:t>关键内容字迹潦草、表达不清、未按要求填写而导致非唯一理解，视为未实质性响应</w:t>
      </w:r>
      <w:r>
        <w:rPr>
          <w:rFonts w:hint="eastAsia" w:ascii="宋体" w:hAnsi="宋体" w:eastAsia="宋体" w:cs="Times New Roman"/>
          <w:szCs w:val="21"/>
          <w:highlight w:val="none"/>
          <w:lang w:eastAsia="zh-CN"/>
        </w:rPr>
        <w:t>采购文件</w:t>
      </w:r>
      <w:r>
        <w:rPr>
          <w:rFonts w:hint="eastAsia" w:ascii="宋体" w:hAnsi="宋体" w:eastAsia="宋体" w:cs="Times New Roman"/>
          <w:szCs w:val="21"/>
          <w:highlight w:val="none"/>
        </w:rPr>
        <w:t>的</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w:t>
      </w:r>
    </w:p>
    <w:p w14:paraId="58CD3F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14.5</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中提供的资料（扫描件），内容必须清晰可辨，若内容模糊，无法辨识，均视为未提供。</w:t>
      </w:r>
    </w:p>
    <w:p w14:paraId="0008038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eastAsia="宋体" w:cs="Times New Roman"/>
          <w:szCs w:val="21"/>
          <w:highlight w:val="none"/>
          <w:lang w:val="en-US" w:eastAsia="zh-CN"/>
        </w:rPr>
        <w:t>14.6</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应由法定代表人/单位负责人在凡规定（电子签名）处逐一电子签名（电子签名或签章），要求盖章处应盖单位章（电子签章）。</w:t>
      </w:r>
    </w:p>
    <w:p w14:paraId="1C15DB2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r>
        <w:rPr>
          <w:rFonts w:hint="eastAsia" w:ascii="宋体" w:hAnsi="宋体"/>
          <w:b/>
          <w:szCs w:val="21"/>
          <w:highlight w:val="none"/>
        </w:rPr>
        <w:t>15、磋商</w:t>
      </w:r>
      <w:r>
        <w:rPr>
          <w:rFonts w:ascii="宋体" w:hAnsi="宋体"/>
          <w:b/>
          <w:szCs w:val="21"/>
          <w:highlight w:val="none"/>
        </w:rPr>
        <w:t>保证金</w:t>
      </w:r>
      <w:bookmarkEnd w:id="153"/>
      <w:bookmarkEnd w:id="154"/>
    </w:p>
    <w:p w14:paraId="477789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15.1磋商</w:t>
      </w:r>
      <w:r>
        <w:rPr>
          <w:rFonts w:ascii="宋体" w:hAnsi="宋体"/>
          <w:szCs w:val="21"/>
          <w:highlight w:val="none"/>
        </w:rPr>
        <w:t>保证金为人民币。供应商应在</w:t>
      </w:r>
      <w:r>
        <w:rPr>
          <w:rFonts w:hint="eastAsia" w:ascii="宋体" w:hAnsi="宋体"/>
          <w:szCs w:val="21"/>
          <w:highlight w:val="none"/>
          <w:lang w:eastAsia="zh-CN"/>
        </w:rPr>
        <w:t>提交响应文件</w:t>
      </w:r>
      <w:r>
        <w:rPr>
          <w:rFonts w:ascii="宋体" w:hAnsi="宋体"/>
          <w:szCs w:val="21"/>
          <w:highlight w:val="none"/>
        </w:rPr>
        <w:t>截止时间以前按“</w:t>
      </w:r>
      <w:r>
        <w:rPr>
          <w:rFonts w:ascii="宋体" w:hAnsi="宋体"/>
          <w:b/>
          <w:szCs w:val="21"/>
          <w:highlight w:val="none"/>
        </w:rPr>
        <w:t>供应商须知前附表</w:t>
      </w:r>
      <w:r>
        <w:rPr>
          <w:rFonts w:ascii="宋体" w:hAnsi="宋体"/>
          <w:szCs w:val="21"/>
          <w:highlight w:val="none"/>
        </w:rPr>
        <w:t>”规定的方式及金额交至采购代理机构，并在磋商有效期内保持有效。</w:t>
      </w:r>
    </w:p>
    <w:p w14:paraId="4A29EE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15.2磋商保证金形式：磋商保证金应按“</w:t>
      </w:r>
      <w:r>
        <w:rPr>
          <w:rFonts w:hint="eastAsia" w:ascii="宋体" w:hAnsi="宋体"/>
          <w:b/>
          <w:szCs w:val="21"/>
          <w:highlight w:val="none"/>
        </w:rPr>
        <w:t>供应商须知前附表</w:t>
      </w:r>
      <w:r>
        <w:rPr>
          <w:rFonts w:hint="eastAsia" w:ascii="宋体" w:hAnsi="宋体"/>
          <w:szCs w:val="21"/>
          <w:highlight w:val="none"/>
        </w:rPr>
        <w:t>”规定的形式提交。</w:t>
      </w:r>
    </w:p>
    <w:p w14:paraId="687B2E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1</w:t>
      </w:r>
      <w:r>
        <w:rPr>
          <w:rFonts w:hint="eastAsia" w:ascii="宋体" w:hAnsi="宋体"/>
          <w:szCs w:val="21"/>
          <w:highlight w:val="none"/>
        </w:rPr>
        <w:t>5</w:t>
      </w:r>
      <w:r>
        <w:rPr>
          <w:rFonts w:ascii="宋体" w:hAnsi="宋体"/>
          <w:szCs w:val="21"/>
          <w:highlight w:val="none"/>
        </w:rPr>
        <w:t>.</w:t>
      </w:r>
      <w:r>
        <w:rPr>
          <w:rFonts w:hint="eastAsia" w:ascii="宋体" w:hAnsi="宋体"/>
          <w:szCs w:val="21"/>
          <w:highlight w:val="none"/>
        </w:rPr>
        <w:t>3</w:t>
      </w:r>
      <w:r>
        <w:rPr>
          <w:rFonts w:ascii="宋体" w:hAnsi="宋体"/>
          <w:szCs w:val="21"/>
          <w:highlight w:val="none"/>
        </w:rPr>
        <w:t xml:space="preserve"> 办理保证金手续时，请务必在银行进账单或电汇单的用途栏或空白栏上注明采购项目名称及项目编号。</w:t>
      </w:r>
    </w:p>
    <w:p w14:paraId="61FC0E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15.4供应商应将磋商保证金缴纳凭证附于响应文件中（详见第四章响应文件格式“（四）保证金缴纳凭证”），以电汇或网银转账等方式提交的，附转账凭证。</w:t>
      </w:r>
    </w:p>
    <w:p w14:paraId="6A69423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ascii="宋体" w:hAnsi="宋体"/>
          <w:szCs w:val="21"/>
          <w:highlight w:val="none"/>
        </w:rPr>
        <w:t>1</w:t>
      </w:r>
      <w:r>
        <w:rPr>
          <w:rFonts w:hint="eastAsia" w:ascii="宋体" w:hAnsi="宋体"/>
          <w:szCs w:val="21"/>
          <w:highlight w:val="none"/>
        </w:rPr>
        <w:t>5</w:t>
      </w:r>
      <w:r>
        <w:rPr>
          <w:rFonts w:ascii="宋体" w:hAnsi="宋体"/>
          <w:szCs w:val="21"/>
          <w:highlight w:val="none"/>
        </w:rPr>
        <w:t>.</w:t>
      </w:r>
      <w:r>
        <w:rPr>
          <w:rFonts w:hint="eastAsia" w:ascii="宋体" w:hAnsi="宋体"/>
          <w:szCs w:val="21"/>
          <w:highlight w:val="none"/>
        </w:rPr>
        <w:t>5</w:t>
      </w:r>
      <w:r>
        <w:rPr>
          <w:rFonts w:ascii="宋体" w:hAnsi="宋体"/>
          <w:szCs w:val="21"/>
          <w:highlight w:val="none"/>
        </w:rPr>
        <w:t>未成交的供应商可在成交</w:t>
      </w:r>
      <w:r>
        <w:rPr>
          <w:rFonts w:hint="eastAsia" w:ascii="宋体" w:hAnsi="宋体"/>
          <w:szCs w:val="21"/>
          <w:highlight w:val="none"/>
        </w:rPr>
        <w:t>公告</w:t>
      </w:r>
      <w:r>
        <w:rPr>
          <w:rFonts w:ascii="宋体" w:hAnsi="宋体"/>
          <w:szCs w:val="21"/>
          <w:highlight w:val="none"/>
        </w:rPr>
        <w:t>发出后</w:t>
      </w:r>
      <w:r>
        <w:rPr>
          <w:rFonts w:hint="eastAsia" w:ascii="宋体" w:hAnsi="宋体"/>
          <w:szCs w:val="21"/>
          <w:highlight w:val="none"/>
        </w:rPr>
        <w:t>五个工作日</w:t>
      </w:r>
      <w:r>
        <w:rPr>
          <w:rFonts w:ascii="宋体" w:hAnsi="宋体"/>
          <w:szCs w:val="21"/>
          <w:highlight w:val="none"/>
        </w:rPr>
        <w:t>到采购代理机构办理退保证金手续；成交供应商在签订合同后</w:t>
      </w:r>
      <w:r>
        <w:rPr>
          <w:rFonts w:hint="eastAsia" w:ascii="宋体" w:hAnsi="宋体"/>
          <w:szCs w:val="21"/>
          <w:highlight w:val="none"/>
        </w:rPr>
        <w:t>五个工作日内到采购代理机构办理退还磋商保证金手续。</w:t>
      </w:r>
    </w:p>
    <w:p w14:paraId="47DCF5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szCs w:val="21"/>
          <w:highlight w:val="none"/>
          <w:lang w:val="en-US" w:eastAsia="zh-CN"/>
        </w:rPr>
      </w:pPr>
      <w:r>
        <w:rPr>
          <w:rFonts w:hint="eastAsia" w:ascii="宋体" w:hAnsi="宋体"/>
          <w:szCs w:val="21"/>
          <w:highlight w:val="none"/>
          <w:lang w:val="en-US" w:eastAsia="zh-CN"/>
        </w:rPr>
        <w:t>15.6</w:t>
      </w:r>
      <w:r>
        <w:rPr>
          <w:rFonts w:hint="eastAsia" w:ascii="宋体" w:hAnsi="宋体"/>
          <w:szCs w:val="21"/>
          <w:highlight w:val="none"/>
        </w:rPr>
        <w:t>磋商保证金</w:t>
      </w:r>
      <w:r>
        <w:rPr>
          <w:rFonts w:hint="eastAsia" w:ascii="宋体" w:hAnsi="宋体"/>
          <w:szCs w:val="21"/>
          <w:highlight w:val="none"/>
          <w:lang w:val="en-US" w:eastAsia="zh-CN"/>
        </w:rPr>
        <w:t>退还：</w:t>
      </w:r>
      <w:r>
        <w:rPr>
          <w:highlight w:val="none"/>
        </w:rPr>
        <w:t>见</w:t>
      </w:r>
      <w:r>
        <w:rPr>
          <w:rFonts w:hint="eastAsia"/>
          <w:highlight w:val="none"/>
          <w:lang w:eastAsia="zh-CN"/>
        </w:rPr>
        <w:t>“</w:t>
      </w:r>
      <w:r>
        <w:rPr>
          <w:rFonts w:hint="eastAsia"/>
          <w:b/>
          <w:bCs/>
          <w:highlight w:val="none"/>
          <w:lang w:val="en-US" w:eastAsia="zh-CN"/>
        </w:rPr>
        <w:t>供应商</w:t>
      </w:r>
      <w:r>
        <w:rPr>
          <w:b/>
          <w:bCs/>
          <w:highlight w:val="none"/>
        </w:rPr>
        <w:t>须知前附表</w:t>
      </w:r>
      <w:r>
        <w:rPr>
          <w:rFonts w:hint="eastAsia"/>
          <w:highlight w:val="none"/>
          <w:lang w:eastAsia="zh-CN"/>
        </w:rPr>
        <w:t>”</w:t>
      </w:r>
      <w:r>
        <w:rPr>
          <w:rFonts w:hint="eastAsia" w:ascii="宋体" w:hAnsi="宋体"/>
          <w:szCs w:val="21"/>
          <w:highlight w:val="none"/>
          <w:lang w:val="en-US" w:eastAsia="zh-CN"/>
        </w:rPr>
        <w:t>。</w:t>
      </w:r>
    </w:p>
    <w:p w14:paraId="22066B6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1</w:t>
      </w:r>
      <w:r>
        <w:rPr>
          <w:rFonts w:hint="eastAsia" w:ascii="宋体" w:hAnsi="宋体"/>
          <w:szCs w:val="21"/>
          <w:highlight w:val="none"/>
        </w:rPr>
        <w:t>5</w:t>
      </w:r>
      <w:r>
        <w:rPr>
          <w:rFonts w:ascii="宋体" w:hAnsi="宋体"/>
          <w:szCs w:val="21"/>
          <w:highlight w:val="none"/>
        </w:rPr>
        <w:t>.</w:t>
      </w:r>
      <w:r>
        <w:rPr>
          <w:rFonts w:hint="eastAsia" w:ascii="宋体" w:hAnsi="宋体"/>
          <w:szCs w:val="21"/>
          <w:highlight w:val="none"/>
          <w:lang w:val="en-US" w:eastAsia="zh-CN"/>
        </w:rPr>
        <w:t>7</w:t>
      </w:r>
      <w:r>
        <w:rPr>
          <w:rFonts w:ascii="宋体" w:hAnsi="宋体"/>
          <w:szCs w:val="21"/>
          <w:highlight w:val="none"/>
        </w:rPr>
        <w:t xml:space="preserve"> 下列情况发生时，</w:t>
      </w:r>
      <w:r>
        <w:rPr>
          <w:rFonts w:hint="eastAsia" w:ascii="宋体" w:hAnsi="宋体"/>
          <w:szCs w:val="21"/>
          <w:highlight w:val="none"/>
        </w:rPr>
        <w:t>磋商</w:t>
      </w:r>
      <w:r>
        <w:rPr>
          <w:rFonts w:ascii="宋体" w:hAnsi="宋体"/>
          <w:szCs w:val="21"/>
          <w:highlight w:val="none"/>
        </w:rPr>
        <w:t>保证金将</w:t>
      </w:r>
      <w:r>
        <w:rPr>
          <w:rFonts w:hint="eastAsia" w:ascii="宋体" w:hAnsi="宋体"/>
          <w:szCs w:val="21"/>
          <w:highlight w:val="none"/>
        </w:rPr>
        <w:t>不予退还</w:t>
      </w:r>
      <w:r>
        <w:rPr>
          <w:rFonts w:ascii="宋体" w:hAnsi="宋体"/>
          <w:szCs w:val="21"/>
          <w:highlight w:val="none"/>
        </w:rPr>
        <w:t>：</w:t>
      </w:r>
    </w:p>
    <w:p w14:paraId="0926D5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（1）供应商在磋商开始后要求撤回</w:t>
      </w:r>
      <w:r>
        <w:rPr>
          <w:rFonts w:hint="eastAsia" w:ascii="宋体" w:hAnsi="宋体"/>
          <w:szCs w:val="21"/>
          <w:highlight w:val="none"/>
        </w:rPr>
        <w:t>响应文件</w:t>
      </w:r>
      <w:r>
        <w:rPr>
          <w:rFonts w:ascii="宋体" w:hAnsi="宋体"/>
          <w:szCs w:val="21"/>
          <w:highlight w:val="none"/>
        </w:rPr>
        <w:t>的；</w:t>
      </w:r>
    </w:p>
    <w:p w14:paraId="44EAA0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2</w:t>
      </w:r>
      <w:r>
        <w:rPr>
          <w:rFonts w:hint="eastAsia" w:ascii="宋体" w:hAnsi="宋体"/>
          <w:szCs w:val="21"/>
          <w:highlight w:val="none"/>
        </w:rPr>
        <w:t>）供应商在响应文件中提供虚假材料的；</w:t>
      </w:r>
    </w:p>
    <w:p w14:paraId="2207E0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3</w:t>
      </w:r>
      <w:r>
        <w:rPr>
          <w:rFonts w:hint="eastAsia" w:ascii="宋体" w:hAnsi="宋体"/>
          <w:szCs w:val="21"/>
          <w:highlight w:val="none"/>
        </w:rPr>
        <w:t>）成交后供应商无正当理由不与采购人或者采购代理机构签订合同的；</w:t>
      </w:r>
    </w:p>
    <w:p w14:paraId="7035B91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4</w:t>
      </w:r>
      <w:r>
        <w:rPr>
          <w:rFonts w:hint="eastAsia" w:ascii="宋体" w:hAnsi="宋体"/>
          <w:szCs w:val="21"/>
          <w:highlight w:val="none"/>
        </w:rPr>
        <w:t>）</w:t>
      </w:r>
      <w:r>
        <w:rPr>
          <w:rFonts w:hint="eastAsia" w:ascii="宋体" w:hAnsi="宋体" w:eastAsia="宋体" w:cs="宋体"/>
          <w:sz w:val="21"/>
          <w:highlight w:val="none"/>
        </w:rPr>
        <w:t>供应商与采购人、其他供应商或者采购代理机构恶意串通的</w:t>
      </w:r>
      <w:r>
        <w:rPr>
          <w:rFonts w:hint="eastAsia" w:ascii="宋体" w:hAnsi="宋体"/>
          <w:szCs w:val="21"/>
          <w:highlight w:val="none"/>
        </w:rPr>
        <w:t>；</w:t>
      </w:r>
    </w:p>
    <w:p w14:paraId="3B1EC46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5</w:t>
      </w:r>
      <w:r>
        <w:rPr>
          <w:rFonts w:hint="eastAsia" w:ascii="宋体" w:hAnsi="宋体"/>
          <w:szCs w:val="21"/>
          <w:highlight w:val="none"/>
        </w:rPr>
        <w:t>）</w:t>
      </w:r>
      <w:r>
        <w:rPr>
          <w:rFonts w:hint="eastAsia" w:ascii="宋体" w:hAnsi="宋体" w:eastAsia="宋体" w:cs="宋体"/>
          <w:sz w:val="21"/>
          <w:highlight w:val="none"/>
        </w:rPr>
        <w:t>采购文件规定的其他情形</w:t>
      </w:r>
      <w:r>
        <w:rPr>
          <w:rFonts w:hint="eastAsia" w:ascii="宋体" w:hAnsi="宋体"/>
          <w:szCs w:val="21"/>
          <w:highlight w:val="none"/>
        </w:rPr>
        <w:t>。</w:t>
      </w:r>
    </w:p>
    <w:p w14:paraId="55265573">
      <w:pPr>
        <w:pStyle w:val="3"/>
        <w:spacing w:line="360" w:lineRule="auto"/>
        <w:jc w:val="center"/>
        <w:rPr>
          <w:rFonts w:ascii="宋体" w:hAnsi="宋体" w:eastAsia="宋体"/>
          <w:sz w:val="21"/>
          <w:szCs w:val="21"/>
          <w:highlight w:val="none"/>
        </w:rPr>
      </w:pPr>
      <w:bookmarkStart w:id="155" w:name="_Toc86124061"/>
      <w:bookmarkStart w:id="156" w:name="_Toc373844099"/>
      <w:bookmarkStart w:id="157" w:name="_Toc24382"/>
      <w:bookmarkStart w:id="158" w:name="_Toc427306790"/>
      <w:bookmarkStart w:id="159" w:name="_Toc427339171"/>
      <w:bookmarkStart w:id="160" w:name="_Toc348011939"/>
      <w:bookmarkStart w:id="161" w:name="_Toc373844166"/>
      <w:r>
        <w:rPr>
          <w:rFonts w:ascii="宋体" w:hAnsi="宋体" w:eastAsia="宋体"/>
          <w:sz w:val="21"/>
          <w:szCs w:val="21"/>
          <w:highlight w:val="none"/>
        </w:rPr>
        <w:t>四、响应文件的提交</w:t>
      </w:r>
      <w:bookmarkEnd w:id="155"/>
      <w:bookmarkEnd w:id="156"/>
      <w:bookmarkEnd w:id="157"/>
      <w:bookmarkEnd w:id="158"/>
      <w:bookmarkEnd w:id="159"/>
      <w:bookmarkEnd w:id="160"/>
      <w:bookmarkEnd w:id="161"/>
    </w:p>
    <w:p w14:paraId="1AC4C4C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b/>
          <w:szCs w:val="21"/>
          <w:highlight w:val="none"/>
          <w:lang w:val="en-US" w:eastAsia="zh-CN"/>
        </w:rPr>
      </w:pPr>
      <w:bookmarkStart w:id="162" w:name="_Toc329810202"/>
      <w:bookmarkStart w:id="163" w:name="_Toc86124062"/>
      <w:bookmarkStart w:id="164" w:name="_Toc348011940"/>
      <w:r>
        <w:rPr>
          <w:rFonts w:hint="eastAsia" w:ascii="宋体" w:hAnsi="宋体"/>
          <w:b/>
          <w:szCs w:val="21"/>
          <w:highlight w:val="none"/>
        </w:rPr>
        <w:t>16、</w:t>
      </w:r>
      <w:r>
        <w:rPr>
          <w:rFonts w:ascii="宋体" w:hAnsi="宋体"/>
          <w:b/>
          <w:szCs w:val="21"/>
          <w:highlight w:val="none"/>
        </w:rPr>
        <w:t>响应文件的</w:t>
      </w:r>
      <w:bookmarkEnd w:id="162"/>
      <w:bookmarkEnd w:id="163"/>
      <w:bookmarkEnd w:id="164"/>
      <w:r>
        <w:rPr>
          <w:rFonts w:hint="eastAsia" w:ascii="宋体" w:hAnsi="宋体"/>
          <w:b/>
          <w:szCs w:val="21"/>
          <w:highlight w:val="none"/>
          <w:lang w:val="en-US" w:eastAsia="zh-CN"/>
        </w:rPr>
        <w:t>加密</w:t>
      </w:r>
    </w:p>
    <w:p w14:paraId="56C8479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cs="Times New Roman"/>
          <w:szCs w:val="21"/>
          <w:highlight w:val="none"/>
        </w:rPr>
      </w:pPr>
      <w:bookmarkStart w:id="165" w:name="_Toc348011941"/>
      <w:bookmarkStart w:id="166" w:name="_Toc86124063"/>
      <w:bookmarkStart w:id="167" w:name="_Toc329810203"/>
      <w:r>
        <w:rPr>
          <w:rFonts w:hint="eastAsia" w:ascii="宋体" w:hAnsi="宋体" w:eastAsia="宋体" w:cs="Times New Roman"/>
          <w:szCs w:val="21"/>
          <w:highlight w:val="none"/>
          <w:lang w:eastAsia="zh-CN"/>
        </w:rPr>
        <w:t>16.</w:t>
      </w:r>
      <w:r>
        <w:rPr>
          <w:rFonts w:hint="eastAsia" w:ascii="宋体" w:hAnsi="宋体" w:eastAsia="宋体" w:cs="Times New Roman"/>
          <w:szCs w:val="21"/>
          <w:highlight w:val="none"/>
        </w:rPr>
        <w:t xml:space="preserve">1 </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进行电子交易应安装客户端软件—</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政采云电子交易客户端</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，并按照</w:t>
      </w:r>
      <w:r>
        <w:rPr>
          <w:rFonts w:hint="eastAsia" w:ascii="宋体" w:hAnsi="宋体" w:eastAsia="宋体" w:cs="Times New Roman"/>
          <w:szCs w:val="21"/>
          <w:highlight w:val="none"/>
          <w:lang w:eastAsia="zh-CN"/>
        </w:rPr>
        <w:t>采购文件</w:t>
      </w:r>
      <w:r>
        <w:rPr>
          <w:rFonts w:hint="eastAsia" w:ascii="宋体" w:hAnsi="宋体" w:eastAsia="宋体" w:cs="Times New Roman"/>
          <w:szCs w:val="21"/>
          <w:highlight w:val="none"/>
        </w:rPr>
        <w:t>和电子交易平台的要求编制并加密</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w:t>
      </w:r>
      <w:r>
        <w:rPr>
          <w:rFonts w:hint="eastAsia" w:ascii="宋体" w:hAnsi="宋体" w:eastAsia="宋体" w:cs="Times New Roman"/>
          <w:szCs w:val="21"/>
          <w:highlight w:val="none"/>
          <w:lang w:val="en-US" w:eastAsia="zh-CN"/>
        </w:rPr>
        <w:t>供应商</w:t>
      </w:r>
      <w:r>
        <w:rPr>
          <w:rFonts w:hint="eastAsia" w:ascii="宋体" w:hAnsi="宋体" w:eastAsia="宋体" w:cs="Times New Roman"/>
          <w:szCs w:val="21"/>
          <w:highlight w:val="none"/>
        </w:rPr>
        <w:t>未按规定加密的</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，电子交易平台将拒收并提示。</w:t>
      </w:r>
    </w:p>
    <w:p w14:paraId="3512DE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cs="Times New Roman"/>
          <w:szCs w:val="21"/>
          <w:highlight w:val="none"/>
        </w:rPr>
      </w:pPr>
      <w:r>
        <w:rPr>
          <w:rFonts w:hint="eastAsia" w:ascii="宋体" w:hAnsi="宋体" w:eastAsia="宋体" w:cs="Times New Roman"/>
          <w:szCs w:val="21"/>
          <w:highlight w:val="none"/>
          <w:lang w:eastAsia="zh-CN"/>
        </w:rPr>
        <w:t>16.</w:t>
      </w:r>
      <w:r>
        <w:rPr>
          <w:rFonts w:hint="eastAsia" w:ascii="宋体" w:hAnsi="宋体" w:eastAsia="宋体" w:cs="Times New Roman"/>
          <w:szCs w:val="21"/>
          <w:highlight w:val="none"/>
        </w:rPr>
        <w:t>2 使用</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政采云电子交易客户端</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需要提前申领 CA 数字证书。</w:t>
      </w:r>
    </w:p>
    <w:p w14:paraId="727B8F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cs="Times New Roman"/>
          <w:szCs w:val="21"/>
          <w:highlight w:val="none"/>
        </w:rPr>
      </w:pPr>
      <w:r>
        <w:rPr>
          <w:rFonts w:hint="eastAsia" w:ascii="宋体" w:hAnsi="宋体" w:eastAsia="宋体" w:cs="Times New Roman"/>
          <w:szCs w:val="21"/>
          <w:highlight w:val="none"/>
          <w:lang w:eastAsia="zh-CN"/>
        </w:rPr>
        <w:t>16.</w:t>
      </w:r>
      <w:r>
        <w:rPr>
          <w:rFonts w:hint="eastAsia" w:ascii="宋体" w:hAnsi="宋体" w:eastAsia="宋体" w:cs="Times New Roman"/>
          <w:szCs w:val="21"/>
          <w:highlight w:val="none"/>
        </w:rPr>
        <w:t>3 为确保网上操作合法、有效和安全，</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应当在</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提交截止时间前完成在</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政府采购云平台</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的身份认证，确保在电子交易过程中能够对相关数据电文进行加密和使用电子签名。</w:t>
      </w:r>
    </w:p>
    <w:p w14:paraId="56A87A4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r>
        <w:rPr>
          <w:rFonts w:hint="eastAsia" w:ascii="宋体" w:hAnsi="宋体"/>
          <w:b/>
          <w:szCs w:val="21"/>
          <w:highlight w:val="none"/>
        </w:rPr>
        <w:t>17、</w:t>
      </w:r>
      <w:r>
        <w:rPr>
          <w:rFonts w:hint="eastAsia" w:ascii="宋体" w:hAnsi="宋体"/>
          <w:b/>
          <w:szCs w:val="21"/>
          <w:highlight w:val="none"/>
          <w:lang w:eastAsia="zh-CN"/>
        </w:rPr>
        <w:t>提交响应文件</w:t>
      </w:r>
      <w:r>
        <w:rPr>
          <w:rFonts w:ascii="宋体" w:hAnsi="宋体"/>
          <w:b/>
          <w:szCs w:val="21"/>
          <w:highlight w:val="none"/>
        </w:rPr>
        <w:t>的截止时间和地点</w:t>
      </w:r>
      <w:bookmarkEnd w:id="165"/>
      <w:bookmarkEnd w:id="166"/>
      <w:bookmarkEnd w:id="167"/>
    </w:p>
    <w:p w14:paraId="2187027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bookmarkStart w:id="168" w:name="_Toc427306791"/>
      <w:bookmarkStart w:id="169" w:name="_Toc373844100"/>
      <w:bookmarkStart w:id="170" w:name="_Toc86124064"/>
      <w:bookmarkStart w:id="171" w:name="_Toc373844167"/>
      <w:bookmarkStart w:id="172" w:name="_Toc427339172"/>
      <w:bookmarkStart w:id="173" w:name="_Toc348011942"/>
      <w:r>
        <w:rPr>
          <w:rFonts w:hint="eastAsia" w:ascii="宋体" w:hAnsi="宋体" w:eastAsia="宋体" w:cs="Times New Roman"/>
          <w:szCs w:val="21"/>
          <w:highlight w:val="none"/>
          <w:lang w:eastAsia="zh-CN"/>
        </w:rPr>
        <w:t>17.</w:t>
      </w:r>
      <w:r>
        <w:rPr>
          <w:rFonts w:hint="eastAsia" w:ascii="宋体" w:hAnsi="宋体" w:eastAsia="宋体" w:cs="Times New Roman"/>
          <w:szCs w:val="21"/>
          <w:highlight w:val="none"/>
        </w:rPr>
        <w:t>1</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的递交/上传不得迟于</w:t>
      </w:r>
      <w:r>
        <w:rPr>
          <w:rFonts w:hint="eastAsia" w:ascii="宋体" w:hAnsi="宋体" w:eastAsia="宋体" w:cs="Times New Roman"/>
          <w:b/>
          <w:bCs/>
          <w:szCs w:val="21"/>
          <w:highlight w:val="none"/>
          <w:lang w:eastAsia="zh-CN"/>
        </w:rPr>
        <w:t>“供应商</w:t>
      </w:r>
      <w:r>
        <w:rPr>
          <w:rFonts w:hint="eastAsia" w:ascii="宋体" w:hAnsi="宋体" w:eastAsia="宋体" w:cs="Times New Roman"/>
          <w:b/>
          <w:bCs/>
          <w:szCs w:val="21"/>
          <w:highlight w:val="none"/>
        </w:rPr>
        <w:t>须知前附表</w:t>
      </w:r>
      <w:r>
        <w:rPr>
          <w:rFonts w:hint="eastAsia" w:ascii="宋体" w:hAnsi="宋体" w:eastAsia="宋体" w:cs="Times New Roman"/>
          <w:b/>
          <w:bCs/>
          <w:szCs w:val="21"/>
          <w:highlight w:val="none"/>
          <w:lang w:eastAsia="zh-CN"/>
        </w:rPr>
        <w:t>”</w:t>
      </w:r>
      <w:r>
        <w:rPr>
          <w:rFonts w:hint="eastAsia" w:ascii="宋体" w:hAnsi="宋体" w:eastAsia="宋体" w:cs="Times New Roman"/>
          <w:szCs w:val="21"/>
          <w:highlight w:val="none"/>
        </w:rPr>
        <w:t>规定的提交</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截止时间。逾期送达/上传的</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，采购人不予接收。</w:t>
      </w:r>
    </w:p>
    <w:p w14:paraId="74E15F3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17.</w:t>
      </w:r>
      <w:r>
        <w:rPr>
          <w:rFonts w:hint="eastAsia" w:ascii="宋体" w:hAnsi="宋体" w:eastAsia="宋体" w:cs="Times New Roman"/>
          <w:szCs w:val="21"/>
          <w:highlight w:val="none"/>
        </w:rPr>
        <w:t>2</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必须在规定时间内将</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递交/上传到</w:t>
      </w:r>
      <w:r>
        <w:rPr>
          <w:rFonts w:hint="eastAsia" w:ascii="宋体" w:hAnsi="宋体" w:eastAsia="宋体" w:cs="Times New Roman"/>
          <w:b/>
          <w:bCs/>
          <w:szCs w:val="21"/>
          <w:highlight w:val="none"/>
          <w:lang w:eastAsia="zh-CN"/>
        </w:rPr>
        <w:t>“供应商</w:t>
      </w:r>
      <w:r>
        <w:rPr>
          <w:rFonts w:hint="eastAsia" w:ascii="宋体" w:hAnsi="宋体" w:eastAsia="宋体" w:cs="Times New Roman"/>
          <w:b/>
          <w:bCs/>
          <w:szCs w:val="21"/>
          <w:highlight w:val="none"/>
        </w:rPr>
        <w:t>须知前附表</w:t>
      </w:r>
      <w:r>
        <w:rPr>
          <w:rFonts w:hint="eastAsia" w:ascii="宋体" w:hAnsi="宋体" w:eastAsia="宋体" w:cs="Times New Roman"/>
          <w:b/>
          <w:bCs/>
          <w:szCs w:val="21"/>
          <w:highlight w:val="none"/>
          <w:lang w:eastAsia="zh-CN"/>
        </w:rPr>
        <w:t>”</w:t>
      </w:r>
      <w:r>
        <w:rPr>
          <w:rFonts w:hint="eastAsia" w:ascii="宋体" w:hAnsi="宋体" w:eastAsia="宋体" w:cs="Times New Roman"/>
          <w:szCs w:val="21"/>
          <w:highlight w:val="none"/>
        </w:rPr>
        <w:t>规定的地点。</w:t>
      </w:r>
    </w:p>
    <w:p w14:paraId="645454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17.</w:t>
      </w:r>
      <w:r>
        <w:rPr>
          <w:rFonts w:hint="eastAsia" w:ascii="宋体" w:hAnsi="宋体" w:eastAsia="宋体" w:cs="Times New Roman"/>
          <w:szCs w:val="21"/>
          <w:highlight w:val="none"/>
        </w:rPr>
        <w:t>3 除</w:t>
      </w:r>
      <w:r>
        <w:rPr>
          <w:rFonts w:hint="eastAsia" w:ascii="宋体" w:hAnsi="宋体" w:eastAsia="宋体" w:cs="Times New Roman"/>
          <w:b/>
          <w:bCs/>
          <w:szCs w:val="21"/>
          <w:highlight w:val="none"/>
          <w:lang w:eastAsia="zh-CN"/>
        </w:rPr>
        <w:t>“供应商</w:t>
      </w:r>
      <w:r>
        <w:rPr>
          <w:rFonts w:hint="eastAsia" w:ascii="宋体" w:hAnsi="宋体" w:eastAsia="宋体" w:cs="Times New Roman"/>
          <w:b/>
          <w:bCs/>
          <w:szCs w:val="21"/>
          <w:highlight w:val="none"/>
        </w:rPr>
        <w:t>须知前附表</w:t>
      </w:r>
      <w:r>
        <w:rPr>
          <w:rFonts w:hint="eastAsia" w:ascii="宋体" w:hAnsi="宋体" w:eastAsia="宋体" w:cs="Times New Roman"/>
          <w:b/>
          <w:bCs/>
          <w:szCs w:val="21"/>
          <w:highlight w:val="none"/>
          <w:lang w:eastAsia="zh-CN"/>
        </w:rPr>
        <w:t>”</w:t>
      </w:r>
      <w:r>
        <w:rPr>
          <w:rFonts w:hint="eastAsia" w:ascii="宋体" w:hAnsi="宋体" w:eastAsia="宋体" w:cs="Times New Roman"/>
          <w:szCs w:val="21"/>
          <w:highlight w:val="none"/>
        </w:rPr>
        <w:t>另有规定外，</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所提交的</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不予退还。</w:t>
      </w:r>
    </w:p>
    <w:p w14:paraId="449B664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17.</w:t>
      </w:r>
      <w:r>
        <w:rPr>
          <w:rFonts w:hint="eastAsia" w:ascii="宋体" w:hAnsi="宋体" w:eastAsia="宋体" w:cs="Times New Roman"/>
          <w:szCs w:val="21"/>
          <w:highlight w:val="none"/>
        </w:rPr>
        <w:t>4在</w:t>
      </w:r>
      <w:r>
        <w:rPr>
          <w:rFonts w:hint="eastAsia" w:ascii="宋体" w:hAnsi="宋体" w:eastAsia="宋体" w:cs="Times New Roman"/>
          <w:szCs w:val="21"/>
          <w:highlight w:val="none"/>
          <w:lang w:eastAsia="zh-CN"/>
        </w:rPr>
        <w:t>提交响应文件截止日期</w:t>
      </w:r>
      <w:r>
        <w:rPr>
          <w:rFonts w:hint="eastAsia" w:ascii="宋体" w:hAnsi="宋体" w:eastAsia="宋体" w:cs="Times New Roman"/>
          <w:szCs w:val="21"/>
          <w:highlight w:val="none"/>
        </w:rPr>
        <w:t>前，</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可以撤回在网上已提交的</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，修改后重新上传，无须书面形式通知采购人。</w:t>
      </w:r>
    </w:p>
    <w:p w14:paraId="50DA900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17.</w:t>
      </w:r>
      <w:r>
        <w:rPr>
          <w:rFonts w:hint="eastAsia" w:ascii="宋体" w:hAnsi="宋体" w:eastAsia="宋体" w:cs="Times New Roman"/>
          <w:szCs w:val="21"/>
          <w:highlight w:val="none"/>
        </w:rPr>
        <w:t>5在</w:t>
      </w:r>
      <w:r>
        <w:rPr>
          <w:rFonts w:hint="eastAsia" w:ascii="宋体" w:hAnsi="宋体" w:eastAsia="宋体" w:cs="Times New Roman"/>
          <w:szCs w:val="21"/>
          <w:highlight w:val="none"/>
          <w:lang w:eastAsia="zh-CN"/>
        </w:rPr>
        <w:t>提交响应文件截止日期</w:t>
      </w:r>
      <w:r>
        <w:rPr>
          <w:rFonts w:hint="eastAsia" w:ascii="宋体" w:hAnsi="宋体" w:eastAsia="宋体" w:cs="Times New Roman"/>
          <w:szCs w:val="21"/>
          <w:highlight w:val="none"/>
        </w:rPr>
        <w:t>前，修改的</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应按照本章第</w:t>
      </w:r>
      <w:r>
        <w:rPr>
          <w:rFonts w:hint="eastAsia" w:ascii="宋体" w:hAnsi="宋体" w:eastAsia="宋体" w:cs="Times New Roman"/>
          <w:szCs w:val="21"/>
          <w:highlight w:val="none"/>
          <w:lang w:val="en-US" w:eastAsia="zh-CN"/>
        </w:rPr>
        <w:t>14</w:t>
      </w:r>
      <w:r>
        <w:rPr>
          <w:rFonts w:hint="eastAsia" w:ascii="宋体" w:hAnsi="宋体" w:eastAsia="宋体" w:cs="Times New Roman"/>
          <w:szCs w:val="21"/>
          <w:highlight w:val="none"/>
        </w:rPr>
        <w:t>款、第</w:t>
      </w:r>
      <w:r>
        <w:rPr>
          <w:rFonts w:hint="eastAsia" w:ascii="宋体" w:hAnsi="宋体" w:eastAsia="宋体" w:cs="Times New Roman"/>
          <w:szCs w:val="21"/>
          <w:highlight w:val="none"/>
          <w:lang w:val="en-US" w:eastAsia="zh-CN"/>
        </w:rPr>
        <w:t>16</w:t>
      </w:r>
      <w:r>
        <w:rPr>
          <w:rFonts w:hint="eastAsia" w:ascii="宋体" w:hAnsi="宋体" w:eastAsia="宋体" w:cs="Times New Roman"/>
          <w:szCs w:val="21"/>
          <w:highlight w:val="none"/>
        </w:rPr>
        <w:t>款的要求进行重新编制、加密和提交。</w:t>
      </w:r>
    </w:p>
    <w:p w14:paraId="67F23D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17.</w:t>
      </w:r>
      <w:r>
        <w:rPr>
          <w:rFonts w:hint="eastAsia" w:ascii="宋体" w:hAnsi="宋体" w:eastAsia="宋体" w:cs="Times New Roman"/>
          <w:szCs w:val="21"/>
          <w:highlight w:val="none"/>
        </w:rPr>
        <w:t>6在提交</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截止时间后提交的</w:t>
      </w:r>
      <w:r>
        <w:rPr>
          <w:rFonts w:hint="eastAsia" w:ascii="宋体" w:hAnsi="宋体" w:eastAsia="宋体" w:cs="Times New Roman"/>
          <w:szCs w:val="21"/>
          <w:highlight w:val="none"/>
          <w:lang w:eastAsia="zh-CN"/>
        </w:rPr>
        <w:t>响应文件</w:t>
      </w:r>
      <w:r>
        <w:rPr>
          <w:rFonts w:hint="eastAsia" w:ascii="宋体" w:hAnsi="宋体" w:eastAsia="宋体" w:cs="Times New Roman"/>
          <w:szCs w:val="21"/>
          <w:highlight w:val="none"/>
        </w:rPr>
        <w:t>不予撤回。</w:t>
      </w:r>
    </w:p>
    <w:p w14:paraId="6561C81D">
      <w:pPr>
        <w:pStyle w:val="3"/>
        <w:spacing w:line="360" w:lineRule="auto"/>
        <w:jc w:val="center"/>
        <w:rPr>
          <w:rFonts w:ascii="宋体" w:hAnsi="宋体" w:eastAsia="宋体"/>
          <w:sz w:val="21"/>
          <w:szCs w:val="21"/>
          <w:highlight w:val="none"/>
        </w:rPr>
      </w:pPr>
      <w:bookmarkStart w:id="174" w:name="_Toc25370"/>
      <w:r>
        <w:rPr>
          <w:rFonts w:ascii="宋体" w:hAnsi="宋体" w:eastAsia="宋体"/>
          <w:sz w:val="21"/>
          <w:szCs w:val="21"/>
          <w:highlight w:val="none"/>
        </w:rPr>
        <w:t>五、磋商</w:t>
      </w:r>
      <w:bookmarkEnd w:id="168"/>
      <w:bookmarkEnd w:id="169"/>
      <w:bookmarkEnd w:id="170"/>
      <w:bookmarkEnd w:id="171"/>
      <w:bookmarkEnd w:id="172"/>
      <w:bookmarkEnd w:id="173"/>
      <w:bookmarkEnd w:id="174"/>
    </w:p>
    <w:p w14:paraId="135E832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r>
        <w:rPr>
          <w:rFonts w:hint="eastAsia" w:ascii="宋体" w:hAnsi="宋体"/>
          <w:b/>
          <w:szCs w:val="21"/>
          <w:highlight w:val="none"/>
        </w:rPr>
        <w:t>18、</w:t>
      </w:r>
      <w:r>
        <w:rPr>
          <w:rFonts w:ascii="宋体" w:hAnsi="宋体"/>
          <w:b/>
          <w:szCs w:val="21"/>
          <w:highlight w:val="none"/>
        </w:rPr>
        <w:t>磋商</w:t>
      </w:r>
    </w:p>
    <w:p w14:paraId="454608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18.1</w:t>
      </w:r>
      <w:r>
        <w:rPr>
          <w:rFonts w:ascii="宋体" w:hAnsi="宋体"/>
          <w:szCs w:val="21"/>
          <w:highlight w:val="none"/>
        </w:rPr>
        <w:t>采购代理机构将在“</w:t>
      </w:r>
      <w:r>
        <w:rPr>
          <w:rFonts w:ascii="宋体" w:hAnsi="宋体"/>
          <w:b/>
          <w:szCs w:val="21"/>
          <w:highlight w:val="none"/>
        </w:rPr>
        <w:t>供应商须知前附表</w:t>
      </w:r>
      <w:r>
        <w:rPr>
          <w:rFonts w:ascii="宋体" w:hAnsi="宋体"/>
          <w:szCs w:val="21"/>
          <w:highlight w:val="none"/>
        </w:rPr>
        <w:t>”规定的时间和地点进行磋商，</w:t>
      </w:r>
      <w:r>
        <w:rPr>
          <w:rFonts w:hint="eastAsia"/>
          <w:highlight w:val="none"/>
        </w:rPr>
        <w:t>请各</w:t>
      </w:r>
      <w:r>
        <w:rPr>
          <w:rFonts w:hint="eastAsia"/>
          <w:highlight w:val="none"/>
          <w:lang w:val="en-US" w:eastAsia="zh-CN"/>
        </w:rPr>
        <w:t>供应商</w:t>
      </w:r>
      <w:r>
        <w:rPr>
          <w:rFonts w:hint="eastAsia"/>
          <w:highlight w:val="none"/>
        </w:rPr>
        <w:t>代表准时参加线上</w:t>
      </w:r>
      <w:r>
        <w:rPr>
          <w:rFonts w:hint="eastAsia"/>
          <w:highlight w:val="none"/>
          <w:lang w:val="en-US" w:eastAsia="zh-CN"/>
        </w:rPr>
        <w:t>磋商</w:t>
      </w:r>
      <w:r>
        <w:rPr>
          <w:rFonts w:ascii="宋体" w:hAnsi="宋体"/>
          <w:szCs w:val="21"/>
          <w:highlight w:val="none"/>
        </w:rPr>
        <w:t>。</w:t>
      </w:r>
    </w:p>
    <w:p w14:paraId="37FCC997">
      <w:pPr>
        <w:pStyle w:val="36"/>
        <w:spacing w:after="0" w:line="360" w:lineRule="auto"/>
        <w:ind w:firstLine="420" w:firstLineChars="200"/>
        <w:rPr>
          <w:rFonts w:hint="eastAsia" w:ascii="宋体" w:hAnsi="宋体" w:cs="宋体"/>
          <w:color w:val="auto"/>
          <w:szCs w:val="21"/>
          <w:highlight w:val="none"/>
          <w:lang w:val="zh-CN"/>
        </w:rPr>
      </w:pPr>
      <w:r>
        <w:rPr>
          <w:rFonts w:hint="eastAsia" w:ascii="宋体" w:hAnsi="宋体"/>
          <w:szCs w:val="21"/>
          <w:highlight w:val="none"/>
        </w:rPr>
        <w:t>18</w:t>
      </w:r>
      <w:r>
        <w:rPr>
          <w:rFonts w:ascii="宋体" w:hAnsi="宋体"/>
          <w:szCs w:val="21"/>
          <w:highlight w:val="none"/>
        </w:rPr>
        <w:t>.</w:t>
      </w:r>
      <w:r>
        <w:rPr>
          <w:rFonts w:hint="eastAsia" w:ascii="宋体" w:hAnsi="宋体"/>
          <w:szCs w:val="21"/>
          <w:highlight w:val="none"/>
        </w:rPr>
        <w:t>2</w:t>
      </w:r>
      <w:r>
        <w:rPr>
          <w:rFonts w:ascii="宋体" w:hAnsi="宋体"/>
          <w:szCs w:val="21"/>
          <w:highlight w:val="none"/>
        </w:rPr>
        <w:t xml:space="preserve"> </w:t>
      </w:r>
      <w:r>
        <w:rPr>
          <w:rFonts w:hint="eastAsia" w:ascii="宋体" w:hAnsi="宋体"/>
          <w:szCs w:val="21"/>
          <w:highlight w:val="none"/>
        </w:rPr>
        <w:t>磋商</w:t>
      </w:r>
      <w:r>
        <w:rPr>
          <w:rFonts w:ascii="宋体" w:hAnsi="宋体"/>
          <w:szCs w:val="21"/>
          <w:highlight w:val="none"/>
        </w:rPr>
        <w:t>由磋商小组负责。磋商小组由采购人的代表和</w:t>
      </w:r>
      <w:r>
        <w:rPr>
          <w:rFonts w:hint="eastAsia" w:ascii="宋体" w:hAnsi="宋体"/>
          <w:szCs w:val="21"/>
          <w:highlight w:val="none"/>
        </w:rPr>
        <w:t>有关技术、经济等方面的专家组成，成员人数应当为三人及以上单数。其中，技术、经济等方面的专家不得少于成员总数的三分之二。磋商应当推选组长，但采购人代表不得担任组长。</w:t>
      </w:r>
      <w:r>
        <w:rPr>
          <w:rFonts w:hint="eastAsia" w:ascii="宋体" w:hAnsi="宋体" w:cs="宋体"/>
          <w:color w:val="auto"/>
          <w:szCs w:val="21"/>
          <w:highlight w:val="none"/>
          <w:lang w:val="zh-CN"/>
        </w:rPr>
        <w:t>评审专家应当从政府采购评审专家库内相关专业的专家名单中随机抽取。</w:t>
      </w:r>
    </w:p>
    <w:p w14:paraId="33A297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采购人委派代表参加磋商会议的，要向采购代理机构出具授权函。除授权代表外，采购人可以委派纪检监察等相关人员进入磋商现场，对磋商工作实施监督，但不得超过2人。</w:t>
      </w:r>
    </w:p>
    <w:p w14:paraId="525925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18.3磋商</w:t>
      </w:r>
      <w:r>
        <w:rPr>
          <w:rFonts w:ascii="宋体" w:hAnsi="宋体"/>
          <w:szCs w:val="21"/>
          <w:highlight w:val="none"/>
        </w:rPr>
        <w:t>原则</w:t>
      </w:r>
    </w:p>
    <w:p w14:paraId="26B0F0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根据《中华人民共和国政府采购法》、《中华人民共和国政府采购法实施条例》及省、市有关规定，磋商小组成员按照客观、公正、谨慎的原则，根据磋商文件规定的评审程序、评审方法和评审标准进行独立评审。根据排名先后确定</w:t>
      </w:r>
      <w:r>
        <w:rPr>
          <w:rFonts w:hint="eastAsia" w:ascii="宋体" w:hAnsi="宋体"/>
          <w:szCs w:val="21"/>
          <w:highlight w:val="none"/>
          <w:lang w:eastAsia="zh-CN"/>
        </w:rPr>
        <w:t>成交候选人</w:t>
      </w:r>
      <w:r>
        <w:rPr>
          <w:rFonts w:ascii="宋体" w:hAnsi="宋体"/>
          <w:szCs w:val="21"/>
          <w:highlight w:val="none"/>
        </w:rPr>
        <w:t>。</w:t>
      </w:r>
    </w:p>
    <w:p w14:paraId="7BEA6F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1</w:t>
      </w:r>
      <w:r>
        <w:rPr>
          <w:rFonts w:hint="eastAsia" w:ascii="宋体" w:hAnsi="宋体"/>
          <w:szCs w:val="21"/>
          <w:highlight w:val="none"/>
        </w:rPr>
        <w:t>8</w:t>
      </w:r>
      <w:r>
        <w:rPr>
          <w:rFonts w:ascii="宋体" w:hAnsi="宋体"/>
          <w:szCs w:val="21"/>
          <w:highlight w:val="none"/>
        </w:rPr>
        <w:t>.</w:t>
      </w:r>
      <w:r>
        <w:rPr>
          <w:rFonts w:hint="eastAsia" w:ascii="宋体" w:hAnsi="宋体"/>
          <w:szCs w:val="21"/>
          <w:highlight w:val="none"/>
        </w:rPr>
        <w:t>4磋商程序和方法</w:t>
      </w:r>
    </w:p>
    <w:p w14:paraId="68F0666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ascii="宋体" w:hAnsi="宋体"/>
          <w:szCs w:val="21"/>
          <w:highlight w:val="none"/>
        </w:rPr>
        <w:t>磋</w:t>
      </w:r>
      <w:r>
        <w:rPr>
          <w:rFonts w:hint="eastAsia" w:ascii="宋体" w:hAnsi="宋体" w:eastAsia="宋体" w:cs="Times New Roman"/>
          <w:szCs w:val="21"/>
          <w:highlight w:val="none"/>
        </w:rPr>
        <w:t>商小组按照第六章“磋商程序和方法”规定的方法、因素、标准和程序进行磋商。</w:t>
      </w:r>
      <w:r>
        <w:rPr>
          <w:rFonts w:hint="eastAsia" w:ascii="宋体" w:hAnsi="宋体" w:eastAsia="宋体" w:cs="宋体"/>
          <w:sz w:val="21"/>
          <w:szCs w:val="21"/>
          <w:highlight w:val="none"/>
        </w:rPr>
        <w:t>磋商文件</w:t>
      </w:r>
      <w:r>
        <w:rPr>
          <w:rFonts w:hint="eastAsia" w:ascii="宋体" w:hAnsi="宋体" w:eastAsia="宋体" w:cs="宋体"/>
          <w:b/>
          <w:sz w:val="21"/>
          <w:szCs w:val="21"/>
          <w:highlight w:val="none"/>
          <w:u w:val="single"/>
        </w:rPr>
        <w:t>第六章“磋商程序和方法”前附表第</w:t>
      </w:r>
      <w:r>
        <w:rPr>
          <w:rFonts w:hint="eastAsia" w:ascii="宋体" w:hAnsi="宋体" w:eastAsia="宋体" w:cs="宋体"/>
          <w:b/>
          <w:sz w:val="21"/>
          <w:szCs w:val="21"/>
          <w:highlight w:val="none"/>
          <w:u w:val="single"/>
          <w:lang w:val="en-US" w:eastAsia="zh-CN"/>
        </w:rPr>
        <w:t>4.2.1</w:t>
      </w:r>
      <w:r>
        <w:rPr>
          <w:rFonts w:hint="eastAsia" w:ascii="宋体" w:hAnsi="宋体" w:eastAsia="宋体" w:cs="宋体"/>
          <w:b/>
          <w:sz w:val="21"/>
          <w:szCs w:val="21"/>
          <w:highlight w:val="none"/>
          <w:u w:val="single"/>
        </w:rPr>
        <w:t>款实质性要求为磋商文件的实质性内容，未实质性响应磋商文件的供应商的响应文件将按无效处理，该供应商不得再继续参加磋商</w:t>
      </w:r>
      <w:r>
        <w:rPr>
          <w:rFonts w:hint="eastAsia" w:ascii="宋体" w:hAnsi="宋体" w:eastAsia="宋体" w:cs="宋体"/>
          <w:sz w:val="21"/>
          <w:szCs w:val="21"/>
          <w:highlight w:val="none"/>
        </w:rPr>
        <w:t>。</w:t>
      </w:r>
    </w:p>
    <w:p w14:paraId="4B47A8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1</w:t>
      </w:r>
      <w:r>
        <w:rPr>
          <w:rFonts w:hint="eastAsia" w:ascii="宋体" w:hAnsi="宋体" w:eastAsia="宋体" w:cs="Times New Roman"/>
          <w:szCs w:val="21"/>
          <w:highlight w:val="none"/>
          <w:lang w:val="en-US" w:eastAsia="zh-CN"/>
        </w:rPr>
        <w:t>8</w:t>
      </w:r>
      <w:r>
        <w:rPr>
          <w:rFonts w:hint="eastAsia" w:ascii="宋体" w:hAnsi="宋体" w:eastAsia="宋体" w:cs="Times New Roman"/>
          <w:szCs w:val="21"/>
          <w:highlight w:val="none"/>
        </w:rPr>
        <w:t>.5 响应文件解密</w:t>
      </w:r>
    </w:p>
    <w:p w14:paraId="4F780A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（1）采购代理机构依托电子交易平台发起开始解密指令，供应商须使用加密时所用的 CA 锁按平台提示和磋商文件的规定登录到“政采云”平台电子开标大厅签到，并在系统规定时间内完成对电子响应文件在线解密；因响应文件未按时解密等供应商原因造成响应文件未解密的，视为撤销其响应文件；（2）解密时限为自发起解密指令之时起30分钟；发起解密指令之时起5分钟内供应商还未进行解密的，代理机构可通知供应商，供应商未预留联系方式或预留联系方式无效，导致代理机构无法联系到供应商，所产生的后果由供应商自行承担。（解密异常情况处理：详见本章 </w:t>
      </w:r>
      <w:r>
        <w:rPr>
          <w:rFonts w:hint="eastAsia" w:ascii="宋体" w:hAnsi="宋体" w:eastAsia="宋体" w:cs="Times New Roman"/>
          <w:szCs w:val="21"/>
          <w:highlight w:val="none"/>
          <w:lang w:val="en-US" w:eastAsia="zh-CN"/>
        </w:rPr>
        <w:t>18</w:t>
      </w:r>
      <w:r>
        <w:rPr>
          <w:rFonts w:hint="eastAsia" w:ascii="宋体" w:hAnsi="宋体" w:eastAsia="宋体" w:cs="Times New Roman"/>
          <w:szCs w:val="21"/>
          <w:highlight w:val="none"/>
        </w:rPr>
        <w:t>.6电子交易活动的中止。）如供应商成功解密响应文件，但未在“政采云”电子开标大厅参加磋商的，视同认可磋商过程和结果，由此产生的后果由供应商自行负责。</w:t>
      </w:r>
    </w:p>
    <w:p w14:paraId="3562E4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1</w:t>
      </w:r>
      <w:r>
        <w:rPr>
          <w:rFonts w:hint="eastAsia" w:ascii="宋体" w:hAnsi="宋体" w:eastAsia="宋体" w:cs="Times New Roman"/>
          <w:szCs w:val="21"/>
          <w:highlight w:val="none"/>
          <w:lang w:val="en-US" w:eastAsia="zh-CN"/>
        </w:rPr>
        <w:t>8</w:t>
      </w:r>
      <w:r>
        <w:rPr>
          <w:rFonts w:hint="eastAsia" w:ascii="宋体" w:hAnsi="宋体" w:eastAsia="宋体" w:cs="Times New Roman"/>
          <w:szCs w:val="21"/>
          <w:highlight w:val="none"/>
        </w:rPr>
        <w:t>.6 电子交易活动的中止。采购过程中出现以下情形，导致电子交易平台无法正常运行，或者无法保证电子交易的公平、公正和安全时，采购机构可中止电子交易活动：</w:t>
      </w:r>
    </w:p>
    <w:p w14:paraId="30BE03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（1）电子交易平台发生故障而无法登录访问的；</w:t>
      </w:r>
    </w:p>
    <w:p w14:paraId="525AA7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（2）电子交易平台应用或数据库出现错误，不能进行正常操作的；</w:t>
      </w:r>
    </w:p>
    <w:p w14:paraId="684530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（3）电子交易平台发现严重安全漏洞，有潜在泄密危险的；</w:t>
      </w:r>
    </w:p>
    <w:p w14:paraId="12E2629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（4）病毒发作导致不能进行正常操作的；</w:t>
      </w:r>
    </w:p>
    <w:p w14:paraId="79C2AE2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szCs w:val="21"/>
          <w:highlight w:val="none"/>
        </w:rPr>
        <w:t>（5）其他无法保证电子交易的公平、公正和安全的情况。</w:t>
      </w:r>
    </w:p>
    <w:p w14:paraId="6D49B0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highlight w:val="none"/>
        </w:rPr>
      </w:pPr>
      <w:r>
        <w:rPr>
          <w:rFonts w:hint="eastAsia" w:ascii="宋体" w:hAnsi="宋体" w:eastAsia="宋体" w:cs="宋体"/>
          <w:sz w:val="21"/>
          <w:highlight w:val="none"/>
        </w:rPr>
        <w:t>1</w:t>
      </w:r>
      <w:r>
        <w:rPr>
          <w:rFonts w:hint="eastAsia" w:ascii="宋体" w:hAnsi="宋体" w:eastAsia="宋体" w:cs="宋体"/>
          <w:sz w:val="21"/>
          <w:highlight w:val="none"/>
          <w:lang w:val="en-US" w:eastAsia="zh-CN"/>
        </w:rPr>
        <w:t>8</w:t>
      </w:r>
      <w:r>
        <w:rPr>
          <w:rFonts w:hint="eastAsia" w:ascii="宋体" w:hAnsi="宋体" w:eastAsia="宋体" w:cs="宋体"/>
          <w:sz w:val="21"/>
          <w:highlight w:val="none"/>
        </w:rPr>
        <w:t>.7 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14:paraId="625957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 xml:space="preserve">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1F05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329082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w:t>
      </w:r>
      <w:r>
        <w:rPr>
          <w:rFonts w:hint="eastAsia" w:ascii="宋体" w:hAnsi="宋体" w:eastAsia="宋体" w:cs="Times New Roman"/>
          <w:szCs w:val="21"/>
          <w:highlight w:val="none"/>
          <w:lang w:eastAsia="zh-CN"/>
        </w:rPr>
        <w:t>供应商未在规定时间按要求完成已加密响应文件上传、澄清说明或二次报价的，视为未进行响应、澄清说明或二次报价。</w:t>
      </w:r>
    </w:p>
    <w:p w14:paraId="30B9D3A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75" w:name="_Toc348011944"/>
      <w:bookmarkStart w:id="176" w:name="_Toc329810207"/>
      <w:bookmarkStart w:id="177" w:name="_Toc86124067"/>
      <w:r>
        <w:rPr>
          <w:rFonts w:hint="eastAsia" w:ascii="宋体" w:hAnsi="宋体"/>
          <w:b/>
          <w:szCs w:val="21"/>
          <w:highlight w:val="none"/>
        </w:rPr>
        <w:t>19、磋商</w:t>
      </w:r>
      <w:r>
        <w:rPr>
          <w:rFonts w:ascii="宋体" w:hAnsi="宋体"/>
          <w:b/>
          <w:szCs w:val="21"/>
          <w:highlight w:val="none"/>
        </w:rPr>
        <w:t>过程的保密</w:t>
      </w:r>
      <w:bookmarkEnd w:id="175"/>
      <w:bookmarkEnd w:id="176"/>
      <w:bookmarkEnd w:id="177"/>
    </w:p>
    <w:p w14:paraId="07264F04">
      <w:pPr>
        <w:pStyle w:val="36"/>
        <w:spacing w:after="0" w:line="360" w:lineRule="auto"/>
        <w:ind w:firstLine="420" w:firstLineChars="200"/>
        <w:rPr>
          <w:rFonts w:hint="eastAsia" w:ascii="宋体" w:hAnsi="宋体" w:cs="宋体"/>
          <w:color w:val="auto"/>
          <w:szCs w:val="21"/>
          <w:highlight w:val="none"/>
          <w:lang w:val="zh-CN"/>
        </w:rPr>
      </w:pPr>
      <w:r>
        <w:rPr>
          <w:rFonts w:hint="eastAsia" w:ascii="宋体" w:hAnsi="宋体"/>
          <w:szCs w:val="21"/>
          <w:highlight w:val="none"/>
        </w:rPr>
        <w:t>19.1在磋商中，磋商的任何一方不得透露与磋商有关的其他供应商的技术资料、价格和其他信息。</w:t>
      </w:r>
      <w:r>
        <w:rPr>
          <w:rFonts w:ascii="宋体" w:hAnsi="宋体"/>
          <w:szCs w:val="21"/>
          <w:highlight w:val="none"/>
        </w:rPr>
        <w:t>磋商开始后，直到授予供应商合同止，凡是属于审查、澄清、</w:t>
      </w:r>
      <w:r>
        <w:rPr>
          <w:rFonts w:hint="eastAsia" w:ascii="宋体" w:hAnsi="宋体"/>
          <w:szCs w:val="21"/>
          <w:highlight w:val="none"/>
        </w:rPr>
        <w:t>磋商</w:t>
      </w:r>
      <w:r>
        <w:rPr>
          <w:rFonts w:ascii="宋体" w:hAnsi="宋体"/>
          <w:szCs w:val="21"/>
          <w:highlight w:val="none"/>
        </w:rPr>
        <w:t>和比较的有关资料以及成交建议等均不向供应商或其他人员透露。</w:t>
      </w:r>
    </w:p>
    <w:p w14:paraId="2746026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20.出现下列情形之一的，将终止竞争性磋商采购活动，并发布项目终止公告并说明原因，重新开展采购活动：</w:t>
      </w:r>
    </w:p>
    <w:p w14:paraId="473E09F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（1）因情况变化，不再符合规定的竞争性磋商采购方式适用情形的；</w:t>
      </w:r>
    </w:p>
    <w:p w14:paraId="7089F1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（2）出现影响采购公正的违法、违规行为的；</w:t>
      </w:r>
    </w:p>
    <w:p w14:paraId="7989CF0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（3）在采购过程中符合竞争要求的供应商或者报价未超过采购预算的供应商不足3家的。</w:t>
      </w:r>
    </w:p>
    <w:p w14:paraId="4E6FEE41">
      <w:pPr>
        <w:pStyle w:val="3"/>
        <w:spacing w:line="360" w:lineRule="auto"/>
        <w:jc w:val="center"/>
        <w:rPr>
          <w:rFonts w:ascii="宋体" w:hAnsi="宋体" w:eastAsia="宋体"/>
          <w:sz w:val="21"/>
          <w:szCs w:val="21"/>
          <w:highlight w:val="none"/>
        </w:rPr>
      </w:pPr>
      <w:bookmarkStart w:id="178" w:name="_Toc9745"/>
      <w:bookmarkStart w:id="179" w:name="_Toc427339173"/>
      <w:bookmarkStart w:id="180" w:name="_Toc427306792"/>
      <w:bookmarkStart w:id="181" w:name="_Toc373844168"/>
      <w:bookmarkStart w:id="182" w:name="_Toc373844101"/>
      <w:bookmarkStart w:id="183" w:name="_Toc348011946"/>
      <w:bookmarkStart w:id="184" w:name="_Toc86124069"/>
      <w:r>
        <w:rPr>
          <w:rFonts w:ascii="宋体" w:hAnsi="宋体" w:eastAsia="宋体"/>
          <w:sz w:val="21"/>
          <w:szCs w:val="21"/>
          <w:highlight w:val="none"/>
        </w:rPr>
        <w:t>六、成交结果</w:t>
      </w:r>
      <w:bookmarkEnd w:id="178"/>
      <w:bookmarkEnd w:id="179"/>
      <w:bookmarkEnd w:id="180"/>
      <w:bookmarkEnd w:id="181"/>
      <w:bookmarkEnd w:id="182"/>
      <w:bookmarkEnd w:id="183"/>
      <w:bookmarkEnd w:id="184"/>
    </w:p>
    <w:p w14:paraId="4643A2A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85" w:name="_Toc86124070"/>
      <w:bookmarkStart w:id="186" w:name="_Toc348011947"/>
      <w:bookmarkStart w:id="187" w:name="_Toc329810210"/>
      <w:r>
        <w:rPr>
          <w:rFonts w:hint="eastAsia" w:ascii="宋体" w:hAnsi="宋体"/>
          <w:b/>
          <w:szCs w:val="21"/>
          <w:highlight w:val="none"/>
        </w:rPr>
        <w:t>21、</w:t>
      </w:r>
      <w:r>
        <w:rPr>
          <w:rFonts w:ascii="宋体" w:hAnsi="宋体"/>
          <w:b/>
          <w:szCs w:val="21"/>
          <w:highlight w:val="none"/>
        </w:rPr>
        <w:t>成交供应商的确定</w:t>
      </w:r>
      <w:bookmarkEnd w:id="185"/>
      <w:bookmarkEnd w:id="186"/>
      <w:bookmarkEnd w:id="187"/>
    </w:p>
    <w:p w14:paraId="31CB2D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21</w:t>
      </w:r>
      <w:r>
        <w:rPr>
          <w:rFonts w:ascii="宋体" w:hAnsi="宋体"/>
          <w:szCs w:val="21"/>
          <w:highlight w:val="none"/>
        </w:rPr>
        <w:t>.1 采购代理机构在</w:t>
      </w:r>
      <w:r>
        <w:rPr>
          <w:rFonts w:hint="eastAsia" w:ascii="宋体" w:hAnsi="宋体"/>
          <w:szCs w:val="21"/>
          <w:highlight w:val="none"/>
        </w:rPr>
        <w:t>磋商</w:t>
      </w:r>
      <w:r>
        <w:rPr>
          <w:rFonts w:ascii="宋体" w:hAnsi="宋体"/>
          <w:szCs w:val="21"/>
          <w:highlight w:val="none"/>
        </w:rPr>
        <w:t>结束后</w:t>
      </w:r>
      <w:r>
        <w:rPr>
          <w:rFonts w:hint="eastAsia" w:ascii="宋体" w:hAnsi="宋体"/>
          <w:szCs w:val="21"/>
          <w:highlight w:val="none"/>
        </w:rPr>
        <w:t>2</w:t>
      </w:r>
      <w:r>
        <w:rPr>
          <w:rFonts w:ascii="宋体" w:hAnsi="宋体"/>
          <w:szCs w:val="21"/>
          <w:highlight w:val="none"/>
        </w:rPr>
        <w:t>个工作日内将</w:t>
      </w:r>
      <w:r>
        <w:rPr>
          <w:rFonts w:hint="eastAsia" w:ascii="宋体" w:hAnsi="宋体"/>
          <w:szCs w:val="21"/>
          <w:highlight w:val="none"/>
        </w:rPr>
        <w:t>评审</w:t>
      </w:r>
      <w:r>
        <w:rPr>
          <w:rFonts w:ascii="宋体" w:hAnsi="宋体"/>
          <w:szCs w:val="21"/>
          <w:highlight w:val="none"/>
        </w:rPr>
        <w:t>报告送采购人确认。</w:t>
      </w:r>
    </w:p>
    <w:p w14:paraId="630A54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21</w:t>
      </w:r>
      <w:r>
        <w:rPr>
          <w:rFonts w:ascii="宋体" w:hAnsi="宋体"/>
          <w:szCs w:val="21"/>
          <w:highlight w:val="none"/>
        </w:rPr>
        <w:t>.2 采购人在收到</w:t>
      </w:r>
      <w:r>
        <w:rPr>
          <w:rFonts w:hint="eastAsia" w:ascii="宋体" w:hAnsi="宋体"/>
          <w:szCs w:val="21"/>
          <w:highlight w:val="none"/>
        </w:rPr>
        <w:t>评审</w:t>
      </w:r>
      <w:r>
        <w:rPr>
          <w:rFonts w:ascii="宋体" w:hAnsi="宋体"/>
          <w:szCs w:val="21"/>
          <w:highlight w:val="none"/>
        </w:rPr>
        <w:t>报告后</w:t>
      </w:r>
      <w:r>
        <w:rPr>
          <w:rFonts w:hint="eastAsia" w:ascii="宋体" w:hAnsi="宋体"/>
          <w:szCs w:val="21"/>
          <w:highlight w:val="none"/>
        </w:rPr>
        <w:t>5</w:t>
      </w:r>
      <w:r>
        <w:rPr>
          <w:rFonts w:ascii="宋体" w:hAnsi="宋体"/>
          <w:szCs w:val="21"/>
          <w:highlight w:val="none"/>
        </w:rPr>
        <w:t>个工作日内，</w:t>
      </w:r>
      <w:r>
        <w:rPr>
          <w:rFonts w:hint="eastAsia" w:ascii="宋体" w:hAnsi="宋体"/>
          <w:szCs w:val="21"/>
          <w:highlight w:val="none"/>
        </w:rPr>
        <w:t>从评审报告提出的</w:t>
      </w:r>
      <w:r>
        <w:rPr>
          <w:rFonts w:hint="eastAsia" w:ascii="宋体" w:hAnsi="宋体"/>
          <w:szCs w:val="21"/>
          <w:highlight w:val="none"/>
          <w:lang w:eastAsia="zh-CN"/>
        </w:rPr>
        <w:t>成交候选人</w:t>
      </w:r>
      <w:r>
        <w:rPr>
          <w:rFonts w:hint="eastAsia" w:ascii="宋体" w:hAnsi="宋体"/>
          <w:szCs w:val="21"/>
          <w:highlight w:val="none"/>
        </w:rPr>
        <w:t>中，按照排序由高到低的原则确定成交供应商</w:t>
      </w:r>
      <w:r>
        <w:rPr>
          <w:rFonts w:ascii="宋体" w:hAnsi="宋体"/>
          <w:szCs w:val="21"/>
          <w:highlight w:val="none"/>
        </w:rPr>
        <w:t>。</w:t>
      </w:r>
    </w:p>
    <w:p w14:paraId="44CCDD5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88" w:name="_Toc348011948"/>
      <w:bookmarkStart w:id="189" w:name="_Toc329810211"/>
      <w:r>
        <w:rPr>
          <w:rFonts w:hint="eastAsia" w:ascii="宋体" w:hAnsi="宋体"/>
          <w:b/>
          <w:szCs w:val="21"/>
          <w:highlight w:val="none"/>
        </w:rPr>
        <w:t>22、</w:t>
      </w:r>
      <w:r>
        <w:rPr>
          <w:rFonts w:ascii="宋体" w:hAnsi="宋体"/>
          <w:b/>
          <w:szCs w:val="21"/>
          <w:highlight w:val="none"/>
        </w:rPr>
        <w:t>成交通知书</w:t>
      </w:r>
      <w:bookmarkEnd w:id="188"/>
      <w:bookmarkEnd w:id="189"/>
    </w:p>
    <w:p w14:paraId="1CB2E5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2</w:t>
      </w:r>
      <w:r>
        <w:rPr>
          <w:rFonts w:hint="eastAsia" w:ascii="宋体" w:hAnsi="宋体"/>
          <w:szCs w:val="21"/>
          <w:highlight w:val="none"/>
        </w:rPr>
        <w:t>2</w:t>
      </w:r>
      <w:r>
        <w:rPr>
          <w:rFonts w:ascii="宋体" w:hAnsi="宋体"/>
          <w:szCs w:val="21"/>
          <w:highlight w:val="none"/>
        </w:rPr>
        <w:t xml:space="preserve">.1 </w:t>
      </w:r>
      <w:r>
        <w:rPr>
          <w:rFonts w:hint="eastAsia" w:ascii="宋体" w:hAnsi="宋体"/>
          <w:szCs w:val="21"/>
          <w:highlight w:val="none"/>
        </w:rPr>
        <w:t>采购代理机构应当自成交供应商确定之日起2个工作日内，发出成交通知书，并在省级以上人民政府财政部门指定的媒体上公告成交结果</w:t>
      </w:r>
      <w:r>
        <w:rPr>
          <w:rFonts w:ascii="宋体" w:hAnsi="宋体"/>
          <w:szCs w:val="21"/>
          <w:highlight w:val="none"/>
        </w:rPr>
        <w:t>。</w:t>
      </w:r>
    </w:p>
    <w:p w14:paraId="051A47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ascii="宋体" w:hAnsi="宋体"/>
          <w:szCs w:val="21"/>
          <w:highlight w:val="none"/>
        </w:rPr>
        <w:t>2</w:t>
      </w:r>
      <w:r>
        <w:rPr>
          <w:rFonts w:hint="eastAsia" w:ascii="宋体" w:hAnsi="宋体"/>
          <w:szCs w:val="21"/>
          <w:highlight w:val="none"/>
        </w:rPr>
        <w:t>2</w:t>
      </w:r>
      <w:r>
        <w:rPr>
          <w:rFonts w:ascii="宋体" w:hAnsi="宋体"/>
          <w:szCs w:val="21"/>
          <w:highlight w:val="none"/>
        </w:rPr>
        <w:t>.2 成交通知书是合同的一个组成部分。</w:t>
      </w:r>
    </w:p>
    <w:p w14:paraId="1CC92F08">
      <w:pPr>
        <w:snapToGrid w:val="0"/>
        <w:spacing w:line="360" w:lineRule="auto"/>
        <w:ind w:firstLine="420" w:firstLineChars="200"/>
        <w:jc w:val="left"/>
        <w:rPr>
          <w:rFonts w:ascii="宋体" w:hAnsi="宋体"/>
          <w:szCs w:val="21"/>
          <w:highlight w:val="none"/>
        </w:rPr>
      </w:pPr>
      <w:r>
        <w:rPr>
          <w:rFonts w:ascii="宋体" w:hAnsi="宋体"/>
          <w:szCs w:val="21"/>
          <w:highlight w:val="none"/>
        </w:rPr>
        <w:t>2</w:t>
      </w:r>
      <w:r>
        <w:rPr>
          <w:rFonts w:hint="eastAsia" w:ascii="宋体" w:hAnsi="宋体"/>
          <w:szCs w:val="21"/>
          <w:highlight w:val="none"/>
          <w:lang w:val="en-US" w:eastAsia="zh-CN"/>
        </w:rPr>
        <w:t>2</w:t>
      </w:r>
      <w:r>
        <w:rPr>
          <w:rFonts w:ascii="宋体" w:hAnsi="宋体"/>
          <w:szCs w:val="21"/>
          <w:highlight w:val="none"/>
        </w:rPr>
        <w:t>.3</w:t>
      </w:r>
      <w:r>
        <w:rPr>
          <w:rFonts w:hint="eastAsia" w:ascii="宋体" w:hAnsi="宋体"/>
          <w:szCs w:val="21"/>
          <w:highlight w:val="none"/>
        </w:rPr>
        <w:t>除不可抗力等因素外，成交通知书发出后，采购人改变成交结果，或者成交供应商拒绝签订政府采购合同的，应当承担相应的法律责任。</w:t>
      </w:r>
    </w:p>
    <w:p w14:paraId="5A0BEAC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hint="eastAsia" w:ascii="宋体" w:hAnsi="宋体"/>
          <w:szCs w:val="21"/>
          <w:highlight w:val="none"/>
        </w:rPr>
        <w:t>22.4未成交供应商对评审过程或结果有异议的，可依法向采购人、采购代理机构提出质疑；电子响应文件不予退回。</w:t>
      </w:r>
    </w:p>
    <w:p w14:paraId="587F248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190" w:name="_Toc348011949"/>
      <w:bookmarkStart w:id="191" w:name="_Toc86124072"/>
      <w:bookmarkStart w:id="192" w:name="_Toc329810212"/>
      <w:r>
        <w:rPr>
          <w:rFonts w:hint="eastAsia" w:ascii="宋体" w:hAnsi="宋体"/>
          <w:b/>
          <w:szCs w:val="21"/>
          <w:highlight w:val="none"/>
        </w:rPr>
        <w:t>23、</w:t>
      </w:r>
      <w:r>
        <w:rPr>
          <w:rFonts w:ascii="宋体" w:hAnsi="宋体"/>
          <w:b/>
          <w:szCs w:val="21"/>
          <w:highlight w:val="none"/>
        </w:rPr>
        <w:t>签订合同</w:t>
      </w:r>
      <w:bookmarkEnd w:id="190"/>
      <w:bookmarkEnd w:id="191"/>
      <w:bookmarkEnd w:id="192"/>
    </w:p>
    <w:p w14:paraId="3AEB46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23.1采购人与成交供应商应当在成交通知书发出之日起30日内</w:t>
      </w:r>
      <w:r>
        <w:rPr>
          <w:rFonts w:ascii="宋体" w:hAnsi="宋体"/>
          <w:szCs w:val="21"/>
          <w:highlight w:val="none"/>
        </w:rPr>
        <w:t>，</w:t>
      </w:r>
      <w:r>
        <w:rPr>
          <w:rFonts w:hint="eastAsia" w:ascii="宋体" w:hAnsi="宋体"/>
          <w:szCs w:val="21"/>
          <w:highlight w:val="none"/>
        </w:rPr>
        <w:t>按照</w:t>
      </w:r>
      <w:r>
        <w:rPr>
          <w:rFonts w:hint="eastAsia" w:ascii="宋体" w:hAnsi="宋体"/>
          <w:szCs w:val="21"/>
          <w:highlight w:val="none"/>
          <w:lang w:val="en-US" w:eastAsia="zh-CN"/>
        </w:rPr>
        <w:t>采购</w:t>
      </w:r>
      <w:r>
        <w:rPr>
          <w:rFonts w:hint="eastAsia" w:ascii="宋体" w:hAnsi="宋体"/>
          <w:szCs w:val="21"/>
          <w:highlight w:val="none"/>
        </w:rPr>
        <w:t>文件和</w:t>
      </w:r>
      <w:r>
        <w:rPr>
          <w:rFonts w:hint="eastAsia" w:ascii="宋体" w:hAnsi="宋体"/>
          <w:szCs w:val="21"/>
          <w:highlight w:val="none"/>
          <w:lang w:val="en-US" w:eastAsia="zh-CN"/>
        </w:rPr>
        <w:t>成交供应商响应</w:t>
      </w:r>
      <w:r>
        <w:rPr>
          <w:rFonts w:hint="eastAsia" w:ascii="宋体" w:hAnsi="宋体"/>
          <w:szCs w:val="21"/>
          <w:highlight w:val="none"/>
        </w:rPr>
        <w:t>文件的</w:t>
      </w:r>
      <w:r>
        <w:rPr>
          <w:rFonts w:hint="eastAsia" w:ascii="宋体" w:hAnsi="宋体"/>
          <w:szCs w:val="21"/>
          <w:highlight w:val="none"/>
          <w:lang w:val="en-US" w:eastAsia="zh-CN"/>
        </w:rPr>
        <w:t>约定事项</w:t>
      </w:r>
      <w:r>
        <w:rPr>
          <w:rFonts w:hint="eastAsia" w:ascii="宋体" w:hAnsi="宋体"/>
          <w:szCs w:val="21"/>
          <w:highlight w:val="none"/>
        </w:rPr>
        <w:t>签订政府采购合同。</w:t>
      </w:r>
    </w:p>
    <w:p w14:paraId="215AA3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23.2</w:t>
      </w:r>
      <w:r>
        <w:rPr>
          <w:rFonts w:ascii="宋体" w:hAnsi="宋体"/>
          <w:szCs w:val="21"/>
          <w:highlight w:val="none"/>
        </w:rPr>
        <w:t>成交供应商因不可抗力或者自身原因不能履行政府采购合同的，采购人可以与排位在成交供应商之后第一位的</w:t>
      </w:r>
      <w:r>
        <w:rPr>
          <w:rFonts w:hint="eastAsia" w:ascii="宋体" w:hAnsi="宋体"/>
          <w:szCs w:val="21"/>
          <w:highlight w:val="none"/>
          <w:lang w:eastAsia="zh-CN"/>
        </w:rPr>
        <w:t>成交候选人</w:t>
      </w:r>
      <w:r>
        <w:rPr>
          <w:rFonts w:hint="eastAsia" w:ascii="宋体" w:hAnsi="宋体"/>
          <w:szCs w:val="21"/>
          <w:highlight w:val="none"/>
        </w:rPr>
        <w:t>协商</w:t>
      </w:r>
      <w:r>
        <w:rPr>
          <w:rFonts w:ascii="宋体" w:hAnsi="宋体"/>
          <w:szCs w:val="21"/>
          <w:highlight w:val="none"/>
        </w:rPr>
        <w:t>签订政府采购合同，以此类推。</w:t>
      </w:r>
      <w:r>
        <w:rPr>
          <w:rFonts w:hint="eastAsia" w:ascii="宋体" w:hAnsi="宋体"/>
          <w:szCs w:val="21"/>
          <w:highlight w:val="none"/>
        </w:rPr>
        <w:t>也可以重新组织</w:t>
      </w:r>
      <w:r>
        <w:rPr>
          <w:rFonts w:hint="eastAsia" w:ascii="宋体" w:hAnsi="宋体"/>
          <w:szCs w:val="21"/>
          <w:highlight w:val="none"/>
          <w:lang w:val="en-US" w:eastAsia="zh-CN"/>
        </w:rPr>
        <w:t>采购活动</w:t>
      </w:r>
      <w:r>
        <w:rPr>
          <w:rFonts w:hint="eastAsia" w:ascii="宋体" w:hAnsi="宋体"/>
          <w:szCs w:val="21"/>
          <w:highlight w:val="none"/>
        </w:rPr>
        <w:t>。</w:t>
      </w:r>
    </w:p>
    <w:p w14:paraId="09179F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szCs w:val="21"/>
          <w:highlight w:val="none"/>
          <w:lang w:eastAsia="zh-CN"/>
        </w:rPr>
      </w:pPr>
      <w:r>
        <w:rPr>
          <w:rFonts w:hint="eastAsia" w:ascii="宋体" w:hAnsi="宋体"/>
          <w:szCs w:val="21"/>
          <w:highlight w:val="none"/>
        </w:rPr>
        <w:t>23.3政府采购合同履行中，采购人需追加与合同标的相同的工程的，在不改变合同其他条款的前提下，可以与供应商协商签订补充合同或工程签证，纳入最终审</w:t>
      </w:r>
      <w:r>
        <w:rPr>
          <w:rFonts w:hint="eastAsia" w:ascii="宋体" w:hAnsi="宋体"/>
          <w:szCs w:val="21"/>
          <w:highlight w:val="none"/>
          <w:lang w:val="en-US" w:eastAsia="zh-CN"/>
        </w:rPr>
        <w:t>核</w:t>
      </w:r>
      <w:r>
        <w:rPr>
          <w:rFonts w:hint="eastAsia" w:ascii="宋体" w:hAnsi="宋体"/>
          <w:szCs w:val="21"/>
          <w:highlight w:val="none"/>
        </w:rPr>
        <w:t>结算。但所有补充合同的采购金额不得超过原合同采购金额的百分之十</w:t>
      </w:r>
      <w:r>
        <w:rPr>
          <w:rFonts w:hint="eastAsia" w:ascii="宋体" w:hAnsi="宋体"/>
          <w:szCs w:val="21"/>
          <w:highlight w:val="none"/>
          <w:lang w:eastAsia="zh-CN"/>
        </w:rPr>
        <w:t>。</w:t>
      </w:r>
    </w:p>
    <w:p w14:paraId="5A5883E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b/>
          <w:szCs w:val="21"/>
          <w:highlight w:val="none"/>
          <w:lang w:eastAsia="zh-CN"/>
        </w:rPr>
      </w:pPr>
      <w:bookmarkStart w:id="193" w:name="_Toc86124073"/>
      <w:bookmarkStart w:id="194" w:name="_Toc329810213"/>
      <w:bookmarkStart w:id="195" w:name="_Toc348011950"/>
      <w:r>
        <w:rPr>
          <w:rFonts w:hint="eastAsia" w:ascii="宋体" w:hAnsi="宋体"/>
          <w:b/>
          <w:szCs w:val="21"/>
          <w:highlight w:val="none"/>
        </w:rPr>
        <w:t>24、</w:t>
      </w:r>
      <w:r>
        <w:rPr>
          <w:rFonts w:ascii="宋体" w:hAnsi="宋体"/>
          <w:b/>
          <w:szCs w:val="21"/>
          <w:highlight w:val="none"/>
        </w:rPr>
        <w:t>履约</w:t>
      </w:r>
      <w:bookmarkEnd w:id="193"/>
      <w:bookmarkEnd w:id="194"/>
      <w:bookmarkEnd w:id="195"/>
      <w:r>
        <w:rPr>
          <w:rFonts w:hint="eastAsia" w:ascii="宋体" w:hAnsi="宋体"/>
          <w:b/>
          <w:szCs w:val="21"/>
          <w:highlight w:val="none"/>
          <w:lang w:val="en-US" w:eastAsia="zh-CN"/>
        </w:rPr>
        <w:t>担保</w:t>
      </w:r>
    </w:p>
    <w:p w14:paraId="08A32E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bookmarkStart w:id="196" w:name="_Toc427339174"/>
      <w:bookmarkStart w:id="197" w:name="_Toc373844169"/>
      <w:bookmarkStart w:id="198" w:name="_Toc427306793"/>
      <w:bookmarkStart w:id="199" w:name="_Toc373844102"/>
      <w:bookmarkStart w:id="200" w:name="_Toc86124074"/>
      <w:bookmarkStart w:id="201" w:name="_Toc348011951"/>
      <w:r>
        <w:rPr>
          <w:rFonts w:hint="eastAsia" w:ascii="宋体" w:hAnsi="宋体" w:eastAsia="宋体" w:cs="Times New Roman"/>
          <w:szCs w:val="21"/>
          <w:highlight w:val="none"/>
          <w:lang w:val="en-US" w:eastAsia="zh-CN"/>
        </w:rPr>
        <w:t>24</w:t>
      </w:r>
      <w:r>
        <w:rPr>
          <w:rFonts w:hint="eastAsia" w:ascii="宋体" w:hAnsi="宋体" w:eastAsia="宋体" w:cs="Times New Roman"/>
          <w:szCs w:val="21"/>
          <w:highlight w:val="none"/>
        </w:rPr>
        <w:t>.1签订合同前，</w:t>
      </w:r>
      <w:r>
        <w:rPr>
          <w:rFonts w:hint="eastAsia" w:ascii="宋体" w:hAnsi="宋体" w:eastAsia="宋体" w:cs="Times New Roman"/>
          <w:szCs w:val="21"/>
          <w:highlight w:val="none"/>
          <w:lang w:val="en-US" w:eastAsia="zh-CN"/>
        </w:rPr>
        <w:t>成交供应商</w:t>
      </w:r>
      <w:r>
        <w:rPr>
          <w:rFonts w:hint="eastAsia" w:ascii="宋体" w:hAnsi="宋体" w:eastAsia="宋体" w:cs="Times New Roman"/>
          <w:szCs w:val="21"/>
          <w:highlight w:val="none"/>
        </w:rPr>
        <w:t>应按</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供应商</w:t>
      </w:r>
      <w:r>
        <w:rPr>
          <w:rFonts w:hint="eastAsia" w:ascii="宋体" w:hAnsi="宋体" w:eastAsia="宋体" w:cs="Times New Roman"/>
          <w:szCs w:val="21"/>
          <w:highlight w:val="none"/>
        </w:rPr>
        <w:t>须知前附表</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上确定的履约担保的金额及形式，向采购人提交履约担保，联合体</w:t>
      </w:r>
      <w:r>
        <w:rPr>
          <w:rFonts w:hint="eastAsia" w:ascii="宋体" w:hAnsi="宋体" w:eastAsia="宋体" w:cs="Times New Roman"/>
          <w:szCs w:val="21"/>
          <w:highlight w:val="none"/>
          <w:lang w:val="en-US" w:eastAsia="zh-CN"/>
        </w:rPr>
        <w:t>成交</w:t>
      </w:r>
      <w:r>
        <w:rPr>
          <w:rFonts w:hint="eastAsia" w:ascii="宋体" w:hAnsi="宋体" w:eastAsia="宋体" w:cs="Times New Roman"/>
          <w:szCs w:val="21"/>
          <w:highlight w:val="none"/>
        </w:rPr>
        <w:t>的，其履约担保由牵头人提交。否则，视为放弃</w:t>
      </w:r>
      <w:r>
        <w:rPr>
          <w:rFonts w:hint="eastAsia" w:ascii="宋体" w:hAnsi="宋体" w:eastAsia="宋体" w:cs="Times New Roman"/>
          <w:szCs w:val="21"/>
          <w:highlight w:val="none"/>
          <w:lang w:val="en-US" w:eastAsia="zh-CN"/>
        </w:rPr>
        <w:t>成交</w:t>
      </w:r>
      <w:r>
        <w:rPr>
          <w:rFonts w:hint="eastAsia" w:ascii="宋体" w:hAnsi="宋体" w:eastAsia="宋体" w:cs="Times New Roman"/>
          <w:szCs w:val="21"/>
          <w:highlight w:val="none"/>
        </w:rPr>
        <w:t>项目，</w:t>
      </w:r>
      <w:r>
        <w:rPr>
          <w:rFonts w:hint="eastAsia" w:ascii="宋体" w:hAnsi="宋体" w:eastAsia="宋体" w:cs="Times New Roman"/>
          <w:szCs w:val="21"/>
          <w:highlight w:val="none"/>
          <w:lang w:val="en-US" w:eastAsia="zh-CN"/>
        </w:rPr>
        <w:t>磋商</w:t>
      </w:r>
      <w:r>
        <w:rPr>
          <w:rFonts w:hint="eastAsia" w:ascii="宋体" w:hAnsi="宋体" w:eastAsia="宋体" w:cs="Times New Roman"/>
          <w:szCs w:val="21"/>
          <w:highlight w:val="none"/>
        </w:rPr>
        <w:t>保证金将不予退还。</w:t>
      </w:r>
    </w:p>
    <w:p w14:paraId="191A1DC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zCs w:val="21"/>
          <w:highlight w:val="none"/>
        </w:rPr>
      </w:pPr>
      <w:r>
        <w:rPr>
          <w:rFonts w:hint="eastAsia" w:ascii="宋体" w:hAnsi="宋体" w:eastAsia="宋体" w:cs="Times New Roman"/>
          <w:szCs w:val="21"/>
          <w:highlight w:val="none"/>
        </w:rPr>
        <w:t>24.2签订合同后，如成交供应商不按双方签订合同约定履约，则不予退还其全部履约保证金，履约保证金不足以赔偿损失的，按实际损失赔偿。</w:t>
      </w:r>
    </w:p>
    <w:p w14:paraId="0E2D7738">
      <w:pPr>
        <w:pStyle w:val="3"/>
        <w:keepNext/>
        <w:keepLines/>
        <w:pageBreakBefore w:val="0"/>
        <w:widowControl w:val="0"/>
        <w:kinsoku/>
        <w:wordWrap/>
        <w:overflowPunct/>
        <w:topLinePunct w:val="0"/>
        <w:autoSpaceDE/>
        <w:autoSpaceDN/>
        <w:bidi w:val="0"/>
        <w:adjustRightInd/>
        <w:snapToGrid/>
        <w:spacing w:before="220" w:line="360" w:lineRule="auto"/>
        <w:jc w:val="center"/>
        <w:textAlignment w:val="auto"/>
        <w:rPr>
          <w:rFonts w:ascii="宋体" w:hAnsi="宋体" w:eastAsia="宋体"/>
          <w:sz w:val="21"/>
          <w:szCs w:val="21"/>
          <w:highlight w:val="none"/>
        </w:rPr>
      </w:pPr>
      <w:bookmarkStart w:id="202" w:name="_Toc20602"/>
      <w:r>
        <w:rPr>
          <w:rFonts w:ascii="宋体" w:hAnsi="宋体" w:eastAsia="宋体"/>
          <w:sz w:val="21"/>
          <w:szCs w:val="21"/>
          <w:highlight w:val="none"/>
        </w:rPr>
        <w:t>七、其他事项</w:t>
      </w:r>
      <w:bookmarkEnd w:id="196"/>
      <w:bookmarkEnd w:id="197"/>
      <w:bookmarkEnd w:id="198"/>
      <w:bookmarkEnd w:id="199"/>
      <w:bookmarkEnd w:id="200"/>
      <w:bookmarkEnd w:id="201"/>
      <w:bookmarkEnd w:id="202"/>
    </w:p>
    <w:p w14:paraId="4905508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203" w:name="_Toc329810216"/>
      <w:bookmarkStart w:id="204" w:name="_Toc348011953"/>
      <w:bookmarkStart w:id="205" w:name="_Toc86124075"/>
      <w:r>
        <w:rPr>
          <w:rFonts w:hint="eastAsia" w:ascii="宋体" w:hAnsi="宋体"/>
          <w:b/>
          <w:szCs w:val="21"/>
          <w:highlight w:val="none"/>
        </w:rPr>
        <w:t>25、</w:t>
      </w:r>
      <w:r>
        <w:rPr>
          <w:rFonts w:ascii="宋体" w:hAnsi="宋体"/>
          <w:b/>
          <w:szCs w:val="21"/>
          <w:highlight w:val="none"/>
        </w:rPr>
        <w:t>采购代理服务费</w:t>
      </w:r>
      <w:bookmarkEnd w:id="203"/>
      <w:bookmarkEnd w:id="204"/>
      <w:bookmarkEnd w:id="205"/>
    </w:p>
    <w:p w14:paraId="68AD45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2</w:t>
      </w:r>
      <w:r>
        <w:rPr>
          <w:rFonts w:hint="eastAsia" w:ascii="宋体" w:hAnsi="宋体"/>
          <w:szCs w:val="21"/>
          <w:highlight w:val="none"/>
        </w:rPr>
        <w:t>5</w:t>
      </w:r>
      <w:r>
        <w:rPr>
          <w:rFonts w:ascii="宋体" w:hAnsi="宋体"/>
          <w:szCs w:val="21"/>
          <w:highlight w:val="none"/>
        </w:rPr>
        <w:t>.1采购代理服务费由采购代理机构向成交供应商收取，收取标准详见“</w:t>
      </w:r>
      <w:r>
        <w:rPr>
          <w:rFonts w:ascii="宋体" w:hAnsi="宋体"/>
          <w:b/>
          <w:szCs w:val="21"/>
          <w:highlight w:val="none"/>
        </w:rPr>
        <w:t>供应商须知前附表</w:t>
      </w:r>
      <w:r>
        <w:rPr>
          <w:rFonts w:ascii="宋体" w:hAnsi="宋体"/>
          <w:szCs w:val="21"/>
          <w:highlight w:val="none"/>
        </w:rPr>
        <w:t>”。</w:t>
      </w:r>
    </w:p>
    <w:p w14:paraId="28C00F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2</w:t>
      </w:r>
      <w:r>
        <w:rPr>
          <w:rFonts w:hint="eastAsia" w:ascii="宋体" w:hAnsi="宋体"/>
          <w:szCs w:val="21"/>
          <w:highlight w:val="none"/>
        </w:rPr>
        <w:t>5</w:t>
      </w:r>
      <w:r>
        <w:rPr>
          <w:rFonts w:ascii="宋体" w:hAnsi="宋体"/>
          <w:szCs w:val="21"/>
          <w:highlight w:val="none"/>
        </w:rPr>
        <w:t>.2成交供应商应</w:t>
      </w:r>
      <w:r>
        <w:rPr>
          <w:rFonts w:hint="eastAsia" w:ascii="宋体" w:hAnsi="宋体"/>
          <w:szCs w:val="21"/>
          <w:highlight w:val="none"/>
        </w:rPr>
        <w:t>在接受“</w:t>
      </w:r>
      <w:r>
        <w:rPr>
          <w:rFonts w:hint="eastAsia" w:ascii="宋体" w:hAnsi="宋体"/>
          <w:b/>
          <w:szCs w:val="21"/>
          <w:highlight w:val="none"/>
        </w:rPr>
        <w:t>成交通知书</w:t>
      </w:r>
      <w:r>
        <w:rPr>
          <w:rFonts w:hint="eastAsia" w:ascii="宋体" w:hAnsi="宋体"/>
          <w:szCs w:val="21"/>
          <w:highlight w:val="none"/>
        </w:rPr>
        <w:t>”时</w:t>
      </w:r>
      <w:r>
        <w:rPr>
          <w:rFonts w:ascii="宋体" w:hAnsi="宋体"/>
          <w:szCs w:val="21"/>
          <w:highlight w:val="none"/>
        </w:rPr>
        <w:t>向采购代理机构一次付清代理服务费。</w:t>
      </w:r>
    </w:p>
    <w:p w14:paraId="0B7842E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206" w:name="_Toc329810217"/>
      <w:bookmarkStart w:id="207" w:name="_Toc348011954"/>
      <w:r>
        <w:rPr>
          <w:rFonts w:hint="eastAsia" w:ascii="宋体" w:hAnsi="宋体"/>
          <w:b/>
          <w:szCs w:val="21"/>
          <w:highlight w:val="none"/>
        </w:rPr>
        <w:t>26、磋商文件编制依据</w:t>
      </w:r>
      <w:bookmarkEnd w:id="206"/>
      <w:bookmarkEnd w:id="207"/>
    </w:p>
    <w:p w14:paraId="24AEC9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highlight w:val="none"/>
        </w:rPr>
      </w:pPr>
      <w:r>
        <w:rPr>
          <w:rFonts w:ascii="宋体" w:hAnsi="宋体"/>
          <w:szCs w:val="21"/>
          <w:highlight w:val="none"/>
        </w:rPr>
        <w:t>本磋商文件是根据</w:t>
      </w:r>
      <w:r>
        <w:rPr>
          <w:rFonts w:hint="eastAsia" w:ascii="宋体" w:hAnsi="宋体"/>
          <w:szCs w:val="21"/>
          <w:highlight w:val="none"/>
        </w:rPr>
        <w:t>《中华人民共和国政府采购法》《中华人民共和国政府采购</w:t>
      </w:r>
      <w:r>
        <w:rPr>
          <w:rFonts w:hint="eastAsia" w:ascii="宋体" w:hAnsi="宋体"/>
          <w:szCs w:val="21"/>
          <w:highlight w:val="none"/>
          <w:lang w:val="en-US" w:eastAsia="zh-CN"/>
        </w:rPr>
        <w:t>法</w:t>
      </w:r>
      <w:r>
        <w:rPr>
          <w:rFonts w:hint="eastAsia" w:ascii="宋体" w:hAnsi="宋体"/>
          <w:szCs w:val="21"/>
          <w:highlight w:val="none"/>
        </w:rPr>
        <w:t>实施条例》《政府采购竞争性磋商采购方式管理暂行办法》及相关法律法规编制。</w:t>
      </w:r>
    </w:p>
    <w:p w14:paraId="18FE2A6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b/>
          <w:szCs w:val="21"/>
          <w:highlight w:val="none"/>
        </w:rPr>
      </w:pPr>
      <w:bookmarkStart w:id="208" w:name="_Toc86124077"/>
      <w:bookmarkStart w:id="209" w:name="_Toc348011955"/>
      <w:bookmarkStart w:id="210" w:name="_Toc329810218"/>
      <w:r>
        <w:rPr>
          <w:rFonts w:hint="eastAsia" w:ascii="宋体" w:hAnsi="宋体"/>
          <w:b/>
          <w:szCs w:val="21"/>
          <w:highlight w:val="none"/>
        </w:rPr>
        <w:t>27、</w:t>
      </w:r>
      <w:r>
        <w:rPr>
          <w:rFonts w:ascii="宋体" w:hAnsi="宋体"/>
          <w:b/>
          <w:szCs w:val="21"/>
          <w:highlight w:val="none"/>
        </w:rPr>
        <w:t>需要补充的其他内容</w:t>
      </w:r>
      <w:bookmarkEnd w:id="208"/>
      <w:bookmarkEnd w:id="209"/>
      <w:bookmarkEnd w:id="210"/>
    </w:p>
    <w:p w14:paraId="3FA983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rPr>
      </w:pPr>
      <w:r>
        <w:rPr>
          <w:rFonts w:hint="eastAsia" w:ascii="宋体" w:hAnsi="宋体"/>
          <w:szCs w:val="21"/>
          <w:highlight w:val="none"/>
        </w:rPr>
        <w:t>27.1备选方案按</w:t>
      </w:r>
      <w:r>
        <w:rPr>
          <w:rFonts w:ascii="宋体" w:hAnsi="宋体"/>
          <w:szCs w:val="21"/>
          <w:highlight w:val="none"/>
        </w:rPr>
        <w:t>“</w:t>
      </w:r>
      <w:r>
        <w:rPr>
          <w:rFonts w:ascii="宋体" w:hAnsi="宋体"/>
          <w:b/>
          <w:szCs w:val="21"/>
          <w:highlight w:val="none"/>
        </w:rPr>
        <w:t>供应商须知前附表</w:t>
      </w:r>
      <w:r>
        <w:rPr>
          <w:rFonts w:ascii="宋体" w:hAnsi="宋体"/>
          <w:szCs w:val="21"/>
          <w:highlight w:val="none"/>
        </w:rPr>
        <w:t>”</w:t>
      </w:r>
      <w:r>
        <w:rPr>
          <w:rFonts w:hint="eastAsia" w:ascii="宋体" w:hAnsi="宋体"/>
          <w:szCs w:val="21"/>
          <w:highlight w:val="none"/>
        </w:rPr>
        <w:t>的规定执行。</w:t>
      </w:r>
    </w:p>
    <w:p w14:paraId="5EE836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27.2需要补充的其他内容：见“</w:t>
      </w:r>
      <w:r>
        <w:rPr>
          <w:rFonts w:hint="eastAsia" w:ascii="宋体" w:hAnsi="宋体" w:eastAsia="宋体" w:cs="宋体"/>
          <w:b/>
          <w:szCs w:val="21"/>
          <w:highlight w:val="none"/>
        </w:rPr>
        <w:t>供应商须知前附表</w:t>
      </w:r>
      <w:r>
        <w:rPr>
          <w:rFonts w:hint="eastAsia" w:ascii="宋体" w:hAnsi="宋体" w:eastAsia="宋体" w:cs="宋体"/>
          <w:szCs w:val="21"/>
          <w:highlight w:val="none"/>
        </w:rPr>
        <w:t>”。</w:t>
      </w:r>
    </w:p>
    <w:p w14:paraId="38E37B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
          <w:szCs w:val="21"/>
          <w:highlight w:val="none"/>
        </w:rPr>
      </w:pPr>
      <w:r>
        <w:rPr>
          <w:rFonts w:hint="eastAsia" w:ascii="宋体" w:hAnsi="宋体" w:eastAsia="宋体" w:cs="宋体"/>
          <w:b w:val="0"/>
          <w:bCs w:val="0"/>
          <w:highlight w:val="none"/>
          <w:u w:val="none"/>
          <w:lang w:eastAsia="zh-CN"/>
        </w:rPr>
        <w:t>（</w:t>
      </w:r>
      <w:r>
        <w:rPr>
          <w:rFonts w:hint="eastAsia" w:ascii="宋体" w:hAnsi="宋体" w:eastAsia="宋体" w:cs="宋体"/>
          <w:b w:val="0"/>
          <w:bCs w:val="0"/>
          <w:highlight w:val="none"/>
          <w:u w:val="none"/>
          <w:lang w:val="en-US" w:eastAsia="zh-CN"/>
        </w:rPr>
        <w:t>1</w:t>
      </w:r>
      <w:r>
        <w:rPr>
          <w:rFonts w:hint="eastAsia" w:ascii="宋体" w:hAnsi="宋体" w:eastAsia="宋体" w:cs="宋体"/>
          <w:b w:val="0"/>
          <w:bCs w:val="0"/>
          <w:highlight w:val="none"/>
          <w:u w:val="none"/>
          <w:lang w:eastAsia="zh-CN"/>
        </w:rPr>
        <w:t>）</w:t>
      </w:r>
      <w:r>
        <w:rPr>
          <w:rFonts w:hint="eastAsia" w:ascii="宋体" w:hAnsi="宋体" w:eastAsia="宋体" w:cs="宋体"/>
          <w:b/>
          <w:bCs/>
          <w:highlight w:val="none"/>
          <w:u w:val="single"/>
        </w:rPr>
        <w:t>本项目不组织集中踏勘</w:t>
      </w:r>
      <w:r>
        <w:rPr>
          <w:rFonts w:hint="eastAsia" w:ascii="宋体" w:hAnsi="宋体" w:eastAsia="宋体" w:cs="宋体"/>
          <w:highlight w:val="none"/>
        </w:rPr>
        <w:t>，</w:t>
      </w:r>
      <w:r>
        <w:rPr>
          <w:rFonts w:hint="eastAsia" w:ascii="宋体" w:hAnsi="宋体"/>
          <w:color w:val="auto"/>
          <w:sz w:val="21"/>
          <w:szCs w:val="21"/>
          <w:highlight w:val="none"/>
        </w:rPr>
        <w:t>如供应商需要现场踏勘的，需先跟采购单位进行对接，按采购单位的相关要求，征得采购单位同意后进行踏勘， 踏勘现场所发生的费用及其一切风险由供应商自行承担。</w:t>
      </w:r>
      <w:r>
        <w:rPr>
          <w:rFonts w:hint="eastAsia" w:ascii="宋体" w:hAnsi="宋体" w:eastAsia="宋体" w:cs="宋体"/>
          <w:highlight w:val="none"/>
        </w:rPr>
        <w:t>供应商可自行对项目现场和周围环境进行踏勘以充分了解工地位置、情况、道路、储存</w:t>
      </w:r>
      <w:r>
        <w:rPr>
          <w:rFonts w:hint="eastAsia" w:hAnsi="宋体"/>
          <w:highlight w:val="none"/>
        </w:rPr>
        <w:t>空间、装卸限制、沟道限制等，工地周边原有建筑情况及任何其他足以影响报价的情况。因供应商自身原因未考虑到的价格风险，由供应商自行承担，合同结算时对该部分不做调整；任何因供应商忽视或误解工地情况而导致的索赔或工期延长申请将不被批准。</w:t>
      </w:r>
    </w:p>
    <w:p w14:paraId="46E71D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4"/>
          <w:highlight w:val="none"/>
        </w:rPr>
      </w:pPr>
      <w:r>
        <w:rPr>
          <w:rFonts w:hint="eastAsia" w:ascii="宋体" w:hAnsi="宋体" w:eastAsia="宋体" w:cs="宋体"/>
          <w:highlight w:val="none"/>
          <w:lang w:val="en-US" w:eastAsia="zh-CN"/>
        </w:rPr>
        <w:t>（2）</w:t>
      </w:r>
      <w:r>
        <w:rPr>
          <w:rFonts w:hint="eastAsia" w:ascii="宋体" w:hAnsi="宋体" w:eastAsia="宋体" w:cs="宋体"/>
          <w:highlight w:val="none"/>
          <w:lang w:eastAsia="zh-CN"/>
        </w:rPr>
        <w:t>“</w:t>
      </w:r>
      <w:r>
        <w:rPr>
          <w:rFonts w:hint="eastAsia" w:ascii="宋体" w:hAnsi="宋体" w:eastAsia="宋体" w:cs="宋体"/>
          <w:b/>
          <w:highlight w:val="none"/>
          <w:lang w:val="en-US" w:eastAsia="zh-CN"/>
        </w:rPr>
        <w:t>供</w:t>
      </w:r>
      <w:r>
        <w:rPr>
          <w:rFonts w:hint="eastAsia"/>
          <w:b/>
          <w:highlight w:val="none"/>
          <w:lang w:val="en-US" w:eastAsia="zh-CN"/>
        </w:rPr>
        <w:t>应商</w:t>
      </w:r>
      <w:r>
        <w:rPr>
          <w:b/>
          <w:highlight w:val="none"/>
        </w:rPr>
        <w:t>须知前附表</w:t>
      </w:r>
      <w:r>
        <w:rPr>
          <w:rFonts w:hint="eastAsia"/>
          <w:highlight w:val="none"/>
          <w:lang w:eastAsia="zh-CN"/>
        </w:rPr>
        <w:t>”</w:t>
      </w:r>
      <w:r>
        <w:rPr>
          <w:highlight w:val="none"/>
        </w:rPr>
        <w:t>规定允许分包的项目，</w:t>
      </w:r>
      <w:r>
        <w:rPr>
          <w:rFonts w:hint="eastAsia"/>
          <w:highlight w:val="none"/>
          <w:lang w:val="en-US" w:eastAsia="zh-CN"/>
        </w:rPr>
        <w:t>供应商</w:t>
      </w:r>
      <w:r>
        <w:rPr>
          <w:highlight w:val="none"/>
        </w:rPr>
        <w:t>在</w:t>
      </w:r>
      <w:r>
        <w:rPr>
          <w:rFonts w:hint="eastAsia"/>
          <w:highlight w:val="none"/>
          <w:lang w:val="en-US" w:eastAsia="zh-CN"/>
        </w:rPr>
        <w:t>成交</w:t>
      </w:r>
      <w:r>
        <w:rPr>
          <w:highlight w:val="none"/>
        </w:rPr>
        <w:t>后只能将项目的非主体、</w:t>
      </w:r>
      <w:r>
        <w:rPr>
          <w:color w:val="000000"/>
          <w:kern w:val="0"/>
          <w:highlight w:val="none"/>
        </w:rPr>
        <w:t>非关键性工作分包。</w:t>
      </w:r>
      <w:r>
        <w:rPr>
          <w:rFonts w:hint="eastAsia"/>
          <w:color w:val="000000"/>
          <w:kern w:val="0"/>
          <w:highlight w:val="none"/>
          <w:lang w:val="en-US" w:eastAsia="zh-CN"/>
        </w:rPr>
        <w:t>供应商</w:t>
      </w:r>
      <w:r>
        <w:rPr>
          <w:color w:val="000000"/>
          <w:kern w:val="0"/>
          <w:highlight w:val="none"/>
        </w:rPr>
        <w:t>应当在</w:t>
      </w:r>
      <w:r>
        <w:rPr>
          <w:rFonts w:hint="eastAsia"/>
          <w:color w:val="000000"/>
          <w:kern w:val="0"/>
          <w:highlight w:val="none"/>
          <w:lang w:val="en-US" w:eastAsia="zh-CN"/>
        </w:rPr>
        <w:t>响应</w:t>
      </w:r>
      <w:r>
        <w:rPr>
          <w:color w:val="000000"/>
          <w:kern w:val="0"/>
          <w:highlight w:val="none"/>
        </w:rPr>
        <w:t>文件中载明分包承</w:t>
      </w:r>
      <w:r>
        <w:rPr>
          <w:rFonts w:hint="eastAsia" w:ascii="宋体" w:hAnsi="宋体" w:eastAsia="宋体" w:cs="Times New Roman"/>
          <w:b w:val="0"/>
          <w:bCs/>
          <w:szCs w:val="21"/>
          <w:highlight w:val="none"/>
        </w:rPr>
        <w:t>担主体，分包</w:t>
      </w:r>
      <w:r>
        <w:rPr>
          <w:color w:val="000000"/>
          <w:kern w:val="0"/>
          <w:highlight w:val="none"/>
        </w:rPr>
        <w:t>承担主体应当具备相应资质条件且不得再次分包。</w:t>
      </w:r>
      <w:r>
        <w:rPr>
          <w:rFonts w:ascii="宋体" w:hAnsi="宋体"/>
          <w:sz w:val="24"/>
          <w:highlight w:val="none"/>
        </w:rPr>
        <w:br w:type="page"/>
      </w:r>
      <w:bookmarkStart w:id="211" w:name="_Toc427306794"/>
      <w:bookmarkStart w:id="212" w:name="_Toc427339175"/>
    </w:p>
    <w:p w14:paraId="5A1D6B9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4"/>
          <w:highlight w:val="none"/>
        </w:rPr>
      </w:pPr>
      <w:r>
        <w:rPr>
          <w:rFonts w:hint="eastAsia" w:ascii="宋体" w:hAnsi="宋体" w:eastAsia="宋体" w:cs="宋体"/>
          <w:highlight w:val="none"/>
          <w:lang w:val="en-US" w:eastAsia="zh-CN"/>
        </w:rPr>
        <w:t>（3）本项目允许分包的专业工程仅为电梯安装工程。供应商须在响应文件中明确电梯安装工程的实施方式：①拟自行实施的，须提供供应商自身的《中华人民共和国特种设备生产许可证》（许可项目含电梯安装（含修理））扫描件；②拟专业分包的，须按第四章格式</w:t>
      </w:r>
      <w:r>
        <w:rPr>
          <w:rFonts w:hint="eastAsia" w:ascii="宋体" w:hAnsi="宋体" w:cs="宋体"/>
          <w:highlight w:val="none"/>
          <w:lang w:val="en-US" w:eastAsia="zh-CN"/>
        </w:rPr>
        <w:t>要求</w:t>
      </w:r>
      <w:r>
        <w:rPr>
          <w:rFonts w:hint="eastAsia" w:ascii="宋体" w:hAnsi="宋体" w:eastAsia="宋体" w:cs="宋体"/>
          <w:highlight w:val="none"/>
          <w:lang w:val="en-US" w:eastAsia="zh-CN"/>
        </w:rPr>
        <w:t>载明分包单位名称、拟分包内容、分包单位资质，并附分包单位营业执照及《特种设备生产许可证》扫描件。未载明电梯安装实施方式，或其载明的实施单位不具备相应资质的，按未实质性响应磋商文件要求处理。连廊主体钢结构等主体结构、关键性工作不得分包，分包单位不得再次分包。</w:t>
      </w:r>
    </w:p>
    <w:p w14:paraId="00099FEF">
      <w:pPr>
        <w:keepNext w:val="0"/>
        <w:keepLines w:val="0"/>
        <w:pageBreakBefore w:val="0"/>
        <w:widowControl w:val="0"/>
        <w:kinsoku/>
        <w:wordWrap/>
        <w:overflowPunct/>
        <w:topLinePunct w:val="0"/>
        <w:autoSpaceDE/>
        <w:autoSpaceDN/>
        <w:bidi w:val="0"/>
        <w:adjustRightInd/>
        <w:snapToGrid/>
        <w:spacing w:line="360" w:lineRule="auto"/>
        <w:ind w:firstLine="723" w:firstLineChars="200"/>
        <w:jc w:val="center"/>
        <w:textAlignment w:val="auto"/>
        <w:outlineLvl w:val="0"/>
        <w:rPr>
          <w:rFonts w:hint="eastAsia" w:ascii="宋体" w:hAnsi="宋体" w:eastAsia="宋体" w:cs="Times New Roman"/>
          <w:b/>
          <w:bCs/>
          <w:color w:val="auto"/>
          <w:sz w:val="36"/>
          <w:highlight w:val="none"/>
        </w:rPr>
        <w:sectPr>
          <w:pgSz w:w="11906" w:h="16838"/>
          <w:pgMar w:top="1191" w:right="1191" w:bottom="1304" w:left="1304" w:header="851" w:footer="851" w:gutter="0"/>
          <w:pgNumType w:fmt="decimal"/>
          <w:cols w:space="720" w:num="1"/>
          <w:docGrid w:linePitch="312" w:charSpace="0"/>
        </w:sectPr>
      </w:pPr>
      <w:bookmarkStart w:id="213" w:name="_Toc6787"/>
    </w:p>
    <w:p w14:paraId="4A776AB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Times New Roman"/>
          <w:b/>
          <w:bCs/>
          <w:color w:val="auto"/>
          <w:sz w:val="36"/>
          <w:highlight w:val="none"/>
        </w:rPr>
      </w:pPr>
      <w:r>
        <w:rPr>
          <w:rFonts w:hint="eastAsia" w:ascii="宋体" w:hAnsi="宋体" w:eastAsia="宋体" w:cs="Times New Roman"/>
          <w:b/>
          <w:bCs/>
          <w:color w:val="auto"/>
          <w:sz w:val="36"/>
          <w:highlight w:val="none"/>
        </w:rPr>
        <w:t>第三章 合同书样式及主要条款</w:t>
      </w:r>
      <w:bookmarkEnd w:id="211"/>
      <w:bookmarkEnd w:id="212"/>
      <w:bookmarkEnd w:id="213"/>
    </w:p>
    <w:p w14:paraId="0B4DD6EA">
      <w:pPr>
        <w:tabs>
          <w:tab w:val="left" w:pos="1590"/>
          <w:tab w:val="left" w:pos="3409"/>
          <w:tab w:val="left" w:pos="4847"/>
          <w:tab w:val="left" w:pos="5711"/>
          <w:tab w:val="left" w:pos="7020"/>
          <w:tab w:val="left" w:pos="7891"/>
        </w:tabs>
        <w:spacing w:line="360" w:lineRule="auto"/>
        <w:rPr>
          <w:rFonts w:ascii="宋体" w:hAnsi="宋体"/>
          <w:highlight w:val="none"/>
        </w:rPr>
      </w:pPr>
    </w:p>
    <w:p w14:paraId="4E1CAA65">
      <w:pPr>
        <w:pStyle w:val="3"/>
        <w:spacing w:before="0" w:line="360" w:lineRule="auto"/>
        <w:jc w:val="center"/>
        <w:rPr>
          <w:highlight w:val="none"/>
        </w:rPr>
      </w:pPr>
      <w:bookmarkStart w:id="214" w:name="_Toc427306795"/>
      <w:bookmarkStart w:id="215" w:name="_Toc427339176"/>
      <w:bookmarkStart w:id="216" w:name="_Toc86124079"/>
      <w:bookmarkStart w:id="217" w:name="_Toc423522099"/>
      <w:bookmarkStart w:id="218" w:name="_Toc74918581"/>
      <w:bookmarkStart w:id="219" w:name="_Toc14093"/>
      <w:r>
        <w:rPr>
          <w:rFonts w:ascii="宋体" w:hAnsi="宋体" w:eastAsia="宋体"/>
          <w:szCs w:val="28"/>
          <w:highlight w:val="none"/>
        </w:rPr>
        <w:t>合同条款前附表</w:t>
      </w:r>
      <w:bookmarkEnd w:id="214"/>
      <w:bookmarkEnd w:id="215"/>
      <w:bookmarkEnd w:id="216"/>
      <w:bookmarkEnd w:id="217"/>
      <w:bookmarkEnd w:id="218"/>
      <w:bookmarkEnd w:id="219"/>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63B3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noWrap w:val="0"/>
            <w:vAlign w:val="center"/>
          </w:tcPr>
          <w:p w14:paraId="7D76DBCC">
            <w:pPr>
              <w:spacing w:line="360" w:lineRule="auto"/>
              <w:jc w:val="center"/>
              <w:rPr>
                <w:rFonts w:ascii="宋体" w:hAnsi="宋体"/>
                <w:b/>
                <w:color w:val="auto"/>
                <w:sz w:val="21"/>
                <w:szCs w:val="21"/>
                <w:highlight w:val="none"/>
              </w:rPr>
            </w:pPr>
            <w:r>
              <w:rPr>
                <w:rFonts w:ascii="宋体" w:hAnsi="宋体"/>
                <w:b/>
                <w:color w:val="auto"/>
                <w:sz w:val="21"/>
                <w:szCs w:val="21"/>
                <w:highlight w:val="none"/>
              </w:rPr>
              <w:t>序号</w:t>
            </w:r>
          </w:p>
        </w:tc>
        <w:tc>
          <w:tcPr>
            <w:tcW w:w="7819" w:type="dxa"/>
            <w:noWrap w:val="0"/>
            <w:vAlign w:val="center"/>
          </w:tcPr>
          <w:p w14:paraId="4BE9D5A4">
            <w:pPr>
              <w:spacing w:line="360" w:lineRule="auto"/>
              <w:jc w:val="center"/>
              <w:rPr>
                <w:rFonts w:ascii="宋体" w:hAnsi="宋体"/>
                <w:b/>
                <w:color w:val="auto"/>
                <w:sz w:val="21"/>
                <w:szCs w:val="21"/>
                <w:highlight w:val="none"/>
              </w:rPr>
            </w:pPr>
            <w:r>
              <w:rPr>
                <w:rFonts w:ascii="宋体" w:hAnsi="宋体"/>
                <w:b/>
                <w:color w:val="auto"/>
                <w:sz w:val="21"/>
                <w:szCs w:val="21"/>
                <w:highlight w:val="none"/>
              </w:rPr>
              <w:t>内容</w:t>
            </w:r>
          </w:p>
        </w:tc>
      </w:tr>
      <w:tr w14:paraId="48777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noWrap w:val="0"/>
            <w:vAlign w:val="center"/>
          </w:tcPr>
          <w:p w14:paraId="78484C68">
            <w:pPr>
              <w:spacing w:line="360" w:lineRule="auto"/>
              <w:jc w:val="center"/>
              <w:rPr>
                <w:rFonts w:ascii="宋体" w:hAnsi="宋体"/>
                <w:color w:val="auto"/>
                <w:sz w:val="21"/>
                <w:szCs w:val="21"/>
                <w:highlight w:val="none"/>
              </w:rPr>
            </w:pPr>
            <w:r>
              <w:rPr>
                <w:rFonts w:ascii="宋体" w:hAnsi="宋体"/>
                <w:color w:val="auto"/>
                <w:sz w:val="21"/>
                <w:szCs w:val="21"/>
                <w:highlight w:val="none"/>
              </w:rPr>
              <w:t>1</w:t>
            </w:r>
          </w:p>
        </w:tc>
        <w:tc>
          <w:tcPr>
            <w:tcW w:w="7819" w:type="dxa"/>
            <w:noWrap w:val="0"/>
            <w:vAlign w:val="center"/>
          </w:tcPr>
          <w:p w14:paraId="726FA9CD">
            <w:pPr>
              <w:spacing w:line="360" w:lineRule="auto"/>
              <w:rPr>
                <w:rFonts w:hint="eastAsia" w:ascii="宋体" w:hAnsi="宋体"/>
                <w:color w:val="auto"/>
                <w:sz w:val="21"/>
                <w:szCs w:val="21"/>
                <w:highlight w:val="none"/>
              </w:rPr>
            </w:pPr>
            <w:r>
              <w:rPr>
                <w:rFonts w:hint="eastAsia" w:hAnsi="宋体"/>
                <w:color w:val="auto"/>
                <w:sz w:val="21"/>
                <w:szCs w:val="21"/>
                <w:highlight w:val="none"/>
              </w:rPr>
              <w:t>工期及</w:t>
            </w:r>
            <w:r>
              <w:rPr>
                <w:rFonts w:hint="eastAsia" w:hAnsi="宋体"/>
                <w:color w:val="auto"/>
                <w:sz w:val="21"/>
                <w:szCs w:val="21"/>
                <w:highlight w:val="none"/>
                <w:lang w:eastAsia="zh-CN"/>
              </w:rPr>
              <w:t>工程地点</w:t>
            </w:r>
            <w:r>
              <w:rPr>
                <w:rFonts w:hint="eastAsia" w:hAnsi="宋体"/>
                <w:color w:val="auto"/>
                <w:sz w:val="21"/>
                <w:szCs w:val="21"/>
                <w:highlight w:val="none"/>
              </w:rPr>
              <w:t>：</w:t>
            </w:r>
          </w:p>
          <w:p w14:paraId="30122B8B">
            <w:pPr>
              <w:pStyle w:val="23"/>
              <w:spacing w:line="360" w:lineRule="auto"/>
              <w:rPr>
                <w:rFonts w:hint="eastAsia" w:hAnsi="宋体"/>
                <w:color w:val="auto"/>
                <w:sz w:val="21"/>
                <w:szCs w:val="21"/>
                <w:highlight w:val="none"/>
              </w:rPr>
            </w:pPr>
            <w:r>
              <w:rPr>
                <w:rFonts w:hint="eastAsia" w:hAnsi="宋体"/>
                <w:color w:val="auto"/>
                <w:sz w:val="21"/>
                <w:szCs w:val="21"/>
                <w:highlight w:val="none"/>
              </w:rPr>
              <w:t>工期：</w:t>
            </w:r>
            <w:r>
              <w:rPr>
                <w:rFonts w:hint="eastAsia"/>
                <w:color w:val="auto"/>
                <w:sz w:val="21"/>
                <w:szCs w:val="21"/>
                <w:highlight w:val="none"/>
                <w:lang w:eastAsia="zh-CN"/>
              </w:rPr>
              <w:t>计划工期120个日历天，具体开工时间以采购人实际下达的通知为准</w:t>
            </w:r>
            <w:r>
              <w:rPr>
                <w:rFonts w:hint="eastAsia" w:hAnsi="宋体"/>
                <w:color w:val="auto"/>
                <w:sz w:val="21"/>
                <w:szCs w:val="21"/>
                <w:highlight w:val="none"/>
              </w:rPr>
              <w:t>。</w:t>
            </w:r>
          </w:p>
          <w:p w14:paraId="5A322649">
            <w:pPr>
              <w:spacing w:line="360" w:lineRule="auto"/>
              <w:rPr>
                <w:rFonts w:hint="eastAsia" w:ascii="宋体" w:hAnsi="宋体"/>
                <w:color w:val="auto"/>
                <w:sz w:val="21"/>
                <w:szCs w:val="21"/>
                <w:highlight w:val="none"/>
              </w:rPr>
            </w:pPr>
            <w:r>
              <w:rPr>
                <w:rFonts w:hint="eastAsia" w:hAnsi="宋体"/>
                <w:color w:val="auto"/>
                <w:sz w:val="21"/>
                <w:szCs w:val="21"/>
                <w:highlight w:val="none"/>
                <w:lang w:eastAsia="zh-CN"/>
              </w:rPr>
              <w:t>工程地点</w:t>
            </w:r>
            <w:r>
              <w:rPr>
                <w:rFonts w:hint="eastAsia" w:hAnsi="宋体"/>
                <w:color w:val="auto"/>
                <w:sz w:val="21"/>
                <w:szCs w:val="21"/>
                <w:highlight w:val="none"/>
              </w:rPr>
              <w:t>：</w:t>
            </w:r>
            <w:r>
              <w:rPr>
                <w:rFonts w:hint="eastAsia" w:ascii="宋体" w:hAnsi="宋体" w:eastAsia="宋体" w:cs="Times New Roman"/>
                <w:color w:val="auto"/>
                <w:kern w:val="2"/>
                <w:sz w:val="21"/>
                <w:szCs w:val="21"/>
                <w:highlight w:val="none"/>
                <w:lang w:val="en-US" w:eastAsia="zh-CN" w:bidi="ar-SA"/>
              </w:rPr>
              <w:t>云南省保山第一中学，采购人指定地点。</w:t>
            </w:r>
          </w:p>
        </w:tc>
      </w:tr>
      <w:tr w14:paraId="3478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noWrap w:val="0"/>
            <w:vAlign w:val="center"/>
          </w:tcPr>
          <w:p w14:paraId="1DE3999F">
            <w:pPr>
              <w:spacing w:after="0" w:line="440" w:lineRule="exact"/>
              <w:jc w:val="center"/>
              <w:rPr>
                <w:rFonts w:ascii="宋体" w:hAnsi="宋体"/>
                <w:color w:val="auto"/>
                <w:sz w:val="21"/>
                <w:szCs w:val="21"/>
                <w:highlight w:val="none"/>
              </w:rPr>
            </w:pPr>
            <w:r>
              <w:rPr>
                <w:rFonts w:hint="eastAsia" w:ascii="宋体" w:hAnsi="宋体" w:eastAsia="宋体" w:cs="Times New Roman"/>
                <w:color w:val="auto"/>
                <w:sz w:val="21"/>
                <w:szCs w:val="21"/>
                <w:highlight w:val="none"/>
              </w:rPr>
              <w:t>2</w:t>
            </w:r>
          </w:p>
        </w:tc>
        <w:tc>
          <w:tcPr>
            <w:tcW w:w="7819" w:type="dxa"/>
            <w:noWrap w:val="0"/>
            <w:vAlign w:val="center"/>
          </w:tcPr>
          <w:p w14:paraId="75B34DE4">
            <w:pPr>
              <w:adjustRightInd w:val="0"/>
              <w:snapToGrid w:val="0"/>
              <w:spacing w:after="0" w:line="400" w:lineRule="exact"/>
              <w:jc w:val="both"/>
              <w:rPr>
                <w:rFonts w:hint="eastAsia" w:hAnsi="宋体"/>
                <w:color w:val="auto"/>
                <w:sz w:val="21"/>
                <w:szCs w:val="21"/>
                <w:highlight w:val="none"/>
                <w:lang w:eastAsia="zh-CN"/>
              </w:rPr>
            </w:pPr>
            <w:r>
              <w:rPr>
                <w:rFonts w:hint="eastAsia" w:ascii="宋体" w:hAnsi="宋体" w:eastAsia="宋体" w:cs="Times New Roman"/>
                <w:color w:val="auto"/>
                <w:sz w:val="21"/>
                <w:szCs w:val="21"/>
                <w:highlight w:val="none"/>
              </w:rPr>
              <w:t>质量要求：</w:t>
            </w:r>
            <w:r>
              <w:rPr>
                <w:rFonts w:hint="eastAsia" w:ascii="宋体" w:hAnsi="宋体"/>
                <w:color w:val="auto"/>
                <w:sz w:val="21"/>
                <w:szCs w:val="21"/>
                <w:highlight w:val="none"/>
                <w:lang w:eastAsia="zh-CN"/>
              </w:rPr>
              <w:t>符合现行国家及行业施工质量统一验收标准和规范要求，一次性验收合格</w:t>
            </w:r>
            <w:r>
              <w:rPr>
                <w:rFonts w:hint="eastAsia" w:ascii="宋体" w:hAnsi="宋体" w:eastAsia="宋体" w:cs="Times New Roman"/>
                <w:color w:val="auto"/>
                <w:sz w:val="21"/>
                <w:szCs w:val="21"/>
                <w:highlight w:val="none"/>
              </w:rPr>
              <w:t>。</w:t>
            </w:r>
          </w:p>
        </w:tc>
      </w:tr>
      <w:tr w14:paraId="3D7F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noWrap w:val="0"/>
            <w:vAlign w:val="center"/>
          </w:tcPr>
          <w:p w14:paraId="1ED94C34">
            <w:pPr>
              <w:spacing w:line="360" w:lineRule="auto"/>
              <w:jc w:val="center"/>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3</w:t>
            </w:r>
          </w:p>
        </w:tc>
        <w:tc>
          <w:tcPr>
            <w:tcW w:w="7819" w:type="dxa"/>
            <w:noWrap w:val="0"/>
            <w:vAlign w:val="center"/>
          </w:tcPr>
          <w:p w14:paraId="12686B29">
            <w:pPr>
              <w:spacing w:line="360" w:lineRule="auto"/>
              <w:rPr>
                <w:rFonts w:hAnsi="宋体"/>
                <w:color w:val="auto"/>
                <w:sz w:val="21"/>
                <w:szCs w:val="21"/>
                <w:highlight w:val="none"/>
              </w:rPr>
            </w:pPr>
            <w:r>
              <w:rPr>
                <w:rFonts w:hint="eastAsia" w:hAnsi="宋体"/>
                <w:color w:val="auto"/>
                <w:sz w:val="21"/>
                <w:szCs w:val="21"/>
                <w:highlight w:val="none"/>
              </w:rPr>
              <w:t>付款方式：</w:t>
            </w:r>
          </w:p>
          <w:p w14:paraId="7893063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 w:val="0"/>
                <w:bCs/>
                <w:color w:val="auto"/>
                <w:kern w:val="2"/>
                <w:sz w:val="21"/>
                <w:szCs w:val="21"/>
                <w:highlight w:val="none"/>
                <w:lang w:eastAsia="zh-CN"/>
              </w:rPr>
            </w:pPr>
            <w:r>
              <w:rPr>
                <w:rFonts w:hint="eastAsia" w:ascii="宋体" w:hAnsi="宋体" w:eastAsia="宋体" w:cs="宋体"/>
                <w:b w:val="0"/>
                <w:bCs/>
                <w:color w:val="auto"/>
                <w:kern w:val="2"/>
                <w:sz w:val="21"/>
                <w:szCs w:val="21"/>
                <w:highlight w:val="none"/>
                <w:lang w:eastAsia="zh-CN"/>
              </w:rPr>
              <w:t>预付款支付比例或金额：合同金额（扣除暂列金额）的</w:t>
            </w:r>
            <w:r>
              <w:rPr>
                <w:rFonts w:hint="eastAsia" w:ascii="宋体" w:hAnsi="宋体" w:eastAsia="宋体" w:cs="宋体"/>
                <w:b w:val="0"/>
                <w:bCs/>
                <w:color w:val="auto"/>
                <w:kern w:val="2"/>
                <w:sz w:val="21"/>
                <w:szCs w:val="21"/>
                <w:highlight w:val="none"/>
                <w:u w:val="single"/>
                <w:lang w:eastAsia="zh-CN"/>
              </w:rPr>
              <w:t xml:space="preserve"> 30%</w:t>
            </w:r>
            <w:r>
              <w:rPr>
                <w:rFonts w:hint="eastAsia" w:ascii="宋体" w:hAnsi="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eastAsia="zh-CN"/>
              </w:rPr>
              <w:t>。 预付款支付期限：在合同生效之日起</w:t>
            </w:r>
            <w:r>
              <w:rPr>
                <w:rFonts w:hint="eastAsia" w:ascii="宋体" w:hAnsi="宋体" w:eastAsia="宋体" w:cs="宋体"/>
                <w:b w:val="0"/>
                <w:bCs/>
                <w:color w:val="auto"/>
                <w:kern w:val="2"/>
                <w:sz w:val="21"/>
                <w:szCs w:val="21"/>
                <w:highlight w:val="none"/>
                <w:u w:val="single"/>
                <w:lang w:eastAsia="zh-CN"/>
              </w:rPr>
              <w:t xml:space="preserve"> 7 </w:t>
            </w:r>
            <w:r>
              <w:rPr>
                <w:rFonts w:hint="eastAsia" w:ascii="宋体" w:hAnsi="宋体" w:eastAsia="宋体" w:cs="宋体"/>
                <w:b w:val="0"/>
                <w:bCs/>
                <w:color w:val="auto"/>
                <w:kern w:val="2"/>
                <w:sz w:val="21"/>
                <w:szCs w:val="21"/>
                <w:highlight w:val="none"/>
                <w:lang w:eastAsia="zh-CN"/>
              </w:rPr>
              <w:t>个工作日内，办理合同金额（扣除暂列金额）的</w:t>
            </w:r>
            <w:r>
              <w:rPr>
                <w:rFonts w:hint="eastAsia" w:ascii="宋体" w:hAnsi="宋体" w:eastAsia="宋体" w:cs="宋体"/>
                <w:b w:val="0"/>
                <w:bCs/>
                <w:color w:val="auto"/>
                <w:kern w:val="2"/>
                <w:sz w:val="21"/>
                <w:szCs w:val="21"/>
                <w:highlight w:val="none"/>
                <w:u w:val="single"/>
                <w:lang w:eastAsia="zh-CN"/>
              </w:rPr>
              <w:t>30%</w:t>
            </w:r>
            <w:r>
              <w:rPr>
                <w:rFonts w:hint="eastAsia" w:ascii="宋体" w:hAnsi="宋体" w:eastAsia="宋体" w:cs="宋体"/>
                <w:b w:val="0"/>
                <w:bCs/>
                <w:color w:val="auto"/>
                <w:kern w:val="2"/>
                <w:sz w:val="21"/>
                <w:szCs w:val="21"/>
                <w:highlight w:val="none"/>
                <w:lang w:eastAsia="zh-CN"/>
              </w:rPr>
              <w:t>工程预付款支付手续。</w:t>
            </w:r>
          </w:p>
          <w:p w14:paraId="36EE553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 w:val="0"/>
                <w:bCs/>
                <w:color w:val="auto"/>
                <w:kern w:val="2"/>
                <w:sz w:val="21"/>
                <w:szCs w:val="21"/>
                <w:highlight w:val="none"/>
                <w:lang w:eastAsia="zh-CN"/>
              </w:rPr>
            </w:pPr>
            <w:r>
              <w:rPr>
                <w:rFonts w:hint="eastAsia" w:ascii="宋体" w:hAnsi="宋体" w:eastAsia="宋体" w:cs="宋体"/>
                <w:b w:val="0"/>
                <w:bCs/>
                <w:color w:val="auto"/>
                <w:kern w:val="2"/>
                <w:sz w:val="21"/>
                <w:szCs w:val="21"/>
                <w:highlight w:val="none"/>
                <w:lang w:eastAsia="zh-CN"/>
              </w:rPr>
              <w:t>预付款扣回的方式：在支付进度款时扣回。在进度款支付过程中，当经审核确定的累计应付金额达到签约合同价（扣除暂列金）的</w:t>
            </w:r>
            <w:r>
              <w:rPr>
                <w:rFonts w:hint="eastAsia" w:ascii="宋体" w:hAnsi="宋体" w:eastAsia="宋体" w:cs="宋体"/>
                <w:b w:val="0"/>
                <w:bCs/>
                <w:color w:val="auto"/>
                <w:kern w:val="2"/>
                <w:sz w:val="21"/>
                <w:szCs w:val="21"/>
                <w:highlight w:val="none"/>
                <w:u w:val="single"/>
                <w:lang w:eastAsia="zh-CN"/>
              </w:rPr>
              <w:t xml:space="preserve"> 20% </w:t>
            </w:r>
            <w:r>
              <w:rPr>
                <w:rFonts w:hint="eastAsia" w:ascii="宋体" w:hAnsi="宋体" w:eastAsia="宋体" w:cs="宋体"/>
                <w:b w:val="0"/>
                <w:bCs/>
                <w:color w:val="auto"/>
                <w:kern w:val="2"/>
                <w:sz w:val="21"/>
                <w:szCs w:val="21"/>
                <w:highlight w:val="none"/>
                <w:lang w:eastAsia="zh-CN"/>
              </w:rPr>
              <w:t>时，扣回预付款的</w:t>
            </w:r>
            <w:r>
              <w:rPr>
                <w:rFonts w:hint="eastAsia" w:ascii="宋体" w:hAnsi="宋体" w:eastAsia="宋体" w:cs="宋体"/>
                <w:b w:val="0"/>
                <w:bCs/>
                <w:color w:val="auto"/>
                <w:kern w:val="2"/>
                <w:sz w:val="21"/>
                <w:szCs w:val="21"/>
                <w:highlight w:val="none"/>
                <w:u w:val="single"/>
                <w:lang w:eastAsia="zh-CN"/>
              </w:rPr>
              <w:t xml:space="preserve"> 25%</w:t>
            </w:r>
            <w:r>
              <w:rPr>
                <w:rFonts w:hint="eastAsia" w:ascii="宋体" w:hAnsi="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eastAsia="zh-CN"/>
              </w:rPr>
              <w:t>，如当期进度款不足抵扣的，在后续进度款中优先全额抵</w:t>
            </w:r>
            <w:r>
              <w:rPr>
                <w:rFonts w:hint="eastAsia" w:ascii="宋体" w:hAnsi="宋体" w:eastAsia="宋体" w:cs="宋体"/>
                <w:b/>
                <w:bCs w:val="0"/>
                <w:color w:val="auto"/>
                <w:kern w:val="2"/>
                <w:sz w:val="21"/>
                <w:szCs w:val="21"/>
                <w:highlight w:val="none"/>
                <w:lang w:eastAsia="zh-CN"/>
              </w:rPr>
              <w:t>扣应扣预付款，直至扣完为止；当经审核确定的累计应付金额达到签约合同价</w:t>
            </w:r>
            <w:r>
              <w:rPr>
                <w:rFonts w:hint="eastAsia" w:ascii="宋体" w:hAnsi="宋体" w:eastAsia="宋体" w:cs="宋体"/>
                <w:b w:val="0"/>
                <w:bCs/>
                <w:color w:val="auto"/>
                <w:kern w:val="2"/>
                <w:sz w:val="21"/>
                <w:szCs w:val="21"/>
                <w:highlight w:val="none"/>
                <w:lang w:eastAsia="zh-CN"/>
              </w:rPr>
              <w:t>扣除暂列金）的 30% 时，扣回预付款的 25%，如当期进度款不足抵扣的，在后续进度款中优先全额抵扣应扣预付款，直至扣完为止；当经审核确定的累计应付金额达到签约合同价（扣除暂列金）的 40% 时，扣回预付款的 25%，如当期进度款不足抵扣的，在后续进度款中优先全额抵扣应扣预付款，直至扣完为止；当经审核确定的累计应付金额达到签约合同价（扣除暂列金）的 50% 时，扣回剩余全部预付款，如当期进度款不足抵扣的，在后续进度款中优先全额抵扣应扣预付款，直至扣完为止。</w:t>
            </w:r>
          </w:p>
          <w:p w14:paraId="140D548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
                <w:bCs w:val="0"/>
                <w:color w:val="auto"/>
                <w:kern w:val="2"/>
                <w:sz w:val="21"/>
                <w:szCs w:val="21"/>
                <w:highlight w:val="none"/>
                <w:lang w:eastAsia="zh-CN"/>
              </w:rPr>
            </w:pPr>
            <w:r>
              <w:rPr>
                <w:rFonts w:hint="eastAsia" w:ascii="宋体" w:hAnsi="宋体" w:eastAsia="宋体" w:cs="宋体"/>
                <w:b/>
                <w:bCs w:val="0"/>
                <w:color w:val="auto"/>
                <w:kern w:val="2"/>
                <w:sz w:val="21"/>
                <w:szCs w:val="21"/>
                <w:highlight w:val="none"/>
                <w:lang w:eastAsia="zh-CN"/>
              </w:rPr>
              <w:t>注：</w:t>
            </w:r>
            <w:r>
              <w:rPr>
                <w:rFonts w:hint="eastAsia" w:ascii="宋体" w:hAnsi="宋体" w:cs="宋体"/>
                <w:b/>
                <w:bCs w:val="0"/>
                <w:color w:val="auto"/>
                <w:kern w:val="2"/>
                <w:sz w:val="21"/>
                <w:szCs w:val="21"/>
                <w:highlight w:val="none"/>
                <w:lang w:val="en-US" w:eastAsia="zh-CN"/>
              </w:rPr>
              <w:t>1.</w:t>
            </w:r>
            <w:r>
              <w:rPr>
                <w:rFonts w:hint="eastAsia" w:ascii="宋体" w:hAnsi="宋体" w:eastAsia="宋体" w:cs="宋体"/>
                <w:b/>
                <w:bCs w:val="0"/>
                <w:color w:val="auto"/>
                <w:kern w:val="2"/>
                <w:sz w:val="21"/>
                <w:szCs w:val="21"/>
                <w:highlight w:val="none"/>
                <w:lang w:eastAsia="zh-CN"/>
              </w:rPr>
              <w:t>达到付款条件时，承包人应向发包人提供合法等额的增值税发票，若承包人未提供，发包人有权拒绝支付款项，并不承担任何违约责任。承包人保证提供的基本账户信息准确无误。如承包人提供的基本账户信息有问题导致付款出错由承包人对产生的后果负责。</w:t>
            </w:r>
          </w:p>
          <w:p w14:paraId="31D4339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
                <w:bCs w:val="0"/>
                <w:color w:val="auto"/>
                <w:kern w:val="2"/>
                <w:sz w:val="21"/>
                <w:szCs w:val="21"/>
                <w:highlight w:val="none"/>
                <w:lang w:eastAsia="zh-CN"/>
              </w:rPr>
            </w:pPr>
            <w:r>
              <w:rPr>
                <w:rFonts w:hint="eastAsia" w:ascii="宋体" w:hAnsi="宋体" w:cs="宋体"/>
                <w:b/>
                <w:bCs w:val="0"/>
                <w:color w:val="auto"/>
                <w:kern w:val="2"/>
                <w:sz w:val="21"/>
                <w:szCs w:val="21"/>
                <w:highlight w:val="none"/>
                <w:lang w:val="en-US" w:eastAsia="zh-CN"/>
              </w:rPr>
              <w:t>2.</w:t>
            </w:r>
            <w:r>
              <w:rPr>
                <w:rFonts w:hint="eastAsia" w:ascii="宋体" w:hAnsi="宋体" w:eastAsia="宋体" w:cs="宋体"/>
                <w:b/>
                <w:bCs w:val="0"/>
                <w:color w:val="auto"/>
                <w:kern w:val="2"/>
                <w:sz w:val="21"/>
                <w:szCs w:val="21"/>
                <w:highlight w:val="none"/>
                <w:lang w:eastAsia="zh-CN"/>
              </w:rPr>
              <w:t>本项目协议款为财政资金支付，若因财政支付审批程序或其他方面原因导致甲方不能按时支付的，乙方应予以谅解，因审批而延迟付款的，甲方不承担逾期付款责任，甲方逾期付款的乙方不得据此影响采购项目进度。</w:t>
            </w:r>
          </w:p>
        </w:tc>
      </w:tr>
      <w:tr w14:paraId="3B6C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noWrap w:val="0"/>
            <w:vAlign w:val="center"/>
          </w:tcPr>
          <w:p w14:paraId="2B171E92">
            <w:pPr>
              <w:spacing w:after="0" w:line="440" w:lineRule="exact"/>
              <w:jc w:val="center"/>
              <w:rPr>
                <w:rFonts w:hint="eastAsia" w:ascii="宋体" w:hAnsi="宋体"/>
                <w:color w:val="auto"/>
                <w:sz w:val="21"/>
                <w:szCs w:val="21"/>
                <w:highlight w:val="none"/>
                <w:lang w:val="en-US" w:eastAsia="zh-CN"/>
              </w:rPr>
            </w:pPr>
            <w:r>
              <w:rPr>
                <w:rFonts w:hint="eastAsia" w:ascii="宋体" w:hAnsi="宋体" w:eastAsia="宋体" w:cs="Times New Roman"/>
                <w:color w:val="auto"/>
                <w:sz w:val="21"/>
                <w:szCs w:val="21"/>
                <w:highlight w:val="none"/>
              </w:rPr>
              <w:t>4</w:t>
            </w:r>
          </w:p>
        </w:tc>
        <w:tc>
          <w:tcPr>
            <w:tcW w:w="7819" w:type="dxa"/>
            <w:noWrap w:val="0"/>
            <w:vAlign w:val="center"/>
          </w:tcPr>
          <w:p w14:paraId="04DFBD89">
            <w:pPr>
              <w:pStyle w:val="38"/>
              <w:keepNext w:val="0"/>
              <w:keepLines w:val="0"/>
              <w:pageBreakBefore w:val="0"/>
              <w:suppressLineNumbers w:val="0"/>
              <w:kinsoku/>
              <w:overflowPunct/>
              <w:topLinePunct w:val="0"/>
              <w:bidi w:val="0"/>
              <w:adjustRightInd w:val="0"/>
              <w:snapToGrid w:val="0"/>
              <w:spacing w:before="0" w:beforeAutospacing="0" w:after="0" w:afterAutospacing="0" w:line="360" w:lineRule="auto"/>
              <w:ind w:left="0" w:leftChars="0" w:right="0" w:rightChars="0" w:firstLine="0" w:firstLineChars="0"/>
              <w:jc w:val="both"/>
              <w:rPr>
                <w:rFonts w:hint="eastAsia" w:ascii="宋体" w:hAnsi="宋体" w:eastAsia="宋体" w:cs="宋体"/>
                <w:color w:val="auto"/>
                <w:sz w:val="21"/>
                <w:szCs w:val="21"/>
                <w:highlight w:val="none"/>
              </w:rPr>
            </w:pPr>
            <w:r>
              <w:rPr>
                <w:rFonts w:hint="eastAsia" w:ascii="宋体" w:hAnsi="宋体" w:eastAsia="宋体" w:cs="Times New Roman"/>
                <w:b/>
                <w:bCs/>
                <w:color w:val="auto"/>
                <w:sz w:val="21"/>
                <w:szCs w:val="21"/>
                <w:highlight w:val="none"/>
              </w:rPr>
              <w:t>履约保证金：</w:t>
            </w:r>
            <w:r>
              <w:rPr>
                <w:rFonts w:hint="eastAsia" w:ascii="宋体" w:hAnsi="宋体" w:eastAsia="宋体" w:cs="宋体"/>
                <w:color w:val="auto"/>
                <w:sz w:val="21"/>
                <w:szCs w:val="21"/>
                <w:highlight w:val="none"/>
                <w:lang w:val="en-US" w:eastAsia="zh-CN"/>
              </w:rPr>
              <w:t>本项目收取履约保证金。</w:t>
            </w:r>
          </w:p>
          <w:p w14:paraId="653D10B7">
            <w:pPr>
              <w:adjustRightInd w:val="0"/>
              <w:snapToGrid w:val="0"/>
              <w:spacing w:after="0" w:line="400" w:lineRule="exact"/>
              <w:jc w:val="both"/>
              <w:rPr>
                <w:rFonts w:hint="eastAsia" w:ascii="宋体" w:hAnsi="宋体" w:eastAsia="宋体" w:cs="Times New Roman"/>
                <w:color w:val="auto"/>
                <w:sz w:val="21"/>
                <w:szCs w:val="21"/>
                <w:highlight w:val="none"/>
                <w:lang w:eastAsia="zh-CN"/>
              </w:rPr>
            </w:pPr>
            <w:r>
              <w:rPr>
                <w:rFonts w:hint="eastAsia" w:ascii="宋体" w:hAnsi="宋体" w:eastAsia="宋体" w:cs="宋体"/>
                <w:color w:val="auto"/>
                <w:sz w:val="21"/>
                <w:szCs w:val="21"/>
                <w:highlight w:val="none"/>
              </w:rPr>
              <w:t>履约保证金金额为合同总金额的</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，形式为支票、汇票、本票或者金融机构、担保机构出具的保函等非现金形式提交。</w:t>
            </w:r>
          </w:p>
        </w:tc>
      </w:tr>
      <w:tr w14:paraId="66B11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jc w:val="center"/>
        </w:trPr>
        <w:tc>
          <w:tcPr>
            <w:tcW w:w="1122" w:type="dxa"/>
            <w:noWrap w:val="0"/>
            <w:vAlign w:val="center"/>
          </w:tcPr>
          <w:p w14:paraId="4A0FFE32">
            <w:pPr>
              <w:spacing w:after="0" w:line="440" w:lineRule="exact"/>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w:t>
            </w:r>
          </w:p>
        </w:tc>
        <w:tc>
          <w:tcPr>
            <w:tcW w:w="7819" w:type="dxa"/>
            <w:noWrap w:val="0"/>
            <w:vAlign w:val="center"/>
          </w:tcPr>
          <w:p w14:paraId="5CB79A78">
            <w:pPr>
              <w:adjustRightInd w:val="0"/>
              <w:snapToGrid w:val="0"/>
              <w:spacing w:after="0" w:line="400" w:lineRule="exact"/>
              <w:jc w:val="both"/>
              <w:rPr>
                <w:rFonts w:hint="eastAsia" w:ascii="宋体" w:hAnsi="宋体" w:eastAsia="宋体" w:cs="Times New Roman"/>
                <w:color w:val="auto"/>
                <w:sz w:val="21"/>
                <w:szCs w:val="21"/>
                <w:highlight w:val="none"/>
              </w:rPr>
            </w:pPr>
            <w:r>
              <w:rPr>
                <w:rFonts w:hint="eastAsia" w:ascii="宋体" w:hAnsi="宋体" w:eastAsia="宋体" w:cs="Times New Roman"/>
                <w:b/>
                <w:bCs/>
                <w:color w:val="auto"/>
                <w:sz w:val="21"/>
                <w:szCs w:val="21"/>
                <w:highlight w:val="none"/>
              </w:rPr>
              <w:t>保修期：</w:t>
            </w:r>
            <w:r>
              <w:rPr>
                <w:rFonts w:hint="eastAsia" w:ascii="宋体" w:hAnsi="宋体" w:eastAsia="宋体" w:cs="Times New Roman"/>
                <w:b w:val="0"/>
                <w:bCs w:val="0"/>
                <w:color w:val="auto"/>
                <w:sz w:val="21"/>
                <w:szCs w:val="21"/>
                <w:highlight w:val="none"/>
              </w:rPr>
              <w:t>满足《建设工程质量管理条例》</w:t>
            </w:r>
            <w:r>
              <w:rPr>
                <w:rFonts w:hint="eastAsia" w:ascii="宋体" w:hAnsi="宋体" w:eastAsia="宋体" w:cs="Times New Roman"/>
                <w:color w:val="auto"/>
                <w:sz w:val="21"/>
                <w:szCs w:val="21"/>
                <w:highlight w:val="none"/>
              </w:rPr>
              <w:t>。</w:t>
            </w:r>
          </w:p>
          <w:p w14:paraId="44728840">
            <w:pPr>
              <w:spacing w:after="0" w:line="400" w:lineRule="exact"/>
              <w:jc w:val="both"/>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缺陷责任期：</w:t>
            </w:r>
            <w:r>
              <w:rPr>
                <w:rFonts w:hint="eastAsia" w:ascii="宋体" w:hAnsi="宋体" w:eastAsia="宋体" w:cs="Times New Roman"/>
                <w:color w:val="auto"/>
                <w:sz w:val="21"/>
                <w:szCs w:val="21"/>
                <w:highlight w:val="none"/>
              </w:rPr>
              <w:t>工程缺陷责任期为</w:t>
            </w:r>
            <w:r>
              <w:rPr>
                <w:rFonts w:hint="eastAsia" w:ascii="宋体" w:hAnsi="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rPr>
              <w:t>个月，缺陷责任期自工程通过竣工验收之日起计算。</w:t>
            </w:r>
          </w:p>
        </w:tc>
      </w:tr>
      <w:tr w14:paraId="5099F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2" w:type="dxa"/>
            <w:noWrap w:val="0"/>
            <w:vAlign w:val="center"/>
          </w:tcPr>
          <w:p w14:paraId="7CBADB87">
            <w:pPr>
              <w:spacing w:after="0" w:line="440" w:lineRule="exact"/>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6</w:t>
            </w:r>
          </w:p>
        </w:tc>
        <w:tc>
          <w:tcPr>
            <w:tcW w:w="7819" w:type="dxa"/>
            <w:noWrap w:val="0"/>
            <w:vAlign w:val="center"/>
          </w:tcPr>
          <w:p w14:paraId="681F1D75">
            <w:pPr>
              <w:snapToGrid w:val="0"/>
              <w:spacing w:after="0" w:line="440" w:lineRule="exact"/>
              <w:jc w:val="both"/>
              <w:rPr>
                <w:rFonts w:hint="eastAsia" w:ascii="宋体" w:hAnsi="宋体" w:eastAsia="宋体" w:cs="Times New Roman"/>
                <w:b/>
                <w:bCs/>
                <w:color w:val="auto"/>
                <w:sz w:val="21"/>
                <w:szCs w:val="21"/>
                <w:highlight w:val="none"/>
              </w:rPr>
            </w:pPr>
            <w:r>
              <w:rPr>
                <w:rFonts w:hint="eastAsia" w:ascii="宋体" w:hAnsi="宋体" w:eastAsia="宋体" w:cs="Times New Roman"/>
                <w:color w:val="auto"/>
                <w:sz w:val="21"/>
                <w:szCs w:val="21"/>
                <w:highlight w:val="none"/>
              </w:rPr>
              <w:t>未尽事宜以合同签订时商定为准。</w:t>
            </w:r>
          </w:p>
        </w:tc>
      </w:tr>
    </w:tbl>
    <w:p w14:paraId="6CCE79FC">
      <w:pPr>
        <w:autoSpaceDE w:val="0"/>
        <w:autoSpaceDN w:val="0"/>
        <w:adjustRightInd w:val="0"/>
        <w:spacing w:line="360" w:lineRule="auto"/>
        <w:ind w:right="-72"/>
        <w:rPr>
          <w:rFonts w:hint="eastAsia" w:ascii="宋体" w:hAnsi="宋体"/>
          <w:highlight w:val="none"/>
        </w:rPr>
      </w:pPr>
      <w:r>
        <w:rPr>
          <w:rFonts w:hint="eastAsia" w:ascii="宋体" w:hAnsi="宋体" w:cs="宋体"/>
          <w:kern w:val="0"/>
          <w:szCs w:val="21"/>
          <w:highlight w:val="none"/>
        </w:rPr>
        <w:t xml:space="preserve">                                                                                                                                                                                                                                                                                                                                                                                                                                                                                                                                  </w:t>
      </w:r>
      <w:r>
        <w:rPr>
          <w:rFonts w:ascii="宋体" w:hAnsi="宋体"/>
          <w:highlight w:val="none"/>
        </w:rPr>
        <w:br w:type="page"/>
      </w:r>
    </w:p>
    <w:p w14:paraId="3F1B4A4F">
      <w:pPr>
        <w:spacing w:after="240" w:line="240" w:lineRule="auto"/>
        <w:jc w:val="center"/>
        <w:rPr>
          <w:rFonts w:ascii="Times New Roman" w:hAnsi="Times New Roman" w:eastAsia="宋体" w:cs="Times New Roman"/>
          <w:b/>
          <w:sz w:val="52"/>
          <w:highlight w:val="none"/>
        </w:rPr>
      </w:pPr>
      <w:bookmarkStart w:id="220" w:name="_Toc147601920"/>
      <w:bookmarkStart w:id="221" w:name="_Toc11651"/>
      <w:bookmarkStart w:id="222" w:name="_Toc145366249"/>
      <w:bookmarkStart w:id="223" w:name="_Toc14464"/>
      <w:bookmarkStart w:id="224" w:name="_Toc208348090"/>
      <w:bookmarkStart w:id="225" w:name="_Toc5801"/>
      <w:bookmarkStart w:id="226" w:name="_Toc208348179"/>
      <w:bookmarkStart w:id="227" w:name="_Toc11202"/>
      <w:bookmarkStart w:id="228" w:name="_Toc193723534"/>
      <w:bookmarkStart w:id="229" w:name="_Toc228812732"/>
      <w:bookmarkStart w:id="230" w:name="_Toc310941246"/>
    </w:p>
    <w:p w14:paraId="07881E65">
      <w:pPr>
        <w:spacing w:after="240" w:line="240" w:lineRule="auto"/>
        <w:jc w:val="center"/>
        <w:rPr>
          <w:rFonts w:ascii="Times New Roman" w:hAnsi="Times New Roman" w:eastAsia="宋体" w:cs="Times New Roman"/>
          <w:b/>
          <w:sz w:val="52"/>
          <w:highlight w:val="none"/>
        </w:rPr>
      </w:pPr>
    </w:p>
    <w:p w14:paraId="7753D185">
      <w:pPr>
        <w:spacing w:after="240" w:line="240" w:lineRule="auto"/>
        <w:jc w:val="center"/>
        <w:rPr>
          <w:rFonts w:ascii="Times New Roman" w:hAnsi="Times New Roman" w:eastAsia="宋体" w:cs="Times New Roman"/>
          <w:b/>
          <w:sz w:val="52"/>
          <w:highlight w:val="none"/>
        </w:rPr>
      </w:pPr>
    </w:p>
    <w:p w14:paraId="4A46AFAB">
      <w:pPr>
        <w:spacing w:after="240" w:line="240" w:lineRule="auto"/>
        <w:jc w:val="center"/>
        <w:rPr>
          <w:rFonts w:ascii="Times New Roman" w:hAnsi="Times New Roman" w:eastAsia="宋体" w:cs="Times New Roman"/>
          <w:b/>
          <w:sz w:val="52"/>
          <w:highlight w:val="none"/>
        </w:rPr>
      </w:pPr>
    </w:p>
    <w:p w14:paraId="41BC724B">
      <w:pPr>
        <w:keepNext w:val="0"/>
        <w:keepLines w:val="0"/>
        <w:pageBreakBefore w:val="0"/>
        <w:widowControl w:val="0"/>
        <w:kinsoku/>
        <w:wordWrap/>
        <w:overflowPunct/>
        <w:topLinePunct w:val="0"/>
        <w:autoSpaceDE/>
        <w:autoSpaceDN/>
        <w:bidi w:val="0"/>
        <w:adjustRightInd/>
        <w:snapToGrid/>
        <w:spacing w:after="240" w:line="240" w:lineRule="auto"/>
        <w:jc w:val="center"/>
        <w:textAlignment w:val="auto"/>
        <w:rPr>
          <w:rFonts w:ascii="Times New Roman" w:hAnsi="Times New Roman" w:eastAsia="宋体" w:cs="Times New Roman"/>
          <w:b/>
          <w:sz w:val="52"/>
          <w:highlight w:val="none"/>
        </w:rPr>
      </w:pPr>
      <w:r>
        <w:rPr>
          <w:rFonts w:ascii="Times New Roman" w:hAnsi="Times New Roman" w:eastAsia="宋体" w:cs="Times New Roman"/>
          <w:b/>
          <w:sz w:val="52"/>
          <w:highlight w:val="none"/>
        </w:rPr>
        <w:t>政府采购合同</w:t>
      </w:r>
    </w:p>
    <w:p w14:paraId="0737EC4B">
      <w:pPr>
        <w:tabs>
          <w:tab w:val="left" w:pos="750"/>
        </w:tabs>
        <w:spacing w:before="156" w:beforeLines="50" w:after="0" w:line="300" w:lineRule="auto"/>
        <w:ind w:left="2520" w:firstLine="480" w:firstLineChars="200"/>
        <w:jc w:val="center"/>
        <w:rPr>
          <w:rFonts w:ascii="宋体" w:hAnsi="Times New Roman" w:eastAsia="宋体" w:cs="Times New Roman"/>
          <w:sz w:val="24"/>
          <w:szCs w:val="20"/>
          <w:highlight w:val="none"/>
        </w:rPr>
      </w:pPr>
    </w:p>
    <w:p w14:paraId="4B71F33A">
      <w:pPr>
        <w:adjustRightInd w:val="0"/>
        <w:snapToGrid w:val="0"/>
        <w:spacing w:after="0" w:line="360" w:lineRule="auto"/>
        <w:jc w:val="both"/>
        <w:rPr>
          <w:rFonts w:ascii="Times New Roman" w:hAnsi="Times New Roman" w:eastAsia="宋体" w:cs="Times New Roman"/>
          <w:sz w:val="21"/>
          <w:szCs w:val="28"/>
          <w:highlight w:val="none"/>
        </w:rPr>
      </w:pPr>
    </w:p>
    <w:p w14:paraId="0F3039B7">
      <w:pPr>
        <w:adjustRightInd w:val="0"/>
        <w:snapToGrid w:val="0"/>
        <w:spacing w:after="0" w:line="360" w:lineRule="auto"/>
        <w:jc w:val="both"/>
        <w:rPr>
          <w:rFonts w:ascii="Times New Roman" w:hAnsi="Times New Roman" w:eastAsia="宋体" w:cs="Times New Roman"/>
          <w:sz w:val="21"/>
          <w:szCs w:val="28"/>
          <w:highlight w:val="none"/>
        </w:rPr>
      </w:pPr>
    </w:p>
    <w:p w14:paraId="17322C7D">
      <w:pPr>
        <w:adjustRightInd w:val="0"/>
        <w:snapToGrid w:val="0"/>
        <w:spacing w:after="0" w:line="360" w:lineRule="auto"/>
        <w:ind w:left="2520" w:leftChars="1200"/>
        <w:jc w:val="both"/>
        <w:rPr>
          <w:rFonts w:ascii="Times New Roman" w:hAnsi="Times New Roman" w:eastAsia="宋体" w:cs="Times New Roman"/>
          <w:sz w:val="24"/>
          <w:szCs w:val="36"/>
          <w:highlight w:val="none"/>
        </w:rPr>
      </w:pPr>
      <w:r>
        <w:rPr>
          <w:rFonts w:ascii="Times New Roman" w:hAnsi="Times New Roman" w:eastAsia="宋体" w:cs="Times New Roman"/>
          <w:sz w:val="24"/>
          <w:szCs w:val="36"/>
          <w:highlight w:val="none"/>
        </w:rPr>
        <w:t>项 目 名 称：</w:t>
      </w:r>
    </w:p>
    <w:p w14:paraId="7C1D2882">
      <w:pPr>
        <w:adjustRightInd w:val="0"/>
        <w:snapToGrid w:val="0"/>
        <w:spacing w:after="0" w:line="360" w:lineRule="auto"/>
        <w:ind w:left="2520" w:leftChars="1200"/>
        <w:jc w:val="both"/>
        <w:rPr>
          <w:rFonts w:ascii="Times New Roman" w:hAnsi="Times New Roman" w:eastAsia="宋体" w:cs="Times New Roman"/>
          <w:sz w:val="24"/>
          <w:szCs w:val="36"/>
          <w:highlight w:val="none"/>
        </w:rPr>
      </w:pPr>
      <w:r>
        <w:rPr>
          <w:rFonts w:hint="eastAsia" w:ascii="Times New Roman" w:hAnsi="Times New Roman" w:eastAsia="宋体" w:cs="Times New Roman"/>
          <w:sz w:val="24"/>
          <w:szCs w:val="36"/>
          <w:highlight w:val="none"/>
        </w:rPr>
        <w:t>合 同 编 号：（系统编号）</w:t>
      </w:r>
    </w:p>
    <w:p w14:paraId="1DC4F45F">
      <w:pPr>
        <w:adjustRightInd w:val="0"/>
        <w:snapToGrid w:val="0"/>
        <w:spacing w:after="0" w:line="360" w:lineRule="auto"/>
        <w:ind w:left="2520" w:leftChars="1200"/>
        <w:jc w:val="both"/>
        <w:rPr>
          <w:rFonts w:ascii="Times New Roman" w:hAnsi="Times New Roman" w:eastAsia="宋体" w:cs="Times New Roman"/>
          <w:sz w:val="24"/>
          <w:szCs w:val="36"/>
          <w:highlight w:val="none"/>
        </w:rPr>
      </w:pPr>
      <w:r>
        <w:rPr>
          <w:rFonts w:hint="eastAsia" w:ascii="Times New Roman" w:hAnsi="Times New Roman" w:eastAsia="宋体" w:cs="Times New Roman"/>
          <w:sz w:val="24"/>
          <w:szCs w:val="36"/>
          <w:highlight w:val="none"/>
        </w:rPr>
        <w:t>（自编号，如有）</w:t>
      </w:r>
    </w:p>
    <w:p w14:paraId="29DFE4D7">
      <w:pPr>
        <w:adjustRightInd w:val="0"/>
        <w:snapToGrid w:val="0"/>
        <w:spacing w:after="0" w:line="360" w:lineRule="auto"/>
        <w:ind w:left="2520" w:leftChars="1200"/>
        <w:jc w:val="both"/>
        <w:rPr>
          <w:rFonts w:ascii="Times New Roman" w:hAnsi="Times New Roman" w:eastAsia="宋体" w:cs="Times New Roman"/>
          <w:sz w:val="24"/>
          <w:szCs w:val="36"/>
          <w:highlight w:val="none"/>
        </w:rPr>
      </w:pPr>
      <w:r>
        <w:rPr>
          <w:rFonts w:hint="eastAsia" w:ascii="Times New Roman" w:hAnsi="Times New Roman" w:eastAsia="宋体" w:cs="Times New Roman"/>
          <w:sz w:val="24"/>
          <w:szCs w:val="36"/>
          <w:highlight w:val="none"/>
        </w:rPr>
        <w:t>甲 方：</w:t>
      </w:r>
    </w:p>
    <w:p w14:paraId="275E4BBA">
      <w:pPr>
        <w:adjustRightInd w:val="0"/>
        <w:snapToGrid w:val="0"/>
        <w:spacing w:after="0" w:line="360" w:lineRule="auto"/>
        <w:ind w:left="2520" w:leftChars="1200"/>
        <w:jc w:val="both"/>
        <w:rPr>
          <w:rFonts w:ascii="Times New Roman" w:hAnsi="Times New Roman" w:eastAsia="宋体" w:cs="Times New Roman"/>
          <w:sz w:val="24"/>
          <w:szCs w:val="36"/>
          <w:highlight w:val="none"/>
        </w:rPr>
      </w:pPr>
      <w:r>
        <w:rPr>
          <w:rFonts w:hint="eastAsia" w:ascii="Times New Roman" w:hAnsi="Times New Roman" w:eastAsia="宋体" w:cs="Times New Roman"/>
          <w:sz w:val="24"/>
          <w:szCs w:val="36"/>
          <w:highlight w:val="none"/>
        </w:rPr>
        <w:t>乙 方：</w:t>
      </w:r>
    </w:p>
    <w:p w14:paraId="3C3A73AD">
      <w:pPr>
        <w:spacing w:after="240" w:line="240" w:lineRule="auto"/>
        <w:jc w:val="both"/>
        <w:rPr>
          <w:rFonts w:hint="eastAsia" w:ascii="宋体" w:hAnsi="宋体" w:eastAsia="宋体" w:cs="Tahoma"/>
          <w:sz w:val="18"/>
          <w:szCs w:val="18"/>
          <w:highlight w:val="none"/>
        </w:rPr>
      </w:pPr>
      <w:r>
        <w:rPr>
          <w:rFonts w:ascii="宋体" w:hAnsi="宋体" w:eastAsia="宋体" w:cs="Times New Roman"/>
          <w:b/>
          <w:sz w:val="21"/>
          <w:highlight w:val="none"/>
        </w:rPr>
        <w:br w:type="page"/>
      </w:r>
    </w:p>
    <w:p w14:paraId="6623DEBC">
      <w:pPr>
        <w:spacing w:after="240" w:line="240" w:lineRule="auto"/>
        <w:jc w:val="both"/>
        <w:rPr>
          <w:rFonts w:hint="eastAsia" w:ascii="宋体" w:hAnsi="宋体" w:eastAsia="宋体" w:cs="Tahoma"/>
          <w:sz w:val="24"/>
          <w:highlight w:val="none"/>
        </w:rPr>
      </w:pPr>
    </w:p>
    <w:p w14:paraId="16EB89C6">
      <w:pPr>
        <w:spacing w:after="0" w:line="360" w:lineRule="auto"/>
        <w:ind w:left="1619" w:leftChars="771"/>
        <w:jc w:val="both"/>
        <w:rPr>
          <w:rFonts w:hint="eastAsia" w:ascii="宋体" w:hAnsi="宋体" w:eastAsia="宋体" w:cs="Tahoma"/>
          <w:sz w:val="24"/>
          <w:highlight w:val="none"/>
        </w:rPr>
      </w:pPr>
    </w:p>
    <w:p w14:paraId="778207C3">
      <w:pPr>
        <w:spacing w:after="0" w:line="360" w:lineRule="auto"/>
        <w:ind w:left="1619" w:leftChars="771"/>
        <w:jc w:val="both"/>
        <w:rPr>
          <w:rFonts w:hint="eastAsia" w:ascii="宋体" w:hAnsi="宋体" w:eastAsia="宋体" w:cs="Tahoma"/>
          <w:sz w:val="24"/>
          <w:highlight w:val="none"/>
        </w:rPr>
      </w:pPr>
    </w:p>
    <w:p w14:paraId="3777A058">
      <w:pPr>
        <w:spacing w:after="0" w:line="360" w:lineRule="auto"/>
        <w:ind w:left="1619" w:leftChars="771"/>
        <w:jc w:val="both"/>
        <w:rPr>
          <w:rFonts w:hint="eastAsia" w:ascii="宋体" w:hAnsi="宋体" w:eastAsia="宋体" w:cs="Tahoma"/>
          <w:sz w:val="24"/>
          <w:highlight w:val="none"/>
        </w:rPr>
      </w:pPr>
    </w:p>
    <w:p w14:paraId="27D4D09D">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 xml:space="preserve">甲方（采购人单位章）名    称： </w:t>
      </w:r>
    </w:p>
    <w:p w14:paraId="5CF5EACB">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 xml:space="preserve">地    址： </w:t>
      </w:r>
    </w:p>
    <w:p w14:paraId="0BD8DFAE">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邮    编：</w:t>
      </w:r>
    </w:p>
    <w:p w14:paraId="3DDCA446">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法定代表人或委托代理人：</w:t>
      </w:r>
    </w:p>
    <w:p w14:paraId="012D4AE7">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项目（技术）负责人：</w:t>
      </w:r>
    </w:p>
    <w:p w14:paraId="2496F753">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电    话：</w:t>
      </w:r>
    </w:p>
    <w:p w14:paraId="794197C9">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签订日期：</w:t>
      </w:r>
    </w:p>
    <w:p w14:paraId="071D89D7">
      <w:pPr>
        <w:spacing w:after="0" w:line="360" w:lineRule="auto"/>
        <w:ind w:left="1619" w:leftChars="771"/>
        <w:jc w:val="both"/>
        <w:rPr>
          <w:rFonts w:hint="eastAsia" w:ascii="宋体" w:hAnsi="宋体" w:eastAsia="宋体" w:cs="Tahoma"/>
          <w:sz w:val="24"/>
          <w:highlight w:val="none"/>
        </w:rPr>
      </w:pPr>
    </w:p>
    <w:p w14:paraId="623CA0C2">
      <w:pPr>
        <w:spacing w:after="0" w:line="360" w:lineRule="auto"/>
        <w:ind w:left="1619" w:leftChars="771"/>
        <w:jc w:val="both"/>
        <w:rPr>
          <w:rFonts w:hint="eastAsia" w:ascii="宋体" w:hAnsi="宋体" w:eastAsia="宋体" w:cs="Tahoma"/>
          <w:sz w:val="24"/>
          <w:highlight w:val="none"/>
        </w:rPr>
      </w:pPr>
    </w:p>
    <w:p w14:paraId="1B7D0C2B">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 xml:space="preserve">乙方（供应商单位章）名    称： </w:t>
      </w:r>
    </w:p>
    <w:p w14:paraId="6EAEB068">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地    址：</w:t>
      </w:r>
    </w:p>
    <w:p w14:paraId="390F8E8E">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邮    编：</w:t>
      </w:r>
    </w:p>
    <w:p w14:paraId="52C31680">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法定代表人或委托代理人：</w:t>
      </w:r>
    </w:p>
    <w:p w14:paraId="20E27DD6">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经办人：</w:t>
      </w:r>
    </w:p>
    <w:p w14:paraId="21B7E438">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电话：</w:t>
      </w:r>
    </w:p>
    <w:p w14:paraId="52D23A75">
      <w:pPr>
        <w:spacing w:after="0" w:line="360" w:lineRule="auto"/>
        <w:ind w:left="1619" w:leftChars="771"/>
        <w:jc w:val="both"/>
        <w:rPr>
          <w:rFonts w:hint="eastAsia" w:ascii="宋体" w:hAnsi="宋体" w:eastAsia="宋体" w:cs="Tahoma"/>
          <w:sz w:val="24"/>
          <w:highlight w:val="none"/>
        </w:rPr>
      </w:pPr>
      <w:r>
        <w:rPr>
          <w:rFonts w:hint="eastAsia" w:ascii="宋体" w:hAnsi="宋体" w:eastAsia="宋体" w:cs="Tahoma"/>
          <w:sz w:val="24"/>
          <w:highlight w:val="none"/>
        </w:rPr>
        <w:t>签订日期：</w:t>
      </w:r>
    </w:p>
    <w:p w14:paraId="0B86B4AD">
      <w:pPr>
        <w:spacing w:after="0" w:line="360" w:lineRule="auto"/>
        <w:ind w:left="1619" w:leftChars="771"/>
        <w:jc w:val="both"/>
        <w:rPr>
          <w:rFonts w:hint="eastAsia" w:ascii="宋体" w:hAnsi="宋体" w:eastAsia="宋体" w:cs="Tahoma"/>
          <w:sz w:val="24"/>
          <w:highlight w:val="none"/>
        </w:rPr>
      </w:pPr>
    </w:p>
    <w:p w14:paraId="7418BC44">
      <w:pPr>
        <w:spacing w:after="0" w:line="360" w:lineRule="auto"/>
        <w:ind w:left="1619" w:leftChars="771"/>
        <w:jc w:val="both"/>
        <w:rPr>
          <w:rFonts w:hint="eastAsia" w:ascii="宋体" w:hAnsi="宋体" w:eastAsia="宋体" w:cs="Tahoma"/>
          <w:sz w:val="24"/>
          <w:highlight w:val="none"/>
        </w:rPr>
      </w:pPr>
    </w:p>
    <w:p w14:paraId="79362A9E">
      <w:pPr>
        <w:widowControl/>
        <w:spacing w:after="0" w:line="240" w:lineRule="auto"/>
        <w:rPr>
          <w:rFonts w:hint="eastAsia" w:ascii="宋体" w:hAnsi="宋体" w:eastAsia="宋体" w:cs="Tahoma"/>
          <w:color w:val="000000"/>
          <w:sz w:val="24"/>
          <w:highlight w:val="none"/>
        </w:rPr>
      </w:pPr>
    </w:p>
    <w:p w14:paraId="15FE05E0">
      <w:pPr>
        <w:spacing w:before="0" w:line="360" w:lineRule="auto"/>
        <w:jc w:val="center"/>
        <w:outlineLvl w:val="9"/>
        <w:rPr>
          <w:rFonts w:hint="eastAsia" w:ascii="宋体" w:hAnsi="宋体" w:cs="仿宋"/>
          <w:b/>
          <w:bCs/>
          <w:sz w:val="22"/>
          <w:szCs w:val="18"/>
          <w:highlight w:val="none"/>
        </w:rPr>
      </w:pPr>
      <w:r>
        <w:rPr>
          <w:rFonts w:hint="eastAsia" w:ascii="宋体" w:hAnsi="宋体" w:eastAsia="宋体" w:cs="Tahoma"/>
          <w:color w:val="000000"/>
          <w:sz w:val="24"/>
          <w:highlight w:val="none"/>
        </w:rPr>
        <w:br w:type="page"/>
      </w:r>
      <w:r>
        <w:rPr>
          <w:rFonts w:hint="eastAsia" w:ascii="宋体" w:hAnsi="宋体" w:cs="仿宋"/>
          <w:b/>
          <w:bCs/>
          <w:sz w:val="22"/>
          <w:szCs w:val="18"/>
          <w:highlight w:val="none"/>
        </w:rPr>
        <w:t>（本合同格式仅供参考，具体由采购人及成交供应商最终商定，但不能改变竞争性磋商文件、响应文件实质性条件）</w:t>
      </w:r>
    </w:p>
    <w:p w14:paraId="112CE1AE">
      <w:pPr>
        <w:widowControl/>
        <w:spacing w:after="0" w:line="240" w:lineRule="auto"/>
        <w:rPr>
          <w:rFonts w:hint="eastAsia" w:ascii="宋体" w:hAnsi="宋体" w:eastAsia="宋体" w:cs="Tahoma"/>
          <w:color w:val="000000"/>
          <w:sz w:val="24"/>
          <w:highlight w:val="none"/>
        </w:rPr>
      </w:pPr>
    </w:p>
    <w:p w14:paraId="418352C8">
      <w:pPr>
        <w:spacing w:line="400" w:lineRule="exact"/>
        <w:jc w:val="center"/>
        <w:outlineLvl w:val="1"/>
        <w:rPr>
          <w:rFonts w:hint="eastAsia" w:ascii="宋体" w:hAnsi="宋体" w:cs="宋体"/>
          <w:b/>
          <w:bCs/>
          <w:color w:val="000000"/>
          <w:sz w:val="28"/>
          <w:szCs w:val="28"/>
          <w:highlight w:val="none"/>
        </w:rPr>
      </w:pPr>
      <w:bookmarkStart w:id="231" w:name="_Toc11817"/>
      <w:r>
        <w:rPr>
          <w:rFonts w:hint="eastAsia" w:ascii="宋体" w:hAnsi="宋体" w:cs="宋体"/>
          <w:b/>
          <w:bCs/>
          <w:color w:val="000000"/>
          <w:sz w:val="28"/>
          <w:szCs w:val="28"/>
          <w:highlight w:val="none"/>
        </w:rPr>
        <w:t>第一部分 合同协议书</w:t>
      </w:r>
      <w:bookmarkEnd w:id="220"/>
      <w:bookmarkEnd w:id="221"/>
      <w:bookmarkEnd w:id="222"/>
      <w:bookmarkEnd w:id="223"/>
      <w:bookmarkEnd w:id="224"/>
      <w:bookmarkEnd w:id="225"/>
      <w:bookmarkEnd w:id="226"/>
      <w:bookmarkEnd w:id="227"/>
      <w:bookmarkEnd w:id="228"/>
      <w:bookmarkEnd w:id="231"/>
    </w:p>
    <w:p w14:paraId="7D2E124F">
      <w:pPr>
        <w:adjustRightInd w:val="0"/>
        <w:snapToGrid w:val="0"/>
        <w:spacing w:line="360" w:lineRule="auto"/>
        <w:rPr>
          <w:rFonts w:hint="eastAsia" w:ascii="宋体" w:hAnsi="宋体" w:cs="宋体"/>
          <w:color w:val="000000"/>
          <w:szCs w:val="21"/>
          <w:highlight w:val="none"/>
        </w:rPr>
      </w:pPr>
    </w:p>
    <w:p w14:paraId="209DFF1A">
      <w:pPr>
        <w:spacing w:line="360" w:lineRule="auto"/>
        <w:rPr>
          <w:rFonts w:hint="eastAsia" w:ascii="宋体" w:hAnsi="宋体" w:eastAsia="宋体" w:cs="宋体"/>
          <w:b/>
          <w:color w:val="000000"/>
          <w:sz w:val="21"/>
          <w:szCs w:val="21"/>
          <w:highlight w:val="none"/>
          <w:u w:val="single"/>
        </w:rPr>
      </w:pPr>
      <w:bookmarkStart w:id="232" w:name="_Toc296503146"/>
      <w:bookmarkStart w:id="233" w:name="_Toc337558840"/>
      <w:bookmarkStart w:id="234" w:name="_Toc296346647"/>
      <w:bookmarkStart w:id="235" w:name="_Toc5683"/>
      <w:bookmarkStart w:id="236" w:name="_Toc983"/>
      <w:bookmarkStart w:id="237" w:name="_Toc145366251"/>
      <w:bookmarkStart w:id="238" w:name="_Toc21245"/>
      <w:bookmarkStart w:id="239" w:name="_Toc351203632"/>
      <w:bookmarkStart w:id="240" w:name="_Toc30907"/>
      <w:bookmarkStart w:id="241" w:name="_Toc147601922"/>
      <w:r>
        <w:rPr>
          <w:rFonts w:hint="eastAsia" w:ascii="宋体" w:hAnsi="宋体" w:eastAsia="宋体" w:cs="宋体"/>
          <w:b/>
          <w:color w:val="000000"/>
          <w:sz w:val="21"/>
          <w:szCs w:val="21"/>
          <w:highlight w:val="none"/>
        </w:rPr>
        <w:t>发包人（</w:t>
      </w:r>
      <w:r>
        <w:rPr>
          <w:rFonts w:hint="eastAsia" w:ascii="宋体" w:hAnsi="宋体" w:eastAsia="宋体" w:cs="宋体"/>
          <w:b/>
          <w:color w:val="000000"/>
          <w:sz w:val="21"/>
          <w:szCs w:val="21"/>
          <w:highlight w:val="none"/>
          <w:lang w:val="en-US" w:eastAsia="zh-CN"/>
        </w:rPr>
        <w:t>甲方</w:t>
      </w:r>
      <w:r>
        <w:rPr>
          <w:rFonts w:hint="eastAsia" w:ascii="宋体" w:hAnsi="宋体" w:eastAsia="宋体" w:cs="宋体"/>
          <w:b/>
          <w:color w:val="000000"/>
          <w:sz w:val="21"/>
          <w:szCs w:val="21"/>
          <w:highlight w:val="none"/>
        </w:rPr>
        <w:t>全称）：</w:t>
      </w:r>
      <w:r>
        <w:rPr>
          <w:rFonts w:hint="eastAsia" w:ascii="宋体" w:hAnsi="宋体" w:eastAsia="宋体" w:cs="宋体"/>
          <w:b/>
          <w:color w:val="000000"/>
          <w:sz w:val="21"/>
          <w:szCs w:val="21"/>
          <w:highlight w:val="none"/>
          <w:u w:val="single"/>
          <w:lang w:eastAsia="zh-CN"/>
        </w:rPr>
        <w:t>云南省保山第一中学</w:t>
      </w:r>
      <w:r>
        <w:rPr>
          <w:rFonts w:hint="eastAsia" w:ascii="宋体" w:hAnsi="宋体" w:eastAsia="宋体" w:cs="宋体"/>
          <w:b/>
          <w:color w:val="000000"/>
          <w:sz w:val="21"/>
          <w:szCs w:val="21"/>
          <w:highlight w:val="none"/>
        </w:rPr>
        <w:t>承包人（</w:t>
      </w:r>
      <w:r>
        <w:rPr>
          <w:rFonts w:hint="eastAsia" w:ascii="宋体" w:hAnsi="宋体" w:eastAsia="宋体" w:cs="宋体"/>
          <w:b/>
          <w:color w:val="000000"/>
          <w:sz w:val="21"/>
          <w:szCs w:val="21"/>
          <w:highlight w:val="none"/>
          <w:lang w:val="en-US" w:eastAsia="zh-CN"/>
        </w:rPr>
        <w:t>乙方</w:t>
      </w:r>
      <w:r>
        <w:rPr>
          <w:rFonts w:hint="eastAsia" w:ascii="宋体" w:hAnsi="宋体" w:eastAsia="宋体" w:cs="宋体"/>
          <w:b/>
          <w:color w:val="000000"/>
          <w:sz w:val="21"/>
          <w:szCs w:val="21"/>
          <w:highlight w:val="none"/>
        </w:rPr>
        <w:t>全称）：</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input659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p>
    <w:p w14:paraId="3E8B6E6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根据《中华人民共和国民法典》、《中华人民共和国建筑法》及有关法律规定，遵循平等、自愿、公平和诚实信用的原则，双方就</w:t>
      </w:r>
      <w:r>
        <w:rPr>
          <w:rFonts w:hint="eastAsia" w:ascii="宋体" w:hAnsi="宋体" w:cs="宋体"/>
          <w:b/>
          <w:color w:val="000000"/>
          <w:sz w:val="21"/>
          <w:szCs w:val="21"/>
          <w:highlight w:val="none"/>
          <w:u w:val="single"/>
          <w:lang w:eastAsia="zh-CN"/>
        </w:rPr>
        <w:t>云南省保山第一中学附属设施（连廊）建设项目（一期）</w:t>
      </w:r>
      <w:r>
        <w:rPr>
          <w:rFonts w:hint="eastAsia" w:ascii="宋体" w:hAnsi="宋体" w:eastAsia="宋体" w:cs="宋体"/>
          <w:color w:val="000000"/>
          <w:sz w:val="21"/>
          <w:szCs w:val="21"/>
          <w:highlight w:val="none"/>
        </w:rPr>
        <w:t>工程施工及有关事项协商一致，共同达成</w:t>
      </w:r>
      <w:r>
        <w:rPr>
          <w:rFonts w:hint="eastAsia" w:ascii="宋体" w:hAnsi="宋体" w:eastAsia="宋体" w:cs="宋体"/>
          <w:color w:val="auto"/>
          <w:sz w:val="21"/>
          <w:szCs w:val="21"/>
          <w:highlight w:val="none"/>
        </w:rPr>
        <w:t>如下协议：</w:t>
      </w:r>
    </w:p>
    <w:p w14:paraId="01B98199">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一、工程概况</w:t>
      </w:r>
    </w:p>
    <w:p w14:paraId="37ABE8D8">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cs="宋体"/>
          <w:b/>
          <w:color w:val="auto"/>
          <w:sz w:val="21"/>
          <w:szCs w:val="21"/>
          <w:highlight w:val="none"/>
          <w:u w:val="single"/>
          <w:lang w:eastAsia="zh-CN"/>
        </w:rPr>
        <w:t>云南省保山第一中学附属设施（连廊）建设项目（一期）</w:t>
      </w:r>
      <w:r>
        <w:rPr>
          <w:rFonts w:hint="eastAsia" w:ascii="宋体" w:hAnsi="宋体" w:eastAsia="宋体" w:cs="宋体"/>
          <w:color w:val="auto"/>
          <w:sz w:val="21"/>
          <w:szCs w:val="21"/>
          <w:highlight w:val="none"/>
        </w:rPr>
        <w:t>。</w:t>
      </w:r>
    </w:p>
    <w:p w14:paraId="4CC24593">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2.工程地点：</w:t>
      </w:r>
      <w:r>
        <w:rPr>
          <w:rFonts w:hint="eastAsia" w:ascii="宋体" w:hAnsi="宋体" w:eastAsia="宋体" w:cs="Times New Roman"/>
          <w:color w:val="auto"/>
          <w:kern w:val="2"/>
          <w:sz w:val="21"/>
          <w:szCs w:val="21"/>
          <w:highlight w:val="none"/>
          <w:lang w:val="en-US" w:eastAsia="zh-CN" w:bidi="ar-SA"/>
        </w:rPr>
        <w:t>云南省保山第一中学，采购人指定地点。</w:t>
      </w:r>
    </w:p>
    <w:p w14:paraId="116336DC">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w:t>
      </w:r>
    </w:p>
    <w:p w14:paraId="604C7827">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4.资金来源：财政性资金。</w:t>
      </w:r>
    </w:p>
    <w:p w14:paraId="11FB4604">
      <w:pPr>
        <w:numPr>
          <w:ilvl w:val="0"/>
          <w:numId w:val="0"/>
        </w:numPr>
        <w:spacing w:line="360" w:lineRule="auto"/>
        <w:ind w:left="210" w:leftChars="0" w:firstLine="420" w:firstLineChars="0"/>
        <w:rPr>
          <w:rFonts w:hint="eastAsia" w:ascii="宋体" w:hAnsi="宋体" w:eastAsia="宋体" w:cs="Times New Roman"/>
          <w:color w:val="auto"/>
          <w:sz w:val="21"/>
          <w:szCs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Times New Roman"/>
          <w:color w:val="auto"/>
          <w:sz w:val="21"/>
          <w:szCs w:val="21"/>
          <w:highlight w:val="none"/>
          <w:lang w:eastAsia="zh-CN"/>
        </w:rPr>
        <w:t>简要规格描述：新建 2 座连廊 ，总长度 65.9 米 ，总面积 257.01平方米；购置并安装电梯 1 部。</w:t>
      </w:r>
    </w:p>
    <w:p w14:paraId="4C5FE80A">
      <w:pPr>
        <w:numPr>
          <w:ilvl w:val="0"/>
          <w:numId w:val="0"/>
        </w:numPr>
        <w:spacing w:line="360" w:lineRule="auto"/>
        <w:ind w:left="210" w:leftChars="0" w:firstLine="420" w:firstLineChars="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（1）新建 1#连廊：连接教学楼（ 思齐院）三楼至图书馆三楼，钢框架结构，长度 33.4 米，宽度 3.9 米，高度 6 米，面积 130.26 平方米，主要用于师生从教学楼到图书馆查阅资料、借阅书籍的便捷通行，避免上下楼及户外绕行。</w:t>
      </w:r>
    </w:p>
    <w:p w14:paraId="6B0FB826">
      <w:pPr>
        <w:numPr>
          <w:ilvl w:val="0"/>
          <w:numId w:val="0"/>
        </w:numPr>
        <w:spacing w:line="360" w:lineRule="auto"/>
        <w:ind w:left="210" w:leftChars="0" w:firstLine="420" w:firstLineChars="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（2）新建 2#连廊：连接教学楼（见贤院）三楼至报告厅二楼，钢框架结构，长度 32.5 米，宽度 3.9 米，高度 6 米，面积 126.75 平方米，主要服务于师生参加报告厅各类会议、讲座、文艺活动等，实现教学区域与活动区域的无缝衔接。</w:t>
      </w:r>
    </w:p>
    <w:p w14:paraId="5AADD2F5">
      <w:pPr>
        <w:numPr>
          <w:ilvl w:val="0"/>
          <w:numId w:val="0"/>
        </w:numPr>
        <w:spacing w:line="360" w:lineRule="auto"/>
        <w:ind w:left="210" w:leftChars="0" w:firstLine="420" w:firstLineChars="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（3）电梯安装：在办公楼（润泽楼）安装电梯 1 部，采用乘客电梯，额定载重量 1000kg，适配办公楼楼层高度，主要功能为解决办公楼内教职工垂直通行不便的问题，尤其方便老年教职工、携带文件资料及办公用品的教职工上下楼，提升办公便捷性；同时可兼顾残疾教职工、来访人员的通行需求，落实校园无障碍建设要求，完善办公楼服务功能，提升校园整体服务水平。</w:t>
      </w:r>
    </w:p>
    <w:p w14:paraId="4C16EF49">
      <w:pPr>
        <w:numPr>
          <w:ilvl w:val="0"/>
          <w:numId w:val="0"/>
        </w:numPr>
        <w:spacing w:line="360" w:lineRule="auto"/>
        <w:ind w:left="210" w:leftChars="0" w:firstLine="420" w:firstLineChars="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eastAsia="zh-CN"/>
        </w:rPr>
        <w:t>）连廊建设包含主体结构施工、屋面工程、墙面装修、地面铺装、栏杆安装、照明系统、消防系统、防雷系统及配套附属设施等全部工程内容；电梯安装包含电梯设备采购、安装调试、基坑处理、机房配套、安全检测等全部工程内容，确保连廊及电梯使用安全、美观、实用，与校园整体建筑风格保持一致。</w:t>
      </w:r>
    </w:p>
    <w:p w14:paraId="1ED06A31">
      <w:pPr>
        <w:numPr>
          <w:ilvl w:val="0"/>
          <w:numId w:val="4"/>
        </w:numPr>
        <w:spacing w:line="360" w:lineRule="auto"/>
        <w:ind w:firstLine="420" w:firstLineChars="200"/>
        <w:rPr>
          <w:rFonts w:hint="eastAsia" w:ascii="宋体" w:hAnsi="宋体" w:eastAsia="宋体" w:cs="宋体"/>
          <w:bCs/>
          <w:color w:val="auto"/>
          <w:sz w:val="21"/>
          <w:szCs w:val="21"/>
          <w:highlight w:val="none"/>
        </w:rPr>
      </w:pPr>
    </w:p>
    <w:p w14:paraId="6F59B164">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6.工程承包范围：</w:t>
      </w:r>
      <w:r>
        <w:rPr>
          <w:rFonts w:hint="eastAsia" w:ascii="宋体" w:hAnsi="宋体" w:cs="宋体"/>
          <w:b/>
          <w:color w:val="auto"/>
          <w:sz w:val="21"/>
          <w:szCs w:val="21"/>
          <w:highlight w:val="none"/>
          <w:u w:val="single"/>
          <w:lang w:eastAsia="zh-CN"/>
        </w:rPr>
        <w:t>云南省保山第一中学附属设施（连廊）建设项目（一期）</w:t>
      </w:r>
      <w:r>
        <w:rPr>
          <w:rFonts w:hint="eastAsia" w:ascii="宋体" w:hAnsi="宋体" w:eastAsia="宋体" w:cs="宋体"/>
          <w:color w:val="auto"/>
          <w:sz w:val="21"/>
          <w:szCs w:val="21"/>
          <w:highlight w:val="none"/>
        </w:rPr>
        <w:t>。</w:t>
      </w:r>
    </w:p>
    <w:p w14:paraId="6BF309CC">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二、合同工期</w:t>
      </w:r>
    </w:p>
    <w:p w14:paraId="12339A7C">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b/>
          <w:color w:val="auto"/>
          <w:sz w:val="21"/>
          <w:szCs w:val="21"/>
          <w:highlight w:val="none"/>
          <w:u w:val="single"/>
        </w:rPr>
        <w:t>自接到</w:t>
      </w:r>
      <w:r>
        <w:rPr>
          <w:rFonts w:hint="eastAsia" w:ascii="宋体" w:hAnsi="宋体" w:eastAsia="宋体" w:cs="宋体"/>
          <w:b/>
          <w:color w:val="auto"/>
          <w:sz w:val="21"/>
          <w:szCs w:val="21"/>
          <w:highlight w:val="none"/>
          <w:u w:val="single"/>
          <w:lang w:eastAsia="zh-CN"/>
        </w:rPr>
        <w:t>发包人</w:t>
      </w:r>
      <w:r>
        <w:rPr>
          <w:rFonts w:hint="eastAsia" w:ascii="宋体" w:hAnsi="宋体" w:eastAsia="宋体" w:cs="宋体"/>
          <w:b/>
          <w:color w:val="auto"/>
          <w:sz w:val="21"/>
          <w:szCs w:val="21"/>
          <w:highlight w:val="none"/>
          <w:u w:val="single"/>
        </w:rPr>
        <w:t>开工令之日起开工</w:t>
      </w:r>
    </w:p>
    <w:p w14:paraId="6FCD947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b/>
          <w:color w:val="auto"/>
          <w:sz w:val="21"/>
          <w:szCs w:val="21"/>
          <w:highlight w:val="none"/>
          <w:u w:val="single"/>
        </w:rPr>
        <w:fldChar w:fldCharType="begin"/>
      </w:r>
      <w:r>
        <w:rPr>
          <w:rFonts w:hint="eastAsia" w:ascii="宋体" w:hAnsi="宋体" w:eastAsia="宋体" w:cs="宋体"/>
          <w:b/>
          <w:color w:val="auto"/>
          <w:sz w:val="21"/>
          <w:szCs w:val="21"/>
          <w:highlight w:val="none"/>
          <w:u w:val="single"/>
        </w:rPr>
        <w:instrText xml:space="preserve"> AUTOTEXT  input668 \* MERGEFORMAT </w:instrText>
      </w:r>
      <w:r>
        <w:rPr>
          <w:rFonts w:hint="eastAsia" w:ascii="宋体" w:hAnsi="宋体" w:eastAsia="宋体" w:cs="宋体"/>
          <w:b/>
          <w:color w:val="auto"/>
          <w:sz w:val="21"/>
          <w:szCs w:val="21"/>
          <w:highlight w:val="none"/>
          <w:u w:val="single"/>
        </w:rPr>
        <w:fldChar w:fldCharType="separate"/>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rPr>
        <w:fldChar w:fldCharType="end"/>
      </w:r>
    </w:p>
    <w:p w14:paraId="7D0A3419">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工期总日历天数：</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input669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天。工期总日历天数与根据前述计划开竣工日期计算的工期天数不一致的，以工期总日历天数为准。</w:t>
      </w:r>
    </w:p>
    <w:p w14:paraId="36377948">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Cs/>
          <w:sz w:val="21"/>
          <w:szCs w:val="21"/>
          <w:highlight w:val="none"/>
        </w:rPr>
      </w:pPr>
      <w:r>
        <w:rPr>
          <w:rFonts w:hint="eastAsia" w:ascii="宋体" w:hAnsi="宋体" w:eastAsia="宋体" w:cs="宋体"/>
          <w:b/>
          <w:sz w:val="21"/>
          <w:szCs w:val="21"/>
          <w:highlight w:val="none"/>
        </w:rPr>
        <w:t>三、质量标准</w:t>
      </w:r>
    </w:p>
    <w:p w14:paraId="5199A405">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工程质量符合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none"/>
          <w:lang w:val="en-US" w:eastAsia="zh-CN"/>
        </w:rPr>
        <w:t>标准</w:t>
      </w:r>
      <w:r>
        <w:rPr>
          <w:rFonts w:hint="eastAsia" w:ascii="宋体" w:hAnsi="宋体" w:eastAsia="宋体" w:cs="宋体"/>
          <w:color w:val="000000"/>
          <w:sz w:val="21"/>
          <w:szCs w:val="21"/>
          <w:highlight w:val="none"/>
        </w:rPr>
        <w:t>。</w:t>
      </w:r>
    </w:p>
    <w:p w14:paraId="4D1BA1A6">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rPr>
        <w:t>四、签约合同价与合同价格形式</w:t>
      </w:r>
      <w:r>
        <w:rPr>
          <w:rFonts w:hint="eastAsia" w:ascii="宋体" w:hAnsi="宋体" w:eastAsia="宋体" w:cs="宋体"/>
          <w:b/>
          <w:color w:val="000000"/>
          <w:sz w:val="21"/>
          <w:szCs w:val="21"/>
          <w:highlight w:val="none"/>
        </w:rPr>
        <w:tab/>
      </w:r>
    </w:p>
    <w:p w14:paraId="47E41E98">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1.签约合同价为：</w:t>
      </w:r>
    </w:p>
    <w:p w14:paraId="4D793F1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人民币（大写）</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input671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 xml:space="preserve"> (¥ </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input672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元)；</w:t>
      </w:r>
    </w:p>
    <w:p w14:paraId="25AC564B">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其中：</w:t>
      </w:r>
    </w:p>
    <w:p w14:paraId="506B4EF6">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（1）安全生产措施项目费：</w:t>
      </w:r>
    </w:p>
    <w:p w14:paraId="2D753E5B">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人民币（大写）</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input673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input674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元)；</w:t>
      </w:r>
    </w:p>
    <w:p w14:paraId="011304A6">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（2）材料和工程设备暂估价金额：</w:t>
      </w:r>
    </w:p>
    <w:p w14:paraId="7E11329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人民币（大写）</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input675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 xml:space="preserve"> (¥ </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input676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元)；</w:t>
      </w:r>
    </w:p>
    <w:p w14:paraId="412F377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（3）专业工程暂估价金额：</w:t>
      </w:r>
    </w:p>
    <w:p w14:paraId="3BBF5836">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人民币（大写）</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input677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 xml:space="preserve"> (¥ </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input678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元)；</w:t>
      </w:r>
    </w:p>
    <w:p w14:paraId="74D39930">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（4）暂列金额：</w:t>
      </w:r>
    </w:p>
    <w:p w14:paraId="06C5FBC0">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人民币（大写）</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input679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 xml:space="preserve"> (¥ </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input680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元)。</w:t>
      </w:r>
    </w:p>
    <w:p w14:paraId="25926B0B">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2.合同价格形式：</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input681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w:t>
      </w:r>
    </w:p>
    <w:p w14:paraId="00A64054">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
          <w:sz w:val="21"/>
          <w:szCs w:val="21"/>
          <w:highlight w:val="none"/>
        </w:rPr>
      </w:pPr>
      <w:r>
        <w:rPr>
          <w:rFonts w:hint="eastAsia" w:ascii="宋体" w:hAnsi="宋体" w:eastAsia="宋体" w:cs="宋体"/>
          <w:b/>
          <w:sz w:val="21"/>
          <w:szCs w:val="21"/>
          <w:highlight w:val="none"/>
        </w:rPr>
        <w:t>五、项目经理</w:t>
      </w:r>
    </w:p>
    <w:p w14:paraId="0C5DE79B">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承包人项目经理：</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input682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color w:val="000000"/>
          <w:sz w:val="21"/>
          <w:szCs w:val="21"/>
          <w:highlight w:val="none"/>
        </w:rPr>
        <w:t>。</w:t>
      </w:r>
    </w:p>
    <w:p w14:paraId="722E390C">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Cs/>
          <w:sz w:val="21"/>
          <w:szCs w:val="21"/>
          <w:highlight w:val="none"/>
        </w:rPr>
      </w:pPr>
      <w:r>
        <w:rPr>
          <w:rFonts w:hint="eastAsia" w:ascii="宋体" w:hAnsi="宋体" w:eastAsia="宋体" w:cs="宋体"/>
          <w:b/>
          <w:sz w:val="21"/>
          <w:szCs w:val="21"/>
          <w:highlight w:val="none"/>
        </w:rPr>
        <w:t>六、合同文件构成</w:t>
      </w:r>
    </w:p>
    <w:p w14:paraId="36E09893">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本协议书与下列文件一起构成合同文件：</w:t>
      </w:r>
    </w:p>
    <w:p w14:paraId="631E9443">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成交</w:t>
      </w:r>
      <w:r>
        <w:rPr>
          <w:rFonts w:hint="eastAsia" w:ascii="宋体" w:hAnsi="宋体" w:eastAsia="宋体" w:cs="宋体"/>
          <w:color w:val="000000"/>
          <w:sz w:val="21"/>
          <w:szCs w:val="21"/>
          <w:highlight w:val="none"/>
        </w:rPr>
        <w:t>通知书；</w:t>
      </w:r>
    </w:p>
    <w:p w14:paraId="6FEB72C7">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磋商申请函</w:t>
      </w:r>
      <w:r>
        <w:rPr>
          <w:rFonts w:hint="eastAsia" w:ascii="宋体" w:hAnsi="宋体" w:eastAsia="宋体" w:cs="宋体"/>
          <w:color w:val="000000"/>
          <w:sz w:val="21"/>
          <w:szCs w:val="21"/>
          <w:highlight w:val="none"/>
        </w:rPr>
        <w:t xml:space="preserve">及其附录（如果有）； </w:t>
      </w:r>
    </w:p>
    <w:p w14:paraId="2F57351E">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（3）专用合同条款及其附件；</w:t>
      </w:r>
    </w:p>
    <w:p w14:paraId="5AFCB3CE">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（4）通用合同条款；</w:t>
      </w:r>
    </w:p>
    <w:p w14:paraId="63256AF9">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（5）技术标准和要求；</w:t>
      </w:r>
    </w:p>
    <w:p w14:paraId="47A4723D">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（6）图纸；</w:t>
      </w:r>
    </w:p>
    <w:p w14:paraId="18CAA575">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（7）已标价工程量清单或预算书；</w:t>
      </w:r>
    </w:p>
    <w:p w14:paraId="0DA24A0E">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（8）其他合同文件。</w:t>
      </w:r>
    </w:p>
    <w:p w14:paraId="133DB935">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在合同订立及履行过程中形成的与合同有关的文件均构成合同文件组成部分。</w:t>
      </w:r>
    </w:p>
    <w:p w14:paraId="5058BF00">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7F32991">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
          <w:bCs/>
          <w:sz w:val="21"/>
          <w:szCs w:val="21"/>
          <w:highlight w:val="none"/>
        </w:rPr>
      </w:pPr>
      <w:r>
        <w:rPr>
          <w:rFonts w:hint="eastAsia" w:ascii="宋体" w:hAnsi="宋体" w:eastAsia="宋体" w:cs="宋体"/>
          <w:b/>
          <w:sz w:val="21"/>
          <w:szCs w:val="21"/>
          <w:highlight w:val="none"/>
        </w:rPr>
        <w:t>七、承诺</w:t>
      </w:r>
    </w:p>
    <w:p w14:paraId="5D18BFA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1.发包人承诺按照法律规定履行项目审批手续、筹集工程建设资金并按照合同约定的期限和方式支付合同价款。</w:t>
      </w:r>
    </w:p>
    <w:p w14:paraId="13011FFA">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2.承包人承诺按照法律规定及合同约定组织完成工程施工，确保工程质量和安全，不进行转包及违法分包，并在缺陷责任期及保修期内承担相应的工程维修责任。</w:t>
      </w:r>
    </w:p>
    <w:p w14:paraId="78C03E72">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3.发包人和承包人通过</w:t>
      </w:r>
      <w:r>
        <w:rPr>
          <w:rFonts w:hint="eastAsia" w:ascii="宋体" w:hAnsi="宋体" w:eastAsia="宋体" w:cs="宋体"/>
          <w:bCs/>
          <w:color w:val="000000"/>
          <w:sz w:val="21"/>
          <w:szCs w:val="21"/>
          <w:highlight w:val="none"/>
          <w:lang w:val="en-US" w:eastAsia="zh-CN"/>
        </w:rPr>
        <w:t>采购</w:t>
      </w:r>
      <w:r>
        <w:rPr>
          <w:rFonts w:hint="eastAsia" w:ascii="宋体" w:hAnsi="宋体" w:eastAsia="宋体" w:cs="宋体"/>
          <w:bCs/>
          <w:color w:val="000000"/>
          <w:sz w:val="21"/>
          <w:szCs w:val="21"/>
          <w:highlight w:val="none"/>
        </w:rPr>
        <w:t>形式签订合同的，双方理解并承诺不再就同一工程另行签订与合同实质性内容相背离的协议。</w:t>
      </w:r>
    </w:p>
    <w:p w14:paraId="3DBE5790">
      <w:pPr>
        <w:keepNext w:val="0"/>
        <w:keepLines w:val="0"/>
        <w:pageBreakBefore w:val="0"/>
        <w:widowControl w:val="0"/>
        <w:kinsoku/>
        <w:wordWrap/>
        <w:overflowPunct/>
        <w:topLinePunct w:val="0"/>
        <w:bidi w:val="0"/>
        <w:spacing w:line="360" w:lineRule="auto"/>
        <w:ind w:firstLine="422"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八、词语含义</w:t>
      </w:r>
    </w:p>
    <w:p w14:paraId="2D6814B7">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本协议书中词语含义与第二部分通用合同条款中赋予的含义相同。</w:t>
      </w:r>
    </w:p>
    <w:p w14:paraId="4C3F764B">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Cs/>
          <w:sz w:val="21"/>
          <w:szCs w:val="21"/>
          <w:highlight w:val="none"/>
        </w:rPr>
      </w:pPr>
      <w:r>
        <w:rPr>
          <w:rFonts w:hint="eastAsia" w:ascii="宋体" w:hAnsi="宋体" w:eastAsia="宋体" w:cs="宋体"/>
          <w:b/>
          <w:sz w:val="21"/>
          <w:szCs w:val="21"/>
          <w:highlight w:val="none"/>
        </w:rPr>
        <w:t>九、签订时间</w:t>
      </w:r>
    </w:p>
    <w:p w14:paraId="18BE7F7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本合同于</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input683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bCs/>
          <w:color w:val="000000"/>
          <w:sz w:val="21"/>
          <w:szCs w:val="21"/>
          <w:highlight w:val="none"/>
        </w:rPr>
        <w:t>签订。</w:t>
      </w:r>
    </w:p>
    <w:p w14:paraId="7DEDFBD6">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Cs/>
          <w:sz w:val="21"/>
          <w:szCs w:val="21"/>
          <w:highlight w:val="none"/>
        </w:rPr>
      </w:pPr>
      <w:r>
        <w:rPr>
          <w:rFonts w:hint="eastAsia" w:ascii="宋体" w:hAnsi="宋体" w:eastAsia="宋体" w:cs="宋体"/>
          <w:b/>
          <w:sz w:val="21"/>
          <w:szCs w:val="21"/>
          <w:highlight w:val="none"/>
        </w:rPr>
        <w:t>十、签订地点</w:t>
      </w:r>
    </w:p>
    <w:p w14:paraId="317B5FBB">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本合同在</w:t>
      </w:r>
      <w:r>
        <w:rPr>
          <w:rFonts w:hint="eastAsia" w:ascii="宋体" w:hAnsi="宋体" w:eastAsia="宋体" w:cs="宋体"/>
          <w:b/>
          <w:color w:val="000000"/>
          <w:sz w:val="21"/>
          <w:szCs w:val="21"/>
          <w:highlight w:val="none"/>
          <w:u w:val="single"/>
        </w:rPr>
        <w:fldChar w:fldCharType="begin"/>
      </w:r>
      <w:r>
        <w:rPr>
          <w:rFonts w:hint="eastAsia" w:ascii="宋体" w:hAnsi="宋体" w:eastAsia="宋体" w:cs="宋体"/>
          <w:b/>
          <w:color w:val="000000"/>
          <w:sz w:val="21"/>
          <w:szCs w:val="21"/>
          <w:highlight w:val="none"/>
          <w:u w:val="single"/>
        </w:rPr>
        <w:instrText xml:space="preserve"> AUTOTEXT  input684 \* MERGEFORMAT </w:instrText>
      </w:r>
      <w:r>
        <w:rPr>
          <w:rFonts w:hint="eastAsia" w:ascii="宋体" w:hAnsi="宋体" w:eastAsia="宋体" w:cs="宋体"/>
          <w:b/>
          <w:color w:val="000000"/>
          <w:sz w:val="21"/>
          <w:szCs w:val="21"/>
          <w:highlight w:val="none"/>
          <w:u w:val="single"/>
        </w:rPr>
        <w:fldChar w:fldCharType="separate"/>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u w:val="single"/>
        </w:rPr>
        <w:fldChar w:fldCharType="end"/>
      </w:r>
      <w:r>
        <w:rPr>
          <w:rFonts w:hint="eastAsia" w:ascii="宋体" w:hAnsi="宋体" w:eastAsia="宋体" w:cs="宋体"/>
          <w:bCs/>
          <w:color w:val="000000"/>
          <w:sz w:val="21"/>
          <w:szCs w:val="21"/>
          <w:highlight w:val="none"/>
        </w:rPr>
        <w:t>签订。</w:t>
      </w:r>
    </w:p>
    <w:p w14:paraId="5958CF58">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Cs/>
          <w:sz w:val="21"/>
          <w:szCs w:val="21"/>
          <w:highlight w:val="none"/>
        </w:rPr>
      </w:pPr>
      <w:r>
        <w:rPr>
          <w:rFonts w:hint="eastAsia" w:ascii="宋体" w:hAnsi="宋体" w:eastAsia="宋体" w:cs="宋体"/>
          <w:b/>
          <w:sz w:val="21"/>
          <w:szCs w:val="21"/>
          <w:highlight w:val="none"/>
        </w:rPr>
        <w:t>十一、补充协议</w:t>
      </w:r>
    </w:p>
    <w:p w14:paraId="1964CC48">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合同未尽事宜，合同当事人另行签订补充协议，补充协议是合同的组成部分。</w:t>
      </w:r>
    </w:p>
    <w:p w14:paraId="0A7FF3F3">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Cs/>
          <w:sz w:val="21"/>
          <w:szCs w:val="21"/>
          <w:highlight w:val="none"/>
        </w:rPr>
      </w:pPr>
      <w:r>
        <w:rPr>
          <w:rFonts w:hint="eastAsia" w:ascii="宋体" w:hAnsi="宋体" w:eastAsia="宋体" w:cs="宋体"/>
          <w:b/>
          <w:sz w:val="21"/>
          <w:szCs w:val="21"/>
          <w:highlight w:val="none"/>
        </w:rPr>
        <w:t>十二、合同生效</w:t>
      </w:r>
    </w:p>
    <w:p w14:paraId="0A2E830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本合同自</w:t>
      </w:r>
      <w:r>
        <w:rPr>
          <w:rFonts w:hint="eastAsia" w:ascii="宋体" w:hAnsi="宋体" w:eastAsia="宋体" w:cs="宋体"/>
          <w:b/>
          <w:color w:val="000000"/>
          <w:sz w:val="21"/>
          <w:szCs w:val="21"/>
          <w:highlight w:val="none"/>
          <w:u w:val="single"/>
        </w:rPr>
        <w:t>双方盖章</w:t>
      </w:r>
      <w:r>
        <w:rPr>
          <w:rFonts w:hint="eastAsia" w:ascii="宋体" w:hAnsi="宋体" w:eastAsia="宋体" w:cs="宋体"/>
          <w:bCs/>
          <w:color w:val="000000"/>
          <w:sz w:val="21"/>
          <w:szCs w:val="21"/>
          <w:highlight w:val="none"/>
        </w:rPr>
        <w:t>生效。</w:t>
      </w:r>
    </w:p>
    <w:p w14:paraId="12522968">
      <w:pPr>
        <w:keepNext w:val="0"/>
        <w:keepLines w:val="0"/>
        <w:pageBreakBefore w:val="0"/>
        <w:widowControl w:val="0"/>
        <w:kinsoku/>
        <w:wordWrap/>
        <w:overflowPunct/>
        <w:topLinePunct w:val="0"/>
        <w:bidi w:val="0"/>
        <w:adjustRightInd w:val="0"/>
        <w:snapToGrid w:val="0"/>
        <w:spacing w:line="360" w:lineRule="auto"/>
        <w:ind w:firstLine="422" w:firstLineChars="200"/>
        <w:jc w:val="left"/>
        <w:textAlignment w:val="auto"/>
        <w:outlineLvl w:val="2"/>
        <w:rPr>
          <w:rFonts w:hint="eastAsia" w:ascii="宋体" w:hAnsi="宋体" w:eastAsia="宋体" w:cs="宋体"/>
          <w:bCs/>
          <w:sz w:val="21"/>
          <w:szCs w:val="21"/>
          <w:highlight w:val="none"/>
        </w:rPr>
      </w:pPr>
      <w:r>
        <w:rPr>
          <w:rFonts w:hint="eastAsia" w:ascii="宋体" w:hAnsi="宋体" w:eastAsia="宋体" w:cs="宋体"/>
          <w:b/>
          <w:sz w:val="21"/>
          <w:szCs w:val="21"/>
          <w:highlight w:val="none"/>
        </w:rPr>
        <w:t>十三、合同份数</w:t>
      </w:r>
    </w:p>
    <w:p w14:paraId="197CFD1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本合同一式</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input686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bCs/>
          <w:color w:val="000000"/>
          <w:sz w:val="21"/>
          <w:szCs w:val="21"/>
          <w:highlight w:val="none"/>
        </w:rPr>
        <w:t>份，均具有同等法律效力，发包人执</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input687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bCs/>
          <w:color w:val="000000"/>
          <w:sz w:val="21"/>
          <w:szCs w:val="21"/>
          <w:highlight w:val="none"/>
        </w:rPr>
        <w:t>份，承包人执</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AUTOTEXT  input688 \* MERGEFORMAT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bCs/>
          <w:color w:val="000000"/>
          <w:sz w:val="21"/>
          <w:szCs w:val="21"/>
          <w:highlight w:val="none"/>
        </w:rPr>
        <w:t>份。</w:t>
      </w:r>
    </w:p>
    <w:p w14:paraId="7BCDA26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bCs/>
          <w:color w:val="000000"/>
          <w:sz w:val="21"/>
          <w:szCs w:val="21"/>
          <w:highlight w:val="none"/>
        </w:rPr>
      </w:pPr>
    </w:p>
    <w:p w14:paraId="22EB376E">
      <w:pPr>
        <w:widowControl/>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br w:type="page"/>
      </w:r>
    </w:p>
    <w:p w14:paraId="02462D1E">
      <w:pPr>
        <w:spacing w:line="360" w:lineRule="auto"/>
        <w:rPr>
          <w:rFonts w:hint="eastAsia" w:ascii="宋体" w:hAnsi="宋体" w:eastAsia="宋体" w:cs="宋体"/>
          <w:bCs/>
          <w:color w:val="000000"/>
          <w:sz w:val="21"/>
          <w:szCs w:val="21"/>
          <w:highlight w:val="none"/>
        </w:rPr>
      </w:pPr>
    </w:p>
    <w:tbl>
      <w:tblPr>
        <w:tblStyle w:val="41"/>
        <w:tblW w:w="92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14"/>
        <w:gridCol w:w="2430"/>
        <w:gridCol w:w="2235"/>
        <w:gridCol w:w="2407"/>
      </w:tblGrid>
      <w:tr w14:paraId="6C158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5BEF9834">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发包人:</w:t>
            </w:r>
          </w:p>
        </w:tc>
        <w:tc>
          <w:tcPr>
            <w:tcW w:w="2430" w:type="dxa"/>
            <w:noWrap w:val="0"/>
            <w:vAlign w:val="center"/>
          </w:tcPr>
          <w:p w14:paraId="258F1631">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input689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r>
              <w:rPr>
                <w:rFonts w:hint="eastAsia" w:ascii="宋体" w:hAnsi="宋体" w:eastAsia="宋体" w:cs="宋体"/>
                <w:kern w:val="0"/>
                <w:sz w:val="21"/>
                <w:szCs w:val="21"/>
                <w:highlight w:val="none"/>
              </w:rPr>
              <w:t>(公章)</w:t>
            </w:r>
          </w:p>
        </w:tc>
        <w:tc>
          <w:tcPr>
            <w:tcW w:w="2235" w:type="dxa"/>
            <w:noWrap w:val="0"/>
            <w:vAlign w:val="center"/>
          </w:tcPr>
          <w:p w14:paraId="78A089A2">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承包人：</w:t>
            </w:r>
          </w:p>
        </w:tc>
        <w:tc>
          <w:tcPr>
            <w:tcW w:w="2407" w:type="dxa"/>
            <w:noWrap w:val="0"/>
            <w:vAlign w:val="center"/>
          </w:tcPr>
          <w:p w14:paraId="5C089E0F">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input690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r>
              <w:rPr>
                <w:rFonts w:hint="eastAsia" w:ascii="宋体" w:hAnsi="宋体" w:eastAsia="宋体" w:cs="宋体"/>
                <w:kern w:val="0"/>
                <w:sz w:val="21"/>
                <w:szCs w:val="21"/>
                <w:highlight w:val="none"/>
              </w:rPr>
              <w:t>(公章)</w:t>
            </w:r>
          </w:p>
        </w:tc>
      </w:tr>
      <w:tr w14:paraId="786F6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53082841">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法定代表人或其委托代理人：</w:t>
            </w:r>
          </w:p>
        </w:tc>
        <w:tc>
          <w:tcPr>
            <w:tcW w:w="2430" w:type="dxa"/>
            <w:noWrap w:val="0"/>
            <w:vAlign w:val="center"/>
          </w:tcPr>
          <w:p w14:paraId="0720474E">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input691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r>
              <w:rPr>
                <w:rFonts w:hint="eastAsia" w:ascii="宋体" w:hAnsi="宋体" w:eastAsia="宋体" w:cs="宋体"/>
                <w:kern w:val="0"/>
                <w:sz w:val="21"/>
                <w:szCs w:val="21"/>
                <w:highlight w:val="none"/>
              </w:rPr>
              <w:t>（签字）</w:t>
            </w:r>
          </w:p>
        </w:tc>
        <w:tc>
          <w:tcPr>
            <w:tcW w:w="2235" w:type="dxa"/>
            <w:noWrap w:val="0"/>
            <w:vAlign w:val="center"/>
          </w:tcPr>
          <w:p w14:paraId="68A8F37F">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法定代表人或其委托代理人：</w:t>
            </w:r>
          </w:p>
        </w:tc>
        <w:tc>
          <w:tcPr>
            <w:tcW w:w="2407" w:type="dxa"/>
            <w:noWrap w:val="0"/>
            <w:vAlign w:val="center"/>
          </w:tcPr>
          <w:p w14:paraId="5A3A0BAE">
            <w:pPr>
              <w:topLinePunct/>
              <w:adjustRightInd w:val="0"/>
              <w:snapToGrid w:val="0"/>
              <w:spacing w:line="360" w:lineRule="auto"/>
              <w:jc w:val="both"/>
              <w:rPr>
                <w:rFonts w:hint="eastAsia"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input692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r>
              <w:rPr>
                <w:rFonts w:hint="eastAsia" w:ascii="宋体" w:hAnsi="宋体" w:eastAsia="宋体" w:cs="宋体"/>
                <w:kern w:val="0"/>
                <w:sz w:val="21"/>
                <w:szCs w:val="21"/>
                <w:highlight w:val="none"/>
              </w:rPr>
              <w:t>（签字）</w:t>
            </w:r>
          </w:p>
        </w:tc>
      </w:tr>
      <w:tr w14:paraId="5E1A2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3C6B3242">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统一社会信用代码</w:t>
            </w:r>
            <w:r>
              <w:rPr>
                <w:rFonts w:hint="eastAsia" w:ascii="宋体" w:hAnsi="宋体" w:eastAsia="宋体" w:cs="宋体"/>
                <w:kern w:val="0"/>
                <w:sz w:val="21"/>
                <w:szCs w:val="21"/>
                <w:highlight w:val="none"/>
              </w:rPr>
              <w:t>：</w:t>
            </w:r>
          </w:p>
        </w:tc>
        <w:tc>
          <w:tcPr>
            <w:tcW w:w="2430" w:type="dxa"/>
            <w:noWrap w:val="0"/>
            <w:vAlign w:val="center"/>
          </w:tcPr>
          <w:p w14:paraId="3F4F9913">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input693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03E8FDE7">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统一社会信用代码</w:t>
            </w:r>
            <w:r>
              <w:rPr>
                <w:rFonts w:hint="eastAsia" w:ascii="宋体" w:hAnsi="宋体" w:eastAsia="宋体" w:cs="宋体"/>
                <w:kern w:val="0"/>
                <w:sz w:val="21"/>
                <w:szCs w:val="21"/>
                <w:highlight w:val="none"/>
              </w:rPr>
              <w:t>：</w:t>
            </w:r>
          </w:p>
        </w:tc>
        <w:tc>
          <w:tcPr>
            <w:tcW w:w="2407" w:type="dxa"/>
            <w:noWrap w:val="0"/>
            <w:vAlign w:val="center"/>
          </w:tcPr>
          <w:p w14:paraId="530CD48D">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input694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r w14:paraId="17D21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4E8AE2B6">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地    址：</w:t>
            </w:r>
          </w:p>
        </w:tc>
        <w:tc>
          <w:tcPr>
            <w:tcW w:w="2430" w:type="dxa"/>
            <w:noWrap w:val="0"/>
            <w:vAlign w:val="center"/>
          </w:tcPr>
          <w:p w14:paraId="165F1D2B">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input695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23D9F416">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地    址：</w:t>
            </w:r>
          </w:p>
        </w:tc>
        <w:tc>
          <w:tcPr>
            <w:tcW w:w="2407" w:type="dxa"/>
            <w:noWrap w:val="0"/>
            <w:vAlign w:val="center"/>
          </w:tcPr>
          <w:p w14:paraId="3BA37254">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input696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r w14:paraId="7471B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56193B45">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邮政编码</w:t>
            </w:r>
            <w:r>
              <w:rPr>
                <w:rFonts w:hint="eastAsia" w:ascii="宋体" w:hAnsi="宋体" w:eastAsia="宋体" w:cs="宋体"/>
                <w:kern w:val="0"/>
                <w:sz w:val="21"/>
                <w:szCs w:val="21"/>
                <w:highlight w:val="none"/>
              </w:rPr>
              <w:t>：</w:t>
            </w:r>
          </w:p>
        </w:tc>
        <w:tc>
          <w:tcPr>
            <w:tcW w:w="2430" w:type="dxa"/>
            <w:noWrap w:val="0"/>
            <w:vAlign w:val="center"/>
          </w:tcPr>
          <w:p w14:paraId="2516EB24">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input697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2CA60237">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邮政编码</w:t>
            </w:r>
            <w:r>
              <w:rPr>
                <w:rFonts w:hint="eastAsia" w:ascii="宋体" w:hAnsi="宋体" w:eastAsia="宋体" w:cs="宋体"/>
                <w:kern w:val="0"/>
                <w:sz w:val="21"/>
                <w:szCs w:val="21"/>
                <w:highlight w:val="none"/>
              </w:rPr>
              <w:t>：</w:t>
            </w:r>
          </w:p>
        </w:tc>
        <w:tc>
          <w:tcPr>
            <w:tcW w:w="2407" w:type="dxa"/>
            <w:noWrap w:val="0"/>
            <w:vAlign w:val="center"/>
          </w:tcPr>
          <w:p w14:paraId="72415E05">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input698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r w14:paraId="2DBD1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468CE6A5">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法定代表人</w:t>
            </w:r>
            <w:r>
              <w:rPr>
                <w:rFonts w:hint="eastAsia" w:ascii="宋体" w:hAnsi="宋体" w:eastAsia="宋体" w:cs="宋体"/>
                <w:kern w:val="0"/>
                <w:sz w:val="21"/>
                <w:szCs w:val="21"/>
                <w:highlight w:val="none"/>
              </w:rPr>
              <w:t>：</w:t>
            </w:r>
          </w:p>
        </w:tc>
        <w:tc>
          <w:tcPr>
            <w:tcW w:w="2430" w:type="dxa"/>
            <w:noWrap w:val="0"/>
            <w:vAlign w:val="center"/>
          </w:tcPr>
          <w:p w14:paraId="5C3DF861">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input699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441015CB">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法定代表人</w:t>
            </w:r>
            <w:r>
              <w:rPr>
                <w:rFonts w:hint="eastAsia" w:ascii="宋体" w:hAnsi="宋体" w:eastAsia="宋体" w:cs="宋体"/>
                <w:kern w:val="0"/>
                <w:sz w:val="21"/>
                <w:szCs w:val="21"/>
                <w:highlight w:val="none"/>
              </w:rPr>
              <w:t>：</w:t>
            </w:r>
          </w:p>
        </w:tc>
        <w:tc>
          <w:tcPr>
            <w:tcW w:w="2407" w:type="dxa"/>
            <w:noWrap w:val="0"/>
            <w:vAlign w:val="center"/>
          </w:tcPr>
          <w:p w14:paraId="6A6B8FC2">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input700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r w14:paraId="12898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5EDCEC06">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委托代理人：</w:t>
            </w:r>
          </w:p>
        </w:tc>
        <w:tc>
          <w:tcPr>
            <w:tcW w:w="2430" w:type="dxa"/>
            <w:noWrap w:val="0"/>
            <w:vAlign w:val="center"/>
          </w:tcPr>
          <w:p w14:paraId="2F43483B">
            <w:pPr>
              <w:topLinePunct/>
              <w:adjustRightInd w:val="0"/>
              <w:snapToGrid w:val="0"/>
              <w:spacing w:line="360" w:lineRule="auto"/>
              <w:jc w:val="both"/>
              <w:rPr>
                <w:rFonts w:hint="eastAsia"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input701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2E1ED4D4">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color w:val="000000"/>
                <w:sz w:val="21"/>
                <w:szCs w:val="21"/>
                <w:highlight w:val="none"/>
              </w:rPr>
              <w:t>委托代理人：</w:t>
            </w:r>
          </w:p>
        </w:tc>
        <w:tc>
          <w:tcPr>
            <w:tcW w:w="2407" w:type="dxa"/>
            <w:noWrap w:val="0"/>
            <w:vAlign w:val="center"/>
          </w:tcPr>
          <w:p w14:paraId="133C0524">
            <w:pPr>
              <w:topLinePunct/>
              <w:adjustRightInd w:val="0"/>
              <w:snapToGrid w:val="0"/>
              <w:spacing w:line="360" w:lineRule="auto"/>
              <w:jc w:val="both"/>
              <w:rPr>
                <w:rFonts w:hint="eastAsia"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input702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r w14:paraId="503C3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3BDBD13B">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电    话：</w:t>
            </w:r>
          </w:p>
        </w:tc>
        <w:tc>
          <w:tcPr>
            <w:tcW w:w="2430" w:type="dxa"/>
            <w:noWrap w:val="0"/>
            <w:vAlign w:val="center"/>
          </w:tcPr>
          <w:p w14:paraId="0282DB8C">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input703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5A2E3DAA">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电    话：</w:t>
            </w:r>
          </w:p>
        </w:tc>
        <w:tc>
          <w:tcPr>
            <w:tcW w:w="2407" w:type="dxa"/>
            <w:noWrap w:val="0"/>
            <w:vAlign w:val="center"/>
          </w:tcPr>
          <w:p w14:paraId="3992BBF3">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input704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r w14:paraId="2FBB6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4640AD46">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传    真：</w:t>
            </w:r>
          </w:p>
        </w:tc>
        <w:tc>
          <w:tcPr>
            <w:tcW w:w="2430" w:type="dxa"/>
            <w:noWrap w:val="0"/>
            <w:vAlign w:val="center"/>
          </w:tcPr>
          <w:p w14:paraId="638FFE7A">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input705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39A5BAB9">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传    真：</w:t>
            </w:r>
          </w:p>
        </w:tc>
        <w:tc>
          <w:tcPr>
            <w:tcW w:w="2407" w:type="dxa"/>
            <w:noWrap w:val="0"/>
            <w:vAlign w:val="center"/>
          </w:tcPr>
          <w:p w14:paraId="37769CF8">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input706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r w14:paraId="3F8BB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6501D99A">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电子信箱：</w:t>
            </w:r>
          </w:p>
        </w:tc>
        <w:tc>
          <w:tcPr>
            <w:tcW w:w="2430" w:type="dxa"/>
            <w:noWrap w:val="0"/>
            <w:vAlign w:val="center"/>
          </w:tcPr>
          <w:p w14:paraId="398C2356">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input707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14CAA28F">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电子信箱：</w:t>
            </w:r>
          </w:p>
        </w:tc>
        <w:tc>
          <w:tcPr>
            <w:tcW w:w="2407" w:type="dxa"/>
            <w:noWrap w:val="0"/>
            <w:vAlign w:val="center"/>
          </w:tcPr>
          <w:p w14:paraId="7535DCAC">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input708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r w14:paraId="2DBAE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07C7E91F">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开户银行：</w:t>
            </w:r>
          </w:p>
        </w:tc>
        <w:tc>
          <w:tcPr>
            <w:tcW w:w="2430" w:type="dxa"/>
            <w:noWrap w:val="0"/>
            <w:vAlign w:val="center"/>
          </w:tcPr>
          <w:p w14:paraId="3FE05571">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input709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1361E245">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开户银行：</w:t>
            </w:r>
          </w:p>
        </w:tc>
        <w:tc>
          <w:tcPr>
            <w:tcW w:w="2407" w:type="dxa"/>
            <w:noWrap w:val="0"/>
            <w:vAlign w:val="center"/>
          </w:tcPr>
          <w:p w14:paraId="56806B43">
            <w:pPr>
              <w:topLinePunct/>
              <w:adjustRightInd w:val="0"/>
              <w:snapToGrid w:val="0"/>
              <w:spacing w:line="360" w:lineRule="auto"/>
              <w:jc w:val="both"/>
              <w:rPr>
                <w:rFonts w:hint="eastAsia"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input710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r w14:paraId="5A638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2214" w:type="dxa"/>
            <w:noWrap w:val="0"/>
            <w:vAlign w:val="center"/>
          </w:tcPr>
          <w:p w14:paraId="47159E99">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账    号：</w:t>
            </w:r>
          </w:p>
        </w:tc>
        <w:tc>
          <w:tcPr>
            <w:tcW w:w="2430" w:type="dxa"/>
            <w:noWrap w:val="0"/>
            <w:vAlign w:val="center"/>
          </w:tcPr>
          <w:p w14:paraId="05A79678">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input711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c>
          <w:tcPr>
            <w:tcW w:w="2235" w:type="dxa"/>
            <w:noWrap w:val="0"/>
            <w:vAlign w:val="center"/>
          </w:tcPr>
          <w:p w14:paraId="426CE0FA">
            <w:pPr>
              <w:topLinePunct/>
              <w:adjustRightInd w:val="0"/>
              <w:snapToGrid w:val="0"/>
              <w:spacing w:line="360" w:lineRule="auto"/>
              <w:jc w:val="both"/>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账    号：</w:t>
            </w:r>
          </w:p>
        </w:tc>
        <w:tc>
          <w:tcPr>
            <w:tcW w:w="2407" w:type="dxa"/>
            <w:noWrap w:val="0"/>
            <w:vAlign w:val="center"/>
          </w:tcPr>
          <w:p w14:paraId="68034147">
            <w:pPr>
              <w:topLinePunct/>
              <w:adjustRightInd w:val="0"/>
              <w:snapToGrid w:val="0"/>
              <w:spacing w:line="360" w:lineRule="auto"/>
              <w:jc w:val="both"/>
              <w:rPr>
                <w:rFonts w:hint="eastAsia"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fldChar w:fldCharType="begin"/>
            </w:r>
            <w:r>
              <w:rPr>
                <w:rFonts w:hint="eastAsia" w:ascii="宋体" w:hAnsi="宋体" w:eastAsia="宋体" w:cs="宋体"/>
                <w:kern w:val="0"/>
                <w:sz w:val="21"/>
                <w:szCs w:val="21"/>
                <w:highlight w:val="none"/>
                <w:u w:val="single"/>
              </w:rPr>
              <w:instrText xml:space="preserve"> AUTOTEXT  input719 \* MERGEFORMAT </w:instrText>
            </w:r>
            <w:r>
              <w:rPr>
                <w:rFonts w:hint="eastAsia" w:ascii="宋体" w:hAnsi="宋体" w:eastAsia="宋体" w:cs="宋体"/>
                <w:kern w:val="0"/>
                <w:sz w:val="21"/>
                <w:szCs w:val="21"/>
                <w:highlight w:val="none"/>
                <w:u w:val="single"/>
              </w:rPr>
              <w:fldChar w:fldCharType="separate"/>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fldChar w:fldCharType="end"/>
            </w:r>
          </w:p>
        </w:tc>
      </w:tr>
    </w:tbl>
    <w:p w14:paraId="7035A97D">
      <w:pPr>
        <w:spacing w:line="360" w:lineRule="auto"/>
        <w:jc w:val="both"/>
        <w:rPr>
          <w:rFonts w:hint="eastAsia" w:ascii="宋体" w:hAnsi="宋体" w:cs="宋体"/>
          <w:b/>
          <w:bCs/>
          <w:sz w:val="24"/>
          <w:highlight w:val="none"/>
        </w:rPr>
      </w:pPr>
      <w:r>
        <w:rPr>
          <w:rFonts w:hint="eastAsia" w:ascii="宋体" w:hAnsi="宋体" w:cs="宋体"/>
          <w:b/>
          <w:bCs/>
          <w:sz w:val="24"/>
          <w:highlight w:val="none"/>
        </w:rPr>
        <w:br w:type="page"/>
      </w:r>
    </w:p>
    <w:p w14:paraId="3E4A6093">
      <w:pPr>
        <w:adjustRightInd w:val="0"/>
        <w:snapToGrid w:val="0"/>
        <w:spacing w:line="360" w:lineRule="auto"/>
        <w:jc w:val="center"/>
        <w:outlineLvl w:val="1"/>
        <w:rPr>
          <w:rFonts w:hint="eastAsia" w:ascii="宋体" w:hAnsi="宋体" w:cs="宋体"/>
          <w:b/>
          <w:bCs/>
          <w:sz w:val="24"/>
          <w:highlight w:val="none"/>
        </w:rPr>
      </w:pPr>
      <w:bookmarkStart w:id="242" w:name="_Toc208348091"/>
      <w:bookmarkStart w:id="243" w:name="_Toc193723535"/>
      <w:bookmarkStart w:id="244" w:name="_Toc27801"/>
      <w:bookmarkStart w:id="245" w:name="_Toc208348180"/>
      <w:r>
        <w:rPr>
          <w:rFonts w:hint="eastAsia" w:ascii="宋体" w:hAnsi="宋体" w:cs="宋体"/>
          <w:b/>
          <w:bCs/>
          <w:sz w:val="24"/>
          <w:highlight w:val="none"/>
        </w:rPr>
        <w:t>第二部分 通用合同条款</w:t>
      </w:r>
      <w:bookmarkEnd w:id="242"/>
      <w:bookmarkEnd w:id="243"/>
      <w:bookmarkEnd w:id="244"/>
      <w:bookmarkEnd w:id="245"/>
    </w:p>
    <w:p w14:paraId="26E41B6A">
      <w:pPr>
        <w:adjustRightInd w:val="0"/>
        <w:snapToGrid w:val="0"/>
        <w:spacing w:line="360" w:lineRule="auto"/>
        <w:ind w:firstLine="420" w:firstLineChars="200"/>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采用国家工商行政管理局和建设部颁发的《建设工程施工合同》(GF一20170201)的通用条款</w:t>
      </w:r>
      <w:r>
        <w:rPr>
          <w:rFonts w:hint="eastAsia" w:ascii="宋体" w:hAnsi="宋体" w:cs="宋体"/>
          <w:b w:val="0"/>
          <w:bCs w:val="0"/>
          <w:szCs w:val="21"/>
          <w:highlight w:val="none"/>
          <w:lang w:eastAsia="zh-CN"/>
        </w:rPr>
        <w:t>。</w:t>
      </w:r>
    </w:p>
    <w:bookmarkEnd w:id="232"/>
    <w:bookmarkEnd w:id="233"/>
    <w:bookmarkEnd w:id="234"/>
    <w:p w14:paraId="5702D814">
      <w:pPr>
        <w:adjustRightInd w:val="0"/>
        <w:snapToGrid w:val="0"/>
        <w:spacing w:line="360" w:lineRule="auto"/>
        <w:ind w:firstLine="198"/>
        <w:jc w:val="center"/>
        <w:outlineLvl w:val="1"/>
        <w:rPr>
          <w:rFonts w:hint="eastAsia" w:ascii="宋体" w:hAnsi="宋体" w:cs="宋体"/>
          <w:b/>
          <w:bCs/>
          <w:color w:val="000000"/>
          <w:sz w:val="28"/>
          <w:szCs w:val="28"/>
          <w:highlight w:val="none"/>
        </w:rPr>
      </w:pPr>
      <w:r>
        <w:rPr>
          <w:rFonts w:hint="eastAsia" w:ascii="宋体" w:hAnsi="宋体" w:cs="宋体"/>
          <w:szCs w:val="21"/>
          <w:highlight w:val="none"/>
        </w:rPr>
        <w:br w:type="page"/>
      </w:r>
      <w:bookmarkStart w:id="246" w:name="_Toc208348181"/>
      <w:bookmarkStart w:id="247" w:name="_Toc208348092"/>
      <w:bookmarkStart w:id="248" w:name="_Toc26673"/>
      <w:bookmarkStart w:id="249" w:name="_Toc193723536"/>
      <w:r>
        <w:rPr>
          <w:rFonts w:hint="eastAsia" w:ascii="宋体" w:hAnsi="宋体" w:cs="宋体"/>
          <w:b/>
          <w:bCs/>
          <w:color w:val="000000"/>
          <w:sz w:val="28"/>
          <w:szCs w:val="28"/>
          <w:highlight w:val="none"/>
        </w:rPr>
        <w:t>第三部分 专用合同条款</w:t>
      </w:r>
      <w:bookmarkEnd w:id="235"/>
      <w:bookmarkEnd w:id="236"/>
      <w:bookmarkEnd w:id="237"/>
      <w:bookmarkEnd w:id="238"/>
      <w:bookmarkEnd w:id="239"/>
      <w:bookmarkEnd w:id="240"/>
      <w:bookmarkEnd w:id="241"/>
      <w:bookmarkEnd w:id="246"/>
      <w:bookmarkEnd w:id="247"/>
      <w:bookmarkEnd w:id="248"/>
      <w:bookmarkEnd w:id="249"/>
      <w:bookmarkStart w:id="250" w:name="_Toc351203633"/>
    </w:p>
    <w:bookmarkEnd w:id="250"/>
    <w:p w14:paraId="4081F81D">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1. 一般约定</w:t>
      </w:r>
    </w:p>
    <w:p w14:paraId="10593C5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 词语定义</w:t>
      </w:r>
    </w:p>
    <w:p w14:paraId="3FF5746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1.1.1合同</w:t>
      </w:r>
    </w:p>
    <w:p w14:paraId="0D24D16C">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1.1.1.10其他合同文件包括：</w:t>
      </w:r>
      <w:r>
        <w:rPr>
          <w:rFonts w:hint="eastAsia" w:ascii="宋体" w:hAnsi="宋体"/>
          <w:szCs w:val="21"/>
          <w:highlight w:val="none"/>
          <w:u w:val="single"/>
        </w:rPr>
        <w:t>合同协议书、</w:t>
      </w:r>
      <w:r>
        <w:rPr>
          <w:rFonts w:hint="eastAsia" w:ascii="宋体" w:hAnsi="宋体"/>
          <w:szCs w:val="21"/>
          <w:highlight w:val="none"/>
          <w:u w:val="single"/>
          <w:lang w:val="en-US" w:eastAsia="zh-CN"/>
        </w:rPr>
        <w:t>成交</w:t>
      </w:r>
      <w:r>
        <w:rPr>
          <w:rFonts w:hint="eastAsia" w:ascii="宋体" w:hAnsi="宋体"/>
          <w:szCs w:val="21"/>
          <w:highlight w:val="none"/>
          <w:u w:val="single"/>
        </w:rPr>
        <w:t>通知书、</w:t>
      </w:r>
      <w:r>
        <w:rPr>
          <w:rFonts w:hint="eastAsia" w:ascii="宋体" w:hAnsi="宋体"/>
          <w:szCs w:val="21"/>
          <w:highlight w:val="none"/>
          <w:u w:val="single"/>
          <w:lang w:val="en-US" w:eastAsia="zh-CN"/>
        </w:rPr>
        <w:t>磋商申请函</w:t>
      </w:r>
      <w:r>
        <w:rPr>
          <w:rFonts w:hint="eastAsia" w:ascii="宋体" w:hAnsi="宋体"/>
          <w:szCs w:val="21"/>
          <w:highlight w:val="none"/>
          <w:u w:val="single"/>
          <w:lang w:eastAsia="zh-CN"/>
        </w:rPr>
        <w:t>、</w:t>
      </w:r>
      <w:r>
        <w:rPr>
          <w:rFonts w:hint="eastAsia" w:ascii="宋体" w:hAnsi="宋体"/>
          <w:szCs w:val="21"/>
          <w:highlight w:val="none"/>
          <w:u w:val="single"/>
        </w:rPr>
        <w:t>通用合同条款、专用合同条款及其附件、技术标准和要求、图纸、已标价工程量清单及其他合同文件。</w:t>
      </w:r>
    </w:p>
    <w:p w14:paraId="4BFB6DA1">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1.1.2 合同当事人及其他相关方</w:t>
      </w:r>
    </w:p>
    <w:p w14:paraId="2C2BCB4E">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1.1.2.4监理人：</w:t>
      </w:r>
    </w:p>
    <w:p w14:paraId="6224872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名    称：</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   </w:t>
      </w:r>
      <w:r>
        <w:rPr>
          <w:rFonts w:ascii="宋体" w:hAnsi="宋体"/>
          <w:szCs w:val="21"/>
          <w:highlight w:val="none"/>
        </w:rPr>
        <w:t>；</w:t>
      </w:r>
    </w:p>
    <w:p w14:paraId="216BE78E">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资质类别和等级：</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hint="eastAsia" w:ascii="宋体" w:hAnsi="宋体"/>
          <w:szCs w:val="21"/>
          <w:highlight w:val="none"/>
          <w:u w:val="single"/>
        </w:rPr>
        <w:t xml:space="preserve">  </w:t>
      </w:r>
      <w:r>
        <w:rPr>
          <w:rFonts w:ascii="宋体" w:hAnsi="宋体"/>
          <w:szCs w:val="21"/>
          <w:highlight w:val="none"/>
        </w:rPr>
        <w:t>；</w:t>
      </w:r>
    </w:p>
    <w:p w14:paraId="770BA9AC">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联系电话：</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rPr>
        <w:t>；</w:t>
      </w:r>
    </w:p>
    <w:p w14:paraId="5DFFFE3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电子信箱：</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   </w:t>
      </w:r>
      <w:r>
        <w:rPr>
          <w:rFonts w:ascii="宋体" w:hAnsi="宋体"/>
          <w:szCs w:val="21"/>
          <w:highlight w:val="none"/>
        </w:rPr>
        <w:t>；</w:t>
      </w:r>
    </w:p>
    <w:p w14:paraId="2357227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通信地址：</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rPr>
        <w:t>。</w:t>
      </w:r>
    </w:p>
    <w:p w14:paraId="3DB68D8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1.1.2.5 设计人：</w:t>
      </w:r>
    </w:p>
    <w:p w14:paraId="7C4AF56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名    称：</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rPr>
        <w:t>；</w:t>
      </w:r>
    </w:p>
    <w:p w14:paraId="291A3E5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资质类别和等级：</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rPr>
        <w:t>；</w:t>
      </w:r>
    </w:p>
    <w:p w14:paraId="47D174F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联系电话：</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rPr>
        <w:t>；</w:t>
      </w:r>
    </w:p>
    <w:p w14:paraId="2755113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电子信箱：</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rPr>
        <w:t>；</w:t>
      </w:r>
    </w:p>
    <w:p w14:paraId="4398019E">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通信地址：</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rPr>
        <w:t>。</w:t>
      </w:r>
    </w:p>
    <w:p w14:paraId="73F4D3E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1.1.3 工程和设备</w:t>
      </w:r>
    </w:p>
    <w:p w14:paraId="12F9224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1.1.3.7 作为施工现场组成部分的其他场所包括：</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hint="eastAsia"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rPr>
        <w:t>。</w:t>
      </w:r>
    </w:p>
    <w:p w14:paraId="1ECACA45">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1.1.3.9 永久占地包括：</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kern w:val="0"/>
          <w:szCs w:val="21"/>
          <w:highlight w:val="none"/>
        </w:rPr>
        <w:t>。</w:t>
      </w:r>
    </w:p>
    <w:p w14:paraId="10657C4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kern w:val="0"/>
          <w:szCs w:val="21"/>
          <w:highlight w:val="none"/>
        </w:rPr>
        <w:t>1.1.3.10 临时占地包括：</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eastAsia="宋体" w:cs="Times New Roman"/>
          <w:szCs w:val="21"/>
          <w:highlight w:val="none"/>
          <w:u w:val="single"/>
        </w:rPr>
        <w:t xml:space="preserve">    </w:t>
      </w:r>
      <w:r>
        <w:rPr>
          <w:rFonts w:ascii="宋体" w:hAnsi="宋体" w:eastAsia="宋体" w:cs="Times New Roman"/>
          <w:szCs w:val="21"/>
          <w:highlight w:val="none"/>
          <w:u w:val="single"/>
        </w:rPr>
        <w:sym w:font="宋体" w:char="E5E5"/>
      </w:r>
      <w:r>
        <w:rPr>
          <w:rFonts w:ascii="宋体" w:hAnsi="宋体" w:eastAsia="宋体" w:cs="Times New Roman"/>
          <w:szCs w:val="21"/>
          <w:highlight w:val="none"/>
          <w:u w:val="single"/>
        </w:rPr>
        <w:sym w:font="宋体" w:char="E5E5"/>
      </w:r>
      <w:r>
        <w:rPr>
          <w:rFonts w:ascii="宋体" w:hAnsi="宋体" w:eastAsia="宋体" w:cs="Times New Roman"/>
          <w:szCs w:val="21"/>
          <w:highlight w:val="none"/>
          <w:u w:val="single"/>
        </w:rPr>
        <w:sym w:font="宋体" w:char="E5E5"/>
      </w:r>
      <w:r>
        <w:rPr>
          <w:rFonts w:ascii="宋体" w:hAnsi="宋体" w:eastAsia="宋体" w:cs="Times New Roman"/>
          <w:szCs w:val="21"/>
          <w:highlight w:val="none"/>
          <w:u w:val="single"/>
        </w:rPr>
        <w:t xml:space="preserve"> </w:t>
      </w:r>
      <w:r>
        <w:rPr>
          <w:rFonts w:ascii="宋体" w:hAnsi="宋体"/>
          <w:szCs w:val="21"/>
          <w:highlight w:val="none"/>
          <w:u w:val="single"/>
        </w:rPr>
        <w:t></w:t>
      </w:r>
      <w:r>
        <w:rPr>
          <w:rFonts w:ascii="宋体" w:hAnsi="宋体"/>
          <w:kern w:val="0"/>
          <w:szCs w:val="21"/>
          <w:highlight w:val="none"/>
        </w:rPr>
        <w:t>。</w:t>
      </w:r>
    </w:p>
    <w:p w14:paraId="101CB39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eastAsia="宋体" w:cs="Times New Roman"/>
          <w:szCs w:val="21"/>
          <w:highlight w:val="none"/>
        </w:rPr>
      </w:pPr>
      <w:r>
        <w:rPr>
          <w:rFonts w:ascii="宋体" w:hAnsi="宋体"/>
          <w:szCs w:val="21"/>
          <w:highlight w:val="none"/>
        </w:rPr>
        <w:t>1.3</w:t>
      </w:r>
      <w:r>
        <w:rPr>
          <w:rFonts w:ascii="宋体" w:hAnsi="宋体" w:eastAsia="宋体" w:cs="Times New Roman"/>
          <w:szCs w:val="21"/>
          <w:highlight w:val="none"/>
        </w:rPr>
        <w:t xml:space="preserve">法律 </w:t>
      </w:r>
    </w:p>
    <w:p w14:paraId="2B42C43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适用于合同的其他规范性文件：</w:t>
      </w:r>
      <w:r>
        <w:rPr>
          <w:rFonts w:hint="eastAsia" w:ascii="宋体" w:hAnsi="宋体"/>
          <w:szCs w:val="21"/>
          <w:highlight w:val="none"/>
          <w:u w:val="single"/>
        </w:rPr>
        <w:t>《中华人民共和国民法典》《中华人民共和国建筑法》《中华人民共和国</w:t>
      </w:r>
      <w:r>
        <w:rPr>
          <w:rFonts w:hint="eastAsia" w:ascii="宋体" w:hAnsi="宋体"/>
          <w:szCs w:val="21"/>
          <w:highlight w:val="none"/>
          <w:u w:val="single"/>
          <w:lang w:val="en-US" w:eastAsia="zh-CN"/>
        </w:rPr>
        <w:t>建设</w:t>
      </w:r>
      <w:r>
        <w:rPr>
          <w:rFonts w:hint="eastAsia" w:ascii="宋体" w:hAnsi="宋体"/>
          <w:szCs w:val="21"/>
          <w:highlight w:val="none"/>
          <w:u w:val="single"/>
        </w:rPr>
        <w:t>工程质量管理条例》等现行法律、法规规章及行业规范文件。</w:t>
      </w:r>
    </w:p>
    <w:p w14:paraId="5C9F0C3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1.4 标准和规范</w:t>
      </w:r>
    </w:p>
    <w:p w14:paraId="5AA12C41">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u w:val="single"/>
        </w:rPr>
      </w:pPr>
      <w:r>
        <w:rPr>
          <w:rFonts w:ascii="宋体" w:hAnsi="宋体"/>
          <w:szCs w:val="21"/>
          <w:highlight w:val="none"/>
        </w:rPr>
        <w:t>1.4.1适用于工程的标准规范包括：</w:t>
      </w:r>
      <w:r>
        <w:rPr>
          <w:rFonts w:ascii="宋体" w:hAnsi="宋体"/>
          <w:szCs w:val="21"/>
          <w:highlight w:val="none"/>
          <w:u w:val="single"/>
        </w:rPr>
        <w:sym w:font="宋体" w:char="E5E5"/>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.云建标[2021]15号云南省住房和城乡建设厅关于《云南省建设工程造价计价标准（2020版）》发布实施的通知，国家及省建设行政管理部门的相关规定。</w:t>
      </w:r>
    </w:p>
    <w:p w14:paraId="5F8559DB">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建设工程工程量清单计价标准》（GB/T50500-2024）、《房屋建筑与装饰工程工程量计算标准》（GB/T50854-2024）、《仿古建筑工程工程量计算标准》（GB/T50855-2024）、《通用安装工程工程量计算标准》（GB/T50856-2024）《市政工程工程量计算标准》（GB/T50857-2024）、《园林绿化工程工程量计算标准》（GB/T50858-2024）、《构筑物工程工程量计算标准》（GB/T50860-2024）</w:t>
      </w:r>
    </w:p>
    <w:p w14:paraId="69E41197">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3.《云南省建筑工程计价标准》（DBJ53/T-61-2020）、《云南省园林绿化工程计价标准》（DBJ53/T-60-2020）、《云南省通用安装工程计价标准》（DBJ53/T-63-2020）、《云南省市政工程计价标准》（DBJ53/T-59-2020）、《云南省建设工程造价计价规则及机械仪器仪表台班费用定额》(DBJ53/T-58-2020)及相关文件等。</w:t>
      </w:r>
    </w:p>
    <w:p w14:paraId="2D0A9E3B">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4</w:t>
      </w:r>
      <w:r>
        <w:rPr>
          <w:rFonts w:hint="eastAsia" w:ascii="宋体" w:hAnsi="宋体"/>
          <w:color w:val="auto"/>
          <w:szCs w:val="21"/>
          <w:highlight w:val="none"/>
          <w:u w:val="single"/>
        </w:rPr>
        <w:t>.云南省住房和城乡建设厅文件云建科函[2019]62号《云南省住房和城乡建设厅关于重新调整云南省建设工程造价计价依据中税金综合税率的通知》。</w:t>
      </w:r>
    </w:p>
    <w:p w14:paraId="5CA65A97">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.云南省住房和城乡建设厅文件云建科[2023]54号《云南省住房和城乡建设厅关于云南省建设工程造价计价标准调整定额人工费的通知》;</w:t>
      </w:r>
    </w:p>
    <w:p w14:paraId="0A12B8FF">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6</w:t>
      </w:r>
      <w:r>
        <w:rPr>
          <w:rFonts w:hint="eastAsia" w:ascii="宋体" w:hAnsi="宋体"/>
          <w:color w:val="auto"/>
          <w:szCs w:val="21"/>
          <w:highlight w:val="none"/>
          <w:u w:val="single"/>
        </w:rPr>
        <w:t>.与本项目建设有关的施工技术、验收规范及标准图集等技术资料。</w:t>
      </w:r>
    </w:p>
    <w:p w14:paraId="69B246E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yellow"/>
        </w:rPr>
      </w:pPr>
      <w:r>
        <w:rPr>
          <w:rFonts w:hint="eastAsia" w:ascii="宋体" w:hAnsi="宋体"/>
          <w:color w:val="auto"/>
          <w:szCs w:val="21"/>
          <w:highlight w:val="none"/>
          <w:u w:val="single"/>
          <w:lang w:val="en-US" w:eastAsia="zh-CN"/>
        </w:rPr>
        <w:t>7</w:t>
      </w:r>
      <w:r>
        <w:rPr>
          <w:rFonts w:hint="eastAsia" w:ascii="宋体" w:hAnsi="宋体"/>
          <w:color w:val="auto"/>
          <w:szCs w:val="21"/>
          <w:highlight w:val="none"/>
          <w:u w:val="single"/>
        </w:rPr>
        <w:t>.本工程主要材料价参考《云南省</w:t>
      </w:r>
      <w:r>
        <w:rPr>
          <w:rFonts w:hint="eastAsia" w:ascii="宋体" w:hAnsi="宋体"/>
          <w:color w:val="auto"/>
          <w:szCs w:val="21"/>
          <w:highlight w:val="none"/>
          <w:u w:val="single"/>
          <w:lang w:val="en-US" w:eastAsia="zh-CN"/>
        </w:rPr>
        <w:t>保山</w:t>
      </w:r>
      <w:r>
        <w:rPr>
          <w:rFonts w:hint="eastAsia" w:ascii="宋体" w:hAnsi="宋体"/>
          <w:color w:val="auto"/>
          <w:szCs w:val="21"/>
          <w:highlight w:val="none"/>
          <w:u w:val="single"/>
        </w:rPr>
        <w:t>市建设工程造价信息平台》2026年第</w:t>
      </w:r>
      <w:r>
        <w:rPr>
          <w:rFonts w:hint="eastAsia" w:ascii="宋体" w:hAnsi="宋体"/>
          <w:color w:val="auto"/>
          <w:szCs w:val="21"/>
          <w:highlight w:val="none"/>
          <w:u w:val="single"/>
          <w:lang w:val="en-US" w:eastAsia="zh-CN"/>
        </w:rPr>
        <w:t>8</w:t>
      </w:r>
      <w:r>
        <w:rPr>
          <w:rFonts w:hint="eastAsia" w:ascii="宋体" w:hAnsi="宋体"/>
          <w:color w:val="auto"/>
          <w:szCs w:val="21"/>
          <w:highlight w:val="none"/>
          <w:u w:val="single"/>
        </w:rPr>
        <w:t>月指导价计算，《云南省</w:t>
      </w:r>
      <w:r>
        <w:rPr>
          <w:rFonts w:hint="eastAsia" w:ascii="宋体" w:hAnsi="宋体"/>
          <w:color w:val="auto"/>
          <w:szCs w:val="21"/>
          <w:highlight w:val="none"/>
          <w:u w:val="single"/>
          <w:lang w:val="en-US" w:eastAsia="zh-CN"/>
        </w:rPr>
        <w:t>保山市</w:t>
      </w:r>
      <w:r>
        <w:rPr>
          <w:rFonts w:hint="eastAsia" w:ascii="宋体" w:hAnsi="宋体"/>
          <w:color w:val="auto"/>
          <w:szCs w:val="21"/>
          <w:highlight w:val="none"/>
          <w:u w:val="single"/>
        </w:rPr>
        <w:t>建设工程造价信息平台》没有的部分材料价按照2026年第</w:t>
      </w:r>
      <w:r>
        <w:rPr>
          <w:rFonts w:hint="eastAsia" w:ascii="宋体" w:hAnsi="宋体"/>
          <w:color w:val="auto"/>
          <w:szCs w:val="21"/>
          <w:highlight w:val="none"/>
          <w:u w:val="single"/>
          <w:lang w:val="en-US" w:eastAsia="zh-CN"/>
        </w:rPr>
        <w:t>8</w:t>
      </w:r>
      <w:r>
        <w:rPr>
          <w:rFonts w:hint="eastAsia" w:ascii="宋体" w:hAnsi="宋体"/>
          <w:color w:val="auto"/>
          <w:szCs w:val="21"/>
          <w:highlight w:val="none"/>
          <w:u w:val="single"/>
        </w:rPr>
        <w:t>月《云南省工程建设材料及设备价格信息》计算，《云南省工程建设材料及设备价格信息》没有的部分材料价按照市场调查价格计算。</w:t>
      </w:r>
    </w:p>
    <w:p w14:paraId="3DA4E91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u w:val="single"/>
        </w:rPr>
      </w:pPr>
      <w:r>
        <w:rPr>
          <w:rFonts w:ascii="宋体" w:hAnsi="宋体"/>
          <w:kern w:val="0"/>
          <w:szCs w:val="21"/>
          <w:highlight w:val="none"/>
        </w:rPr>
        <w:t>1.4.2 发包人提供国外标准、规范的名称：</w:t>
      </w:r>
      <w:r>
        <w:rPr>
          <w:rFonts w:hint="eastAsia" w:ascii="宋体" w:hAnsi="宋体"/>
          <w:kern w:val="0"/>
          <w:szCs w:val="21"/>
          <w:highlight w:val="none"/>
          <w:u w:val="single"/>
        </w:rPr>
        <w:t>无；</w:t>
      </w:r>
    </w:p>
    <w:p w14:paraId="144BEF9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发包人提供国外标准、规范的份数：</w:t>
      </w:r>
      <w:r>
        <w:rPr>
          <w:rFonts w:hint="eastAsia" w:ascii="宋体" w:hAnsi="宋体"/>
          <w:kern w:val="0"/>
          <w:szCs w:val="21"/>
          <w:highlight w:val="none"/>
          <w:u w:val="single"/>
        </w:rPr>
        <w:t>无</w:t>
      </w:r>
      <w:r>
        <w:rPr>
          <w:rFonts w:ascii="宋体" w:hAnsi="宋体"/>
          <w:kern w:val="0"/>
          <w:szCs w:val="21"/>
          <w:highlight w:val="none"/>
        </w:rPr>
        <w:t>；</w:t>
      </w:r>
    </w:p>
    <w:p w14:paraId="7BA1598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1.4.3发包人对工程的技术标准和功能要求的特殊要求：</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hint="eastAsia" w:ascii="宋体" w:hAnsi="宋体"/>
          <w:szCs w:val="21"/>
          <w:highlight w:val="none"/>
          <w:u w:val="single"/>
        </w:rPr>
        <w:t xml:space="preserve"> </w:t>
      </w:r>
      <w:r>
        <w:rPr>
          <w:rFonts w:ascii="宋体" w:hAnsi="宋体"/>
          <w:szCs w:val="21"/>
          <w:highlight w:val="none"/>
        </w:rPr>
        <w:t>。</w:t>
      </w:r>
    </w:p>
    <w:p w14:paraId="4A9F0F5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1.5 合同文件的优先顺序</w:t>
      </w:r>
    </w:p>
    <w:p w14:paraId="1A6691B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合同文件组成及优先顺序为：</w:t>
      </w:r>
      <w:r>
        <w:rPr>
          <w:rFonts w:hint="eastAsia" w:ascii="宋体" w:hAnsi="宋体"/>
          <w:szCs w:val="21"/>
          <w:highlight w:val="none"/>
          <w:u w:val="single"/>
        </w:rPr>
        <w:t>按第一部分“协议书”第六条合同文件组成及排列顺序</w:t>
      </w:r>
      <w:r>
        <w:rPr>
          <w:rFonts w:ascii="宋体" w:hAnsi="宋体"/>
          <w:szCs w:val="21"/>
          <w:highlight w:val="none"/>
        </w:rPr>
        <w:t>。</w:t>
      </w:r>
    </w:p>
    <w:p w14:paraId="73375F3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1.6 图纸和承包人文件</w:t>
      </w:r>
    </w:p>
    <w:p w14:paraId="4661284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1.6.1 图纸的提供</w:t>
      </w:r>
    </w:p>
    <w:p w14:paraId="39226D4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发包人向承包人提供图纸的期限：</w:t>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   合同签订后</w:t>
      </w:r>
      <w:r>
        <w:rPr>
          <w:rFonts w:hint="eastAsia" w:ascii="宋体" w:hAnsi="宋体"/>
          <w:color w:val="auto"/>
          <w:szCs w:val="21"/>
          <w:highlight w:val="none"/>
          <w:u w:val="single"/>
          <w:lang w:val="en-US" w:eastAsia="zh-CN"/>
        </w:rPr>
        <w:t xml:space="preserve">  日内</w:t>
      </w:r>
      <w:r>
        <w:rPr>
          <w:rFonts w:hint="eastAsia" w:ascii="宋体" w:hAnsi="宋体"/>
          <w:color w:val="auto"/>
          <w:szCs w:val="21"/>
          <w:highlight w:val="none"/>
          <w:u w:val="single"/>
        </w:rPr>
        <w:t xml:space="preserve">  </w:t>
      </w:r>
      <w:r>
        <w:rPr>
          <w:rFonts w:ascii="宋体" w:hAnsi="宋体"/>
          <w:color w:val="auto"/>
          <w:szCs w:val="21"/>
          <w:highlight w:val="none"/>
        </w:rPr>
        <w:t>；</w:t>
      </w:r>
    </w:p>
    <w:p w14:paraId="5A94DD7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发包人向承包人提供图纸的数量：</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套</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  </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rPr>
        <w:t>；</w:t>
      </w:r>
    </w:p>
    <w:p w14:paraId="2F45B01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发包人向承包人提供图纸的内容：</w:t>
      </w:r>
      <w:r>
        <w:rPr>
          <w:rFonts w:ascii="宋体" w:hAnsi="宋体"/>
          <w:color w:val="auto"/>
          <w:szCs w:val="21"/>
          <w:highlight w:val="none"/>
          <w:u w:val="single"/>
        </w:rPr>
        <w:sym w:font="宋体" w:char="E5E5"/>
      </w:r>
      <w:r>
        <w:rPr>
          <w:rFonts w:hint="eastAsia" w:ascii="宋体" w:hAnsi="宋体"/>
          <w:color w:val="auto"/>
          <w:szCs w:val="21"/>
          <w:highlight w:val="none"/>
          <w:u w:val="single"/>
        </w:rPr>
        <w:t xml:space="preserve">经审查合格的全套施工图  </w:t>
      </w:r>
      <w:r>
        <w:rPr>
          <w:rFonts w:ascii="宋体" w:hAnsi="宋体"/>
          <w:color w:val="auto"/>
          <w:szCs w:val="21"/>
          <w:highlight w:val="none"/>
        </w:rPr>
        <w:t>。</w:t>
      </w:r>
    </w:p>
    <w:p w14:paraId="7970C69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1.6.4 承包人文件</w:t>
      </w:r>
    </w:p>
    <w:p w14:paraId="0EA194F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u w:val="single"/>
        </w:rPr>
      </w:pPr>
      <w:r>
        <w:rPr>
          <w:rFonts w:ascii="宋体" w:hAnsi="宋体"/>
          <w:color w:val="auto"/>
          <w:szCs w:val="21"/>
          <w:highlight w:val="none"/>
        </w:rPr>
        <w:t>需要由承包人提供的文件，包括：</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w:t>
      </w:r>
    </w:p>
    <w:p w14:paraId="68BDF57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承包人提供的文件的期限为：</w:t>
      </w:r>
      <w:r>
        <w:rPr>
          <w:rFonts w:hint="eastAsia" w:ascii="宋体" w:hAnsi="宋体"/>
          <w:color w:val="auto"/>
          <w:szCs w:val="21"/>
          <w:highlight w:val="none"/>
          <w:u w:val="single"/>
        </w:rPr>
        <w:t>开工前</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日内</w:t>
      </w:r>
      <w:r>
        <w:rPr>
          <w:rFonts w:ascii="宋体" w:hAnsi="宋体"/>
          <w:color w:val="auto"/>
          <w:szCs w:val="21"/>
          <w:highlight w:val="none"/>
        </w:rPr>
        <w:t>；</w:t>
      </w:r>
    </w:p>
    <w:p w14:paraId="05C3A22C">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承包人提供的文件的数量为：</w:t>
      </w:r>
      <w:r>
        <w:rPr>
          <w:rFonts w:hint="eastAsia" w:ascii="宋体" w:hAnsi="宋体"/>
          <w:color w:val="auto"/>
          <w:szCs w:val="21"/>
          <w:highlight w:val="none"/>
          <w:u w:val="single"/>
        </w:rPr>
        <w:t>按</w:t>
      </w:r>
      <w:r>
        <w:rPr>
          <w:rFonts w:hint="eastAsia" w:ascii="宋体" w:hAnsi="宋体"/>
          <w:color w:val="auto"/>
          <w:szCs w:val="21"/>
          <w:highlight w:val="none"/>
          <w:u w:val="single"/>
          <w:lang w:val="en-US" w:eastAsia="zh-CN"/>
        </w:rPr>
        <w:t>发包人</w:t>
      </w:r>
      <w:r>
        <w:rPr>
          <w:rFonts w:hint="eastAsia" w:ascii="宋体" w:hAnsi="宋体"/>
          <w:color w:val="auto"/>
          <w:szCs w:val="21"/>
          <w:highlight w:val="none"/>
          <w:u w:val="single"/>
        </w:rPr>
        <w:t>实际需要提供</w:t>
      </w:r>
      <w:r>
        <w:rPr>
          <w:rFonts w:ascii="宋体" w:hAnsi="宋体"/>
          <w:color w:val="auto"/>
          <w:szCs w:val="21"/>
          <w:highlight w:val="none"/>
        </w:rPr>
        <w:t>；</w:t>
      </w:r>
    </w:p>
    <w:p w14:paraId="6EC3F1D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承包人提供的文件的形式为：</w:t>
      </w:r>
      <w:r>
        <w:rPr>
          <w:rFonts w:hint="eastAsia" w:ascii="宋体" w:hAnsi="宋体"/>
          <w:color w:val="auto"/>
          <w:szCs w:val="21"/>
          <w:highlight w:val="none"/>
          <w:u w:val="single"/>
        </w:rPr>
        <w:t>纸质（或电子版）</w:t>
      </w:r>
      <w:r>
        <w:rPr>
          <w:rFonts w:ascii="宋体" w:hAnsi="宋体"/>
          <w:color w:val="auto"/>
          <w:szCs w:val="21"/>
          <w:highlight w:val="none"/>
          <w:u w:val="single"/>
        </w:rPr>
        <w:sym w:font="宋体" w:char="E5E5"/>
      </w:r>
      <w:r>
        <w:rPr>
          <w:rFonts w:ascii="宋体" w:hAnsi="宋体"/>
          <w:color w:val="auto"/>
          <w:szCs w:val="21"/>
          <w:highlight w:val="none"/>
          <w:u w:val="single"/>
        </w:rPr>
        <w:sym w:font="宋体" w:char="E5E5"/>
      </w:r>
      <w:r>
        <w:rPr>
          <w:rFonts w:ascii="宋体" w:hAnsi="宋体"/>
          <w:color w:val="auto"/>
          <w:szCs w:val="21"/>
          <w:highlight w:val="none"/>
        </w:rPr>
        <w:t>；</w:t>
      </w:r>
    </w:p>
    <w:p w14:paraId="39EA482C">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发包人</w:t>
      </w:r>
      <w:r>
        <w:rPr>
          <w:rFonts w:hint="eastAsia" w:ascii="宋体" w:hAnsi="宋体"/>
          <w:color w:val="auto"/>
          <w:szCs w:val="21"/>
          <w:highlight w:val="none"/>
        </w:rPr>
        <w:t>审批</w:t>
      </w:r>
      <w:r>
        <w:rPr>
          <w:rFonts w:ascii="宋体" w:hAnsi="宋体"/>
          <w:color w:val="auto"/>
          <w:szCs w:val="21"/>
          <w:highlight w:val="none"/>
        </w:rPr>
        <w:t>承包人文件的期限：</w:t>
      </w:r>
      <w:r>
        <w:rPr>
          <w:rFonts w:hint="eastAsia" w:ascii="宋体" w:hAnsi="宋体"/>
          <w:color w:val="auto"/>
          <w:szCs w:val="21"/>
          <w:highlight w:val="none"/>
          <w:u w:val="single"/>
          <w:lang w:val="en-US" w:eastAsia="zh-CN"/>
        </w:rPr>
        <w:t>收到材料后  天内</w:t>
      </w:r>
      <w:r>
        <w:rPr>
          <w:rFonts w:ascii="宋体" w:hAnsi="宋体"/>
          <w:color w:val="auto"/>
          <w:szCs w:val="21"/>
          <w:highlight w:val="none"/>
        </w:rPr>
        <w:t>。</w:t>
      </w:r>
    </w:p>
    <w:p w14:paraId="7AA16EE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1.6.5 现场图纸准备</w:t>
      </w:r>
    </w:p>
    <w:p w14:paraId="2CA4680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关于现场图纸准备的约定：</w:t>
      </w:r>
      <w:r>
        <w:rPr>
          <w:rFonts w:hint="eastAsia" w:ascii="宋体" w:hAnsi="宋体"/>
          <w:color w:val="auto"/>
          <w:szCs w:val="21"/>
          <w:highlight w:val="none"/>
          <w:u w:val="single"/>
        </w:rPr>
        <w:t>施工现场留存一套完整的施工图纸</w:t>
      </w:r>
      <w:r>
        <w:rPr>
          <w:rFonts w:ascii="宋体" w:hAnsi="宋体"/>
          <w:color w:val="auto"/>
          <w:szCs w:val="21"/>
          <w:highlight w:val="none"/>
        </w:rPr>
        <w:t>。</w:t>
      </w:r>
    </w:p>
    <w:p w14:paraId="47FD5A9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1.7 联络</w:t>
      </w:r>
    </w:p>
    <w:p w14:paraId="4223DB2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1.7.1发包人和承包人应当在</w:t>
      </w:r>
      <w:r>
        <w:rPr>
          <w:rFonts w:ascii="宋体" w:hAnsi="宋体"/>
          <w:szCs w:val="21"/>
          <w:highlight w:val="none"/>
          <w:u w:val="single"/>
        </w:rPr>
        <w:sym w:font="宋体" w:char="E5E5"/>
      </w:r>
      <w:r>
        <w:rPr>
          <w:rFonts w:ascii="宋体" w:hAnsi="宋体"/>
          <w:kern w:val="0"/>
          <w:szCs w:val="21"/>
          <w:highlight w:val="none"/>
        </w:rPr>
        <w:t>天内将与合同有关的通知、批准、证明、证书、指示、指令、要求、请求、同意、意见、确定和决定等书面函件送达对方当事人</w:t>
      </w:r>
      <w:r>
        <w:rPr>
          <w:rFonts w:hint="eastAsia" w:ascii="宋体" w:hAnsi="宋体"/>
          <w:kern w:val="0"/>
          <w:szCs w:val="21"/>
          <w:highlight w:val="none"/>
        </w:rPr>
        <w:t>。</w:t>
      </w:r>
    </w:p>
    <w:p w14:paraId="459652A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1.7.2 发包人接收文件的地点：</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kern w:val="0"/>
          <w:szCs w:val="21"/>
          <w:highlight w:val="none"/>
        </w:rPr>
        <w:t>；</w:t>
      </w:r>
    </w:p>
    <w:p w14:paraId="2D63E2C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发包人指定的接收人为：</w:t>
      </w:r>
      <w:r>
        <w:rPr>
          <w:rFonts w:hint="eastAsia" w:ascii="宋体" w:hAnsi="宋体"/>
          <w:szCs w:val="21"/>
          <w:highlight w:val="none"/>
          <w:u w:val="single"/>
        </w:rPr>
        <w:t xml:space="preserve">                           </w:t>
      </w:r>
      <w:r>
        <w:rPr>
          <w:rFonts w:ascii="宋体" w:hAnsi="宋体"/>
          <w:kern w:val="0"/>
          <w:szCs w:val="21"/>
          <w:highlight w:val="none"/>
        </w:rPr>
        <w:t>；</w:t>
      </w:r>
    </w:p>
    <w:p w14:paraId="4F29AAF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承包人接收文件的地点：</w:t>
      </w:r>
      <w:r>
        <w:rPr>
          <w:rFonts w:hint="eastAsia" w:ascii="宋体" w:hAnsi="宋体"/>
          <w:szCs w:val="21"/>
          <w:highlight w:val="none"/>
          <w:u w:val="single"/>
        </w:rPr>
        <w:t xml:space="preserve">                           </w:t>
      </w:r>
      <w:r>
        <w:rPr>
          <w:rFonts w:ascii="宋体" w:hAnsi="宋体"/>
          <w:kern w:val="0"/>
          <w:szCs w:val="21"/>
          <w:highlight w:val="none"/>
        </w:rPr>
        <w:t>；</w:t>
      </w:r>
    </w:p>
    <w:p w14:paraId="11F7E6D1">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承包人指定的接收人为：</w:t>
      </w:r>
      <w:r>
        <w:rPr>
          <w:rFonts w:hint="eastAsia" w:ascii="宋体" w:hAnsi="宋体"/>
          <w:szCs w:val="21"/>
          <w:highlight w:val="none"/>
          <w:u w:val="single"/>
        </w:rPr>
        <w:t xml:space="preserve">                           </w:t>
      </w:r>
      <w:r>
        <w:rPr>
          <w:rFonts w:ascii="宋体" w:hAnsi="宋体"/>
          <w:kern w:val="0"/>
          <w:szCs w:val="21"/>
          <w:highlight w:val="none"/>
        </w:rPr>
        <w:t>；</w:t>
      </w:r>
    </w:p>
    <w:p w14:paraId="3239280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监理人接收文件的地点：</w:t>
      </w:r>
      <w:r>
        <w:rPr>
          <w:rFonts w:hint="eastAsia" w:ascii="宋体" w:hAnsi="宋体"/>
          <w:szCs w:val="21"/>
          <w:highlight w:val="none"/>
          <w:u w:val="single"/>
        </w:rPr>
        <w:t xml:space="preserve">                           </w:t>
      </w:r>
      <w:r>
        <w:rPr>
          <w:rFonts w:ascii="宋体" w:hAnsi="宋体"/>
          <w:kern w:val="0"/>
          <w:szCs w:val="21"/>
          <w:highlight w:val="none"/>
        </w:rPr>
        <w:t>；</w:t>
      </w:r>
    </w:p>
    <w:p w14:paraId="1D09C06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监理人指定的接收人为：</w:t>
      </w:r>
      <w:r>
        <w:rPr>
          <w:rFonts w:ascii="宋体" w:hAnsi="宋体"/>
          <w:szCs w:val="21"/>
          <w:highlight w:val="none"/>
          <w:u w:val="single"/>
        </w:rPr>
        <w:sym w:font="宋体" w:char="E5E5"/>
      </w:r>
      <w:r>
        <w:rPr>
          <w:rFonts w:ascii="宋体" w:hAnsi="宋体"/>
          <w:szCs w:val="21"/>
          <w:highlight w:val="none"/>
          <w:u w:val="single"/>
        </w:rPr>
        <w:sym w:font="宋体" w:char="E5E5"/>
      </w:r>
      <w:r>
        <w:rPr>
          <w:rFonts w:hint="eastAsia"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kern w:val="0"/>
          <w:szCs w:val="21"/>
          <w:highlight w:val="none"/>
        </w:rPr>
        <w:t>。</w:t>
      </w:r>
    </w:p>
    <w:p w14:paraId="3D7C2A1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1.10 交通运输</w:t>
      </w:r>
    </w:p>
    <w:p w14:paraId="19C0AFD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1.10.1 出入现场的权利</w:t>
      </w:r>
    </w:p>
    <w:p w14:paraId="69BE2B4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u w:val="single"/>
        </w:rPr>
      </w:pPr>
      <w:r>
        <w:rPr>
          <w:rFonts w:ascii="宋体" w:hAnsi="宋体"/>
          <w:szCs w:val="21"/>
          <w:highlight w:val="none"/>
        </w:rPr>
        <w:t>关于出入现场的权利的约定：</w:t>
      </w:r>
      <w:r>
        <w:rPr>
          <w:rFonts w:hint="eastAsia" w:ascii="宋体" w:hAnsi="宋体"/>
          <w:szCs w:val="21"/>
          <w:highlight w:val="none"/>
          <w:u w:val="single"/>
        </w:rPr>
        <w:t>执行通用条款1.10条。</w:t>
      </w:r>
    </w:p>
    <w:p w14:paraId="4C0265D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1.10.3 场内交通</w:t>
      </w:r>
    </w:p>
    <w:p w14:paraId="1A455BFD">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关于场外交通和场内交通的边界的约定：</w:t>
      </w:r>
      <w:r>
        <w:rPr>
          <w:rFonts w:hint="eastAsia" w:ascii="宋体" w:hAnsi="宋体"/>
          <w:szCs w:val="21"/>
          <w:highlight w:val="none"/>
          <w:u w:val="single"/>
        </w:rPr>
        <w:t>以现场实际施工条件为准</w:t>
      </w:r>
      <w:r>
        <w:rPr>
          <w:rFonts w:ascii="宋体" w:hAnsi="宋体"/>
          <w:szCs w:val="21"/>
          <w:highlight w:val="none"/>
        </w:rPr>
        <w:t>。</w:t>
      </w:r>
    </w:p>
    <w:p w14:paraId="21FC0BF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关于发包人向承包人免费提供满足工程施工需要的场内道路和交通设施的约定：</w:t>
      </w:r>
      <w:r>
        <w:rPr>
          <w:rFonts w:hint="eastAsia" w:ascii="宋体" w:hAnsi="宋体"/>
          <w:szCs w:val="21"/>
          <w:highlight w:val="none"/>
          <w:u w:val="single"/>
        </w:rPr>
        <w:t>执行通用条款1.10条</w:t>
      </w:r>
      <w:r>
        <w:rPr>
          <w:rFonts w:ascii="宋体" w:hAnsi="宋体"/>
          <w:szCs w:val="21"/>
          <w:highlight w:val="none"/>
        </w:rPr>
        <w:t xml:space="preserve">。  </w:t>
      </w:r>
    </w:p>
    <w:p w14:paraId="2A86C7F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1.11 知识产权</w:t>
      </w:r>
    </w:p>
    <w:p w14:paraId="411B7A8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szCs w:val="21"/>
          <w:highlight w:val="none"/>
          <w:u w:val="single"/>
          <w:lang w:val="en-US" w:eastAsia="zh-CN"/>
        </w:rPr>
        <w:t>执行通用条款1.11条</w:t>
      </w:r>
      <w:r>
        <w:rPr>
          <w:rFonts w:ascii="宋体" w:hAnsi="宋体"/>
          <w:szCs w:val="21"/>
          <w:highlight w:val="none"/>
        </w:rPr>
        <w:t>。</w:t>
      </w:r>
    </w:p>
    <w:p w14:paraId="4DCA302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关于发包人提供的上述文件的使用限制的要求：</w:t>
      </w:r>
      <w:r>
        <w:rPr>
          <w:rFonts w:hint="eastAsia" w:ascii="宋体" w:hAnsi="宋体"/>
          <w:szCs w:val="21"/>
          <w:highlight w:val="none"/>
          <w:u w:val="single"/>
          <w:lang w:val="en-US" w:eastAsia="zh-CN"/>
        </w:rPr>
        <w:t>执行通用条款1.11条</w:t>
      </w:r>
      <w:r>
        <w:rPr>
          <w:rFonts w:ascii="宋体" w:hAnsi="宋体"/>
          <w:szCs w:val="21"/>
          <w:highlight w:val="none"/>
        </w:rPr>
        <w:t>。</w:t>
      </w:r>
    </w:p>
    <w:p w14:paraId="7E18DF2E">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1.11.2 关于承包人为实施工程所编制文件的著作权的归属：</w:t>
      </w:r>
      <w:r>
        <w:rPr>
          <w:rFonts w:hint="eastAsia" w:ascii="宋体" w:hAnsi="宋体"/>
          <w:szCs w:val="21"/>
          <w:highlight w:val="none"/>
          <w:u w:val="single"/>
          <w:lang w:val="en-US" w:eastAsia="zh-CN"/>
        </w:rPr>
        <w:t>执行通用条款1.11条</w:t>
      </w:r>
      <w:r>
        <w:rPr>
          <w:rFonts w:ascii="宋体" w:hAnsi="宋体"/>
          <w:szCs w:val="21"/>
          <w:highlight w:val="none"/>
        </w:rPr>
        <w:t>。</w:t>
      </w:r>
    </w:p>
    <w:p w14:paraId="16E5CD9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关于承包人提供的上述文件的使用限制的要求：</w:t>
      </w:r>
      <w:r>
        <w:rPr>
          <w:rFonts w:hint="eastAsia" w:ascii="宋体" w:hAnsi="宋体"/>
          <w:szCs w:val="21"/>
          <w:highlight w:val="none"/>
          <w:u w:val="single"/>
          <w:lang w:val="en-US" w:eastAsia="zh-CN"/>
        </w:rPr>
        <w:t>执行通用条款1.11条</w:t>
      </w:r>
      <w:r>
        <w:rPr>
          <w:rFonts w:ascii="宋体" w:hAnsi="宋体"/>
          <w:szCs w:val="21"/>
          <w:highlight w:val="none"/>
        </w:rPr>
        <w:t>。</w:t>
      </w:r>
    </w:p>
    <w:p w14:paraId="51BBE68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szCs w:val="21"/>
          <w:highlight w:val="none"/>
        </w:rPr>
        <w:t>1.11.4 承包人在施工过程中所采用的专利、专有技术、技术秘密的使用费的承担方式：</w:t>
      </w:r>
      <w:r>
        <w:rPr>
          <w:rFonts w:hint="eastAsia" w:ascii="宋体" w:hAnsi="宋体"/>
          <w:szCs w:val="21"/>
          <w:highlight w:val="none"/>
          <w:u w:val="single"/>
        </w:rPr>
        <w:t>均已包含在签约合同价款中</w:t>
      </w:r>
      <w:r>
        <w:rPr>
          <w:rFonts w:ascii="宋体" w:hAnsi="宋体"/>
          <w:kern w:val="0"/>
          <w:szCs w:val="21"/>
          <w:highlight w:val="none"/>
        </w:rPr>
        <w:t>。</w:t>
      </w:r>
    </w:p>
    <w:p w14:paraId="09A5AFB8">
      <w:pPr>
        <w:keepNext w:val="0"/>
        <w:keepLines w:val="0"/>
        <w:pageBreakBefore w:val="0"/>
        <w:kinsoku/>
        <w:wordWrap/>
        <w:overflowPunct/>
        <w:topLinePunct w:val="0"/>
        <w:bidi w:val="0"/>
        <w:adjustRightInd w:val="0"/>
        <w:snapToGrid w:val="0"/>
        <w:spacing w:line="360" w:lineRule="auto"/>
        <w:ind w:left="0" w:leftChars="0" w:right="0" w:firstLine="420" w:firstLineChars="200"/>
        <w:textAlignment w:val="auto"/>
        <w:rPr>
          <w:rFonts w:hint="eastAsia" w:ascii="宋体" w:hAnsi="宋体" w:cs="宋体"/>
          <w:color w:val="000000"/>
          <w:szCs w:val="21"/>
          <w:highlight w:val="none"/>
        </w:rPr>
      </w:pPr>
      <w:r>
        <w:rPr>
          <w:rFonts w:hint="eastAsia" w:ascii="宋体" w:hAnsi="宋体" w:cs="宋体"/>
          <w:color w:val="000000"/>
          <w:szCs w:val="21"/>
          <w:highlight w:val="none"/>
        </w:rPr>
        <w:t>1.13工程量清单错误的修正</w:t>
      </w:r>
    </w:p>
    <w:p w14:paraId="7C3D3F50">
      <w:pPr>
        <w:keepNext w:val="0"/>
        <w:keepLines w:val="0"/>
        <w:pageBreakBefore w:val="0"/>
        <w:kinsoku/>
        <w:wordWrap/>
        <w:overflowPunct/>
        <w:topLinePunct w:val="0"/>
        <w:bidi w:val="0"/>
        <w:spacing w:line="360" w:lineRule="auto"/>
        <w:ind w:left="0" w:leftChars="0" w:right="0"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出现工程量清单错误时，是否调整合同价格：</w:t>
      </w:r>
      <w:r>
        <w:rPr>
          <w:rFonts w:hint="eastAsia" w:ascii="宋体" w:hAnsi="宋体" w:cs="宋体"/>
          <w:b/>
          <w:bCs/>
          <w:color w:val="auto"/>
          <w:szCs w:val="21"/>
          <w:highlight w:val="none"/>
          <w:u w:val="single"/>
        </w:rPr>
        <w:t>是</w:t>
      </w:r>
      <w:r>
        <w:rPr>
          <w:rFonts w:hint="eastAsia" w:ascii="宋体" w:hAnsi="宋体" w:cs="宋体"/>
          <w:color w:val="auto"/>
          <w:szCs w:val="21"/>
          <w:highlight w:val="none"/>
        </w:rPr>
        <w:t>。</w:t>
      </w:r>
    </w:p>
    <w:p w14:paraId="03B838AD">
      <w:pPr>
        <w:keepNext w:val="0"/>
        <w:keepLines w:val="0"/>
        <w:pageBreakBefore w:val="0"/>
        <w:kinsoku/>
        <w:wordWrap/>
        <w:overflowPunct/>
        <w:topLinePunct w:val="0"/>
        <w:bidi w:val="0"/>
        <w:spacing w:line="360" w:lineRule="auto"/>
        <w:ind w:left="0" w:leftChars="0" w:right="0" w:firstLine="420" w:firstLineChars="200"/>
        <w:textAlignment w:val="auto"/>
        <w:rPr>
          <w:rFonts w:hint="eastAsia" w:ascii="宋体" w:hAnsi="宋体" w:cs="宋体"/>
          <w:b/>
          <w:bCs/>
          <w:color w:val="auto"/>
          <w:szCs w:val="21"/>
          <w:highlight w:val="none"/>
          <w:u w:val="single"/>
        </w:rPr>
      </w:pPr>
      <w:r>
        <w:rPr>
          <w:rFonts w:hint="eastAsia" w:ascii="宋体" w:hAnsi="宋体" w:cs="宋体"/>
          <w:color w:val="auto"/>
          <w:szCs w:val="21"/>
          <w:highlight w:val="none"/>
        </w:rPr>
        <w:t>允许调整合同价格的工程量偏差范围：</w:t>
      </w:r>
      <w:r>
        <w:rPr>
          <w:rFonts w:hint="eastAsia" w:ascii="宋体" w:hAnsi="宋体" w:cs="宋体"/>
          <w:b/>
          <w:bCs/>
          <w:color w:val="auto"/>
          <w:szCs w:val="21"/>
          <w:highlight w:val="none"/>
          <w:u w:val="single"/>
          <w:lang w:val="en-US" w:eastAsia="zh-CN"/>
        </w:rPr>
        <w:t>采购文件</w:t>
      </w:r>
      <w:r>
        <w:rPr>
          <w:rFonts w:hint="eastAsia" w:ascii="宋体" w:hAnsi="宋体" w:cs="宋体"/>
          <w:b/>
          <w:bCs/>
          <w:color w:val="auto"/>
          <w:szCs w:val="21"/>
          <w:highlight w:val="none"/>
          <w:u w:val="single"/>
        </w:rPr>
        <w:t>中工程量清单漏、缺项的、设计变更、双方签字认可的增加工程量、项目及双方签字认可的材料单价。</w:t>
      </w:r>
    </w:p>
    <w:p w14:paraId="19D3B378">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2. 发包人</w:t>
      </w:r>
    </w:p>
    <w:p w14:paraId="15256C51">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2.2 发包人代表</w:t>
      </w:r>
    </w:p>
    <w:p w14:paraId="4FECEEA1">
      <w:pPr>
        <w:keepNext w:val="0"/>
        <w:keepLines w:val="0"/>
        <w:pageBreakBefore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发包人代表：</w:t>
      </w:r>
    </w:p>
    <w:p w14:paraId="420FE154">
      <w:pPr>
        <w:keepNext w:val="0"/>
        <w:keepLines w:val="0"/>
        <w:pageBreakBefore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姓    名：</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371A8596">
      <w:pPr>
        <w:keepNext w:val="0"/>
        <w:keepLines w:val="0"/>
        <w:pageBreakBefore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身份证号：</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hint="eastAsia"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rPr>
        <w:t>；</w:t>
      </w:r>
    </w:p>
    <w:p w14:paraId="757756D1">
      <w:pPr>
        <w:keepNext w:val="0"/>
        <w:keepLines w:val="0"/>
        <w:pageBreakBefore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职    务：</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hint="eastAsia"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3928EFAB">
      <w:pPr>
        <w:keepNext w:val="0"/>
        <w:keepLines w:val="0"/>
        <w:pageBreakBefore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联系电话：</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rPr>
        <w:t>；</w:t>
      </w:r>
    </w:p>
    <w:p w14:paraId="3C0250B2">
      <w:pPr>
        <w:keepNext w:val="0"/>
        <w:keepLines w:val="0"/>
        <w:pageBreakBefore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电子信箱：</w:t>
      </w:r>
      <w:r>
        <w:rPr>
          <w:rFonts w:hint="eastAsia" w:ascii="宋体" w:hAnsi="宋体"/>
          <w:szCs w:val="21"/>
          <w:highlight w:val="none"/>
          <w:u w:val="single"/>
        </w:rPr>
        <w:t xml:space="preserve">                               </w:t>
      </w:r>
      <w:r>
        <w:rPr>
          <w:rFonts w:ascii="宋体" w:hAnsi="宋体"/>
          <w:szCs w:val="21"/>
          <w:highlight w:val="none"/>
        </w:rPr>
        <w:t>；</w:t>
      </w:r>
    </w:p>
    <w:p w14:paraId="28F75218">
      <w:pPr>
        <w:keepNext w:val="0"/>
        <w:keepLines w:val="0"/>
        <w:pageBreakBefore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通信地址：</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5B21A7AC">
      <w:pPr>
        <w:keepNext w:val="0"/>
        <w:keepLines w:val="0"/>
        <w:pageBreakBefore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b/>
          <w:color w:val="auto"/>
          <w:szCs w:val="21"/>
          <w:highlight w:val="none"/>
        </w:rPr>
      </w:pPr>
      <w:r>
        <w:rPr>
          <w:rFonts w:ascii="宋体" w:hAnsi="宋体"/>
          <w:color w:val="auto"/>
          <w:szCs w:val="21"/>
          <w:highlight w:val="none"/>
        </w:rPr>
        <w:t>发包人对发包人代表的授权范围如下：</w:t>
      </w:r>
      <w:r>
        <w:rPr>
          <w:rFonts w:hint="eastAsia" w:ascii="宋体" w:hAnsi="宋体"/>
          <w:color w:val="auto"/>
          <w:szCs w:val="21"/>
          <w:highlight w:val="none"/>
          <w:u w:val="single"/>
          <w:lang w:val="en-US" w:eastAsia="zh-CN"/>
        </w:rPr>
        <w:t>全权负责项目所有工作</w:t>
      </w:r>
      <w:r>
        <w:rPr>
          <w:rFonts w:ascii="宋体" w:hAnsi="宋体"/>
          <w:color w:val="auto"/>
          <w:szCs w:val="21"/>
          <w:highlight w:val="none"/>
        </w:rPr>
        <w:t>。</w:t>
      </w:r>
    </w:p>
    <w:p w14:paraId="3ADC1D8F">
      <w:pPr>
        <w:keepNext w:val="0"/>
        <w:keepLines w:val="0"/>
        <w:pageBreakBefore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2.4 施工现场、施工条件和基础资料的提供</w:t>
      </w:r>
    </w:p>
    <w:p w14:paraId="24341E0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2.4.1 提供施工现场</w:t>
      </w:r>
    </w:p>
    <w:p w14:paraId="169C2B2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关于发包人移交施工现场的期限要求：</w:t>
      </w:r>
      <w:r>
        <w:rPr>
          <w:rFonts w:hint="eastAsia" w:ascii="宋体" w:hAnsi="宋体"/>
          <w:color w:val="auto"/>
          <w:szCs w:val="21"/>
          <w:highlight w:val="none"/>
          <w:u w:val="single"/>
          <w:lang w:val="en-US" w:eastAsia="zh-CN"/>
        </w:rPr>
        <w:t>合同签订后  日内</w:t>
      </w:r>
      <w:r>
        <w:rPr>
          <w:rFonts w:ascii="宋体" w:hAnsi="宋体"/>
          <w:color w:val="auto"/>
          <w:szCs w:val="21"/>
          <w:highlight w:val="none"/>
        </w:rPr>
        <w:t>。</w:t>
      </w:r>
    </w:p>
    <w:p w14:paraId="46E4364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2.4.2 提供施工条件</w:t>
      </w:r>
    </w:p>
    <w:p w14:paraId="2E855F8E">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u w:val="single"/>
        </w:rPr>
      </w:pPr>
      <w:r>
        <w:rPr>
          <w:rFonts w:ascii="宋体" w:hAnsi="宋体"/>
          <w:szCs w:val="21"/>
          <w:highlight w:val="none"/>
        </w:rPr>
        <w:t>关于发包人应负责提供施工</w:t>
      </w:r>
      <w:r>
        <w:rPr>
          <w:rFonts w:hint="eastAsia" w:ascii="宋体" w:hAnsi="宋体"/>
          <w:szCs w:val="21"/>
          <w:highlight w:val="none"/>
        </w:rPr>
        <w:t>所需要的条件，</w:t>
      </w:r>
      <w:r>
        <w:rPr>
          <w:rFonts w:ascii="宋体" w:hAnsi="宋体"/>
          <w:szCs w:val="21"/>
          <w:highlight w:val="none"/>
        </w:rPr>
        <w:t>包括：</w:t>
      </w:r>
      <w:r>
        <w:rPr>
          <w:rFonts w:hint="eastAsia" w:ascii="宋体" w:hAnsi="宋体"/>
          <w:szCs w:val="21"/>
          <w:highlight w:val="none"/>
          <w:u w:val="single"/>
        </w:rPr>
        <w:t>按通用条款2.4.2条执行</w:t>
      </w:r>
      <w:r>
        <w:rPr>
          <w:rFonts w:ascii="宋体" w:hAnsi="宋体"/>
          <w:szCs w:val="21"/>
          <w:highlight w:val="none"/>
        </w:rPr>
        <w:t>。</w:t>
      </w:r>
    </w:p>
    <w:p w14:paraId="2F2BF7E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2.5 资金来源证明及支付担保</w:t>
      </w:r>
    </w:p>
    <w:p w14:paraId="01255A1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发包人提供资金来源证明的期限要求：</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w:t>
      </w:r>
    </w:p>
    <w:p w14:paraId="474DD45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发包人是否提供支付担保：</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hint="eastAsia" w:ascii="宋体" w:hAnsi="宋体"/>
          <w:szCs w:val="21"/>
          <w:highlight w:val="none"/>
          <w:u w:val="single"/>
        </w:rPr>
        <w:t xml:space="preserve">否       </w:t>
      </w:r>
      <w:r>
        <w:rPr>
          <w:rFonts w:ascii="宋体" w:hAnsi="宋体"/>
          <w:szCs w:val="21"/>
          <w:highlight w:val="none"/>
          <w:u w:val="single"/>
        </w:rPr>
        <w:t xml:space="preserve"> </w:t>
      </w:r>
      <w:r>
        <w:rPr>
          <w:rFonts w:ascii="宋体" w:hAnsi="宋体"/>
          <w:szCs w:val="21"/>
          <w:highlight w:val="none"/>
        </w:rPr>
        <w:t>。</w:t>
      </w:r>
    </w:p>
    <w:p w14:paraId="4106419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u w:val="single"/>
        </w:rPr>
      </w:pPr>
      <w:r>
        <w:rPr>
          <w:rFonts w:ascii="宋体" w:hAnsi="宋体"/>
          <w:szCs w:val="21"/>
          <w:highlight w:val="none"/>
        </w:rPr>
        <w:t>发包人提供支付担保的形式：</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hint="eastAsia" w:ascii="宋体" w:hAnsi="宋体"/>
          <w:szCs w:val="21"/>
          <w:highlight w:val="none"/>
          <w:u w:val="single"/>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0F0F8FDF">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3. 承包人</w:t>
      </w:r>
    </w:p>
    <w:p w14:paraId="2545AFF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3.1 承包人的一般义务</w:t>
      </w:r>
    </w:p>
    <w:p w14:paraId="73B82F5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9</w:t>
      </w:r>
      <w:r>
        <w:rPr>
          <w:rFonts w:ascii="宋体" w:hAnsi="宋体"/>
          <w:color w:val="auto"/>
          <w:szCs w:val="21"/>
          <w:highlight w:val="none"/>
        </w:rPr>
        <w:t>）承包人提交的竣工资料的内容：</w:t>
      </w:r>
      <w:r>
        <w:rPr>
          <w:rFonts w:hint="eastAsia" w:ascii="宋体" w:hAnsi="宋体"/>
          <w:color w:val="auto"/>
          <w:szCs w:val="21"/>
          <w:highlight w:val="none"/>
          <w:u w:val="single"/>
        </w:rPr>
        <w:t>按通用条款3.1条执行</w:t>
      </w:r>
      <w:r>
        <w:rPr>
          <w:rFonts w:hint="eastAsia" w:ascii="宋体" w:hAnsi="宋体"/>
          <w:color w:val="auto"/>
          <w:szCs w:val="21"/>
          <w:highlight w:val="none"/>
        </w:rPr>
        <w:t>。</w:t>
      </w:r>
    </w:p>
    <w:p w14:paraId="4AA5E5C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承包人需要提交的竣工资料套数：</w:t>
      </w:r>
      <w:r>
        <w:rPr>
          <w:rFonts w:hint="eastAsia" w:ascii="宋体" w:hAnsi="宋体"/>
          <w:color w:val="auto"/>
          <w:szCs w:val="21"/>
          <w:highlight w:val="none"/>
          <w:u w:val="single"/>
        </w:rPr>
        <w:t>提交</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套竣工资料</w:t>
      </w:r>
      <w:r>
        <w:rPr>
          <w:rFonts w:ascii="宋体" w:hAnsi="宋体"/>
          <w:color w:val="auto"/>
          <w:szCs w:val="21"/>
          <w:highlight w:val="none"/>
        </w:rPr>
        <w:t>。</w:t>
      </w:r>
    </w:p>
    <w:p w14:paraId="539DB65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承包人提交的竣工资料的费用承担：</w:t>
      </w:r>
      <w:r>
        <w:rPr>
          <w:rFonts w:hint="eastAsia" w:ascii="宋体" w:hAnsi="宋体"/>
          <w:color w:val="auto"/>
          <w:szCs w:val="21"/>
          <w:highlight w:val="none"/>
          <w:u w:val="single"/>
        </w:rPr>
        <w:t>由承包人自行承担</w:t>
      </w:r>
      <w:r>
        <w:rPr>
          <w:rFonts w:ascii="宋体" w:hAnsi="宋体"/>
          <w:color w:val="auto"/>
          <w:szCs w:val="21"/>
          <w:highlight w:val="none"/>
        </w:rPr>
        <w:t>。</w:t>
      </w:r>
    </w:p>
    <w:p w14:paraId="3BE7B3C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承包人提交的竣工资料移交时间：</w:t>
      </w:r>
      <w:r>
        <w:rPr>
          <w:rFonts w:hint="eastAsia" w:ascii="宋体" w:hAnsi="宋体"/>
          <w:color w:val="auto"/>
          <w:szCs w:val="21"/>
          <w:highlight w:val="none"/>
          <w:u w:val="single"/>
        </w:rPr>
        <w:t>竣工验收后</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天内移交</w:t>
      </w:r>
      <w:r>
        <w:rPr>
          <w:rFonts w:ascii="宋体" w:hAnsi="宋体"/>
          <w:color w:val="auto"/>
          <w:szCs w:val="21"/>
          <w:highlight w:val="none"/>
        </w:rPr>
        <w:t>。</w:t>
      </w:r>
    </w:p>
    <w:p w14:paraId="7E351F8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承包人提交的竣工资料形式要求：</w:t>
      </w:r>
      <w:r>
        <w:rPr>
          <w:rFonts w:hint="eastAsia" w:ascii="宋体" w:hAnsi="宋体"/>
          <w:color w:val="auto"/>
          <w:szCs w:val="21"/>
          <w:highlight w:val="none"/>
          <w:u w:val="single"/>
        </w:rPr>
        <w:t>竣工资料均须装订成册</w:t>
      </w:r>
      <w:r>
        <w:rPr>
          <w:rFonts w:ascii="宋体" w:hAnsi="宋体"/>
          <w:color w:val="auto"/>
          <w:szCs w:val="21"/>
          <w:highlight w:val="none"/>
        </w:rPr>
        <w:t>。</w:t>
      </w:r>
    </w:p>
    <w:p w14:paraId="11F4728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kern w:val="0"/>
          <w:szCs w:val="21"/>
          <w:highlight w:val="none"/>
        </w:rPr>
        <w:t>（</w:t>
      </w:r>
      <w:r>
        <w:rPr>
          <w:rFonts w:hint="eastAsia" w:ascii="宋体" w:hAnsi="宋体"/>
          <w:color w:val="auto"/>
          <w:kern w:val="0"/>
          <w:szCs w:val="21"/>
          <w:highlight w:val="none"/>
        </w:rPr>
        <w:t>10</w:t>
      </w:r>
      <w:r>
        <w:rPr>
          <w:rFonts w:ascii="宋体" w:hAnsi="宋体"/>
          <w:color w:val="auto"/>
          <w:kern w:val="0"/>
          <w:szCs w:val="21"/>
          <w:highlight w:val="none"/>
        </w:rPr>
        <w:t>）承包人应履行的其他义务：</w:t>
      </w:r>
      <w:r>
        <w:rPr>
          <w:rFonts w:hint="eastAsia" w:ascii="宋体" w:hAnsi="宋体"/>
          <w:color w:val="auto"/>
          <w:szCs w:val="21"/>
          <w:highlight w:val="none"/>
          <w:u w:val="single"/>
          <w:lang w:val="en-US" w:eastAsia="zh-CN"/>
        </w:rPr>
        <w:t>积极配合发包人完成各项验收，主动接受政府和学校各项职能部门的监督和检查</w:t>
      </w:r>
      <w:r>
        <w:rPr>
          <w:rFonts w:ascii="宋体" w:hAnsi="宋体"/>
          <w:color w:val="auto"/>
          <w:szCs w:val="21"/>
          <w:highlight w:val="none"/>
        </w:rPr>
        <w:t>。</w:t>
      </w:r>
    </w:p>
    <w:p w14:paraId="5B50C87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3.2 项目经理</w:t>
      </w:r>
    </w:p>
    <w:p w14:paraId="483D905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kern w:val="0"/>
          <w:szCs w:val="21"/>
          <w:highlight w:val="none"/>
        </w:rPr>
        <w:t xml:space="preserve">3.2.1 </w:t>
      </w:r>
      <w:r>
        <w:rPr>
          <w:rFonts w:ascii="宋体" w:hAnsi="宋体"/>
          <w:szCs w:val="21"/>
          <w:highlight w:val="none"/>
        </w:rPr>
        <w:t>项目经理：</w:t>
      </w:r>
    </w:p>
    <w:p w14:paraId="728A7981">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姓    名：</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75AC528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身份证号：</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5B9046C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建造师执业资格等级：</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5140107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建造师注册证书号：</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hint="eastAsia"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0F69D72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建造师执业印章号：</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hint="eastAsia"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rPr>
        <w:t>；</w:t>
      </w:r>
    </w:p>
    <w:p w14:paraId="53AE34B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安全生产考核合格证书号：</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hint="eastAsia"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67EDF43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联系电话：</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09A5903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电子信箱：</w:t>
      </w:r>
      <w:bookmarkStart w:id="251" w:name="OLE_LINK1_0"/>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bookmarkEnd w:id="251"/>
    </w:p>
    <w:p w14:paraId="079D986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通信地址：</w:t>
      </w:r>
      <w:r>
        <w:rPr>
          <w:rFonts w:hint="eastAsia" w:ascii="宋体" w:hAnsi="宋体"/>
          <w:szCs w:val="21"/>
          <w:highlight w:val="none"/>
          <w:u w:val="single"/>
        </w:rPr>
        <w:t xml:space="preserve">                                </w:t>
      </w:r>
      <w:r>
        <w:rPr>
          <w:rFonts w:ascii="宋体" w:hAnsi="宋体"/>
          <w:szCs w:val="21"/>
          <w:highlight w:val="none"/>
        </w:rPr>
        <w:t>；</w:t>
      </w:r>
    </w:p>
    <w:p w14:paraId="4466B8FE">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承包人对项目经理的授权范围如下：</w:t>
      </w:r>
      <w:r>
        <w:rPr>
          <w:rFonts w:hint="eastAsia" w:ascii="宋体" w:hAnsi="宋体"/>
          <w:szCs w:val="21"/>
          <w:highlight w:val="none"/>
          <w:u w:val="single"/>
          <w:lang w:val="en-US" w:eastAsia="zh-CN"/>
        </w:rPr>
        <w:t>履行承包人的本合同项下的权利义务，对整个工程项目施工全过程的进度、质量、安全文明施工进行全面负责</w:t>
      </w:r>
      <w:r>
        <w:rPr>
          <w:rFonts w:ascii="宋体" w:hAnsi="宋体"/>
          <w:szCs w:val="21"/>
          <w:highlight w:val="none"/>
        </w:rPr>
        <w:t>。</w:t>
      </w:r>
    </w:p>
    <w:p w14:paraId="5F59508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u w:val="single"/>
        </w:rPr>
      </w:pPr>
      <w:r>
        <w:rPr>
          <w:rFonts w:ascii="宋体" w:hAnsi="宋体"/>
          <w:kern w:val="0"/>
          <w:szCs w:val="21"/>
          <w:highlight w:val="none"/>
        </w:rPr>
        <w:t>关于项目经理每月在施工现场的时间要求：</w:t>
      </w:r>
      <w:r>
        <w:rPr>
          <w:rFonts w:hint="eastAsia" w:ascii="宋体" w:hAnsi="宋体"/>
          <w:szCs w:val="21"/>
          <w:highlight w:val="none"/>
          <w:u w:val="single"/>
        </w:rPr>
        <w:t>按住建部建质规〔2025〕3 号《建筑施工企业、工程项目安全生产管理机构设置及安全生产管理人员配备办法》的要求在施工现场带班。</w:t>
      </w:r>
    </w:p>
    <w:p w14:paraId="6F2895F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承包人未提交劳动合同，以及没有为项目经理缴纳社会保险证明的违约责任：</w:t>
      </w:r>
      <w:r>
        <w:rPr>
          <w:rFonts w:hint="eastAsia" w:ascii="宋体" w:hAnsi="宋体"/>
          <w:szCs w:val="21"/>
          <w:highlight w:val="none"/>
          <w:u w:val="single"/>
        </w:rPr>
        <w:t>1.承包人支付</w:t>
      </w:r>
      <w:r>
        <w:rPr>
          <w:rFonts w:hint="eastAsia" w:ascii="宋体" w:hAnsi="宋体"/>
          <w:szCs w:val="21"/>
          <w:highlight w:val="none"/>
          <w:u w:val="single"/>
          <w:lang w:val="en-US" w:eastAsia="zh-CN"/>
        </w:rPr>
        <w:t>1</w:t>
      </w:r>
      <w:r>
        <w:rPr>
          <w:rFonts w:hint="eastAsia" w:ascii="宋体" w:hAnsi="宋体"/>
          <w:szCs w:val="21"/>
          <w:highlight w:val="none"/>
          <w:u w:val="single"/>
        </w:rPr>
        <w:t>万元违约金，承包人按照发包人要求限期提交劳动合同并补缴社会保险;2.限期未完成整改的，可视为项目经理非承包人职工，无权履行职责，发包人有权单方面解除合同，由此造成的费用增加、损失和工期延误由承包人承担</w:t>
      </w:r>
      <w:r>
        <w:rPr>
          <w:rFonts w:hint="eastAsia" w:ascii="宋体" w:hAnsi="宋体"/>
          <w:szCs w:val="21"/>
          <w:highlight w:val="none"/>
        </w:rPr>
        <w:t>。</w:t>
      </w:r>
    </w:p>
    <w:p w14:paraId="2971115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u w:val="single"/>
        </w:rPr>
      </w:pPr>
      <w:r>
        <w:rPr>
          <w:rFonts w:ascii="宋体" w:hAnsi="宋体"/>
          <w:kern w:val="0"/>
          <w:szCs w:val="21"/>
          <w:highlight w:val="none"/>
        </w:rPr>
        <w:t>项目经理未经批准，擅自离开施工现场的违约责任：</w:t>
      </w:r>
      <w:r>
        <w:rPr>
          <w:rFonts w:hint="eastAsia" w:ascii="宋体" w:hAnsi="宋体"/>
          <w:szCs w:val="21"/>
          <w:highlight w:val="none"/>
          <w:u w:val="single"/>
        </w:rPr>
        <w:t>每发生1次罚款</w:t>
      </w:r>
      <w:r>
        <w:rPr>
          <w:rFonts w:hint="eastAsia" w:ascii="宋体" w:hAnsi="宋体"/>
          <w:szCs w:val="21"/>
          <w:highlight w:val="none"/>
          <w:u w:val="single"/>
          <w:lang w:val="en-US" w:eastAsia="zh-CN"/>
        </w:rPr>
        <w:t>1</w:t>
      </w:r>
      <w:r>
        <w:rPr>
          <w:rFonts w:hint="eastAsia" w:ascii="宋体" w:hAnsi="宋体"/>
          <w:szCs w:val="21"/>
          <w:highlight w:val="none"/>
          <w:u w:val="single"/>
        </w:rPr>
        <w:t>万元，累计3次视为严重违约，发包人有权单方面解除合同，承包人承担由此给发包人造成的一切损失</w:t>
      </w:r>
      <w:r>
        <w:rPr>
          <w:rFonts w:hint="eastAsia" w:ascii="宋体" w:hAnsi="宋体"/>
          <w:szCs w:val="21"/>
          <w:highlight w:val="none"/>
        </w:rPr>
        <w:t>。</w:t>
      </w:r>
    </w:p>
    <w:p w14:paraId="322D0CE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3.2.3 承包人擅自更换项目经理的违约责任：</w:t>
      </w:r>
      <w:r>
        <w:rPr>
          <w:rFonts w:hint="eastAsia" w:ascii="宋体" w:hAnsi="宋体"/>
          <w:szCs w:val="21"/>
          <w:highlight w:val="none"/>
          <w:u w:val="single"/>
          <w:lang w:val="en-US" w:eastAsia="zh-CN"/>
        </w:rPr>
        <w:t>发包人有权终止合同</w:t>
      </w:r>
      <w:r>
        <w:rPr>
          <w:rFonts w:hint="eastAsia" w:ascii="宋体" w:hAnsi="宋体"/>
          <w:szCs w:val="21"/>
          <w:highlight w:val="none"/>
          <w:u w:val="single"/>
          <w:lang w:eastAsia="zh-CN"/>
        </w:rPr>
        <w:t>，</w:t>
      </w:r>
      <w:r>
        <w:rPr>
          <w:rFonts w:hint="eastAsia" w:ascii="宋体" w:hAnsi="宋体"/>
          <w:szCs w:val="21"/>
          <w:highlight w:val="none"/>
          <w:u w:val="single"/>
          <w:lang w:val="en-US" w:eastAsia="zh-CN"/>
        </w:rPr>
        <w:t>并</w:t>
      </w:r>
      <w:r>
        <w:rPr>
          <w:rFonts w:hint="eastAsia" w:ascii="宋体" w:hAnsi="宋体"/>
          <w:szCs w:val="21"/>
          <w:highlight w:val="none"/>
          <w:u w:val="single"/>
        </w:rPr>
        <w:t>由承包人承担由此给发包人造成的一切损失</w:t>
      </w:r>
      <w:r>
        <w:rPr>
          <w:rFonts w:hint="eastAsia" w:ascii="宋体" w:hAnsi="宋体"/>
          <w:szCs w:val="21"/>
          <w:highlight w:val="none"/>
        </w:rPr>
        <w:t>。</w:t>
      </w:r>
    </w:p>
    <w:p w14:paraId="150356F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 xml:space="preserve">   3.2.4 承包人无正当理由拒绝更换项目经理的违约责任：</w:t>
      </w:r>
      <w:r>
        <w:rPr>
          <w:rFonts w:hint="eastAsia" w:ascii="宋体" w:hAnsi="宋体"/>
          <w:szCs w:val="21"/>
          <w:highlight w:val="none"/>
          <w:u w:val="single"/>
        </w:rPr>
        <w:t>发包人有权终止合同，并由承包人承担由此给发包人造成的一切损失</w:t>
      </w:r>
      <w:r>
        <w:rPr>
          <w:rFonts w:hint="eastAsia" w:ascii="宋体" w:hAnsi="宋体"/>
          <w:szCs w:val="21"/>
          <w:highlight w:val="none"/>
        </w:rPr>
        <w:t>。</w:t>
      </w:r>
    </w:p>
    <w:p w14:paraId="749BB67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3.3 承包人人员</w:t>
      </w:r>
    </w:p>
    <w:p w14:paraId="0C3B578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3.3.1 承包人提交项目管理机构及施工现场管理人员安排报告的期限：</w:t>
      </w:r>
      <w:r>
        <w:rPr>
          <w:rFonts w:hint="eastAsia" w:ascii="宋体" w:hAnsi="宋体"/>
          <w:szCs w:val="21"/>
          <w:highlight w:val="none"/>
          <w:u w:val="single"/>
        </w:rPr>
        <w:t>开工后</w:t>
      </w:r>
      <w:r>
        <w:rPr>
          <w:rFonts w:hint="eastAsia" w:ascii="宋体" w:hAnsi="宋体"/>
          <w:szCs w:val="21"/>
          <w:highlight w:val="none"/>
          <w:u w:val="single"/>
          <w:lang w:val="en-US" w:eastAsia="zh-CN"/>
        </w:rPr>
        <w:t xml:space="preserve">  </w:t>
      </w:r>
      <w:r>
        <w:rPr>
          <w:rFonts w:hint="eastAsia" w:ascii="宋体" w:hAnsi="宋体"/>
          <w:szCs w:val="21"/>
          <w:highlight w:val="none"/>
          <w:u w:val="single"/>
        </w:rPr>
        <w:t>天内</w:t>
      </w:r>
      <w:r>
        <w:rPr>
          <w:rFonts w:hint="eastAsia" w:ascii="宋体" w:hAnsi="宋体"/>
          <w:szCs w:val="21"/>
          <w:highlight w:val="none"/>
        </w:rPr>
        <w:t>。</w:t>
      </w:r>
      <w:r>
        <w:rPr>
          <w:rFonts w:ascii="宋体" w:hAnsi="宋体"/>
          <w:szCs w:val="21"/>
          <w:highlight w:val="none"/>
        </w:rPr>
        <w:t xml:space="preserve">  </w:t>
      </w:r>
    </w:p>
    <w:p w14:paraId="0A6C3C8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 xml:space="preserve"> 3.3.3 承包人无正当理由拒绝撤换主要施工管理人员的违约责任：</w:t>
      </w:r>
      <w:r>
        <w:rPr>
          <w:rFonts w:hint="eastAsia" w:ascii="宋体" w:hAnsi="宋体"/>
          <w:szCs w:val="21"/>
          <w:highlight w:val="none"/>
          <w:u w:val="single"/>
        </w:rPr>
        <w:t>发包人有权终止合同，并由承包人承担由此给发包人造成的一切损失</w:t>
      </w:r>
      <w:r>
        <w:rPr>
          <w:rFonts w:hint="eastAsia" w:ascii="宋体" w:hAnsi="宋体"/>
          <w:szCs w:val="21"/>
          <w:highlight w:val="none"/>
        </w:rPr>
        <w:t>。</w:t>
      </w:r>
    </w:p>
    <w:p w14:paraId="3101ED2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3.3.4 承包人主要施工管理人员离开施工现场的批准要求</w:t>
      </w:r>
      <w:r>
        <w:rPr>
          <w:rFonts w:hint="eastAsia" w:ascii="宋体" w:hAnsi="宋体"/>
          <w:szCs w:val="21"/>
          <w:highlight w:val="none"/>
        </w:rPr>
        <w:t>：</w:t>
      </w:r>
      <w:r>
        <w:rPr>
          <w:rFonts w:hint="eastAsia" w:ascii="宋体" w:hAnsi="宋体"/>
          <w:szCs w:val="21"/>
          <w:highlight w:val="none"/>
          <w:u w:val="single"/>
        </w:rPr>
        <w:t>按照通用条款3.3.4条执行</w:t>
      </w:r>
      <w:r>
        <w:rPr>
          <w:rFonts w:hint="eastAsia" w:ascii="宋体" w:hAnsi="宋体"/>
          <w:szCs w:val="21"/>
          <w:highlight w:val="none"/>
        </w:rPr>
        <w:t>。</w:t>
      </w:r>
    </w:p>
    <w:p w14:paraId="10364C3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3.3.5承包人擅自更换主要施工管理人员的违约责任：</w:t>
      </w:r>
      <w:r>
        <w:rPr>
          <w:rFonts w:hint="eastAsia" w:ascii="宋体" w:hAnsi="宋体"/>
          <w:szCs w:val="21"/>
          <w:highlight w:val="none"/>
          <w:u w:val="single"/>
          <w:lang w:val="en-US" w:eastAsia="zh-CN"/>
        </w:rPr>
        <w:t>承包人支付发包人0.5万元/次违约金，并</w:t>
      </w:r>
      <w:r>
        <w:rPr>
          <w:rFonts w:hint="eastAsia" w:ascii="宋体" w:hAnsi="宋体"/>
          <w:szCs w:val="21"/>
          <w:highlight w:val="none"/>
          <w:u w:val="single"/>
        </w:rPr>
        <w:t>由承包人承担由此给发包人造成的一切损失</w:t>
      </w:r>
      <w:r>
        <w:rPr>
          <w:rFonts w:hint="eastAsia" w:ascii="宋体" w:hAnsi="宋体"/>
          <w:szCs w:val="21"/>
          <w:highlight w:val="none"/>
        </w:rPr>
        <w:t>。</w:t>
      </w:r>
    </w:p>
    <w:p w14:paraId="6764BA9E">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承包人主要施工管理人员擅自离开施工现场的违约责任：</w:t>
      </w:r>
      <w:r>
        <w:rPr>
          <w:rFonts w:hint="eastAsia" w:ascii="宋体" w:hAnsi="宋体"/>
          <w:szCs w:val="21"/>
          <w:highlight w:val="none"/>
          <w:u w:val="single"/>
        </w:rPr>
        <w:t>由承包人承担由此给发包人造成的一切损失</w:t>
      </w:r>
      <w:r>
        <w:rPr>
          <w:rFonts w:hint="eastAsia" w:ascii="宋体" w:hAnsi="宋体"/>
          <w:szCs w:val="21"/>
          <w:highlight w:val="none"/>
        </w:rPr>
        <w:t>。</w:t>
      </w:r>
    </w:p>
    <w:p w14:paraId="0872DF1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3.5 分包</w:t>
      </w:r>
    </w:p>
    <w:p w14:paraId="3FEEC75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3.5.1 分包的一般约定</w:t>
      </w:r>
    </w:p>
    <w:p w14:paraId="20FF52B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禁止分包的工程包括：除电梯安装专业工程外的本合同其他全部工程。</w:t>
      </w:r>
    </w:p>
    <w:p w14:paraId="00FEBAD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主体结构、关键性工作的范围：连廊主体钢结构工程及与主体结构安全直接相关的部位，一律不得分包。</w:t>
      </w:r>
    </w:p>
    <w:p w14:paraId="4447852C">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3.5.2分包的确定</w:t>
      </w:r>
    </w:p>
    <w:p w14:paraId="130666C1">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允许分包的专业工程包括：电梯安装工程（含电梯设备采购、安装调试、基坑处理、机房配套、安全检测及质保期内电梯维保服务）。</w:t>
      </w:r>
    </w:p>
    <w:p w14:paraId="0B6C3F2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分包单位须具备市场监督管理部门颁发的有效的《中华人民共和国特种设备生产许可证》（许可项目含电梯安装（含修理）），且不得再次分包。</w:t>
      </w:r>
    </w:p>
    <w:p w14:paraId="22E4E0A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其他关于分包的约定：分包单位以承包人响应文件中载明的为准；分包单位进场前，承包人应向发包人、监理人提交分包合同及分包单位资质证明文件，经发包人、监理人确认后方可进场施工。</w:t>
      </w:r>
    </w:p>
    <w:p w14:paraId="06C0D42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3.5.4 分包合同价款</w:t>
      </w:r>
    </w:p>
    <w:p w14:paraId="1586CF9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关于分包合同价款支付的约定：分包合同价款由承包人与分包单位自行约定并结算，发包人不直接向分包单位支付款项；承包人应对分包工程的质量、安全、工期及售后服务向发包人承担全部责任。</w:t>
      </w:r>
    </w:p>
    <w:p w14:paraId="10A787B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3.6 工程照管与成品、半成品保护</w:t>
      </w:r>
    </w:p>
    <w:p w14:paraId="0399DB3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u w:val="single"/>
        </w:rPr>
      </w:pPr>
      <w:r>
        <w:rPr>
          <w:rFonts w:hint="eastAsia" w:ascii="宋体" w:hAnsi="宋体"/>
          <w:kern w:val="0"/>
          <w:szCs w:val="21"/>
          <w:highlight w:val="none"/>
        </w:rPr>
        <w:t>承包人负责照管工程及工程相关的材料、工程设备的起始时间：</w:t>
      </w:r>
      <w:r>
        <w:rPr>
          <w:rFonts w:hint="eastAsia" w:ascii="宋体" w:hAnsi="宋体"/>
          <w:kern w:val="0"/>
          <w:szCs w:val="21"/>
          <w:highlight w:val="none"/>
          <w:u w:val="single"/>
        </w:rPr>
        <w:t>自发包人向承包人移交施工现场之日起至颁发工程接收证书之日止。</w:t>
      </w:r>
    </w:p>
    <w:p w14:paraId="421A8EE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hint="eastAsia" w:ascii="宋体" w:hAnsi="宋体"/>
          <w:kern w:val="0"/>
          <w:szCs w:val="21"/>
          <w:highlight w:val="none"/>
        </w:rPr>
        <w:t>3.7 履约担保</w:t>
      </w:r>
    </w:p>
    <w:p w14:paraId="475F225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hint="eastAsia" w:ascii="宋体" w:hAnsi="宋体"/>
          <w:kern w:val="0"/>
          <w:szCs w:val="21"/>
          <w:highlight w:val="none"/>
        </w:rPr>
        <w:t>承包人是否提供履约担保</w:t>
      </w:r>
      <w:r>
        <w:rPr>
          <w:rFonts w:hint="eastAsia" w:ascii="宋体" w:hAnsi="宋体"/>
          <w:kern w:val="0"/>
          <w:szCs w:val="21"/>
          <w:highlight w:val="none"/>
          <w:u w:val="single"/>
        </w:rPr>
        <w:t xml:space="preserve">：   </w:t>
      </w:r>
      <w:r>
        <w:rPr>
          <w:rFonts w:hint="eastAsia" w:ascii="宋体" w:hAnsi="宋体"/>
          <w:kern w:val="0"/>
          <w:szCs w:val="21"/>
          <w:highlight w:val="none"/>
          <w:u w:val="single"/>
          <w:lang w:val="en-US" w:eastAsia="zh-CN"/>
        </w:rPr>
        <w:t>是</w:t>
      </w:r>
      <w:r>
        <w:rPr>
          <w:rFonts w:hint="eastAsia" w:ascii="宋体" w:hAnsi="宋体"/>
          <w:kern w:val="0"/>
          <w:szCs w:val="21"/>
          <w:highlight w:val="none"/>
          <w:u w:val="single"/>
        </w:rPr>
        <w:t xml:space="preserve">       </w:t>
      </w:r>
      <w:r>
        <w:rPr>
          <w:rFonts w:hint="eastAsia" w:ascii="宋体" w:hAnsi="宋体"/>
          <w:kern w:val="0"/>
          <w:szCs w:val="21"/>
          <w:highlight w:val="none"/>
        </w:rPr>
        <w:t>。</w:t>
      </w:r>
    </w:p>
    <w:p w14:paraId="2F36B7ED">
      <w:pPr>
        <w:keepNext w:val="0"/>
        <w:keepLines w:val="0"/>
        <w:pageBreakBefore w:val="0"/>
        <w:kinsoku/>
        <w:wordWrap/>
        <w:overflowPunct/>
        <w:topLinePunct w:val="0"/>
        <w:bidi w:val="0"/>
        <w:spacing w:line="360" w:lineRule="auto"/>
        <w:ind w:left="0" w:leftChars="0" w:right="0" w:firstLine="420" w:firstLineChars="200"/>
        <w:textAlignment w:val="auto"/>
        <w:rPr>
          <w:rFonts w:hint="eastAsia" w:ascii="宋体" w:hAnsi="宋体" w:eastAsia="宋体"/>
          <w:kern w:val="0"/>
          <w:szCs w:val="21"/>
          <w:highlight w:val="none"/>
          <w:lang w:val="en-US" w:eastAsia="zh-CN"/>
        </w:rPr>
      </w:pPr>
      <w:r>
        <w:rPr>
          <w:rFonts w:hint="eastAsia" w:ascii="宋体" w:hAnsi="宋体"/>
          <w:kern w:val="0"/>
          <w:szCs w:val="21"/>
          <w:highlight w:val="none"/>
        </w:rPr>
        <w:t>承包人提供履约担保的形式、金额及期限的：</w:t>
      </w:r>
      <w:r>
        <w:rPr>
          <w:rFonts w:hint="eastAsia" w:ascii="宋体" w:hAnsi="宋体" w:eastAsia="宋体" w:cs="宋体"/>
          <w:color w:val="auto"/>
          <w:sz w:val="21"/>
          <w:szCs w:val="21"/>
          <w:highlight w:val="none"/>
          <w:u w:val="single"/>
        </w:rPr>
        <w:t>保证金金额为合同总金额的</w:t>
      </w:r>
      <w:r>
        <w:rPr>
          <w:rFonts w:hint="eastAsia" w:ascii="宋体" w:hAnsi="宋体" w:eastAsia="宋体" w:cs="宋体"/>
          <w:color w:val="auto"/>
          <w:sz w:val="21"/>
          <w:szCs w:val="21"/>
          <w:highlight w:val="none"/>
          <w:u w:val="single"/>
          <w:lang w:val="en-US" w:eastAsia="zh-CN"/>
        </w:rPr>
        <w:t>10</w:t>
      </w:r>
      <w:r>
        <w:rPr>
          <w:rFonts w:hint="eastAsia" w:ascii="宋体" w:hAnsi="宋体" w:eastAsia="宋体" w:cs="宋体"/>
          <w:color w:val="auto"/>
          <w:sz w:val="21"/>
          <w:szCs w:val="21"/>
          <w:highlight w:val="none"/>
          <w:u w:val="single"/>
        </w:rPr>
        <w:t>%，形式为支票、汇票、本票或者金融机构、担保机构出具的保函等非现金形式提交</w:t>
      </w:r>
      <w:r>
        <w:rPr>
          <w:rFonts w:hint="eastAsia" w:ascii="宋体" w:hAnsi="宋体"/>
          <w:kern w:val="0"/>
          <w:szCs w:val="21"/>
          <w:highlight w:val="none"/>
        </w:rPr>
        <w:t>。</w:t>
      </w:r>
    </w:p>
    <w:p w14:paraId="0C7F2DA2">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4. 监理人</w:t>
      </w:r>
    </w:p>
    <w:p w14:paraId="0C284D5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4.1监理人的一般规定</w:t>
      </w:r>
    </w:p>
    <w:p w14:paraId="281EC6E6">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关于监理人的监理内容：</w:t>
      </w:r>
      <w:r>
        <w:rPr>
          <w:rFonts w:hint="eastAsia" w:ascii="宋体" w:hAnsi="宋体"/>
          <w:szCs w:val="21"/>
          <w:highlight w:val="none"/>
          <w:u w:val="single"/>
        </w:rPr>
        <w:t>按监理合同执行</w:t>
      </w:r>
      <w:r>
        <w:rPr>
          <w:rFonts w:ascii="宋体" w:hAnsi="宋体"/>
          <w:szCs w:val="21"/>
          <w:highlight w:val="none"/>
        </w:rPr>
        <w:t>。</w:t>
      </w:r>
    </w:p>
    <w:p w14:paraId="47A8A0F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关于监理人的监理权限：</w:t>
      </w:r>
      <w:r>
        <w:rPr>
          <w:rFonts w:hint="eastAsia" w:ascii="宋体" w:hAnsi="宋体"/>
          <w:szCs w:val="21"/>
          <w:highlight w:val="none"/>
          <w:u w:val="single"/>
        </w:rPr>
        <w:t>按监理合同执行</w:t>
      </w:r>
      <w:r>
        <w:rPr>
          <w:rFonts w:ascii="宋体" w:hAnsi="宋体"/>
          <w:szCs w:val="21"/>
          <w:highlight w:val="none"/>
        </w:rPr>
        <w:t xml:space="preserve">。 </w:t>
      </w:r>
    </w:p>
    <w:p w14:paraId="409AF91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关于监理人在施工现场的办公场所、生活场所的提供和费用承担的约定：</w:t>
      </w:r>
      <w:r>
        <w:rPr>
          <w:rFonts w:hint="eastAsia" w:ascii="宋体" w:hAnsi="宋体"/>
          <w:szCs w:val="21"/>
          <w:highlight w:val="none"/>
          <w:u w:val="single"/>
        </w:rPr>
        <w:t>按监理合同执行。</w:t>
      </w:r>
    </w:p>
    <w:p w14:paraId="5031099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4.2 监理人员</w:t>
      </w:r>
    </w:p>
    <w:p w14:paraId="1285505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总监理工程师：</w:t>
      </w:r>
    </w:p>
    <w:p w14:paraId="71451331">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姓    名：</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19BEB81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职    务：</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2E9F8A62">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监理工程师执业资格证书号：</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05E3650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联系电话：</w:t>
      </w:r>
      <w:r>
        <w:rPr>
          <w:rFonts w:hint="eastAsia" w:ascii="宋体" w:hAnsi="宋体"/>
          <w:szCs w:val="21"/>
          <w:highlight w:val="none"/>
          <w:u w:val="single"/>
        </w:rPr>
        <w:t xml:space="preserve">                               </w:t>
      </w:r>
      <w:r>
        <w:rPr>
          <w:rFonts w:ascii="宋体" w:hAnsi="宋体"/>
          <w:szCs w:val="21"/>
          <w:highlight w:val="none"/>
        </w:rPr>
        <w:t>；</w:t>
      </w:r>
    </w:p>
    <w:p w14:paraId="2C841EB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电子信箱：</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7F0E9FB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通信地址：</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sym w:font="宋体" w:char="E5E5"/>
      </w:r>
      <w:r>
        <w:rPr>
          <w:rFonts w:ascii="宋体" w:hAnsi="宋体"/>
          <w:szCs w:val="21"/>
          <w:highlight w:val="none"/>
          <w:u w:val="single"/>
        </w:rPr>
        <w:t xml:space="preserve"> </w:t>
      </w:r>
      <w:r>
        <w:rPr>
          <w:rFonts w:ascii="宋体" w:hAnsi="宋体"/>
          <w:szCs w:val="21"/>
          <w:highlight w:val="none"/>
          <w:u w:val="single"/>
        </w:rPr>
        <w:sym w:font="宋体" w:char="E5E5"/>
      </w:r>
      <w:r>
        <w:rPr>
          <w:rFonts w:ascii="宋体" w:hAnsi="宋体"/>
          <w:szCs w:val="21"/>
          <w:highlight w:val="none"/>
        </w:rPr>
        <w:t>；</w:t>
      </w:r>
    </w:p>
    <w:p w14:paraId="186E09A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关于监理人的其他约定：</w:t>
      </w:r>
      <w:r>
        <w:rPr>
          <w:rFonts w:hint="eastAsia" w:ascii="宋体" w:hAnsi="宋体"/>
          <w:szCs w:val="21"/>
          <w:highlight w:val="none"/>
          <w:u w:val="single"/>
        </w:rPr>
        <w:t xml:space="preserve">                   </w:t>
      </w:r>
      <w:r>
        <w:rPr>
          <w:rFonts w:ascii="宋体" w:hAnsi="宋体"/>
          <w:szCs w:val="21"/>
          <w:highlight w:val="none"/>
        </w:rPr>
        <w:t>；</w:t>
      </w:r>
    </w:p>
    <w:p w14:paraId="79CF406C">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4.4 商定或确定</w:t>
      </w:r>
    </w:p>
    <w:p w14:paraId="09F4619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在发包人和承包人不能通过协商达成一致意见时，发包人授权监理人对以下事项进行确定：</w:t>
      </w:r>
    </w:p>
    <w:p w14:paraId="455017CC">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（1）</w:t>
      </w:r>
      <w:r>
        <w:rPr>
          <w:rFonts w:hint="eastAsia" w:ascii="宋体" w:hAnsi="宋体"/>
          <w:szCs w:val="21"/>
          <w:highlight w:val="none"/>
          <w:u w:val="single"/>
        </w:rPr>
        <w:t>按监理合同执行</w:t>
      </w:r>
      <w:r>
        <w:rPr>
          <w:rFonts w:ascii="宋体" w:hAnsi="宋体"/>
          <w:szCs w:val="21"/>
          <w:highlight w:val="none"/>
        </w:rPr>
        <w:t>；</w:t>
      </w:r>
    </w:p>
    <w:p w14:paraId="3B99AB4C">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5. 工程质量</w:t>
      </w:r>
    </w:p>
    <w:p w14:paraId="55412F8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5.1 质量要求</w:t>
      </w:r>
    </w:p>
    <w:p w14:paraId="5F4062E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5.1.1 特殊质量标准和要求：</w:t>
      </w:r>
      <w:r>
        <w:rPr>
          <w:rFonts w:hint="eastAsia" w:ascii="宋体" w:hAnsi="宋体"/>
          <w:szCs w:val="21"/>
          <w:highlight w:val="none"/>
          <w:u w:val="single"/>
        </w:rPr>
        <w:t>按照通用条款5.1条执行</w:t>
      </w:r>
      <w:r>
        <w:rPr>
          <w:rFonts w:ascii="宋体" w:hAnsi="宋体"/>
          <w:szCs w:val="21"/>
          <w:highlight w:val="none"/>
        </w:rPr>
        <w:t>。</w:t>
      </w:r>
    </w:p>
    <w:p w14:paraId="309F0E0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u w:val="single"/>
        </w:rPr>
      </w:pPr>
      <w:r>
        <w:rPr>
          <w:rFonts w:ascii="宋体" w:hAnsi="宋体"/>
          <w:szCs w:val="21"/>
          <w:highlight w:val="none"/>
        </w:rPr>
        <w:t>关于工程奖项的约定：</w:t>
      </w:r>
      <w:r>
        <w:rPr>
          <w:rFonts w:hint="eastAsia" w:ascii="宋体" w:hAnsi="宋体"/>
          <w:szCs w:val="21"/>
          <w:highlight w:val="none"/>
          <w:u w:val="single"/>
        </w:rPr>
        <w:t xml:space="preserve">无 </w:t>
      </w:r>
      <w:r>
        <w:rPr>
          <w:rFonts w:ascii="宋体" w:hAnsi="宋体"/>
          <w:szCs w:val="21"/>
          <w:highlight w:val="none"/>
        </w:rPr>
        <w:t>。</w:t>
      </w:r>
    </w:p>
    <w:p w14:paraId="1047EB8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5.3 隐蔽工程检查</w:t>
      </w:r>
    </w:p>
    <w:p w14:paraId="4ECE9288">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5.3.2承包人提前通知监理人隐蔽工程检查的期限的约定：</w:t>
      </w:r>
      <w:r>
        <w:rPr>
          <w:rFonts w:hint="eastAsia" w:ascii="宋体" w:hAnsi="宋体"/>
          <w:szCs w:val="21"/>
          <w:highlight w:val="none"/>
          <w:u w:val="single"/>
        </w:rPr>
        <w:t>承包人进行自检，并在隐蔽或中间验收48小时前以书面形式通知监理工程师，并会同发包人共同验收</w:t>
      </w:r>
      <w:r>
        <w:rPr>
          <w:rFonts w:ascii="宋体" w:hAnsi="宋体"/>
          <w:szCs w:val="21"/>
          <w:highlight w:val="none"/>
        </w:rPr>
        <w:t>。</w:t>
      </w:r>
    </w:p>
    <w:p w14:paraId="10F5D7DC">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监理人不能按时进行检查时，应提前</w:t>
      </w:r>
      <w:r>
        <w:rPr>
          <w:rFonts w:hint="eastAsia" w:ascii="宋体" w:hAnsi="宋体"/>
          <w:szCs w:val="21"/>
          <w:highlight w:val="none"/>
          <w:u w:val="single"/>
        </w:rPr>
        <w:t>24</w:t>
      </w:r>
      <w:r>
        <w:rPr>
          <w:rFonts w:ascii="宋体" w:hAnsi="宋体"/>
          <w:szCs w:val="21"/>
          <w:highlight w:val="none"/>
        </w:rPr>
        <w:t>小时提交书面延期要求。</w:t>
      </w:r>
    </w:p>
    <w:p w14:paraId="40DE136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关于延期最长不得超过：</w:t>
      </w:r>
      <w:r>
        <w:rPr>
          <w:rFonts w:hint="eastAsia" w:ascii="宋体" w:hAnsi="宋体"/>
          <w:szCs w:val="21"/>
          <w:highlight w:val="none"/>
          <w:u w:val="single"/>
        </w:rPr>
        <w:t>48</w:t>
      </w:r>
      <w:r>
        <w:rPr>
          <w:rFonts w:ascii="宋体" w:hAnsi="宋体"/>
          <w:szCs w:val="21"/>
          <w:highlight w:val="none"/>
        </w:rPr>
        <w:t>小时。</w:t>
      </w:r>
    </w:p>
    <w:p w14:paraId="7D51CE52">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6. 安全文明施工与环境保护</w:t>
      </w:r>
    </w:p>
    <w:p w14:paraId="2287935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6.1安全文明施工</w:t>
      </w:r>
    </w:p>
    <w:p w14:paraId="780D79B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u w:val="single"/>
        </w:rPr>
      </w:pPr>
      <w:r>
        <w:rPr>
          <w:rFonts w:ascii="宋体" w:hAnsi="宋体"/>
          <w:szCs w:val="21"/>
          <w:highlight w:val="none"/>
        </w:rPr>
        <w:t>6.1.1 项目安全生产的达标目标及相应事项的约定：</w:t>
      </w:r>
      <w:r>
        <w:rPr>
          <w:rFonts w:hint="eastAsia" w:ascii="宋体" w:hAnsi="宋体"/>
          <w:szCs w:val="21"/>
          <w:highlight w:val="none"/>
          <w:u w:val="single"/>
        </w:rPr>
        <w:t>按照通用条款6.1条执行</w:t>
      </w:r>
      <w:r>
        <w:rPr>
          <w:rFonts w:hint="eastAsia" w:ascii="宋体" w:hAnsi="宋体"/>
          <w:szCs w:val="21"/>
          <w:highlight w:val="none"/>
          <w:u w:val="single"/>
          <w:lang w:eastAsia="zh-CN"/>
        </w:rPr>
        <w:t>，</w:t>
      </w:r>
      <w:r>
        <w:rPr>
          <w:rFonts w:hint="eastAsia" w:ascii="宋体" w:hAnsi="宋体"/>
          <w:szCs w:val="21"/>
          <w:highlight w:val="none"/>
          <w:u w:val="single"/>
          <w:lang w:val="en-US" w:eastAsia="zh-CN"/>
        </w:rPr>
        <w:t>同</w:t>
      </w:r>
      <w:r>
        <w:rPr>
          <w:rFonts w:hint="eastAsia" w:ascii="宋体" w:hAnsi="宋体"/>
          <w:szCs w:val="21"/>
          <w:highlight w:val="none"/>
          <w:u w:val="single"/>
          <w:lang w:eastAsia="zh-CN"/>
        </w:rPr>
        <w:t>时承包人须全面考虑并做好施工现场及周边安全防护工作，做好现场施工人员安全</w:t>
      </w:r>
      <w:r>
        <w:rPr>
          <w:rFonts w:hint="eastAsia" w:ascii="宋体" w:hAnsi="宋体"/>
          <w:szCs w:val="21"/>
          <w:highlight w:val="none"/>
          <w:u w:val="single"/>
          <w:lang w:val="en-US" w:eastAsia="zh-CN"/>
        </w:rPr>
        <w:t>教育</w:t>
      </w:r>
      <w:r>
        <w:rPr>
          <w:rFonts w:hint="eastAsia" w:ascii="宋体" w:hAnsi="宋体"/>
          <w:szCs w:val="21"/>
          <w:highlight w:val="none"/>
          <w:u w:val="single"/>
          <w:lang w:eastAsia="zh-CN"/>
        </w:rPr>
        <w:t>工作和安全监督检查工作。承包人严格按国家及地方安全管理条例及安全操作规程进行施工，非发包人原因及不可抗力发生安全事故，给发包人及第三人所造成的一切损失由承包人负责赔偿，承包人自行承担全部法律责任。在施工现场中，一旦发现安全隐患承包人必须限期整改。若在施工过程中发生火灾等安全事故，造成周围设施损坏及人员伤亡，均由承包人自行承担一切经济和法律责任。</w:t>
      </w:r>
    </w:p>
    <w:p w14:paraId="73CC576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6.1.4 关于治安保卫的特别约定：</w:t>
      </w:r>
      <w:r>
        <w:rPr>
          <w:rFonts w:hint="eastAsia" w:ascii="宋体" w:hAnsi="宋体"/>
          <w:szCs w:val="21"/>
          <w:highlight w:val="none"/>
          <w:u w:val="single"/>
        </w:rPr>
        <w:t>按照通用条款6.1条执行</w:t>
      </w:r>
      <w:r>
        <w:rPr>
          <w:rFonts w:hint="eastAsia" w:ascii="宋体" w:hAnsi="宋体"/>
          <w:szCs w:val="21"/>
          <w:highlight w:val="none"/>
        </w:rPr>
        <w:t>。</w:t>
      </w:r>
    </w:p>
    <w:p w14:paraId="3AF6D44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关于编制施工场地治安管理计划的约定：</w:t>
      </w:r>
      <w:r>
        <w:rPr>
          <w:rFonts w:hint="eastAsia" w:ascii="宋体" w:hAnsi="宋体"/>
          <w:szCs w:val="21"/>
          <w:highlight w:val="none"/>
          <w:u w:val="single"/>
        </w:rPr>
        <w:t>承包人应严格按照合同约定履行安全职责，严格执行监理人有关安全工作的指示，并在签订合同后7日内，编制施工安全措施计划报送监理人审批</w:t>
      </w:r>
      <w:r>
        <w:rPr>
          <w:rFonts w:ascii="宋体" w:hAnsi="宋体"/>
          <w:szCs w:val="21"/>
          <w:highlight w:val="none"/>
        </w:rPr>
        <w:t>。</w:t>
      </w:r>
    </w:p>
    <w:p w14:paraId="7BEE0BE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hint="eastAsia" w:ascii="宋体" w:hAnsi="宋体"/>
          <w:szCs w:val="21"/>
          <w:highlight w:val="none"/>
        </w:rPr>
        <w:t>6.1.5 文明施工</w:t>
      </w:r>
    </w:p>
    <w:p w14:paraId="4416A0C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hint="eastAsia" w:ascii="宋体" w:hAnsi="宋体"/>
          <w:szCs w:val="21"/>
          <w:highlight w:val="none"/>
        </w:rPr>
        <w:t>合同当事人对文明施工的要求：</w:t>
      </w:r>
      <w:r>
        <w:rPr>
          <w:rFonts w:hint="eastAsia" w:ascii="宋体" w:hAnsi="宋体"/>
          <w:szCs w:val="21"/>
          <w:highlight w:val="none"/>
          <w:u w:val="single"/>
        </w:rPr>
        <w:t>按照通用条款6.1条执行</w:t>
      </w:r>
      <w:r>
        <w:rPr>
          <w:rFonts w:hint="eastAsia" w:ascii="宋体" w:hAnsi="宋体"/>
          <w:szCs w:val="21"/>
          <w:highlight w:val="none"/>
        </w:rPr>
        <w:t>。</w:t>
      </w:r>
    </w:p>
    <w:p w14:paraId="080DF9D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6.1.6 关于安全文明施工费支付比例和支付期限的约定：</w:t>
      </w:r>
      <w:r>
        <w:rPr>
          <w:rFonts w:hint="eastAsia" w:ascii="宋体" w:hAnsi="宋体"/>
          <w:szCs w:val="21"/>
          <w:highlight w:val="none"/>
          <w:u w:val="single"/>
        </w:rPr>
        <w:t xml:space="preserve">   /  </w:t>
      </w:r>
      <w:r>
        <w:rPr>
          <w:rFonts w:ascii="宋体" w:hAnsi="宋体"/>
          <w:szCs w:val="21"/>
          <w:highlight w:val="none"/>
        </w:rPr>
        <w:t>。</w:t>
      </w:r>
    </w:p>
    <w:p w14:paraId="4E05938A">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7. 工期和进度</w:t>
      </w:r>
    </w:p>
    <w:p w14:paraId="1379422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7.1 施工组织设计</w:t>
      </w:r>
    </w:p>
    <w:p w14:paraId="5D821D55">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color w:val="auto"/>
          <w:kern w:val="0"/>
          <w:szCs w:val="21"/>
          <w:highlight w:val="none"/>
        </w:rPr>
      </w:pPr>
      <w:r>
        <w:rPr>
          <w:rFonts w:ascii="宋体" w:hAnsi="宋体"/>
          <w:color w:val="auto"/>
          <w:szCs w:val="21"/>
          <w:highlight w:val="none"/>
        </w:rPr>
        <w:t>7.1.</w:t>
      </w:r>
      <w:r>
        <w:rPr>
          <w:rFonts w:hint="eastAsia" w:ascii="宋体" w:hAnsi="宋体"/>
          <w:color w:val="auto"/>
          <w:szCs w:val="21"/>
          <w:highlight w:val="none"/>
        </w:rPr>
        <w:t>1 合</w:t>
      </w:r>
      <w:r>
        <w:rPr>
          <w:rFonts w:hint="eastAsia" w:ascii="宋体" w:hAnsi="宋体"/>
          <w:color w:val="auto"/>
          <w:kern w:val="0"/>
          <w:szCs w:val="21"/>
          <w:highlight w:val="none"/>
        </w:rPr>
        <w:t>同当事人约定的</w:t>
      </w:r>
      <w:r>
        <w:rPr>
          <w:rFonts w:ascii="宋体" w:hAnsi="宋体"/>
          <w:color w:val="auto"/>
          <w:kern w:val="0"/>
          <w:szCs w:val="21"/>
          <w:highlight w:val="none"/>
        </w:rPr>
        <w:t>施工组织设计</w:t>
      </w:r>
      <w:r>
        <w:rPr>
          <w:rFonts w:hint="eastAsia" w:ascii="宋体" w:hAnsi="宋体"/>
          <w:color w:val="auto"/>
          <w:kern w:val="0"/>
          <w:szCs w:val="21"/>
          <w:highlight w:val="none"/>
        </w:rPr>
        <w:t>应包括的其他内容</w:t>
      </w:r>
      <w:r>
        <w:rPr>
          <w:rFonts w:ascii="宋体" w:hAnsi="宋体"/>
          <w:color w:val="auto"/>
          <w:kern w:val="0"/>
          <w:szCs w:val="21"/>
          <w:highlight w:val="none"/>
        </w:rPr>
        <w:t>：</w:t>
      </w:r>
      <w:r>
        <w:rPr>
          <w:rFonts w:hint="eastAsia" w:ascii="宋体" w:hAnsi="宋体"/>
          <w:color w:val="auto"/>
          <w:szCs w:val="21"/>
          <w:highlight w:val="none"/>
          <w:u w:val="single"/>
        </w:rPr>
        <w:t>施工方案；施工现场平面布置图、施工进度计划和保证措施；劳动力及材料供应计划；施工机械设备的选用计划；质量保证体系及措施；安全生产、文明施工措施；环境保护、成本控制措施及合同约定的其他内容</w:t>
      </w:r>
      <w:r>
        <w:rPr>
          <w:rFonts w:ascii="宋体" w:hAnsi="宋体"/>
          <w:color w:val="auto"/>
          <w:szCs w:val="21"/>
          <w:highlight w:val="none"/>
        </w:rPr>
        <w:t>。</w:t>
      </w:r>
    </w:p>
    <w:p w14:paraId="51747F4A">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kern w:val="0"/>
          <w:szCs w:val="21"/>
          <w:highlight w:val="none"/>
        </w:rPr>
      </w:pPr>
      <w:r>
        <w:rPr>
          <w:rFonts w:ascii="宋体" w:hAnsi="宋体"/>
          <w:szCs w:val="21"/>
          <w:highlight w:val="none"/>
        </w:rPr>
        <w:t xml:space="preserve">7.1.2 </w:t>
      </w:r>
      <w:r>
        <w:rPr>
          <w:rFonts w:ascii="宋体" w:hAnsi="宋体"/>
          <w:kern w:val="0"/>
          <w:szCs w:val="21"/>
          <w:highlight w:val="none"/>
        </w:rPr>
        <w:t>施工组织设计的提交和修改</w:t>
      </w:r>
    </w:p>
    <w:p w14:paraId="02710BEB">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color w:val="auto"/>
          <w:szCs w:val="21"/>
          <w:highlight w:val="none"/>
          <w:u w:val="single"/>
        </w:rPr>
      </w:pPr>
      <w:r>
        <w:rPr>
          <w:rFonts w:ascii="宋体" w:hAnsi="宋体"/>
          <w:color w:val="auto"/>
          <w:kern w:val="0"/>
          <w:szCs w:val="21"/>
          <w:highlight w:val="none"/>
        </w:rPr>
        <w:t>承包人提交详细施工组织设计的期限的约定：</w:t>
      </w:r>
      <w:r>
        <w:rPr>
          <w:rFonts w:hint="eastAsia" w:ascii="宋体" w:hAnsi="宋体"/>
          <w:color w:val="auto"/>
          <w:szCs w:val="21"/>
          <w:highlight w:val="none"/>
          <w:u w:val="single"/>
        </w:rPr>
        <w:t>开工后</w:t>
      </w:r>
      <w:r>
        <w:rPr>
          <w:rFonts w:hint="eastAsia" w:ascii="宋体" w:hAnsi="宋体"/>
          <w:color w:val="auto"/>
          <w:szCs w:val="21"/>
          <w:highlight w:val="none"/>
          <w:u w:val="single"/>
          <w:lang w:val="en-US" w:eastAsia="zh-CN"/>
        </w:rPr>
        <w:t xml:space="preserve">  3 </w:t>
      </w:r>
      <w:r>
        <w:rPr>
          <w:rFonts w:hint="eastAsia" w:ascii="宋体" w:hAnsi="宋体"/>
          <w:color w:val="auto"/>
          <w:szCs w:val="21"/>
          <w:highlight w:val="none"/>
          <w:u w:val="single"/>
        </w:rPr>
        <w:t>日内</w:t>
      </w:r>
      <w:r>
        <w:rPr>
          <w:rFonts w:hint="eastAsia" w:ascii="宋体" w:hAnsi="宋体"/>
          <w:color w:val="auto"/>
          <w:szCs w:val="21"/>
          <w:highlight w:val="none"/>
        </w:rPr>
        <w:t xml:space="preserve">。 </w:t>
      </w:r>
    </w:p>
    <w:p w14:paraId="7348775C">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发包人和监理人在收到</w:t>
      </w:r>
      <w:r>
        <w:rPr>
          <w:rFonts w:hint="eastAsia" w:ascii="宋体" w:hAnsi="宋体"/>
          <w:color w:val="auto"/>
          <w:szCs w:val="21"/>
          <w:highlight w:val="none"/>
        </w:rPr>
        <w:t>详细的施工组织设计</w:t>
      </w:r>
      <w:r>
        <w:rPr>
          <w:rFonts w:ascii="宋体" w:hAnsi="宋体"/>
          <w:color w:val="auto"/>
          <w:szCs w:val="21"/>
          <w:highlight w:val="none"/>
        </w:rPr>
        <w:t>后确认或提出修改意见的期限：</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日内</w:t>
      </w:r>
      <w:r>
        <w:rPr>
          <w:rFonts w:ascii="宋体" w:hAnsi="宋体"/>
          <w:color w:val="auto"/>
          <w:szCs w:val="21"/>
          <w:highlight w:val="none"/>
        </w:rPr>
        <w:t>。</w:t>
      </w:r>
    </w:p>
    <w:p w14:paraId="4B81D91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7.2 施工进度计划</w:t>
      </w:r>
    </w:p>
    <w:p w14:paraId="05D8B654">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7.2.2 施工进度计划的修订</w:t>
      </w:r>
    </w:p>
    <w:p w14:paraId="207E2AB3">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发包人和监理人在收到修订的施工进度计划后确认或提出修改意见的期限：</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日内</w:t>
      </w:r>
      <w:r>
        <w:rPr>
          <w:rFonts w:ascii="宋体" w:hAnsi="宋体"/>
          <w:color w:val="auto"/>
          <w:szCs w:val="21"/>
          <w:highlight w:val="none"/>
        </w:rPr>
        <w:t>。</w:t>
      </w:r>
    </w:p>
    <w:p w14:paraId="2C3C780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7.3 开工</w:t>
      </w:r>
    </w:p>
    <w:p w14:paraId="1894574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7.3.1 开工准备</w:t>
      </w:r>
    </w:p>
    <w:p w14:paraId="2BB6CE94">
      <w:pPr>
        <w:keepNext w:val="0"/>
        <w:keepLines w:val="0"/>
        <w:pageBreakBefore w:val="0"/>
        <w:kinsoku/>
        <w:wordWrap/>
        <w:overflowPunct/>
        <w:topLinePunct w:val="0"/>
        <w:bidi w:val="0"/>
        <w:adjustRightInd w:val="0"/>
        <w:snapToGrid w:val="0"/>
        <w:spacing w:line="360" w:lineRule="auto"/>
        <w:ind w:left="0" w:leftChars="0" w:right="0"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关于承包人提交工程开工报审表的期限：</w:t>
      </w:r>
      <w:r>
        <w:rPr>
          <w:rFonts w:hint="eastAsia" w:ascii="宋体" w:hAnsi="宋体" w:cs="宋体"/>
          <w:b w:val="0"/>
          <w:bCs w:val="0"/>
          <w:color w:val="auto"/>
          <w:szCs w:val="21"/>
          <w:highlight w:val="none"/>
          <w:u w:val="single"/>
        </w:rPr>
        <w:t>开工前</w:t>
      </w:r>
      <w:r>
        <w:rPr>
          <w:rFonts w:hint="eastAsia" w:ascii="宋体" w:hAnsi="宋体" w:cs="宋体"/>
          <w:b w:val="0"/>
          <w:bCs w:val="0"/>
          <w:color w:val="auto"/>
          <w:szCs w:val="21"/>
          <w:highlight w:val="none"/>
          <w:u w:val="single"/>
          <w:lang w:val="en-US" w:eastAsia="zh-CN"/>
        </w:rPr>
        <w:t xml:space="preserve">  </w:t>
      </w:r>
      <w:r>
        <w:rPr>
          <w:rFonts w:hint="eastAsia" w:ascii="宋体" w:hAnsi="宋体" w:cs="宋体"/>
          <w:b w:val="0"/>
          <w:bCs w:val="0"/>
          <w:color w:val="auto"/>
          <w:szCs w:val="21"/>
          <w:highlight w:val="none"/>
          <w:u w:val="single"/>
        </w:rPr>
        <w:t>天</w:t>
      </w:r>
      <w:r>
        <w:rPr>
          <w:rFonts w:hint="eastAsia" w:ascii="宋体" w:hAnsi="宋体" w:cs="宋体"/>
          <w:b w:val="0"/>
          <w:bCs w:val="0"/>
          <w:color w:val="auto"/>
          <w:szCs w:val="21"/>
          <w:highlight w:val="none"/>
          <w:u w:val="none"/>
        </w:rPr>
        <w:t>。</w:t>
      </w:r>
    </w:p>
    <w:p w14:paraId="64B9E38F">
      <w:pPr>
        <w:keepNext w:val="0"/>
        <w:keepLines w:val="0"/>
        <w:pageBreakBefore w:val="0"/>
        <w:kinsoku/>
        <w:wordWrap/>
        <w:overflowPunct/>
        <w:topLinePunct w:val="0"/>
        <w:bidi w:val="0"/>
        <w:adjustRightInd w:val="0"/>
        <w:snapToGrid w:val="0"/>
        <w:spacing w:line="360" w:lineRule="auto"/>
        <w:ind w:left="0" w:leftChars="0" w:right="0"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关于发包人应完成的其他开工准备工作及期限：</w:t>
      </w:r>
      <w:r>
        <w:rPr>
          <w:rFonts w:hint="eastAsia" w:ascii="宋体" w:hAnsi="宋体" w:cs="宋体"/>
          <w:b w:val="0"/>
          <w:bCs w:val="0"/>
          <w:color w:val="auto"/>
          <w:szCs w:val="21"/>
          <w:highlight w:val="none"/>
          <w:u w:val="single"/>
        </w:rPr>
        <w:t xml:space="preserve"> 满足开工时间要求</w:t>
      </w:r>
      <w:r>
        <w:rPr>
          <w:rFonts w:hint="eastAsia" w:ascii="宋体" w:hAnsi="宋体" w:cs="宋体"/>
          <w:b w:val="0"/>
          <w:bCs w:val="0"/>
          <w:color w:val="auto"/>
          <w:szCs w:val="21"/>
          <w:highlight w:val="none"/>
          <w:u w:val="none"/>
        </w:rPr>
        <w:t>。</w:t>
      </w:r>
    </w:p>
    <w:p w14:paraId="4E42DEDB">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hint="eastAsia" w:ascii="宋体" w:hAnsi="宋体" w:cs="宋体"/>
          <w:color w:val="auto"/>
          <w:szCs w:val="21"/>
          <w:highlight w:val="none"/>
        </w:rPr>
        <w:t>关于承包人应完成的其他开工准备工作及期限：</w:t>
      </w:r>
      <w:r>
        <w:rPr>
          <w:rFonts w:hint="eastAsia" w:ascii="宋体" w:hAnsi="宋体" w:cs="宋体"/>
          <w:b w:val="0"/>
          <w:bCs w:val="0"/>
          <w:color w:val="auto"/>
          <w:szCs w:val="21"/>
          <w:highlight w:val="none"/>
          <w:u w:val="single"/>
        </w:rPr>
        <w:t xml:space="preserve"> 满足开工时间要求</w:t>
      </w:r>
      <w:r>
        <w:rPr>
          <w:rFonts w:hint="eastAsia" w:ascii="宋体" w:hAnsi="宋体" w:cs="宋体"/>
          <w:b w:val="0"/>
          <w:bCs w:val="0"/>
          <w:color w:val="auto"/>
          <w:szCs w:val="21"/>
          <w:highlight w:val="none"/>
          <w:u w:val="none"/>
        </w:rPr>
        <w:t>。</w:t>
      </w:r>
    </w:p>
    <w:p w14:paraId="76991B56">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7.3.2开工通知</w:t>
      </w:r>
    </w:p>
    <w:p w14:paraId="73654456">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因发包人原因造成监理人未能在计划开工日期之日起</w:t>
      </w:r>
      <w:r>
        <w:rPr>
          <w:rFonts w:hint="eastAsia" w:ascii="宋体" w:hAnsi="宋体"/>
          <w:szCs w:val="21"/>
          <w:highlight w:val="none"/>
          <w:u w:val="single"/>
          <w:lang w:val="en-US" w:eastAsia="zh-CN"/>
        </w:rPr>
        <w:t xml:space="preserve">  </w:t>
      </w:r>
      <w:r>
        <w:rPr>
          <w:rFonts w:ascii="宋体" w:hAnsi="宋体"/>
          <w:szCs w:val="21"/>
          <w:highlight w:val="none"/>
        </w:rPr>
        <w:t>天内发出开工通知的，承包人有权提出价格调整要求，或者解除合同。</w:t>
      </w:r>
    </w:p>
    <w:p w14:paraId="655052D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7.4 测量放线</w:t>
      </w:r>
    </w:p>
    <w:p w14:paraId="7FEC8B05">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u w:val="single"/>
        </w:rPr>
      </w:pPr>
      <w:r>
        <w:rPr>
          <w:rFonts w:ascii="宋体" w:hAnsi="宋体"/>
          <w:color w:val="auto"/>
          <w:szCs w:val="21"/>
          <w:highlight w:val="none"/>
        </w:rPr>
        <w:t>7.4.1发包人通过监理人向承包人提供测量基准点、基准线和水准点及其书面资料的期限：</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日内</w:t>
      </w:r>
      <w:r>
        <w:rPr>
          <w:rFonts w:ascii="宋体" w:hAnsi="宋体"/>
          <w:color w:val="auto"/>
          <w:szCs w:val="21"/>
          <w:highlight w:val="none"/>
        </w:rPr>
        <w:t>。</w:t>
      </w:r>
    </w:p>
    <w:p w14:paraId="342EEB3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7.5 工期延误</w:t>
      </w:r>
    </w:p>
    <w:p w14:paraId="6BE3E79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7.5.1 因发包人原因导致工期延误</w:t>
      </w:r>
    </w:p>
    <w:p w14:paraId="6AF653B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w:t>
      </w:r>
      <w:r>
        <w:rPr>
          <w:rFonts w:hint="eastAsia" w:ascii="宋体" w:hAnsi="宋体"/>
          <w:szCs w:val="21"/>
          <w:highlight w:val="none"/>
        </w:rPr>
        <w:t>1</w:t>
      </w:r>
      <w:r>
        <w:rPr>
          <w:rFonts w:ascii="宋体" w:hAnsi="宋体"/>
          <w:szCs w:val="21"/>
          <w:highlight w:val="none"/>
        </w:rPr>
        <w:t>）因发包人原因导致工期延误的其他情形：</w:t>
      </w:r>
      <w:r>
        <w:rPr>
          <w:rFonts w:hint="eastAsia" w:ascii="宋体" w:hAnsi="宋体"/>
          <w:szCs w:val="21"/>
          <w:highlight w:val="none"/>
          <w:u w:val="single"/>
        </w:rPr>
        <w:t>按照通用条款7.5.1条执行</w:t>
      </w:r>
      <w:r>
        <w:rPr>
          <w:rFonts w:ascii="宋体" w:hAnsi="宋体"/>
          <w:szCs w:val="21"/>
          <w:highlight w:val="none"/>
        </w:rPr>
        <w:t>。</w:t>
      </w:r>
    </w:p>
    <w:p w14:paraId="13D37FB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7.5.2 因承包人原因导致工期延误</w:t>
      </w:r>
    </w:p>
    <w:p w14:paraId="53FD6B1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因承包人原因造成工期延误，逾期竣工违约金的计算方法为：</w:t>
      </w:r>
      <w:r>
        <w:rPr>
          <w:rFonts w:hint="eastAsia" w:ascii="宋体" w:hAnsi="宋体" w:cs="宋体"/>
          <w:b/>
          <w:bCs/>
          <w:color w:val="auto"/>
          <w:szCs w:val="21"/>
          <w:highlight w:val="none"/>
          <w:u w:val="single"/>
        </w:rPr>
        <w:t>因承包人的原因使本工程不能按期竣工，每拖延一天按工程总造价的千分之一向发包人缴纳违约金</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rPr>
        <w:t>累计不超过合同价款 10%</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rPr>
        <w:t>，并承担因延误工期给发包人或其他施工方造成的经济损失</w:t>
      </w:r>
      <w:r>
        <w:rPr>
          <w:rFonts w:hint="eastAsia" w:ascii="宋体" w:hAnsi="宋体" w:cs="宋体"/>
          <w:b/>
          <w:bCs/>
          <w:color w:val="auto"/>
          <w:szCs w:val="21"/>
          <w:highlight w:val="none"/>
          <w:u w:val="single"/>
          <w:lang w:val="en-US" w:eastAsia="zh-CN"/>
        </w:rPr>
        <w:t>。</w:t>
      </w:r>
    </w:p>
    <w:p w14:paraId="2B29A12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因承包人原因造成工期延误，逾期竣工违约金的</w:t>
      </w:r>
      <w:r>
        <w:rPr>
          <w:rFonts w:ascii="宋体" w:hAnsi="宋体"/>
          <w:b w:val="0"/>
          <w:bCs w:val="0"/>
          <w:color w:val="auto"/>
          <w:szCs w:val="21"/>
          <w:highlight w:val="none"/>
        </w:rPr>
        <w:t>上限：</w:t>
      </w:r>
      <w:r>
        <w:rPr>
          <w:rFonts w:ascii="宋体" w:hAnsi="宋体"/>
          <w:b w:val="0"/>
          <w:bCs w:val="0"/>
          <w:color w:val="auto"/>
          <w:szCs w:val="21"/>
          <w:highlight w:val="none"/>
          <w:u w:val="single"/>
        </w:rPr>
        <w:t>合同价款 10%</w:t>
      </w:r>
      <w:r>
        <w:rPr>
          <w:rFonts w:ascii="宋体" w:hAnsi="宋体"/>
          <w:b w:val="0"/>
          <w:bCs w:val="0"/>
          <w:color w:val="auto"/>
          <w:szCs w:val="21"/>
          <w:highlight w:val="none"/>
        </w:rPr>
        <w:t>。</w:t>
      </w:r>
    </w:p>
    <w:p w14:paraId="2B306FC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7.6 不利物质条件</w:t>
      </w:r>
    </w:p>
    <w:p w14:paraId="1D57336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不利物质条件的其他情形和有关约定：</w:t>
      </w:r>
      <w:r>
        <w:rPr>
          <w:rFonts w:hint="eastAsia" w:ascii="宋体" w:hAnsi="宋体"/>
          <w:szCs w:val="21"/>
          <w:highlight w:val="none"/>
          <w:u w:val="single"/>
        </w:rPr>
        <w:t>按照通用条款7.6条执行</w:t>
      </w:r>
      <w:r>
        <w:rPr>
          <w:rFonts w:ascii="宋体" w:hAnsi="宋体"/>
          <w:szCs w:val="21"/>
          <w:highlight w:val="none"/>
        </w:rPr>
        <w:t>。</w:t>
      </w:r>
    </w:p>
    <w:p w14:paraId="3C19B72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7.7异常恶劣的气候条件</w:t>
      </w:r>
    </w:p>
    <w:p w14:paraId="514FC354">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发包人和承包人同意以下情形视为异常恶劣的气候条件：</w:t>
      </w:r>
    </w:p>
    <w:p w14:paraId="38360225">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（1）</w:t>
      </w:r>
      <w:r>
        <w:rPr>
          <w:rFonts w:hint="eastAsia" w:ascii="宋体" w:hAnsi="宋体"/>
          <w:szCs w:val="21"/>
          <w:highlight w:val="none"/>
          <w:u w:val="single"/>
        </w:rPr>
        <w:t>无</w:t>
      </w:r>
      <w:r>
        <w:rPr>
          <w:rFonts w:ascii="宋体" w:hAnsi="宋体"/>
          <w:szCs w:val="21"/>
          <w:highlight w:val="none"/>
        </w:rPr>
        <w:t>。</w:t>
      </w:r>
    </w:p>
    <w:p w14:paraId="01ECD33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7.9 提前竣工的奖励</w:t>
      </w:r>
    </w:p>
    <w:p w14:paraId="44A29915">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7.9.2提前竣工的奖励：</w:t>
      </w:r>
      <w:r>
        <w:rPr>
          <w:rFonts w:hint="eastAsia" w:ascii="宋体" w:hAnsi="宋体"/>
          <w:szCs w:val="21"/>
          <w:highlight w:val="none"/>
          <w:u w:val="single"/>
        </w:rPr>
        <w:t>提前竣工不奖励</w:t>
      </w:r>
      <w:r>
        <w:rPr>
          <w:rFonts w:ascii="宋体" w:hAnsi="宋体"/>
          <w:szCs w:val="21"/>
          <w:highlight w:val="none"/>
        </w:rPr>
        <w:t>。</w:t>
      </w:r>
    </w:p>
    <w:p w14:paraId="7AC4B100">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8. 材料与设备</w:t>
      </w:r>
    </w:p>
    <w:p w14:paraId="31E7C85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8.4材料与工程设备的保管与使用</w:t>
      </w:r>
    </w:p>
    <w:p w14:paraId="1014613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8.4.1发包人供应的材料设备的保管费用的承担：</w:t>
      </w:r>
      <w:r>
        <w:rPr>
          <w:rFonts w:hint="eastAsia" w:ascii="宋体" w:hAnsi="宋体"/>
          <w:szCs w:val="21"/>
          <w:highlight w:val="none"/>
          <w:u w:val="single"/>
        </w:rPr>
        <w:t xml:space="preserve"> 无 </w:t>
      </w:r>
      <w:r>
        <w:rPr>
          <w:rFonts w:ascii="宋体" w:hAnsi="宋体"/>
          <w:szCs w:val="21"/>
          <w:highlight w:val="none"/>
        </w:rPr>
        <w:t>。</w:t>
      </w:r>
    </w:p>
    <w:p w14:paraId="143C87B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8.6 样品</w:t>
      </w:r>
    </w:p>
    <w:p w14:paraId="059FB44E">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8.6.1</w:t>
      </w:r>
      <w:r>
        <w:rPr>
          <w:rFonts w:ascii="宋体" w:hAnsi="宋体"/>
          <w:kern w:val="0"/>
          <w:szCs w:val="21"/>
          <w:highlight w:val="none"/>
        </w:rPr>
        <w:tab/>
      </w:r>
      <w:r>
        <w:rPr>
          <w:rFonts w:ascii="宋体" w:hAnsi="宋体"/>
          <w:kern w:val="0"/>
          <w:szCs w:val="21"/>
          <w:highlight w:val="none"/>
        </w:rPr>
        <w:t>样品的报送</w:t>
      </w:r>
      <w:r>
        <w:rPr>
          <w:rFonts w:hint="eastAsia" w:ascii="宋体" w:hAnsi="宋体"/>
          <w:kern w:val="0"/>
          <w:szCs w:val="21"/>
          <w:highlight w:val="none"/>
        </w:rPr>
        <w:t>与封存</w:t>
      </w:r>
    </w:p>
    <w:p w14:paraId="390FBBA3">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szCs w:val="21"/>
          <w:highlight w:val="none"/>
          <w:u w:val="single"/>
        </w:rPr>
      </w:pPr>
      <w:r>
        <w:rPr>
          <w:rFonts w:ascii="宋体" w:hAnsi="宋体"/>
          <w:kern w:val="0"/>
          <w:szCs w:val="21"/>
          <w:highlight w:val="none"/>
        </w:rPr>
        <w:t>需要承包人报送样品的材料或工程设备，样品的种类、名称、规格、数量要求：</w:t>
      </w:r>
      <w:r>
        <w:rPr>
          <w:rFonts w:hint="eastAsia" w:ascii="宋体" w:hAnsi="宋体"/>
          <w:kern w:val="0"/>
          <w:szCs w:val="21"/>
          <w:highlight w:val="none"/>
          <w:u w:val="single"/>
        </w:rPr>
        <w:t>按实际需要求提供。</w:t>
      </w:r>
    </w:p>
    <w:p w14:paraId="278A0BBC">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8.8 施工设备和临时设施</w:t>
      </w:r>
    </w:p>
    <w:p w14:paraId="77FAB0F5">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8.8.1 承包人提供的施工设备和临时设施</w:t>
      </w:r>
    </w:p>
    <w:p w14:paraId="15418A65">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关于修建临时设施费用承担的约定：</w:t>
      </w:r>
      <w:r>
        <w:rPr>
          <w:rFonts w:hint="eastAsia" w:ascii="宋体" w:hAnsi="宋体"/>
          <w:szCs w:val="21"/>
          <w:highlight w:val="none"/>
          <w:u w:val="single"/>
        </w:rPr>
        <w:t>按照通用条款8.8条执行</w:t>
      </w:r>
      <w:r>
        <w:rPr>
          <w:rFonts w:ascii="宋体" w:hAnsi="宋体"/>
          <w:szCs w:val="21"/>
          <w:highlight w:val="none"/>
        </w:rPr>
        <w:t>。</w:t>
      </w:r>
    </w:p>
    <w:p w14:paraId="453DF401">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9. 试验与检验</w:t>
      </w:r>
    </w:p>
    <w:p w14:paraId="596AEA0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9.1试验设备与试验人员</w:t>
      </w:r>
    </w:p>
    <w:p w14:paraId="356F4F31">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9.1.2 试验设备</w:t>
      </w:r>
    </w:p>
    <w:p w14:paraId="2AB93181">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u w:val="single"/>
        </w:rPr>
      </w:pPr>
      <w:r>
        <w:rPr>
          <w:rFonts w:ascii="宋体" w:hAnsi="宋体"/>
          <w:szCs w:val="21"/>
          <w:highlight w:val="none"/>
        </w:rPr>
        <w:t>施工现场需要配置的试验场所：</w:t>
      </w:r>
      <w:r>
        <w:rPr>
          <w:rFonts w:hint="eastAsia" w:ascii="宋体" w:hAnsi="宋体"/>
          <w:szCs w:val="21"/>
          <w:highlight w:val="none"/>
          <w:u w:val="single"/>
        </w:rPr>
        <w:t xml:space="preserve">                     </w:t>
      </w:r>
      <w:r>
        <w:rPr>
          <w:rFonts w:ascii="宋体" w:hAnsi="宋体"/>
          <w:szCs w:val="21"/>
          <w:highlight w:val="none"/>
        </w:rPr>
        <w:t>。</w:t>
      </w:r>
    </w:p>
    <w:p w14:paraId="4428292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施工现场需要配备的试验设备：</w:t>
      </w:r>
      <w:r>
        <w:rPr>
          <w:rFonts w:hint="eastAsia" w:ascii="宋体" w:hAnsi="宋体"/>
          <w:szCs w:val="21"/>
          <w:highlight w:val="none"/>
          <w:u w:val="single"/>
        </w:rPr>
        <w:t xml:space="preserve">                     </w:t>
      </w:r>
      <w:r>
        <w:rPr>
          <w:rFonts w:ascii="宋体" w:hAnsi="宋体"/>
          <w:szCs w:val="21"/>
          <w:highlight w:val="none"/>
        </w:rPr>
        <w:t>。</w:t>
      </w:r>
    </w:p>
    <w:p w14:paraId="514BD79C">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施工现场需要具备的其他试验条件：</w:t>
      </w:r>
      <w:r>
        <w:rPr>
          <w:rFonts w:hint="eastAsia" w:ascii="宋体" w:hAnsi="宋体"/>
          <w:szCs w:val="21"/>
          <w:highlight w:val="none"/>
          <w:u w:val="single"/>
        </w:rPr>
        <w:t xml:space="preserve">                 </w:t>
      </w:r>
      <w:r>
        <w:rPr>
          <w:rFonts w:ascii="宋体" w:hAnsi="宋体"/>
          <w:szCs w:val="21"/>
          <w:highlight w:val="none"/>
        </w:rPr>
        <w:t>。</w:t>
      </w:r>
    </w:p>
    <w:p w14:paraId="5834981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9.4 现场工艺试验</w:t>
      </w:r>
    </w:p>
    <w:p w14:paraId="03C13848">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现场工艺试验的有关约定：</w:t>
      </w:r>
      <w:r>
        <w:rPr>
          <w:rFonts w:hint="eastAsia" w:ascii="宋体" w:hAnsi="宋体"/>
          <w:szCs w:val="21"/>
          <w:highlight w:val="none"/>
          <w:u w:val="single"/>
        </w:rPr>
        <w:t xml:space="preserve">                 </w:t>
      </w:r>
      <w:r>
        <w:rPr>
          <w:rFonts w:ascii="宋体" w:hAnsi="宋体"/>
          <w:szCs w:val="21"/>
          <w:highlight w:val="none"/>
        </w:rPr>
        <w:t>。</w:t>
      </w:r>
    </w:p>
    <w:p w14:paraId="0CDB65BE">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10. 变更</w:t>
      </w:r>
    </w:p>
    <w:p w14:paraId="429CCC3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10.1变更的范围</w:t>
      </w:r>
    </w:p>
    <w:p w14:paraId="115AED34">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关于变更的范围的约定：</w:t>
      </w:r>
      <w:r>
        <w:rPr>
          <w:rFonts w:hint="eastAsia" w:ascii="宋体" w:hAnsi="宋体"/>
          <w:szCs w:val="21"/>
          <w:highlight w:val="none"/>
          <w:u w:val="single"/>
        </w:rPr>
        <w:t xml:space="preserve">按照通用条款10.1条执行  </w:t>
      </w:r>
      <w:r>
        <w:rPr>
          <w:rFonts w:ascii="宋体" w:hAnsi="宋体"/>
          <w:szCs w:val="21"/>
          <w:highlight w:val="none"/>
        </w:rPr>
        <w:t>。</w:t>
      </w:r>
    </w:p>
    <w:p w14:paraId="6CCE436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10.4 变更估价</w:t>
      </w:r>
    </w:p>
    <w:p w14:paraId="13CB2956">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hint="eastAsia" w:ascii="宋体" w:hAnsi="宋体"/>
          <w:szCs w:val="21"/>
          <w:highlight w:val="none"/>
        </w:rPr>
        <w:t>10.4.1 变更估价原则</w:t>
      </w:r>
    </w:p>
    <w:p w14:paraId="0D635C42">
      <w:pPr>
        <w:spacing w:line="360" w:lineRule="auto"/>
        <w:ind w:firstLine="420" w:firstLineChars="200"/>
        <w:jc w:val="left"/>
        <w:rPr>
          <w:rFonts w:hint="eastAsia" w:ascii="宋体" w:hAnsi="宋体"/>
          <w:szCs w:val="21"/>
          <w:highlight w:val="none"/>
          <w:u w:val="single"/>
        </w:rPr>
      </w:pPr>
      <w:r>
        <w:rPr>
          <w:rFonts w:ascii="宋体" w:hAnsi="宋体"/>
          <w:szCs w:val="21"/>
          <w:highlight w:val="none"/>
        </w:rPr>
        <w:t>关于变更估价的约定:</w:t>
      </w:r>
      <w:r>
        <w:rPr>
          <w:rFonts w:hint="eastAsia" w:ascii="宋体" w:hAnsi="宋体"/>
          <w:szCs w:val="21"/>
          <w:highlight w:val="none"/>
          <w:u w:val="single"/>
        </w:rPr>
        <w:t>如施工过程中产生工程变更的，其综合单价调整按照GB/T50500-2024《建设工程工程量清单计价标准》、云南省住房和城乡建设厅关于发布《(建设工程工程量清单计价标准(2024)) 云南省过渡期实施规定》的通知(云建科[2025]63号)、云南省住房和城乡建设厅关于发布《建设工程相关专业工程量计算标准云南省过渡期使用指南》的通知(云建科[2025]72号)、《云南省住房和城乡建设厅关于云南省建设工程造价计价标准调整定额人工费的通知》(云建科[2023〕54号)及与其配套的现行有关政策、法规、文件、计价计量依据及计价计量办法等中的规定以第一次报价的工程量清单综合单价进行调整，由承包人报发包人、监理单位、造价审计等单位确定：</w:t>
      </w:r>
    </w:p>
    <w:p w14:paraId="3B50A23B">
      <w:pPr>
        <w:spacing w:line="360" w:lineRule="auto"/>
        <w:ind w:firstLine="420" w:firstLineChars="200"/>
        <w:jc w:val="left"/>
        <w:rPr>
          <w:rFonts w:hint="eastAsia" w:ascii="宋体" w:hAnsi="宋体"/>
          <w:szCs w:val="21"/>
          <w:highlight w:val="none"/>
          <w:u w:val="single"/>
        </w:rPr>
      </w:pPr>
      <w:r>
        <w:rPr>
          <w:rFonts w:hint="eastAsia" w:ascii="宋体" w:hAnsi="宋体"/>
          <w:szCs w:val="21"/>
          <w:highlight w:val="none"/>
          <w:u w:val="single"/>
        </w:rPr>
        <w:t>①相同施工条件下实施相同项目特征的清单项目，采用相应的综合单价；</w:t>
      </w:r>
    </w:p>
    <w:p w14:paraId="215E9CA7">
      <w:pPr>
        <w:spacing w:line="360" w:lineRule="auto"/>
        <w:ind w:firstLine="420" w:firstLineChars="200"/>
        <w:jc w:val="left"/>
        <w:rPr>
          <w:rFonts w:hint="eastAsia" w:ascii="宋体" w:hAnsi="宋体"/>
          <w:szCs w:val="21"/>
          <w:highlight w:val="none"/>
          <w:u w:val="single"/>
        </w:rPr>
      </w:pPr>
      <w:r>
        <w:rPr>
          <w:rFonts w:hint="eastAsia" w:ascii="宋体" w:hAnsi="宋体"/>
          <w:szCs w:val="21"/>
          <w:highlight w:val="none"/>
          <w:u w:val="single"/>
        </w:rPr>
        <w:t>②相同施工条件下实施类似项目特征的清单项目或类似施工条件下实施相同项目特征的清单项目，采用类似清单项目的合同单价换算调整后的综合单价；</w:t>
      </w:r>
    </w:p>
    <w:p w14:paraId="3E4E1DB3">
      <w:pPr>
        <w:spacing w:line="360" w:lineRule="auto"/>
        <w:ind w:firstLine="420" w:firstLineChars="200"/>
        <w:jc w:val="left"/>
        <w:rPr>
          <w:rFonts w:hint="eastAsia" w:ascii="宋体" w:hAnsi="宋体"/>
          <w:szCs w:val="21"/>
          <w:highlight w:val="none"/>
          <w:u w:val="single"/>
        </w:rPr>
      </w:pPr>
      <w:r>
        <w:rPr>
          <w:rFonts w:hint="eastAsia" w:ascii="宋体" w:hAnsi="宋体"/>
          <w:szCs w:val="21"/>
          <w:highlight w:val="none"/>
          <w:u w:val="single"/>
        </w:rPr>
        <w:t>③相同施工条件下实施不同项目特征的清单项目或不同施工条件下实施相同项目特征的清单项目，可依据工程实施情况，结合类似项目的合同单价计价规则及报价水平，由承包人报发包人、监理单位、造价审计等单位协商确定市场合理的综合单价；</w:t>
      </w:r>
    </w:p>
    <w:p w14:paraId="365D7A8D">
      <w:pPr>
        <w:spacing w:line="360" w:lineRule="auto"/>
        <w:ind w:firstLine="420" w:firstLineChars="200"/>
        <w:jc w:val="left"/>
        <w:rPr>
          <w:rFonts w:hint="eastAsia" w:ascii="宋体" w:hAnsi="宋体"/>
          <w:szCs w:val="21"/>
          <w:highlight w:val="none"/>
          <w:u w:val="single"/>
        </w:rPr>
      </w:pPr>
      <w:r>
        <w:rPr>
          <w:rFonts w:hint="eastAsia" w:ascii="宋体" w:hAnsi="宋体"/>
          <w:szCs w:val="21"/>
          <w:highlight w:val="none"/>
          <w:u w:val="single"/>
        </w:rPr>
        <w:t>④不同施工条件下实施不同项目特征的清单项目，可依据工程实施情况，结合同类工程类似清单项目的综合单价，由承包人报发包人、监理单位、造价审计等单位协商确定市场合理的综合单价；</w:t>
      </w:r>
    </w:p>
    <w:p w14:paraId="07C410FB">
      <w:pPr>
        <w:spacing w:line="360" w:lineRule="auto"/>
        <w:ind w:firstLine="420" w:firstLineChars="200"/>
        <w:jc w:val="left"/>
        <w:rPr>
          <w:rFonts w:hint="eastAsia" w:ascii="宋体" w:hAnsi="宋体" w:eastAsia="宋体" w:cs="宋体"/>
          <w:b/>
          <w:bCs/>
          <w:color w:val="auto"/>
          <w:szCs w:val="21"/>
          <w:highlight w:val="none"/>
          <w:u w:val="single"/>
          <w:lang w:eastAsia="zh-CN"/>
        </w:rPr>
      </w:pPr>
      <w:r>
        <w:rPr>
          <w:rFonts w:hint="eastAsia" w:ascii="宋体" w:hAnsi="宋体"/>
          <w:szCs w:val="21"/>
          <w:highlight w:val="none"/>
          <w:u w:val="single"/>
        </w:rPr>
        <w:t>⑤因减少或取消清单项目的工程变更显著改变了实施中的工程施工条件，可根据实施工程的具体情况、市场价格、合同单价计价规则及报价水平由承包人报发包人、监理单位、造价审计等单位协商确定工程变更的综合单价。</w:t>
      </w:r>
    </w:p>
    <w:p w14:paraId="0769E9D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10.5承包人的合理化建议</w:t>
      </w:r>
    </w:p>
    <w:p w14:paraId="559A081C">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监理人审查承包人合理化建议的期限：</w:t>
      </w:r>
      <w:r>
        <w:rPr>
          <w:rFonts w:hint="eastAsia" w:ascii="宋体" w:hAnsi="宋体"/>
          <w:szCs w:val="21"/>
          <w:highlight w:val="none"/>
          <w:u w:val="single"/>
        </w:rPr>
        <w:t>收到建议后</w:t>
      </w:r>
      <w:r>
        <w:rPr>
          <w:rFonts w:hint="eastAsia" w:ascii="宋体" w:hAnsi="宋体"/>
          <w:szCs w:val="21"/>
          <w:highlight w:val="none"/>
          <w:u w:val="single"/>
          <w:lang w:val="en-US" w:eastAsia="zh-CN"/>
        </w:rPr>
        <w:t xml:space="preserve">  </w:t>
      </w:r>
      <w:r>
        <w:rPr>
          <w:rFonts w:hint="eastAsia" w:ascii="宋体" w:hAnsi="宋体"/>
          <w:szCs w:val="21"/>
          <w:highlight w:val="none"/>
          <w:u w:val="single"/>
        </w:rPr>
        <w:t>天内审查完毕</w:t>
      </w:r>
      <w:r>
        <w:rPr>
          <w:rFonts w:ascii="宋体" w:hAnsi="宋体"/>
          <w:szCs w:val="21"/>
          <w:highlight w:val="none"/>
        </w:rPr>
        <w:t>。</w:t>
      </w:r>
    </w:p>
    <w:p w14:paraId="7B56BB8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发包人审批承包人合理化建议的期限：</w:t>
      </w:r>
      <w:r>
        <w:rPr>
          <w:rFonts w:hint="eastAsia" w:ascii="宋体" w:hAnsi="宋体"/>
          <w:szCs w:val="21"/>
          <w:highlight w:val="none"/>
          <w:u w:val="single"/>
        </w:rPr>
        <w:t>收到建议后</w:t>
      </w:r>
      <w:r>
        <w:rPr>
          <w:rFonts w:hint="eastAsia" w:ascii="宋体" w:hAnsi="宋体"/>
          <w:szCs w:val="21"/>
          <w:highlight w:val="none"/>
          <w:u w:val="single"/>
          <w:lang w:val="en-US" w:eastAsia="zh-CN"/>
        </w:rPr>
        <w:t xml:space="preserve">  </w:t>
      </w:r>
      <w:r>
        <w:rPr>
          <w:rFonts w:hint="eastAsia" w:ascii="宋体" w:hAnsi="宋体"/>
          <w:szCs w:val="21"/>
          <w:highlight w:val="none"/>
          <w:u w:val="single"/>
        </w:rPr>
        <w:t>天内审查完毕</w:t>
      </w:r>
      <w:r>
        <w:rPr>
          <w:rFonts w:ascii="宋体" w:hAnsi="宋体"/>
          <w:szCs w:val="21"/>
          <w:highlight w:val="none"/>
        </w:rPr>
        <w:t>。</w:t>
      </w:r>
    </w:p>
    <w:p w14:paraId="49809CF6">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u w:val="single"/>
        </w:rPr>
      </w:pPr>
      <w:r>
        <w:rPr>
          <w:rFonts w:ascii="宋体" w:hAnsi="宋体"/>
          <w:szCs w:val="21"/>
          <w:highlight w:val="none"/>
        </w:rPr>
        <w:t>承包人提出的合理化建议降低了合同价格或者提高了工程经济效益的奖励的方法和金额为：</w:t>
      </w:r>
      <w:r>
        <w:rPr>
          <w:rFonts w:hint="eastAsia" w:ascii="宋体" w:hAnsi="宋体"/>
          <w:szCs w:val="21"/>
          <w:highlight w:val="none"/>
          <w:u w:val="single"/>
        </w:rPr>
        <w:t xml:space="preserve"> 无</w:t>
      </w:r>
      <w:r>
        <w:rPr>
          <w:rFonts w:ascii="宋体" w:hAnsi="宋体"/>
          <w:szCs w:val="21"/>
          <w:highlight w:val="none"/>
        </w:rPr>
        <w:t>。</w:t>
      </w:r>
    </w:p>
    <w:p w14:paraId="317CC40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10.7 暂估价</w:t>
      </w:r>
    </w:p>
    <w:p w14:paraId="275EDB7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暂估价材料和工程设备的明细</w:t>
      </w:r>
      <w:r>
        <w:rPr>
          <w:rFonts w:hint="eastAsia" w:ascii="宋体" w:hAnsi="宋体"/>
          <w:color w:val="auto"/>
          <w:kern w:val="0"/>
          <w:szCs w:val="21"/>
          <w:highlight w:val="none"/>
          <w:lang w:eastAsia="zh-CN"/>
        </w:rPr>
        <w:t>：</w:t>
      </w:r>
      <w:r>
        <w:rPr>
          <w:rFonts w:ascii="宋体" w:hAnsi="宋体"/>
          <w:color w:val="auto"/>
          <w:kern w:val="0"/>
          <w:szCs w:val="21"/>
          <w:highlight w:val="none"/>
          <w:u w:val="single"/>
        </w:rPr>
        <w:t>详见</w:t>
      </w:r>
      <w:r>
        <w:rPr>
          <w:rFonts w:hint="eastAsia" w:ascii="宋体" w:hAnsi="宋体"/>
          <w:color w:val="auto"/>
          <w:kern w:val="0"/>
          <w:szCs w:val="21"/>
          <w:highlight w:val="none"/>
          <w:u w:val="single"/>
          <w:lang w:val="en-US" w:eastAsia="zh-CN"/>
        </w:rPr>
        <w:t>工程量清单</w:t>
      </w:r>
      <w:r>
        <w:rPr>
          <w:rFonts w:hint="eastAsia" w:ascii="宋体" w:hAnsi="宋体"/>
          <w:color w:val="auto"/>
          <w:kern w:val="0"/>
          <w:szCs w:val="21"/>
          <w:highlight w:val="none"/>
        </w:rPr>
        <w:t>。</w:t>
      </w:r>
    </w:p>
    <w:p w14:paraId="5142B817">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10.7.1 依法必须招标的暂估价项目</w:t>
      </w:r>
    </w:p>
    <w:p w14:paraId="7B2D78BC">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对于依法必须招标的暂估价项目的确认和批准采取第</w:t>
      </w:r>
      <w:r>
        <w:rPr>
          <w:rFonts w:hint="eastAsia" w:ascii="宋体" w:hAnsi="宋体"/>
          <w:color w:val="auto"/>
          <w:kern w:val="0"/>
          <w:szCs w:val="21"/>
          <w:highlight w:val="none"/>
          <w:u w:val="single"/>
        </w:rPr>
        <w:t xml:space="preserve"> 2 </w:t>
      </w:r>
      <w:r>
        <w:rPr>
          <w:rFonts w:hint="eastAsia" w:ascii="宋体" w:hAnsi="宋体"/>
          <w:color w:val="auto"/>
          <w:kern w:val="0"/>
          <w:szCs w:val="21"/>
          <w:highlight w:val="none"/>
        </w:rPr>
        <w:t>种方式确定。</w:t>
      </w:r>
    </w:p>
    <w:p w14:paraId="2C88D74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10.7.2 不属于依法必须招标的暂估价项目</w:t>
      </w:r>
    </w:p>
    <w:p w14:paraId="2D4A66F3">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对于不属于依法必须招标的暂估价项目的确认和批准采取第</w:t>
      </w:r>
      <w:r>
        <w:rPr>
          <w:rFonts w:hint="eastAsia" w:ascii="宋体" w:hAnsi="宋体"/>
          <w:color w:val="auto"/>
          <w:kern w:val="0"/>
          <w:szCs w:val="21"/>
          <w:highlight w:val="none"/>
          <w:u w:val="single"/>
        </w:rPr>
        <w:t xml:space="preserve"> 1</w:t>
      </w:r>
      <w:r>
        <w:rPr>
          <w:rFonts w:hint="eastAsia" w:ascii="宋体" w:hAnsi="宋体"/>
          <w:color w:val="auto"/>
          <w:kern w:val="0"/>
          <w:szCs w:val="21"/>
          <w:highlight w:val="none"/>
        </w:rPr>
        <w:t>种方式确定。</w:t>
      </w:r>
    </w:p>
    <w:p w14:paraId="4D72E07D">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第3种方式：承包人直接实施的暂估价项目</w:t>
      </w:r>
    </w:p>
    <w:p w14:paraId="646C86B1">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hint="eastAsia" w:ascii="宋体" w:hAnsi="宋体"/>
          <w:kern w:val="0"/>
          <w:szCs w:val="21"/>
          <w:highlight w:val="none"/>
        </w:rPr>
        <w:t>承包人直接实施的暂估价项目的约定：</w:t>
      </w:r>
      <w:r>
        <w:rPr>
          <w:rFonts w:hint="eastAsia" w:ascii="宋体" w:hAnsi="宋体"/>
          <w:kern w:val="0"/>
          <w:szCs w:val="21"/>
          <w:highlight w:val="none"/>
          <w:u w:val="single"/>
        </w:rPr>
        <w:t>须经双方协商一致，发包人认可后承包人方可实施。</w:t>
      </w:r>
    </w:p>
    <w:p w14:paraId="01BF1FD3">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hint="eastAsia" w:ascii="宋体" w:hAnsi="宋体"/>
          <w:kern w:val="0"/>
          <w:szCs w:val="21"/>
          <w:highlight w:val="none"/>
        </w:rPr>
        <w:t>10.8 暂列金额</w:t>
      </w:r>
    </w:p>
    <w:p w14:paraId="1783958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hint="eastAsia" w:ascii="宋体" w:hAnsi="宋体"/>
          <w:kern w:val="0"/>
          <w:szCs w:val="21"/>
          <w:highlight w:val="none"/>
        </w:rPr>
        <w:t>合同当事人关于暂列金额使用的约定：按照通用条款第10.8条规定执行。</w:t>
      </w:r>
    </w:p>
    <w:p w14:paraId="1280A23A">
      <w:pPr>
        <w:keepNext w:val="0"/>
        <w:keepLines w:val="0"/>
        <w:pageBreakBefore w:val="0"/>
        <w:numPr>
          <w:ilvl w:val="0"/>
          <w:numId w:val="0"/>
        </w:numPr>
        <w:kinsoku/>
        <w:wordWrap/>
        <w:overflowPunct/>
        <w:topLinePunct w:val="0"/>
        <w:bidi w:val="0"/>
        <w:spacing w:line="360" w:lineRule="auto"/>
        <w:ind w:left="0" w:leftChars="0" w:right="0" w:rightChars="0" w:firstLine="422" w:firstLineChars="200"/>
        <w:textAlignment w:val="auto"/>
        <w:rPr>
          <w:rFonts w:ascii="宋体" w:hAnsi="宋体"/>
          <w:b/>
          <w:color w:val="auto"/>
          <w:szCs w:val="21"/>
          <w:highlight w:val="none"/>
        </w:rPr>
      </w:pPr>
      <w:r>
        <w:rPr>
          <w:rFonts w:ascii="宋体" w:hAnsi="宋体"/>
          <w:b/>
          <w:color w:val="auto"/>
          <w:kern w:val="2"/>
          <w:sz w:val="21"/>
          <w:szCs w:val="21"/>
          <w:highlight w:val="none"/>
          <w:lang w:val="en-US" w:eastAsia="zh-CN" w:bidi="ar-SA"/>
        </w:rPr>
        <w:t>11.</w:t>
      </w:r>
      <w:r>
        <w:rPr>
          <w:rFonts w:ascii="宋体" w:hAnsi="宋体"/>
          <w:b/>
          <w:color w:val="auto"/>
          <w:szCs w:val="21"/>
          <w:highlight w:val="none"/>
        </w:rPr>
        <w:t>价格调整</w:t>
      </w:r>
    </w:p>
    <w:p w14:paraId="1BA4AB1F">
      <w:pPr>
        <w:keepNext w:val="0"/>
        <w:keepLines w:val="0"/>
        <w:pageBreakBefore w:val="0"/>
        <w:widowControl/>
        <w:kinsoku/>
        <w:wordWrap/>
        <w:overflowPunct/>
        <w:topLinePunct w:val="0"/>
        <w:bidi w:val="0"/>
        <w:spacing w:line="360" w:lineRule="auto"/>
        <w:ind w:left="0" w:leftChars="0" w:right="0" w:firstLine="422" w:firstLineChars="200"/>
        <w:jc w:val="left"/>
        <w:textAlignment w:val="auto"/>
        <w:rPr>
          <w:rFonts w:ascii="宋体" w:hAnsi="宋体"/>
          <w:b/>
          <w:color w:val="auto"/>
          <w:szCs w:val="21"/>
          <w:highlight w:val="none"/>
        </w:rPr>
      </w:pPr>
      <w:r>
        <w:rPr>
          <w:rFonts w:hint="eastAsia" w:ascii="宋体" w:hAnsi="宋体"/>
          <w:b/>
          <w:color w:val="auto"/>
          <w:szCs w:val="21"/>
          <w:highlight w:val="none"/>
        </w:rPr>
        <w:t>11.1市场价格波动引起的调整</w:t>
      </w:r>
    </w:p>
    <w:p w14:paraId="7B00FAFB">
      <w:pPr>
        <w:keepNext w:val="0"/>
        <w:keepLines w:val="0"/>
        <w:pageBreakBefore w:val="0"/>
        <w:widowControl/>
        <w:kinsoku/>
        <w:wordWrap/>
        <w:overflowPunct/>
        <w:topLinePunct w:val="0"/>
        <w:bidi w:val="0"/>
        <w:spacing w:line="360" w:lineRule="auto"/>
        <w:ind w:left="0" w:leftChars="0" w:right="0" w:firstLine="420" w:firstLineChars="200"/>
        <w:jc w:val="left"/>
        <w:textAlignment w:val="auto"/>
        <w:rPr>
          <w:rFonts w:ascii="宋体" w:hAnsi="宋体"/>
          <w:b/>
          <w:color w:val="auto"/>
          <w:szCs w:val="21"/>
          <w:highlight w:val="none"/>
          <w:u w:val="single"/>
        </w:rPr>
      </w:pPr>
      <w:r>
        <w:rPr>
          <w:rFonts w:hint="eastAsia" w:ascii="宋体" w:hAnsi="宋体"/>
          <w:color w:val="auto"/>
          <w:kern w:val="0"/>
          <w:szCs w:val="21"/>
          <w:highlight w:val="none"/>
        </w:rPr>
        <w:t>市场价格波动是否调整合同价格的约定：主要材料价格波动幅度在±5%以内（含5%）的，合同价格不予调整；超出±5%的部分按实调整。</w:t>
      </w:r>
    </w:p>
    <w:p w14:paraId="5F778998">
      <w:pPr>
        <w:keepNext w:val="0"/>
        <w:keepLines w:val="0"/>
        <w:pageBreakBefore w:val="0"/>
        <w:kinsoku/>
        <w:wordWrap/>
        <w:overflowPunct/>
        <w:topLinePunct w:val="0"/>
        <w:autoSpaceDE w:val="0"/>
        <w:autoSpaceDN w:val="0"/>
        <w:bidi w:val="0"/>
        <w:adjustRightInd/>
        <w:spacing w:line="360" w:lineRule="auto"/>
        <w:ind w:left="0" w:leftChars="0" w:right="0" w:firstLine="420" w:firstLineChars="200"/>
        <w:jc w:val="left"/>
        <w:textAlignment w:val="auto"/>
        <w:rPr>
          <w:rFonts w:ascii="宋体" w:hAnsi="宋体"/>
          <w:color w:val="auto"/>
          <w:szCs w:val="21"/>
          <w:highlight w:val="none"/>
          <w:u w:val="single"/>
        </w:rPr>
      </w:pPr>
      <w:r>
        <w:rPr>
          <w:rFonts w:hint="eastAsia" w:ascii="宋体" w:hAnsi="宋体"/>
          <w:color w:val="auto"/>
          <w:szCs w:val="21"/>
          <w:highlight w:val="none"/>
          <w:u w:val="single"/>
        </w:rPr>
        <w:t>①发包人不额外支付因材料、设备、人工费的市场价格波动在±5%以内（含5%）而产生的费用，该部分价差由承包人承担或收益；主要材料价格波动幅度超出±5%的部分，按云南省当期造价信息价格及现行计价规定据实调整；</w:t>
      </w:r>
    </w:p>
    <w:p w14:paraId="03EE7FBD">
      <w:pPr>
        <w:keepNext w:val="0"/>
        <w:keepLines w:val="0"/>
        <w:pageBreakBefore w:val="0"/>
        <w:kinsoku/>
        <w:wordWrap/>
        <w:overflowPunct/>
        <w:topLinePunct w:val="0"/>
        <w:autoSpaceDE w:val="0"/>
        <w:autoSpaceDN w:val="0"/>
        <w:bidi w:val="0"/>
        <w:adjustRightInd/>
        <w:spacing w:line="360" w:lineRule="auto"/>
        <w:ind w:left="0" w:leftChars="0" w:right="0" w:firstLine="420" w:firstLineChars="200"/>
        <w:jc w:val="left"/>
        <w:textAlignment w:val="auto"/>
        <w:rPr>
          <w:rFonts w:ascii="宋体" w:hAnsi="宋体"/>
          <w:color w:val="auto"/>
          <w:szCs w:val="21"/>
          <w:highlight w:val="none"/>
          <w:u w:val="single"/>
        </w:rPr>
      </w:pPr>
      <w:r>
        <w:rPr>
          <w:rFonts w:hint="eastAsia" w:ascii="宋体" w:hAnsi="宋体"/>
          <w:color w:val="auto"/>
          <w:szCs w:val="21"/>
          <w:highlight w:val="none"/>
          <w:u w:val="single"/>
        </w:rPr>
        <w:t>②承包人应充分考虑雨季施工等自然因素及工程量变更而造成影响工期的情况，考虑相关措施费用及合理安排好施工组织设计，必须保证按所承诺的工期完成工程项目，一旦工期延误按照合同专用条款中7.5.2条对工期延误的有关规定执行；</w:t>
      </w:r>
    </w:p>
    <w:p w14:paraId="31935CD1">
      <w:pPr>
        <w:keepNext w:val="0"/>
        <w:keepLines w:val="0"/>
        <w:pageBreakBefore w:val="0"/>
        <w:kinsoku/>
        <w:wordWrap/>
        <w:overflowPunct/>
        <w:topLinePunct w:val="0"/>
        <w:autoSpaceDE w:val="0"/>
        <w:autoSpaceDN w:val="0"/>
        <w:bidi w:val="0"/>
        <w:adjustRightInd/>
        <w:spacing w:line="360" w:lineRule="auto"/>
        <w:ind w:left="0" w:leftChars="0" w:right="0" w:firstLine="420" w:firstLineChars="200"/>
        <w:jc w:val="left"/>
        <w:textAlignment w:val="auto"/>
        <w:rPr>
          <w:rFonts w:ascii="宋体" w:hAnsi="宋体"/>
          <w:color w:val="auto"/>
          <w:szCs w:val="21"/>
          <w:highlight w:val="none"/>
          <w:u w:val="single"/>
        </w:rPr>
      </w:pPr>
      <w:r>
        <w:rPr>
          <w:rFonts w:hint="eastAsia" w:ascii="宋体" w:hAnsi="宋体"/>
          <w:color w:val="auto"/>
          <w:szCs w:val="21"/>
          <w:highlight w:val="none"/>
          <w:u w:val="single"/>
        </w:rPr>
        <w:t>③该工程措施费用包干</w:t>
      </w:r>
      <w:r>
        <w:rPr>
          <w:rFonts w:hint="eastAsia" w:ascii="宋体" w:hAnsi="宋体"/>
          <w:color w:val="auto"/>
          <w:szCs w:val="21"/>
          <w:highlight w:val="none"/>
          <w:u w:val="single"/>
          <w:lang w:eastAsia="zh-CN"/>
        </w:rPr>
        <w:t>，</w:t>
      </w:r>
      <w:r>
        <w:rPr>
          <w:rFonts w:hint="eastAsia" w:ascii="宋体" w:hAnsi="宋体"/>
          <w:color w:val="auto"/>
          <w:highlight w:val="none"/>
          <w:u w:val="single"/>
        </w:rPr>
        <w:t>除安全生产措施费应按国家及省级、行业主管部门的相关规定计价外，承包人须充分考虑施工组织设计、技术措施、市场风险等因素，结算时不因施工方案变更、工程量变化等因素调整。安全生产措施费按国家规定计价，不得竞争，专款专用</w:t>
      </w:r>
      <w:r>
        <w:rPr>
          <w:rFonts w:hint="eastAsia" w:ascii="宋体" w:hAnsi="宋体"/>
          <w:color w:val="auto"/>
          <w:szCs w:val="21"/>
          <w:highlight w:val="none"/>
          <w:u w:val="single"/>
        </w:rPr>
        <w:t>。</w:t>
      </w:r>
    </w:p>
    <w:p w14:paraId="29BB7976">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color w:val="auto"/>
          <w:szCs w:val="21"/>
          <w:highlight w:val="none"/>
        </w:rPr>
      </w:pPr>
      <w:r>
        <w:rPr>
          <w:rFonts w:ascii="宋体" w:hAnsi="宋体"/>
          <w:b/>
          <w:color w:val="auto"/>
          <w:szCs w:val="21"/>
          <w:highlight w:val="none"/>
        </w:rPr>
        <w:t>12. 合同价格、计量与支付</w:t>
      </w:r>
    </w:p>
    <w:p w14:paraId="2425696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 xml:space="preserve">12.1 </w:t>
      </w:r>
      <w:r>
        <w:rPr>
          <w:rFonts w:hint="eastAsia" w:ascii="宋体" w:hAnsi="宋体"/>
          <w:color w:val="auto"/>
          <w:szCs w:val="21"/>
          <w:highlight w:val="none"/>
        </w:rPr>
        <w:t>合同价款</w:t>
      </w:r>
    </w:p>
    <w:p w14:paraId="2EE15297">
      <w:pPr>
        <w:keepNext w:val="0"/>
        <w:keepLines w:val="0"/>
        <w:pageBreakBefore w:val="0"/>
        <w:kinsoku/>
        <w:wordWrap/>
        <w:overflowPunct/>
        <w:topLinePunct w:val="0"/>
        <w:bidi w:val="0"/>
        <w:spacing w:line="360" w:lineRule="auto"/>
        <w:ind w:left="0" w:leftChars="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w:t>
      </w:r>
      <w:r>
        <w:rPr>
          <w:rFonts w:hint="eastAsia" w:ascii="宋体" w:hAnsi="宋体" w:eastAsia="宋体" w:cs="宋体"/>
          <w:b/>
          <w:color w:val="auto"/>
          <w:sz w:val="21"/>
          <w:szCs w:val="21"/>
          <w:highlight w:val="none"/>
          <w:u w:val="single"/>
        </w:rPr>
        <w:t>固定综合单价</w:t>
      </w:r>
      <w:r>
        <w:rPr>
          <w:rFonts w:hint="eastAsia" w:ascii="宋体" w:hAnsi="宋体" w:eastAsia="宋体" w:cs="宋体"/>
          <w:color w:val="auto"/>
          <w:sz w:val="21"/>
          <w:szCs w:val="21"/>
          <w:highlight w:val="none"/>
        </w:rPr>
        <w:t>合同。</w:t>
      </w:r>
    </w:p>
    <w:p w14:paraId="49AECEDE">
      <w:pPr>
        <w:keepNext w:val="0"/>
        <w:keepLines w:val="0"/>
        <w:pageBreakBefore w:val="0"/>
        <w:kinsoku/>
        <w:wordWrap/>
        <w:overflowPunct/>
        <w:topLinePunct w:val="0"/>
        <w:bidi w:val="0"/>
        <w:spacing w:line="360" w:lineRule="auto"/>
        <w:ind w:left="0" w:leftChars="0" w:right="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合同价款中包括的风险范围：（1）发包人提供的除措施项目清单外的项目清单存在工程量清单缺陷；（2）材料价格市场波动风险（按专用条款第11.1款约定执行）；</w:t>
      </w:r>
    </w:p>
    <w:p w14:paraId="75FC199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风险费用的计算方法：</w:t>
      </w:r>
      <w:r>
        <w:rPr>
          <w:rFonts w:hint="eastAsia" w:ascii="宋体" w:hAnsi="宋体" w:cs="宋体"/>
          <w:b/>
          <w:bCs/>
          <w:color w:val="auto"/>
          <w:szCs w:val="21"/>
          <w:highlight w:val="none"/>
          <w:u w:val="single"/>
        </w:rPr>
        <w:t>包括在</w:t>
      </w:r>
      <w:r>
        <w:rPr>
          <w:rFonts w:hint="eastAsia" w:ascii="宋体" w:hAnsi="宋体" w:cs="宋体"/>
          <w:b/>
          <w:bCs/>
          <w:color w:val="auto"/>
          <w:szCs w:val="21"/>
          <w:highlight w:val="none"/>
          <w:u w:val="single"/>
          <w:lang w:val="en-US" w:eastAsia="zh-CN"/>
        </w:rPr>
        <w:t>磋商报价</w:t>
      </w:r>
      <w:r>
        <w:rPr>
          <w:rFonts w:hint="eastAsia" w:ascii="宋体" w:hAnsi="宋体" w:cs="宋体"/>
          <w:b/>
          <w:bCs/>
          <w:color w:val="auto"/>
          <w:szCs w:val="21"/>
          <w:highlight w:val="none"/>
          <w:u w:val="single"/>
        </w:rPr>
        <w:t>内。</w:t>
      </w:r>
    </w:p>
    <w:p w14:paraId="2B7BF883">
      <w:pPr>
        <w:keepNext w:val="0"/>
        <w:keepLines w:val="0"/>
        <w:pageBreakBefore w:val="0"/>
        <w:numPr>
          <w:ilvl w:val="1"/>
          <w:numId w:val="0"/>
        </w:numPr>
        <w:kinsoku/>
        <w:wordWrap/>
        <w:overflowPunct/>
        <w:topLinePunct w:val="0"/>
        <w:bidi w:val="0"/>
        <w:spacing w:line="360" w:lineRule="auto"/>
        <w:ind w:left="-2" w:leftChars="0" w:right="0" w:rightChars="0" w:firstLine="422" w:firstLineChars="0"/>
        <w:textAlignment w:val="auto"/>
        <w:rPr>
          <w:rFonts w:hint="eastAsia" w:ascii="宋体" w:hAnsi="宋体" w:eastAsia="宋体" w:cs="宋体"/>
          <w:color w:val="auto"/>
          <w:szCs w:val="21"/>
          <w:highlight w:val="none"/>
        </w:rPr>
      </w:pPr>
      <w:r>
        <w:rPr>
          <w:rFonts w:hint="eastAsia" w:ascii="Times New Roman" w:hAnsi="Times New Roman" w:eastAsia="Times New Roman" w:cs="Times New Roman"/>
          <w:color w:val="auto"/>
          <w:kern w:val="2"/>
          <w:sz w:val="21"/>
          <w:szCs w:val="21"/>
          <w:highlight w:val="none"/>
          <w:lang w:val="en-US" w:eastAsia="zh-CN" w:bidi="ar-SA"/>
        </w:rPr>
        <w:t>1、</w:t>
      </w:r>
      <w:r>
        <w:rPr>
          <w:rFonts w:hint="eastAsia" w:ascii="宋体" w:hAnsi="宋体" w:eastAsia="宋体" w:cs="宋体"/>
          <w:color w:val="auto"/>
          <w:szCs w:val="21"/>
          <w:highlight w:val="none"/>
          <w:lang w:val="en-US" w:eastAsia="zh-CN"/>
        </w:rPr>
        <w:t>合同</w:t>
      </w:r>
      <w:r>
        <w:rPr>
          <w:rFonts w:hint="eastAsia" w:ascii="宋体" w:hAnsi="宋体" w:eastAsia="宋体" w:cs="宋体"/>
          <w:color w:val="auto"/>
          <w:szCs w:val="21"/>
          <w:highlight w:val="none"/>
        </w:rPr>
        <w:t>使用第一</w:t>
      </w:r>
      <w:r>
        <w:rPr>
          <w:rFonts w:hint="eastAsia" w:ascii="宋体" w:hAnsi="宋体" w:eastAsia="宋体" w:cs="宋体"/>
          <w:color w:val="auto"/>
          <w:szCs w:val="21"/>
          <w:highlight w:val="none"/>
          <w:lang w:val="en-US" w:eastAsia="zh-CN"/>
        </w:rPr>
        <w:t>次</w:t>
      </w: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val="en-US" w:eastAsia="zh-CN"/>
        </w:rPr>
        <w:t>的工程量清单</w:t>
      </w:r>
      <w:r>
        <w:rPr>
          <w:rFonts w:hint="eastAsia" w:ascii="宋体" w:hAnsi="宋体" w:eastAsia="宋体" w:cs="宋体"/>
          <w:color w:val="auto"/>
          <w:szCs w:val="21"/>
          <w:highlight w:val="none"/>
        </w:rPr>
        <w:t>进行结算。结算审</w:t>
      </w:r>
      <w:r>
        <w:rPr>
          <w:rFonts w:hint="eastAsia" w:ascii="宋体" w:hAnsi="宋体" w:eastAsia="宋体" w:cs="宋体"/>
          <w:color w:val="auto"/>
          <w:szCs w:val="21"/>
          <w:highlight w:val="none"/>
          <w:lang w:val="en-US" w:eastAsia="zh-CN"/>
        </w:rPr>
        <w:t>核</w:t>
      </w:r>
      <w:r>
        <w:rPr>
          <w:rFonts w:hint="eastAsia" w:ascii="宋体" w:hAnsi="宋体" w:eastAsia="宋体" w:cs="宋体"/>
          <w:color w:val="auto"/>
          <w:szCs w:val="21"/>
          <w:highlight w:val="none"/>
        </w:rPr>
        <w:t>以第一</w:t>
      </w:r>
      <w:r>
        <w:rPr>
          <w:rFonts w:hint="eastAsia" w:ascii="宋体" w:hAnsi="宋体" w:eastAsia="宋体" w:cs="宋体"/>
          <w:color w:val="auto"/>
          <w:szCs w:val="21"/>
          <w:highlight w:val="none"/>
          <w:lang w:val="en-US" w:eastAsia="zh-CN"/>
        </w:rPr>
        <w:t>次</w:t>
      </w: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val="en-US" w:eastAsia="zh-CN"/>
        </w:rPr>
        <w:t>为基础进行计算</w:t>
      </w:r>
      <w:r>
        <w:rPr>
          <w:rFonts w:hint="eastAsia" w:ascii="宋体" w:hAnsi="宋体" w:eastAsia="宋体" w:cs="宋体"/>
          <w:color w:val="auto"/>
          <w:szCs w:val="21"/>
          <w:highlight w:val="none"/>
        </w:rPr>
        <w:t>，在审</w:t>
      </w:r>
      <w:r>
        <w:rPr>
          <w:rFonts w:hint="eastAsia" w:ascii="宋体" w:hAnsi="宋体" w:eastAsia="宋体" w:cs="宋体"/>
          <w:color w:val="auto"/>
          <w:szCs w:val="21"/>
          <w:highlight w:val="none"/>
          <w:lang w:val="en-US" w:eastAsia="zh-CN"/>
        </w:rPr>
        <w:t>核</w:t>
      </w:r>
      <w:r>
        <w:rPr>
          <w:rFonts w:hint="eastAsia" w:ascii="宋体" w:hAnsi="宋体" w:eastAsia="宋体" w:cs="宋体"/>
          <w:color w:val="auto"/>
          <w:szCs w:val="21"/>
          <w:highlight w:val="none"/>
        </w:rPr>
        <w:t>后的结算价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扣除暂列金、暂估价、安全生产措施项目费、</w:t>
      </w:r>
      <w:r>
        <w:rPr>
          <w:rFonts w:hint="eastAsia" w:ascii="宋体" w:hAnsi="宋体" w:eastAsia="宋体" w:cs="宋体"/>
          <w:color w:val="auto"/>
          <w:szCs w:val="21"/>
          <w:highlight w:val="none"/>
        </w:rPr>
        <w:t>税金</w:t>
      </w:r>
      <w:r>
        <w:rPr>
          <w:rFonts w:hint="eastAsia" w:ascii="宋体" w:hAnsi="宋体" w:eastAsia="宋体" w:cs="宋体"/>
          <w:color w:val="auto"/>
          <w:szCs w:val="21"/>
          <w:highlight w:val="none"/>
          <w:lang w:val="en-US" w:eastAsia="zh-CN"/>
        </w:rPr>
        <w:t>等非竞争性费用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基础上乘以优惠率，</w:t>
      </w:r>
      <w:r>
        <w:rPr>
          <w:rFonts w:hint="eastAsia" w:ascii="宋体" w:hAnsi="宋体" w:eastAsia="宋体" w:cs="宋体"/>
          <w:color w:val="auto"/>
          <w:szCs w:val="21"/>
          <w:highlight w:val="none"/>
          <w:lang w:val="en-US" w:eastAsia="zh-CN"/>
        </w:rPr>
        <w:t>在结算时安全生产措施项目费、</w:t>
      </w:r>
      <w:r>
        <w:rPr>
          <w:rFonts w:hint="eastAsia" w:ascii="宋体" w:hAnsi="宋体" w:eastAsia="宋体" w:cs="宋体"/>
          <w:color w:val="auto"/>
          <w:szCs w:val="21"/>
          <w:highlight w:val="none"/>
        </w:rPr>
        <w:t>税金</w:t>
      </w:r>
      <w:r>
        <w:rPr>
          <w:rFonts w:hint="eastAsia" w:ascii="宋体" w:hAnsi="宋体" w:eastAsia="宋体" w:cs="宋体"/>
          <w:color w:val="auto"/>
          <w:szCs w:val="21"/>
          <w:highlight w:val="none"/>
          <w:lang w:val="en-US" w:eastAsia="zh-CN"/>
        </w:rPr>
        <w:t>等非竞争性费用按相关规定或法定标准及实际发生情况单独足额计取或支付，暂列金、暂估价以</w:t>
      </w:r>
      <w:r>
        <w:rPr>
          <w:rFonts w:hint="eastAsia"/>
          <w:color w:val="auto"/>
          <w:highlight w:val="none"/>
          <w:lang w:val="en-US" w:eastAsia="zh-CN"/>
        </w:rPr>
        <w:t>发包人</w:t>
      </w:r>
      <w:r>
        <w:rPr>
          <w:rFonts w:hint="eastAsia" w:ascii="宋体" w:hAnsi="宋体" w:eastAsia="宋体" w:cs="宋体"/>
          <w:color w:val="auto"/>
          <w:szCs w:val="21"/>
          <w:highlight w:val="none"/>
          <w:lang w:val="en-US" w:eastAsia="zh-CN"/>
        </w:rPr>
        <w:t>、承包人、监理、过程跟踪审计共同确认的实际价格进行结算，最终</w:t>
      </w:r>
      <w:r>
        <w:rPr>
          <w:rFonts w:hint="eastAsia" w:ascii="宋体" w:hAnsi="宋体" w:eastAsia="宋体" w:cs="宋体"/>
          <w:color w:val="auto"/>
          <w:szCs w:val="21"/>
          <w:highlight w:val="none"/>
        </w:rPr>
        <w:t>得到该工程审</w:t>
      </w:r>
      <w:r>
        <w:rPr>
          <w:rFonts w:hint="eastAsia" w:ascii="宋体" w:hAnsi="宋体" w:eastAsia="宋体" w:cs="宋体"/>
          <w:color w:val="auto"/>
          <w:szCs w:val="21"/>
          <w:highlight w:val="none"/>
          <w:lang w:val="en-US" w:eastAsia="zh-CN"/>
        </w:rPr>
        <w:t>核</w:t>
      </w:r>
      <w:r>
        <w:rPr>
          <w:rFonts w:hint="eastAsia" w:ascii="宋体" w:hAnsi="宋体" w:eastAsia="宋体" w:cs="宋体"/>
          <w:color w:val="auto"/>
          <w:szCs w:val="21"/>
          <w:highlight w:val="none"/>
        </w:rPr>
        <w:t>结算价(应支付实际工程款)。</w:t>
      </w:r>
    </w:p>
    <w:p w14:paraId="24E25BE2">
      <w:pPr>
        <w:pageBreakBefore w:val="0"/>
        <w:widowControl w:val="0"/>
        <w:numPr>
          <w:ilvl w:val="0"/>
          <w:numId w:val="0"/>
        </w:numPr>
        <w:kinsoku/>
        <w:wordWrap/>
        <w:overflowPunct/>
        <w:topLinePunct w:val="0"/>
        <w:bidi w:val="0"/>
        <w:adjustRightInd w:val="0"/>
        <w:snapToGrid w:val="0"/>
        <w:spacing w:line="360" w:lineRule="auto"/>
        <w:ind w:left="0" w:leftChars="0" w:firstLine="420" w:firstLineChars="200"/>
        <w:textAlignment w:val="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即</w:t>
      </w:r>
      <w:r>
        <w:rPr>
          <w:rFonts w:hint="eastAsia" w:ascii="宋体" w:hAnsi="宋体" w:eastAsia="宋体" w:cs="宋体"/>
          <w:color w:val="auto"/>
          <w:szCs w:val="21"/>
          <w:highlight w:val="none"/>
        </w:rPr>
        <w:t>工程审</w:t>
      </w:r>
      <w:r>
        <w:rPr>
          <w:rFonts w:hint="eastAsia" w:ascii="宋体" w:hAnsi="宋体" w:eastAsia="宋体" w:cs="宋体"/>
          <w:color w:val="auto"/>
          <w:szCs w:val="21"/>
          <w:highlight w:val="none"/>
          <w:lang w:val="en-US" w:eastAsia="zh-CN"/>
        </w:rPr>
        <w:t>核</w:t>
      </w:r>
      <w:r>
        <w:rPr>
          <w:rFonts w:hint="eastAsia" w:ascii="宋体" w:hAnsi="宋体" w:eastAsia="宋体" w:cs="宋体"/>
          <w:color w:val="auto"/>
          <w:szCs w:val="21"/>
          <w:highlight w:val="none"/>
        </w:rPr>
        <w:t>结算价(应支付实际工程款)=</w:t>
      </w:r>
      <w:r>
        <w:rPr>
          <w:rFonts w:hint="eastAsia" w:ascii="宋体" w:hAnsi="宋体" w:eastAsia="宋体" w:cs="宋体"/>
          <w:color w:val="auto"/>
          <w:szCs w:val="21"/>
          <w:highlight w:val="none"/>
          <w:lang w:eastAsia="zh-CN"/>
        </w:rPr>
        <w:t>（</w:t>
      </w:r>
      <w:r>
        <w:rPr>
          <w:rFonts w:hint="eastAsia"/>
          <w:color w:val="auto"/>
          <w:highlight w:val="none"/>
        </w:rPr>
        <w:t>由</w:t>
      </w:r>
      <w:r>
        <w:rPr>
          <w:rFonts w:hint="eastAsia"/>
          <w:color w:val="auto"/>
          <w:highlight w:val="none"/>
          <w:lang w:val="en-US" w:eastAsia="zh-CN"/>
        </w:rPr>
        <w:t>发包人委托或内部审计部门委托的造价咨询单位</w:t>
      </w:r>
      <w:r>
        <w:rPr>
          <w:rFonts w:hint="eastAsia"/>
          <w:color w:val="auto"/>
          <w:highlight w:val="none"/>
        </w:rPr>
        <w:t>以</w:t>
      </w:r>
      <w:r>
        <w:rPr>
          <w:rFonts w:hint="eastAsia"/>
          <w:color w:val="auto"/>
          <w:highlight w:val="none"/>
          <w:lang w:eastAsia="zh-CN"/>
        </w:rPr>
        <w:t>承包人</w:t>
      </w:r>
      <w:r>
        <w:rPr>
          <w:rFonts w:hint="eastAsia"/>
          <w:color w:val="auto"/>
          <w:highlight w:val="none"/>
        </w:rPr>
        <w:t>响应文件中提交的第一次磋商报价提供的“已标价工程量清单”进行审核结算的金额</w:t>
      </w:r>
      <w:r>
        <w:rPr>
          <w:rFonts w:hint="eastAsia"/>
          <w:color w:val="auto"/>
          <w:highlight w:val="none"/>
          <w:lang w:eastAsia="zh-CN"/>
        </w:rPr>
        <w:t>—</w:t>
      </w:r>
      <w:r>
        <w:rPr>
          <w:rFonts w:hint="eastAsia" w:ascii="宋体" w:hAnsi="宋体" w:eastAsia="宋体" w:cs="宋体"/>
          <w:color w:val="auto"/>
          <w:szCs w:val="21"/>
          <w:highlight w:val="none"/>
          <w:lang w:val="en-US" w:eastAsia="zh-CN"/>
        </w:rPr>
        <w:t>暂列金、暂估价、安全生产措施项目费、</w:t>
      </w:r>
      <w:r>
        <w:rPr>
          <w:rFonts w:hint="eastAsia" w:ascii="宋体" w:hAnsi="宋体" w:eastAsia="宋体" w:cs="宋体"/>
          <w:color w:val="auto"/>
          <w:szCs w:val="21"/>
          <w:highlight w:val="none"/>
        </w:rPr>
        <w:t>税金</w:t>
      </w:r>
      <w:r>
        <w:rPr>
          <w:rFonts w:hint="eastAsia" w:ascii="宋体" w:hAnsi="宋体" w:eastAsia="宋体" w:cs="宋体"/>
          <w:color w:val="auto"/>
          <w:szCs w:val="21"/>
          <w:highlight w:val="none"/>
          <w:lang w:val="en-US" w:eastAsia="zh-CN"/>
        </w:rPr>
        <w:t>等非竞争性费用）</w:t>
      </w:r>
      <w:r>
        <w:rPr>
          <w:rFonts w:hint="eastAsia" w:ascii="宋体" w:hAnsi="宋体" w:eastAsia="宋体" w:cs="宋体"/>
          <w:color w:val="auto"/>
          <w:szCs w:val="21"/>
          <w:highlight w:val="none"/>
        </w:rPr>
        <w:t>×优惠率 (优惠率=第二次报价</w:t>
      </w:r>
      <w:r>
        <w:rPr>
          <w:rFonts w:hint="eastAsia" w:ascii="宋体" w:hAnsi="宋体" w:eastAsia="宋体" w:cs="宋体"/>
          <w:color w:val="auto"/>
          <w:szCs w:val="21"/>
          <w:highlight w:val="none"/>
          <w:lang w:val="en-US" w:eastAsia="zh-CN"/>
        </w:rPr>
        <w:t>总价</w:t>
      </w:r>
      <w:r>
        <w:rPr>
          <w:rFonts w:hint="eastAsia" w:ascii="宋体" w:hAnsi="宋体" w:eastAsia="宋体" w:cs="宋体"/>
          <w:color w:val="auto"/>
          <w:szCs w:val="21"/>
          <w:highlight w:val="none"/>
        </w:rPr>
        <w:t>/第一次报价</w:t>
      </w:r>
      <w:r>
        <w:rPr>
          <w:rFonts w:hint="eastAsia" w:ascii="宋体" w:hAnsi="宋体" w:eastAsia="宋体" w:cs="宋体"/>
          <w:color w:val="auto"/>
          <w:szCs w:val="21"/>
          <w:highlight w:val="none"/>
          <w:lang w:val="en-US" w:eastAsia="zh-CN"/>
        </w:rPr>
        <w:t>总价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+安全生产措施项目费、</w:t>
      </w:r>
      <w:r>
        <w:rPr>
          <w:rFonts w:hint="eastAsia" w:ascii="宋体" w:hAnsi="宋体" w:eastAsia="宋体" w:cs="宋体"/>
          <w:color w:val="auto"/>
          <w:szCs w:val="21"/>
          <w:highlight w:val="none"/>
        </w:rPr>
        <w:t>税金</w:t>
      </w:r>
      <w:r>
        <w:rPr>
          <w:rFonts w:hint="eastAsia" w:ascii="宋体" w:hAnsi="宋体" w:eastAsia="宋体" w:cs="宋体"/>
          <w:color w:val="auto"/>
          <w:szCs w:val="21"/>
          <w:highlight w:val="none"/>
          <w:lang w:val="en-US" w:eastAsia="zh-CN"/>
        </w:rPr>
        <w:t>等非竞争性费用及暂列金、暂估价的实际价格。</w:t>
      </w:r>
    </w:p>
    <w:p w14:paraId="340F14B2">
      <w:pPr>
        <w:keepNext w:val="0"/>
        <w:keepLines w:val="0"/>
        <w:pageBreakBefore w:val="0"/>
        <w:kinsoku/>
        <w:wordWrap/>
        <w:overflowPunct/>
        <w:topLinePunct w:val="0"/>
        <w:bidi w:val="0"/>
        <w:spacing w:line="360" w:lineRule="auto"/>
        <w:ind w:left="0" w:leftChars="0" w:right="0" w:firstLine="420" w:firstLineChars="200"/>
        <w:textAlignment w:val="auto"/>
        <w:rPr>
          <w:rFonts w:hint="eastAsia" w:ascii="宋体" w:hAnsi="宋体" w:eastAsia="宋体"/>
          <w:b w:val="0"/>
          <w:bCs w:val="0"/>
          <w:szCs w:val="21"/>
          <w:highlight w:val="none"/>
          <w:u w:val="none"/>
          <w:lang w:eastAsia="zh-CN"/>
        </w:rPr>
      </w:pPr>
      <w:r>
        <w:rPr>
          <w:rFonts w:hint="eastAsia" w:ascii="Times New Roman" w:hAnsi="Times New Roman" w:eastAsia="Times New Roman" w:cs="Times New Roman"/>
          <w:b w:val="0"/>
          <w:bCs w:val="0"/>
          <w:color w:val="auto"/>
          <w:kern w:val="2"/>
          <w:sz w:val="21"/>
          <w:szCs w:val="21"/>
          <w:highlight w:val="none"/>
          <w:u w:val="none"/>
          <w:lang w:val="en-US" w:eastAsia="zh-CN" w:bidi="ar-SA"/>
        </w:rPr>
        <w:t>2、</w:t>
      </w:r>
      <w:r>
        <w:rPr>
          <w:rFonts w:hint="eastAsia" w:ascii="宋体" w:hAnsi="宋体"/>
          <w:b w:val="0"/>
          <w:bCs w:val="0"/>
          <w:szCs w:val="21"/>
          <w:highlight w:val="none"/>
          <w:u w:val="none"/>
        </w:rPr>
        <w:t>如</w:t>
      </w:r>
      <w:r>
        <w:rPr>
          <w:rFonts w:hint="eastAsia" w:ascii="宋体" w:hAnsi="宋体"/>
          <w:b w:val="0"/>
          <w:bCs w:val="0"/>
          <w:szCs w:val="21"/>
          <w:highlight w:val="none"/>
          <w:u w:val="none"/>
          <w:lang w:val="en-US" w:eastAsia="zh-CN"/>
        </w:rPr>
        <w:t>施工过程中</w:t>
      </w:r>
      <w:r>
        <w:rPr>
          <w:rFonts w:hint="eastAsia" w:ascii="宋体" w:hAnsi="宋体"/>
          <w:b w:val="0"/>
          <w:bCs w:val="0"/>
          <w:szCs w:val="21"/>
          <w:highlight w:val="none"/>
          <w:u w:val="none"/>
        </w:rPr>
        <w:t>产生工程变更的，其综合单价调整按照(中华人民共和国国家标准GB/T50500-2024《建设工程工程量清单计价标准》)、云南省住房和城乡建设厅关于发布《(建设工程工程量清单计价标准(2024)) 云南省过渡期实施规定》的通知(云建科[2025]63号)、云南省住房和城乡建设厅关于发布《建设工程相关专业工程量计算标准云南省过渡期使用指南》的通知(云建科[2025]72号)、《云南省住房和城乡建设厅关于云南省建设工程造价计价标准调整定额人工费的通知》(云建科[2023</w:t>
      </w:r>
      <w:r>
        <w:rPr>
          <w:rFonts w:hint="eastAsia" w:ascii="宋体" w:hAnsi="宋体" w:eastAsia="宋体" w:cs="宋体"/>
          <w:b w:val="0"/>
          <w:bCs w:val="0"/>
          <w:color w:val="auto"/>
          <w:szCs w:val="21"/>
          <w:highlight w:val="none"/>
          <w:u w:val="none"/>
          <w:lang w:val="en-US" w:eastAsia="zh-CN"/>
        </w:rPr>
        <w:t>]</w:t>
      </w:r>
      <w:r>
        <w:rPr>
          <w:rFonts w:hint="eastAsia" w:ascii="宋体" w:hAnsi="宋体"/>
          <w:b w:val="0"/>
          <w:bCs w:val="0"/>
          <w:szCs w:val="21"/>
          <w:highlight w:val="none"/>
          <w:u w:val="none"/>
        </w:rPr>
        <w:t>54号)及与其配套的现行有关政策、法规、文件、计价计量依据及计价计量办法等中的规定</w:t>
      </w:r>
      <w:r>
        <w:rPr>
          <w:rFonts w:hint="eastAsia" w:ascii="宋体" w:hAnsi="宋体"/>
          <w:b w:val="0"/>
          <w:bCs w:val="0"/>
          <w:szCs w:val="21"/>
          <w:highlight w:val="none"/>
          <w:u w:val="none"/>
          <w:lang w:val="en-US" w:eastAsia="zh-CN"/>
        </w:rPr>
        <w:t>以</w:t>
      </w:r>
      <w:r>
        <w:rPr>
          <w:rFonts w:hint="eastAsia" w:ascii="宋体" w:hAnsi="宋体" w:eastAsia="宋体" w:cs="宋体"/>
          <w:color w:val="auto"/>
          <w:szCs w:val="21"/>
          <w:highlight w:val="none"/>
        </w:rPr>
        <w:t>第一</w:t>
      </w:r>
      <w:r>
        <w:rPr>
          <w:rFonts w:hint="eastAsia" w:ascii="宋体" w:hAnsi="宋体" w:eastAsia="宋体" w:cs="宋体"/>
          <w:color w:val="auto"/>
          <w:szCs w:val="21"/>
          <w:highlight w:val="none"/>
          <w:lang w:val="en-US" w:eastAsia="zh-CN"/>
        </w:rPr>
        <w:t>次</w:t>
      </w: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val="en-US" w:eastAsia="zh-CN"/>
        </w:rPr>
        <w:t>的工程量清单综合单价</w:t>
      </w:r>
      <w:r>
        <w:rPr>
          <w:rFonts w:hint="eastAsia" w:ascii="宋体" w:hAnsi="宋体"/>
          <w:b w:val="0"/>
          <w:bCs w:val="0"/>
          <w:szCs w:val="21"/>
          <w:highlight w:val="none"/>
          <w:u w:val="none"/>
        </w:rPr>
        <w:t>进行调整</w:t>
      </w:r>
      <w:r>
        <w:rPr>
          <w:rFonts w:hint="eastAsia" w:ascii="宋体" w:hAnsi="宋体"/>
          <w:b w:val="0"/>
          <w:bCs w:val="0"/>
          <w:szCs w:val="21"/>
          <w:highlight w:val="none"/>
          <w:u w:val="none"/>
          <w:lang w:eastAsia="zh-CN"/>
        </w:rPr>
        <w:t>，</w:t>
      </w:r>
      <w:r>
        <w:rPr>
          <w:rFonts w:hint="eastAsia" w:ascii="宋体" w:hAnsi="宋体" w:cs="Times New Roman"/>
          <w:b w:val="0"/>
          <w:bCs w:val="0"/>
          <w:szCs w:val="21"/>
          <w:highlight w:val="none"/>
          <w:u w:val="none"/>
        </w:rPr>
        <w:t>由承包人报发包人、监理单位、造价审计等单位</w:t>
      </w:r>
      <w:r>
        <w:rPr>
          <w:rFonts w:hint="eastAsia" w:ascii="宋体" w:hAnsi="宋体" w:cs="宋体"/>
          <w:b w:val="0"/>
          <w:bCs w:val="0"/>
          <w:color w:val="auto"/>
          <w:szCs w:val="21"/>
          <w:highlight w:val="none"/>
          <w:u w:val="none"/>
        </w:rPr>
        <w:t>确定</w:t>
      </w:r>
      <w:r>
        <w:rPr>
          <w:rFonts w:hint="eastAsia" w:ascii="宋体" w:hAnsi="宋体" w:cs="宋体"/>
          <w:b w:val="0"/>
          <w:bCs w:val="0"/>
          <w:color w:val="auto"/>
          <w:szCs w:val="21"/>
          <w:highlight w:val="none"/>
          <w:u w:val="none"/>
          <w:lang w:eastAsia="zh-CN"/>
        </w:rPr>
        <w:t>：</w:t>
      </w:r>
    </w:p>
    <w:p w14:paraId="6552002D">
      <w:pPr>
        <w:spacing w:line="360" w:lineRule="auto"/>
        <w:ind w:firstLine="420" w:firstLineChars="200"/>
        <w:jc w:val="left"/>
        <w:rPr>
          <w:rFonts w:hint="eastAsia" w:ascii="宋体" w:hAnsi="宋体" w:eastAsia="宋体" w:cs="宋体"/>
          <w:b w:val="0"/>
          <w:bCs w:val="0"/>
          <w:color w:val="auto"/>
          <w:szCs w:val="21"/>
          <w:highlight w:val="none"/>
          <w:u w:val="none"/>
          <w:lang w:eastAsia="zh-CN"/>
        </w:rPr>
      </w:pPr>
      <w:r>
        <w:rPr>
          <w:rFonts w:hint="eastAsia" w:ascii="宋体" w:hAnsi="宋体" w:cs="宋体"/>
          <w:b w:val="0"/>
          <w:bCs w:val="0"/>
          <w:color w:val="auto"/>
          <w:szCs w:val="21"/>
          <w:highlight w:val="none"/>
          <w:u w:val="none"/>
          <w:lang w:val="en-US" w:eastAsia="zh-CN"/>
        </w:rPr>
        <w:t>①</w:t>
      </w:r>
      <w:r>
        <w:rPr>
          <w:rFonts w:hint="eastAsia" w:ascii="宋体" w:hAnsi="宋体" w:cs="宋体"/>
          <w:b w:val="0"/>
          <w:bCs w:val="0"/>
          <w:color w:val="auto"/>
          <w:szCs w:val="21"/>
          <w:highlight w:val="none"/>
          <w:u w:val="none"/>
        </w:rPr>
        <w:t>相同施工条件下实施相同项目特征的清单项目，采用相应的</w:t>
      </w:r>
      <w:r>
        <w:rPr>
          <w:rFonts w:hint="eastAsia" w:ascii="宋体" w:hAnsi="宋体" w:cs="宋体"/>
          <w:b w:val="0"/>
          <w:bCs w:val="0"/>
          <w:color w:val="auto"/>
          <w:szCs w:val="21"/>
          <w:highlight w:val="none"/>
          <w:u w:val="none"/>
          <w:lang w:val="en-US" w:eastAsia="zh-CN"/>
        </w:rPr>
        <w:t>综合</w:t>
      </w:r>
      <w:r>
        <w:rPr>
          <w:rFonts w:hint="eastAsia" w:ascii="宋体" w:hAnsi="宋体" w:cs="宋体"/>
          <w:b w:val="0"/>
          <w:bCs w:val="0"/>
          <w:color w:val="auto"/>
          <w:szCs w:val="21"/>
          <w:highlight w:val="none"/>
          <w:u w:val="none"/>
        </w:rPr>
        <w:t>单价</w:t>
      </w:r>
      <w:r>
        <w:rPr>
          <w:rFonts w:hint="eastAsia" w:ascii="宋体" w:hAnsi="宋体" w:cs="宋体"/>
          <w:b w:val="0"/>
          <w:bCs w:val="0"/>
          <w:color w:val="auto"/>
          <w:szCs w:val="21"/>
          <w:highlight w:val="none"/>
          <w:u w:val="none"/>
          <w:lang w:eastAsia="zh-CN"/>
        </w:rPr>
        <w:t>；</w:t>
      </w:r>
    </w:p>
    <w:p w14:paraId="0C6CD490">
      <w:pPr>
        <w:spacing w:line="360" w:lineRule="auto"/>
        <w:ind w:firstLine="420" w:firstLineChars="200"/>
        <w:jc w:val="left"/>
        <w:rPr>
          <w:rFonts w:hint="eastAsia" w:ascii="宋体" w:hAnsi="宋体" w:eastAsia="宋体" w:cs="宋体"/>
          <w:b w:val="0"/>
          <w:bCs w:val="0"/>
          <w:color w:val="auto"/>
          <w:szCs w:val="21"/>
          <w:highlight w:val="none"/>
          <w:u w:val="none"/>
          <w:lang w:eastAsia="zh-CN"/>
        </w:rPr>
      </w:pPr>
      <w:r>
        <w:rPr>
          <w:rFonts w:hint="eastAsia" w:ascii="宋体" w:hAnsi="宋体" w:cs="宋体"/>
          <w:b w:val="0"/>
          <w:bCs w:val="0"/>
          <w:color w:val="auto"/>
          <w:szCs w:val="21"/>
          <w:highlight w:val="none"/>
          <w:u w:val="none"/>
          <w:lang w:val="en-US" w:eastAsia="zh-CN"/>
        </w:rPr>
        <w:t>②</w:t>
      </w:r>
      <w:r>
        <w:rPr>
          <w:rFonts w:hint="eastAsia" w:ascii="宋体" w:hAnsi="宋体" w:cs="宋体"/>
          <w:b w:val="0"/>
          <w:bCs w:val="0"/>
          <w:color w:val="auto"/>
          <w:szCs w:val="21"/>
          <w:highlight w:val="none"/>
          <w:u w:val="none"/>
        </w:rPr>
        <w:t>相同施工条件下实施类似项目特征的清单项目或类似施工条件下实施相同项目特征的清单项目，采用类似清单项目的合同单价换算调整后的综合单价</w:t>
      </w:r>
      <w:r>
        <w:rPr>
          <w:rFonts w:hint="eastAsia" w:ascii="宋体" w:hAnsi="宋体" w:cs="宋体"/>
          <w:b w:val="0"/>
          <w:bCs w:val="0"/>
          <w:color w:val="auto"/>
          <w:szCs w:val="21"/>
          <w:highlight w:val="none"/>
          <w:u w:val="none"/>
          <w:lang w:eastAsia="zh-CN"/>
        </w:rPr>
        <w:t>；</w:t>
      </w:r>
    </w:p>
    <w:p w14:paraId="20FB343A">
      <w:pPr>
        <w:spacing w:line="360" w:lineRule="auto"/>
        <w:ind w:firstLine="420" w:firstLineChars="200"/>
        <w:jc w:val="left"/>
        <w:rPr>
          <w:rFonts w:hint="eastAsia" w:ascii="宋体" w:hAnsi="宋体" w:eastAsia="宋体" w:cs="宋体"/>
          <w:b w:val="0"/>
          <w:bCs w:val="0"/>
          <w:color w:val="auto"/>
          <w:szCs w:val="21"/>
          <w:highlight w:val="none"/>
          <w:u w:val="none"/>
          <w:lang w:eastAsia="zh-CN"/>
        </w:rPr>
      </w:pPr>
      <w:r>
        <w:rPr>
          <w:rFonts w:hint="eastAsia" w:ascii="宋体" w:hAnsi="宋体" w:cs="宋体"/>
          <w:b w:val="0"/>
          <w:bCs w:val="0"/>
          <w:color w:val="auto"/>
          <w:szCs w:val="21"/>
          <w:highlight w:val="none"/>
          <w:u w:val="none"/>
          <w:lang w:val="en-US" w:eastAsia="zh-CN"/>
        </w:rPr>
        <w:t>③</w:t>
      </w:r>
      <w:r>
        <w:rPr>
          <w:rFonts w:hint="eastAsia" w:ascii="宋体" w:hAnsi="宋体" w:cs="宋体"/>
          <w:b w:val="0"/>
          <w:bCs w:val="0"/>
          <w:color w:val="auto"/>
          <w:szCs w:val="21"/>
          <w:highlight w:val="none"/>
          <w:u w:val="none"/>
        </w:rPr>
        <w:t>相同施工条件下实施不同项目特征的清单项目或不同施工条件下实施相同项目特征的清单项目，可依据工程实施情况，结合类似项目的合同单价计价规则及报价水平，</w:t>
      </w:r>
      <w:r>
        <w:rPr>
          <w:rFonts w:hint="eastAsia" w:ascii="宋体" w:hAnsi="宋体" w:cs="Times New Roman"/>
          <w:b w:val="0"/>
          <w:bCs w:val="0"/>
          <w:szCs w:val="21"/>
          <w:highlight w:val="none"/>
          <w:u w:val="none"/>
        </w:rPr>
        <w:t>由承包人报发包人、监理单位、造价审计等单位</w:t>
      </w:r>
      <w:r>
        <w:rPr>
          <w:rFonts w:hint="eastAsia" w:ascii="宋体" w:hAnsi="宋体" w:cs="宋体"/>
          <w:b w:val="0"/>
          <w:bCs w:val="0"/>
          <w:color w:val="auto"/>
          <w:szCs w:val="21"/>
          <w:highlight w:val="none"/>
          <w:u w:val="none"/>
        </w:rPr>
        <w:t>协商确定市场合理的综合单价</w:t>
      </w:r>
      <w:r>
        <w:rPr>
          <w:rFonts w:hint="eastAsia" w:ascii="宋体" w:hAnsi="宋体" w:cs="宋体"/>
          <w:b w:val="0"/>
          <w:bCs w:val="0"/>
          <w:color w:val="auto"/>
          <w:szCs w:val="21"/>
          <w:highlight w:val="none"/>
          <w:u w:val="none"/>
          <w:lang w:eastAsia="zh-CN"/>
        </w:rPr>
        <w:t>；</w:t>
      </w:r>
    </w:p>
    <w:p w14:paraId="4405FF77">
      <w:pPr>
        <w:spacing w:line="360" w:lineRule="auto"/>
        <w:ind w:firstLine="420" w:firstLineChars="200"/>
        <w:jc w:val="left"/>
        <w:rPr>
          <w:rFonts w:hint="eastAsia" w:ascii="宋体" w:hAnsi="宋体" w:eastAsia="宋体" w:cs="宋体"/>
          <w:b w:val="0"/>
          <w:bCs w:val="0"/>
          <w:color w:val="auto"/>
          <w:szCs w:val="21"/>
          <w:highlight w:val="none"/>
          <w:u w:val="none"/>
          <w:lang w:eastAsia="zh-CN"/>
        </w:rPr>
      </w:pPr>
      <w:r>
        <w:rPr>
          <w:rFonts w:hint="eastAsia" w:ascii="宋体" w:hAnsi="宋体" w:cs="宋体"/>
          <w:b w:val="0"/>
          <w:bCs w:val="0"/>
          <w:color w:val="auto"/>
          <w:szCs w:val="21"/>
          <w:highlight w:val="none"/>
          <w:u w:val="none"/>
          <w:lang w:val="en-US" w:eastAsia="zh-CN"/>
        </w:rPr>
        <w:t>④</w:t>
      </w:r>
      <w:r>
        <w:rPr>
          <w:rFonts w:hint="eastAsia" w:ascii="宋体" w:hAnsi="宋体" w:cs="宋体"/>
          <w:b w:val="0"/>
          <w:bCs w:val="0"/>
          <w:color w:val="auto"/>
          <w:szCs w:val="21"/>
          <w:highlight w:val="none"/>
          <w:u w:val="none"/>
        </w:rPr>
        <w:t>不同施工条件下实施不同项目特征的清单项目，可依据工程实施情况，结合同类工程类似清单项目的综合单价，</w:t>
      </w:r>
      <w:r>
        <w:rPr>
          <w:rFonts w:hint="eastAsia" w:ascii="宋体" w:hAnsi="宋体" w:cs="Times New Roman"/>
          <w:b w:val="0"/>
          <w:bCs w:val="0"/>
          <w:szCs w:val="21"/>
          <w:highlight w:val="none"/>
          <w:u w:val="none"/>
        </w:rPr>
        <w:t>由承包人报发包人、监理单位、造价审计等单位</w:t>
      </w:r>
      <w:r>
        <w:rPr>
          <w:rFonts w:hint="eastAsia" w:ascii="宋体" w:hAnsi="宋体" w:cs="宋体"/>
          <w:b w:val="0"/>
          <w:bCs w:val="0"/>
          <w:color w:val="auto"/>
          <w:szCs w:val="21"/>
          <w:highlight w:val="none"/>
          <w:u w:val="none"/>
        </w:rPr>
        <w:t>协商确定市场合理的综合单价</w:t>
      </w:r>
      <w:r>
        <w:rPr>
          <w:rFonts w:hint="eastAsia" w:ascii="宋体" w:hAnsi="宋体" w:cs="宋体"/>
          <w:b w:val="0"/>
          <w:bCs w:val="0"/>
          <w:color w:val="auto"/>
          <w:szCs w:val="21"/>
          <w:highlight w:val="none"/>
          <w:u w:val="none"/>
          <w:lang w:eastAsia="zh-CN"/>
        </w:rPr>
        <w:t>；</w:t>
      </w:r>
    </w:p>
    <w:p w14:paraId="0FBBD300">
      <w:pPr>
        <w:keepNext w:val="0"/>
        <w:keepLines w:val="0"/>
        <w:pageBreakBefore w:val="0"/>
        <w:kinsoku/>
        <w:wordWrap/>
        <w:overflowPunct/>
        <w:topLinePunct w:val="0"/>
        <w:bidi w:val="0"/>
        <w:spacing w:line="360" w:lineRule="auto"/>
        <w:ind w:left="0" w:leftChars="0" w:right="0" w:firstLine="420" w:firstLineChars="200"/>
        <w:textAlignment w:val="auto"/>
        <w:rPr>
          <w:rFonts w:hint="eastAsia" w:ascii="宋体" w:hAnsi="宋体" w:eastAsia="宋体" w:cs="宋体"/>
          <w:b w:val="0"/>
          <w:bCs w:val="0"/>
          <w:color w:val="auto"/>
          <w:sz w:val="21"/>
          <w:szCs w:val="21"/>
          <w:highlight w:val="none"/>
          <w:u w:val="none"/>
        </w:rPr>
      </w:pPr>
      <w:r>
        <w:rPr>
          <w:rFonts w:hint="eastAsia" w:ascii="宋体" w:hAnsi="宋体" w:cs="宋体"/>
          <w:b w:val="0"/>
          <w:bCs w:val="0"/>
          <w:color w:val="auto"/>
          <w:szCs w:val="21"/>
          <w:highlight w:val="none"/>
          <w:u w:val="none"/>
          <w:lang w:val="en-US" w:eastAsia="zh-CN"/>
        </w:rPr>
        <w:t>⑤</w:t>
      </w:r>
      <w:r>
        <w:rPr>
          <w:rFonts w:hint="eastAsia" w:ascii="宋体" w:hAnsi="宋体" w:cs="宋体"/>
          <w:b w:val="0"/>
          <w:bCs w:val="0"/>
          <w:color w:val="auto"/>
          <w:szCs w:val="21"/>
          <w:highlight w:val="none"/>
          <w:u w:val="none"/>
        </w:rPr>
        <w:t>因减少或取消清单项目的工程变更显著改变了实施中的工程施工条件，可根据实施工程的具体情况、市场价格、合同单价计价规则及报价水平</w:t>
      </w:r>
      <w:r>
        <w:rPr>
          <w:rFonts w:hint="eastAsia" w:ascii="宋体" w:hAnsi="宋体" w:cs="Times New Roman"/>
          <w:b w:val="0"/>
          <w:bCs w:val="0"/>
          <w:szCs w:val="21"/>
          <w:highlight w:val="none"/>
          <w:u w:val="none"/>
        </w:rPr>
        <w:t>由承包人报发包人、监理单位、造价审计等单位</w:t>
      </w:r>
      <w:r>
        <w:rPr>
          <w:rFonts w:hint="eastAsia" w:ascii="宋体" w:hAnsi="宋体" w:cs="宋体"/>
          <w:b w:val="0"/>
          <w:bCs w:val="0"/>
          <w:color w:val="auto"/>
          <w:szCs w:val="21"/>
          <w:highlight w:val="none"/>
          <w:u w:val="none"/>
        </w:rPr>
        <w:t>协商确定工程变更的综合单价</w:t>
      </w:r>
      <w:r>
        <w:rPr>
          <w:rFonts w:hint="eastAsia" w:ascii="宋体" w:hAnsi="宋体" w:cs="宋体"/>
          <w:b w:val="0"/>
          <w:bCs w:val="0"/>
          <w:color w:val="auto"/>
          <w:szCs w:val="21"/>
          <w:highlight w:val="none"/>
          <w:u w:val="none"/>
          <w:lang w:eastAsia="zh-CN"/>
        </w:rPr>
        <w:t>。</w:t>
      </w:r>
    </w:p>
    <w:p w14:paraId="375F769B">
      <w:pPr>
        <w:keepNext w:val="0"/>
        <w:keepLines w:val="0"/>
        <w:pageBreakBefore w:val="0"/>
        <w:numPr>
          <w:ilvl w:val="0"/>
          <w:numId w:val="0"/>
        </w:numPr>
        <w:kinsoku/>
        <w:wordWrap/>
        <w:overflowPunct/>
        <w:topLinePunct w:val="0"/>
        <w:bidi w:val="0"/>
        <w:spacing w:line="360" w:lineRule="auto"/>
        <w:ind w:left="0" w:leftChars="0" w:right="0" w:righ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rPr>
        <w:t>新增综合单价中主要材料价格的确定：如果响应文件已有相同的材料时，价格按磋商材料报价执行；如果响应文件中没有相同的材料时，材料价格需报监理单位、造价审计等单位审核确定。</w:t>
      </w:r>
    </w:p>
    <w:p w14:paraId="10648F96">
      <w:pPr>
        <w:spacing w:line="360" w:lineRule="auto"/>
        <w:ind w:firstLine="420" w:firstLineChars="200"/>
        <w:jc w:val="left"/>
        <w:rPr>
          <w:rFonts w:hint="eastAsia" w:ascii="宋体" w:hAnsi="宋体" w:eastAsia="宋体" w:cs="宋体"/>
          <w:b w:val="0"/>
          <w:bCs w:val="0"/>
          <w:color w:val="auto"/>
          <w:szCs w:val="21"/>
          <w:highlight w:val="none"/>
          <w:u w:val="none"/>
          <w:lang w:val="en-US" w:eastAsia="zh-CN"/>
        </w:rPr>
      </w:pPr>
      <w:r>
        <w:rPr>
          <w:rFonts w:hint="eastAsia" w:ascii="宋体" w:hAnsi="宋体" w:eastAsia="宋体" w:cs="宋体"/>
          <w:b w:val="0"/>
          <w:bCs w:val="0"/>
          <w:color w:val="auto"/>
          <w:szCs w:val="21"/>
          <w:highlight w:val="none"/>
          <w:u w:val="none"/>
          <w:lang w:val="en-US" w:eastAsia="zh-CN"/>
        </w:rPr>
        <w:t>4、其他价格调整原则按照(中华人民共和国国家标准GB/T50500-2024《建设工程工程量清单计价标准》)、云南省住房和城乡建设厅关于发布《(建设工程工程量清单计价标准(2024)) 云南省过渡期实施规定》的通知(云建科[2025]63号)、云南省住房和城乡建设厅关于发布《建设工程相关专业工程量计算标准云南省过渡期使用指南》的通知(云建科[2025]72号)、《云南省住房和城乡建设厅关于云南省建设工程造价计价标准调整定额人工费的通知》(云建科[2023]54号)及与其配套的现行有关政策、法规、文件、计价计量依据及计价计量办法等中的规定</w:t>
      </w:r>
      <w:r>
        <w:rPr>
          <w:rFonts w:hint="eastAsia" w:ascii="宋体" w:hAnsi="宋体"/>
          <w:b w:val="0"/>
          <w:bCs w:val="0"/>
          <w:szCs w:val="21"/>
          <w:highlight w:val="none"/>
          <w:u w:val="none"/>
          <w:lang w:eastAsia="zh-CN"/>
        </w:rPr>
        <w:t>，</w:t>
      </w:r>
      <w:r>
        <w:rPr>
          <w:rFonts w:hint="eastAsia" w:ascii="宋体" w:hAnsi="宋体" w:cs="Times New Roman"/>
          <w:b w:val="0"/>
          <w:bCs w:val="0"/>
          <w:szCs w:val="21"/>
          <w:highlight w:val="none"/>
          <w:u w:val="none"/>
        </w:rPr>
        <w:t>由承包人</w:t>
      </w:r>
      <w:r>
        <w:rPr>
          <w:rFonts w:hint="eastAsia" w:ascii="宋体" w:hAnsi="宋体" w:cs="Times New Roman"/>
          <w:b w:val="0"/>
          <w:bCs w:val="0"/>
          <w:szCs w:val="21"/>
          <w:highlight w:val="none"/>
          <w:u w:val="none"/>
          <w:lang w:eastAsia="zh-CN"/>
        </w:rPr>
        <w:t>、</w:t>
      </w:r>
      <w:r>
        <w:rPr>
          <w:rFonts w:hint="eastAsia" w:ascii="宋体" w:hAnsi="宋体" w:cs="Times New Roman"/>
          <w:b w:val="0"/>
          <w:bCs w:val="0"/>
          <w:szCs w:val="21"/>
          <w:highlight w:val="none"/>
          <w:u w:val="none"/>
        </w:rPr>
        <w:t>发包人、监理单位、造价审计等单位</w:t>
      </w:r>
      <w:r>
        <w:rPr>
          <w:rFonts w:hint="eastAsia" w:ascii="宋体" w:hAnsi="宋体" w:cs="Times New Roman"/>
          <w:b w:val="0"/>
          <w:bCs w:val="0"/>
          <w:szCs w:val="21"/>
          <w:highlight w:val="none"/>
          <w:u w:val="none"/>
          <w:lang w:val="en-US" w:eastAsia="zh-CN"/>
        </w:rPr>
        <w:t>共同</w:t>
      </w:r>
      <w:r>
        <w:rPr>
          <w:rFonts w:hint="eastAsia" w:ascii="宋体" w:hAnsi="宋体" w:cs="宋体"/>
          <w:b w:val="0"/>
          <w:bCs w:val="0"/>
          <w:color w:val="auto"/>
          <w:szCs w:val="21"/>
          <w:highlight w:val="none"/>
          <w:u w:val="none"/>
        </w:rPr>
        <w:t>确定</w:t>
      </w:r>
      <w:r>
        <w:rPr>
          <w:rFonts w:hint="eastAsia" w:ascii="宋体" w:hAnsi="宋体" w:eastAsia="宋体" w:cs="宋体"/>
          <w:b w:val="0"/>
          <w:bCs w:val="0"/>
          <w:color w:val="auto"/>
          <w:szCs w:val="21"/>
          <w:highlight w:val="none"/>
          <w:u w:val="none"/>
          <w:lang w:val="en-US" w:eastAsia="zh-CN"/>
        </w:rPr>
        <w:t>。</w:t>
      </w:r>
    </w:p>
    <w:p w14:paraId="5DB55334">
      <w:pPr>
        <w:keepNext w:val="0"/>
        <w:keepLines w:val="0"/>
        <w:pageBreakBefore w:val="0"/>
        <w:kinsoku/>
        <w:wordWrap/>
        <w:overflowPunct/>
        <w:topLinePunct w:val="0"/>
        <w:bidi w:val="0"/>
        <w:spacing w:line="360" w:lineRule="auto"/>
        <w:ind w:left="0" w:leftChars="0" w:right="0" w:firstLine="420" w:firstLineChars="200"/>
        <w:textAlignment w:val="auto"/>
        <w:rPr>
          <w:rFonts w:hint="eastAsia" w:ascii="宋体" w:hAnsi="宋体" w:eastAsia="宋体" w:cs="宋体"/>
          <w:color w:val="auto"/>
          <w:szCs w:val="21"/>
          <w:highlight w:val="none"/>
        </w:rPr>
      </w:pPr>
      <w:r>
        <w:rPr>
          <w:rFonts w:ascii="宋体" w:hAnsi="宋体"/>
          <w:color w:val="auto"/>
          <w:szCs w:val="21"/>
          <w:highlight w:val="none"/>
        </w:rPr>
        <w:t xml:space="preserve">12.2 </w:t>
      </w:r>
      <w:r>
        <w:rPr>
          <w:rFonts w:hint="eastAsia" w:ascii="宋体" w:hAnsi="宋体" w:eastAsia="宋体" w:cs="宋体"/>
          <w:color w:val="auto"/>
          <w:szCs w:val="21"/>
          <w:highlight w:val="none"/>
        </w:rPr>
        <w:t>预付款</w:t>
      </w:r>
    </w:p>
    <w:p w14:paraId="7C933B1D">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 预付款的支付</w:t>
      </w:r>
    </w:p>
    <w:p w14:paraId="53D5848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b w:val="0"/>
          <w:bCs/>
          <w:color w:val="auto"/>
          <w:kern w:val="2"/>
          <w:sz w:val="21"/>
          <w:szCs w:val="21"/>
          <w:highlight w:val="none"/>
          <w:lang w:eastAsia="zh-CN"/>
        </w:rPr>
      </w:pPr>
      <w:r>
        <w:rPr>
          <w:rFonts w:hint="eastAsia" w:ascii="宋体" w:hAnsi="宋体" w:eastAsia="宋体" w:cs="宋体"/>
          <w:color w:val="auto"/>
          <w:szCs w:val="21"/>
          <w:highlight w:val="none"/>
        </w:rPr>
        <w:t>预付款支付比例或金额：</w:t>
      </w:r>
      <w:r>
        <w:rPr>
          <w:rFonts w:hint="eastAsia" w:ascii="宋体" w:hAnsi="宋体" w:eastAsia="宋体" w:cs="宋体"/>
          <w:color w:val="auto"/>
          <w:kern w:val="0"/>
          <w:szCs w:val="21"/>
          <w:highlight w:val="none"/>
          <w:u w:val="single"/>
        </w:rPr>
        <w:t xml:space="preserve"> </w:t>
      </w:r>
      <w:r>
        <w:rPr>
          <w:rFonts w:hint="eastAsia" w:ascii="宋体" w:hAnsi="宋体" w:eastAsia="宋体" w:cs="宋体"/>
          <w:b/>
          <w:bCs/>
          <w:color w:val="auto"/>
          <w:kern w:val="0"/>
          <w:szCs w:val="21"/>
          <w:highlight w:val="none"/>
          <w:u w:val="single"/>
          <w:lang w:val="en-US" w:eastAsia="zh-CN"/>
        </w:rPr>
        <w:t xml:space="preserve"> </w:t>
      </w:r>
      <w:r>
        <w:rPr>
          <w:rFonts w:hint="eastAsia" w:ascii="宋体" w:hAnsi="宋体" w:eastAsia="宋体" w:cs="宋体"/>
          <w:b/>
          <w:bCs/>
          <w:color w:val="auto"/>
          <w:kern w:val="2"/>
          <w:sz w:val="21"/>
          <w:szCs w:val="21"/>
          <w:highlight w:val="none"/>
          <w:u w:val="single"/>
          <w:lang w:eastAsia="zh-CN"/>
        </w:rPr>
        <w:t>合同金额（扣除暂列金额）的 30%</w:t>
      </w:r>
      <w:r>
        <w:rPr>
          <w:rFonts w:hint="eastAsia" w:ascii="宋体" w:hAnsi="宋体" w:cs="宋体"/>
          <w:b/>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lang w:eastAsia="zh-CN"/>
        </w:rPr>
        <w:t xml:space="preserve">。 </w:t>
      </w:r>
    </w:p>
    <w:p w14:paraId="5B74C35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b/>
          <w:bCs w:val="0"/>
          <w:color w:val="auto"/>
          <w:kern w:val="2"/>
          <w:sz w:val="21"/>
          <w:szCs w:val="21"/>
          <w:highlight w:val="none"/>
          <w:u w:val="single"/>
          <w:lang w:eastAsia="zh-CN"/>
        </w:rPr>
      </w:pPr>
      <w:r>
        <w:rPr>
          <w:rFonts w:hint="eastAsia" w:ascii="宋体" w:hAnsi="宋体" w:eastAsia="宋体" w:cs="宋体"/>
          <w:b w:val="0"/>
          <w:bCs/>
          <w:color w:val="auto"/>
          <w:kern w:val="2"/>
          <w:sz w:val="21"/>
          <w:szCs w:val="21"/>
          <w:highlight w:val="none"/>
          <w:lang w:eastAsia="zh-CN"/>
        </w:rPr>
        <w:t>预付款支付期限：</w:t>
      </w:r>
      <w:r>
        <w:rPr>
          <w:rFonts w:hint="eastAsia" w:ascii="宋体" w:hAnsi="宋体" w:eastAsia="宋体" w:cs="宋体"/>
          <w:b/>
          <w:bCs w:val="0"/>
          <w:color w:val="auto"/>
          <w:kern w:val="2"/>
          <w:sz w:val="21"/>
          <w:szCs w:val="21"/>
          <w:highlight w:val="none"/>
          <w:u w:val="single"/>
          <w:lang w:eastAsia="zh-CN"/>
        </w:rPr>
        <w:t>在合同生效之日起 7 个工作日内，办理合同金额（扣除暂列金额）的30%工程预付款支付手续。</w:t>
      </w:r>
    </w:p>
    <w:p w14:paraId="2EF0C1E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b w:val="0"/>
          <w:bCs/>
          <w:color w:val="auto"/>
          <w:kern w:val="2"/>
          <w:sz w:val="21"/>
          <w:szCs w:val="21"/>
          <w:highlight w:val="none"/>
          <w:u w:val="single"/>
          <w:lang w:eastAsia="zh-CN"/>
        </w:rPr>
      </w:pPr>
      <w:r>
        <w:rPr>
          <w:rFonts w:hint="eastAsia" w:ascii="宋体" w:hAnsi="宋体" w:eastAsia="宋体" w:cs="宋体"/>
          <w:b w:val="0"/>
          <w:bCs/>
          <w:color w:val="auto"/>
          <w:kern w:val="2"/>
          <w:sz w:val="21"/>
          <w:szCs w:val="21"/>
          <w:highlight w:val="none"/>
          <w:lang w:eastAsia="zh-CN"/>
        </w:rPr>
        <w:t>预付款扣回的方式：</w:t>
      </w:r>
      <w:r>
        <w:rPr>
          <w:rFonts w:hint="eastAsia" w:ascii="宋体" w:hAnsi="宋体" w:eastAsia="宋体" w:cs="宋体"/>
          <w:b w:val="0"/>
          <w:bCs/>
          <w:color w:val="auto"/>
          <w:kern w:val="2"/>
          <w:sz w:val="21"/>
          <w:szCs w:val="21"/>
          <w:highlight w:val="none"/>
          <w:u w:val="single"/>
          <w:lang w:eastAsia="zh-CN"/>
        </w:rPr>
        <w:t>在支付进度款时扣回。在进度款支付过程中，当经审核确定的累计应付金额达到签约合同价（扣除暂列金）的 20% 时，扣回预付款的 25%</w:t>
      </w:r>
      <w:r>
        <w:rPr>
          <w:rFonts w:hint="eastAsia" w:ascii="宋体" w:hAnsi="宋体" w:cs="宋体"/>
          <w:b w:val="0"/>
          <w:bCs/>
          <w:color w:val="auto"/>
          <w:kern w:val="2"/>
          <w:sz w:val="21"/>
          <w:szCs w:val="21"/>
          <w:highlight w:val="none"/>
          <w:u w:val="single"/>
          <w:lang w:val="en-US" w:eastAsia="zh-CN"/>
        </w:rPr>
        <w:t xml:space="preserve"> </w:t>
      </w:r>
      <w:r>
        <w:rPr>
          <w:rFonts w:hint="eastAsia" w:ascii="宋体" w:hAnsi="宋体" w:eastAsia="宋体" w:cs="宋体"/>
          <w:b w:val="0"/>
          <w:bCs/>
          <w:color w:val="auto"/>
          <w:kern w:val="2"/>
          <w:sz w:val="21"/>
          <w:szCs w:val="21"/>
          <w:highlight w:val="none"/>
          <w:u w:val="single"/>
          <w:lang w:eastAsia="zh-CN"/>
        </w:rPr>
        <w:t>，如当期进度款不足抵扣的，在后续进度款中优先全额抵扣应扣预付款，直至扣完为止；当经审核确定的累计应付金额达到签约合同价（扣除暂列金）的 30% 时，扣回预付款的 25%，如当期进度款不足抵扣的，在后续进度款中优先全额抵扣应扣预付款，直至扣完为止；当经审核确定的累计应付金额达到签约合同价（扣除暂列金）的 40% 时，扣回预付款的 25%，如当期进度款不足抵扣的，在后续进度款中优先全额抵扣应扣预付款，直至扣完为止；当经审核确定的累计应付金额达到签约合同价（扣除暂列金）的 50% 时，扣回剩余全部预付款，如当期进度款不足抵扣的，在后续进度款中优先全额抵扣应扣预付款，直至扣完为止。</w:t>
      </w:r>
    </w:p>
    <w:p w14:paraId="402FB265">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12.2.2 预付款担保</w:t>
      </w:r>
    </w:p>
    <w:p w14:paraId="4159FB43">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承包人提交预付款担保的期限：</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承包人应在发包人支付预付款7天前提供预付款担保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0C43794">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预付款担保的形式为：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银行担保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1EBC6C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b w:val="0"/>
          <w:bCs/>
          <w:color w:val="auto"/>
          <w:kern w:val="2"/>
          <w:sz w:val="21"/>
          <w:szCs w:val="21"/>
          <w:highlight w:val="none"/>
          <w:lang w:eastAsia="zh-CN"/>
        </w:rPr>
      </w:pPr>
      <w:r>
        <w:rPr>
          <w:rFonts w:hint="eastAsia" w:ascii="宋体" w:hAnsi="宋体" w:eastAsia="宋体" w:cs="宋体"/>
          <w:b w:val="0"/>
          <w:bCs/>
          <w:color w:val="auto"/>
          <w:kern w:val="2"/>
          <w:sz w:val="21"/>
          <w:szCs w:val="21"/>
          <w:highlight w:val="none"/>
          <w:lang w:eastAsia="zh-CN"/>
        </w:rPr>
        <w:t>预付款支付比例或金额：</w:t>
      </w:r>
    </w:p>
    <w:p w14:paraId="136C3771">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p>
    <w:p w14:paraId="5C08792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p>
    <w:p w14:paraId="26E07DA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12.3 计量</w:t>
      </w:r>
    </w:p>
    <w:p w14:paraId="0794063B">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12.3.1 计量原则</w:t>
      </w:r>
    </w:p>
    <w:p w14:paraId="0AE57CB1">
      <w:pPr>
        <w:keepNext w:val="0"/>
        <w:keepLines w:val="0"/>
        <w:widowControl/>
        <w:suppressLineNumbers w:val="0"/>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工程量计算规则：</w:t>
      </w:r>
    </w:p>
    <w:p w14:paraId="32B6F435">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.云建标[2021]15号云南省住房和城乡建设厅关于《云南省建设工程造价计价标准（2020版）》发布实施的通知，国家及省建设行政管理部门的相关规定。</w:t>
      </w:r>
    </w:p>
    <w:p w14:paraId="1971140B">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建设工程工程量清单计价标准》（GB/T50500-2024）、《房屋建筑与装饰工程工程量计算标准》（GB/T50854-2024）、《仿古建筑工程工程量计算标准》（GB/T50855-2024）、《通用安装工程工程量计算标准》（GB/T50856-2024）《市政工程工程量计算标准》（GB/T50857-2024）、《园林绿化工程工程量计算标准》（GB/T50858-2024）、《构筑物工程工程量计算标准》（GB/T50860-2024）</w:t>
      </w:r>
    </w:p>
    <w:p w14:paraId="5D94AF19">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lang w:val="en-US" w:eastAsia="zh-CN"/>
        </w:rPr>
        <w:t>3.《云南省建筑工程计价标准》（DBJ53/T-61-2020）、《云南省园林绿化工程计价标准》（DBJ53/T-60-2020）、《云南省通用安装工程计价标准》（DBJ53/T-63-2020）、《云南省市政工程计价标准》（DBJ53/T-59-2020）、《云南省建设工程造价计价规则及机械仪器仪表台班费用定额》（DBJ53/T-58-2020）及相关文件等。</w:t>
      </w:r>
    </w:p>
    <w:p w14:paraId="2A5FFAAA">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.云南省住房和城乡建设厅文件云建科函[2019]62号《云南省住房和城乡建设厅关于重新调整云南省建设工程造价计价依据中税金综合税率的通知》。</w:t>
      </w:r>
    </w:p>
    <w:p w14:paraId="64492F6B">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.云南省住房和城乡建设厅文件云建科[2023]54号《云南省住房和城乡建设厅关于云南省建设工程造价计价标准调整定额人工费的通知》;</w:t>
      </w:r>
    </w:p>
    <w:p w14:paraId="3D19738B">
      <w:pPr>
        <w:keepNext w:val="0"/>
        <w:keepLines w:val="0"/>
        <w:pageBreakBefore w:val="0"/>
        <w:kinsoku/>
        <w:wordWrap/>
        <w:overflowPunct/>
        <w:topLinePunct w:val="0"/>
        <w:bidi w:val="0"/>
        <w:spacing w:line="360" w:lineRule="auto"/>
        <w:ind w:left="0" w:leftChars="0" w:right="0" w:firstLine="420" w:firstLineChars="200"/>
        <w:jc w:val="left"/>
        <w:textAlignment w:val="auto"/>
        <w:rPr>
          <w:rFonts w:hint="eastAsia"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.与本项目建设有关的施工技术、验收规范及标准图集等技术资料。</w:t>
      </w:r>
    </w:p>
    <w:p w14:paraId="2100B7F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12.3.2 计量周期</w:t>
      </w:r>
    </w:p>
    <w:p w14:paraId="1D12EA55">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关于计量周期的约定：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按本合同的计量周期为月，每月 10 日为当月计量截止日期（不含当日）和下月计量起始日期（不含当日）</w:t>
      </w:r>
      <w:r>
        <w:rPr>
          <w:rFonts w:ascii="宋体" w:hAnsi="宋体"/>
          <w:color w:val="auto"/>
          <w:szCs w:val="21"/>
          <w:highlight w:val="none"/>
        </w:rPr>
        <w:t>。</w:t>
      </w:r>
    </w:p>
    <w:p w14:paraId="3988509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12.3.3 单价合同的计量</w:t>
      </w:r>
    </w:p>
    <w:p w14:paraId="33F9B9CE">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关于单价合同计量的约定：</w:t>
      </w:r>
      <w:r>
        <w:rPr>
          <w:rFonts w:hint="eastAsia" w:ascii="宋体" w:hAnsi="宋体"/>
          <w:color w:val="auto"/>
          <w:szCs w:val="21"/>
          <w:highlight w:val="none"/>
          <w:u w:val="single"/>
        </w:rPr>
        <w:t xml:space="preserve"> （1）承包人应于每月 10 日向监理人报送上月 11 日至当月 9 日已完成的工程量报告，并附具进度付款申请单、已完成工程量报表和有关资料。（2）监理人应在收到承包人提交的工程量报告后 3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 3 天内完成审核的，承包人报送的工程量报告中的工程量视为承包人实际完成的工程量，据此计算工程价款</w:t>
      </w:r>
      <w:r>
        <w:rPr>
          <w:rFonts w:ascii="宋体" w:hAnsi="宋体"/>
          <w:color w:val="auto"/>
          <w:szCs w:val="21"/>
          <w:highlight w:val="none"/>
        </w:rPr>
        <w:t>。</w:t>
      </w:r>
    </w:p>
    <w:p w14:paraId="69EEE9D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12.3.4 总价合同的计量</w:t>
      </w:r>
    </w:p>
    <w:p w14:paraId="624C53F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关于总价合同计量的约定：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1132EE0C">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12.3.5总价合同采用支付分解表计量支付的，是否适用第</w:t>
      </w:r>
      <w:r>
        <w:rPr>
          <w:rFonts w:ascii="宋体" w:hAnsi="宋体"/>
          <w:color w:val="auto"/>
          <w:kern w:val="0"/>
          <w:szCs w:val="21"/>
          <w:highlight w:val="none"/>
        </w:rPr>
        <w:t xml:space="preserve">12.3.4 </w:t>
      </w:r>
      <w:r>
        <w:rPr>
          <w:rFonts w:ascii="宋体" w:hAnsi="宋体"/>
          <w:color w:val="auto"/>
          <w:szCs w:val="21"/>
          <w:highlight w:val="none"/>
        </w:rPr>
        <w:t>项</w:t>
      </w:r>
      <w:r>
        <w:rPr>
          <w:rFonts w:hint="eastAsia" w:ascii="宋体" w:hAnsi="宋体"/>
          <w:color w:val="auto"/>
          <w:kern w:val="0"/>
          <w:szCs w:val="21"/>
          <w:highlight w:val="none"/>
        </w:rPr>
        <w:t>〔</w:t>
      </w:r>
      <w:r>
        <w:rPr>
          <w:rFonts w:ascii="宋体" w:hAnsi="宋体"/>
          <w:color w:val="auto"/>
          <w:kern w:val="0"/>
          <w:szCs w:val="21"/>
          <w:highlight w:val="none"/>
        </w:rPr>
        <w:t>总价合同的计量</w:t>
      </w:r>
      <w:r>
        <w:rPr>
          <w:rFonts w:hint="eastAsia" w:ascii="宋体" w:hAnsi="宋体"/>
          <w:color w:val="auto"/>
          <w:kern w:val="0"/>
          <w:szCs w:val="21"/>
          <w:highlight w:val="none"/>
        </w:rPr>
        <w:t>〕</w:t>
      </w:r>
      <w:r>
        <w:rPr>
          <w:rFonts w:ascii="宋体" w:hAnsi="宋体"/>
          <w:color w:val="auto"/>
          <w:szCs w:val="21"/>
          <w:highlight w:val="none"/>
        </w:rPr>
        <w:t>约定</w:t>
      </w:r>
      <w:r>
        <w:rPr>
          <w:rFonts w:hint="eastAsia" w:ascii="宋体" w:hAnsi="宋体"/>
          <w:color w:val="auto"/>
          <w:szCs w:val="21"/>
          <w:highlight w:val="none"/>
        </w:rPr>
        <w:t>进行计量：</w:t>
      </w:r>
      <w:r>
        <w:rPr>
          <w:rFonts w:ascii="宋体" w:hAnsi="宋体"/>
          <w:color w:val="auto"/>
          <w:szCs w:val="21"/>
          <w:highlight w:val="none"/>
        </w:rPr>
        <w:t>。</w:t>
      </w:r>
    </w:p>
    <w:p w14:paraId="6C05BB8D">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12.3.6 其他价格形式合同的计量</w:t>
      </w:r>
    </w:p>
    <w:p w14:paraId="5BA2B20C">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其他价格形式的计量方式和程序：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ascii="宋体" w:hAnsi="宋体"/>
          <w:color w:val="auto"/>
          <w:szCs w:val="21"/>
          <w:highlight w:val="none"/>
        </w:rPr>
        <w:t>。</w:t>
      </w:r>
    </w:p>
    <w:p w14:paraId="45547A4C">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12.4 工程进度款支付</w:t>
      </w:r>
    </w:p>
    <w:p w14:paraId="431B3AC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12.4.1 付款周期</w:t>
      </w:r>
    </w:p>
    <w:p w14:paraId="5A606B4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Times New Roman" w:hAnsi="Times New Roman" w:eastAsia="宋体" w:cs="Times New Roman"/>
          <w:color w:val="auto"/>
          <w:kern w:val="0"/>
          <w:szCs w:val="21"/>
          <w:highlight w:val="none"/>
          <w:u w:val="single"/>
        </w:rPr>
        <w:t>关于付款周期的约定：</w:t>
      </w:r>
      <w:r>
        <w:rPr>
          <w:rFonts w:hint="eastAsia" w:ascii="宋体" w:hAnsi="宋体" w:eastAsia="宋体" w:cs="宋体"/>
          <w:color w:val="auto"/>
          <w:kern w:val="0"/>
          <w:szCs w:val="21"/>
          <w:highlight w:val="none"/>
          <w:u w:val="single"/>
        </w:rPr>
        <w:t>过程工程款按监理、发包人及相关审核单位审核确认的上月完成产值的 80% 进行付款，工程进度款累计支付到合同总价款的 80% 后暂停支付工程进度款，竣工验收一次性验收合格交付使用及结算完成后支付至合同总价的 90%；施工承包范围内的竣工资料备案完成，一审决算核定后 10 日内支付至审定决算总金额的 97%，将 3% 的决算审定款作为工程质量保证金汇入发包人指定账户后，发包人支付工程款尾款。对于工程质量保证金，待缺陷责任期期满且本工程无质量问题时一次性无息退还。在支付进度款时，如承包人有应当承担违约或赔偿责任情形的，发包人可以在应付款项中先行扣减同等金额。</w:t>
      </w:r>
      <w:r>
        <w:rPr>
          <w:rFonts w:hint="eastAsia" w:ascii="宋体" w:hAnsi="宋体" w:eastAsia="宋体" w:cs="宋体"/>
          <w:color w:val="auto"/>
          <w:sz w:val="21"/>
          <w:szCs w:val="21"/>
          <w:highlight w:val="none"/>
        </w:rPr>
        <w:t>。</w:t>
      </w:r>
    </w:p>
    <w:p w14:paraId="1AE013A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22" w:firstLineChars="200"/>
        <w:textAlignment w:val="auto"/>
        <w:rPr>
          <w:rFonts w:ascii="宋体" w:hAnsi="宋体"/>
          <w:b/>
          <w:bCs/>
          <w:color w:val="auto"/>
          <w:szCs w:val="21"/>
          <w:highlight w:val="none"/>
        </w:rPr>
      </w:pPr>
      <w:r>
        <w:rPr>
          <w:rFonts w:hint="eastAsia" w:ascii="宋体" w:hAnsi="宋体" w:eastAsia="宋体" w:cs="宋体"/>
          <w:b/>
          <w:bCs w:val="0"/>
          <w:color w:val="auto"/>
          <w:kern w:val="2"/>
          <w:sz w:val="21"/>
          <w:szCs w:val="21"/>
          <w:highlight w:val="none"/>
          <w:lang w:eastAsia="zh-CN"/>
        </w:rPr>
        <w:t>注：达到付款条件时，承包人应向发包人提供合法等额的增值税发票，若承包人未提供，发包人有权拒绝支付款项，并不承担任何违约责任。承包人保证提供的基本账户信息准确无误。如承包人提供的基本账户信息有问题导致付款出错由承包人对产生的后果负责</w:t>
      </w:r>
      <w:r>
        <w:rPr>
          <w:rFonts w:hint="eastAsia" w:ascii="宋体" w:hAnsi="宋体" w:eastAsia="宋体" w:cs="宋体"/>
          <w:b/>
          <w:bCs/>
          <w:color w:val="auto"/>
          <w:sz w:val="21"/>
          <w:szCs w:val="21"/>
          <w:highlight w:val="none"/>
        </w:rPr>
        <w:t>。</w:t>
      </w:r>
    </w:p>
    <w:p w14:paraId="7AAAA095">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12.4.2 进度付款申请单的编制</w:t>
      </w:r>
    </w:p>
    <w:p w14:paraId="468A1D9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关于进度付款申请单编制的约定：</w:t>
      </w:r>
      <w:r>
        <w:rPr>
          <w:rFonts w:hint="eastAsia" w:ascii="宋体" w:hAnsi="宋体"/>
          <w:color w:val="auto"/>
          <w:szCs w:val="21"/>
          <w:highlight w:val="none"/>
          <w:u w:val="single"/>
        </w:rPr>
        <w:t>按照通用条款第12.4.2条规定执行。</w:t>
      </w:r>
    </w:p>
    <w:p w14:paraId="53DEF4F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12.4.3 进度付款申请单的提交</w:t>
      </w:r>
    </w:p>
    <w:p w14:paraId="27E4FAB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（1）单价合同进度付款申请单提交的约定</w:t>
      </w:r>
      <w:r>
        <w:rPr>
          <w:rFonts w:hint="eastAsia" w:ascii="宋体" w:hAnsi="宋体"/>
          <w:color w:val="auto"/>
          <w:szCs w:val="21"/>
          <w:highlight w:val="none"/>
        </w:rPr>
        <w:t>：每月 10 日向监理人提交，并附上已完成工程量报表等有关资料。单价合同中的总价项目按月进行支付分解，并汇总列入当期进度付款申请单</w:t>
      </w:r>
      <w:r>
        <w:rPr>
          <w:rFonts w:ascii="宋体" w:hAnsi="宋体"/>
          <w:color w:val="auto"/>
          <w:szCs w:val="21"/>
          <w:highlight w:val="none"/>
        </w:rPr>
        <w:t>。</w:t>
      </w:r>
    </w:p>
    <w:p w14:paraId="567BCDA7">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（2）总价合同进度付款申请单提交的约定</w:t>
      </w:r>
      <w:r>
        <w:rPr>
          <w:rFonts w:hint="eastAsia" w:ascii="宋体" w:hAnsi="宋体"/>
          <w:color w:val="auto"/>
          <w:szCs w:val="21"/>
          <w:highlight w:val="none"/>
        </w:rPr>
        <w:t>：</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14:paraId="602B4448">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u w:val="single"/>
        </w:rPr>
      </w:pPr>
      <w:r>
        <w:rPr>
          <w:rFonts w:ascii="宋体" w:hAnsi="宋体"/>
          <w:color w:val="auto"/>
          <w:szCs w:val="21"/>
          <w:highlight w:val="none"/>
        </w:rPr>
        <w:t>（3）其他价格形式合同进度付款申请单提交的约定：</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14:paraId="294975C7">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12.4.4 进度款审核和支付</w:t>
      </w:r>
    </w:p>
    <w:p w14:paraId="2C54744C">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（1）监理人审查并报送发包人的期限：</w:t>
      </w:r>
      <w:r>
        <w:rPr>
          <w:rFonts w:hint="eastAsia" w:ascii="宋体" w:hAnsi="宋体"/>
          <w:color w:val="auto"/>
          <w:szCs w:val="21"/>
          <w:highlight w:val="none"/>
          <w:u w:val="single"/>
        </w:rPr>
        <w:t xml:space="preserve">   7日内完成  </w:t>
      </w:r>
      <w:r>
        <w:rPr>
          <w:rFonts w:hint="eastAsia" w:ascii="宋体" w:hAnsi="宋体"/>
          <w:color w:val="auto"/>
          <w:szCs w:val="21"/>
          <w:highlight w:val="none"/>
        </w:rPr>
        <w:t>。</w:t>
      </w:r>
    </w:p>
    <w:p w14:paraId="648D466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发包人完成审批并签发进度款支付证书的期限：</w:t>
      </w:r>
      <w:r>
        <w:rPr>
          <w:rFonts w:hint="eastAsia" w:ascii="宋体" w:hAnsi="宋体"/>
          <w:color w:val="auto"/>
          <w:szCs w:val="21"/>
          <w:highlight w:val="none"/>
          <w:u w:val="single"/>
        </w:rPr>
        <w:t xml:space="preserve">7日内完成  </w:t>
      </w:r>
      <w:r>
        <w:rPr>
          <w:rFonts w:hint="eastAsia" w:ascii="宋体" w:hAnsi="宋体"/>
          <w:color w:val="auto"/>
          <w:szCs w:val="21"/>
          <w:highlight w:val="none"/>
        </w:rPr>
        <w:t>。</w:t>
      </w:r>
    </w:p>
    <w:p w14:paraId="7D7D7C1D">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（2）发包人支付进度款的期限：</w:t>
      </w:r>
      <w:r>
        <w:rPr>
          <w:rFonts w:hint="eastAsia" w:ascii="宋体" w:hAnsi="宋体"/>
          <w:color w:val="auto"/>
          <w:szCs w:val="21"/>
          <w:highlight w:val="none"/>
          <w:u w:val="single"/>
        </w:rPr>
        <w:t>按照通用条款第12.4.4条规定执行</w:t>
      </w:r>
      <w:r>
        <w:rPr>
          <w:rFonts w:hint="eastAsia" w:ascii="宋体" w:hAnsi="宋体"/>
          <w:color w:val="auto"/>
          <w:szCs w:val="21"/>
          <w:highlight w:val="none"/>
        </w:rPr>
        <w:t>。</w:t>
      </w:r>
    </w:p>
    <w:p w14:paraId="67EE05B6">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发包人逾期支付进度款的违约金的计算方式：</w:t>
      </w:r>
      <w:r>
        <w:rPr>
          <w:rFonts w:hint="eastAsia" w:ascii="宋体" w:hAnsi="宋体"/>
          <w:color w:val="auto"/>
          <w:szCs w:val="21"/>
          <w:highlight w:val="none"/>
          <w:u w:val="single"/>
        </w:rPr>
        <w:t>按照通用条款第12.4.4条规定执行。</w:t>
      </w:r>
    </w:p>
    <w:p w14:paraId="156222BF">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12.4.6 支付分解表的编制</w:t>
      </w:r>
    </w:p>
    <w:p w14:paraId="1BFA164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2、总价合同支付分解表的编制与审批：</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14:paraId="41D3693B">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u w:val="single"/>
        </w:rPr>
      </w:pPr>
      <w:r>
        <w:rPr>
          <w:rFonts w:ascii="宋体" w:hAnsi="宋体"/>
          <w:color w:val="auto"/>
          <w:szCs w:val="21"/>
          <w:highlight w:val="none"/>
        </w:rPr>
        <w:t>3、单价合同的总价项目支付分解表的编制与审批：</w:t>
      </w:r>
      <w:r>
        <w:rPr>
          <w:rFonts w:hint="eastAsia" w:ascii="宋体" w:hAnsi="宋体"/>
          <w:color w:val="auto"/>
          <w:szCs w:val="21"/>
          <w:highlight w:val="none"/>
          <w:u w:val="single"/>
        </w:rPr>
        <w:t>按照通用条款第1.4.6条规定执行。</w:t>
      </w:r>
    </w:p>
    <w:p w14:paraId="04B828E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u w:val="single"/>
        </w:rPr>
      </w:pPr>
      <w:r>
        <w:rPr>
          <w:rFonts w:hint="eastAsia" w:ascii="宋体" w:hAnsi="宋体"/>
          <w:color w:val="auto"/>
          <w:szCs w:val="21"/>
          <w:highlight w:val="none"/>
        </w:rPr>
        <w:t>12.5履约担保：</w:t>
      </w:r>
      <w:r>
        <w:rPr>
          <w:rFonts w:hint="eastAsia"/>
          <w:color w:val="auto"/>
          <w:kern w:val="0"/>
          <w:sz w:val="20"/>
          <w:szCs w:val="20"/>
          <w:highlight w:val="none"/>
          <w:u w:val="single"/>
        </w:rPr>
        <w:t xml:space="preserve">     </w:t>
      </w:r>
      <w:r>
        <w:rPr>
          <w:rFonts w:hint="eastAsia" w:ascii="宋体" w:hAnsi="宋体"/>
          <w:color w:val="auto"/>
          <w:szCs w:val="21"/>
          <w:highlight w:val="none"/>
          <w:u w:val="single"/>
          <w:lang w:val="en-US" w:eastAsia="zh-CN"/>
        </w:rPr>
        <w:t>10%</w:t>
      </w:r>
      <w:r>
        <w:rPr>
          <w:rFonts w:hint="eastAsia"/>
          <w:color w:val="auto"/>
          <w:kern w:val="0"/>
          <w:sz w:val="20"/>
          <w:szCs w:val="20"/>
          <w:highlight w:val="none"/>
          <w:u w:val="single"/>
        </w:rPr>
        <w:t xml:space="preserve">       </w:t>
      </w:r>
      <w:r>
        <w:rPr>
          <w:rFonts w:hint="eastAsia" w:ascii="宋体" w:hAnsi="宋体"/>
          <w:color w:val="auto"/>
          <w:kern w:val="0"/>
          <w:sz w:val="24"/>
          <w:highlight w:val="none"/>
        </w:rPr>
        <w:t>。</w:t>
      </w:r>
    </w:p>
    <w:p w14:paraId="022D40D3">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color w:val="auto"/>
          <w:szCs w:val="21"/>
          <w:highlight w:val="none"/>
        </w:rPr>
      </w:pPr>
      <w:r>
        <w:rPr>
          <w:rFonts w:ascii="宋体" w:hAnsi="宋体"/>
          <w:b/>
          <w:color w:val="auto"/>
          <w:szCs w:val="21"/>
          <w:highlight w:val="none"/>
        </w:rPr>
        <w:t>13.验收和工程试车</w:t>
      </w:r>
    </w:p>
    <w:p w14:paraId="176614A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13.1 分部分项工程验收</w:t>
      </w:r>
    </w:p>
    <w:p w14:paraId="6F964198">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13.1.2监理人不能按时进行验收时，应提前</w:t>
      </w:r>
      <w:r>
        <w:rPr>
          <w:rFonts w:hint="eastAsia" w:ascii="宋体" w:hAnsi="宋体"/>
          <w:color w:val="auto"/>
          <w:szCs w:val="21"/>
          <w:highlight w:val="none"/>
          <w:u w:val="single"/>
        </w:rPr>
        <w:t>24</w:t>
      </w:r>
      <w:r>
        <w:rPr>
          <w:rFonts w:ascii="宋体" w:hAnsi="宋体"/>
          <w:color w:val="auto"/>
          <w:szCs w:val="21"/>
          <w:highlight w:val="none"/>
        </w:rPr>
        <w:t>小时提交书面延期要求。</w:t>
      </w:r>
    </w:p>
    <w:p w14:paraId="175E4937">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b/>
          <w:color w:val="auto"/>
          <w:szCs w:val="21"/>
          <w:highlight w:val="none"/>
        </w:rPr>
      </w:pPr>
      <w:r>
        <w:rPr>
          <w:rFonts w:ascii="宋体" w:hAnsi="宋体"/>
          <w:color w:val="auto"/>
          <w:szCs w:val="21"/>
          <w:highlight w:val="none"/>
        </w:rPr>
        <w:t>关于延期最长不得超过：</w:t>
      </w:r>
      <w:r>
        <w:rPr>
          <w:rFonts w:hint="eastAsia" w:ascii="宋体" w:hAnsi="宋体"/>
          <w:color w:val="auto"/>
          <w:szCs w:val="21"/>
          <w:highlight w:val="none"/>
          <w:u w:val="single"/>
        </w:rPr>
        <w:t>48</w:t>
      </w:r>
      <w:r>
        <w:rPr>
          <w:rFonts w:ascii="宋体" w:hAnsi="宋体"/>
          <w:color w:val="auto"/>
          <w:szCs w:val="21"/>
          <w:highlight w:val="none"/>
        </w:rPr>
        <w:t>小时。</w:t>
      </w:r>
    </w:p>
    <w:p w14:paraId="136B21A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13.2 竣工验收</w:t>
      </w:r>
    </w:p>
    <w:p w14:paraId="60E4F3AD">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13.2.2竣工验收程序</w:t>
      </w:r>
    </w:p>
    <w:p w14:paraId="5DD8EFAE">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kern w:val="0"/>
          <w:szCs w:val="21"/>
          <w:highlight w:val="none"/>
        </w:rPr>
        <w:t>关于竣工验收程序的约定：</w:t>
      </w:r>
      <w:r>
        <w:rPr>
          <w:rFonts w:hint="eastAsia" w:ascii="宋体" w:hAnsi="宋体"/>
          <w:color w:val="auto"/>
          <w:szCs w:val="21"/>
          <w:highlight w:val="none"/>
          <w:u w:val="single"/>
        </w:rPr>
        <w:t>按照通用条款第13.2.2条规定执行</w:t>
      </w:r>
      <w:r>
        <w:rPr>
          <w:rFonts w:ascii="宋体" w:hAnsi="宋体"/>
          <w:color w:val="auto"/>
          <w:szCs w:val="21"/>
          <w:highlight w:val="none"/>
        </w:rPr>
        <w:t>。</w:t>
      </w:r>
    </w:p>
    <w:p w14:paraId="2D1CAA6C">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kern w:val="0"/>
          <w:szCs w:val="21"/>
          <w:highlight w:val="none"/>
        </w:rPr>
        <w:t>发包人不按照本项约定组织竣工验收、颁发工程接收证书的违约金的计算方法：</w:t>
      </w:r>
      <w:r>
        <w:rPr>
          <w:rFonts w:hint="eastAsia" w:ascii="宋体" w:hAnsi="宋体"/>
          <w:color w:val="auto"/>
          <w:szCs w:val="21"/>
          <w:highlight w:val="none"/>
          <w:u w:val="single"/>
        </w:rPr>
        <w:t xml:space="preserve">   /  </w:t>
      </w:r>
      <w:r>
        <w:rPr>
          <w:rFonts w:ascii="宋体" w:hAnsi="宋体"/>
          <w:color w:val="auto"/>
          <w:szCs w:val="21"/>
          <w:highlight w:val="none"/>
        </w:rPr>
        <w:t>。</w:t>
      </w:r>
    </w:p>
    <w:p w14:paraId="21ECF277">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13.2.5移交、接收全部与部分工程</w:t>
      </w:r>
    </w:p>
    <w:p w14:paraId="73A14F5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kern w:val="0"/>
          <w:szCs w:val="21"/>
          <w:highlight w:val="none"/>
        </w:rPr>
      </w:pPr>
      <w:r>
        <w:rPr>
          <w:rFonts w:hint="eastAsia" w:ascii="宋体" w:hAnsi="宋体"/>
          <w:color w:val="auto"/>
          <w:kern w:val="0"/>
          <w:szCs w:val="21"/>
          <w:highlight w:val="none"/>
        </w:rPr>
        <w:t>承包人向发包人移交工程的期限：</w:t>
      </w:r>
      <w:r>
        <w:rPr>
          <w:rFonts w:hint="eastAsia" w:ascii="宋体" w:hAnsi="宋体"/>
          <w:color w:val="auto"/>
          <w:szCs w:val="21"/>
          <w:highlight w:val="none"/>
          <w:u w:val="single"/>
        </w:rPr>
        <w:t xml:space="preserve">   /  </w:t>
      </w:r>
      <w:r>
        <w:rPr>
          <w:rFonts w:ascii="宋体" w:hAnsi="宋体"/>
          <w:color w:val="auto"/>
          <w:szCs w:val="21"/>
          <w:highlight w:val="none"/>
        </w:rPr>
        <w:t>。</w:t>
      </w:r>
    </w:p>
    <w:p w14:paraId="49BF8FF3">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u w:val="single"/>
        </w:rPr>
      </w:pPr>
      <w:r>
        <w:rPr>
          <w:rFonts w:ascii="宋体" w:hAnsi="宋体"/>
          <w:color w:val="auto"/>
          <w:kern w:val="0"/>
          <w:szCs w:val="21"/>
          <w:highlight w:val="none"/>
        </w:rPr>
        <w:t>发包人未按本合同约定接收全部或部分工程的，违约金的计算方法为：</w:t>
      </w:r>
      <w:r>
        <w:rPr>
          <w:rFonts w:hint="eastAsia" w:ascii="宋体" w:hAnsi="宋体"/>
          <w:color w:val="auto"/>
          <w:szCs w:val="21"/>
          <w:highlight w:val="none"/>
          <w:u w:val="single"/>
        </w:rPr>
        <w:t xml:space="preserve">   /  </w:t>
      </w:r>
      <w:r>
        <w:rPr>
          <w:rFonts w:ascii="宋体" w:hAnsi="宋体"/>
          <w:color w:val="auto"/>
          <w:szCs w:val="21"/>
          <w:highlight w:val="none"/>
        </w:rPr>
        <w:t>。</w:t>
      </w:r>
    </w:p>
    <w:p w14:paraId="50564161">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u w:val="single"/>
        </w:rPr>
      </w:pPr>
      <w:r>
        <w:rPr>
          <w:rFonts w:ascii="宋体" w:hAnsi="宋体"/>
          <w:color w:val="auto"/>
          <w:szCs w:val="21"/>
          <w:highlight w:val="none"/>
        </w:rPr>
        <w:t>承包人未按时移交工程的，违约金的计算方法为：</w:t>
      </w:r>
      <w:r>
        <w:rPr>
          <w:rFonts w:hint="eastAsia" w:ascii="宋体" w:hAnsi="宋体"/>
          <w:color w:val="auto"/>
          <w:szCs w:val="21"/>
          <w:highlight w:val="none"/>
          <w:u w:val="single"/>
        </w:rPr>
        <w:t xml:space="preserve">   /  </w:t>
      </w:r>
      <w:r>
        <w:rPr>
          <w:rFonts w:ascii="宋体" w:hAnsi="宋体"/>
          <w:color w:val="auto"/>
          <w:szCs w:val="21"/>
          <w:highlight w:val="none"/>
        </w:rPr>
        <w:t>。</w:t>
      </w:r>
    </w:p>
    <w:p w14:paraId="5B38C84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13.3 工程试车</w:t>
      </w:r>
    </w:p>
    <w:p w14:paraId="4140DA63">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13.3.1 试车程序</w:t>
      </w:r>
    </w:p>
    <w:p w14:paraId="46FD7987">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u w:val="single"/>
        </w:rPr>
      </w:pPr>
      <w:r>
        <w:rPr>
          <w:rFonts w:ascii="宋体" w:hAnsi="宋体"/>
          <w:kern w:val="0"/>
          <w:szCs w:val="21"/>
          <w:highlight w:val="none"/>
        </w:rPr>
        <w:t>工程试车内容：</w:t>
      </w:r>
      <w:r>
        <w:rPr>
          <w:rFonts w:hint="eastAsia" w:ascii="宋体" w:hAnsi="宋体"/>
          <w:szCs w:val="21"/>
          <w:highlight w:val="none"/>
          <w:u w:val="single"/>
        </w:rPr>
        <w:t>无</w:t>
      </w:r>
      <w:r>
        <w:rPr>
          <w:rFonts w:ascii="宋体" w:hAnsi="宋体"/>
          <w:szCs w:val="21"/>
          <w:highlight w:val="none"/>
        </w:rPr>
        <w:t>。</w:t>
      </w:r>
    </w:p>
    <w:p w14:paraId="040F76C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（1）单机无负荷试车费用由承包人承担；</w:t>
      </w:r>
    </w:p>
    <w:p w14:paraId="7EE16564">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（2）无负荷联动试车费用由承包人承担。</w:t>
      </w:r>
    </w:p>
    <w:p w14:paraId="0BD4EB2B">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13.3.3 投料试车</w:t>
      </w:r>
    </w:p>
    <w:p w14:paraId="47AE9AEB">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hint="eastAsia" w:ascii="宋体" w:hAnsi="宋体"/>
          <w:kern w:val="0"/>
          <w:szCs w:val="21"/>
          <w:highlight w:val="none"/>
        </w:rPr>
        <w:t>关于投料试车相关事项的约定：</w:t>
      </w:r>
      <w:r>
        <w:rPr>
          <w:rFonts w:hint="eastAsia" w:ascii="宋体" w:hAnsi="宋体"/>
          <w:szCs w:val="21"/>
          <w:highlight w:val="none"/>
          <w:u w:val="single"/>
        </w:rPr>
        <w:t xml:space="preserve">   /  </w:t>
      </w:r>
      <w:r>
        <w:rPr>
          <w:rFonts w:ascii="宋体" w:hAnsi="宋体"/>
          <w:szCs w:val="21"/>
          <w:highlight w:val="none"/>
        </w:rPr>
        <w:t>。</w:t>
      </w:r>
    </w:p>
    <w:p w14:paraId="1804A37B">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13.6 竣工退场</w:t>
      </w:r>
    </w:p>
    <w:p w14:paraId="6E0B7E61">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13.6.1 竣工退场</w:t>
      </w:r>
    </w:p>
    <w:p w14:paraId="532C74D8">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承包人完成竣工退场的期限：</w:t>
      </w:r>
      <w:r>
        <w:rPr>
          <w:rFonts w:hint="eastAsia" w:ascii="宋体" w:hAnsi="宋体"/>
          <w:szCs w:val="21"/>
          <w:highlight w:val="none"/>
          <w:u w:val="single"/>
        </w:rPr>
        <w:t>工程竣工验收合格后七天内退场</w:t>
      </w:r>
      <w:r>
        <w:rPr>
          <w:rFonts w:ascii="宋体" w:hAnsi="宋体"/>
          <w:kern w:val="0"/>
          <w:szCs w:val="21"/>
          <w:highlight w:val="none"/>
        </w:rPr>
        <w:t>。</w:t>
      </w:r>
    </w:p>
    <w:p w14:paraId="366E25E4">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14. 竣工结算</w:t>
      </w:r>
    </w:p>
    <w:p w14:paraId="1F1B68B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14.1 竣工</w:t>
      </w:r>
      <w:r>
        <w:rPr>
          <w:rFonts w:hint="eastAsia" w:ascii="宋体" w:hAnsi="宋体"/>
          <w:szCs w:val="21"/>
          <w:highlight w:val="none"/>
        </w:rPr>
        <w:t>结算</w:t>
      </w:r>
      <w:r>
        <w:rPr>
          <w:rFonts w:ascii="宋体" w:hAnsi="宋体"/>
          <w:szCs w:val="21"/>
          <w:highlight w:val="none"/>
        </w:rPr>
        <w:t>申请</w:t>
      </w:r>
    </w:p>
    <w:p w14:paraId="5593B72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hint="eastAsia" w:ascii="宋体" w:hAnsi="宋体"/>
          <w:szCs w:val="21"/>
          <w:highlight w:val="none"/>
        </w:rPr>
        <w:t>承包人提交竣工结算申请单的期限：</w:t>
      </w:r>
      <w:r>
        <w:rPr>
          <w:rFonts w:hint="eastAsia" w:ascii="宋体" w:hAnsi="宋体"/>
          <w:szCs w:val="21"/>
          <w:highlight w:val="none"/>
          <w:u w:val="single"/>
        </w:rPr>
        <w:t>按照通用条款第14.1条规定执行。</w:t>
      </w:r>
    </w:p>
    <w:p w14:paraId="179FB9E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u w:val="single"/>
        </w:rPr>
      </w:pPr>
      <w:r>
        <w:rPr>
          <w:rFonts w:hint="eastAsia" w:ascii="宋体" w:hAnsi="宋体"/>
          <w:szCs w:val="21"/>
          <w:highlight w:val="none"/>
        </w:rPr>
        <w:t>竣工结算申请单应包括的内容：</w:t>
      </w:r>
      <w:r>
        <w:rPr>
          <w:rFonts w:hint="eastAsia" w:ascii="宋体" w:hAnsi="宋体"/>
          <w:szCs w:val="21"/>
          <w:highlight w:val="none"/>
          <w:u w:val="single"/>
        </w:rPr>
        <w:t>按照通用条款第14.1条规定执行。</w:t>
      </w:r>
    </w:p>
    <w:p w14:paraId="332F34B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14.2 竣工结算审核</w:t>
      </w:r>
    </w:p>
    <w:p w14:paraId="33B351CF">
      <w:pPr>
        <w:keepNext w:val="0"/>
        <w:keepLines w:val="0"/>
        <w:pageBreakBefore w:val="0"/>
        <w:kinsoku/>
        <w:wordWrap/>
        <w:overflowPunct/>
        <w:topLinePunct w:val="0"/>
        <w:bidi w:val="0"/>
        <w:spacing w:line="360" w:lineRule="auto"/>
        <w:ind w:left="0" w:leftChars="0" w:right="0" w:firstLine="420" w:firstLineChars="200"/>
        <w:textAlignment w:val="auto"/>
        <w:rPr>
          <w:rFonts w:hint="eastAsia" w:ascii="宋体" w:hAnsi="宋体"/>
          <w:szCs w:val="21"/>
          <w:highlight w:val="none"/>
          <w:u w:val="single"/>
        </w:rPr>
      </w:pPr>
      <w:r>
        <w:rPr>
          <w:rFonts w:hint="eastAsia" w:ascii="宋体" w:hAnsi="宋体"/>
          <w:szCs w:val="21"/>
          <w:highlight w:val="none"/>
        </w:rPr>
        <w:t>发包人审批竣工付款申请单的期限：</w:t>
      </w:r>
      <w:r>
        <w:rPr>
          <w:rFonts w:hint="eastAsia" w:ascii="宋体" w:hAnsi="宋体"/>
          <w:szCs w:val="21"/>
          <w:highlight w:val="none"/>
          <w:u w:val="single"/>
        </w:rPr>
        <w:t>以发包人项目竣工结算审核实际进度时间为准。</w:t>
      </w:r>
    </w:p>
    <w:p w14:paraId="7C60C6E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u w:val="single"/>
        </w:rPr>
      </w:pPr>
      <w:r>
        <w:rPr>
          <w:rFonts w:hint="eastAsia" w:ascii="宋体" w:hAnsi="宋体"/>
          <w:color w:val="auto"/>
          <w:szCs w:val="21"/>
          <w:highlight w:val="none"/>
        </w:rPr>
        <w:t>发包人完成竣工付款的期限：</w:t>
      </w:r>
      <w:r>
        <w:rPr>
          <w:rFonts w:hint="eastAsia" w:ascii="宋体" w:hAnsi="宋体"/>
          <w:color w:val="auto"/>
          <w:szCs w:val="21"/>
          <w:highlight w:val="none"/>
          <w:u w:val="single"/>
        </w:rPr>
        <w:t>双方自行协商。</w:t>
      </w:r>
    </w:p>
    <w:p w14:paraId="0060A2E7">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u w:val="single"/>
        </w:rPr>
      </w:pPr>
      <w:r>
        <w:rPr>
          <w:rFonts w:hint="eastAsia" w:ascii="宋体" w:hAnsi="宋体"/>
          <w:color w:val="auto"/>
          <w:szCs w:val="21"/>
          <w:highlight w:val="none"/>
        </w:rPr>
        <w:t>关于竣工付款证书异议部分复核的方式和程序：</w:t>
      </w:r>
      <w:r>
        <w:rPr>
          <w:rFonts w:hint="eastAsia" w:ascii="宋体" w:hAnsi="宋体"/>
          <w:color w:val="auto"/>
          <w:szCs w:val="21"/>
          <w:highlight w:val="none"/>
          <w:u w:val="single"/>
        </w:rPr>
        <w:t>同合同协议书一致。</w:t>
      </w:r>
    </w:p>
    <w:p w14:paraId="7E29C14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14.3竣工结算审核</w:t>
      </w:r>
      <w:r>
        <w:rPr>
          <w:rFonts w:hint="eastAsia" w:ascii="宋体" w:hAnsi="宋体"/>
          <w:color w:val="auto"/>
          <w:szCs w:val="21"/>
          <w:highlight w:val="none"/>
        </w:rPr>
        <w:t>费用</w:t>
      </w:r>
    </w:p>
    <w:p w14:paraId="6B054245">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color w:val="auto"/>
          <w:szCs w:val="21"/>
          <w:highlight w:val="none"/>
          <w:u w:val="single"/>
        </w:rPr>
      </w:pPr>
      <w:r>
        <w:rPr>
          <w:rFonts w:hint="eastAsia" w:ascii="宋体" w:hAnsi="宋体"/>
          <w:color w:val="auto"/>
          <w:szCs w:val="21"/>
          <w:highlight w:val="none"/>
          <w:u w:val="single"/>
        </w:rPr>
        <w:t>工程</w:t>
      </w:r>
      <w:r>
        <w:rPr>
          <w:rFonts w:hint="eastAsia" w:ascii="宋体" w:hAnsi="宋体"/>
          <w:color w:val="auto"/>
          <w:szCs w:val="21"/>
          <w:highlight w:val="none"/>
          <w:u w:val="single"/>
          <w:lang w:eastAsia="zh-CN"/>
        </w:rPr>
        <w:t>结算审核</w:t>
      </w:r>
      <w:r>
        <w:rPr>
          <w:rFonts w:hint="eastAsia" w:ascii="宋体" w:hAnsi="宋体"/>
          <w:color w:val="auto"/>
          <w:szCs w:val="21"/>
          <w:highlight w:val="none"/>
          <w:u w:val="single"/>
        </w:rPr>
        <w:t>后，审减率在10%（含10%）以内的，审核费用由建设单位支付；审减率超过10%，全部审核费用由施工单位承担。</w:t>
      </w:r>
    </w:p>
    <w:p w14:paraId="48367B13">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14.4 最终结清</w:t>
      </w:r>
    </w:p>
    <w:p w14:paraId="05C83727">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14.4.1 最终结清申请单</w:t>
      </w:r>
    </w:p>
    <w:p w14:paraId="0F61EF94">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承包人提交最终结清申请单的份数：</w:t>
      </w:r>
      <w:r>
        <w:rPr>
          <w:rFonts w:hint="eastAsia" w:ascii="宋体" w:hAnsi="宋体"/>
          <w:color w:val="auto"/>
          <w:szCs w:val="21"/>
          <w:highlight w:val="none"/>
          <w:u w:val="single"/>
        </w:rPr>
        <w:t>按实际需要提供</w:t>
      </w:r>
      <w:r>
        <w:rPr>
          <w:rFonts w:ascii="宋体" w:hAnsi="宋体"/>
          <w:color w:val="auto"/>
          <w:szCs w:val="21"/>
          <w:highlight w:val="none"/>
        </w:rPr>
        <w:t>。</w:t>
      </w:r>
    </w:p>
    <w:p w14:paraId="5F4246EB">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color w:val="auto"/>
          <w:sz w:val="24"/>
          <w:szCs w:val="20"/>
          <w:highlight w:val="none"/>
        </w:rPr>
      </w:pPr>
      <w:r>
        <w:rPr>
          <w:rFonts w:ascii="宋体" w:hAnsi="宋体"/>
          <w:color w:val="auto"/>
          <w:szCs w:val="21"/>
          <w:highlight w:val="none"/>
        </w:rPr>
        <w:t>承包人提交最终结算申请单的期限：</w:t>
      </w:r>
      <w:r>
        <w:rPr>
          <w:rFonts w:hint="eastAsia" w:ascii="宋体" w:hAnsi="宋体"/>
          <w:color w:val="auto"/>
          <w:szCs w:val="21"/>
          <w:highlight w:val="none"/>
          <w:u w:val="single"/>
        </w:rPr>
        <w:t>双方自行协商</w:t>
      </w:r>
      <w:r>
        <w:rPr>
          <w:rFonts w:ascii="宋体" w:hAnsi="宋体"/>
          <w:color w:val="auto"/>
          <w:szCs w:val="21"/>
          <w:highlight w:val="none"/>
        </w:rPr>
        <w:t>。</w:t>
      </w:r>
    </w:p>
    <w:p w14:paraId="7632F0E3">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14.4.2 最终结清证书和支付</w:t>
      </w:r>
    </w:p>
    <w:p w14:paraId="05AA2E21">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（1）发包人完成最终结清申请单的</w:t>
      </w:r>
      <w:r>
        <w:rPr>
          <w:rFonts w:hint="eastAsia" w:ascii="宋体" w:hAnsi="宋体"/>
          <w:color w:val="auto"/>
          <w:szCs w:val="21"/>
          <w:highlight w:val="none"/>
        </w:rPr>
        <w:t>审批</w:t>
      </w:r>
      <w:r>
        <w:rPr>
          <w:rFonts w:ascii="宋体" w:hAnsi="宋体"/>
          <w:color w:val="auto"/>
          <w:szCs w:val="21"/>
          <w:highlight w:val="none"/>
        </w:rPr>
        <w:t>并颁发最终结清证书的期限：</w:t>
      </w:r>
      <w:r>
        <w:rPr>
          <w:rFonts w:hint="eastAsia" w:ascii="宋体" w:hAnsi="宋体"/>
          <w:color w:val="auto"/>
          <w:szCs w:val="21"/>
          <w:highlight w:val="none"/>
          <w:u w:val="single"/>
        </w:rPr>
        <w:t>双方自行协商</w:t>
      </w:r>
      <w:r>
        <w:rPr>
          <w:rFonts w:ascii="宋体" w:hAnsi="宋体"/>
          <w:color w:val="auto"/>
          <w:szCs w:val="21"/>
          <w:highlight w:val="none"/>
        </w:rPr>
        <w:t>。</w:t>
      </w:r>
    </w:p>
    <w:p w14:paraId="64DC17C7">
      <w:pPr>
        <w:keepNext w:val="0"/>
        <w:keepLines w:val="0"/>
        <w:pageBreakBefore w:val="0"/>
        <w:widowControl w:val="0"/>
        <w:kinsoku/>
        <w:wordWrap/>
        <w:overflowPunct/>
        <w:topLinePunct w:val="0"/>
        <w:autoSpaceDE/>
        <w:autoSpaceDN/>
        <w:bidi w:val="0"/>
        <w:adjustRightInd/>
        <w:snapToGrid/>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（2）发包人完成支付的期限：</w:t>
      </w:r>
      <w:r>
        <w:rPr>
          <w:rFonts w:hint="eastAsia" w:ascii="宋体" w:hAnsi="宋体"/>
          <w:color w:val="auto"/>
          <w:szCs w:val="21"/>
          <w:highlight w:val="none"/>
          <w:u w:val="single"/>
        </w:rPr>
        <w:t>双方自行协商</w:t>
      </w:r>
      <w:r>
        <w:rPr>
          <w:rFonts w:ascii="宋体" w:hAnsi="宋体"/>
          <w:color w:val="auto"/>
          <w:szCs w:val="21"/>
          <w:highlight w:val="none"/>
        </w:rPr>
        <w:t>。</w:t>
      </w:r>
    </w:p>
    <w:p w14:paraId="26EB743A">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color w:val="auto"/>
          <w:szCs w:val="21"/>
          <w:highlight w:val="none"/>
        </w:rPr>
      </w:pPr>
      <w:r>
        <w:rPr>
          <w:rFonts w:ascii="宋体" w:hAnsi="宋体"/>
          <w:b/>
          <w:color w:val="auto"/>
          <w:szCs w:val="21"/>
          <w:highlight w:val="none"/>
        </w:rPr>
        <w:t>15. 缺陷责任期与保修</w:t>
      </w:r>
    </w:p>
    <w:p w14:paraId="0848950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15.2缺陷责任期</w:t>
      </w:r>
    </w:p>
    <w:p w14:paraId="3A7D2E7D">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b/>
          <w:bCs/>
          <w:color w:val="auto"/>
          <w:szCs w:val="21"/>
          <w:highlight w:val="none"/>
        </w:rPr>
      </w:pPr>
      <w:r>
        <w:rPr>
          <w:rFonts w:ascii="宋体" w:hAnsi="宋体"/>
          <w:color w:val="auto"/>
          <w:szCs w:val="21"/>
          <w:highlight w:val="none"/>
        </w:rPr>
        <w:t>缺陷责任期的具体期限：</w:t>
      </w:r>
      <w:r>
        <w:rPr>
          <w:rFonts w:hint="eastAsia" w:ascii="宋体" w:hAnsi="宋体"/>
          <w:b/>
          <w:bCs/>
          <w:color w:val="auto"/>
          <w:szCs w:val="21"/>
          <w:highlight w:val="none"/>
        </w:rPr>
        <w:t>工程缺陷责任期为</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rPr>
        <w:t>个月，缺陷责任期自工程通过竣工验收之日起计算</w:t>
      </w:r>
      <w:r>
        <w:rPr>
          <w:rFonts w:ascii="宋体" w:hAnsi="宋体"/>
          <w:b/>
          <w:bCs/>
          <w:color w:val="auto"/>
          <w:szCs w:val="21"/>
          <w:highlight w:val="none"/>
        </w:rPr>
        <w:t>。</w:t>
      </w:r>
    </w:p>
    <w:p w14:paraId="32503C1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15.3 质量保证金</w:t>
      </w:r>
    </w:p>
    <w:p w14:paraId="1CC4DF5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hint="eastAsia" w:ascii="宋体" w:hAnsi="宋体"/>
          <w:color w:val="auto"/>
          <w:szCs w:val="21"/>
          <w:highlight w:val="none"/>
        </w:rPr>
        <w:t>关于是否扣留质量保证金的约定：</w:t>
      </w:r>
      <w:r>
        <w:rPr>
          <w:rFonts w:hint="eastAsia" w:ascii="宋体" w:hAnsi="宋体"/>
          <w:color w:val="auto"/>
          <w:szCs w:val="21"/>
          <w:highlight w:val="none"/>
          <w:u w:val="single"/>
          <w:lang w:val="en-US" w:eastAsia="zh-CN"/>
        </w:rPr>
        <w:t xml:space="preserve">   3% </w:t>
      </w:r>
      <w:r>
        <w:rPr>
          <w:rFonts w:hint="eastAsia"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在工程项目竣工前，承包人按专用合同条款第3.7条提供履约担保的，发包人不得同时预留工程质量保证金。</w:t>
      </w:r>
    </w:p>
    <w:p w14:paraId="1C14991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 xml:space="preserve">15.3.1 </w:t>
      </w:r>
      <w:r>
        <w:rPr>
          <w:rFonts w:hint="eastAsia" w:ascii="宋体" w:hAnsi="宋体"/>
          <w:color w:val="auto"/>
          <w:szCs w:val="21"/>
          <w:highlight w:val="none"/>
        </w:rPr>
        <w:t>承包人提供</w:t>
      </w:r>
      <w:r>
        <w:rPr>
          <w:rFonts w:ascii="宋体" w:hAnsi="宋体"/>
          <w:color w:val="auto"/>
          <w:szCs w:val="21"/>
          <w:highlight w:val="none"/>
        </w:rPr>
        <w:t>质量保证金的</w:t>
      </w:r>
      <w:r>
        <w:rPr>
          <w:rFonts w:hint="eastAsia" w:ascii="宋体" w:hAnsi="宋体"/>
          <w:color w:val="auto"/>
          <w:szCs w:val="21"/>
          <w:highlight w:val="none"/>
        </w:rPr>
        <w:t>方</w:t>
      </w:r>
      <w:r>
        <w:rPr>
          <w:rFonts w:ascii="宋体" w:hAnsi="宋体"/>
          <w:color w:val="auto"/>
          <w:szCs w:val="21"/>
          <w:highlight w:val="none"/>
        </w:rPr>
        <w:t>式</w:t>
      </w:r>
    </w:p>
    <w:p w14:paraId="3BC9368F">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质量保证金采用以下第</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ascii="宋体" w:hAnsi="宋体"/>
          <w:color w:val="auto"/>
          <w:szCs w:val="21"/>
          <w:highlight w:val="none"/>
        </w:rPr>
        <w:t>种方式：</w:t>
      </w:r>
    </w:p>
    <w:p w14:paraId="125817CF">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（1）质量保证金保函，保证金额为：</w:t>
      </w:r>
      <w:r>
        <w:rPr>
          <w:rFonts w:hint="eastAsia" w:ascii="宋体" w:hAnsi="宋体"/>
          <w:color w:val="auto"/>
          <w:szCs w:val="21"/>
          <w:highlight w:val="none"/>
          <w:u w:val="single"/>
          <w:lang w:val="en-US" w:eastAsia="zh-CN"/>
        </w:rPr>
        <w:t>/</w:t>
      </w:r>
      <w:r>
        <w:rPr>
          <w:rFonts w:ascii="宋体" w:hAnsi="宋体"/>
          <w:color w:val="auto"/>
          <w:kern w:val="0"/>
          <w:szCs w:val="21"/>
          <w:highlight w:val="none"/>
        </w:rPr>
        <w:t xml:space="preserve">； </w:t>
      </w:r>
    </w:p>
    <w:p w14:paraId="232C7C39">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（2）</w:t>
      </w:r>
      <w:r>
        <w:rPr>
          <w:rFonts w:hint="eastAsia" w:ascii="宋体" w:hAnsi="宋体"/>
          <w:color w:val="auto"/>
          <w:kern w:val="0"/>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ascii="宋体" w:hAnsi="宋体"/>
          <w:color w:val="auto"/>
          <w:kern w:val="0"/>
          <w:szCs w:val="21"/>
          <w:highlight w:val="none"/>
        </w:rPr>
        <w:t>的工程款；</w:t>
      </w:r>
    </w:p>
    <w:p w14:paraId="50957C26">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（3）其他</w:t>
      </w:r>
      <w:r>
        <w:rPr>
          <w:rFonts w:hint="eastAsia" w:ascii="宋体" w:hAnsi="宋体"/>
          <w:color w:val="auto"/>
          <w:kern w:val="0"/>
          <w:szCs w:val="21"/>
          <w:highlight w:val="none"/>
        </w:rPr>
        <w:t>方</w:t>
      </w:r>
      <w:r>
        <w:rPr>
          <w:rFonts w:ascii="宋体" w:hAnsi="宋体"/>
          <w:color w:val="auto"/>
          <w:kern w:val="0"/>
          <w:szCs w:val="21"/>
          <w:highlight w:val="none"/>
        </w:rPr>
        <w:t>式:</w:t>
      </w:r>
      <w:r>
        <w:rPr>
          <w:rFonts w:hint="eastAsia" w:ascii="宋体" w:hAnsi="宋体"/>
          <w:color w:val="auto"/>
          <w:kern w:val="0"/>
          <w:szCs w:val="21"/>
          <w:highlight w:val="none"/>
          <w:u w:val="single"/>
        </w:rPr>
        <w:t xml:space="preserve">     /                  </w:t>
      </w:r>
      <w:r>
        <w:rPr>
          <w:rFonts w:ascii="宋体" w:hAnsi="宋体"/>
          <w:color w:val="auto"/>
          <w:kern w:val="0"/>
          <w:szCs w:val="21"/>
          <w:highlight w:val="none"/>
        </w:rPr>
        <w:t>。</w:t>
      </w:r>
    </w:p>
    <w:p w14:paraId="11319B8F">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15.3.2 质量保证金的</w:t>
      </w:r>
      <w:r>
        <w:rPr>
          <w:rFonts w:hint="eastAsia" w:ascii="宋体" w:hAnsi="宋体"/>
          <w:color w:val="auto"/>
          <w:szCs w:val="21"/>
          <w:highlight w:val="none"/>
          <w:lang w:val="en-US" w:eastAsia="zh-CN"/>
        </w:rPr>
        <w:t>缴纳方式</w:t>
      </w:r>
      <w:r>
        <w:rPr>
          <w:rFonts w:ascii="宋体" w:hAnsi="宋体"/>
          <w:color w:val="auto"/>
          <w:szCs w:val="21"/>
          <w:highlight w:val="none"/>
        </w:rPr>
        <w:t xml:space="preserve"> </w:t>
      </w:r>
    </w:p>
    <w:p w14:paraId="37B3430A">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质量保证金的</w:t>
      </w:r>
      <w:r>
        <w:rPr>
          <w:rFonts w:hint="eastAsia" w:ascii="宋体" w:hAnsi="宋体"/>
          <w:color w:val="auto"/>
          <w:szCs w:val="21"/>
          <w:highlight w:val="none"/>
          <w:lang w:val="en-US" w:eastAsia="zh-CN"/>
        </w:rPr>
        <w:t>缴纳</w:t>
      </w:r>
      <w:r>
        <w:rPr>
          <w:rFonts w:ascii="宋体" w:hAnsi="宋体"/>
          <w:color w:val="auto"/>
          <w:szCs w:val="21"/>
          <w:highlight w:val="none"/>
        </w:rPr>
        <w:t>采取以下第</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hint="eastAsia" w:ascii="宋体" w:hAnsi="宋体"/>
          <w:color w:val="auto"/>
          <w:szCs w:val="21"/>
          <w:highlight w:val="none"/>
          <w:u w:val="single"/>
        </w:rPr>
        <w:t xml:space="preserve"> </w:t>
      </w:r>
      <w:r>
        <w:rPr>
          <w:rFonts w:ascii="宋体" w:hAnsi="宋体"/>
          <w:color w:val="auto"/>
          <w:szCs w:val="21"/>
          <w:highlight w:val="none"/>
        </w:rPr>
        <w:t>种方式：</w:t>
      </w:r>
    </w:p>
    <w:p w14:paraId="52C0FCC6">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（1）在支付工程进度款时逐次扣留，在此情形下，质量保证金的计算基数不包括预付款的支付、扣回以及价格调整的金额；</w:t>
      </w:r>
    </w:p>
    <w:p w14:paraId="57E5BADF">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（2）工程竣工结算时一次性扣留质量保证金；</w:t>
      </w:r>
    </w:p>
    <w:p w14:paraId="1E6462E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20" w:firstLineChars="200"/>
        <w:textAlignment w:val="auto"/>
        <w:rPr>
          <w:rFonts w:ascii="宋体" w:hAnsi="宋体"/>
          <w:color w:val="auto"/>
          <w:szCs w:val="21"/>
          <w:highlight w:val="none"/>
        </w:rPr>
      </w:pPr>
      <w:r>
        <w:rPr>
          <w:rFonts w:ascii="宋体" w:hAnsi="宋体"/>
          <w:color w:val="auto"/>
          <w:kern w:val="0"/>
          <w:szCs w:val="21"/>
          <w:highlight w:val="none"/>
        </w:rPr>
        <w:t>（3）其他</w:t>
      </w:r>
      <w:r>
        <w:rPr>
          <w:rFonts w:hint="eastAsia" w:ascii="宋体" w:hAnsi="宋体"/>
          <w:color w:val="auto"/>
          <w:kern w:val="0"/>
          <w:szCs w:val="21"/>
          <w:highlight w:val="none"/>
          <w:lang w:val="en-US" w:eastAsia="zh-CN"/>
        </w:rPr>
        <w:t>缴纳</w:t>
      </w:r>
      <w:r>
        <w:rPr>
          <w:rFonts w:ascii="宋体" w:hAnsi="宋体"/>
          <w:color w:val="auto"/>
          <w:kern w:val="0"/>
          <w:szCs w:val="21"/>
          <w:highlight w:val="none"/>
        </w:rPr>
        <w:t>方式:</w:t>
      </w:r>
      <w:r>
        <w:rPr>
          <w:rFonts w:hint="eastAsia" w:ascii="宋体" w:hAnsi="宋体"/>
          <w:color w:val="auto"/>
          <w:szCs w:val="21"/>
          <w:highlight w:val="none"/>
          <w:lang w:val="en-US" w:eastAsia="zh-CN"/>
        </w:rPr>
        <w:t>/</w:t>
      </w:r>
      <w:r>
        <w:rPr>
          <w:rFonts w:ascii="宋体" w:hAnsi="宋体"/>
          <w:color w:val="auto"/>
          <w:kern w:val="0"/>
          <w:szCs w:val="21"/>
          <w:highlight w:val="none"/>
        </w:rPr>
        <w:t>。</w:t>
      </w:r>
    </w:p>
    <w:p w14:paraId="4E910894">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szCs w:val="21"/>
          <w:highlight w:val="none"/>
        </w:rPr>
        <w:t>15.4保修</w:t>
      </w:r>
    </w:p>
    <w:p w14:paraId="5170046E">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15.4.1 保修责任</w:t>
      </w:r>
    </w:p>
    <w:p w14:paraId="25D8CC0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kern w:val="0"/>
          <w:szCs w:val="21"/>
          <w:highlight w:val="none"/>
        </w:rPr>
      </w:pPr>
      <w:r>
        <w:rPr>
          <w:rFonts w:ascii="宋体" w:hAnsi="宋体"/>
          <w:color w:val="auto"/>
          <w:szCs w:val="21"/>
          <w:highlight w:val="none"/>
        </w:rPr>
        <w:t>工程保修期为</w:t>
      </w:r>
      <w:r>
        <w:rPr>
          <w:rFonts w:hint="eastAsia" w:ascii="宋体" w:hAnsi="宋体"/>
          <w:color w:val="auto"/>
          <w:szCs w:val="21"/>
          <w:highlight w:val="none"/>
        </w:rPr>
        <w:t>:</w:t>
      </w:r>
      <w:r>
        <w:rPr>
          <w:rFonts w:hint="eastAsia" w:ascii="宋体" w:hAnsi="宋体"/>
          <w:color w:val="auto"/>
          <w:szCs w:val="21"/>
          <w:highlight w:val="none"/>
          <w:u w:val="single"/>
          <w:lang w:val="en-US" w:eastAsia="zh-CN"/>
        </w:rPr>
        <w:t xml:space="preserve">         </w:t>
      </w:r>
      <w:r>
        <w:rPr>
          <w:rFonts w:ascii="宋体" w:hAnsi="宋体"/>
          <w:color w:val="auto"/>
          <w:kern w:val="0"/>
          <w:szCs w:val="21"/>
          <w:highlight w:val="none"/>
        </w:rPr>
        <w:t>。</w:t>
      </w:r>
    </w:p>
    <w:p w14:paraId="79F87901">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color w:val="auto"/>
          <w:szCs w:val="21"/>
          <w:highlight w:val="none"/>
        </w:rPr>
      </w:pPr>
      <w:r>
        <w:rPr>
          <w:rFonts w:ascii="宋体" w:hAnsi="宋体"/>
          <w:color w:val="auto"/>
          <w:szCs w:val="21"/>
          <w:highlight w:val="none"/>
        </w:rPr>
        <w:t>15.4.3 修复通知</w:t>
      </w:r>
    </w:p>
    <w:p w14:paraId="7924CD8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color w:val="auto"/>
          <w:szCs w:val="21"/>
          <w:highlight w:val="none"/>
        </w:rPr>
      </w:pPr>
      <w:r>
        <w:rPr>
          <w:rFonts w:ascii="宋体" w:hAnsi="宋体"/>
          <w:color w:val="auto"/>
          <w:kern w:val="0"/>
          <w:szCs w:val="21"/>
          <w:highlight w:val="none"/>
        </w:rPr>
        <w:t>承包人收到保修通知并到达工程现场的合理时间：</w:t>
      </w:r>
      <w:r>
        <w:rPr>
          <w:rFonts w:hint="eastAsia" w:ascii="宋体" w:hAnsi="宋体"/>
          <w:color w:val="auto"/>
          <w:szCs w:val="21"/>
          <w:highlight w:val="none"/>
          <w:u w:val="single"/>
        </w:rPr>
        <w:t>承包人应在接到保修通知之日起7天内派人保修</w:t>
      </w:r>
      <w:r>
        <w:rPr>
          <w:rFonts w:ascii="宋体" w:hAnsi="宋体"/>
          <w:color w:val="auto"/>
          <w:szCs w:val="21"/>
          <w:highlight w:val="none"/>
        </w:rPr>
        <w:t>。</w:t>
      </w:r>
    </w:p>
    <w:p w14:paraId="37BFE405">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color w:val="auto"/>
          <w:szCs w:val="21"/>
          <w:highlight w:val="none"/>
        </w:rPr>
      </w:pPr>
      <w:r>
        <w:rPr>
          <w:rFonts w:ascii="宋体" w:hAnsi="宋体"/>
          <w:b/>
          <w:color w:val="auto"/>
          <w:szCs w:val="21"/>
          <w:highlight w:val="none"/>
        </w:rPr>
        <w:t>16. 违约</w:t>
      </w:r>
    </w:p>
    <w:p w14:paraId="0EBB1A1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16.1 发包人违约</w:t>
      </w:r>
    </w:p>
    <w:p w14:paraId="4458E5C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16.1.1发包人违约的情形</w:t>
      </w:r>
    </w:p>
    <w:p w14:paraId="0C0BDC2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发包人违约的其他情形：</w:t>
      </w:r>
      <w:r>
        <w:rPr>
          <w:rFonts w:hint="eastAsia" w:ascii="宋体" w:hAnsi="宋体"/>
          <w:szCs w:val="21"/>
          <w:highlight w:val="none"/>
          <w:u w:val="single"/>
        </w:rPr>
        <w:t xml:space="preserve">  /  </w:t>
      </w:r>
      <w:r>
        <w:rPr>
          <w:rFonts w:hint="eastAsia" w:ascii="宋体" w:hAnsi="宋体"/>
          <w:szCs w:val="21"/>
          <w:highlight w:val="none"/>
        </w:rPr>
        <w:t>。</w:t>
      </w:r>
    </w:p>
    <w:p w14:paraId="4B0EBD71">
      <w:pPr>
        <w:keepNext w:val="0"/>
        <w:keepLines w:val="0"/>
        <w:pageBreakBefore w:val="0"/>
        <w:tabs>
          <w:tab w:val="left" w:pos="8119"/>
        </w:tabs>
        <w:kinsoku/>
        <w:wordWrap/>
        <w:overflowPunct/>
        <w:topLinePunct w:val="0"/>
        <w:bidi w:val="0"/>
        <w:spacing w:line="360" w:lineRule="auto"/>
        <w:ind w:left="0" w:leftChars="0" w:right="0" w:firstLine="420" w:firstLineChars="200"/>
        <w:textAlignment w:val="auto"/>
        <w:rPr>
          <w:rFonts w:hint="eastAsia" w:ascii="宋体" w:hAnsi="宋体" w:eastAsia="宋体"/>
          <w:szCs w:val="21"/>
          <w:highlight w:val="none"/>
          <w:lang w:eastAsia="zh-CN"/>
        </w:rPr>
      </w:pPr>
      <w:r>
        <w:rPr>
          <w:rFonts w:ascii="宋体" w:hAnsi="宋体"/>
          <w:kern w:val="0"/>
          <w:szCs w:val="21"/>
          <w:highlight w:val="none"/>
        </w:rPr>
        <w:t>16.1.2 发包人违约</w:t>
      </w:r>
      <w:r>
        <w:rPr>
          <w:rFonts w:ascii="宋体" w:hAnsi="宋体"/>
          <w:szCs w:val="21"/>
          <w:highlight w:val="none"/>
        </w:rPr>
        <w:t>责任的承担方式和计算方法：</w:t>
      </w:r>
      <w:r>
        <w:rPr>
          <w:rFonts w:hint="eastAsia" w:ascii="宋体" w:hAnsi="宋体"/>
          <w:szCs w:val="21"/>
          <w:highlight w:val="none"/>
          <w:lang w:eastAsia="zh-CN"/>
        </w:rPr>
        <w:tab/>
      </w:r>
    </w:p>
    <w:p w14:paraId="1549CE0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（1）因发包人原因未能在计划开工日期前7天内下达开工通知的违约责任：</w:t>
      </w:r>
      <w:r>
        <w:rPr>
          <w:rFonts w:hint="eastAsia" w:ascii="宋体" w:hAnsi="宋体"/>
          <w:szCs w:val="21"/>
          <w:highlight w:val="none"/>
          <w:u w:val="single"/>
        </w:rPr>
        <w:t xml:space="preserve">   / </w:t>
      </w:r>
      <w:r>
        <w:rPr>
          <w:rFonts w:hint="eastAsia" w:ascii="宋体" w:hAnsi="宋体"/>
          <w:kern w:val="0"/>
          <w:szCs w:val="21"/>
          <w:highlight w:val="none"/>
          <w:u w:val="single"/>
        </w:rPr>
        <w:t xml:space="preserve"> </w:t>
      </w:r>
      <w:r>
        <w:rPr>
          <w:rFonts w:ascii="宋体" w:hAnsi="宋体"/>
          <w:szCs w:val="21"/>
          <w:highlight w:val="none"/>
        </w:rPr>
        <w:t>。</w:t>
      </w:r>
    </w:p>
    <w:p w14:paraId="1B272E8D">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（2）因发包人原因未能按合同约定支付合同价款的违约责任：</w:t>
      </w:r>
      <w:r>
        <w:rPr>
          <w:rFonts w:hint="eastAsia" w:ascii="宋体" w:hAnsi="宋体"/>
          <w:szCs w:val="21"/>
          <w:highlight w:val="none"/>
          <w:u w:val="single"/>
        </w:rPr>
        <w:t xml:space="preserve">   / </w:t>
      </w:r>
      <w:r>
        <w:rPr>
          <w:rFonts w:hint="eastAsia" w:ascii="宋体" w:hAnsi="宋体"/>
          <w:kern w:val="0"/>
          <w:szCs w:val="21"/>
          <w:highlight w:val="none"/>
          <w:u w:val="single"/>
        </w:rPr>
        <w:t xml:space="preserve"> </w:t>
      </w:r>
      <w:r>
        <w:rPr>
          <w:rFonts w:ascii="宋体" w:hAnsi="宋体"/>
          <w:szCs w:val="21"/>
          <w:highlight w:val="none"/>
        </w:rPr>
        <w:t>。</w:t>
      </w:r>
    </w:p>
    <w:p w14:paraId="4B6A59C1">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（3）发包人违反第10.1款</w:t>
      </w:r>
      <w:r>
        <w:rPr>
          <w:rFonts w:hint="eastAsia" w:ascii="宋体" w:hAnsi="宋体"/>
          <w:szCs w:val="21"/>
          <w:highlight w:val="none"/>
        </w:rPr>
        <w:t>〔</w:t>
      </w:r>
      <w:r>
        <w:rPr>
          <w:rFonts w:ascii="宋体" w:hAnsi="宋体"/>
          <w:szCs w:val="21"/>
          <w:highlight w:val="none"/>
        </w:rPr>
        <w:t>变更的范围</w:t>
      </w:r>
      <w:r>
        <w:rPr>
          <w:rFonts w:hint="eastAsia" w:ascii="宋体" w:hAnsi="宋体"/>
          <w:szCs w:val="21"/>
          <w:highlight w:val="none"/>
        </w:rPr>
        <w:t>〕</w:t>
      </w:r>
      <w:r>
        <w:rPr>
          <w:rFonts w:ascii="宋体" w:hAnsi="宋体"/>
          <w:szCs w:val="21"/>
          <w:highlight w:val="none"/>
        </w:rPr>
        <w:t>第（2）项约定，自行实施被取消的工作或转由他人实施的违约责任：</w:t>
      </w:r>
      <w:r>
        <w:rPr>
          <w:rFonts w:hint="eastAsia" w:ascii="宋体" w:hAnsi="宋体"/>
          <w:szCs w:val="21"/>
          <w:highlight w:val="none"/>
          <w:u w:val="single"/>
        </w:rPr>
        <w:t xml:space="preserve">   / </w:t>
      </w:r>
      <w:r>
        <w:rPr>
          <w:rFonts w:hint="eastAsia" w:ascii="宋体" w:hAnsi="宋体"/>
          <w:kern w:val="0"/>
          <w:szCs w:val="21"/>
          <w:highlight w:val="none"/>
          <w:u w:val="single"/>
        </w:rPr>
        <w:t xml:space="preserve"> </w:t>
      </w:r>
      <w:r>
        <w:rPr>
          <w:rFonts w:ascii="宋体" w:hAnsi="宋体"/>
          <w:szCs w:val="21"/>
          <w:highlight w:val="none"/>
        </w:rPr>
        <w:t>。</w:t>
      </w:r>
    </w:p>
    <w:p w14:paraId="3785030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（4）发包人提供的材料、工程设备的规格、数量或质量不符合合同约定，或因发包人原因导致交货日期延误或交货地点变更等情况的违约责任：</w:t>
      </w:r>
      <w:r>
        <w:rPr>
          <w:rFonts w:hint="eastAsia" w:ascii="宋体" w:hAnsi="宋体"/>
          <w:szCs w:val="21"/>
          <w:highlight w:val="none"/>
          <w:u w:val="single"/>
        </w:rPr>
        <w:t>按照通用条款第16.1.2条规定执行</w:t>
      </w:r>
      <w:r>
        <w:rPr>
          <w:rFonts w:ascii="宋体" w:hAnsi="宋体"/>
          <w:szCs w:val="21"/>
          <w:highlight w:val="none"/>
        </w:rPr>
        <w:t>。</w:t>
      </w:r>
    </w:p>
    <w:p w14:paraId="245B1E99">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（5）因发包人违反合同约定造成暂停施工的违约责任：</w:t>
      </w:r>
      <w:r>
        <w:rPr>
          <w:rFonts w:hint="eastAsia" w:ascii="宋体" w:hAnsi="宋体"/>
          <w:szCs w:val="21"/>
          <w:highlight w:val="none"/>
          <w:u w:val="single"/>
        </w:rPr>
        <w:t>按照通用条款第16.1.2条规定执行</w:t>
      </w:r>
      <w:r>
        <w:rPr>
          <w:rFonts w:ascii="宋体" w:hAnsi="宋体"/>
          <w:szCs w:val="21"/>
          <w:highlight w:val="none"/>
        </w:rPr>
        <w:t>。</w:t>
      </w:r>
    </w:p>
    <w:p w14:paraId="6AB6AEE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（6）发包人无正当理由没有在约定期限内发出复工指示，导致承包人无法复工的违约责任：</w:t>
      </w:r>
      <w:r>
        <w:rPr>
          <w:rFonts w:hint="eastAsia" w:ascii="宋体" w:hAnsi="宋体"/>
          <w:szCs w:val="21"/>
          <w:highlight w:val="none"/>
          <w:u w:val="single"/>
        </w:rPr>
        <w:t>按照通用条款第16.1.2条规定执行</w:t>
      </w:r>
      <w:r>
        <w:rPr>
          <w:rFonts w:ascii="宋体" w:hAnsi="宋体"/>
          <w:szCs w:val="21"/>
          <w:highlight w:val="none"/>
        </w:rPr>
        <w:t>。</w:t>
      </w:r>
    </w:p>
    <w:p w14:paraId="5170A275">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szCs w:val="21"/>
          <w:highlight w:val="none"/>
        </w:rPr>
        <w:t>（7）</w:t>
      </w:r>
      <w:r>
        <w:rPr>
          <w:rFonts w:hint="eastAsia" w:ascii="宋体" w:hAnsi="宋体"/>
          <w:szCs w:val="21"/>
          <w:highlight w:val="none"/>
        </w:rPr>
        <w:t>其他：</w:t>
      </w:r>
      <w:r>
        <w:rPr>
          <w:rFonts w:hint="eastAsia" w:ascii="宋体" w:hAnsi="宋体"/>
          <w:szCs w:val="21"/>
          <w:highlight w:val="none"/>
          <w:u w:val="single"/>
        </w:rPr>
        <w:t xml:space="preserve">  /</w:t>
      </w:r>
      <w:r>
        <w:rPr>
          <w:rFonts w:hint="eastAsia" w:ascii="宋体" w:hAnsi="宋体"/>
          <w:b/>
          <w:szCs w:val="21"/>
          <w:highlight w:val="none"/>
          <w:u w:val="single"/>
        </w:rPr>
        <w:t xml:space="preserve"> </w:t>
      </w:r>
      <w:r>
        <w:rPr>
          <w:rFonts w:ascii="宋体" w:hAnsi="宋体"/>
          <w:szCs w:val="21"/>
          <w:highlight w:val="none"/>
        </w:rPr>
        <w:t>。</w:t>
      </w:r>
    </w:p>
    <w:p w14:paraId="62F4D9B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16.1.3 因发包人违约解除合同</w:t>
      </w:r>
    </w:p>
    <w:p w14:paraId="2D9D54A3">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承包人按16.1.1项</w:t>
      </w:r>
      <w:r>
        <w:rPr>
          <w:rFonts w:hint="eastAsia" w:ascii="宋体" w:hAnsi="宋体"/>
          <w:kern w:val="0"/>
          <w:szCs w:val="21"/>
          <w:highlight w:val="none"/>
        </w:rPr>
        <w:t>〔</w:t>
      </w:r>
      <w:r>
        <w:rPr>
          <w:rFonts w:ascii="宋体" w:hAnsi="宋体"/>
          <w:kern w:val="0"/>
          <w:szCs w:val="21"/>
          <w:highlight w:val="none"/>
        </w:rPr>
        <w:t>发包人违约的情形</w:t>
      </w:r>
      <w:r>
        <w:rPr>
          <w:rFonts w:hint="eastAsia" w:ascii="宋体" w:hAnsi="宋体"/>
          <w:kern w:val="0"/>
          <w:szCs w:val="21"/>
          <w:highlight w:val="none"/>
        </w:rPr>
        <w:t>〕</w:t>
      </w:r>
      <w:r>
        <w:rPr>
          <w:rFonts w:ascii="宋体" w:hAnsi="宋体"/>
          <w:kern w:val="0"/>
          <w:szCs w:val="21"/>
          <w:highlight w:val="none"/>
        </w:rPr>
        <w:t>约定暂停施工满</w:t>
      </w:r>
      <w:r>
        <w:rPr>
          <w:rFonts w:hint="eastAsia" w:ascii="宋体" w:hAnsi="宋体"/>
          <w:kern w:val="0"/>
          <w:szCs w:val="21"/>
          <w:highlight w:val="none"/>
          <w:u w:val="single"/>
        </w:rPr>
        <w:t>90</w:t>
      </w:r>
      <w:r>
        <w:rPr>
          <w:rFonts w:ascii="宋体" w:hAnsi="宋体"/>
          <w:kern w:val="0"/>
          <w:szCs w:val="21"/>
          <w:highlight w:val="none"/>
        </w:rPr>
        <w:t>天后发包人仍不纠正其违约行为并致使合同目的不能实现的，承包人有权解除合同。</w:t>
      </w:r>
    </w:p>
    <w:p w14:paraId="55C1C09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16.2 承包人违约</w:t>
      </w:r>
    </w:p>
    <w:p w14:paraId="2849EC5E">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16.2.1 承包人违约的情形</w:t>
      </w:r>
    </w:p>
    <w:p w14:paraId="3FD253D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承包人违约的其他情形：</w:t>
      </w:r>
      <w:r>
        <w:rPr>
          <w:rFonts w:hint="eastAsia" w:ascii="宋体" w:hAnsi="宋体"/>
          <w:kern w:val="0"/>
          <w:szCs w:val="21"/>
          <w:highlight w:val="none"/>
          <w:u w:val="single"/>
        </w:rPr>
        <w:t>按照通用条款第16.2.1条规定执行</w:t>
      </w:r>
      <w:r>
        <w:rPr>
          <w:rFonts w:ascii="宋体" w:hAnsi="宋体"/>
          <w:kern w:val="0"/>
          <w:szCs w:val="21"/>
          <w:highlight w:val="none"/>
        </w:rPr>
        <w:t>。</w:t>
      </w:r>
    </w:p>
    <w:p w14:paraId="1EC54F54">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16.2.2承包人违约的责任</w:t>
      </w:r>
    </w:p>
    <w:p w14:paraId="509FF836">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u w:val="single"/>
        </w:rPr>
      </w:pPr>
      <w:r>
        <w:rPr>
          <w:rFonts w:ascii="宋体" w:hAnsi="宋体"/>
          <w:kern w:val="0"/>
          <w:szCs w:val="21"/>
          <w:highlight w:val="none"/>
        </w:rPr>
        <w:t>承包人违约责任的承担方式和计算方法：</w:t>
      </w:r>
      <w:r>
        <w:rPr>
          <w:rFonts w:hint="eastAsia" w:ascii="宋体" w:hAnsi="宋体"/>
          <w:kern w:val="0"/>
          <w:szCs w:val="21"/>
          <w:highlight w:val="none"/>
          <w:u w:val="single"/>
        </w:rPr>
        <w:t>按照通用条款第16.2.2条规定执行</w:t>
      </w:r>
      <w:r>
        <w:rPr>
          <w:rFonts w:ascii="宋体" w:hAnsi="宋体"/>
          <w:kern w:val="0"/>
          <w:szCs w:val="21"/>
          <w:highlight w:val="none"/>
        </w:rPr>
        <w:t>。</w:t>
      </w:r>
    </w:p>
    <w:p w14:paraId="31D9349B">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16.2.3 因承包人违约解除合同</w:t>
      </w:r>
    </w:p>
    <w:p w14:paraId="06F73FD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关于承包人违约解除合同的特别约定：</w:t>
      </w:r>
      <w:r>
        <w:rPr>
          <w:rFonts w:hint="eastAsia" w:ascii="宋体" w:hAnsi="宋体"/>
          <w:szCs w:val="21"/>
          <w:highlight w:val="none"/>
          <w:u w:val="single"/>
        </w:rPr>
        <w:t xml:space="preserve">  / </w:t>
      </w:r>
      <w:r>
        <w:rPr>
          <w:rFonts w:hint="eastAsia" w:ascii="宋体" w:hAnsi="宋体"/>
          <w:szCs w:val="21"/>
          <w:highlight w:val="none"/>
        </w:rPr>
        <w:t>。</w:t>
      </w:r>
    </w:p>
    <w:p w14:paraId="01B95870">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kern w:val="0"/>
          <w:szCs w:val="21"/>
          <w:highlight w:val="none"/>
        </w:rPr>
      </w:pPr>
      <w:r>
        <w:rPr>
          <w:rFonts w:ascii="宋体" w:hAnsi="宋体"/>
          <w:kern w:val="0"/>
          <w:szCs w:val="21"/>
          <w:highlight w:val="none"/>
        </w:rPr>
        <w:t>发包人</w:t>
      </w:r>
      <w:r>
        <w:rPr>
          <w:rFonts w:hint="eastAsia" w:ascii="宋体" w:hAnsi="宋体"/>
          <w:kern w:val="0"/>
          <w:szCs w:val="21"/>
          <w:highlight w:val="none"/>
        </w:rPr>
        <w:t>继续</w:t>
      </w:r>
      <w:r>
        <w:rPr>
          <w:rFonts w:ascii="宋体" w:hAnsi="宋体"/>
          <w:kern w:val="0"/>
          <w:szCs w:val="21"/>
          <w:highlight w:val="none"/>
        </w:rPr>
        <w:t>使用承包人在施工现场的材料、设备、临时工程、承包人文件和由承包人或以其名义编制的其他文件</w:t>
      </w:r>
      <w:r>
        <w:rPr>
          <w:rFonts w:hint="eastAsia" w:ascii="宋体" w:hAnsi="宋体"/>
          <w:kern w:val="0"/>
          <w:szCs w:val="21"/>
          <w:highlight w:val="none"/>
        </w:rPr>
        <w:t>的费用承担方式</w:t>
      </w:r>
      <w:r>
        <w:rPr>
          <w:rFonts w:ascii="宋体" w:hAnsi="宋体"/>
          <w:kern w:val="0"/>
          <w:szCs w:val="21"/>
          <w:highlight w:val="none"/>
        </w:rPr>
        <w:t>：</w:t>
      </w:r>
      <w:r>
        <w:rPr>
          <w:rFonts w:hint="eastAsia" w:ascii="宋体" w:hAnsi="宋体"/>
          <w:szCs w:val="21"/>
          <w:highlight w:val="none"/>
          <w:u w:val="single"/>
        </w:rPr>
        <w:t xml:space="preserve">  / </w:t>
      </w:r>
      <w:r>
        <w:rPr>
          <w:rFonts w:hint="eastAsia" w:ascii="宋体" w:hAnsi="宋体"/>
          <w:szCs w:val="21"/>
          <w:highlight w:val="none"/>
        </w:rPr>
        <w:t>。</w:t>
      </w:r>
    </w:p>
    <w:p w14:paraId="267DFA67">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 xml:space="preserve">17. 不可抗力 </w:t>
      </w:r>
    </w:p>
    <w:p w14:paraId="10D8E5C3">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17.1 不可抗力的确认</w:t>
      </w:r>
    </w:p>
    <w:p w14:paraId="494F9EB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u w:val="single"/>
        </w:rPr>
      </w:pPr>
      <w:r>
        <w:rPr>
          <w:rFonts w:ascii="宋体" w:hAnsi="宋体"/>
          <w:szCs w:val="21"/>
          <w:highlight w:val="none"/>
        </w:rPr>
        <w:t>除通用合同条款约定的不可抗力事件之外，视为不可抗力的其他情形：</w:t>
      </w:r>
      <w:r>
        <w:rPr>
          <w:rFonts w:hint="eastAsia" w:ascii="宋体" w:hAnsi="宋体"/>
          <w:kern w:val="0"/>
          <w:szCs w:val="21"/>
          <w:highlight w:val="none"/>
          <w:u w:val="single"/>
        </w:rPr>
        <w:t>按照通用条款第17.1条规定执行。</w:t>
      </w:r>
    </w:p>
    <w:p w14:paraId="4EBBBF45">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17.4 因不可抗力解除合同</w:t>
      </w:r>
    </w:p>
    <w:p w14:paraId="321D4851">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合同解除后，发包人应在商定或确定发包人应支付款项后</w:t>
      </w:r>
      <w:r>
        <w:rPr>
          <w:rFonts w:hint="eastAsia" w:ascii="宋体" w:hAnsi="宋体"/>
          <w:szCs w:val="21"/>
          <w:highlight w:val="none"/>
          <w:u w:val="single"/>
        </w:rPr>
        <w:t>28</w:t>
      </w:r>
      <w:r>
        <w:rPr>
          <w:rFonts w:ascii="宋体" w:hAnsi="宋体"/>
          <w:szCs w:val="21"/>
          <w:highlight w:val="none"/>
        </w:rPr>
        <w:t>天内完成款项的支付。</w:t>
      </w:r>
    </w:p>
    <w:p w14:paraId="24BCC684">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18. 保险</w:t>
      </w:r>
    </w:p>
    <w:p w14:paraId="519F38D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18.1 工程保险</w:t>
      </w:r>
    </w:p>
    <w:p w14:paraId="3A1CE37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关于工程保险的特别约定：</w:t>
      </w:r>
      <w:r>
        <w:rPr>
          <w:rFonts w:hint="eastAsia" w:ascii="宋体" w:hAnsi="宋体"/>
          <w:kern w:val="0"/>
          <w:szCs w:val="21"/>
          <w:highlight w:val="none"/>
          <w:u w:val="single"/>
        </w:rPr>
        <w:t>按照通用条款第18.1条规定执行</w:t>
      </w:r>
      <w:r>
        <w:rPr>
          <w:rFonts w:ascii="宋体" w:hAnsi="宋体"/>
          <w:kern w:val="0"/>
          <w:szCs w:val="21"/>
          <w:highlight w:val="none"/>
        </w:rPr>
        <w:t>。</w:t>
      </w:r>
    </w:p>
    <w:p w14:paraId="0904C1E6">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18.3 其他保险</w:t>
      </w:r>
    </w:p>
    <w:p w14:paraId="2756A57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szCs w:val="21"/>
          <w:highlight w:val="none"/>
        </w:rPr>
        <w:t>关于其他保险的约定：</w:t>
      </w:r>
      <w:r>
        <w:rPr>
          <w:rFonts w:hint="eastAsia" w:ascii="宋体" w:hAnsi="宋体"/>
          <w:szCs w:val="21"/>
          <w:highlight w:val="none"/>
          <w:u w:val="single"/>
        </w:rPr>
        <w:t xml:space="preserve">  / </w:t>
      </w:r>
      <w:r>
        <w:rPr>
          <w:rFonts w:hint="eastAsia" w:ascii="宋体" w:hAnsi="宋体"/>
          <w:szCs w:val="21"/>
          <w:highlight w:val="none"/>
        </w:rPr>
        <w:t>。</w:t>
      </w:r>
    </w:p>
    <w:p w14:paraId="44D0999D">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kern w:val="0"/>
          <w:szCs w:val="21"/>
          <w:highlight w:val="none"/>
        </w:rPr>
      </w:pPr>
      <w:r>
        <w:rPr>
          <w:rFonts w:ascii="宋体" w:hAnsi="宋体"/>
          <w:szCs w:val="21"/>
          <w:highlight w:val="none"/>
        </w:rPr>
        <w:t>承包人是否应为其施工设备等办理财产保险：</w:t>
      </w:r>
      <w:r>
        <w:rPr>
          <w:rFonts w:hint="eastAsia" w:ascii="宋体" w:hAnsi="宋体"/>
          <w:szCs w:val="21"/>
          <w:highlight w:val="none"/>
          <w:u w:val="single"/>
        </w:rPr>
        <w:t>由承包人自行决定</w:t>
      </w:r>
      <w:r>
        <w:rPr>
          <w:rFonts w:ascii="宋体" w:hAnsi="宋体"/>
          <w:szCs w:val="21"/>
          <w:highlight w:val="none"/>
        </w:rPr>
        <w:t>。</w:t>
      </w:r>
    </w:p>
    <w:p w14:paraId="502D597A">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18.7 通知义务</w:t>
      </w:r>
    </w:p>
    <w:p w14:paraId="6EFE813B">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kern w:val="0"/>
          <w:szCs w:val="21"/>
          <w:highlight w:val="none"/>
        </w:rPr>
        <w:t>关于变更保险合同时的通知义务的约定：</w:t>
      </w:r>
      <w:r>
        <w:rPr>
          <w:rFonts w:hint="eastAsia" w:ascii="宋体" w:hAnsi="宋体"/>
          <w:szCs w:val="21"/>
          <w:highlight w:val="none"/>
          <w:u w:val="single"/>
        </w:rPr>
        <w:t>按照通用条款第18.7条规定执行。</w:t>
      </w:r>
    </w:p>
    <w:p w14:paraId="1C38753D">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szCs w:val="21"/>
          <w:highlight w:val="none"/>
        </w:rPr>
      </w:pPr>
      <w:r>
        <w:rPr>
          <w:rFonts w:hint="eastAsia" w:ascii="宋体" w:hAnsi="宋体"/>
          <w:b/>
          <w:szCs w:val="21"/>
          <w:highlight w:val="none"/>
        </w:rPr>
        <w:t>19．索赔：</w:t>
      </w:r>
      <w:r>
        <w:rPr>
          <w:rFonts w:hint="eastAsia" w:ascii="宋体" w:hAnsi="宋体"/>
          <w:szCs w:val="21"/>
          <w:highlight w:val="none"/>
          <w:u w:val="single"/>
        </w:rPr>
        <w:t>按照通用条款第19条规定执行。</w:t>
      </w:r>
    </w:p>
    <w:p w14:paraId="6D606C38">
      <w:pPr>
        <w:keepNext w:val="0"/>
        <w:keepLines w:val="0"/>
        <w:pageBreakBefore w:val="0"/>
        <w:kinsoku/>
        <w:wordWrap/>
        <w:overflowPunct/>
        <w:topLinePunct w:val="0"/>
        <w:bidi w:val="0"/>
        <w:spacing w:line="360" w:lineRule="auto"/>
        <w:ind w:left="0" w:leftChars="0" w:right="0" w:firstLine="422" w:firstLineChars="200"/>
        <w:textAlignment w:val="auto"/>
        <w:rPr>
          <w:rFonts w:ascii="宋体" w:hAnsi="宋体"/>
          <w:b/>
          <w:szCs w:val="21"/>
          <w:highlight w:val="none"/>
        </w:rPr>
      </w:pPr>
      <w:r>
        <w:rPr>
          <w:rFonts w:ascii="宋体" w:hAnsi="宋体"/>
          <w:b/>
          <w:szCs w:val="21"/>
          <w:highlight w:val="none"/>
        </w:rPr>
        <w:t>20. 争议解决</w:t>
      </w:r>
    </w:p>
    <w:p w14:paraId="42A04F78">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20.3 争议评审</w:t>
      </w:r>
    </w:p>
    <w:p w14:paraId="46C9D43F">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合同当事人是否同意将工程争议提交争议评审小组决</w:t>
      </w:r>
      <w:r>
        <w:rPr>
          <w:rFonts w:hint="eastAsia" w:ascii="宋体" w:hAnsi="宋体"/>
          <w:szCs w:val="21"/>
          <w:highlight w:val="none"/>
        </w:rPr>
        <w:t>定：</w:t>
      </w:r>
      <w:r>
        <w:rPr>
          <w:rFonts w:hint="eastAsia" w:ascii="宋体" w:hAnsi="宋体"/>
          <w:szCs w:val="21"/>
          <w:highlight w:val="none"/>
          <w:u w:val="single"/>
        </w:rPr>
        <w:t xml:space="preserve">  / </w:t>
      </w:r>
      <w:r>
        <w:rPr>
          <w:rFonts w:hint="eastAsia" w:ascii="宋体" w:hAnsi="宋体"/>
          <w:szCs w:val="21"/>
          <w:highlight w:val="none"/>
        </w:rPr>
        <w:t xml:space="preserve">。  </w:t>
      </w:r>
    </w:p>
    <w:p w14:paraId="6D149602">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20.3.1 争议评审小组的确定</w:t>
      </w:r>
    </w:p>
    <w:p w14:paraId="56026640">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u w:val="single"/>
        </w:rPr>
      </w:pPr>
      <w:r>
        <w:rPr>
          <w:rFonts w:ascii="宋体" w:hAnsi="宋体"/>
          <w:szCs w:val="21"/>
          <w:highlight w:val="none"/>
        </w:rPr>
        <w:t>争议评审小组成员的确定：</w:t>
      </w:r>
      <w:r>
        <w:rPr>
          <w:rFonts w:hint="eastAsia" w:ascii="宋体" w:hAnsi="宋体"/>
          <w:szCs w:val="21"/>
          <w:highlight w:val="none"/>
          <w:u w:val="single"/>
        </w:rPr>
        <w:t xml:space="preserve">  / </w:t>
      </w:r>
      <w:r>
        <w:rPr>
          <w:rFonts w:hint="eastAsia" w:ascii="宋体" w:hAnsi="宋体"/>
          <w:szCs w:val="21"/>
          <w:highlight w:val="none"/>
        </w:rPr>
        <w:t>。</w:t>
      </w:r>
    </w:p>
    <w:p w14:paraId="71B4160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选定争议评审员的期限：</w:t>
      </w:r>
      <w:r>
        <w:rPr>
          <w:rFonts w:hint="eastAsia" w:ascii="宋体" w:hAnsi="宋体"/>
          <w:szCs w:val="21"/>
          <w:highlight w:val="none"/>
          <w:u w:val="single"/>
        </w:rPr>
        <w:t xml:space="preserve">  / </w:t>
      </w:r>
      <w:r>
        <w:rPr>
          <w:rFonts w:hint="eastAsia" w:ascii="宋体" w:hAnsi="宋体"/>
          <w:szCs w:val="21"/>
          <w:highlight w:val="none"/>
        </w:rPr>
        <w:t>。</w:t>
      </w:r>
    </w:p>
    <w:p w14:paraId="0E286D41">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争议评审小组成员的报酬承担方式：</w:t>
      </w:r>
      <w:r>
        <w:rPr>
          <w:rFonts w:hint="eastAsia" w:ascii="宋体" w:hAnsi="宋体"/>
          <w:szCs w:val="21"/>
          <w:highlight w:val="none"/>
          <w:u w:val="single"/>
        </w:rPr>
        <w:t xml:space="preserve">  / </w:t>
      </w:r>
      <w:r>
        <w:rPr>
          <w:rFonts w:hint="eastAsia" w:ascii="宋体" w:hAnsi="宋体"/>
          <w:szCs w:val="21"/>
          <w:highlight w:val="none"/>
        </w:rPr>
        <w:t>。</w:t>
      </w:r>
    </w:p>
    <w:p w14:paraId="45D92219">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其他事项的约定：</w:t>
      </w:r>
      <w:r>
        <w:rPr>
          <w:rFonts w:hint="eastAsia" w:ascii="宋体" w:hAnsi="宋体"/>
          <w:szCs w:val="21"/>
          <w:highlight w:val="none"/>
          <w:u w:val="single"/>
        </w:rPr>
        <w:t xml:space="preserve">  / </w:t>
      </w:r>
      <w:r>
        <w:rPr>
          <w:rFonts w:hint="eastAsia" w:ascii="宋体" w:hAnsi="宋体"/>
          <w:szCs w:val="21"/>
          <w:highlight w:val="none"/>
        </w:rPr>
        <w:t>。</w:t>
      </w:r>
    </w:p>
    <w:p w14:paraId="3527BEF1">
      <w:pPr>
        <w:keepNext w:val="0"/>
        <w:keepLines w:val="0"/>
        <w:pageBreakBefore w:val="0"/>
        <w:kinsoku/>
        <w:wordWrap/>
        <w:overflowPunct/>
        <w:topLinePunct w:val="0"/>
        <w:autoSpaceDE w:val="0"/>
        <w:autoSpaceDN w:val="0"/>
        <w:bidi w:val="0"/>
        <w:adjustRightInd w:val="0"/>
        <w:spacing w:line="360" w:lineRule="auto"/>
        <w:ind w:left="0" w:leftChars="0" w:right="0" w:firstLine="420" w:firstLineChars="200"/>
        <w:jc w:val="left"/>
        <w:textAlignment w:val="auto"/>
        <w:rPr>
          <w:rFonts w:ascii="宋体" w:hAnsi="宋体"/>
          <w:kern w:val="0"/>
          <w:szCs w:val="21"/>
          <w:highlight w:val="none"/>
        </w:rPr>
      </w:pPr>
      <w:r>
        <w:rPr>
          <w:rFonts w:ascii="宋体" w:hAnsi="宋体"/>
          <w:kern w:val="0"/>
          <w:szCs w:val="21"/>
          <w:highlight w:val="none"/>
        </w:rPr>
        <w:t>20.3.2 争议评审小组的决定</w:t>
      </w:r>
    </w:p>
    <w:p w14:paraId="3DDDBEC4">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合同当事人关于本项的约定：</w:t>
      </w:r>
      <w:r>
        <w:rPr>
          <w:rFonts w:hint="eastAsia" w:ascii="宋体" w:hAnsi="宋体"/>
          <w:szCs w:val="21"/>
          <w:highlight w:val="none"/>
          <w:u w:val="single"/>
        </w:rPr>
        <w:t xml:space="preserve">  / </w:t>
      </w:r>
      <w:r>
        <w:rPr>
          <w:rFonts w:hint="eastAsia" w:ascii="宋体" w:hAnsi="宋体"/>
          <w:szCs w:val="21"/>
          <w:highlight w:val="none"/>
        </w:rPr>
        <w:t>。</w:t>
      </w:r>
    </w:p>
    <w:p w14:paraId="1BC4B2DE">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20.4仲裁或诉讼</w:t>
      </w:r>
    </w:p>
    <w:p w14:paraId="0A2E5ACE">
      <w:pPr>
        <w:keepNext w:val="0"/>
        <w:keepLines w:val="0"/>
        <w:pageBreakBefore w:val="0"/>
        <w:kinsoku/>
        <w:wordWrap/>
        <w:overflowPunct/>
        <w:topLinePunct w:val="0"/>
        <w:bidi w:val="0"/>
        <w:spacing w:line="360" w:lineRule="auto"/>
        <w:ind w:left="0" w:leftChars="0" w:right="0" w:firstLine="420" w:firstLineChars="200"/>
        <w:textAlignment w:val="auto"/>
        <w:rPr>
          <w:rFonts w:ascii="宋体" w:hAnsi="宋体"/>
          <w:szCs w:val="21"/>
          <w:highlight w:val="none"/>
        </w:rPr>
      </w:pPr>
      <w:r>
        <w:rPr>
          <w:rFonts w:ascii="宋体" w:hAnsi="宋体"/>
          <w:szCs w:val="21"/>
          <w:highlight w:val="none"/>
        </w:rPr>
        <w:t>因合同及合同有关事项发生的争议，按下列第</w:t>
      </w:r>
      <w:r>
        <w:rPr>
          <w:rFonts w:hint="eastAsia" w:ascii="宋体" w:hAnsi="宋体"/>
          <w:szCs w:val="21"/>
          <w:highlight w:val="none"/>
          <w:u w:val="single"/>
        </w:rPr>
        <w:t>2</w:t>
      </w:r>
      <w:r>
        <w:rPr>
          <w:rFonts w:ascii="宋体" w:hAnsi="宋体"/>
          <w:szCs w:val="21"/>
          <w:highlight w:val="none"/>
        </w:rPr>
        <w:t>种方式</w:t>
      </w:r>
      <w:r>
        <w:rPr>
          <w:rFonts w:hint="eastAsia" w:ascii="宋体" w:hAnsi="宋体"/>
          <w:szCs w:val="21"/>
          <w:highlight w:val="none"/>
        </w:rPr>
        <w:t>解</w:t>
      </w:r>
      <w:r>
        <w:rPr>
          <w:rFonts w:ascii="宋体" w:hAnsi="宋体"/>
          <w:szCs w:val="21"/>
          <w:highlight w:val="none"/>
        </w:rPr>
        <w:t>决：</w:t>
      </w:r>
    </w:p>
    <w:p w14:paraId="7B3A0B7B">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（1）向仲裁委员会申请仲裁；</w:t>
      </w:r>
    </w:p>
    <w:p w14:paraId="541F26DD">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ascii="宋体" w:hAnsi="宋体"/>
          <w:szCs w:val="21"/>
          <w:highlight w:val="none"/>
        </w:rPr>
        <w:t>（2）向</w:t>
      </w:r>
      <w:r>
        <w:rPr>
          <w:rFonts w:hint="eastAsia" w:ascii="宋体" w:hAnsi="宋体"/>
          <w:szCs w:val="21"/>
          <w:highlight w:val="none"/>
          <w:u w:val="single"/>
        </w:rPr>
        <w:t>工程所在地</w:t>
      </w:r>
      <w:r>
        <w:rPr>
          <w:rFonts w:ascii="宋体" w:hAnsi="宋体"/>
          <w:szCs w:val="21"/>
          <w:highlight w:val="none"/>
        </w:rPr>
        <w:t>人民法院起诉。</w:t>
      </w:r>
    </w:p>
    <w:p w14:paraId="27634B01">
      <w:pPr>
        <w:keepNext w:val="0"/>
        <w:keepLines w:val="0"/>
        <w:pageBreakBefore w:val="0"/>
        <w:kinsoku/>
        <w:wordWrap/>
        <w:overflowPunct/>
        <w:topLinePunct w:val="0"/>
        <w:bidi w:val="0"/>
        <w:spacing w:line="360" w:lineRule="auto"/>
        <w:ind w:left="0" w:leftChars="0" w:right="0" w:firstLine="420" w:firstLineChars="200"/>
        <w:jc w:val="left"/>
        <w:textAlignment w:val="auto"/>
        <w:rPr>
          <w:rFonts w:ascii="宋体" w:hAnsi="宋体"/>
          <w:szCs w:val="21"/>
          <w:highlight w:val="none"/>
        </w:rPr>
      </w:pPr>
      <w:r>
        <w:rPr>
          <w:rFonts w:hint="eastAsia" w:ascii="宋体" w:hAnsi="宋体"/>
          <w:szCs w:val="21"/>
          <w:highlight w:val="none"/>
        </w:rPr>
        <w:t>21.补充条款：</w:t>
      </w:r>
    </w:p>
    <w:p w14:paraId="25743F8E">
      <w:pPr>
        <w:keepNext w:val="0"/>
        <w:keepLines w:val="0"/>
        <w:pageBreakBefore w:val="0"/>
        <w:kinsoku/>
        <w:wordWrap/>
        <w:overflowPunct/>
        <w:topLinePunct w:val="0"/>
        <w:bidi w:val="0"/>
        <w:spacing w:line="360" w:lineRule="auto"/>
        <w:ind w:left="0" w:leftChars="0" w:right="0" w:firstLine="420" w:firstLineChars="200"/>
        <w:textAlignment w:val="auto"/>
        <w:rPr>
          <w:rFonts w:hint="eastAsia" w:eastAsia="宋体"/>
          <w:highlight w:val="none"/>
          <w:lang w:eastAsia="zh-CN"/>
        </w:rPr>
      </w:pPr>
      <w:r>
        <w:rPr>
          <w:rFonts w:hint="eastAsia" w:ascii="宋体" w:hAnsi="宋体"/>
          <w:szCs w:val="21"/>
          <w:highlight w:val="none"/>
        </w:rPr>
        <w:t xml:space="preserve">21.1 </w:t>
      </w:r>
      <w:r>
        <w:rPr>
          <w:rFonts w:hint="eastAsia" w:ascii="宋体" w:hAnsi="宋体"/>
          <w:szCs w:val="21"/>
          <w:highlight w:val="none"/>
          <w:lang w:eastAsia="zh-CN"/>
        </w:rPr>
        <w:t>……</w:t>
      </w:r>
    </w:p>
    <w:p w14:paraId="090AFF3E">
      <w:pPr>
        <w:pStyle w:val="3"/>
        <w:keepNext/>
        <w:keepLines/>
        <w:pageBreakBefore w:val="0"/>
        <w:widowControl w:val="0"/>
        <w:kinsoku/>
        <w:wordWrap/>
        <w:overflowPunct/>
        <w:topLinePunct w:val="0"/>
        <w:autoSpaceDE/>
        <w:autoSpaceDN/>
        <w:bidi w:val="0"/>
        <w:adjustRightInd/>
        <w:snapToGrid/>
        <w:spacing w:before="0" w:after="20" w:line="360" w:lineRule="auto"/>
        <w:jc w:val="center"/>
        <w:textAlignment w:val="auto"/>
        <w:rPr>
          <w:rFonts w:ascii="宋体" w:hAnsi="宋体"/>
          <w:b w:val="0"/>
          <w:color w:val="auto"/>
          <w:szCs w:val="21"/>
          <w:highlight w:val="none"/>
        </w:rPr>
      </w:pPr>
      <w:r>
        <w:rPr>
          <w:rFonts w:hAnsi="宋体"/>
          <w:color w:val="auto"/>
          <w:sz w:val="30"/>
          <w:szCs w:val="30"/>
          <w:highlight w:val="none"/>
        </w:rPr>
        <w:br w:type="page"/>
      </w:r>
      <w:bookmarkStart w:id="252" w:name="_Toc10787"/>
      <w:bookmarkStart w:id="253" w:name="_Toc74918584"/>
      <w:r>
        <w:rPr>
          <w:rFonts w:hint="eastAsia" w:ascii="宋体" w:hAnsi="宋体" w:eastAsia="宋体"/>
          <w:color w:val="auto"/>
          <w:szCs w:val="28"/>
          <w:highlight w:val="none"/>
        </w:rPr>
        <w:t>工程质量保修书</w:t>
      </w:r>
      <w:bookmarkEnd w:id="229"/>
      <w:bookmarkEnd w:id="230"/>
      <w:bookmarkEnd w:id="252"/>
      <w:bookmarkEnd w:id="253"/>
    </w:p>
    <w:p w14:paraId="29573F2E">
      <w:pPr>
        <w:spacing w:line="360" w:lineRule="auto"/>
        <w:rPr>
          <w:rFonts w:ascii="宋体" w:hAnsi="宋体"/>
          <w:color w:val="auto"/>
          <w:szCs w:val="21"/>
          <w:highlight w:val="none"/>
        </w:rPr>
      </w:pPr>
      <w:r>
        <w:rPr>
          <w:rFonts w:ascii="宋体" w:hAnsi="宋体"/>
          <w:color w:val="auto"/>
          <w:szCs w:val="21"/>
          <w:highlight w:val="none"/>
        </w:rPr>
        <w:t xml:space="preserve">  </w:t>
      </w:r>
    </w:p>
    <w:p w14:paraId="76812782">
      <w:pPr>
        <w:widowControl/>
        <w:adjustRightInd w:val="0"/>
        <w:snapToGrid w:val="0"/>
        <w:spacing w:line="360" w:lineRule="auto"/>
        <w:rPr>
          <w:rFonts w:ascii="宋体" w:hAnsi="宋体"/>
          <w:color w:val="auto"/>
          <w:kern w:val="0"/>
          <w:szCs w:val="21"/>
          <w:highlight w:val="none"/>
        </w:rPr>
      </w:pPr>
      <w:r>
        <w:rPr>
          <w:rFonts w:hint="eastAsia" w:ascii="宋体" w:hAnsi="宋体"/>
          <w:color w:val="auto"/>
          <w:kern w:val="0"/>
          <w:szCs w:val="21"/>
          <w:highlight w:val="none"/>
        </w:rPr>
        <w:t>发包人（全称）：</w:t>
      </w:r>
      <w:r>
        <w:rPr>
          <w:rFonts w:ascii="宋体" w:hAnsi="宋体"/>
          <w:color w:val="auto"/>
          <w:kern w:val="0"/>
          <w:szCs w:val="21"/>
          <w:highlight w:val="none"/>
          <w:u w:val="single"/>
        </w:rPr>
        <w:t xml:space="preserve">                                  </w:t>
      </w:r>
    </w:p>
    <w:p w14:paraId="0DCAC58D">
      <w:pPr>
        <w:widowControl/>
        <w:adjustRightInd w:val="0"/>
        <w:snapToGrid w:val="0"/>
        <w:spacing w:line="360" w:lineRule="auto"/>
        <w:rPr>
          <w:rFonts w:ascii="宋体" w:hAnsi="宋体"/>
          <w:color w:val="auto"/>
          <w:kern w:val="0"/>
          <w:szCs w:val="21"/>
          <w:highlight w:val="none"/>
        </w:rPr>
      </w:pPr>
      <w:r>
        <w:rPr>
          <w:rFonts w:hint="eastAsia" w:ascii="宋体" w:hAnsi="宋体"/>
          <w:color w:val="auto"/>
          <w:kern w:val="0"/>
          <w:szCs w:val="21"/>
          <w:highlight w:val="none"/>
        </w:rPr>
        <w:t>承包人（全称）：</w:t>
      </w:r>
      <w:r>
        <w:rPr>
          <w:rFonts w:ascii="宋体" w:hAnsi="宋体"/>
          <w:color w:val="auto"/>
          <w:kern w:val="0"/>
          <w:szCs w:val="21"/>
          <w:highlight w:val="none"/>
          <w:u w:val="single"/>
        </w:rPr>
        <w:t xml:space="preserve">                                  </w:t>
      </w:r>
    </w:p>
    <w:p w14:paraId="5D17E303">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color w:val="auto"/>
          <w:kern w:val="0"/>
          <w:szCs w:val="21"/>
          <w:highlight w:val="none"/>
        </w:rPr>
        <w:t>发包人和承包人根据《中华人民共和国建筑法》和</w:t>
      </w:r>
      <w:r>
        <w:rPr>
          <w:rFonts w:hint="eastAsia" w:ascii="宋体" w:hAnsi="宋体"/>
          <w:kern w:val="0"/>
          <w:szCs w:val="21"/>
          <w:highlight w:val="none"/>
        </w:rPr>
        <w:t>《建设工程质量管理条例》，经协商一致就</w:t>
      </w:r>
      <w:r>
        <w:rPr>
          <w:rFonts w:ascii="宋体" w:hAnsi="宋体"/>
          <w:kern w:val="0"/>
          <w:szCs w:val="21"/>
          <w:highlight w:val="none"/>
          <w:u w:val="single"/>
        </w:rPr>
        <w:t xml:space="preserve">                 </w:t>
      </w:r>
      <w:r>
        <w:rPr>
          <w:rFonts w:hint="eastAsia" w:ascii="宋体" w:hAnsi="宋体"/>
          <w:kern w:val="0"/>
          <w:szCs w:val="21"/>
          <w:highlight w:val="none"/>
        </w:rPr>
        <w:t>（工程全称）订立工程质量保修书。</w:t>
      </w:r>
    </w:p>
    <w:p w14:paraId="3FC3161F">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一、工程质量保修范围和内容</w:t>
      </w:r>
    </w:p>
    <w:p w14:paraId="0DFE86B1">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承包人在质量保修期内，按照有关法律规定和合同约定，承担工程质量保修责任。</w:t>
      </w:r>
    </w:p>
    <w:p w14:paraId="527FFDEE">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kern w:val="0"/>
          <w:szCs w:val="21"/>
          <w:highlight w:val="none"/>
          <w:u w:val="single"/>
        </w:rPr>
        <w:t>承包人在质量保修期内，按照相关法律、法规、规章的管理规定和双方约定，承担本工程质量保修责任，具体保修内容为本工程合同的所有承包及施工范围</w:t>
      </w:r>
      <w:r>
        <w:rPr>
          <w:rFonts w:hint="eastAsia" w:ascii="宋体" w:hAnsi="宋体"/>
          <w:kern w:val="0"/>
          <w:szCs w:val="21"/>
          <w:highlight w:val="none"/>
        </w:rPr>
        <w:t>。</w:t>
      </w:r>
    </w:p>
    <w:p w14:paraId="19EA1A0A">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二、质量保修期</w:t>
      </w:r>
    </w:p>
    <w:p w14:paraId="66307630">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根据《建设工程质量管理条例》及有关规定，工程的质量保修期如下：</w:t>
      </w:r>
    </w:p>
    <w:p w14:paraId="10D317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1. 主体钢结构按设计使用年限50年标准执行；屋面防水工程质保期不少于5年；装修饰面、地面铺装、栏杆、照明、给排水、防雷、消防附属设施质保期不少于2年。</w:t>
      </w:r>
    </w:p>
    <w:p w14:paraId="694EF1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2. 电梯设备质保期不少于2年，质保期内免费提供定期巡检、维保、故障维修、配件更换服务；接到故障报修后2小时内响应，24小时内到场处置。</w:t>
      </w:r>
    </w:p>
    <w:p w14:paraId="1D49AC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3. 所有配套电气、安防设备质保期不少于2年，质保期内非人为损坏免费维修、更换。</w:t>
      </w:r>
    </w:p>
    <w:p w14:paraId="2B2998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4. 质保期满前完成一次全面设备及工程巡检，出具巡检报告，免费为学校后勤管理人员开展设备操作、日常运维培训。质保期满后，提供长期优惠维保服务及技术支持。</w:t>
      </w:r>
    </w:p>
    <w:p w14:paraId="5C6E0EA9">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质量保修期自工程竣工验收合格之日起计算</w:t>
      </w:r>
      <w:r>
        <w:rPr>
          <w:rFonts w:ascii="宋体" w:hAnsi="宋体"/>
          <w:szCs w:val="21"/>
          <w:highlight w:val="none"/>
        </w:rPr>
        <w:t>（由验收方在验收报告中明确具体起止日期）</w:t>
      </w:r>
      <w:r>
        <w:rPr>
          <w:rFonts w:hint="eastAsia" w:ascii="宋体" w:hAnsi="宋体"/>
          <w:kern w:val="0"/>
          <w:szCs w:val="21"/>
          <w:highlight w:val="none"/>
        </w:rPr>
        <w:t>。</w:t>
      </w:r>
    </w:p>
    <w:p w14:paraId="372DC4F0">
      <w:pPr>
        <w:widowControl/>
        <w:adjustRightInd w:val="0"/>
        <w:snapToGrid w:val="0"/>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三、缺陷责任期</w:t>
      </w:r>
    </w:p>
    <w:p w14:paraId="75C26063">
      <w:pPr>
        <w:widowControl/>
        <w:adjustRightInd w:val="0"/>
        <w:snapToGrid w:val="0"/>
        <w:spacing w:line="360" w:lineRule="auto"/>
        <w:ind w:firstLine="420" w:firstLineChars="200"/>
        <w:rPr>
          <w:rFonts w:ascii="宋体" w:hAnsi="宋体"/>
          <w:color w:val="auto"/>
          <w:kern w:val="0"/>
          <w:szCs w:val="21"/>
          <w:highlight w:val="none"/>
        </w:rPr>
      </w:pPr>
      <w:r>
        <w:rPr>
          <w:rFonts w:hint="eastAsia" w:ascii="宋体" w:hAnsi="宋体"/>
          <w:color w:val="auto"/>
          <w:kern w:val="0"/>
          <w:szCs w:val="21"/>
          <w:highlight w:val="none"/>
        </w:rPr>
        <w:t>工程缺陷责任期为</w:t>
      </w:r>
      <w:r>
        <w:rPr>
          <w:rFonts w:ascii="宋体" w:hAnsi="宋体"/>
          <w:color w:val="auto"/>
          <w:kern w:val="0"/>
          <w:szCs w:val="21"/>
          <w:highlight w:val="none"/>
          <w:u w:val="single"/>
        </w:rPr>
        <w:t xml:space="preserve"> </w:t>
      </w:r>
      <w:r>
        <w:rPr>
          <w:rFonts w:hint="eastAsia" w:ascii="宋体" w:hAnsi="宋体"/>
          <w:color w:val="auto"/>
          <w:kern w:val="0"/>
          <w:szCs w:val="21"/>
          <w:highlight w:val="none"/>
          <w:u w:val="single"/>
          <w:lang w:val="en-US" w:eastAsia="zh-CN"/>
        </w:rPr>
        <w:t xml:space="preserve"> </w:t>
      </w:r>
      <w:r>
        <w:rPr>
          <w:rFonts w:ascii="宋体" w:hAnsi="宋体"/>
          <w:color w:val="auto"/>
          <w:kern w:val="0"/>
          <w:szCs w:val="21"/>
          <w:highlight w:val="none"/>
          <w:u w:val="single"/>
        </w:rPr>
        <w:t xml:space="preserve"> </w:t>
      </w:r>
      <w:r>
        <w:rPr>
          <w:rFonts w:hint="eastAsia" w:ascii="宋体" w:hAnsi="宋体"/>
          <w:color w:val="auto"/>
          <w:kern w:val="0"/>
          <w:szCs w:val="21"/>
          <w:highlight w:val="none"/>
        </w:rPr>
        <w:t>个月，缺陷责任期自工程通过竣工验收之日起计算。单位/区段工程先于全部工程进行验收，单位/区段工程缺陷责任期自单位/区段工程验收合格之日起算。</w:t>
      </w:r>
    </w:p>
    <w:p w14:paraId="36979EF7">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缺陷责任期终止后，发包人应返还剩余的质量保证金。</w:t>
      </w:r>
    </w:p>
    <w:p w14:paraId="42F2C460">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四、质量保修责任</w:t>
      </w:r>
    </w:p>
    <w:p w14:paraId="32C29233">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1．属于保修范围、内容的项目，承包人应当在接到保修通知之日起7天内派人保修。承包人不在约定期限内派人保修的，发包人可以委托他人修理。</w:t>
      </w:r>
    </w:p>
    <w:p w14:paraId="47F9A626">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2．发生紧急事故需抢修的，承包人在接到事故通知后，应当立即到达事故现场抢修。</w:t>
      </w:r>
    </w:p>
    <w:p w14:paraId="2FA1DA14">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402AB64B">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4．质量保修完成后，由发包人组织验收。</w:t>
      </w:r>
    </w:p>
    <w:p w14:paraId="53C3250F">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五、保修费用</w:t>
      </w:r>
    </w:p>
    <w:p w14:paraId="05870B11">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保修费用由造成质量缺陷的责任方承担。</w:t>
      </w:r>
    </w:p>
    <w:p w14:paraId="4D3CD69A">
      <w:pPr>
        <w:widowControl/>
        <w:adjustRightInd w:val="0"/>
        <w:snapToGrid w:val="0"/>
        <w:spacing w:line="360" w:lineRule="auto"/>
        <w:ind w:firstLine="420" w:firstLineChars="200"/>
        <w:rPr>
          <w:rFonts w:ascii="宋体" w:hAnsi="宋体"/>
          <w:kern w:val="0"/>
          <w:szCs w:val="21"/>
          <w:highlight w:val="none"/>
          <w:u w:val="single"/>
        </w:rPr>
      </w:pPr>
      <w:r>
        <w:rPr>
          <w:rFonts w:hint="eastAsia" w:ascii="宋体" w:hAnsi="宋体"/>
          <w:kern w:val="0"/>
          <w:szCs w:val="21"/>
          <w:highlight w:val="none"/>
        </w:rPr>
        <w:t>六、双方约定的其他工程质量保修事项：</w:t>
      </w:r>
      <w:r>
        <w:rPr>
          <w:rFonts w:ascii="宋体" w:hAnsi="宋体"/>
          <w:kern w:val="0"/>
          <w:szCs w:val="21"/>
          <w:highlight w:val="none"/>
          <w:u w:val="single"/>
        </w:rPr>
        <w:t xml:space="preserve">                </w:t>
      </w:r>
      <w:r>
        <w:rPr>
          <w:rFonts w:hint="eastAsia" w:ascii="宋体" w:hAnsi="宋体"/>
          <w:kern w:val="0"/>
          <w:szCs w:val="21"/>
          <w:highlight w:val="none"/>
        </w:rPr>
        <w:t>。</w:t>
      </w:r>
    </w:p>
    <w:p w14:paraId="2DC0F632">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工程质量保修书由发包人、承包人在工程竣工验收前共同签署，作为工程总承包合同附件，其有效期限至保修期满。</w:t>
      </w:r>
    </w:p>
    <w:p w14:paraId="7E4763E1">
      <w:pPr>
        <w:widowControl/>
        <w:adjustRightInd w:val="0"/>
        <w:snapToGrid w:val="0"/>
        <w:spacing w:line="360" w:lineRule="auto"/>
        <w:ind w:firstLine="420" w:firstLineChars="200"/>
        <w:rPr>
          <w:rFonts w:ascii="宋体" w:hAnsi="宋体"/>
          <w:kern w:val="0"/>
          <w:szCs w:val="21"/>
          <w:highlight w:val="none"/>
        </w:rPr>
      </w:pPr>
    </w:p>
    <w:p w14:paraId="1FE48A14">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 xml:space="preserve">发包人(公章)：               承包人(公章)：          </w:t>
      </w:r>
    </w:p>
    <w:p w14:paraId="3C6C085A">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 xml:space="preserve">地  址：                     地  址：       </w:t>
      </w:r>
    </w:p>
    <w:p w14:paraId="5C1A061D">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 xml:space="preserve">法定代表人(签字)：           法定代表人(签字)：       </w:t>
      </w:r>
    </w:p>
    <w:p w14:paraId="0CBD0671">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 xml:space="preserve">委托代理人(签字)：           委托代理人(签字)：       </w:t>
      </w:r>
    </w:p>
    <w:p w14:paraId="369A0F86">
      <w:pPr>
        <w:widowControl/>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电  话：                     电  话：</w:t>
      </w:r>
    </w:p>
    <w:p w14:paraId="30ECD472">
      <w:pPr>
        <w:widowControl/>
        <w:adjustRightInd w:val="0"/>
        <w:snapToGrid w:val="0"/>
        <w:spacing w:line="360" w:lineRule="auto"/>
        <w:ind w:firstLine="420" w:firstLineChars="200"/>
        <w:rPr>
          <w:rFonts w:hint="eastAsia" w:ascii="宋体" w:hAnsi="宋体" w:eastAsia="宋体" w:cs="Times New Roman"/>
          <w:kern w:val="0"/>
          <w:szCs w:val="21"/>
          <w:highlight w:val="none"/>
        </w:rPr>
      </w:pPr>
      <w:r>
        <w:rPr>
          <w:rFonts w:hint="eastAsia" w:ascii="宋体" w:hAnsi="宋体" w:eastAsia="宋体" w:cs="Times New Roman"/>
          <w:kern w:val="0"/>
          <w:szCs w:val="21"/>
          <w:highlight w:val="none"/>
        </w:rPr>
        <w:t xml:space="preserve">传  真：                     传  真：  </w:t>
      </w:r>
    </w:p>
    <w:p w14:paraId="3BA8722E">
      <w:pPr>
        <w:widowControl/>
        <w:adjustRightInd w:val="0"/>
        <w:snapToGrid w:val="0"/>
        <w:spacing w:line="360" w:lineRule="auto"/>
        <w:ind w:firstLine="420" w:firstLineChars="200"/>
        <w:rPr>
          <w:rFonts w:hint="eastAsia" w:ascii="宋体" w:hAnsi="宋体" w:eastAsia="宋体" w:cs="Times New Roman"/>
          <w:kern w:val="0"/>
          <w:szCs w:val="21"/>
          <w:highlight w:val="none"/>
        </w:rPr>
      </w:pPr>
      <w:r>
        <w:rPr>
          <w:rFonts w:hint="eastAsia" w:ascii="宋体" w:hAnsi="宋体" w:eastAsia="宋体" w:cs="Times New Roman"/>
          <w:kern w:val="0"/>
          <w:szCs w:val="21"/>
          <w:highlight w:val="none"/>
        </w:rPr>
        <w:t>开户银行：                   开户银行：</w:t>
      </w:r>
    </w:p>
    <w:p w14:paraId="06B5716C">
      <w:pPr>
        <w:widowControl/>
        <w:adjustRightInd w:val="0"/>
        <w:snapToGrid w:val="0"/>
        <w:spacing w:line="360" w:lineRule="auto"/>
        <w:ind w:firstLine="420" w:firstLineChars="200"/>
        <w:rPr>
          <w:rFonts w:hint="eastAsia" w:ascii="宋体" w:hAnsi="宋体" w:eastAsia="宋体" w:cs="Times New Roman"/>
          <w:kern w:val="0"/>
          <w:szCs w:val="21"/>
          <w:highlight w:val="none"/>
        </w:rPr>
      </w:pPr>
      <w:r>
        <w:rPr>
          <w:rFonts w:hint="eastAsia" w:ascii="宋体" w:hAnsi="宋体" w:eastAsia="宋体" w:cs="Times New Roman"/>
          <w:kern w:val="0"/>
          <w:szCs w:val="21"/>
          <w:highlight w:val="none"/>
        </w:rPr>
        <w:t xml:space="preserve">账  号：                     账  号： </w:t>
      </w:r>
    </w:p>
    <w:p w14:paraId="3BEF82CB">
      <w:pPr>
        <w:widowControl/>
        <w:adjustRightInd w:val="0"/>
        <w:snapToGrid w:val="0"/>
        <w:spacing w:line="360" w:lineRule="auto"/>
        <w:ind w:firstLine="420" w:firstLineChars="200"/>
        <w:rPr>
          <w:rFonts w:hint="eastAsia" w:ascii="宋体" w:hAnsi="宋体" w:eastAsia="宋体" w:cs="Times New Roman"/>
          <w:kern w:val="0"/>
          <w:szCs w:val="21"/>
          <w:highlight w:val="none"/>
        </w:rPr>
      </w:pPr>
      <w:r>
        <w:rPr>
          <w:rFonts w:hint="eastAsia" w:ascii="宋体" w:hAnsi="宋体" w:eastAsia="宋体" w:cs="Times New Roman"/>
          <w:kern w:val="0"/>
          <w:szCs w:val="21"/>
          <w:highlight w:val="none"/>
        </w:rPr>
        <w:t>邮政编码：                   邮政编码：</w:t>
      </w:r>
    </w:p>
    <w:p w14:paraId="35C99FDB">
      <w:pPr>
        <w:pStyle w:val="3"/>
        <w:keepNext/>
        <w:keepLines/>
        <w:pageBreakBefore w:val="0"/>
        <w:widowControl w:val="0"/>
        <w:kinsoku/>
        <w:wordWrap/>
        <w:overflowPunct/>
        <w:topLinePunct w:val="0"/>
        <w:autoSpaceDE/>
        <w:autoSpaceDN/>
        <w:bidi w:val="0"/>
        <w:adjustRightInd/>
        <w:snapToGrid/>
        <w:spacing w:before="0" w:after="20" w:line="360" w:lineRule="auto"/>
        <w:jc w:val="center"/>
        <w:textAlignment w:val="auto"/>
        <w:rPr>
          <w:rFonts w:hAnsi="宋体"/>
          <w:b w:val="0"/>
          <w:highlight w:val="none"/>
        </w:rPr>
      </w:pPr>
      <w:r>
        <w:rPr>
          <w:rFonts w:hAnsi="宋体"/>
          <w:sz w:val="24"/>
          <w:highlight w:val="none"/>
        </w:rPr>
        <w:br w:type="page"/>
      </w:r>
      <w:bookmarkStart w:id="254" w:name="_Toc31185"/>
      <w:bookmarkStart w:id="255" w:name="_Toc74918585"/>
      <w:bookmarkStart w:id="256" w:name="_Toc310941247"/>
      <w:bookmarkStart w:id="257" w:name="_Toc228812733"/>
      <w:r>
        <w:rPr>
          <w:rFonts w:hint="eastAsia" w:ascii="宋体" w:hAnsi="宋体" w:eastAsia="宋体"/>
          <w:szCs w:val="28"/>
          <w:highlight w:val="none"/>
        </w:rPr>
        <w:t>安全生产合同</w:t>
      </w:r>
      <w:bookmarkEnd w:id="254"/>
      <w:bookmarkEnd w:id="255"/>
      <w:bookmarkEnd w:id="256"/>
      <w:bookmarkEnd w:id="257"/>
    </w:p>
    <w:p w14:paraId="11895033">
      <w:pPr>
        <w:spacing w:line="360" w:lineRule="auto"/>
        <w:ind w:firstLine="420"/>
        <w:rPr>
          <w:rFonts w:hint="eastAsia" w:ascii="宋体" w:hAnsi="宋体"/>
          <w:b/>
          <w:szCs w:val="21"/>
          <w:highlight w:val="none"/>
        </w:rPr>
      </w:pPr>
    </w:p>
    <w:p w14:paraId="40EEC38B">
      <w:pPr>
        <w:spacing w:line="360" w:lineRule="auto"/>
        <w:ind w:firstLine="420"/>
        <w:rPr>
          <w:rFonts w:ascii="宋体" w:hAnsi="宋体"/>
          <w:szCs w:val="21"/>
          <w:highlight w:val="none"/>
        </w:rPr>
      </w:pPr>
      <w:r>
        <w:rPr>
          <w:rFonts w:hint="eastAsia" w:ascii="宋体" w:hAnsi="宋体"/>
          <w:szCs w:val="21"/>
          <w:highlight w:val="none"/>
        </w:rPr>
        <w:t>为在</w:t>
      </w:r>
      <w:r>
        <w:rPr>
          <w:rFonts w:hint="eastAsia" w:ascii="宋体" w:hAnsi="宋体"/>
          <w:b/>
          <w:bCs/>
          <w:szCs w:val="21"/>
          <w:highlight w:val="none"/>
          <w:u w:val="single"/>
        </w:rPr>
        <w:t>　　　　　　　　　　　　　　</w:t>
      </w:r>
      <w:r>
        <w:rPr>
          <w:rFonts w:hint="eastAsia" w:ascii="宋体" w:hAnsi="宋体"/>
          <w:szCs w:val="21"/>
          <w:highlight w:val="none"/>
        </w:rPr>
        <w:t>的实施过程中创造安全、高效的施工环境，切实搞好本项目的安全管理工作，本项目业主</w:t>
      </w:r>
      <w:r>
        <w:rPr>
          <w:rFonts w:hint="eastAsia" w:ascii="宋体" w:hAnsi="宋体"/>
          <w:b/>
          <w:bCs/>
          <w:szCs w:val="21"/>
          <w:highlight w:val="none"/>
          <w:u w:val="single"/>
        </w:rPr>
        <w:t xml:space="preserve">        </w:t>
      </w:r>
      <w:r>
        <w:rPr>
          <w:rFonts w:hint="eastAsia" w:ascii="宋体" w:hAnsi="宋体"/>
          <w:szCs w:val="21"/>
          <w:highlight w:val="none"/>
          <w:u w:val="single"/>
        </w:rPr>
        <w:t>(</w:t>
      </w:r>
      <w:r>
        <w:rPr>
          <w:rFonts w:hint="eastAsia" w:ascii="宋体" w:hAnsi="宋体"/>
          <w:szCs w:val="21"/>
          <w:highlight w:val="none"/>
        </w:rPr>
        <w:t>以下简称“甲方”)与乙方</w:t>
      </w:r>
      <w:r>
        <w:rPr>
          <w:rFonts w:hint="eastAsia" w:ascii="宋体" w:hAnsi="宋体"/>
          <w:b/>
          <w:bCs/>
          <w:szCs w:val="21"/>
          <w:highlight w:val="none"/>
          <w:u w:val="single"/>
        </w:rPr>
        <w:t xml:space="preserve">　　  </w:t>
      </w:r>
      <w:r>
        <w:rPr>
          <w:rFonts w:hint="eastAsia" w:ascii="宋体" w:hAnsi="宋体"/>
          <w:bCs/>
          <w:szCs w:val="21"/>
          <w:highlight w:val="none"/>
          <w:u w:val="single"/>
        </w:rPr>
        <w:t>（</w:t>
      </w:r>
      <w:r>
        <w:rPr>
          <w:rFonts w:hint="eastAsia" w:ascii="宋体" w:hAnsi="宋体"/>
          <w:szCs w:val="21"/>
          <w:highlight w:val="none"/>
        </w:rPr>
        <w:t>以下简称“乙方”)特此签订安全生产合同：</w:t>
      </w:r>
    </w:p>
    <w:p w14:paraId="0A8F21CB">
      <w:pPr>
        <w:spacing w:line="360" w:lineRule="auto"/>
        <w:ind w:firstLine="540"/>
        <w:rPr>
          <w:rFonts w:ascii="宋体" w:hAnsi="宋体"/>
          <w:b/>
          <w:szCs w:val="21"/>
          <w:highlight w:val="none"/>
        </w:rPr>
      </w:pPr>
      <w:r>
        <w:rPr>
          <w:rFonts w:hint="eastAsia" w:ascii="宋体" w:hAnsi="宋体"/>
          <w:b/>
          <w:szCs w:val="21"/>
          <w:highlight w:val="none"/>
        </w:rPr>
        <w:t>一、甲方职责</w:t>
      </w:r>
    </w:p>
    <w:p w14:paraId="683E8E3C">
      <w:pPr>
        <w:spacing w:line="360" w:lineRule="auto"/>
        <w:rPr>
          <w:rFonts w:ascii="宋体" w:hAnsi="宋体"/>
          <w:szCs w:val="21"/>
          <w:highlight w:val="none"/>
        </w:rPr>
      </w:pPr>
      <w:r>
        <w:rPr>
          <w:rFonts w:hint="eastAsia" w:ascii="宋体" w:hAnsi="宋体"/>
          <w:szCs w:val="21"/>
          <w:highlight w:val="none"/>
        </w:rPr>
        <w:t xml:space="preserve">    1．严格遵守国家有关安全生产的法律法规，认真执行工程承包合同中的有关安全要求。</w:t>
      </w:r>
    </w:p>
    <w:p w14:paraId="77687867">
      <w:pPr>
        <w:spacing w:line="360" w:lineRule="auto"/>
        <w:rPr>
          <w:rFonts w:ascii="宋体" w:hAnsi="宋体"/>
          <w:szCs w:val="21"/>
          <w:highlight w:val="none"/>
        </w:rPr>
      </w:pPr>
      <w:r>
        <w:rPr>
          <w:rFonts w:hint="eastAsia" w:ascii="宋体" w:hAnsi="宋体"/>
          <w:szCs w:val="21"/>
          <w:highlight w:val="none"/>
        </w:rPr>
        <w:t xml:space="preserve">    2．按照“安全第一、预防为主”和坚持“管生产必须管安全”的原则进行安全生产管理，做到生产与安全工作同时计划、布置、检查、总结和评比。</w:t>
      </w:r>
    </w:p>
    <w:p w14:paraId="102F273F">
      <w:pPr>
        <w:spacing w:line="360" w:lineRule="auto"/>
        <w:rPr>
          <w:rFonts w:ascii="宋体" w:hAnsi="宋体"/>
          <w:szCs w:val="21"/>
          <w:highlight w:val="none"/>
        </w:rPr>
      </w:pPr>
      <w:r>
        <w:rPr>
          <w:rFonts w:hint="eastAsia" w:ascii="宋体" w:hAnsi="宋体"/>
          <w:szCs w:val="21"/>
          <w:highlight w:val="none"/>
        </w:rPr>
        <w:t xml:space="preserve">    3．重要的安全设施必须坚持与主体工程“三同时”的原则，即：同时设计、审批，同时施工，同时验收，投入使用。</w:t>
      </w:r>
    </w:p>
    <w:p w14:paraId="43F056ED">
      <w:pPr>
        <w:spacing w:line="360" w:lineRule="auto"/>
        <w:rPr>
          <w:rFonts w:ascii="宋体" w:hAnsi="宋体"/>
          <w:szCs w:val="21"/>
          <w:highlight w:val="none"/>
        </w:rPr>
      </w:pPr>
      <w:r>
        <w:rPr>
          <w:rFonts w:hint="eastAsia" w:ascii="宋体" w:hAnsi="宋体"/>
          <w:szCs w:val="21"/>
          <w:highlight w:val="none"/>
        </w:rPr>
        <w:t xml:space="preserve">    4．定期召开安全生产调度会，及时传达中央及地方有关安全生产的精神。</w:t>
      </w:r>
    </w:p>
    <w:p w14:paraId="6E487449">
      <w:pPr>
        <w:spacing w:line="360" w:lineRule="auto"/>
        <w:rPr>
          <w:rFonts w:ascii="宋体" w:hAnsi="宋体"/>
          <w:szCs w:val="21"/>
          <w:highlight w:val="none"/>
        </w:rPr>
      </w:pPr>
      <w:r>
        <w:rPr>
          <w:rFonts w:hint="eastAsia" w:ascii="宋体" w:hAnsi="宋体"/>
          <w:szCs w:val="21"/>
          <w:highlight w:val="none"/>
        </w:rPr>
        <w:t xml:space="preserve">    5．组织对乙方施工现场安全生产检查，监督乙方及时处理发现的各种安全隐患。</w:t>
      </w:r>
    </w:p>
    <w:p w14:paraId="47F5F81B">
      <w:pPr>
        <w:spacing w:line="360" w:lineRule="auto"/>
        <w:ind w:firstLine="359"/>
        <w:rPr>
          <w:rFonts w:ascii="宋体" w:hAnsi="宋体"/>
          <w:b/>
          <w:szCs w:val="21"/>
          <w:highlight w:val="none"/>
        </w:rPr>
      </w:pPr>
      <w:r>
        <w:rPr>
          <w:rFonts w:hint="eastAsia" w:ascii="宋体" w:hAnsi="宋体"/>
          <w:b/>
          <w:szCs w:val="21"/>
          <w:highlight w:val="none"/>
        </w:rPr>
        <w:t>二、乙方职责</w:t>
      </w:r>
    </w:p>
    <w:p w14:paraId="77B2B25D">
      <w:pPr>
        <w:spacing w:line="360" w:lineRule="auto"/>
        <w:rPr>
          <w:rFonts w:ascii="宋体" w:hAnsi="宋体"/>
          <w:szCs w:val="21"/>
          <w:highlight w:val="none"/>
        </w:rPr>
      </w:pPr>
      <w:r>
        <w:rPr>
          <w:rFonts w:hint="eastAsia" w:ascii="宋体" w:hAnsi="宋体"/>
          <w:szCs w:val="21"/>
          <w:highlight w:val="none"/>
        </w:rPr>
        <w:t xml:space="preserve">    1.严格遵守国家有关安全生产的法律法规，认真执行工程承包合同中的有关安全要求。</w:t>
      </w:r>
    </w:p>
    <w:p w14:paraId="50423A52">
      <w:pPr>
        <w:spacing w:line="360" w:lineRule="auto"/>
        <w:rPr>
          <w:rFonts w:ascii="宋体" w:hAnsi="宋体"/>
          <w:szCs w:val="21"/>
          <w:highlight w:val="none"/>
        </w:rPr>
      </w:pPr>
      <w:r>
        <w:rPr>
          <w:rFonts w:hint="eastAsia" w:ascii="宋体" w:hAnsi="宋体"/>
          <w:szCs w:val="21"/>
          <w:highlight w:val="none"/>
        </w:rPr>
        <w:t xml:space="preserve">    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17EF3159">
      <w:pPr>
        <w:spacing w:line="360" w:lineRule="auto"/>
        <w:rPr>
          <w:rFonts w:ascii="宋体" w:hAnsi="宋体"/>
          <w:szCs w:val="21"/>
          <w:highlight w:val="none"/>
        </w:rPr>
      </w:pPr>
      <w:r>
        <w:rPr>
          <w:rFonts w:hint="eastAsia" w:ascii="宋体" w:hAnsi="宋体"/>
          <w:szCs w:val="21"/>
          <w:highlight w:val="none"/>
        </w:rPr>
        <w:t xml:space="preserve">    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3DC9542B">
      <w:pPr>
        <w:spacing w:line="360" w:lineRule="auto"/>
        <w:rPr>
          <w:rFonts w:ascii="宋体" w:hAnsi="宋体"/>
          <w:szCs w:val="21"/>
          <w:highlight w:val="none"/>
        </w:rPr>
      </w:pPr>
      <w:r>
        <w:rPr>
          <w:rFonts w:hint="eastAsia" w:ascii="宋体" w:hAnsi="宋体"/>
          <w:szCs w:val="21"/>
          <w:highlight w:val="none"/>
        </w:rPr>
        <w:t xml:space="preserve">    4.乙方在任何时候都应采取各种合理的预防措施，防止其员工发生任何违法、违禁、暴力或妨碍治安的行为。</w:t>
      </w:r>
    </w:p>
    <w:p w14:paraId="1FBB8BCF">
      <w:pPr>
        <w:spacing w:line="360" w:lineRule="auto"/>
        <w:rPr>
          <w:rFonts w:ascii="宋体" w:hAnsi="宋体"/>
          <w:szCs w:val="21"/>
          <w:highlight w:val="none"/>
        </w:rPr>
      </w:pPr>
      <w:r>
        <w:rPr>
          <w:rFonts w:hint="eastAsia" w:ascii="宋体" w:hAnsi="宋体"/>
          <w:szCs w:val="21"/>
          <w:highlight w:val="none"/>
        </w:rPr>
        <w:t xml:space="preserve">    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220D1A6">
      <w:pPr>
        <w:spacing w:line="360" w:lineRule="auto"/>
        <w:rPr>
          <w:rFonts w:ascii="宋体" w:hAnsi="宋体"/>
          <w:szCs w:val="21"/>
          <w:highlight w:val="none"/>
        </w:rPr>
      </w:pPr>
      <w:r>
        <w:rPr>
          <w:rFonts w:hint="eastAsia" w:ascii="宋体" w:hAnsi="宋体"/>
          <w:szCs w:val="21"/>
          <w:highlight w:val="none"/>
        </w:rPr>
        <w:t xml:space="preserve">    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7DFC286B">
      <w:pPr>
        <w:spacing w:line="360" w:lineRule="auto"/>
        <w:rPr>
          <w:rFonts w:ascii="宋体" w:hAnsi="宋体"/>
          <w:szCs w:val="21"/>
          <w:highlight w:val="none"/>
        </w:rPr>
      </w:pPr>
      <w:r>
        <w:rPr>
          <w:rFonts w:hint="eastAsia" w:ascii="宋体" w:hAnsi="宋体"/>
          <w:szCs w:val="21"/>
          <w:highlight w:val="none"/>
        </w:rPr>
        <w:t xml:space="preserve">    7.操作人员上岗，必须按规定穿戴防护用品。施工负责人和安全检查员应随时检查劳动防护用品的穿戴情况，不按规定穿戴防护用品的人员不得上岗。</w:t>
      </w:r>
    </w:p>
    <w:p w14:paraId="75BD6920">
      <w:pPr>
        <w:spacing w:line="360" w:lineRule="auto"/>
        <w:rPr>
          <w:rFonts w:ascii="宋体" w:hAnsi="宋体"/>
          <w:szCs w:val="21"/>
          <w:highlight w:val="none"/>
        </w:rPr>
      </w:pPr>
      <w:r>
        <w:rPr>
          <w:rFonts w:hint="eastAsia" w:ascii="宋体" w:hAnsi="宋体"/>
          <w:szCs w:val="21"/>
          <w:highlight w:val="none"/>
        </w:rPr>
        <w:t xml:space="preserve">    8．所有施工机具设备和高空作业的设备均应定期检查，并有安全员的签字记录，保证其经常处于完好状态；不合格的机具、设备和劳动保护用品严禁使用。</w:t>
      </w:r>
    </w:p>
    <w:p w14:paraId="32CB8787">
      <w:pPr>
        <w:spacing w:line="360" w:lineRule="auto"/>
        <w:rPr>
          <w:rFonts w:ascii="宋体" w:hAnsi="宋体"/>
          <w:szCs w:val="21"/>
          <w:highlight w:val="none"/>
        </w:rPr>
      </w:pPr>
      <w:r>
        <w:rPr>
          <w:rFonts w:hint="eastAsia" w:ascii="宋体" w:hAnsi="宋体"/>
          <w:szCs w:val="21"/>
          <w:highlight w:val="none"/>
        </w:rPr>
        <w:t xml:space="preserve">    9．施工中采用新技术、新工艺、新设备、新材料时，必须制定相应的安全技术措施，施工现场必须具有相关的安全标志牌。</w:t>
      </w:r>
    </w:p>
    <w:p w14:paraId="001F3176">
      <w:pPr>
        <w:spacing w:line="360" w:lineRule="auto"/>
        <w:rPr>
          <w:rFonts w:ascii="宋体" w:hAnsi="宋体"/>
          <w:szCs w:val="21"/>
          <w:highlight w:val="none"/>
        </w:rPr>
      </w:pPr>
      <w:r>
        <w:rPr>
          <w:rFonts w:hint="eastAsia" w:ascii="宋体" w:hAnsi="宋体"/>
          <w:szCs w:val="21"/>
          <w:highlight w:val="none"/>
        </w:rPr>
        <w:t xml:space="preserve">    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6D673332">
      <w:pPr>
        <w:spacing w:line="360" w:lineRule="auto"/>
        <w:ind w:firstLine="378"/>
        <w:rPr>
          <w:rFonts w:ascii="宋体" w:hAnsi="宋体"/>
          <w:b/>
          <w:szCs w:val="21"/>
          <w:highlight w:val="none"/>
        </w:rPr>
      </w:pPr>
      <w:r>
        <w:rPr>
          <w:rFonts w:hint="eastAsia" w:ascii="宋体" w:hAnsi="宋体"/>
          <w:b/>
          <w:szCs w:val="21"/>
          <w:highlight w:val="none"/>
        </w:rPr>
        <w:t>三、违约责任</w:t>
      </w:r>
    </w:p>
    <w:p w14:paraId="2C047740">
      <w:pPr>
        <w:spacing w:line="360" w:lineRule="auto"/>
        <w:rPr>
          <w:rFonts w:ascii="宋体" w:hAnsi="宋体"/>
          <w:szCs w:val="21"/>
          <w:highlight w:val="none"/>
        </w:rPr>
      </w:pPr>
      <w:r>
        <w:rPr>
          <w:rFonts w:hint="eastAsia" w:ascii="宋体" w:hAnsi="宋体"/>
          <w:szCs w:val="21"/>
          <w:highlight w:val="none"/>
        </w:rPr>
        <w:t xml:space="preserve">    如因甲方或乙方违约造成安全事故，将依法追究责任。</w:t>
      </w:r>
    </w:p>
    <w:p w14:paraId="328B6255">
      <w:pPr>
        <w:spacing w:line="360" w:lineRule="auto"/>
        <w:ind w:firstLine="480"/>
        <w:rPr>
          <w:rFonts w:ascii="宋体" w:hAnsi="宋体"/>
          <w:szCs w:val="21"/>
          <w:highlight w:val="none"/>
        </w:rPr>
      </w:pPr>
      <w:r>
        <w:rPr>
          <w:rFonts w:hint="eastAsia" w:ascii="宋体" w:hAnsi="宋体"/>
          <w:szCs w:val="21"/>
          <w:highlight w:val="none"/>
        </w:rPr>
        <w:t>本合同共</w:t>
      </w:r>
      <w:r>
        <w:rPr>
          <w:rFonts w:hint="eastAsia" w:ascii="宋体" w:hAnsi="宋体"/>
          <w:b/>
          <w:bCs/>
          <w:szCs w:val="21"/>
          <w:highlight w:val="none"/>
          <w:u w:val="single"/>
        </w:rPr>
        <w:t xml:space="preserve">     </w:t>
      </w:r>
      <w:r>
        <w:rPr>
          <w:rFonts w:hint="eastAsia" w:ascii="宋体" w:hAnsi="宋体"/>
          <w:szCs w:val="21"/>
          <w:highlight w:val="none"/>
        </w:rPr>
        <w:t>份，其中正本</w:t>
      </w:r>
      <w:r>
        <w:rPr>
          <w:rFonts w:hint="eastAsia" w:ascii="宋体" w:hAnsi="宋体"/>
          <w:b/>
          <w:bCs/>
          <w:szCs w:val="21"/>
          <w:highlight w:val="none"/>
          <w:u w:val="single"/>
        </w:rPr>
        <w:t xml:space="preserve">     </w:t>
      </w:r>
      <w:r>
        <w:rPr>
          <w:rFonts w:hint="eastAsia" w:ascii="宋体" w:hAnsi="宋体"/>
          <w:szCs w:val="21"/>
          <w:highlight w:val="none"/>
        </w:rPr>
        <w:t>份，发包人</w:t>
      </w:r>
      <w:r>
        <w:rPr>
          <w:rFonts w:hint="eastAsia" w:ascii="宋体" w:hAnsi="宋体"/>
          <w:b/>
          <w:bCs/>
          <w:szCs w:val="21"/>
          <w:highlight w:val="none"/>
          <w:u w:val="single"/>
        </w:rPr>
        <w:t xml:space="preserve">     </w:t>
      </w:r>
      <w:r>
        <w:rPr>
          <w:rFonts w:hint="eastAsia" w:ascii="宋体" w:hAnsi="宋体"/>
          <w:szCs w:val="21"/>
          <w:highlight w:val="none"/>
        </w:rPr>
        <w:t>份，承包人</w:t>
      </w:r>
      <w:r>
        <w:rPr>
          <w:rFonts w:hint="eastAsia" w:ascii="宋体" w:hAnsi="宋体"/>
          <w:b/>
          <w:bCs/>
          <w:szCs w:val="21"/>
          <w:highlight w:val="none"/>
          <w:u w:val="single"/>
        </w:rPr>
        <w:t xml:space="preserve">     </w:t>
      </w:r>
      <w:r>
        <w:rPr>
          <w:rFonts w:hint="eastAsia" w:ascii="宋体" w:hAnsi="宋体"/>
          <w:szCs w:val="21"/>
          <w:highlight w:val="none"/>
        </w:rPr>
        <w:t>份；副本</w:t>
      </w:r>
      <w:r>
        <w:rPr>
          <w:rFonts w:hint="eastAsia" w:ascii="宋体" w:hAnsi="宋体"/>
          <w:b/>
          <w:bCs/>
          <w:szCs w:val="21"/>
          <w:highlight w:val="none"/>
          <w:u w:val="single"/>
        </w:rPr>
        <w:t xml:space="preserve">     </w:t>
      </w:r>
      <w:r>
        <w:rPr>
          <w:rFonts w:hint="eastAsia" w:ascii="宋体" w:hAnsi="宋体"/>
          <w:szCs w:val="21"/>
          <w:highlight w:val="none"/>
        </w:rPr>
        <w:t>份，发包人</w:t>
      </w:r>
      <w:r>
        <w:rPr>
          <w:rFonts w:hint="eastAsia" w:ascii="宋体" w:hAnsi="宋体"/>
          <w:b/>
          <w:bCs/>
          <w:szCs w:val="21"/>
          <w:highlight w:val="none"/>
          <w:u w:val="single"/>
        </w:rPr>
        <w:t xml:space="preserve">     </w:t>
      </w:r>
      <w:r>
        <w:rPr>
          <w:rFonts w:hint="eastAsia" w:ascii="宋体" w:hAnsi="宋体"/>
          <w:szCs w:val="21"/>
          <w:highlight w:val="none"/>
        </w:rPr>
        <w:t>份，承包人</w:t>
      </w:r>
      <w:r>
        <w:rPr>
          <w:rFonts w:hint="eastAsia" w:ascii="宋体" w:hAnsi="宋体"/>
          <w:b/>
          <w:bCs/>
          <w:szCs w:val="21"/>
          <w:highlight w:val="none"/>
          <w:u w:val="single"/>
        </w:rPr>
        <w:t xml:space="preserve">     </w:t>
      </w:r>
      <w:r>
        <w:rPr>
          <w:rFonts w:hint="eastAsia" w:ascii="宋体" w:hAnsi="宋体"/>
          <w:szCs w:val="21"/>
          <w:highlight w:val="none"/>
        </w:rPr>
        <w:t>份。由双方法定代表人或其授权的代理人签署与加盖公章后生效，全部工程竣工验收后失效。</w:t>
      </w:r>
    </w:p>
    <w:p w14:paraId="1E89B13C">
      <w:pPr>
        <w:spacing w:line="360" w:lineRule="auto"/>
        <w:ind w:firstLine="480"/>
        <w:rPr>
          <w:rFonts w:hint="eastAsia" w:ascii="宋体" w:hAnsi="宋体"/>
          <w:szCs w:val="21"/>
          <w:highlight w:val="none"/>
        </w:rPr>
      </w:pPr>
    </w:p>
    <w:p w14:paraId="00E89829">
      <w:pPr>
        <w:spacing w:line="360" w:lineRule="auto"/>
        <w:ind w:firstLine="480"/>
        <w:rPr>
          <w:rFonts w:hint="eastAsia" w:ascii="宋体" w:hAnsi="宋体"/>
          <w:szCs w:val="21"/>
          <w:highlight w:val="none"/>
        </w:rPr>
      </w:pPr>
    </w:p>
    <w:p w14:paraId="29C8FBAA">
      <w:pPr>
        <w:spacing w:line="360" w:lineRule="auto"/>
        <w:ind w:firstLine="480"/>
        <w:jc w:val="center"/>
        <w:rPr>
          <w:rFonts w:ascii="宋体" w:hAnsi="宋体"/>
          <w:szCs w:val="21"/>
          <w:highlight w:val="none"/>
        </w:rPr>
      </w:pPr>
    </w:p>
    <w:p w14:paraId="4859D4D5">
      <w:pPr>
        <w:tabs>
          <w:tab w:val="left" w:pos="4320"/>
        </w:tabs>
        <w:spacing w:line="360" w:lineRule="auto"/>
        <w:rPr>
          <w:rFonts w:ascii="宋体" w:hAnsi="宋体"/>
          <w:szCs w:val="21"/>
          <w:highlight w:val="none"/>
        </w:rPr>
      </w:pPr>
      <w:r>
        <w:rPr>
          <w:rFonts w:hint="eastAsia" w:ascii="宋体" w:hAnsi="宋体"/>
          <w:szCs w:val="21"/>
          <w:highlight w:val="none"/>
        </w:rPr>
        <w:t>甲方：                              乙方：</w:t>
      </w:r>
    </w:p>
    <w:p w14:paraId="4D0E07DA">
      <w:pPr>
        <w:tabs>
          <w:tab w:val="left" w:pos="4320"/>
        </w:tabs>
        <w:spacing w:line="360" w:lineRule="auto"/>
        <w:rPr>
          <w:rFonts w:ascii="宋体" w:hAnsi="宋体"/>
          <w:szCs w:val="21"/>
          <w:highlight w:val="none"/>
        </w:rPr>
      </w:pPr>
    </w:p>
    <w:p w14:paraId="32758443">
      <w:pPr>
        <w:spacing w:line="360" w:lineRule="auto"/>
        <w:rPr>
          <w:rFonts w:ascii="宋体" w:hAnsi="宋体"/>
          <w:szCs w:val="21"/>
          <w:highlight w:val="none"/>
        </w:rPr>
      </w:pPr>
      <w:r>
        <w:rPr>
          <w:rFonts w:hint="eastAsia" w:ascii="宋体" w:hAnsi="宋体"/>
          <w:szCs w:val="21"/>
          <w:highlight w:val="none"/>
        </w:rPr>
        <w:t xml:space="preserve">法定代表人：                        法定代表人：                                  </w:t>
      </w:r>
    </w:p>
    <w:p w14:paraId="330E82AF">
      <w:pPr>
        <w:spacing w:line="360" w:lineRule="auto"/>
        <w:rPr>
          <w:rFonts w:ascii="宋体" w:hAnsi="宋体"/>
          <w:szCs w:val="21"/>
          <w:highlight w:val="none"/>
        </w:rPr>
      </w:pPr>
      <w:r>
        <w:rPr>
          <w:rFonts w:hint="eastAsia" w:ascii="宋体" w:hAnsi="宋体"/>
          <w:szCs w:val="21"/>
          <w:highlight w:val="none"/>
        </w:rPr>
        <w:t>或委托代理人：　　　　　　　　　    或委托代理人：</w:t>
      </w:r>
    </w:p>
    <w:p w14:paraId="6FCB7E95">
      <w:pPr>
        <w:spacing w:line="360" w:lineRule="auto"/>
        <w:rPr>
          <w:rFonts w:ascii="宋体" w:hAnsi="宋体"/>
          <w:szCs w:val="21"/>
          <w:highlight w:val="none"/>
        </w:rPr>
      </w:pPr>
      <w:r>
        <w:rPr>
          <w:rFonts w:hint="eastAsia" w:ascii="宋体" w:hAnsi="宋体"/>
          <w:szCs w:val="21"/>
          <w:highlight w:val="none"/>
        </w:rPr>
        <w:t>电    话：                          电    话：</w:t>
      </w:r>
    </w:p>
    <w:p w14:paraId="08C395CA">
      <w:pPr>
        <w:spacing w:line="360" w:lineRule="auto"/>
        <w:rPr>
          <w:rFonts w:hint="eastAsia"/>
          <w:highlight w:val="none"/>
        </w:rPr>
      </w:pPr>
      <w:r>
        <w:rPr>
          <w:rFonts w:hint="eastAsia"/>
          <w:highlight w:val="none"/>
        </w:rPr>
        <w:t>日    期：                          日    期：</w:t>
      </w:r>
      <w:bookmarkStart w:id="258" w:name="_Toc310941248"/>
    </w:p>
    <w:bookmarkEnd w:id="258"/>
    <w:p w14:paraId="5B53AAE2">
      <w:pPr>
        <w:spacing w:line="360" w:lineRule="auto"/>
        <w:rPr>
          <w:rFonts w:hint="eastAsia" w:ascii="宋体" w:hAnsi="宋体"/>
          <w:sz w:val="24"/>
          <w:highlight w:val="none"/>
        </w:rPr>
      </w:pPr>
    </w:p>
    <w:p w14:paraId="0A3FDFC6">
      <w:pPr>
        <w:spacing w:line="360" w:lineRule="auto"/>
        <w:rPr>
          <w:rFonts w:hint="eastAsia" w:ascii="宋体" w:hAnsi="宋体"/>
          <w:sz w:val="24"/>
          <w:highlight w:val="none"/>
        </w:rPr>
      </w:pPr>
    </w:p>
    <w:p w14:paraId="1803D5C9">
      <w:pPr>
        <w:spacing w:line="360" w:lineRule="auto"/>
        <w:rPr>
          <w:rFonts w:hint="eastAsia" w:ascii="宋体" w:hAnsi="宋体"/>
          <w:sz w:val="24"/>
          <w:highlight w:val="none"/>
        </w:rPr>
      </w:pPr>
    </w:p>
    <w:p w14:paraId="39C2CF39">
      <w:pPr>
        <w:spacing w:line="360" w:lineRule="auto"/>
        <w:rPr>
          <w:rFonts w:hint="eastAsia" w:ascii="宋体" w:hAnsi="宋体"/>
          <w:sz w:val="24"/>
          <w:highlight w:val="none"/>
        </w:rPr>
      </w:pPr>
    </w:p>
    <w:p w14:paraId="3185FDC4">
      <w:pPr>
        <w:spacing w:line="360" w:lineRule="auto"/>
        <w:rPr>
          <w:rFonts w:hint="eastAsia" w:ascii="宋体" w:hAnsi="宋体"/>
          <w:sz w:val="24"/>
          <w:highlight w:val="none"/>
        </w:rPr>
      </w:pPr>
    </w:p>
    <w:p w14:paraId="6E1EE04B">
      <w:pPr>
        <w:spacing w:line="360" w:lineRule="auto"/>
        <w:rPr>
          <w:rFonts w:hint="eastAsia" w:ascii="宋体" w:hAnsi="宋体"/>
          <w:sz w:val="24"/>
          <w:highlight w:val="none"/>
        </w:rPr>
      </w:pPr>
    </w:p>
    <w:p w14:paraId="376280C9">
      <w:pPr>
        <w:spacing w:line="360" w:lineRule="auto"/>
        <w:rPr>
          <w:rFonts w:hint="eastAsia" w:ascii="宋体" w:hAnsi="宋体"/>
          <w:sz w:val="24"/>
          <w:highlight w:val="none"/>
        </w:rPr>
      </w:pPr>
    </w:p>
    <w:p w14:paraId="6F3F5FA6">
      <w:pPr>
        <w:spacing w:line="360" w:lineRule="auto"/>
        <w:rPr>
          <w:rFonts w:hint="eastAsia" w:ascii="宋体" w:hAnsi="宋体"/>
          <w:sz w:val="24"/>
          <w:highlight w:val="none"/>
        </w:rPr>
      </w:pPr>
    </w:p>
    <w:p w14:paraId="6DD5FFC4">
      <w:pPr>
        <w:spacing w:line="360" w:lineRule="auto"/>
        <w:rPr>
          <w:rFonts w:hint="eastAsia" w:ascii="宋体" w:hAnsi="宋体"/>
          <w:sz w:val="24"/>
          <w:highlight w:val="none"/>
        </w:rPr>
      </w:pPr>
    </w:p>
    <w:p w14:paraId="1D07AC5A">
      <w:pPr>
        <w:spacing w:line="360" w:lineRule="auto"/>
        <w:rPr>
          <w:rFonts w:hint="eastAsia" w:ascii="宋体" w:hAnsi="宋体"/>
          <w:sz w:val="24"/>
          <w:highlight w:val="none"/>
        </w:rPr>
      </w:pPr>
    </w:p>
    <w:p w14:paraId="3BC9904E">
      <w:pPr>
        <w:spacing w:line="360" w:lineRule="auto"/>
        <w:rPr>
          <w:rFonts w:hint="eastAsia" w:ascii="宋体" w:hAnsi="宋体"/>
          <w:sz w:val="24"/>
          <w:highlight w:val="none"/>
        </w:rPr>
      </w:pPr>
    </w:p>
    <w:p w14:paraId="7AA418E8">
      <w:pPr>
        <w:pStyle w:val="2"/>
        <w:spacing w:line="360" w:lineRule="auto"/>
        <w:rPr>
          <w:rFonts w:hAnsi="宋体"/>
          <w:b/>
          <w:bCs/>
          <w:color w:val="auto"/>
          <w:sz w:val="36"/>
          <w:highlight w:val="none"/>
        </w:rPr>
      </w:pPr>
      <w:bookmarkStart w:id="259" w:name="_Toc13094"/>
      <w:bookmarkStart w:id="260" w:name="_Toc427339177"/>
      <w:bookmarkStart w:id="261" w:name="_Toc427306796"/>
      <w:bookmarkStart w:id="262" w:name="_Toc209516063"/>
      <w:bookmarkStart w:id="263" w:name="_Toc185540056"/>
      <w:r>
        <w:rPr>
          <w:rFonts w:hint="eastAsia" w:hAnsi="宋体"/>
          <w:b/>
          <w:bCs/>
          <w:color w:val="auto"/>
          <w:sz w:val="36"/>
          <w:highlight w:val="none"/>
        </w:rPr>
        <w:t>第四章 响应文件</w:t>
      </w:r>
      <w:r>
        <w:rPr>
          <w:rFonts w:hAnsi="宋体"/>
          <w:b/>
          <w:bCs/>
          <w:color w:val="auto"/>
          <w:sz w:val="36"/>
          <w:highlight w:val="none"/>
        </w:rPr>
        <w:t>格式</w:t>
      </w:r>
      <w:bookmarkEnd w:id="259"/>
      <w:bookmarkEnd w:id="260"/>
      <w:bookmarkEnd w:id="261"/>
      <w:bookmarkEnd w:id="262"/>
      <w:bookmarkEnd w:id="263"/>
    </w:p>
    <w:p w14:paraId="64E73DF8">
      <w:pPr>
        <w:spacing w:line="360" w:lineRule="auto"/>
        <w:rPr>
          <w:rFonts w:ascii="宋体" w:hAnsi="宋体"/>
          <w:szCs w:val="21"/>
          <w:highlight w:val="none"/>
        </w:rPr>
      </w:pPr>
    </w:p>
    <w:p w14:paraId="35252A31">
      <w:pPr>
        <w:spacing w:line="360" w:lineRule="auto"/>
        <w:jc w:val="center"/>
        <w:rPr>
          <w:rFonts w:hint="eastAsia" w:ascii="宋体" w:hAnsi="宋体"/>
          <w:szCs w:val="21"/>
          <w:highlight w:val="none"/>
        </w:rPr>
      </w:pPr>
      <w:r>
        <w:rPr>
          <w:rFonts w:hint="eastAsia" w:ascii="宋体" w:hAnsi="宋体"/>
          <w:szCs w:val="21"/>
          <w:highlight w:val="none"/>
        </w:rPr>
        <w:t>（响应文件内容需按照以下格式要求进行目录编制，并每页连续标注页码。未提供格式的部分由供应商自行编制</w:t>
      </w:r>
      <w:r>
        <w:rPr>
          <w:rFonts w:hint="eastAsia" w:ascii="宋体" w:hAnsi="宋体"/>
          <w:szCs w:val="21"/>
          <w:highlight w:val="none"/>
          <w:lang w:eastAsia="zh-CN"/>
        </w:rPr>
        <w:t>，</w:t>
      </w:r>
      <w:r>
        <w:rPr>
          <w:rFonts w:hint="eastAsia" w:ascii="宋体" w:hAnsi="宋体"/>
          <w:szCs w:val="21"/>
          <w:highlight w:val="none"/>
          <w:lang w:val="en-US" w:eastAsia="zh-CN"/>
        </w:rPr>
        <w:t>同时对标题自行编制连续序号</w:t>
      </w:r>
      <w:r>
        <w:rPr>
          <w:rFonts w:hint="eastAsia" w:ascii="宋体" w:hAnsi="宋体"/>
          <w:szCs w:val="21"/>
          <w:highlight w:val="none"/>
        </w:rPr>
        <w:t>）</w:t>
      </w:r>
    </w:p>
    <w:p w14:paraId="5E8F786A">
      <w:pPr>
        <w:spacing w:line="360" w:lineRule="auto"/>
        <w:rPr>
          <w:rFonts w:hint="eastAsia" w:ascii="宋体" w:hAnsi="宋体"/>
          <w:highlight w:val="none"/>
        </w:rPr>
      </w:pPr>
    </w:p>
    <w:p w14:paraId="329768C3">
      <w:pPr>
        <w:spacing w:line="360" w:lineRule="auto"/>
        <w:rPr>
          <w:rFonts w:hint="eastAsia" w:ascii="宋体" w:hAnsi="宋体"/>
          <w:highlight w:val="none"/>
        </w:rPr>
      </w:pPr>
    </w:p>
    <w:p w14:paraId="649FBEBC">
      <w:pPr>
        <w:spacing w:line="360" w:lineRule="auto"/>
        <w:rPr>
          <w:rFonts w:hint="eastAsia" w:ascii="宋体" w:hAnsi="宋体"/>
          <w:highlight w:val="none"/>
        </w:rPr>
      </w:pPr>
    </w:p>
    <w:p w14:paraId="44AEE64B">
      <w:pPr>
        <w:spacing w:line="360" w:lineRule="auto"/>
        <w:rPr>
          <w:rFonts w:hint="eastAsia" w:ascii="宋体" w:hAnsi="宋体"/>
          <w:highlight w:val="none"/>
        </w:rPr>
      </w:pPr>
    </w:p>
    <w:p w14:paraId="0D2C8C22">
      <w:pPr>
        <w:spacing w:line="360" w:lineRule="auto"/>
        <w:rPr>
          <w:rFonts w:hint="eastAsia" w:ascii="宋体" w:hAnsi="宋体"/>
          <w:highlight w:val="none"/>
        </w:rPr>
      </w:pPr>
    </w:p>
    <w:p w14:paraId="3A2AF4D3">
      <w:pPr>
        <w:spacing w:line="360" w:lineRule="auto"/>
        <w:rPr>
          <w:rFonts w:hint="eastAsia" w:ascii="宋体" w:hAnsi="宋体"/>
          <w:highlight w:val="none"/>
        </w:rPr>
      </w:pPr>
    </w:p>
    <w:p w14:paraId="5E0DB890">
      <w:pPr>
        <w:spacing w:line="360" w:lineRule="auto"/>
        <w:rPr>
          <w:rFonts w:hint="eastAsia" w:ascii="宋体" w:hAnsi="宋体"/>
          <w:highlight w:val="none"/>
        </w:rPr>
      </w:pPr>
    </w:p>
    <w:p w14:paraId="58FCCFB8">
      <w:pPr>
        <w:spacing w:line="360" w:lineRule="auto"/>
        <w:rPr>
          <w:rFonts w:hint="eastAsia" w:ascii="宋体" w:hAnsi="宋体"/>
          <w:highlight w:val="none"/>
        </w:rPr>
      </w:pPr>
    </w:p>
    <w:p w14:paraId="45D8C2AD">
      <w:pPr>
        <w:spacing w:line="360" w:lineRule="auto"/>
        <w:rPr>
          <w:rFonts w:hint="eastAsia" w:ascii="宋体" w:hAnsi="宋体"/>
          <w:highlight w:val="none"/>
        </w:rPr>
      </w:pPr>
    </w:p>
    <w:p w14:paraId="6A74AEBB">
      <w:pPr>
        <w:spacing w:line="360" w:lineRule="auto"/>
        <w:rPr>
          <w:rFonts w:hint="eastAsia" w:ascii="宋体" w:hAnsi="宋体"/>
          <w:b/>
          <w:sz w:val="28"/>
          <w:szCs w:val="28"/>
          <w:highlight w:val="none"/>
        </w:rPr>
      </w:pPr>
      <w:bookmarkStart w:id="264" w:name="q14"/>
      <w:bookmarkEnd w:id="264"/>
      <w:bookmarkStart w:id="265" w:name="_Toc183075172"/>
    </w:p>
    <w:p w14:paraId="7E361CFA">
      <w:pPr>
        <w:rPr>
          <w:rFonts w:hint="eastAsia" w:ascii="Times New Roman" w:hAnsi="Times New Roman" w:eastAsia="宋体" w:cs="Times New Roman"/>
          <w:b/>
          <w:bCs w:val="0"/>
          <w:kern w:val="2"/>
          <w:sz w:val="22"/>
          <w:szCs w:val="21"/>
          <w:highlight w:val="none"/>
          <w:lang w:val="en-US" w:eastAsia="zh-CN" w:bidi="ar-SA"/>
        </w:rPr>
      </w:pPr>
      <w:r>
        <w:rPr>
          <w:rFonts w:ascii="宋体" w:hAnsi="宋体"/>
          <w:highlight w:val="none"/>
        </w:rPr>
        <w:br w:type="page"/>
      </w:r>
      <w:bookmarkEnd w:id="265"/>
      <w:bookmarkStart w:id="266" w:name="_Toc267641379"/>
      <w:bookmarkStart w:id="267" w:name="_Toc232509438"/>
      <w:bookmarkStart w:id="268" w:name="_Toc327344860"/>
    </w:p>
    <w:p w14:paraId="5D657CC6">
      <w:pPr>
        <w:pageBreakBefore w:val="0"/>
        <w:widowControl w:val="0"/>
        <w:kinsoku/>
        <w:wordWrap/>
        <w:overflowPunct/>
        <w:topLinePunct w:val="0"/>
        <w:autoSpaceDE/>
        <w:autoSpaceDN/>
        <w:bidi w:val="0"/>
        <w:adjustRightInd/>
        <w:snapToGrid/>
        <w:spacing w:before="0" w:line="360" w:lineRule="auto"/>
        <w:jc w:val="left"/>
        <w:textAlignment w:val="auto"/>
        <w:outlineLvl w:val="1"/>
        <w:rPr>
          <w:rFonts w:hint="eastAsia" w:ascii="Times New Roman" w:hAnsi="Times New Roman" w:eastAsia="宋体" w:cs="Times New Roman"/>
          <w:b/>
          <w:bCs w:val="0"/>
          <w:kern w:val="2"/>
          <w:sz w:val="28"/>
          <w:szCs w:val="24"/>
          <w:highlight w:val="none"/>
          <w:lang w:val="en-US" w:eastAsia="zh-CN" w:bidi="ar-SA"/>
        </w:rPr>
      </w:pPr>
      <w:bookmarkStart w:id="269" w:name="_Toc372818645"/>
      <w:bookmarkStart w:id="270" w:name="_Toc531017441"/>
      <w:bookmarkStart w:id="271" w:name="_Toc347849248"/>
      <w:bookmarkStart w:id="272" w:name="_Toc18312"/>
      <w:bookmarkStart w:id="273" w:name="_Toc21860"/>
      <w:r>
        <w:rPr>
          <w:rFonts w:hint="eastAsia" w:cs="Times New Roman"/>
          <w:b/>
          <w:bCs w:val="0"/>
          <w:kern w:val="2"/>
          <w:sz w:val="28"/>
          <w:szCs w:val="24"/>
          <w:highlight w:val="none"/>
          <w:lang w:val="en-US" w:eastAsia="zh-CN" w:bidi="ar-SA"/>
        </w:rPr>
        <w:t>一、</w:t>
      </w:r>
      <w:r>
        <w:rPr>
          <w:rFonts w:hint="eastAsia" w:ascii="Times New Roman" w:hAnsi="Times New Roman" w:eastAsia="宋体" w:cs="Times New Roman"/>
          <w:b/>
          <w:bCs w:val="0"/>
          <w:kern w:val="2"/>
          <w:sz w:val="28"/>
          <w:szCs w:val="24"/>
          <w:highlight w:val="none"/>
          <w:lang w:val="en-US" w:eastAsia="zh-CN" w:bidi="ar-SA"/>
        </w:rPr>
        <w:t>资格证明文件</w:t>
      </w:r>
      <w:bookmarkEnd w:id="269"/>
      <w:bookmarkEnd w:id="270"/>
      <w:bookmarkEnd w:id="271"/>
      <w:bookmarkEnd w:id="272"/>
      <w:bookmarkEnd w:id="273"/>
    </w:p>
    <w:p w14:paraId="342FACAE">
      <w:pPr>
        <w:ind w:firstLine="602"/>
        <w:jc w:val="center"/>
        <w:outlineLvl w:val="2"/>
        <w:rPr>
          <w:b/>
          <w:sz w:val="28"/>
          <w:szCs w:val="28"/>
          <w:highlight w:val="none"/>
        </w:rPr>
      </w:pPr>
      <w:r>
        <w:rPr>
          <w:rFonts w:hint="eastAsia"/>
          <w:b/>
          <w:sz w:val="28"/>
          <w:szCs w:val="28"/>
          <w:highlight w:val="none"/>
          <w:lang w:eastAsia="zh-CN"/>
        </w:rPr>
        <w:t>（</w:t>
      </w:r>
      <w:r>
        <w:rPr>
          <w:rFonts w:hint="eastAsia"/>
          <w:b/>
          <w:sz w:val="28"/>
          <w:szCs w:val="28"/>
          <w:highlight w:val="none"/>
          <w:lang w:val="en-US" w:eastAsia="zh-CN"/>
        </w:rPr>
        <w:t>一</w:t>
      </w:r>
      <w:r>
        <w:rPr>
          <w:rFonts w:hint="eastAsia"/>
          <w:b/>
          <w:sz w:val="28"/>
          <w:szCs w:val="28"/>
          <w:highlight w:val="none"/>
          <w:lang w:eastAsia="zh-CN"/>
        </w:rPr>
        <w:t>）</w:t>
      </w:r>
      <w:r>
        <w:rPr>
          <w:rFonts w:hint="eastAsia"/>
          <w:b/>
          <w:sz w:val="28"/>
          <w:szCs w:val="28"/>
          <w:highlight w:val="none"/>
        </w:rPr>
        <w:t>营业执照或其他法定证明材料</w:t>
      </w:r>
    </w:p>
    <w:p w14:paraId="048D3D8C">
      <w:pPr>
        <w:ind w:firstLine="420"/>
        <w:jc w:val="center"/>
        <w:rPr>
          <w:szCs w:val="21"/>
          <w:highlight w:val="none"/>
        </w:rPr>
      </w:pPr>
      <w:r>
        <w:rPr>
          <w:szCs w:val="21"/>
          <w:highlight w:val="none"/>
        </w:rPr>
        <w:t>（</w:t>
      </w:r>
      <w:r>
        <w:rPr>
          <w:rFonts w:hint="eastAsia"/>
          <w:szCs w:val="21"/>
          <w:highlight w:val="none"/>
        </w:rPr>
        <w:t>扫描件</w:t>
      </w:r>
      <w:r>
        <w:rPr>
          <w:szCs w:val="21"/>
          <w:highlight w:val="none"/>
        </w:rPr>
        <w:t>）</w:t>
      </w:r>
    </w:p>
    <w:p w14:paraId="56777BD8">
      <w:pPr>
        <w:ind w:firstLine="420"/>
        <w:jc w:val="center"/>
        <w:rPr>
          <w:szCs w:val="21"/>
          <w:highlight w:val="none"/>
        </w:rPr>
      </w:pPr>
    </w:p>
    <w:p w14:paraId="2B9704CA">
      <w:pPr>
        <w:ind w:firstLine="420"/>
        <w:jc w:val="center"/>
        <w:rPr>
          <w:szCs w:val="21"/>
          <w:highlight w:val="none"/>
        </w:rPr>
      </w:pPr>
    </w:p>
    <w:p w14:paraId="1F624F9E">
      <w:pPr>
        <w:ind w:firstLine="420"/>
        <w:jc w:val="center"/>
        <w:rPr>
          <w:highlight w:val="none"/>
        </w:rPr>
      </w:pPr>
    </w:p>
    <w:p w14:paraId="0D7EE63A">
      <w:pPr>
        <w:ind w:firstLine="420"/>
        <w:jc w:val="center"/>
        <w:rPr>
          <w:highlight w:val="none"/>
        </w:rPr>
      </w:pPr>
    </w:p>
    <w:p w14:paraId="40711D1D">
      <w:pPr>
        <w:numPr>
          <w:ilvl w:val="2"/>
          <w:numId w:val="0"/>
        </w:numPr>
        <w:tabs>
          <w:tab w:val="left" w:pos="900"/>
        </w:tabs>
        <w:adjustRightInd w:val="0"/>
        <w:jc w:val="center"/>
        <w:textAlignment w:val="baseline"/>
        <w:rPr>
          <w:rFonts w:ascii="黑体" w:hAnsi="黑体" w:eastAsia="黑体"/>
          <w:b/>
          <w:kern w:val="0"/>
          <w:sz w:val="32"/>
          <w:szCs w:val="21"/>
          <w:highlight w:val="none"/>
        </w:rPr>
      </w:pPr>
      <w:bookmarkStart w:id="274" w:name="_Toc496520985"/>
      <w:bookmarkStart w:id="275" w:name="_Toc493600017"/>
      <w:bookmarkStart w:id="276" w:name="_Toc213141105"/>
      <w:bookmarkStart w:id="277" w:name="_Toc522176863"/>
    </w:p>
    <w:p w14:paraId="618A4CD5">
      <w:pPr>
        <w:numPr>
          <w:ilvl w:val="2"/>
          <w:numId w:val="0"/>
        </w:numPr>
        <w:tabs>
          <w:tab w:val="left" w:pos="900"/>
        </w:tabs>
        <w:adjustRightInd w:val="0"/>
        <w:jc w:val="center"/>
        <w:textAlignment w:val="baseline"/>
        <w:rPr>
          <w:rFonts w:ascii="黑体" w:hAnsi="黑体" w:eastAsia="黑体"/>
          <w:b/>
          <w:kern w:val="0"/>
          <w:sz w:val="32"/>
          <w:szCs w:val="21"/>
          <w:highlight w:val="none"/>
        </w:rPr>
      </w:pPr>
    </w:p>
    <w:p w14:paraId="31E8F267">
      <w:pPr>
        <w:ind w:firstLine="602"/>
        <w:jc w:val="center"/>
        <w:rPr>
          <w:b/>
          <w:sz w:val="30"/>
          <w:szCs w:val="30"/>
          <w:highlight w:val="none"/>
        </w:rPr>
      </w:pPr>
    </w:p>
    <w:p w14:paraId="50B444BE">
      <w:pPr>
        <w:ind w:firstLine="602"/>
        <w:jc w:val="center"/>
        <w:rPr>
          <w:b/>
          <w:sz w:val="30"/>
          <w:szCs w:val="30"/>
          <w:highlight w:val="none"/>
        </w:rPr>
      </w:pPr>
    </w:p>
    <w:p w14:paraId="38880AFA">
      <w:pPr>
        <w:ind w:firstLine="602"/>
        <w:jc w:val="center"/>
        <w:rPr>
          <w:b/>
          <w:sz w:val="30"/>
          <w:szCs w:val="30"/>
          <w:highlight w:val="none"/>
        </w:rPr>
      </w:pPr>
    </w:p>
    <w:bookmarkEnd w:id="274"/>
    <w:bookmarkEnd w:id="275"/>
    <w:bookmarkEnd w:id="276"/>
    <w:bookmarkEnd w:id="277"/>
    <w:p w14:paraId="680F1AE9">
      <w:pPr>
        <w:spacing w:line="360" w:lineRule="auto"/>
        <w:jc w:val="center"/>
        <w:rPr>
          <w:highlight w:val="none"/>
        </w:rPr>
      </w:pPr>
    </w:p>
    <w:p w14:paraId="7B0534FE">
      <w:pPr>
        <w:rPr>
          <w:b/>
          <w:sz w:val="28"/>
          <w:highlight w:val="none"/>
        </w:rPr>
      </w:pPr>
      <w:r>
        <w:rPr>
          <w:b/>
          <w:sz w:val="28"/>
          <w:highlight w:val="none"/>
        </w:rPr>
        <w:br w:type="page"/>
      </w:r>
    </w:p>
    <w:p w14:paraId="1F365046">
      <w:pPr>
        <w:spacing w:line="360" w:lineRule="auto"/>
        <w:jc w:val="center"/>
        <w:outlineLvl w:val="2"/>
        <w:rPr>
          <w:b/>
          <w:sz w:val="28"/>
          <w:szCs w:val="28"/>
          <w:highlight w:val="none"/>
        </w:rPr>
      </w:pPr>
      <w:r>
        <w:rPr>
          <w:rFonts w:hint="eastAsia"/>
          <w:b/>
          <w:sz w:val="28"/>
          <w:szCs w:val="28"/>
          <w:highlight w:val="none"/>
          <w:lang w:eastAsia="zh-CN"/>
        </w:rPr>
        <w:t>（</w:t>
      </w:r>
      <w:r>
        <w:rPr>
          <w:rFonts w:hint="eastAsia"/>
          <w:b/>
          <w:sz w:val="28"/>
          <w:szCs w:val="28"/>
          <w:highlight w:val="none"/>
          <w:lang w:val="en-US" w:eastAsia="zh-CN"/>
        </w:rPr>
        <w:t>二</w:t>
      </w:r>
      <w:r>
        <w:rPr>
          <w:rFonts w:hint="eastAsia"/>
          <w:b/>
          <w:sz w:val="28"/>
          <w:szCs w:val="28"/>
          <w:highlight w:val="none"/>
          <w:lang w:eastAsia="zh-CN"/>
        </w:rPr>
        <w:t>）</w:t>
      </w:r>
      <w:r>
        <w:rPr>
          <w:rFonts w:hint="eastAsia"/>
          <w:b/>
          <w:sz w:val="28"/>
          <w:szCs w:val="28"/>
          <w:highlight w:val="none"/>
        </w:rPr>
        <w:t>★</w:t>
      </w:r>
      <w:r>
        <w:rPr>
          <w:b/>
          <w:sz w:val="28"/>
          <w:szCs w:val="28"/>
          <w:highlight w:val="none"/>
        </w:rPr>
        <w:t>法定代表人身份证明书</w:t>
      </w:r>
    </w:p>
    <w:p w14:paraId="0EB9A6EA">
      <w:pPr>
        <w:spacing w:line="360" w:lineRule="auto"/>
        <w:jc w:val="center"/>
        <w:rPr>
          <w:b/>
          <w:sz w:val="30"/>
          <w:szCs w:val="30"/>
          <w:highlight w:val="none"/>
        </w:rPr>
      </w:pPr>
    </w:p>
    <w:p w14:paraId="5AB74937">
      <w:pPr>
        <w:spacing w:line="360" w:lineRule="auto"/>
        <w:rPr>
          <w:szCs w:val="21"/>
          <w:highlight w:val="none"/>
        </w:rPr>
      </w:pPr>
      <w:r>
        <w:rPr>
          <w:szCs w:val="21"/>
          <w:highlight w:val="none"/>
        </w:rPr>
        <w:t>供应商名称：</w:t>
      </w:r>
      <w:r>
        <w:rPr>
          <w:szCs w:val="21"/>
          <w:highlight w:val="none"/>
          <w:u w:val="single"/>
        </w:rPr>
        <w:t xml:space="preserve">                        </w:t>
      </w:r>
    </w:p>
    <w:p w14:paraId="784C1016">
      <w:pPr>
        <w:spacing w:line="360" w:lineRule="auto"/>
        <w:rPr>
          <w:szCs w:val="21"/>
          <w:highlight w:val="none"/>
        </w:rPr>
      </w:pPr>
      <w:r>
        <w:rPr>
          <w:szCs w:val="21"/>
          <w:highlight w:val="none"/>
        </w:rPr>
        <w:t>单位性质：</w:t>
      </w:r>
      <w:r>
        <w:rPr>
          <w:szCs w:val="21"/>
          <w:highlight w:val="none"/>
          <w:u w:val="single"/>
        </w:rPr>
        <w:t xml:space="preserve">                          </w:t>
      </w:r>
    </w:p>
    <w:p w14:paraId="239535EC">
      <w:pPr>
        <w:spacing w:line="360" w:lineRule="auto"/>
        <w:rPr>
          <w:szCs w:val="21"/>
          <w:highlight w:val="none"/>
        </w:rPr>
      </w:pPr>
      <w:r>
        <w:rPr>
          <w:szCs w:val="21"/>
          <w:highlight w:val="none"/>
        </w:rPr>
        <w:t>成立时间：</w:t>
      </w: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2C7247D4">
      <w:pPr>
        <w:spacing w:line="360" w:lineRule="auto"/>
        <w:rPr>
          <w:szCs w:val="21"/>
          <w:highlight w:val="none"/>
        </w:rPr>
      </w:pPr>
      <w:r>
        <w:rPr>
          <w:szCs w:val="21"/>
          <w:highlight w:val="none"/>
        </w:rPr>
        <w:t>经营期限：</w:t>
      </w:r>
      <w:r>
        <w:rPr>
          <w:szCs w:val="21"/>
          <w:highlight w:val="none"/>
          <w:u w:val="single"/>
        </w:rPr>
        <w:t xml:space="preserve">                          </w:t>
      </w:r>
    </w:p>
    <w:p w14:paraId="3C174EDB">
      <w:pPr>
        <w:spacing w:line="360" w:lineRule="auto"/>
        <w:rPr>
          <w:szCs w:val="21"/>
          <w:highlight w:val="none"/>
        </w:rPr>
      </w:pPr>
      <w:r>
        <w:rPr>
          <w:szCs w:val="21"/>
          <w:highlight w:val="none"/>
        </w:rPr>
        <w:t>姓名：</w:t>
      </w:r>
      <w:r>
        <w:rPr>
          <w:szCs w:val="21"/>
          <w:highlight w:val="none"/>
          <w:u w:val="single"/>
        </w:rPr>
        <w:t xml:space="preserve">            </w:t>
      </w:r>
      <w:r>
        <w:rPr>
          <w:szCs w:val="21"/>
          <w:highlight w:val="none"/>
        </w:rPr>
        <w:t>性别：</w:t>
      </w:r>
      <w:r>
        <w:rPr>
          <w:szCs w:val="21"/>
          <w:highlight w:val="none"/>
          <w:u w:val="single"/>
        </w:rPr>
        <w:t xml:space="preserve">            </w:t>
      </w:r>
      <w:r>
        <w:rPr>
          <w:szCs w:val="21"/>
          <w:highlight w:val="none"/>
        </w:rPr>
        <w:t>年龄：</w:t>
      </w:r>
      <w:r>
        <w:rPr>
          <w:szCs w:val="21"/>
          <w:highlight w:val="none"/>
          <w:u w:val="single"/>
        </w:rPr>
        <w:t xml:space="preserve">            </w:t>
      </w:r>
      <w:r>
        <w:rPr>
          <w:szCs w:val="21"/>
          <w:highlight w:val="none"/>
        </w:rPr>
        <w:t>职务：</w:t>
      </w:r>
      <w:r>
        <w:rPr>
          <w:szCs w:val="21"/>
          <w:highlight w:val="none"/>
          <w:u w:val="single"/>
        </w:rPr>
        <w:t xml:space="preserve">            </w:t>
      </w:r>
    </w:p>
    <w:p w14:paraId="237E3030">
      <w:pPr>
        <w:spacing w:line="360" w:lineRule="auto"/>
        <w:rPr>
          <w:szCs w:val="21"/>
          <w:highlight w:val="none"/>
        </w:rPr>
      </w:pPr>
      <w:r>
        <w:rPr>
          <w:szCs w:val="21"/>
          <w:highlight w:val="none"/>
        </w:rPr>
        <w:t>系</w:t>
      </w:r>
      <w:r>
        <w:rPr>
          <w:szCs w:val="21"/>
          <w:highlight w:val="none"/>
          <w:u w:val="single"/>
        </w:rPr>
        <w:t xml:space="preserve">                        </w:t>
      </w:r>
      <w:r>
        <w:rPr>
          <w:szCs w:val="21"/>
          <w:highlight w:val="none"/>
        </w:rPr>
        <w:t>（供应商名称）的法定代表人。</w:t>
      </w:r>
    </w:p>
    <w:p w14:paraId="580CAC6C">
      <w:pPr>
        <w:spacing w:line="360" w:lineRule="auto"/>
        <w:ind w:firstLine="420" w:firstLineChars="200"/>
        <w:rPr>
          <w:szCs w:val="21"/>
          <w:highlight w:val="none"/>
        </w:rPr>
      </w:pPr>
    </w:p>
    <w:p w14:paraId="0E43D6E4">
      <w:pPr>
        <w:spacing w:line="360" w:lineRule="auto"/>
        <w:ind w:firstLine="420" w:firstLineChars="200"/>
        <w:rPr>
          <w:szCs w:val="21"/>
          <w:highlight w:val="none"/>
        </w:rPr>
      </w:pPr>
      <w:r>
        <w:rPr>
          <w:szCs w:val="21"/>
          <w:highlight w:val="none"/>
        </w:rPr>
        <w:t>特此证明。</w:t>
      </w:r>
    </w:p>
    <w:p w14:paraId="0A5DC8C3">
      <w:pPr>
        <w:spacing w:line="360" w:lineRule="auto"/>
        <w:rPr>
          <w:b/>
          <w:bCs/>
          <w:sz w:val="24"/>
          <w:highlight w:val="none"/>
        </w:rPr>
      </w:pPr>
    </w:p>
    <w:p w14:paraId="55E56E02">
      <w:pPr>
        <w:spacing w:line="360" w:lineRule="auto"/>
        <w:rPr>
          <w:b/>
          <w:bCs/>
          <w:sz w:val="24"/>
          <w:highlight w:val="none"/>
        </w:rPr>
      </w:pPr>
      <w:r>
        <w:rPr>
          <w:b/>
          <w:bCs/>
          <w:sz w:val="24"/>
          <w:highlight w:val="none"/>
        </w:rPr>
        <w:t>注:后附法定代表人身份证复印件/扫描件（若法定代表人非中国国籍，后附法定代表人护照复印件/扫描件即可），否则视为无效证明。</w:t>
      </w:r>
    </w:p>
    <w:p w14:paraId="6D02D734">
      <w:pPr>
        <w:spacing w:line="360" w:lineRule="auto"/>
        <w:rPr>
          <w:szCs w:val="21"/>
          <w:highlight w:val="none"/>
        </w:rPr>
      </w:pPr>
    </w:p>
    <w:p w14:paraId="64FC1BEE">
      <w:pPr>
        <w:spacing w:line="360" w:lineRule="auto"/>
        <w:rPr>
          <w:szCs w:val="21"/>
          <w:highlight w:val="none"/>
        </w:rPr>
      </w:pPr>
    </w:p>
    <w:p w14:paraId="4B9B38C7">
      <w:pPr>
        <w:spacing w:line="360" w:lineRule="auto"/>
        <w:ind w:left="3780" w:leftChars="1800"/>
        <w:rPr>
          <w:szCs w:val="21"/>
          <w:highlight w:val="none"/>
        </w:rPr>
      </w:pPr>
      <w:r>
        <w:rPr>
          <w:szCs w:val="21"/>
          <w:highlight w:val="none"/>
        </w:rPr>
        <w:t>供应商：</w:t>
      </w:r>
      <w:r>
        <w:rPr>
          <w:szCs w:val="21"/>
          <w:highlight w:val="none"/>
          <w:u w:val="single"/>
        </w:rPr>
        <w:t xml:space="preserve">                    </w:t>
      </w:r>
      <w:r>
        <w:rPr>
          <w:szCs w:val="21"/>
          <w:highlight w:val="none"/>
        </w:rPr>
        <w:t>（盖章</w:t>
      </w:r>
      <w:r>
        <w:rPr>
          <w:rFonts w:hint="eastAsia"/>
          <w:szCs w:val="21"/>
          <w:highlight w:val="none"/>
        </w:rPr>
        <w:t>或电子签章</w:t>
      </w:r>
      <w:r>
        <w:rPr>
          <w:szCs w:val="21"/>
          <w:highlight w:val="none"/>
        </w:rPr>
        <w:t>）</w:t>
      </w:r>
    </w:p>
    <w:p w14:paraId="13664A2B">
      <w:pPr>
        <w:spacing w:line="360" w:lineRule="auto"/>
        <w:ind w:left="3780" w:leftChars="1800"/>
        <w:rPr>
          <w:szCs w:val="21"/>
          <w:highlight w:val="none"/>
        </w:rPr>
      </w:pP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53EEAE63">
      <w:pPr>
        <w:rPr>
          <w:b/>
          <w:sz w:val="28"/>
          <w:szCs w:val="28"/>
          <w:highlight w:val="none"/>
        </w:rPr>
      </w:pPr>
    </w:p>
    <w:p w14:paraId="4B1022EB">
      <w:pPr>
        <w:spacing w:line="360" w:lineRule="auto"/>
        <w:jc w:val="center"/>
        <w:outlineLvl w:val="2"/>
        <w:rPr>
          <w:b/>
          <w:sz w:val="28"/>
          <w:szCs w:val="28"/>
          <w:highlight w:val="none"/>
        </w:rPr>
      </w:pPr>
      <w:r>
        <w:rPr>
          <w:rFonts w:hint="eastAsia"/>
          <w:b/>
          <w:sz w:val="32"/>
          <w:szCs w:val="32"/>
          <w:highlight w:val="none"/>
        </w:rPr>
        <w:br w:type="page"/>
      </w:r>
      <w:r>
        <w:rPr>
          <w:rFonts w:hint="eastAsia"/>
          <w:b/>
          <w:sz w:val="28"/>
          <w:szCs w:val="28"/>
          <w:highlight w:val="none"/>
          <w:lang w:eastAsia="zh-CN"/>
        </w:rPr>
        <w:t>（</w:t>
      </w:r>
      <w:r>
        <w:rPr>
          <w:rFonts w:hint="eastAsia"/>
          <w:b/>
          <w:sz w:val="28"/>
          <w:szCs w:val="28"/>
          <w:highlight w:val="none"/>
          <w:lang w:val="en-US" w:eastAsia="zh-CN"/>
        </w:rPr>
        <w:t>三</w:t>
      </w:r>
      <w:r>
        <w:rPr>
          <w:rFonts w:hint="eastAsia"/>
          <w:b/>
          <w:sz w:val="28"/>
          <w:szCs w:val="28"/>
          <w:highlight w:val="none"/>
          <w:lang w:eastAsia="zh-CN"/>
        </w:rPr>
        <w:t>）</w:t>
      </w:r>
      <w:r>
        <w:rPr>
          <w:rFonts w:hint="eastAsia"/>
          <w:b/>
          <w:sz w:val="28"/>
          <w:szCs w:val="28"/>
          <w:highlight w:val="none"/>
        </w:rPr>
        <w:t>★</w:t>
      </w:r>
      <w:r>
        <w:rPr>
          <w:b/>
          <w:sz w:val="28"/>
          <w:szCs w:val="28"/>
          <w:highlight w:val="none"/>
        </w:rPr>
        <w:t>法定代表人授权委托书</w:t>
      </w:r>
    </w:p>
    <w:p w14:paraId="530F8B5F">
      <w:pPr>
        <w:spacing w:line="360" w:lineRule="auto"/>
        <w:ind w:firstLine="420" w:firstLineChars="200"/>
        <w:rPr>
          <w:szCs w:val="21"/>
          <w:highlight w:val="none"/>
        </w:rPr>
      </w:pPr>
    </w:p>
    <w:p w14:paraId="1C8C7AA6">
      <w:pPr>
        <w:spacing w:line="360" w:lineRule="auto"/>
        <w:ind w:firstLine="420" w:firstLineChars="200"/>
        <w:rPr>
          <w:szCs w:val="21"/>
          <w:highlight w:val="none"/>
        </w:rPr>
      </w:pPr>
      <w:r>
        <w:rPr>
          <w:szCs w:val="21"/>
          <w:highlight w:val="none"/>
        </w:rPr>
        <w:t>本授权书声明：</w:t>
      </w:r>
      <w:r>
        <w:rPr>
          <w:szCs w:val="21"/>
          <w:highlight w:val="none"/>
          <w:u w:val="single"/>
        </w:rPr>
        <w:t xml:space="preserve">       （供应商全称）     </w:t>
      </w:r>
      <w:r>
        <w:rPr>
          <w:szCs w:val="21"/>
          <w:highlight w:val="none"/>
        </w:rPr>
        <w:t>的法定代表人代表本公司授权</w:t>
      </w:r>
      <w:r>
        <w:rPr>
          <w:szCs w:val="21"/>
          <w:highlight w:val="none"/>
          <w:u w:val="single"/>
        </w:rPr>
        <w:t xml:space="preserve">   （委托代理人姓名）   </w:t>
      </w:r>
      <w:r>
        <w:rPr>
          <w:szCs w:val="21"/>
          <w:highlight w:val="none"/>
        </w:rPr>
        <w:t>为本公司合法代理人，以本单位名义亲自出席参加贵方组织的</w:t>
      </w:r>
      <w:r>
        <w:rPr>
          <w:rFonts w:hint="eastAsia"/>
          <w:szCs w:val="21"/>
          <w:highlight w:val="none"/>
          <w:u w:val="single"/>
          <w:lang w:eastAsia="zh-CN"/>
        </w:rPr>
        <w:t>云南省保山第一中学附属设施（连廊）建设项目（一期）</w:t>
      </w:r>
      <w:r>
        <w:rPr>
          <w:szCs w:val="21"/>
          <w:highlight w:val="none"/>
        </w:rPr>
        <w:t>的</w:t>
      </w:r>
      <w:r>
        <w:rPr>
          <w:rFonts w:hint="eastAsia"/>
          <w:szCs w:val="21"/>
          <w:highlight w:val="none"/>
          <w:lang w:eastAsia="zh-CN"/>
        </w:rPr>
        <w:t>磋商</w:t>
      </w:r>
      <w:r>
        <w:rPr>
          <w:szCs w:val="21"/>
          <w:highlight w:val="none"/>
        </w:rPr>
        <w:t>。代理人在本项目</w:t>
      </w:r>
      <w:r>
        <w:rPr>
          <w:rFonts w:hint="eastAsia"/>
          <w:szCs w:val="21"/>
          <w:highlight w:val="none"/>
          <w:lang w:eastAsia="zh-CN"/>
        </w:rPr>
        <w:t>磋商</w:t>
      </w:r>
      <w:r>
        <w:rPr>
          <w:szCs w:val="21"/>
          <w:highlight w:val="none"/>
        </w:rPr>
        <w:t>过程中所签署的一切文件和处理与之有关的一切事务，我方均予承认。</w:t>
      </w:r>
    </w:p>
    <w:p w14:paraId="0B308EFB">
      <w:pPr>
        <w:spacing w:line="360" w:lineRule="auto"/>
        <w:ind w:firstLine="420" w:firstLineChars="200"/>
        <w:rPr>
          <w:szCs w:val="21"/>
          <w:highlight w:val="none"/>
        </w:rPr>
      </w:pPr>
      <w:r>
        <w:rPr>
          <w:szCs w:val="21"/>
          <w:highlight w:val="none"/>
        </w:rPr>
        <w:t>代理人无转委托权。</w:t>
      </w:r>
    </w:p>
    <w:p w14:paraId="0EAC238E">
      <w:pPr>
        <w:spacing w:line="360" w:lineRule="auto"/>
        <w:ind w:firstLine="420" w:firstLineChars="200"/>
        <w:rPr>
          <w:szCs w:val="21"/>
          <w:highlight w:val="none"/>
        </w:rPr>
      </w:pPr>
    </w:p>
    <w:p w14:paraId="02C08591">
      <w:pPr>
        <w:spacing w:line="360" w:lineRule="auto"/>
        <w:ind w:firstLine="420" w:firstLineChars="200"/>
        <w:rPr>
          <w:szCs w:val="21"/>
          <w:highlight w:val="none"/>
        </w:rPr>
      </w:pPr>
      <w:r>
        <w:rPr>
          <w:szCs w:val="21"/>
          <w:highlight w:val="none"/>
        </w:rPr>
        <w:t>供应商：</w:t>
      </w:r>
      <w:r>
        <w:rPr>
          <w:szCs w:val="21"/>
          <w:highlight w:val="none"/>
          <w:u w:val="single"/>
        </w:rPr>
        <w:t xml:space="preserve">        （全称）      </w:t>
      </w:r>
      <w:r>
        <w:rPr>
          <w:szCs w:val="21"/>
          <w:highlight w:val="none"/>
        </w:rPr>
        <w:t>（盖章</w:t>
      </w:r>
      <w:r>
        <w:rPr>
          <w:rFonts w:hint="eastAsia"/>
          <w:szCs w:val="21"/>
          <w:highlight w:val="none"/>
        </w:rPr>
        <w:t>或电子签章</w:t>
      </w:r>
      <w:r>
        <w:rPr>
          <w:szCs w:val="21"/>
          <w:highlight w:val="none"/>
        </w:rPr>
        <w:t>）</w:t>
      </w:r>
    </w:p>
    <w:p w14:paraId="7DC975CE">
      <w:pPr>
        <w:spacing w:line="360" w:lineRule="auto"/>
        <w:ind w:firstLine="420" w:firstLineChars="200"/>
        <w:rPr>
          <w:szCs w:val="21"/>
          <w:highlight w:val="none"/>
        </w:rPr>
      </w:pPr>
      <w:r>
        <w:rPr>
          <w:szCs w:val="21"/>
          <w:highlight w:val="none"/>
        </w:rPr>
        <w:t>法定代表人：</w:t>
      </w:r>
      <w:r>
        <w:rPr>
          <w:szCs w:val="21"/>
          <w:highlight w:val="none"/>
          <w:u w:val="single"/>
        </w:rPr>
        <w:t xml:space="preserve">                  </w:t>
      </w:r>
      <w:r>
        <w:rPr>
          <w:szCs w:val="21"/>
          <w:highlight w:val="none"/>
        </w:rPr>
        <w:t>（签名</w:t>
      </w:r>
      <w:r>
        <w:rPr>
          <w:rFonts w:hint="eastAsia"/>
          <w:szCs w:val="21"/>
          <w:highlight w:val="none"/>
        </w:rPr>
        <w:t>或电子签章</w:t>
      </w:r>
      <w:r>
        <w:rPr>
          <w:szCs w:val="21"/>
          <w:highlight w:val="none"/>
        </w:rPr>
        <w:t>）</w:t>
      </w:r>
    </w:p>
    <w:p w14:paraId="5C17CD37">
      <w:pPr>
        <w:spacing w:line="360" w:lineRule="auto"/>
        <w:ind w:firstLine="420" w:firstLineChars="200"/>
        <w:rPr>
          <w:szCs w:val="21"/>
          <w:highlight w:val="none"/>
        </w:rPr>
      </w:pPr>
      <w:r>
        <w:rPr>
          <w:szCs w:val="21"/>
          <w:highlight w:val="none"/>
        </w:rPr>
        <w:t>法定代表人身份证号码：</w:t>
      </w:r>
      <w:r>
        <w:rPr>
          <w:szCs w:val="21"/>
          <w:highlight w:val="none"/>
          <w:u w:val="single"/>
        </w:rPr>
        <w:t xml:space="preserve">               </w:t>
      </w:r>
    </w:p>
    <w:p w14:paraId="1B99D132">
      <w:pPr>
        <w:spacing w:line="360" w:lineRule="auto"/>
        <w:ind w:firstLine="420" w:firstLineChars="200"/>
        <w:rPr>
          <w:szCs w:val="21"/>
          <w:highlight w:val="none"/>
          <w:u w:val="single"/>
        </w:rPr>
      </w:pPr>
      <w:r>
        <w:rPr>
          <w:szCs w:val="21"/>
          <w:highlight w:val="none"/>
        </w:rPr>
        <w:t>委托代理人及联系方式：</w:t>
      </w:r>
      <w:r>
        <w:rPr>
          <w:szCs w:val="21"/>
          <w:highlight w:val="none"/>
          <w:u w:val="single"/>
        </w:rPr>
        <w:t xml:space="preserve">               </w:t>
      </w:r>
    </w:p>
    <w:p w14:paraId="0B6D4EB1">
      <w:pPr>
        <w:spacing w:line="360" w:lineRule="auto"/>
        <w:ind w:firstLine="420" w:firstLineChars="200"/>
        <w:rPr>
          <w:szCs w:val="21"/>
          <w:highlight w:val="none"/>
        </w:rPr>
      </w:pPr>
      <w:r>
        <w:rPr>
          <w:szCs w:val="21"/>
          <w:highlight w:val="none"/>
        </w:rPr>
        <w:t>职      务：</w:t>
      </w:r>
      <w:r>
        <w:rPr>
          <w:szCs w:val="21"/>
          <w:highlight w:val="none"/>
          <w:u w:val="single"/>
        </w:rPr>
        <w:t xml:space="preserve">                         </w:t>
      </w:r>
    </w:p>
    <w:p w14:paraId="1DF3978A">
      <w:pPr>
        <w:spacing w:line="360" w:lineRule="auto"/>
        <w:ind w:firstLine="420" w:firstLineChars="200"/>
        <w:rPr>
          <w:szCs w:val="21"/>
          <w:highlight w:val="none"/>
        </w:rPr>
      </w:pPr>
      <w:r>
        <w:rPr>
          <w:szCs w:val="21"/>
          <w:highlight w:val="none"/>
        </w:rPr>
        <w:t>代理人身份证号码：</w:t>
      </w:r>
      <w:r>
        <w:rPr>
          <w:szCs w:val="21"/>
          <w:highlight w:val="none"/>
          <w:u w:val="single"/>
        </w:rPr>
        <w:t xml:space="preserve">                   </w:t>
      </w:r>
    </w:p>
    <w:p w14:paraId="7DA4E2B4">
      <w:pPr>
        <w:spacing w:line="360" w:lineRule="auto"/>
        <w:ind w:firstLine="420" w:firstLineChars="200"/>
        <w:rPr>
          <w:szCs w:val="21"/>
          <w:highlight w:val="none"/>
          <w:u w:val="single"/>
        </w:rPr>
      </w:pPr>
    </w:p>
    <w:p w14:paraId="0893BEC6">
      <w:pPr>
        <w:spacing w:line="360" w:lineRule="auto"/>
        <w:ind w:firstLine="420" w:firstLineChars="200"/>
        <w:rPr>
          <w:szCs w:val="21"/>
          <w:highlight w:val="none"/>
        </w:rPr>
      </w:pP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7AC1FA1C">
      <w:pPr>
        <w:spacing w:line="360" w:lineRule="auto"/>
        <w:ind w:firstLine="420" w:firstLineChars="200"/>
        <w:rPr>
          <w:szCs w:val="21"/>
          <w:highlight w:val="none"/>
        </w:rPr>
      </w:pPr>
    </w:p>
    <w:p w14:paraId="36B5DBD7">
      <w:pPr>
        <w:spacing w:line="360" w:lineRule="auto"/>
        <w:ind w:firstLine="422" w:firstLineChars="200"/>
        <w:rPr>
          <w:b/>
          <w:szCs w:val="21"/>
          <w:highlight w:val="none"/>
        </w:rPr>
      </w:pPr>
      <w:r>
        <w:rPr>
          <w:b/>
          <w:szCs w:val="21"/>
          <w:highlight w:val="none"/>
        </w:rPr>
        <w:t>注：后附委托代理人身份证复印件/扫描件（若法定代表人非中国国籍，后附委托代理人护照复印件/扫描件即可），否则视为无效证明。</w:t>
      </w:r>
    </w:p>
    <w:p w14:paraId="56F772C3">
      <w:pPr>
        <w:rPr>
          <w:b/>
          <w:sz w:val="28"/>
          <w:szCs w:val="28"/>
          <w:highlight w:val="none"/>
        </w:rPr>
      </w:pPr>
      <w:r>
        <w:rPr>
          <w:b/>
          <w:szCs w:val="21"/>
          <w:highlight w:val="none"/>
        </w:rPr>
        <w:br w:type="page"/>
      </w:r>
    </w:p>
    <w:p w14:paraId="0F1B1E26">
      <w:pPr>
        <w:spacing w:line="360" w:lineRule="auto"/>
        <w:jc w:val="center"/>
        <w:outlineLvl w:val="2"/>
        <w:rPr>
          <w:rFonts w:hint="default"/>
          <w:b/>
          <w:sz w:val="28"/>
          <w:szCs w:val="28"/>
          <w:highlight w:val="none"/>
          <w:lang w:val="en-US" w:eastAsia="zh-CN"/>
        </w:rPr>
      </w:pPr>
      <w:bookmarkStart w:id="278" w:name="_Toc522176866"/>
      <w:bookmarkStart w:id="279" w:name="_Toc496520988"/>
      <w:bookmarkStart w:id="280" w:name="_Toc493600020"/>
      <w:r>
        <w:rPr>
          <w:rFonts w:hint="eastAsia"/>
          <w:b/>
          <w:sz w:val="28"/>
          <w:szCs w:val="28"/>
          <w:highlight w:val="none"/>
          <w:lang w:val="en-US" w:eastAsia="zh-CN"/>
        </w:rPr>
        <w:t>（四）保证金缴纳凭证</w:t>
      </w:r>
    </w:p>
    <w:bookmarkEnd w:id="278"/>
    <w:bookmarkEnd w:id="279"/>
    <w:bookmarkEnd w:id="280"/>
    <w:p w14:paraId="37FF9EE5">
      <w:pPr>
        <w:spacing w:line="360" w:lineRule="auto"/>
        <w:jc w:val="left"/>
        <w:rPr>
          <w:rFonts w:hint="eastAsia" w:ascii="宋体" w:hAnsi="宋体"/>
          <w:sz w:val="24"/>
          <w:highlight w:val="none"/>
        </w:rPr>
      </w:pPr>
      <w:r>
        <w:rPr>
          <w:rFonts w:hint="eastAsia" w:ascii="宋体" w:hAnsi="宋体"/>
          <w:sz w:val="24"/>
          <w:highlight w:val="none"/>
        </w:rPr>
        <w:t>附：①保证金缴纳凭证</w:t>
      </w:r>
    </w:p>
    <w:p w14:paraId="42B3A01F">
      <w:pPr>
        <w:spacing w:line="360" w:lineRule="auto"/>
        <w:ind w:firstLine="480" w:firstLineChars="200"/>
        <w:jc w:val="left"/>
        <w:rPr>
          <w:rFonts w:hint="eastAsia" w:ascii="宋体" w:hAnsi="宋体" w:eastAsia="宋体"/>
          <w:sz w:val="24"/>
          <w:highlight w:val="none"/>
          <w:lang w:eastAsia="zh-CN"/>
        </w:rPr>
      </w:pPr>
      <w:r>
        <w:rPr>
          <w:rFonts w:hint="eastAsia" w:ascii="宋体" w:hAnsi="宋体"/>
          <w:sz w:val="24"/>
          <w:highlight w:val="none"/>
        </w:rPr>
        <w:t>②基本账户开户许可证或基本存款账户信息</w:t>
      </w:r>
    </w:p>
    <w:p w14:paraId="431AB3D7">
      <w:pPr>
        <w:rPr>
          <w:rFonts w:hint="eastAsia" w:ascii="Times New Roman" w:hAnsi="Times New Roman" w:eastAsia="宋体" w:cs="Times New Roman"/>
          <w:b/>
          <w:bCs w:val="0"/>
          <w:kern w:val="2"/>
          <w:sz w:val="22"/>
          <w:szCs w:val="21"/>
          <w:highlight w:val="none"/>
          <w:lang w:val="en-US" w:eastAsia="zh-CN" w:bidi="ar-SA"/>
        </w:rPr>
      </w:pPr>
      <w:r>
        <w:rPr>
          <w:rFonts w:hint="eastAsia" w:ascii="Times New Roman" w:hAnsi="Times New Roman" w:eastAsia="宋体" w:cs="Times New Roman"/>
          <w:b/>
          <w:bCs w:val="0"/>
          <w:kern w:val="2"/>
          <w:sz w:val="22"/>
          <w:szCs w:val="21"/>
          <w:highlight w:val="none"/>
          <w:lang w:val="en-US" w:eastAsia="zh-CN" w:bidi="ar-SA"/>
        </w:rPr>
        <w:br w:type="page"/>
      </w:r>
    </w:p>
    <w:p w14:paraId="79F6B231">
      <w:pPr>
        <w:spacing w:line="360" w:lineRule="auto"/>
        <w:jc w:val="center"/>
        <w:outlineLvl w:val="2"/>
        <w:rPr>
          <w:rFonts w:hint="eastAsia"/>
          <w:b/>
          <w:sz w:val="28"/>
          <w:szCs w:val="28"/>
          <w:highlight w:val="none"/>
          <w:lang w:val="en-US" w:eastAsia="zh-CN"/>
        </w:rPr>
      </w:pPr>
      <w:r>
        <w:rPr>
          <w:rFonts w:hint="eastAsia"/>
          <w:b/>
          <w:sz w:val="28"/>
          <w:szCs w:val="28"/>
          <w:highlight w:val="none"/>
          <w:lang w:val="en-US" w:eastAsia="zh-CN"/>
        </w:rPr>
        <w:t>（五）供应商应满足《中华人民共和国政府采购法》第二十二条规定；符合《中华人民共和国政府采购法实施条例》第十八条规定，并提供下列材料</w:t>
      </w:r>
    </w:p>
    <w:p w14:paraId="7AE77280">
      <w:pPr>
        <w:spacing w:line="360" w:lineRule="auto"/>
        <w:jc w:val="center"/>
        <w:outlineLvl w:val="9"/>
        <w:rPr>
          <w:rFonts w:hint="eastAsia"/>
          <w:b/>
          <w:sz w:val="24"/>
          <w:szCs w:val="24"/>
          <w:highlight w:val="none"/>
          <w:lang w:val="en-US" w:eastAsia="zh-CN"/>
        </w:rPr>
      </w:pPr>
    </w:p>
    <w:p w14:paraId="63252F3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4"/>
        <w:rPr>
          <w:b/>
          <w:sz w:val="28"/>
          <w:szCs w:val="28"/>
          <w:highlight w:val="none"/>
        </w:rPr>
      </w:pPr>
      <w:bookmarkStart w:id="281" w:name="_Toc522176867"/>
      <w:bookmarkStart w:id="282" w:name="_Toc496520989"/>
      <w:bookmarkStart w:id="283" w:name="_Toc493600021"/>
      <w:r>
        <w:rPr>
          <w:rFonts w:hint="eastAsia"/>
          <w:b/>
          <w:sz w:val="28"/>
          <w:szCs w:val="28"/>
          <w:highlight w:val="none"/>
          <w:lang w:eastAsia="zh-CN"/>
        </w:rPr>
        <w:br w:type="page"/>
      </w:r>
      <w:r>
        <w:rPr>
          <w:rFonts w:hint="eastAsia" w:cs="Times New Roman"/>
          <w:b/>
          <w:sz w:val="28"/>
          <w:szCs w:val="28"/>
          <w:highlight w:val="none"/>
          <w:lang w:val="en-US" w:eastAsia="zh-CN"/>
        </w:rPr>
        <w:t>1.</w:t>
      </w:r>
      <w:r>
        <w:rPr>
          <w:rFonts w:hint="eastAsia" w:ascii="Times New Roman" w:hAnsi="Times New Roman" w:eastAsia="宋体" w:cs="Times New Roman"/>
          <w:b/>
          <w:sz w:val="28"/>
          <w:szCs w:val="28"/>
          <w:highlight w:val="none"/>
          <w:lang w:eastAsia="zh-CN"/>
        </w:rPr>
        <w:t>供应商财务状况报告</w:t>
      </w:r>
    </w:p>
    <w:p w14:paraId="3A1F1D86">
      <w:pPr>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highlight w:val="none"/>
        </w:rPr>
      </w:pPr>
    </w:p>
    <w:p w14:paraId="333685B3">
      <w:pPr>
        <w:snapToGrid w:val="0"/>
        <w:ind w:firstLine="420"/>
        <w:jc w:val="left"/>
        <w:rPr>
          <w:rFonts w:hint="eastAsia" w:ascii="Times New Roman" w:hAnsi="Times New Roman" w:eastAsia="宋体" w:cs="Times New Roman"/>
          <w:highlight w:val="none"/>
          <w:lang w:val="en-US" w:eastAsia="zh-CN"/>
        </w:rPr>
      </w:pPr>
      <w:r>
        <w:rPr>
          <w:rFonts w:ascii="Times New Roman" w:hAnsi="Times New Roman" w:eastAsia="宋体" w:cs="Times New Roman"/>
          <w:highlight w:val="none"/>
        </w:rPr>
        <w:t>详见</w:t>
      </w:r>
      <w:r>
        <w:rPr>
          <w:rFonts w:hint="eastAsia" w:ascii="Times New Roman" w:hAnsi="Times New Roman" w:eastAsia="宋体" w:cs="Times New Roman"/>
          <w:highlight w:val="none"/>
          <w:lang w:eastAsia="zh-CN"/>
        </w:rPr>
        <w:t>“</w:t>
      </w:r>
      <w:r>
        <w:rPr>
          <w:rFonts w:hint="eastAsia" w:ascii="Times New Roman" w:hAnsi="Times New Roman" w:eastAsia="宋体" w:cs="Times New Roman"/>
          <w:b/>
          <w:bCs/>
          <w:highlight w:val="none"/>
          <w:lang w:val="en-US" w:eastAsia="zh-CN"/>
        </w:rPr>
        <w:t>供应商</w:t>
      </w:r>
      <w:r>
        <w:rPr>
          <w:rFonts w:ascii="Times New Roman" w:hAnsi="Times New Roman" w:eastAsia="宋体" w:cs="Times New Roman"/>
          <w:b/>
          <w:bCs/>
          <w:highlight w:val="none"/>
        </w:rPr>
        <w:t>须知前附表</w:t>
      </w:r>
      <w:r>
        <w:rPr>
          <w:rFonts w:hint="eastAsia" w:ascii="Times New Roman" w:hAnsi="Times New Roman" w:eastAsia="宋体" w:cs="Times New Roman"/>
          <w:highlight w:val="none"/>
          <w:lang w:eastAsia="zh-CN"/>
        </w:rPr>
        <w:t>”</w:t>
      </w:r>
      <w:r>
        <w:rPr>
          <w:rFonts w:ascii="Times New Roman" w:hAnsi="Times New Roman" w:eastAsia="宋体" w:cs="Times New Roman"/>
          <w:highlight w:val="none"/>
        </w:rPr>
        <w:t>4.1.2款规定。</w:t>
      </w:r>
      <w:r>
        <w:rPr>
          <w:rFonts w:hint="eastAsia" w:ascii="宋体" w:hAnsi="Courier New" w:eastAsia="宋体" w:cs="Times New Roman"/>
          <w:b/>
          <w:bCs/>
          <w:color w:val="auto"/>
          <w:sz w:val="21"/>
          <w:szCs w:val="21"/>
          <w:highlight w:val="none"/>
          <w:lang w:eastAsia="zh-CN"/>
        </w:rPr>
        <w:t>根据《关于加强审计报告查验工作的通知》（财会〔2023〕15号）规定，在2022年10月以后出具的审计报告须在注册会计师行业统一监管平台（网址：https：//acc.mof.gov.cn）取得赋码，未取得赋码的财务报告视为无效</w:t>
      </w:r>
      <w:r>
        <w:rPr>
          <w:rFonts w:hint="eastAsia" w:ascii="宋体" w:hAnsi="宋体" w:eastAsia="宋体" w:cs="宋体"/>
          <w:b/>
          <w:color w:val="000000"/>
          <w:szCs w:val="21"/>
          <w:highlight w:val="none"/>
          <w:lang w:eastAsia="zh-CN"/>
        </w:rPr>
        <w:t>。</w:t>
      </w:r>
    </w:p>
    <w:p w14:paraId="7E3AE5A8">
      <w:pPr>
        <w:keepNext w:val="0"/>
        <w:keepLines w:val="0"/>
        <w:pageBreakBefore w:val="0"/>
        <w:shd w:val="clear" w:color="auto" w:fill="auto"/>
        <w:kinsoku/>
        <w:overflowPunct/>
        <w:topLinePunct w:val="0"/>
        <w:bidi w:val="0"/>
        <w:snapToGrid w:val="0"/>
        <w:spacing w:line="360" w:lineRule="auto"/>
        <w:jc w:val="both"/>
        <w:textAlignment w:val="auto"/>
        <w:rPr>
          <w:rFonts w:hint="eastAsia"/>
          <w:b/>
          <w:bCs/>
          <w:highlight w:val="none"/>
          <w:lang w:val="en-US" w:eastAsia="zh-CN"/>
        </w:rPr>
      </w:pPr>
    </w:p>
    <w:p w14:paraId="4B8B614D">
      <w:pPr>
        <w:keepNext w:val="0"/>
        <w:keepLines w:val="0"/>
        <w:pageBreakBefore w:val="0"/>
        <w:widowControl w:val="0"/>
        <w:kinsoku/>
        <w:wordWrap/>
        <w:overflowPunct/>
        <w:topLinePunct w:val="0"/>
        <w:autoSpaceDE/>
        <w:autoSpaceDN/>
        <w:bidi w:val="0"/>
        <w:adjustRightInd/>
        <w:snapToGrid w:val="0"/>
        <w:ind w:firstLine="0"/>
        <w:jc w:val="center"/>
        <w:textAlignment w:val="auto"/>
        <w:outlineLvl w:val="9"/>
        <w:rPr>
          <w:rFonts w:hint="eastAsia" w:ascii="Times New Roman" w:hAnsi="Times New Roman" w:eastAsia="宋体" w:cs="Times New Roman"/>
          <w:b/>
          <w:sz w:val="28"/>
          <w:szCs w:val="28"/>
          <w:highlight w:val="none"/>
          <w:lang w:eastAsia="zh-CN"/>
        </w:rPr>
      </w:pPr>
    </w:p>
    <w:p w14:paraId="44C81958">
      <w:pPr>
        <w:pStyle w:val="18"/>
        <w:keepNext w:val="0"/>
        <w:keepLines w:val="0"/>
        <w:pageBreakBefore w:val="0"/>
        <w:widowControl w:val="0"/>
        <w:kinsoku/>
        <w:wordWrap/>
        <w:overflowPunct/>
        <w:topLinePunct w:val="0"/>
        <w:autoSpaceDE/>
        <w:autoSpaceDN/>
        <w:bidi w:val="0"/>
        <w:adjustRightInd/>
        <w:ind w:firstLine="0"/>
        <w:textAlignment w:val="auto"/>
        <w:rPr>
          <w:rFonts w:hint="eastAsia" w:ascii="Times New Roman" w:hAnsi="Times New Roman" w:eastAsia="宋体" w:cs="Times New Roman"/>
          <w:b/>
          <w:sz w:val="28"/>
          <w:szCs w:val="28"/>
          <w:highlight w:val="none"/>
          <w:lang w:eastAsia="zh-CN"/>
        </w:rPr>
      </w:pPr>
    </w:p>
    <w:p w14:paraId="671924AB">
      <w:pPr>
        <w:pStyle w:val="18"/>
        <w:keepNext w:val="0"/>
        <w:keepLines w:val="0"/>
        <w:pageBreakBefore w:val="0"/>
        <w:widowControl w:val="0"/>
        <w:kinsoku/>
        <w:wordWrap/>
        <w:overflowPunct/>
        <w:topLinePunct w:val="0"/>
        <w:autoSpaceDE/>
        <w:autoSpaceDN/>
        <w:bidi w:val="0"/>
        <w:adjustRightInd/>
        <w:ind w:firstLine="0"/>
        <w:textAlignment w:val="auto"/>
        <w:rPr>
          <w:rFonts w:hint="eastAsia" w:ascii="Times New Roman" w:hAnsi="Times New Roman" w:eastAsia="宋体" w:cs="Times New Roman"/>
          <w:b/>
          <w:sz w:val="28"/>
          <w:szCs w:val="28"/>
          <w:highlight w:val="none"/>
          <w:lang w:eastAsia="zh-CN"/>
        </w:rPr>
      </w:pPr>
    </w:p>
    <w:p w14:paraId="5BE01C60">
      <w:pPr>
        <w:pStyle w:val="18"/>
        <w:keepNext w:val="0"/>
        <w:keepLines w:val="0"/>
        <w:pageBreakBefore w:val="0"/>
        <w:widowControl w:val="0"/>
        <w:kinsoku/>
        <w:wordWrap/>
        <w:overflowPunct/>
        <w:topLinePunct w:val="0"/>
        <w:autoSpaceDE/>
        <w:autoSpaceDN/>
        <w:bidi w:val="0"/>
        <w:adjustRightInd/>
        <w:ind w:firstLine="0"/>
        <w:textAlignment w:val="auto"/>
        <w:rPr>
          <w:rFonts w:hint="eastAsia" w:ascii="Times New Roman" w:hAnsi="Times New Roman" w:eastAsia="宋体" w:cs="Times New Roman"/>
          <w:b/>
          <w:sz w:val="28"/>
          <w:szCs w:val="28"/>
          <w:highlight w:val="none"/>
          <w:lang w:eastAsia="zh-CN"/>
        </w:rPr>
      </w:pPr>
    </w:p>
    <w:p w14:paraId="04A1A71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4"/>
        <w:rPr>
          <w:rFonts w:hint="eastAsia" w:ascii="Times New Roman" w:hAnsi="Times New Roman" w:eastAsia="宋体" w:cs="Times New Roman"/>
          <w:b/>
          <w:sz w:val="28"/>
          <w:szCs w:val="28"/>
          <w:highlight w:val="none"/>
          <w:lang w:eastAsia="zh-CN"/>
        </w:rPr>
      </w:pPr>
      <w:r>
        <w:rPr>
          <w:rFonts w:hint="eastAsia" w:cs="Times New Roman"/>
          <w:b/>
          <w:sz w:val="28"/>
          <w:szCs w:val="28"/>
          <w:highlight w:val="none"/>
          <w:lang w:val="en-US" w:eastAsia="zh-CN"/>
        </w:rPr>
        <w:t>2.</w:t>
      </w:r>
      <w:r>
        <w:rPr>
          <w:rFonts w:hint="eastAsia" w:ascii="Times New Roman" w:hAnsi="Times New Roman" w:eastAsia="宋体" w:cs="Times New Roman"/>
          <w:b/>
          <w:sz w:val="28"/>
          <w:szCs w:val="28"/>
          <w:highlight w:val="none"/>
          <w:lang w:eastAsia="zh-CN"/>
        </w:rPr>
        <w:t>供应商依法缴纳税收的证明材料</w:t>
      </w:r>
      <w:bookmarkEnd w:id="281"/>
      <w:bookmarkEnd w:id="282"/>
      <w:bookmarkEnd w:id="283"/>
    </w:p>
    <w:p w14:paraId="718A112A">
      <w:pPr>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highlight w:val="none"/>
        </w:rPr>
      </w:pPr>
    </w:p>
    <w:p w14:paraId="4094EA28">
      <w:pPr>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highlight w:val="none"/>
        </w:rPr>
      </w:pPr>
      <w:r>
        <w:rPr>
          <w:highlight w:val="none"/>
        </w:rPr>
        <w:t>详见</w:t>
      </w:r>
      <w:r>
        <w:rPr>
          <w:rFonts w:hint="eastAsia"/>
          <w:highlight w:val="none"/>
          <w:lang w:eastAsia="zh-CN"/>
        </w:rPr>
        <w:t>“</w:t>
      </w:r>
      <w:r>
        <w:rPr>
          <w:rFonts w:hint="eastAsia"/>
          <w:b/>
          <w:szCs w:val="28"/>
          <w:highlight w:val="none"/>
          <w:lang w:eastAsia="zh-CN"/>
        </w:rPr>
        <w:t>供应商</w:t>
      </w:r>
      <w:r>
        <w:rPr>
          <w:b/>
          <w:szCs w:val="28"/>
          <w:highlight w:val="none"/>
        </w:rPr>
        <w:t>须知前附表</w:t>
      </w:r>
      <w:r>
        <w:rPr>
          <w:rFonts w:hint="eastAsia"/>
          <w:highlight w:val="none"/>
          <w:lang w:eastAsia="zh-CN"/>
        </w:rPr>
        <w:t>”</w:t>
      </w:r>
      <w:r>
        <w:rPr>
          <w:highlight w:val="none"/>
        </w:rPr>
        <w:t>4.1.3款规定。</w:t>
      </w:r>
    </w:p>
    <w:p w14:paraId="0F2E2CD8">
      <w:pPr>
        <w:pStyle w:val="18"/>
        <w:keepNext w:val="0"/>
        <w:keepLines w:val="0"/>
        <w:pageBreakBefore w:val="0"/>
        <w:widowControl w:val="0"/>
        <w:kinsoku/>
        <w:wordWrap/>
        <w:overflowPunct/>
        <w:topLinePunct w:val="0"/>
        <w:autoSpaceDE/>
        <w:autoSpaceDN/>
        <w:bidi w:val="0"/>
        <w:adjustRightInd/>
        <w:ind w:firstLine="0"/>
        <w:textAlignment w:val="auto"/>
        <w:rPr>
          <w:highlight w:val="none"/>
        </w:rPr>
      </w:pPr>
    </w:p>
    <w:p w14:paraId="377269A0">
      <w:pPr>
        <w:pStyle w:val="18"/>
        <w:keepNext w:val="0"/>
        <w:keepLines w:val="0"/>
        <w:pageBreakBefore w:val="0"/>
        <w:widowControl w:val="0"/>
        <w:kinsoku/>
        <w:wordWrap/>
        <w:overflowPunct/>
        <w:topLinePunct w:val="0"/>
        <w:autoSpaceDE/>
        <w:autoSpaceDN/>
        <w:bidi w:val="0"/>
        <w:adjustRightInd/>
        <w:ind w:firstLine="0"/>
        <w:textAlignment w:val="auto"/>
        <w:rPr>
          <w:highlight w:val="none"/>
        </w:rPr>
      </w:pPr>
    </w:p>
    <w:p w14:paraId="68985F57">
      <w:pPr>
        <w:pStyle w:val="18"/>
        <w:keepNext w:val="0"/>
        <w:keepLines w:val="0"/>
        <w:pageBreakBefore w:val="0"/>
        <w:widowControl w:val="0"/>
        <w:kinsoku/>
        <w:wordWrap/>
        <w:overflowPunct/>
        <w:topLinePunct w:val="0"/>
        <w:autoSpaceDE/>
        <w:autoSpaceDN/>
        <w:bidi w:val="0"/>
        <w:adjustRightInd/>
        <w:ind w:firstLine="0"/>
        <w:textAlignment w:val="auto"/>
        <w:rPr>
          <w:highlight w:val="none"/>
        </w:rPr>
      </w:pPr>
    </w:p>
    <w:p w14:paraId="1CFE7845">
      <w:pPr>
        <w:pStyle w:val="18"/>
        <w:keepNext w:val="0"/>
        <w:keepLines w:val="0"/>
        <w:pageBreakBefore w:val="0"/>
        <w:widowControl w:val="0"/>
        <w:kinsoku/>
        <w:wordWrap/>
        <w:overflowPunct/>
        <w:topLinePunct w:val="0"/>
        <w:autoSpaceDE/>
        <w:autoSpaceDN/>
        <w:bidi w:val="0"/>
        <w:adjustRightInd/>
        <w:ind w:firstLine="0"/>
        <w:textAlignment w:val="auto"/>
        <w:rPr>
          <w:highlight w:val="none"/>
        </w:rPr>
      </w:pPr>
    </w:p>
    <w:p w14:paraId="68196DE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4"/>
        <w:rPr>
          <w:rFonts w:hint="eastAsia" w:ascii="Times New Roman" w:hAnsi="Times New Roman" w:eastAsia="宋体" w:cs="Times New Roman"/>
          <w:b/>
          <w:sz w:val="28"/>
          <w:szCs w:val="28"/>
          <w:highlight w:val="none"/>
          <w:lang w:eastAsia="zh-CN"/>
        </w:rPr>
      </w:pPr>
      <w:bookmarkStart w:id="284" w:name="_Toc493600022"/>
      <w:bookmarkStart w:id="285" w:name="_Toc522176868"/>
      <w:bookmarkStart w:id="286" w:name="_Toc496520990"/>
      <w:r>
        <w:rPr>
          <w:rFonts w:hint="eastAsia" w:cs="Times New Roman"/>
          <w:b/>
          <w:sz w:val="28"/>
          <w:szCs w:val="28"/>
          <w:highlight w:val="none"/>
          <w:lang w:val="en-US" w:eastAsia="zh-CN"/>
        </w:rPr>
        <w:t>3.</w:t>
      </w:r>
      <w:r>
        <w:rPr>
          <w:rFonts w:hint="eastAsia" w:ascii="Times New Roman" w:hAnsi="Times New Roman" w:eastAsia="宋体" w:cs="Times New Roman"/>
          <w:b/>
          <w:sz w:val="28"/>
          <w:szCs w:val="28"/>
          <w:highlight w:val="none"/>
          <w:lang w:eastAsia="zh-CN"/>
        </w:rPr>
        <w:t>供应商依法缴纳社会保障资金的证明材料</w:t>
      </w:r>
      <w:bookmarkEnd w:id="284"/>
      <w:bookmarkEnd w:id="285"/>
      <w:bookmarkEnd w:id="286"/>
    </w:p>
    <w:p w14:paraId="511C6B2A">
      <w:pPr>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highlight w:val="none"/>
        </w:rPr>
      </w:pPr>
    </w:p>
    <w:p w14:paraId="370E3B92">
      <w:pPr>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highlight w:val="none"/>
        </w:rPr>
      </w:pPr>
      <w:r>
        <w:rPr>
          <w:highlight w:val="none"/>
        </w:rPr>
        <w:t>详见</w:t>
      </w:r>
      <w:r>
        <w:rPr>
          <w:rFonts w:hint="eastAsia"/>
          <w:highlight w:val="none"/>
          <w:lang w:eastAsia="zh-CN"/>
        </w:rPr>
        <w:t>“</w:t>
      </w:r>
      <w:r>
        <w:rPr>
          <w:rFonts w:hint="eastAsia"/>
          <w:b/>
          <w:szCs w:val="28"/>
          <w:highlight w:val="none"/>
          <w:lang w:eastAsia="zh-CN"/>
        </w:rPr>
        <w:t>供应商</w:t>
      </w:r>
      <w:r>
        <w:rPr>
          <w:b/>
          <w:szCs w:val="28"/>
          <w:highlight w:val="none"/>
        </w:rPr>
        <w:t>须知前附表</w:t>
      </w:r>
      <w:r>
        <w:rPr>
          <w:rFonts w:hint="eastAsia"/>
          <w:highlight w:val="none"/>
          <w:lang w:eastAsia="zh-CN"/>
        </w:rPr>
        <w:t>”</w:t>
      </w:r>
      <w:r>
        <w:rPr>
          <w:highlight w:val="none"/>
        </w:rPr>
        <w:t>4.1.4款规定。</w:t>
      </w:r>
    </w:p>
    <w:p w14:paraId="62AC6349">
      <w:pPr>
        <w:pStyle w:val="18"/>
        <w:keepNext w:val="0"/>
        <w:keepLines w:val="0"/>
        <w:pageBreakBefore w:val="0"/>
        <w:widowControl w:val="0"/>
        <w:kinsoku/>
        <w:wordWrap/>
        <w:overflowPunct/>
        <w:topLinePunct w:val="0"/>
        <w:autoSpaceDE/>
        <w:autoSpaceDN/>
        <w:bidi w:val="0"/>
        <w:adjustRightInd/>
        <w:ind w:firstLine="0"/>
        <w:textAlignment w:val="auto"/>
        <w:rPr>
          <w:highlight w:val="none"/>
        </w:rPr>
      </w:pPr>
    </w:p>
    <w:p w14:paraId="695522FA">
      <w:pPr>
        <w:pStyle w:val="18"/>
        <w:keepNext w:val="0"/>
        <w:keepLines w:val="0"/>
        <w:pageBreakBefore w:val="0"/>
        <w:widowControl w:val="0"/>
        <w:kinsoku/>
        <w:wordWrap/>
        <w:overflowPunct/>
        <w:topLinePunct w:val="0"/>
        <w:autoSpaceDE/>
        <w:autoSpaceDN/>
        <w:bidi w:val="0"/>
        <w:adjustRightInd/>
        <w:ind w:firstLine="0"/>
        <w:textAlignment w:val="auto"/>
        <w:rPr>
          <w:highlight w:val="none"/>
        </w:rPr>
      </w:pPr>
    </w:p>
    <w:p w14:paraId="4130EA7D">
      <w:pPr>
        <w:pStyle w:val="18"/>
        <w:keepNext w:val="0"/>
        <w:keepLines w:val="0"/>
        <w:pageBreakBefore w:val="0"/>
        <w:widowControl w:val="0"/>
        <w:kinsoku/>
        <w:wordWrap/>
        <w:overflowPunct/>
        <w:topLinePunct w:val="0"/>
        <w:autoSpaceDE/>
        <w:autoSpaceDN/>
        <w:bidi w:val="0"/>
        <w:adjustRightInd/>
        <w:ind w:firstLine="0"/>
        <w:textAlignment w:val="auto"/>
        <w:rPr>
          <w:highlight w:val="none"/>
        </w:rPr>
      </w:pPr>
    </w:p>
    <w:p w14:paraId="57A39860">
      <w:pPr>
        <w:pStyle w:val="18"/>
        <w:keepNext w:val="0"/>
        <w:keepLines w:val="0"/>
        <w:pageBreakBefore w:val="0"/>
        <w:widowControl w:val="0"/>
        <w:kinsoku/>
        <w:wordWrap/>
        <w:overflowPunct/>
        <w:topLinePunct w:val="0"/>
        <w:autoSpaceDE/>
        <w:autoSpaceDN/>
        <w:bidi w:val="0"/>
        <w:adjustRightInd/>
        <w:ind w:firstLine="0"/>
        <w:textAlignment w:val="auto"/>
        <w:rPr>
          <w:highlight w:val="none"/>
        </w:rPr>
      </w:pPr>
    </w:p>
    <w:p w14:paraId="5F909EF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4"/>
        <w:rPr>
          <w:rFonts w:hint="eastAsia" w:ascii="Times New Roman" w:hAnsi="Times New Roman" w:eastAsia="宋体" w:cs="Times New Roman"/>
          <w:b/>
          <w:sz w:val="28"/>
          <w:szCs w:val="28"/>
          <w:highlight w:val="none"/>
          <w:lang w:eastAsia="zh-CN"/>
        </w:rPr>
      </w:pPr>
      <w:bookmarkStart w:id="287" w:name="_Toc522176869"/>
      <w:bookmarkStart w:id="288" w:name="_Toc496520991"/>
      <w:bookmarkStart w:id="289" w:name="_Toc493600023"/>
      <w:r>
        <w:rPr>
          <w:rFonts w:hint="eastAsia" w:cs="Times New Roman"/>
          <w:b/>
          <w:sz w:val="28"/>
          <w:szCs w:val="28"/>
          <w:highlight w:val="none"/>
          <w:lang w:val="en-US" w:eastAsia="zh-CN"/>
        </w:rPr>
        <w:t>4.</w:t>
      </w:r>
      <w:r>
        <w:rPr>
          <w:rFonts w:hint="eastAsia" w:ascii="Times New Roman" w:hAnsi="Times New Roman" w:eastAsia="宋体" w:cs="Times New Roman"/>
          <w:b/>
          <w:sz w:val="28"/>
          <w:szCs w:val="28"/>
          <w:highlight w:val="none"/>
          <w:lang w:eastAsia="zh-CN"/>
        </w:rPr>
        <w:t>供应商具备履行合同所必需的设备和专业技术能力的证明材料</w:t>
      </w:r>
      <w:bookmarkEnd w:id="287"/>
      <w:bookmarkEnd w:id="288"/>
      <w:bookmarkEnd w:id="289"/>
      <w:r>
        <w:rPr>
          <w:rFonts w:hint="eastAsia" w:ascii="Times New Roman" w:hAnsi="Times New Roman" w:eastAsia="宋体" w:cs="Times New Roman"/>
          <w:b/>
          <w:sz w:val="28"/>
          <w:szCs w:val="28"/>
          <w:highlight w:val="none"/>
          <w:lang w:eastAsia="zh-CN"/>
        </w:rPr>
        <w:t>或相关承诺</w:t>
      </w:r>
    </w:p>
    <w:p w14:paraId="332CF403">
      <w:pPr>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rPr>
          <w:rFonts w:hint="eastAsia"/>
          <w:highlight w:val="none"/>
        </w:rPr>
      </w:pPr>
    </w:p>
    <w:p w14:paraId="1DA2FEBF">
      <w:pPr>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rPr>
          <w:rFonts w:hint="eastAsia"/>
          <w:highlight w:val="none"/>
        </w:rPr>
      </w:pPr>
      <w:r>
        <w:rPr>
          <w:rFonts w:hint="eastAsia"/>
          <w:highlight w:val="none"/>
        </w:rPr>
        <w:t>（供应商提供证明材料，内容自拟）</w:t>
      </w:r>
    </w:p>
    <w:p w14:paraId="5526601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4"/>
        <w:rPr>
          <w:rFonts w:hint="eastAsia" w:ascii="Times New Roman" w:hAnsi="Times New Roman" w:eastAsia="宋体" w:cs="Times New Roman"/>
          <w:b/>
          <w:sz w:val="28"/>
          <w:szCs w:val="28"/>
          <w:highlight w:val="none"/>
          <w:lang w:eastAsia="zh-CN"/>
        </w:rPr>
      </w:pPr>
      <w:bookmarkStart w:id="290" w:name="_Toc493600024"/>
      <w:bookmarkStart w:id="291" w:name="_Toc522176870"/>
      <w:bookmarkStart w:id="292" w:name="_Toc496520992"/>
      <w:r>
        <w:rPr>
          <w:rFonts w:hint="eastAsia" w:ascii="Times New Roman" w:hAnsi="Times New Roman" w:eastAsia="宋体" w:cs="Times New Roman"/>
          <w:b/>
          <w:sz w:val="28"/>
          <w:szCs w:val="28"/>
          <w:highlight w:val="none"/>
          <w:lang w:eastAsia="zh-CN"/>
        </w:rPr>
        <w:br w:type="page"/>
      </w:r>
      <w:r>
        <w:rPr>
          <w:rFonts w:hint="eastAsia" w:cs="Times New Roman"/>
          <w:b/>
          <w:sz w:val="28"/>
          <w:szCs w:val="28"/>
          <w:highlight w:val="none"/>
          <w:lang w:val="en-US" w:eastAsia="zh-CN"/>
        </w:rPr>
        <w:t>5.</w:t>
      </w:r>
      <w:r>
        <w:rPr>
          <w:rFonts w:hint="eastAsia" w:ascii="Times New Roman" w:hAnsi="Times New Roman" w:eastAsia="宋体" w:cs="Times New Roman"/>
          <w:b/>
          <w:sz w:val="28"/>
          <w:szCs w:val="28"/>
          <w:highlight w:val="none"/>
          <w:lang w:eastAsia="zh-CN"/>
        </w:rPr>
        <w:t>参加政府采购活动前3年内在经营活动中没有重大违法记录的书面声明</w:t>
      </w:r>
      <w:bookmarkEnd w:id="290"/>
      <w:bookmarkEnd w:id="291"/>
      <w:bookmarkEnd w:id="292"/>
    </w:p>
    <w:p w14:paraId="5FF4889E">
      <w:pPr>
        <w:snapToGrid w:val="0"/>
        <w:spacing w:line="360" w:lineRule="auto"/>
        <w:jc w:val="center"/>
        <w:rPr>
          <w:highlight w:val="none"/>
        </w:rPr>
      </w:pPr>
      <w:r>
        <w:rPr>
          <w:highlight w:val="none"/>
        </w:rPr>
        <w:t>（</w:t>
      </w:r>
      <w:r>
        <w:rPr>
          <w:rFonts w:hint="eastAsia"/>
          <w:highlight w:val="none"/>
          <w:lang w:eastAsia="zh-CN"/>
        </w:rPr>
        <w:t>供应商</w:t>
      </w:r>
      <w:r>
        <w:rPr>
          <w:highlight w:val="none"/>
        </w:rPr>
        <w:t>自行承诺及说明，内容</w:t>
      </w:r>
      <w:r>
        <w:rPr>
          <w:rFonts w:hint="eastAsia"/>
          <w:highlight w:val="none"/>
          <w:lang w:val="en-US" w:eastAsia="zh-CN"/>
        </w:rPr>
        <w:t>格式</w:t>
      </w:r>
      <w:r>
        <w:rPr>
          <w:highlight w:val="none"/>
        </w:rPr>
        <w:t>自拟）</w:t>
      </w:r>
    </w:p>
    <w:p w14:paraId="5498129A">
      <w:pPr>
        <w:snapToGrid w:val="0"/>
        <w:jc w:val="center"/>
        <w:rPr>
          <w:highlight w:val="none"/>
        </w:rPr>
      </w:pPr>
    </w:p>
    <w:p w14:paraId="6700C429">
      <w:pPr>
        <w:snapToGrid w:val="0"/>
        <w:spacing w:line="360" w:lineRule="auto"/>
        <w:ind w:firstLine="480"/>
        <w:jc w:val="left"/>
        <w:rPr>
          <w:sz w:val="24"/>
          <w:highlight w:val="none"/>
        </w:rPr>
      </w:pPr>
    </w:p>
    <w:p w14:paraId="3608F68A">
      <w:pPr>
        <w:snapToGrid w:val="0"/>
        <w:spacing w:line="360" w:lineRule="auto"/>
        <w:ind w:firstLine="480"/>
        <w:jc w:val="left"/>
        <w:rPr>
          <w:sz w:val="24"/>
          <w:highlight w:val="none"/>
        </w:rPr>
      </w:pPr>
    </w:p>
    <w:p w14:paraId="205D9FBE">
      <w:pPr>
        <w:snapToGrid w:val="0"/>
        <w:spacing w:line="360" w:lineRule="auto"/>
        <w:ind w:firstLine="480"/>
        <w:jc w:val="left"/>
        <w:rPr>
          <w:sz w:val="24"/>
          <w:highlight w:val="none"/>
        </w:rPr>
      </w:pPr>
    </w:p>
    <w:p w14:paraId="56067C81">
      <w:pPr>
        <w:snapToGrid w:val="0"/>
        <w:spacing w:line="360" w:lineRule="auto"/>
        <w:jc w:val="left"/>
        <w:rPr>
          <w:sz w:val="24"/>
          <w:highlight w:val="none"/>
          <w:u w:val="single"/>
        </w:rPr>
      </w:pPr>
    </w:p>
    <w:p w14:paraId="6D2F630E">
      <w:pPr>
        <w:snapToGrid w:val="0"/>
        <w:spacing w:line="360" w:lineRule="auto"/>
        <w:ind w:firstLine="480"/>
        <w:jc w:val="left"/>
        <w:rPr>
          <w:sz w:val="24"/>
          <w:highlight w:val="none"/>
        </w:rPr>
      </w:pPr>
    </w:p>
    <w:p w14:paraId="614D047B">
      <w:pPr>
        <w:snapToGrid w:val="0"/>
        <w:spacing w:line="360" w:lineRule="auto"/>
        <w:ind w:firstLine="420"/>
        <w:jc w:val="left"/>
        <w:rPr>
          <w:szCs w:val="21"/>
          <w:highlight w:val="none"/>
        </w:rPr>
      </w:pPr>
      <w:r>
        <w:rPr>
          <w:szCs w:val="21"/>
          <w:highlight w:val="none"/>
        </w:rPr>
        <w:t>注：重大违法记录，是指供应商因违法经营受到刑事处罚或者责令停产停业、吊销许可证或者执照、较大数额罚款等行政处罚</w:t>
      </w:r>
      <w:r>
        <w:rPr>
          <w:rFonts w:hint="eastAsia"/>
          <w:color w:val="auto"/>
          <w:szCs w:val="21"/>
          <w:highlight w:val="none"/>
        </w:rPr>
        <w:t>（较大数额罚款是指200万元以上罚款）</w:t>
      </w:r>
      <w:r>
        <w:rPr>
          <w:szCs w:val="21"/>
          <w:highlight w:val="none"/>
        </w:rPr>
        <w:t>。</w:t>
      </w:r>
    </w:p>
    <w:p w14:paraId="35353DB6">
      <w:pPr>
        <w:snapToGrid w:val="0"/>
        <w:rPr>
          <w:b/>
          <w:szCs w:val="21"/>
          <w:highlight w:val="none"/>
        </w:rPr>
      </w:pPr>
      <w:r>
        <w:rPr>
          <w:b/>
          <w:szCs w:val="21"/>
          <w:highlight w:val="none"/>
        </w:rPr>
        <w:br w:type="page"/>
      </w:r>
    </w:p>
    <w:p w14:paraId="6DD5249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4"/>
        <w:rPr>
          <w:rFonts w:hint="eastAsia" w:ascii="Times New Roman" w:hAnsi="Times New Roman" w:eastAsia="宋体" w:cs="Times New Roman"/>
          <w:b/>
          <w:sz w:val="28"/>
          <w:szCs w:val="28"/>
          <w:highlight w:val="none"/>
          <w:lang w:eastAsia="zh-CN"/>
        </w:rPr>
      </w:pPr>
      <w:r>
        <w:rPr>
          <w:rFonts w:hint="eastAsia" w:cs="Times New Roman"/>
          <w:b/>
          <w:sz w:val="28"/>
          <w:szCs w:val="28"/>
          <w:highlight w:val="none"/>
          <w:lang w:val="en-US" w:eastAsia="zh-CN"/>
        </w:rPr>
        <w:t>6.</w:t>
      </w:r>
      <w:r>
        <w:rPr>
          <w:rFonts w:hint="eastAsia" w:ascii="Times New Roman" w:hAnsi="Times New Roman" w:eastAsia="宋体" w:cs="Times New Roman"/>
          <w:b/>
          <w:sz w:val="28"/>
          <w:szCs w:val="28"/>
          <w:highlight w:val="none"/>
          <w:lang w:eastAsia="zh-CN"/>
        </w:rPr>
        <w:t>符合《中华人民共和国政府采购法实施条例》第十八条规定声明函</w:t>
      </w:r>
    </w:p>
    <w:p w14:paraId="1ABCFD9E">
      <w:pPr>
        <w:pStyle w:val="23"/>
        <w:snapToGrid w:val="0"/>
        <w:jc w:val="center"/>
        <w:rPr>
          <w:rFonts w:ascii="Times New Roman" w:hAnsi="Times New Roman"/>
          <w:b/>
          <w:sz w:val="28"/>
          <w:szCs w:val="28"/>
          <w:highlight w:val="none"/>
        </w:rPr>
      </w:pPr>
    </w:p>
    <w:p w14:paraId="67ED7EA0">
      <w:pPr>
        <w:snapToGrid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我单位郑重声明：</w:t>
      </w:r>
    </w:p>
    <w:p w14:paraId="22F52337">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一、下述公司负责人与我公司单位负责人为同一人：（如无则本项填写</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无</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w:t>
      </w:r>
    </w:p>
    <w:p w14:paraId="7E7E7375">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1.                              </w:t>
      </w:r>
    </w:p>
    <w:p w14:paraId="149928C3">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w:t>
      </w:r>
    </w:p>
    <w:p w14:paraId="48C23515">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（可自行添加）</w:t>
      </w:r>
    </w:p>
    <w:p w14:paraId="73898F23">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二、我公司与下述公司存在直接控股关系：（如无则本项填写</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无</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 </w:t>
      </w:r>
    </w:p>
    <w:p w14:paraId="4CA3E14D">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1.                              </w:t>
      </w:r>
    </w:p>
    <w:p w14:paraId="4B9C387F">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w:t>
      </w:r>
    </w:p>
    <w:p w14:paraId="0877C719">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（可自行添加）</w:t>
      </w:r>
    </w:p>
    <w:p w14:paraId="2A4BFDAC">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三、我公司与下述公司存在管理关系：（如无则本项填写</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无</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 </w:t>
      </w:r>
    </w:p>
    <w:p w14:paraId="28C5F01E">
      <w:pPr>
        <w:snapToGrid w:val="0"/>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1.                              </w:t>
      </w:r>
    </w:p>
    <w:p w14:paraId="7D246A70">
      <w:pPr>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w:t>
      </w:r>
    </w:p>
    <w:p w14:paraId="67B7AB10">
      <w:pPr>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（可自行添加）</w:t>
      </w:r>
    </w:p>
    <w:p w14:paraId="7517E0E0">
      <w:pPr>
        <w:numPr>
          <w:ilvl w:val="0"/>
          <w:numId w:val="0"/>
        </w:numPr>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kern w:val="2"/>
          <w:sz w:val="21"/>
          <w:szCs w:val="21"/>
          <w:highlight w:val="none"/>
          <w:lang w:val="en-US" w:eastAsia="zh-CN" w:bidi="ar-SA"/>
        </w:rPr>
        <w:t>四、</w:t>
      </w:r>
      <w:r>
        <w:rPr>
          <w:rFonts w:hint="eastAsia" w:ascii="宋体" w:hAnsi="宋体" w:eastAsia="宋体" w:cs="宋体"/>
          <w:szCs w:val="21"/>
          <w:highlight w:val="none"/>
        </w:rPr>
        <w:t>与本单位负责人为同一人或者与本单位存在直接控股关系、管理关系的供应商未参与</w:t>
      </w:r>
      <w:r>
        <w:rPr>
          <w:rFonts w:hint="eastAsia" w:eastAsia="宋体"/>
          <w:szCs w:val="21"/>
          <w:highlight w:val="none"/>
          <w:u w:val="single"/>
          <w:lang w:eastAsia="zh-CN"/>
        </w:rPr>
        <w:t>云南省保山第一中学附属设施（连廊）建设项目（一期）</w:t>
      </w:r>
      <w:r>
        <w:rPr>
          <w:rFonts w:hint="eastAsia" w:ascii="宋体" w:hAnsi="宋体" w:eastAsia="宋体" w:cs="宋体"/>
          <w:szCs w:val="21"/>
          <w:highlight w:val="none"/>
        </w:rPr>
        <w:t>同一合同项下的政府采购活动。</w:t>
      </w:r>
    </w:p>
    <w:p w14:paraId="6AFEDC25">
      <w:pPr>
        <w:numPr>
          <w:ilvl w:val="0"/>
          <w:numId w:val="0"/>
        </w:numPr>
        <w:snapToGrid w:val="0"/>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rPr>
        <w:t>五、我单位不属于为采购项目提供整体设计、规范编制或者项目管理、监理、检测等服务的供应商</w:t>
      </w:r>
      <w:r>
        <w:rPr>
          <w:rFonts w:hint="eastAsia" w:ascii="Times New Roman" w:hAnsi="Times New Roman" w:eastAsia="宋体" w:cs="Times New Roman"/>
          <w:color w:val="auto"/>
          <w:szCs w:val="21"/>
          <w:highlight w:val="none"/>
          <w:lang w:val="en-US" w:eastAsia="zh-CN"/>
        </w:rPr>
        <w:t>。</w:t>
      </w:r>
    </w:p>
    <w:p w14:paraId="70C54523">
      <w:pPr>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六、</w:t>
      </w:r>
      <w:r>
        <w:rPr>
          <w:rFonts w:hint="eastAsia" w:ascii="宋体" w:hAnsi="宋体" w:eastAsia="宋体" w:cs="宋体"/>
          <w:szCs w:val="21"/>
          <w:highlight w:val="none"/>
          <w:u w:val="single"/>
        </w:rPr>
        <w:t>（其他声明，由</w:t>
      </w:r>
      <w:r>
        <w:rPr>
          <w:rFonts w:hint="eastAsia" w:ascii="宋体" w:hAnsi="宋体" w:eastAsia="宋体" w:cs="宋体"/>
          <w:szCs w:val="21"/>
          <w:highlight w:val="none"/>
          <w:u w:val="single"/>
          <w:lang w:val="en-US" w:eastAsia="zh-CN"/>
        </w:rPr>
        <w:t>供应商</w:t>
      </w:r>
      <w:r>
        <w:rPr>
          <w:rFonts w:hint="eastAsia" w:ascii="宋体" w:hAnsi="宋体" w:eastAsia="宋体" w:cs="宋体"/>
          <w:szCs w:val="21"/>
          <w:highlight w:val="none"/>
          <w:u w:val="single"/>
        </w:rPr>
        <w:t>自行填写）</w:t>
      </w:r>
      <w:r>
        <w:rPr>
          <w:rFonts w:hint="eastAsia" w:ascii="宋体" w:hAnsi="宋体" w:eastAsia="宋体" w:cs="宋体"/>
          <w:szCs w:val="21"/>
          <w:highlight w:val="none"/>
        </w:rPr>
        <w:t>。</w:t>
      </w:r>
    </w:p>
    <w:p w14:paraId="6ED7307D">
      <w:pPr>
        <w:snapToGrid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我单位保证上述声明真实、有效、可查。 </w:t>
      </w:r>
    </w:p>
    <w:p w14:paraId="6BB5AE5B">
      <w:pPr>
        <w:autoSpaceDE w:val="0"/>
        <w:autoSpaceDN w:val="0"/>
        <w:adjustRightInd w:val="0"/>
        <w:snapToGrid w:val="0"/>
        <w:spacing w:line="360" w:lineRule="auto"/>
        <w:ind w:firstLine="422" w:firstLineChars="200"/>
        <w:rPr>
          <w:rFonts w:hint="eastAsia" w:ascii="宋体" w:hAnsi="宋体" w:eastAsia="宋体" w:cs="宋体"/>
          <w:szCs w:val="21"/>
          <w:highlight w:val="none"/>
        </w:rPr>
      </w:pPr>
      <w:r>
        <w:rPr>
          <w:rFonts w:hint="eastAsia" w:ascii="宋体" w:hAnsi="宋体" w:eastAsia="宋体" w:cs="宋体"/>
          <w:b/>
          <w:szCs w:val="21"/>
          <w:highlight w:val="none"/>
        </w:rPr>
        <w:t>特此声明。</w:t>
      </w:r>
    </w:p>
    <w:p w14:paraId="581BD7F4">
      <w:pPr>
        <w:autoSpaceDE w:val="0"/>
        <w:autoSpaceDN w:val="0"/>
        <w:adjustRightInd w:val="0"/>
        <w:snapToGrid w:val="0"/>
        <w:spacing w:line="360" w:lineRule="auto"/>
        <w:ind w:left="3541" w:leftChars="1686"/>
        <w:jc w:val="right"/>
        <w:rPr>
          <w:rFonts w:hint="eastAsia" w:ascii="宋体" w:hAnsi="宋体" w:eastAsia="宋体" w:cs="宋体"/>
          <w:szCs w:val="21"/>
          <w:highlight w:val="none"/>
        </w:rPr>
      </w:pPr>
    </w:p>
    <w:p w14:paraId="28ED49FA">
      <w:pPr>
        <w:snapToGrid w:val="0"/>
        <w:spacing w:line="360" w:lineRule="auto"/>
        <w:ind w:firstLine="480"/>
        <w:rPr>
          <w:rFonts w:hint="eastAsia" w:ascii="宋体" w:hAnsi="宋体" w:eastAsia="宋体" w:cs="Times New Roman"/>
          <w:b/>
          <w:szCs w:val="21"/>
          <w:highlight w:val="none"/>
        </w:rPr>
      </w:pPr>
    </w:p>
    <w:tbl>
      <w:tblPr>
        <w:tblStyle w:val="41"/>
        <w:tblW w:w="5534" w:type="dxa"/>
        <w:tblInd w:w="429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534"/>
      </w:tblGrid>
      <w:tr w14:paraId="6600C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34" w:type="dxa"/>
            <w:noWrap/>
            <w:vAlign w:val="top"/>
          </w:tcPr>
          <w:p w14:paraId="387D246E">
            <w:pPr>
              <w:pStyle w:val="178"/>
              <w:tabs>
                <w:tab w:val="left" w:pos="1200"/>
              </w:tabs>
              <w:snapToGrid w:val="0"/>
              <w:spacing w:line="360" w:lineRule="auto"/>
              <w:jc w:val="both"/>
              <w:rPr>
                <w:rFonts w:hint="eastAsia" w:ascii="华文细黑" w:hAnsi="宋体" w:eastAsia="宋体" w:cs="Times New Roman"/>
                <w:kern w:val="0"/>
                <w:sz w:val="21"/>
                <w:szCs w:val="21"/>
                <w:highlight w:val="none"/>
                <w:lang w:val="en-US" w:eastAsia="zh-CN" w:bidi="ar-SA"/>
              </w:rPr>
            </w:pPr>
            <w:r>
              <w:rPr>
                <w:rFonts w:hint="eastAsia" w:ascii="华文细黑" w:hAnsi="宋体" w:eastAsia="宋体" w:cs="Times New Roman"/>
                <w:b/>
                <w:kern w:val="0"/>
                <w:sz w:val="21"/>
                <w:szCs w:val="21"/>
                <w:highlight w:val="none"/>
                <w:lang w:val="en-US" w:eastAsia="zh-CN" w:bidi="ar-SA"/>
              </w:rPr>
              <w:t>供应商</w:t>
            </w:r>
            <w:r>
              <w:rPr>
                <w:rFonts w:hint="eastAsia" w:hAnsi="宋体" w:eastAsia="宋体" w:cs="Times New Roman"/>
                <w:b/>
                <w:szCs w:val="21"/>
                <w:highlight w:val="none"/>
                <w:lang w:val="en-US" w:eastAsia="zh-CN"/>
              </w:rPr>
              <w:t xml:space="preserve">：               </w:t>
            </w:r>
            <w:r>
              <w:rPr>
                <w:rFonts w:ascii="华文细黑" w:hAnsi="宋体" w:eastAsia="宋体" w:cs="Times New Roman"/>
                <w:b/>
                <w:kern w:val="0"/>
                <w:sz w:val="21"/>
                <w:szCs w:val="21"/>
                <w:highlight w:val="none"/>
                <w:lang w:val="en-US" w:eastAsia="zh-CN" w:bidi="ar-SA"/>
              </w:rPr>
              <w:t>（</w:t>
            </w:r>
            <w:r>
              <w:rPr>
                <w:rFonts w:hint="eastAsia" w:ascii="华文细黑" w:hAnsi="宋体" w:eastAsia="宋体" w:cs="Times New Roman"/>
                <w:b/>
                <w:kern w:val="0"/>
                <w:sz w:val="21"/>
                <w:szCs w:val="21"/>
                <w:highlight w:val="none"/>
                <w:lang w:val="en-US" w:eastAsia="zh-CN" w:bidi="ar-SA"/>
              </w:rPr>
              <w:t>电子签章</w:t>
            </w:r>
            <w:r>
              <w:rPr>
                <w:rFonts w:ascii="华文细黑" w:hAnsi="宋体" w:eastAsia="宋体" w:cs="Times New Roman"/>
                <w:b/>
                <w:kern w:val="0"/>
                <w:sz w:val="21"/>
                <w:szCs w:val="21"/>
                <w:highlight w:val="none"/>
                <w:lang w:val="en-US" w:eastAsia="zh-CN" w:bidi="ar-SA"/>
              </w:rPr>
              <w:t>）</w:t>
            </w:r>
          </w:p>
        </w:tc>
      </w:tr>
      <w:tr w14:paraId="548B8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34" w:type="dxa"/>
            <w:noWrap/>
            <w:vAlign w:val="top"/>
          </w:tcPr>
          <w:p w14:paraId="0720A15D">
            <w:pPr>
              <w:snapToGrid w:val="0"/>
              <w:spacing w:line="360" w:lineRule="auto"/>
              <w:ind w:leftChars="1000" w:firstLine="422" w:firstLineChars="200"/>
              <w:jc w:val="left"/>
              <w:rPr>
                <w:rFonts w:hint="eastAsia" w:ascii="华文细黑" w:hAnsi="宋体" w:eastAsia="宋体" w:cs="Times New Roman"/>
                <w:kern w:val="0"/>
                <w:sz w:val="21"/>
                <w:szCs w:val="21"/>
                <w:highlight w:val="none"/>
                <w:lang w:val="en-US" w:eastAsia="zh-CN" w:bidi="ar-SA"/>
              </w:rPr>
            </w:pPr>
            <w:r>
              <w:rPr>
                <w:rFonts w:ascii="宋体" w:hAnsi="宋体" w:eastAsia="宋体" w:cs="Times New Roman"/>
                <w:b/>
                <w:szCs w:val="21"/>
                <w:highlight w:val="none"/>
              </w:rPr>
              <w:t>年</w:t>
            </w:r>
            <w:r>
              <w:rPr>
                <w:rFonts w:hint="eastAsia" w:ascii="宋体" w:hAnsi="宋体" w:eastAsia="宋体" w:cs="Times New Roman"/>
                <w:b/>
                <w:szCs w:val="21"/>
                <w:highlight w:val="none"/>
              </w:rPr>
              <w:t xml:space="preserve"> </w:t>
            </w:r>
            <w:r>
              <w:rPr>
                <w:rFonts w:ascii="宋体" w:hAnsi="宋体" w:eastAsia="宋体" w:cs="Times New Roman"/>
                <w:b/>
                <w:szCs w:val="21"/>
                <w:highlight w:val="none"/>
              </w:rPr>
              <w:t xml:space="preserve"> 月</w:t>
            </w:r>
            <w:r>
              <w:rPr>
                <w:rFonts w:hint="eastAsia" w:ascii="宋体" w:hAnsi="宋体" w:eastAsia="宋体" w:cs="Times New Roman"/>
                <w:b/>
                <w:szCs w:val="21"/>
                <w:highlight w:val="none"/>
              </w:rPr>
              <w:t xml:space="preserve"> </w:t>
            </w:r>
            <w:r>
              <w:rPr>
                <w:rFonts w:ascii="宋体" w:hAnsi="宋体" w:eastAsia="宋体" w:cs="Times New Roman"/>
                <w:b/>
                <w:szCs w:val="21"/>
                <w:highlight w:val="none"/>
              </w:rPr>
              <w:t xml:space="preserve"> 日</w:t>
            </w:r>
          </w:p>
        </w:tc>
      </w:tr>
    </w:tbl>
    <w:p w14:paraId="0C955FA1">
      <w:pPr>
        <w:snapToGrid w:val="0"/>
        <w:spacing w:line="360" w:lineRule="auto"/>
        <w:ind w:right="420"/>
        <w:jc w:val="left"/>
        <w:rPr>
          <w:rFonts w:hint="eastAsia" w:ascii="宋体" w:hAnsi="宋体" w:eastAsia="宋体" w:cs="宋体"/>
          <w:kern w:val="0"/>
          <w:szCs w:val="30"/>
          <w:highlight w:val="none"/>
        </w:rPr>
      </w:pPr>
    </w:p>
    <w:p w14:paraId="3B26AAE5">
      <w:pPr>
        <w:snapToGrid w:val="0"/>
        <w:spacing w:line="360" w:lineRule="auto"/>
        <w:ind w:right="420"/>
        <w:jc w:val="left"/>
        <w:rPr>
          <w:rFonts w:hint="eastAsia" w:ascii="宋体" w:hAnsi="宋体" w:eastAsia="宋体" w:cs="宋体"/>
          <w:b/>
          <w:kern w:val="0"/>
          <w:szCs w:val="30"/>
          <w:highlight w:val="none"/>
        </w:rPr>
      </w:pPr>
      <w:r>
        <w:rPr>
          <w:rFonts w:ascii="宋体" w:hAnsi="宋体" w:eastAsia="宋体" w:cs="宋体"/>
          <w:b/>
          <w:kern w:val="0"/>
          <w:szCs w:val="30"/>
          <w:highlight w:val="none"/>
        </w:rPr>
        <w:t>注：1、单位负责人，是指单位法定代表人或者法律、行政法规规定代表单位行使职权的主要负责人。</w:t>
      </w:r>
    </w:p>
    <w:p w14:paraId="4643D5B6">
      <w:pPr>
        <w:snapToGrid w:val="0"/>
        <w:spacing w:line="360" w:lineRule="auto"/>
        <w:ind w:right="420" w:firstLine="422" w:firstLineChars="200"/>
        <w:jc w:val="left"/>
        <w:rPr>
          <w:rFonts w:hint="eastAsia" w:ascii="宋体" w:hAnsi="宋体" w:eastAsia="宋体" w:cs="宋体"/>
          <w:b/>
          <w:kern w:val="0"/>
          <w:szCs w:val="30"/>
          <w:highlight w:val="none"/>
        </w:rPr>
      </w:pPr>
      <w:r>
        <w:rPr>
          <w:rFonts w:ascii="宋体" w:hAnsi="宋体" w:eastAsia="宋体" w:cs="宋体"/>
          <w:b/>
          <w:kern w:val="0"/>
          <w:szCs w:val="30"/>
          <w:highlight w:val="none"/>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0D64C6EF">
      <w:pPr>
        <w:pageBreakBefore w:val="0"/>
        <w:widowControl w:val="0"/>
        <w:kinsoku/>
        <w:wordWrap/>
        <w:overflowPunct/>
        <w:topLinePunct w:val="0"/>
        <w:autoSpaceDE/>
        <w:autoSpaceDN/>
        <w:bidi w:val="0"/>
        <w:adjustRightInd/>
        <w:snapToGrid/>
        <w:spacing w:before="0" w:line="360" w:lineRule="auto"/>
        <w:jc w:val="left"/>
        <w:textAlignment w:val="auto"/>
        <w:outlineLvl w:val="9"/>
        <w:rPr>
          <w:rFonts w:ascii="宋体" w:hAnsi="宋体" w:eastAsia="宋体" w:cs="宋体"/>
          <w:b/>
          <w:kern w:val="0"/>
          <w:szCs w:val="30"/>
          <w:highlight w:val="none"/>
        </w:rPr>
        <w:sectPr>
          <w:pgSz w:w="11906" w:h="16838"/>
          <w:pgMar w:top="1191" w:right="1191" w:bottom="1304" w:left="1304" w:header="851" w:footer="851" w:gutter="0"/>
          <w:pgNumType w:fmt="decimal"/>
          <w:cols w:space="720" w:num="1"/>
          <w:docGrid w:linePitch="312" w:charSpace="0"/>
        </w:sectPr>
      </w:pPr>
      <w:r>
        <w:rPr>
          <w:rFonts w:ascii="宋体" w:hAnsi="宋体" w:eastAsia="宋体" w:cs="宋体"/>
          <w:b/>
          <w:kern w:val="0"/>
          <w:szCs w:val="30"/>
          <w:highlight w:val="none"/>
        </w:rPr>
        <w:t>3、直接管理关系，是指不具有出资持股关系的其他单位之间存在的直接管理与被管理关系，如上下级关系的事业单位和团体组织。</w:t>
      </w:r>
    </w:p>
    <w:p w14:paraId="7E9C291D">
      <w:pPr>
        <w:pageBreakBefore w:val="0"/>
        <w:widowControl w:val="0"/>
        <w:kinsoku/>
        <w:wordWrap/>
        <w:overflowPunct/>
        <w:topLinePunct w:val="0"/>
        <w:autoSpaceDE/>
        <w:autoSpaceDN/>
        <w:bidi w:val="0"/>
        <w:adjustRightInd/>
        <w:snapToGrid/>
        <w:spacing w:before="0" w:line="360" w:lineRule="auto"/>
        <w:jc w:val="center"/>
        <w:textAlignment w:val="auto"/>
        <w:outlineLvl w:val="2"/>
        <w:rPr>
          <w:b/>
          <w:szCs w:val="21"/>
          <w:highlight w:val="none"/>
        </w:rPr>
      </w:pPr>
      <w:r>
        <w:rPr>
          <w:rFonts w:hint="eastAsia" w:cs="Times New Roman"/>
          <w:b/>
          <w:bCs w:val="0"/>
          <w:kern w:val="2"/>
          <w:sz w:val="28"/>
          <w:szCs w:val="28"/>
          <w:highlight w:val="none"/>
          <w:lang w:val="en-US" w:eastAsia="zh-CN" w:bidi="ar-SA"/>
        </w:rPr>
        <w:t>（六）</w:t>
      </w:r>
      <w:r>
        <w:rPr>
          <w:rFonts w:hint="eastAsia"/>
          <w:b/>
          <w:sz w:val="28"/>
          <w:szCs w:val="28"/>
          <w:highlight w:val="none"/>
        </w:rPr>
        <w:t>政府采购政策</w:t>
      </w:r>
    </w:p>
    <w:p w14:paraId="151D775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3"/>
        <w:rPr>
          <w:b/>
          <w:sz w:val="32"/>
          <w:szCs w:val="32"/>
          <w:highlight w:val="none"/>
        </w:rPr>
      </w:pPr>
      <w:r>
        <w:rPr>
          <w:rFonts w:hint="eastAsia"/>
          <w:b/>
          <w:sz w:val="28"/>
          <w:szCs w:val="28"/>
          <w:highlight w:val="none"/>
        </w:rPr>
        <w:t>★中小企业声明函</w:t>
      </w:r>
    </w:p>
    <w:p w14:paraId="024ECC33">
      <w:pPr>
        <w:spacing w:line="588" w:lineRule="exact"/>
        <w:ind w:firstLine="444"/>
        <w:rPr>
          <w:spacing w:val="6"/>
          <w:szCs w:val="21"/>
          <w:highlight w:val="none"/>
        </w:rPr>
      </w:pPr>
      <w:r>
        <w:rPr>
          <w:spacing w:val="6"/>
          <w:szCs w:val="21"/>
          <w:highlight w:val="none"/>
        </w:rPr>
        <w:t>本公司（联合体）郑重声明，根据《政府采购促进中小企业发展管理办法》（财库﹝2020﹞46 号）的规定，本公司（联合体）参加</w:t>
      </w:r>
      <w:r>
        <w:rPr>
          <w:rFonts w:hint="eastAsia" w:ascii="Times New Roman" w:hAnsi="Times New Roman" w:eastAsia="宋体" w:cs="Times New Roman"/>
          <w:b/>
          <w:bCs/>
          <w:i w:val="0"/>
          <w:iCs w:val="0"/>
          <w:spacing w:val="6"/>
          <w:szCs w:val="21"/>
          <w:highlight w:val="none"/>
          <w:u w:val="single"/>
          <w:lang w:eastAsia="zh-CN"/>
        </w:rPr>
        <w:t>云南省保山第一中学</w:t>
      </w:r>
      <w:r>
        <w:rPr>
          <w:spacing w:val="6"/>
          <w:szCs w:val="21"/>
          <w:highlight w:val="none"/>
        </w:rPr>
        <w:t>的</w:t>
      </w:r>
      <w:r>
        <w:rPr>
          <w:rFonts w:hint="eastAsia" w:ascii="Times New Roman" w:hAnsi="Times New Roman" w:eastAsia="宋体" w:cs="Times New Roman"/>
          <w:b/>
          <w:bCs/>
          <w:i w:val="0"/>
          <w:iCs w:val="0"/>
          <w:spacing w:val="6"/>
          <w:szCs w:val="21"/>
          <w:highlight w:val="none"/>
          <w:u w:val="single"/>
          <w:lang w:eastAsia="zh-CN"/>
        </w:rPr>
        <w:t>云南省保山第一中学附属设施（连廊）建设项目（一期）</w:t>
      </w:r>
      <w:r>
        <w:rPr>
          <w:spacing w:val="6"/>
          <w:szCs w:val="21"/>
          <w:highlight w:val="none"/>
        </w:rPr>
        <w:t>采购活动</w:t>
      </w:r>
      <w:r>
        <w:rPr>
          <w:rFonts w:hint="eastAsia"/>
          <w:spacing w:val="6"/>
          <w:szCs w:val="21"/>
          <w:highlight w:val="none"/>
        </w:rPr>
        <w:t>，工程的施工单位全部为符合政策要求的中小企业承建</w:t>
      </w:r>
      <w:r>
        <w:rPr>
          <w:spacing w:val="6"/>
          <w:szCs w:val="21"/>
          <w:highlight w:val="none"/>
        </w:rPr>
        <w:t>。相关企业（含联合体中的中小企业、签订分包意向协议的中小企业） 的具体情况如下：</w:t>
      </w:r>
    </w:p>
    <w:p w14:paraId="634D6F73">
      <w:pPr>
        <w:spacing w:line="588" w:lineRule="exact"/>
        <w:ind w:firstLine="444"/>
        <w:rPr>
          <w:spacing w:val="6"/>
          <w:szCs w:val="21"/>
          <w:highlight w:val="none"/>
        </w:rPr>
      </w:pPr>
      <w:r>
        <w:rPr>
          <w:spacing w:val="6"/>
          <w:szCs w:val="21"/>
          <w:highlight w:val="none"/>
        </w:rPr>
        <w:t>1.</w:t>
      </w:r>
      <w:r>
        <w:rPr>
          <w:rFonts w:hint="eastAsia" w:ascii="Times New Roman" w:hAnsi="Times New Roman" w:eastAsia="宋体" w:cs="Times New Roman"/>
          <w:b/>
          <w:bCs/>
          <w:i w:val="0"/>
          <w:iCs w:val="0"/>
          <w:spacing w:val="6"/>
          <w:szCs w:val="21"/>
          <w:highlight w:val="none"/>
          <w:u w:val="single"/>
          <w:lang w:eastAsia="zh-CN"/>
        </w:rPr>
        <w:t>云南省保山第一中学附属设施（连廊）建设项目（一期）</w:t>
      </w:r>
      <w:r>
        <w:rPr>
          <w:spacing w:val="6"/>
          <w:szCs w:val="21"/>
          <w:highlight w:val="none"/>
        </w:rPr>
        <w:t>，属于</w:t>
      </w:r>
      <w:r>
        <w:rPr>
          <w:rFonts w:hint="eastAsia" w:ascii="Times New Roman" w:hAnsi="Times New Roman"/>
          <w:b/>
          <w:sz w:val="21"/>
          <w:szCs w:val="21"/>
          <w:highlight w:val="none"/>
          <w:u w:val="single"/>
        </w:rPr>
        <w:t>建筑业</w:t>
      </w:r>
      <w:r>
        <w:rPr>
          <w:rFonts w:hint="eastAsia" w:ascii="宋体" w:hAnsi="宋体" w:cs="宋体"/>
          <w:kern w:val="0"/>
          <w:szCs w:val="21"/>
          <w:highlight w:val="none"/>
        </w:rPr>
        <w:t>行业</w:t>
      </w:r>
      <w:r>
        <w:rPr>
          <w:spacing w:val="6"/>
          <w:szCs w:val="21"/>
          <w:highlight w:val="none"/>
        </w:rPr>
        <w:t>；</w:t>
      </w:r>
      <w:r>
        <w:rPr>
          <w:rFonts w:hint="eastAsia"/>
          <w:kern w:val="0"/>
          <w:szCs w:val="21"/>
          <w:highlight w:val="none"/>
        </w:rPr>
        <w:t>承建企业</w:t>
      </w:r>
      <w:r>
        <w:rPr>
          <w:spacing w:val="6"/>
          <w:szCs w:val="21"/>
          <w:highlight w:val="none"/>
        </w:rPr>
        <w:t>为</w:t>
      </w:r>
      <w:r>
        <w:rPr>
          <w:i/>
          <w:iCs/>
          <w:spacing w:val="6"/>
          <w:szCs w:val="21"/>
          <w:highlight w:val="none"/>
          <w:u w:val="single"/>
        </w:rPr>
        <w:t>（企业名称）</w:t>
      </w:r>
      <w:r>
        <w:rPr>
          <w:spacing w:val="6"/>
          <w:szCs w:val="21"/>
          <w:highlight w:val="none"/>
        </w:rPr>
        <w:t>，从业人员</w:t>
      </w:r>
      <w:r>
        <w:rPr>
          <w:rFonts w:hint="eastAsia"/>
          <w:spacing w:val="6"/>
          <w:szCs w:val="21"/>
          <w:highlight w:val="none"/>
          <w:u w:val="single"/>
          <w:lang w:val="en-US" w:eastAsia="zh-CN"/>
        </w:rPr>
        <w:t xml:space="preserve">    </w:t>
      </w:r>
      <w:r>
        <w:rPr>
          <w:spacing w:val="6"/>
          <w:szCs w:val="21"/>
          <w:highlight w:val="none"/>
        </w:rPr>
        <w:t>人，营业收入为</w:t>
      </w:r>
      <w:r>
        <w:rPr>
          <w:rFonts w:hint="eastAsia"/>
          <w:spacing w:val="6"/>
          <w:szCs w:val="21"/>
          <w:highlight w:val="none"/>
          <w:u w:val="single"/>
          <w:lang w:val="en-US" w:eastAsia="zh-CN"/>
        </w:rPr>
        <w:t xml:space="preserve">    </w:t>
      </w:r>
      <w:r>
        <w:rPr>
          <w:spacing w:val="6"/>
          <w:szCs w:val="21"/>
          <w:highlight w:val="none"/>
        </w:rPr>
        <w:t>万元，资产总额为</w:t>
      </w:r>
      <w:r>
        <w:rPr>
          <w:rFonts w:hint="eastAsia"/>
          <w:spacing w:val="6"/>
          <w:szCs w:val="21"/>
          <w:highlight w:val="none"/>
          <w:u w:val="single"/>
          <w:lang w:val="en-US" w:eastAsia="zh-CN"/>
        </w:rPr>
        <w:t xml:space="preserve">    </w:t>
      </w:r>
      <w:r>
        <w:rPr>
          <w:spacing w:val="6"/>
          <w:szCs w:val="21"/>
          <w:highlight w:val="none"/>
        </w:rPr>
        <w:t>万元，属于</w:t>
      </w:r>
      <w:r>
        <w:rPr>
          <w:i/>
          <w:iCs/>
          <w:spacing w:val="6"/>
          <w:szCs w:val="21"/>
          <w:highlight w:val="none"/>
          <w:u w:val="single"/>
        </w:rPr>
        <w:t>（中型企业、小型企业、微型企业）</w:t>
      </w:r>
      <w:r>
        <w:rPr>
          <w:spacing w:val="6"/>
          <w:szCs w:val="21"/>
          <w:highlight w:val="none"/>
        </w:rPr>
        <w:t>；</w:t>
      </w:r>
    </w:p>
    <w:p w14:paraId="12C5E0EF">
      <w:pPr>
        <w:spacing w:line="588" w:lineRule="exact"/>
        <w:ind w:firstLine="444"/>
        <w:rPr>
          <w:spacing w:val="6"/>
          <w:szCs w:val="21"/>
          <w:highlight w:val="none"/>
        </w:rPr>
      </w:pPr>
      <w:r>
        <w:rPr>
          <w:spacing w:val="6"/>
          <w:szCs w:val="21"/>
          <w:highlight w:val="none"/>
        </w:rPr>
        <w:t>2.</w:t>
      </w:r>
      <w:r>
        <w:rPr>
          <w:i/>
          <w:iCs/>
          <w:spacing w:val="6"/>
          <w:szCs w:val="21"/>
          <w:highlight w:val="none"/>
          <w:u w:val="single"/>
        </w:rPr>
        <w:t>（标的名称）</w:t>
      </w:r>
      <w:r>
        <w:rPr>
          <w:spacing w:val="6"/>
          <w:szCs w:val="21"/>
          <w:highlight w:val="none"/>
        </w:rPr>
        <w:t>，属于</w:t>
      </w:r>
      <w:r>
        <w:rPr>
          <w:i/>
          <w:iCs/>
          <w:spacing w:val="6"/>
          <w:szCs w:val="21"/>
          <w:highlight w:val="none"/>
          <w:u w:val="single"/>
        </w:rPr>
        <w:t>（采购文件中明确的所属行业）</w:t>
      </w:r>
      <w:r>
        <w:rPr>
          <w:i w:val="0"/>
          <w:iCs w:val="0"/>
          <w:spacing w:val="6"/>
          <w:szCs w:val="21"/>
          <w:highlight w:val="none"/>
          <w:u w:val="none"/>
        </w:rPr>
        <w:t>行业</w:t>
      </w:r>
      <w:r>
        <w:rPr>
          <w:spacing w:val="6"/>
          <w:szCs w:val="21"/>
          <w:highlight w:val="none"/>
        </w:rPr>
        <w:t>；</w:t>
      </w:r>
      <w:r>
        <w:rPr>
          <w:rFonts w:hint="eastAsia"/>
          <w:kern w:val="0"/>
          <w:szCs w:val="21"/>
          <w:highlight w:val="none"/>
        </w:rPr>
        <w:t>承建企业</w:t>
      </w:r>
      <w:r>
        <w:rPr>
          <w:spacing w:val="6"/>
          <w:szCs w:val="21"/>
          <w:highlight w:val="none"/>
        </w:rPr>
        <w:t>为</w:t>
      </w:r>
      <w:r>
        <w:rPr>
          <w:i/>
          <w:iCs/>
          <w:spacing w:val="6"/>
          <w:szCs w:val="21"/>
          <w:highlight w:val="none"/>
          <w:u w:val="single"/>
        </w:rPr>
        <w:t>（企业名称）</w:t>
      </w:r>
      <w:r>
        <w:rPr>
          <w:spacing w:val="6"/>
          <w:szCs w:val="21"/>
          <w:highlight w:val="none"/>
        </w:rPr>
        <w:t>，从业人员</w:t>
      </w:r>
      <w:r>
        <w:rPr>
          <w:rFonts w:hint="eastAsia"/>
          <w:spacing w:val="6"/>
          <w:szCs w:val="21"/>
          <w:highlight w:val="none"/>
          <w:u w:val="single"/>
          <w:lang w:val="en-US" w:eastAsia="zh-CN"/>
        </w:rPr>
        <w:t xml:space="preserve">    </w:t>
      </w:r>
      <w:r>
        <w:rPr>
          <w:spacing w:val="6"/>
          <w:szCs w:val="21"/>
          <w:highlight w:val="none"/>
        </w:rPr>
        <w:t>人，营业收入为</w:t>
      </w:r>
      <w:r>
        <w:rPr>
          <w:rFonts w:hint="eastAsia"/>
          <w:spacing w:val="6"/>
          <w:szCs w:val="21"/>
          <w:highlight w:val="none"/>
          <w:u w:val="single"/>
          <w:lang w:val="en-US" w:eastAsia="zh-CN"/>
        </w:rPr>
        <w:t xml:space="preserve">    </w:t>
      </w:r>
      <w:r>
        <w:rPr>
          <w:spacing w:val="6"/>
          <w:szCs w:val="21"/>
          <w:highlight w:val="none"/>
        </w:rPr>
        <w:t>万元，资产总额为</w:t>
      </w:r>
      <w:r>
        <w:rPr>
          <w:rFonts w:hint="eastAsia"/>
          <w:spacing w:val="6"/>
          <w:szCs w:val="21"/>
          <w:highlight w:val="none"/>
          <w:u w:val="single"/>
          <w:lang w:val="en-US" w:eastAsia="zh-CN"/>
        </w:rPr>
        <w:t xml:space="preserve">    </w:t>
      </w:r>
      <w:r>
        <w:rPr>
          <w:spacing w:val="6"/>
          <w:szCs w:val="21"/>
          <w:highlight w:val="none"/>
        </w:rPr>
        <w:t>万元，属于</w:t>
      </w:r>
      <w:r>
        <w:rPr>
          <w:i/>
          <w:iCs/>
          <w:spacing w:val="6"/>
          <w:szCs w:val="21"/>
          <w:highlight w:val="none"/>
          <w:u w:val="single"/>
        </w:rPr>
        <w:t>（中型企业、小型企业、微型企业）</w:t>
      </w:r>
      <w:r>
        <w:rPr>
          <w:spacing w:val="6"/>
          <w:szCs w:val="21"/>
          <w:highlight w:val="none"/>
        </w:rPr>
        <w:t>；</w:t>
      </w:r>
    </w:p>
    <w:p w14:paraId="4E265F0A">
      <w:pPr>
        <w:spacing w:line="588" w:lineRule="exact"/>
        <w:ind w:firstLine="444"/>
        <w:rPr>
          <w:spacing w:val="6"/>
          <w:szCs w:val="21"/>
          <w:highlight w:val="none"/>
        </w:rPr>
      </w:pPr>
      <w:r>
        <w:rPr>
          <w:spacing w:val="6"/>
          <w:szCs w:val="21"/>
          <w:highlight w:val="none"/>
        </w:rPr>
        <w:t>……</w:t>
      </w:r>
    </w:p>
    <w:p w14:paraId="37B5606F">
      <w:pPr>
        <w:spacing w:line="588" w:lineRule="exact"/>
        <w:ind w:firstLine="444"/>
        <w:rPr>
          <w:spacing w:val="6"/>
          <w:szCs w:val="21"/>
          <w:highlight w:val="none"/>
        </w:rPr>
      </w:pPr>
      <w:r>
        <w:rPr>
          <w:spacing w:val="6"/>
          <w:szCs w:val="21"/>
          <w:highlight w:val="none"/>
        </w:rPr>
        <w:t>以上企业，不属于大企业的分支机构，不存在控股股东为大企业的情形，也不存在与大企业的负责人为同一人的情形。</w:t>
      </w:r>
    </w:p>
    <w:p w14:paraId="56E84FC7">
      <w:pPr>
        <w:spacing w:line="588" w:lineRule="exact"/>
        <w:ind w:firstLine="444"/>
        <w:rPr>
          <w:spacing w:val="6"/>
          <w:szCs w:val="21"/>
          <w:highlight w:val="none"/>
        </w:rPr>
      </w:pPr>
      <w:r>
        <w:rPr>
          <w:spacing w:val="6"/>
          <w:szCs w:val="21"/>
          <w:highlight w:val="none"/>
        </w:rPr>
        <w:t>本企业对上述声明内容的真实性负责。如有虚假，将依法承担相应责任。</w:t>
      </w:r>
    </w:p>
    <w:p w14:paraId="000AA99C">
      <w:pPr>
        <w:spacing w:line="588" w:lineRule="exact"/>
        <w:ind w:firstLine="444"/>
        <w:rPr>
          <w:spacing w:val="6"/>
          <w:szCs w:val="21"/>
          <w:highlight w:val="none"/>
        </w:rPr>
      </w:pPr>
    </w:p>
    <w:p w14:paraId="654DC5BA">
      <w:pPr>
        <w:tabs>
          <w:tab w:val="left" w:pos="4860"/>
        </w:tabs>
        <w:spacing w:line="588" w:lineRule="exact"/>
        <w:ind w:right="1560" w:firstLine="444"/>
        <w:jc w:val="center"/>
        <w:rPr>
          <w:spacing w:val="6"/>
          <w:szCs w:val="21"/>
          <w:highlight w:val="none"/>
        </w:rPr>
      </w:pPr>
      <w:r>
        <w:rPr>
          <w:spacing w:val="6"/>
          <w:szCs w:val="21"/>
          <w:highlight w:val="none"/>
        </w:rPr>
        <w:t xml:space="preserve">               企业名称（</w:t>
      </w:r>
      <w:r>
        <w:rPr>
          <w:rFonts w:hint="eastAsia"/>
          <w:spacing w:val="6"/>
          <w:szCs w:val="21"/>
          <w:highlight w:val="none"/>
        </w:rPr>
        <w:t>电子公章</w:t>
      </w:r>
      <w:r>
        <w:rPr>
          <w:spacing w:val="6"/>
          <w:szCs w:val="21"/>
          <w:highlight w:val="none"/>
        </w:rPr>
        <w:t xml:space="preserve">）： </w:t>
      </w:r>
    </w:p>
    <w:p w14:paraId="35691108">
      <w:pPr>
        <w:tabs>
          <w:tab w:val="left" w:pos="4860"/>
        </w:tabs>
        <w:spacing w:line="588" w:lineRule="exact"/>
        <w:ind w:right="1560" w:firstLine="444"/>
        <w:jc w:val="center"/>
        <w:rPr>
          <w:spacing w:val="6"/>
          <w:szCs w:val="21"/>
          <w:highlight w:val="none"/>
        </w:rPr>
      </w:pPr>
      <w:r>
        <w:rPr>
          <w:spacing w:val="6"/>
          <w:szCs w:val="21"/>
          <w:highlight w:val="none"/>
        </w:rPr>
        <w:t xml:space="preserve">       日  期：                </w:t>
      </w:r>
    </w:p>
    <w:p w14:paraId="4C567A32">
      <w:pPr>
        <w:ind w:firstLine="422"/>
        <w:rPr>
          <w:b/>
          <w:szCs w:val="21"/>
          <w:highlight w:val="none"/>
        </w:rPr>
      </w:pPr>
    </w:p>
    <w:p w14:paraId="6E9A751B">
      <w:pPr>
        <w:ind w:firstLine="422"/>
        <w:rPr>
          <w:szCs w:val="21"/>
          <w:highlight w:val="none"/>
        </w:rPr>
      </w:pPr>
      <w:r>
        <w:rPr>
          <w:b/>
          <w:szCs w:val="21"/>
          <w:highlight w:val="none"/>
        </w:rPr>
        <w:t>注：从业人员、营业收入、资产总额填报上一年度数据，无上一年度数据的新成立企业可不填报。</w:t>
      </w:r>
    </w:p>
    <w:p w14:paraId="73B7D6E5">
      <w:pPr>
        <w:pStyle w:val="23"/>
        <w:spacing w:line="500" w:lineRule="exact"/>
        <w:ind w:left="840" w:firstLine="240" w:firstLineChars="100"/>
        <w:jc w:val="left"/>
        <w:rPr>
          <w:rFonts w:ascii="Times New Roman" w:hAnsi="Times New Roman"/>
          <w:kern w:val="0"/>
          <w:sz w:val="24"/>
          <w:szCs w:val="24"/>
          <w:highlight w:val="none"/>
        </w:rPr>
      </w:pPr>
    </w:p>
    <w:p w14:paraId="411969E3">
      <w:pPr>
        <w:rPr>
          <w:rFonts w:hint="eastAsia" w:ascii="黑体" w:hAnsi="黑体" w:eastAsia="黑体" w:cs="宋体"/>
          <w:color w:val="000000"/>
          <w:kern w:val="0"/>
          <w:sz w:val="32"/>
          <w:szCs w:val="32"/>
          <w:highlight w:val="none"/>
        </w:rPr>
      </w:pPr>
      <w:r>
        <w:rPr>
          <w:rFonts w:hint="eastAsia" w:ascii="黑体" w:hAnsi="黑体" w:eastAsia="黑体" w:cs="宋体"/>
          <w:color w:val="000000"/>
          <w:kern w:val="0"/>
          <w:sz w:val="32"/>
          <w:szCs w:val="32"/>
          <w:highlight w:val="none"/>
        </w:rPr>
        <w:br w:type="page"/>
      </w:r>
    </w:p>
    <w:p w14:paraId="1C25CDFA">
      <w:pPr>
        <w:widowControl/>
        <w:spacing w:line="600" w:lineRule="exact"/>
        <w:jc w:val="left"/>
        <w:rPr>
          <w:rFonts w:ascii="黑体" w:hAnsi="黑体" w:eastAsia="黑体" w:cs="宋体"/>
          <w:color w:val="000000"/>
          <w:kern w:val="0"/>
          <w:sz w:val="32"/>
          <w:szCs w:val="32"/>
          <w:highlight w:val="none"/>
        </w:rPr>
      </w:pPr>
      <w:r>
        <w:rPr>
          <w:rFonts w:hint="eastAsia" w:ascii="黑体" w:hAnsi="黑体" w:eastAsia="黑体" w:cs="宋体"/>
          <w:color w:val="000000"/>
          <w:kern w:val="0"/>
          <w:sz w:val="32"/>
          <w:szCs w:val="32"/>
          <w:highlight w:val="none"/>
        </w:rPr>
        <w:t>附表</w:t>
      </w:r>
    </w:p>
    <w:p w14:paraId="4EF68447">
      <w:pPr>
        <w:widowControl/>
        <w:spacing w:line="330" w:lineRule="atLeast"/>
        <w:jc w:val="center"/>
        <w:rPr>
          <w:rFonts w:ascii="方正小标宋_GBK" w:hAnsi="宋体" w:eastAsia="方正小标宋_GBK" w:cs="宋体"/>
          <w:color w:val="000000"/>
          <w:kern w:val="0"/>
          <w:sz w:val="36"/>
          <w:szCs w:val="32"/>
          <w:highlight w:val="none"/>
        </w:rPr>
      </w:pPr>
      <w:r>
        <w:rPr>
          <w:rFonts w:hint="eastAsia" w:ascii="方正小标宋_GBK" w:hAnsi="宋体" w:eastAsia="方正小标宋_GBK" w:cs="宋体"/>
          <w:color w:val="000000"/>
          <w:kern w:val="0"/>
          <w:sz w:val="32"/>
          <w:szCs w:val="28"/>
          <w:highlight w:val="none"/>
        </w:rPr>
        <w:t>统计上大中小微型企业划分标准</w:t>
      </w:r>
    </w:p>
    <w:tbl>
      <w:tblPr>
        <w:tblStyle w:val="41"/>
        <w:tblW w:w="0" w:type="auto"/>
        <w:jc w:val="center"/>
        <w:tblLayout w:type="fixed"/>
        <w:tblCellMar>
          <w:top w:w="0" w:type="dxa"/>
          <w:left w:w="108" w:type="dxa"/>
          <w:bottom w:w="0" w:type="dxa"/>
          <w:right w:w="108" w:type="dxa"/>
        </w:tblCellMar>
      </w:tblPr>
      <w:tblGrid>
        <w:gridCol w:w="2113"/>
        <w:gridCol w:w="1369"/>
        <w:gridCol w:w="709"/>
        <w:gridCol w:w="1125"/>
        <w:gridCol w:w="1701"/>
        <w:gridCol w:w="1426"/>
        <w:gridCol w:w="992"/>
      </w:tblGrid>
      <w:tr w14:paraId="5360A547">
        <w:tblPrEx>
          <w:tblCellMar>
            <w:top w:w="0" w:type="dxa"/>
            <w:left w:w="108" w:type="dxa"/>
            <w:bottom w:w="0" w:type="dxa"/>
            <w:right w:w="108" w:type="dxa"/>
          </w:tblCellMar>
        </w:tblPrEx>
        <w:trPr>
          <w:trHeight w:val="622" w:hRule="exact"/>
          <w:jc w:val="center"/>
        </w:trPr>
        <w:tc>
          <w:tcPr>
            <w:tcW w:w="2113" w:type="dxa"/>
            <w:tcBorders>
              <w:top w:val="single" w:color="auto" w:sz="4" w:space="0"/>
              <w:left w:val="nil"/>
              <w:bottom w:val="single" w:color="auto" w:sz="4" w:space="0"/>
              <w:right w:val="single" w:color="auto" w:sz="4" w:space="0"/>
            </w:tcBorders>
            <w:noWrap w:val="0"/>
            <w:vAlign w:val="center"/>
          </w:tcPr>
          <w:p w14:paraId="07903040">
            <w:pPr>
              <w:widowControl/>
              <w:spacing w:line="240" w:lineRule="exact"/>
              <w:jc w:val="center"/>
              <w:rPr>
                <w:rFonts w:ascii="宋体" w:hAnsi="宋体" w:cs="宋体"/>
                <w:b/>
                <w:bCs/>
                <w:color w:val="000000"/>
                <w:kern w:val="0"/>
                <w:sz w:val="18"/>
                <w:szCs w:val="21"/>
                <w:highlight w:val="none"/>
              </w:rPr>
            </w:pPr>
            <w:r>
              <w:rPr>
                <w:rFonts w:hint="eastAsia" w:ascii="宋体" w:hAnsi="宋体" w:cs="宋体"/>
                <w:b/>
                <w:bCs/>
                <w:color w:val="000000"/>
                <w:kern w:val="0"/>
                <w:sz w:val="18"/>
                <w:szCs w:val="21"/>
                <w:highlight w:val="none"/>
              </w:rPr>
              <w:t>行业名称</w:t>
            </w:r>
          </w:p>
        </w:tc>
        <w:tc>
          <w:tcPr>
            <w:tcW w:w="1369" w:type="dxa"/>
            <w:tcBorders>
              <w:top w:val="single" w:color="auto" w:sz="4" w:space="0"/>
              <w:left w:val="nil"/>
              <w:bottom w:val="single" w:color="auto" w:sz="4" w:space="0"/>
              <w:right w:val="single" w:color="auto" w:sz="4" w:space="0"/>
            </w:tcBorders>
            <w:noWrap w:val="0"/>
            <w:vAlign w:val="center"/>
          </w:tcPr>
          <w:p w14:paraId="47FE5E0D">
            <w:pPr>
              <w:widowControl/>
              <w:jc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指标名称</w:t>
            </w:r>
          </w:p>
        </w:tc>
        <w:tc>
          <w:tcPr>
            <w:tcW w:w="709" w:type="dxa"/>
            <w:tcBorders>
              <w:top w:val="single" w:color="auto" w:sz="4" w:space="0"/>
              <w:left w:val="nil"/>
              <w:bottom w:val="single" w:color="auto" w:sz="4" w:space="0"/>
              <w:right w:val="single" w:color="auto" w:sz="4" w:space="0"/>
            </w:tcBorders>
            <w:noWrap w:val="0"/>
            <w:vAlign w:val="center"/>
          </w:tcPr>
          <w:p w14:paraId="43C6042C">
            <w:pPr>
              <w:widowControl/>
              <w:jc w:val="center"/>
              <w:rPr>
                <w:rFonts w:hint="eastAsia" w:ascii="宋体" w:hAnsi="宋体" w:eastAsia="宋体" w:cs="宋体"/>
                <w:b/>
                <w:bCs/>
                <w:color w:val="000000"/>
                <w:kern w:val="0"/>
                <w:sz w:val="18"/>
                <w:szCs w:val="18"/>
                <w:highlight w:val="none"/>
                <w:lang w:eastAsia="zh-CN"/>
              </w:rPr>
            </w:pPr>
            <w:r>
              <w:rPr>
                <w:rFonts w:hint="eastAsia" w:ascii="宋体" w:hAnsi="宋体" w:cs="宋体"/>
                <w:b/>
                <w:bCs/>
                <w:color w:val="000000"/>
                <w:kern w:val="0"/>
                <w:sz w:val="18"/>
                <w:szCs w:val="18"/>
                <w:highlight w:val="none"/>
              </w:rPr>
              <w:t>计量</w:t>
            </w:r>
          </w:p>
          <w:p w14:paraId="5FDF451B">
            <w:pPr>
              <w:widowControl/>
              <w:jc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单位</w:t>
            </w:r>
          </w:p>
        </w:tc>
        <w:tc>
          <w:tcPr>
            <w:tcW w:w="1125" w:type="dxa"/>
            <w:tcBorders>
              <w:top w:val="single" w:color="auto" w:sz="4" w:space="0"/>
              <w:left w:val="nil"/>
              <w:bottom w:val="single" w:color="auto" w:sz="4" w:space="0"/>
              <w:right w:val="single" w:color="auto" w:sz="4" w:space="0"/>
            </w:tcBorders>
            <w:noWrap w:val="0"/>
            <w:vAlign w:val="center"/>
          </w:tcPr>
          <w:p w14:paraId="099C36AA">
            <w:pPr>
              <w:widowControl/>
              <w:jc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大型</w:t>
            </w:r>
          </w:p>
        </w:tc>
        <w:tc>
          <w:tcPr>
            <w:tcW w:w="1701" w:type="dxa"/>
            <w:tcBorders>
              <w:top w:val="single" w:color="auto" w:sz="4" w:space="0"/>
              <w:left w:val="nil"/>
              <w:bottom w:val="single" w:color="auto" w:sz="4" w:space="0"/>
              <w:right w:val="single" w:color="auto" w:sz="4" w:space="0"/>
            </w:tcBorders>
            <w:noWrap w:val="0"/>
            <w:vAlign w:val="center"/>
          </w:tcPr>
          <w:p w14:paraId="308A50A4">
            <w:pPr>
              <w:widowControl/>
              <w:jc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中型</w:t>
            </w:r>
          </w:p>
        </w:tc>
        <w:tc>
          <w:tcPr>
            <w:tcW w:w="1426" w:type="dxa"/>
            <w:tcBorders>
              <w:top w:val="single" w:color="auto" w:sz="4" w:space="0"/>
              <w:left w:val="nil"/>
              <w:bottom w:val="single" w:color="auto" w:sz="4" w:space="0"/>
              <w:right w:val="single" w:color="auto" w:sz="4" w:space="0"/>
            </w:tcBorders>
            <w:noWrap w:val="0"/>
            <w:vAlign w:val="center"/>
          </w:tcPr>
          <w:p w14:paraId="11659015">
            <w:pPr>
              <w:widowControl/>
              <w:jc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小型</w:t>
            </w:r>
          </w:p>
        </w:tc>
        <w:tc>
          <w:tcPr>
            <w:tcW w:w="992" w:type="dxa"/>
            <w:tcBorders>
              <w:top w:val="single" w:color="auto" w:sz="4" w:space="0"/>
              <w:left w:val="nil"/>
              <w:bottom w:val="single" w:color="auto" w:sz="4" w:space="0"/>
              <w:right w:val="nil"/>
            </w:tcBorders>
            <w:noWrap w:val="0"/>
            <w:vAlign w:val="center"/>
          </w:tcPr>
          <w:p w14:paraId="7F75D25D">
            <w:pPr>
              <w:widowControl/>
              <w:jc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微型</w:t>
            </w:r>
          </w:p>
        </w:tc>
      </w:tr>
      <w:tr w14:paraId="2261743F">
        <w:tblPrEx>
          <w:tblCellMar>
            <w:top w:w="0" w:type="dxa"/>
            <w:left w:w="108" w:type="dxa"/>
            <w:bottom w:w="0" w:type="dxa"/>
            <w:right w:w="108" w:type="dxa"/>
          </w:tblCellMar>
        </w:tblPrEx>
        <w:trPr>
          <w:trHeight w:val="397" w:hRule="exact"/>
          <w:jc w:val="center"/>
        </w:trPr>
        <w:tc>
          <w:tcPr>
            <w:tcW w:w="2113" w:type="dxa"/>
            <w:tcBorders>
              <w:top w:val="nil"/>
              <w:left w:val="nil"/>
              <w:bottom w:val="single" w:color="auto" w:sz="4" w:space="0"/>
              <w:right w:val="single" w:color="auto" w:sz="4" w:space="0"/>
            </w:tcBorders>
            <w:noWrap w:val="0"/>
            <w:vAlign w:val="center"/>
          </w:tcPr>
          <w:p w14:paraId="6227763F">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农、林、牧、渔业</w:t>
            </w:r>
          </w:p>
        </w:tc>
        <w:tc>
          <w:tcPr>
            <w:tcW w:w="1369" w:type="dxa"/>
            <w:tcBorders>
              <w:top w:val="nil"/>
              <w:left w:val="nil"/>
              <w:bottom w:val="single" w:color="auto" w:sz="4" w:space="0"/>
              <w:right w:val="single" w:color="auto" w:sz="4" w:space="0"/>
            </w:tcBorders>
            <w:noWrap w:val="0"/>
            <w:vAlign w:val="center"/>
          </w:tcPr>
          <w:p w14:paraId="657E353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5F839EB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69C2262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Y≥20000</w:t>
            </w:r>
          </w:p>
        </w:tc>
        <w:tc>
          <w:tcPr>
            <w:tcW w:w="1701" w:type="dxa"/>
            <w:tcBorders>
              <w:top w:val="nil"/>
              <w:left w:val="nil"/>
              <w:bottom w:val="single" w:color="auto" w:sz="4" w:space="0"/>
              <w:right w:val="single" w:color="auto" w:sz="4" w:space="0"/>
            </w:tcBorders>
            <w:noWrap w:val="0"/>
            <w:vAlign w:val="center"/>
          </w:tcPr>
          <w:p w14:paraId="3A6F6977">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500≤Y＜20000</w:t>
            </w:r>
          </w:p>
        </w:tc>
        <w:tc>
          <w:tcPr>
            <w:tcW w:w="1426" w:type="dxa"/>
            <w:tcBorders>
              <w:top w:val="nil"/>
              <w:left w:val="nil"/>
              <w:bottom w:val="single" w:color="auto" w:sz="4" w:space="0"/>
              <w:right w:val="single" w:color="auto" w:sz="4" w:space="0"/>
            </w:tcBorders>
            <w:noWrap w:val="0"/>
            <w:vAlign w:val="center"/>
          </w:tcPr>
          <w:p w14:paraId="2E109D59">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50≤Y＜500</w:t>
            </w:r>
          </w:p>
        </w:tc>
        <w:tc>
          <w:tcPr>
            <w:tcW w:w="992" w:type="dxa"/>
            <w:tcBorders>
              <w:top w:val="nil"/>
              <w:left w:val="nil"/>
              <w:bottom w:val="single" w:color="auto" w:sz="4" w:space="0"/>
              <w:right w:val="nil"/>
            </w:tcBorders>
            <w:noWrap w:val="0"/>
            <w:vAlign w:val="center"/>
          </w:tcPr>
          <w:p w14:paraId="106BF3E9">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Y＜50</w:t>
            </w:r>
          </w:p>
        </w:tc>
      </w:tr>
      <w:tr w14:paraId="0DBED8F0">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0196172C">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工业 *</w:t>
            </w:r>
          </w:p>
        </w:tc>
        <w:tc>
          <w:tcPr>
            <w:tcW w:w="1369" w:type="dxa"/>
            <w:tcBorders>
              <w:top w:val="nil"/>
              <w:left w:val="nil"/>
              <w:bottom w:val="nil"/>
              <w:right w:val="single" w:color="auto" w:sz="4" w:space="0"/>
            </w:tcBorders>
            <w:noWrap w:val="0"/>
            <w:vAlign w:val="center"/>
          </w:tcPr>
          <w:p w14:paraId="6A4569D7">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3138989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0CCF2BD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X≥1000</w:t>
            </w:r>
          </w:p>
        </w:tc>
        <w:tc>
          <w:tcPr>
            <w:tcW w:w="1701" w:type="dxa"/>
            <w:tcBorders>
              <w:top w:val="nil"/>
              <w:left w:val="nil"/>
              <w:bottom w:val="nil"/>
              <w:right w:val="single" w:color="auto" w:sz="4" w:space="0"/>
            </w:tcBorders>
            <w:noWrap w:val="0"/>
            <w:vAlign w:val="center"/>
          </w:tcPr>
          <w:p w14:paraId="350EA0F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300≤X＜1000</w:t>
            </w:r>
          </w:p>
        </w:tc>
        <w:tc>
          <w:tcPr>
            <w:tcW w:w="1426" w:type="dxa"/>
            <w:tcBorders>
              <w:top w:val="nil"/>
              <w:left w:val="nil"/>
              <w:bottom w:val="nil"/>
              <w:right w:val="single" w:color="auto" w:sz="4" w:space="0"/>
            </w:tcBorders>
            <w:noWrap w:val="0"/>
            <w:vAlign w:val="center"/>
          </w:tcPr>
          <w:p w14:paraId="1D55BB9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20≤X＜300</w:t>
            </w:r>
          </w:p>
        </w:tc>
        <w:tc>
          <w:tcPr>
            <w:tcW w:w="992" w:type="dxa"/>
            <w:tcBorders>
              <w:top w:val="nil"/>
              <w:left w:val="nil"/>
              <w:bottom w:val="nil"/>
              <w:right w:val="nil"/>
            </w:tcBorders>
            <w:noWrap w:val="0"/>
            <w:vAlign w:val="center"/>
          </w:tcPr>
          <w:p w14:paraId="2FA0B9A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X＜20</w:t>
            </w:r>
          </w:p>
        </w:tc>
      </w:tr>
      <w:tr w14:paraId="3E960278">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42DDE320">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52B4A23A">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2EA242C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61B975A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Y≥40000</w:t>
            </w:r>
          </w:p>
        </w:tc>
        <w:tc>
          <w:tcPr>
            <w:tcW w:w="1701" w:type="dxa"/>
            <w:tcBorders>
              <w:top w:val="nil"/>
              <w:left w:val="nil"/>
              <w:bottom w:val="single" w:color="auto" w:sz="4" w:space="0"/>
              <w:right w:val="single" w:color="auto" w:sz="4" w:space="0"/>
            </w:tcBorders>
            <w:noWrap w:val="0"/>
            <w:vAlign w:val="center"/>
          </w:tcPr>
          <w:p w14:paraId="4002B3C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2000≤Y＜40000</w:t>
            </w:r>
          </w:p>
        </w:tc>
        <w:tc>
          <w:tcPr>
            <w:tcW w:w="1426" w:type="dxa"/>
            <w:tcBorders>
              <w:top w:val="nil"/>
              <w:left w:val="nil"/>
              <w:bottom w:val="single" w:color="auto" w:sz="4" w:space="0"/>
              <w:right w:val="single" w:color="auto" w:sz="4" w:space="0"/>
            </w:tcBorders>
            <w:noWrap w:val="0"/>
            <w:vAlign w:val="center"/>
          </w:tcPr>
          <w:p w14:paraId="04F5C3FC">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300≤Y＜2000</w:t>
            </w:r>
          </w:p>
        </w:tc>
        <w:tc>
          <w:tcPr>
            <w:tcW w:w="992" w:type="dxa"/>
            <w:tcBorders>
              <w:top w:val="nil"/>
              <w:left w:val="nil"/>
              <w:bottom w:val="single" w:color="auto" w:sz="4" w:space="0"/>
              <w:right w:val="nil"/>
            </w:tcBorders>
            <w:noWrap w:val="0"/>
            <w:vAlign w:val="center"/>
          </w:tcPr>
          <w:p w14:paraId="6C16A829">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Y＜300</w:t>
            </w:r>
          </w:p>
        </w:tc>
      </w:tr>
      <w:tr w14:paraId="1FA16042">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252CEA90">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建筑业</w:t>
            </w:r>
          </w:p>
        </w:tc>
        <w:tc>
          <w:tcPr>
            <w:tcW w:w="1369" w:type="dxa"/>
            <w:tcBorders>
              <w:top w:val="nil"/>
              <w:left w:val="nil"/>
              <w:bottom w:val="nil"/>
              <w:right w:val="single" w:color="auto" w:sz="4" w:space="0"/>
            </w:tcBorders>
            <w:noWrap w:val="0"/>
            <w:vAlign w:val="center"/>
          </w:tcPr>
          <w:p w14:paraId="5D10850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nil"/>
              <w:right w:val="single" w:color="auto" w:sz="4" w:space="0"/>
            </w:tcBorders>
            <w:noWrap w:val="0"/>
            <w:vAlign w:val="center"/>
          </w:tcPr>
          <w:p w14:paraId="4141EBD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nil"/>
              <w:right w:val="single" w:color="auto" w:sz="4" w:space="0"/>
            </w:tcBorders>
            <w:noWrap w:val="0"/>
            <w:vAlign w:val="center"/>
          </w:tcPr>
          <w:p w14:paraId="04B76FA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Y≥80000</w:t>
            </w:r>
          </w:p>
        </w:tc>
        <w:tc>
          <w:tcPr>
            <w:tcW w:w="1701" w:type="dxa"/>
            <w:tcBorders>
              <w:top w:val="nil"/>
              <w:left w:val="nil"/>
              <w:bottom w:val="nil"/>
              <w:right w:val="single" w:color="auto" w:sz="4" w:space="0"/>
            </w:tcBorders>
            <w:noWrap w:val="0"/>
            <w:vAlign w:val="center"/>
          </w:tcPr>
          <w:p w14:paraId="7D278559">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6000≤Y＜80000</w:t>
            </w:r>
          </w:p>
        </w:tc>
        <w:tc>
          <w:tcPr>
            <w:tcW w:w="1426" w:type="dxa"/>
            <w:tcBorders>
              <w:top w:val="nil"/>
              <w:left w:val="nil"/>
              <w:bottom w:val="nil"/>
              <w:right w:val="single" w:color="auto" w:sz="4" w:space="0"/>
            </w:tcBorders>
            <w:noWrap w:val="0"/>
            <w:vAlign w:val="center"/>
          </w:tcPr>
          <w:p w14:paraId="0738055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300≤Y＜6000</w:t>
            </w:r>
          </w:p>
        </w:tc>
        <w:tc>
          <w:tcPr>
            <w:tcW w:w="992" w:type="dxa"/>
            <w:tcBorders>
              <w:top w:val="nil"/>
              <w:left w:val="nil"/>
              <w:bottom w:val="nil"/>
              <w:right w:val="nil"/>
            </w:tcBorders>
            <w:noWrap w:val="0"/>
            <w:vAlign w:val="center"/>
          </w:tcPr>
          <w:p w14:paraId="152B9C7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Y＜300</w:t>
            </w:r>
          </w:p>
        </w:tc>
      </w:tr>
      <w:tr w14:paraId="23021FF7">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509D5CD3">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0A864030">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资产总额(Z)</w:t>
            </w:r>
          </w:p>
        </w:tc>
        <w:tc>
          <w:tcPr>
            <w:tcW w:w="709" w:type="dxa"/>
            <w:tcBorders>
              <w:top w:val="nil"/>
              <w:left w:val="nil"/>
              <w:bottom w:val="single" w:color="auto" w:sz="4" w:space="0"/>
              <w:right w:val="single" w:color="auto" w:sz="4" w:space="0"/>
            </w:tcBorders>
            <w:noWrap w:val="0"/>
            <w:vAlign w:val="center"/>
          </w:tcPr>
          <w:p w14:paraId="0FE582C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7751442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Z≥80000</w:t>
            </w:r>
          </w:p>
        </w:tc>
        <w:tc>
          <w:tcPr>
            <w:tcW w:w="1701" w:type="dxa"/>
            <w:tcBorders>
              <w:top w:val="nil"/>
              <w:left w:val="nil"/>
              <w:bottom w:val="single" w:color="auto" w:sz="4" w:space="0"/>
              <w:right w:val="single" w:color="auto" w:sz="4" w:space="0"/>
            </w:tcBorders>
            <w:noWrap w:val="0"/>
            <w:vAlign w:val="center"/>
          </w:tcPr>
          <w:p w14:paraId="64F5B43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5000≤Z＜80000</w:t>
            </w:r>
          </w:p>
        </w:tc>
        <w:tc>
          <w:tcPr>
            <w:tcW w:w="1426" w:type="dxa"/>
            <w:tcBorders>
              <w:top w:val="nil"/>
              <w:left w:val="nil"/>
              <w:bottom w:val="single" w:color="auto" w:sz="4" w:space="0"/>
              <w:right w:val="single" w:color="auto" w:sz="4" w:space="0"/>
            </w:tcBorders>
            <w:noWrap w:val="0"/>
            <w:vAlign w:val="center"/>
          </w:tcPr>
          <w:p w14:paraId="0EB4C9C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300≤Z＜5000</w:t>
            </w:r>
          </w:p>
        </w:tc>
        <w:tc>
          <w:tcPr>
            <w:tcW w:w="992" w:type="dxa"/>
            <w:tcBorders>
              <w:top w:val="nil"/>
              <w:left w:val="nil"/>
              <w:bottom w:val="single" w:color="auto" w:sz="4" w:space="0"/>
              <w:right w:val="nil"/>
            </w:tcBorders>
            <w:noWrap w:val="0"/>
            <w:vAlign w:val="center"/>
          </w:tcPr>
          <w:p w14:paraId="36B190B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Z＜300</w:t>
            </w:r>
          </w:p>
        </w:tc>
      </w:tr>
      <w:tr w14:paraId="2A00EF88">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4D2AAD18">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批发业</w:t>
            </w:r>
          </w:p>
        </w:tc>
        <w:tc>
          <w:tcPr>
            <w:tcW w:w="1369" w:type="dxa"/>
            <w:tcBorders>
              <w:top w:val="nil"/>
              <w:left w:val="nil"/>
              <w:bottom w:val="nil"/>
              <w:right w:val="single" w:color="auto" w:sz="4" w:space="0"/>
            </w:tcBorders>
            <w:noWrap w:val="0"/>
            <w:vAlign w:val="center"/>
          </w:tcPr>
          <w:p w14:paraId="42FC05A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6A657A0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407F9B7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X≥200</w:t>
            </w:r>
          </w:p>
        </w:tc>
        <w:tc>
          <w:tcPr>
            <w:tcW w:w="1701" w:type="dxa"/>
            <w:tcBorders>
              <w:top w:val="nil"/>
              <w:left w:val="nil"/>
              <w:bottom w:val="nil"/>
              <w:right w:val="single" w:color="auto" w:sz="4" w:space="0"/>
            </w:tcBorders>
            <w:noWrap w:val="0"/>
            <w:vAlign w:val="center"/>
          </w:tcPr>
          <w:p w14:paraId="74DAEF4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20≤X＜200</w:t>
            </w:r>
          </w:p>
        </w:tc>
        <w:tc>
          <w:tcPr>
            <w:tcW w:w="1426" w:type="dxa"/>
            <w:tcBorders>
              <w:top w:val="nil"/>
              <w:left w:val="nil"/>
              <w:bottom w:val="nil"/>
              <w:right w:val="single" w:color="auto" w:sz="4" w:space="0"/>
            </w:tcBorders>
            <w:noWrap w:val="0"/>
            <w:vAlign w:val="center"/>
          </w:tcPr>
          <w:p w14:paraId="7DC0A9D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5≤X＜20</w:t>
            </w:r>
          </w:p>
        </w:tc>
        <w:tc>
          <w:tcPr>
            <w:tcW w:w="992" w:type="dxa"/>
            <w:tcBorders>
              <w:top w:val="nil"/>
              <w:left w:val="nil"/>
              <w:bottom w:val="nil"/>
              <w:right w:val="nil"/>
            </w:tcBorders>
            <w:noWrap w:val="0"/>
            <w:vAlign w:val="center"/>
          </w:tcPr>
          <w:p w14:paraId="6BE9B8D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X＜5</w:t>
            </w:r>
          </w:p>
        </w:tc>
      </w:tr>
      <w:tr w14:paraId="1AFDD199">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783D9C92">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3D04B7F2">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6ED9981C">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33CC3699">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Y≥40000</w:t>
            </w:r>
          </w:p>
        </w:tc>
        <w:tc>
          <w:tcPr>
            <w:tcW w:w="1701" w:type="dxa"/>
            <w:tcBorders>
              <w:top w:val="nil"/>
              <w:left w:val="nil"/>
              <w:bottom w:val="single" w:color="auto" w:sz="4" w:space="0"/>
              <w:right w:val="single" w:color="auto" w:sz="4" w:space="0"/>
            </w:tcBorders>
            <w:noWrap w:val="0"/>
            <w:vAlign w:val="center"/>
          </w:tcPr>
          <w:p w14:paraId="10572397">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5000≤Y＜40000</w:t>
            </w:r>
          </w:p>
        </w:tc>
        <w:tc>
          <w:tcPr>
            <w:tcW w:w="1426" w:type="dxa"/>
            <w:tcBorders>
              <w:top w:val="nil"/>
              <w:left w:val="nil"/>
              <w:bottom w:val="single" w:color="auto" w:sz="4" w:space="0"/>
              <w:right w:val="single" w:color="auto" w:sz="4" w:space="0"/>
            </w:tcBorders>
            <w:noWrap w:val="0"/>
            <w:vAlign w:val="center"/>
          </w:tcPr>
          <w:p w14:paraId="725EEBCC">
            <w:pPr>
              <w:widowControl/>
              <w:ind w:left="-1" w:leftChars="-1" w:hanging="1"/>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1000≤Y＜5000</w:t>
            </w:r>
          </w:p>
        </w:tc>
        <w:tc>
          <w:tcPr>
            <w:tcW w:w="992" w:type="dxa"/>
            <w:tcBorders>
              <w:top w:val="nil"/>
              <w:left w:val="nil"/>
              <w:bottom w:val="single" w:color="auto" w:sz="4" w:space="0"/>
              <w:right w:val="nil"/>
            </w:tcBorders>
            <w:noWrap w:val="0"/>
            <w:vAlign w:val="center"/>
          </w:tcPr>
          <w:p w14:paraId="6384A3E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Y＜1000</w:t>
            </w:r>
          </w:p>
        </w:tc>
      </w:tr>
      <w:tr w14:paraId="21239634">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5CF10913">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零售业</w:t>
            </w:r>
          </w:p>
        </w:tc>
        <w:tc>
          <w:tcPr>
            <w:tcW w:w="1369" w:type="dxa"/>
            <w:tcBorders>
              <w:top w:val="nil"/>
              <w:left w:val="nil"/>
              <w:bottom w:val="nil"/>
              <w:right w:val="single" w:color="auto" w:sz="4" w:space="0"/>
            </w:tcBorders>
            <w:noWrap w:val="0"/>
            <w:vAlign w:val="center"/>
          </w:tcPr>
          <w:p w14:paraId="1ED0982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0514A81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50CD55E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X≥300</w:t>
            </w:r>
          </w:p>
        </w:tc>
        <w:tc>
          <w:tcPr>
            <w:tcW w:w="1701" w:type="dxa"/>
            <w:tcBorders>
              <w:top w:val="nil"/>
              <w:left w:val="nil"/>
              <w:bottom w:val="nil"/>
              <w:right w:val="single" w:color="auto" w:sz="4" w:space="0"/>
            </w:tcBorders>
            <w:noWrap w:val="0"/>
            <w:vAlign w:val="center"/>
          </w:tcPr>
          <w:p w14:paraId="35EE4A53">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50≤X＜300</w:t>
            </w:r>
          </w:p>
        </w:tc>
        <w:tc>
          <w:tcPr>
            <w:tcW w:w="1426" w:type="dxa"/>
            <w:tcBorders>
              <w:top w:val="nil"/>
              <w:left w:val="nil"/>
              <w:bottom w:val="nil"/>
              <w:right w:val="single" w:color="auto" w:sz="4" w:space="0"/>
            </w:tcBorders>
            <w:noWrap w:val="0"/>
            <w:vAlign w:val="center"/>
          </w:tcPr>
          <w:p w14:paraId="0F1EFFD0">
            <w:pPr>
              <w:widowControl/>
              <w:ind w:left="-1" w:leftChars="-1" w:hanging="1"/>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10≤X＜50 </w:t>
            </w:r>
          </w:p>
        </w:tc>
        <w:tc>
          <w:tcPr>
            <w:tcW w:w="992" w:type="dxa"/>
            <w:tcBorders>
              <w:top w:val="nil"/>
              <w:left w:val="nil"/>
              <w:bottom w:val="nil"/>
              <w:right w:val="nil"/>
            </w:tcBorders>
            <w:noWrap w:val="0"/>
            <w:vAlign w:val="center"/>
          </w:tcPr>
          <w:p w14:paraId="3F692D1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w:t>
            </w:r>
          </w:p>
        </w:tc>
      </w:tr>
      <w:tr w14:paraId="4C88B210">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28B48A77">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283807BE">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463D7AD3">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4DB4E46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Y≥20000</w:t>
            </w:r>
          </w:p>
        </w:tc>
        <w:tc>
          <w:tcPr>
            <w:tcW w:w="1701" w:type="dxa"/>
            <w:tcBorders>
              <w:top w:val="nil"/>
              <w:left w:val="nil"/>
              <w:bottom w:val="single" w:color="auto" w:sz="4" w:space="0"/>
              <w:right w:val="single" w:color="auto" w:sz="4" w:space="0"/>
            </w:tcBorders>
            <w:noWrap w:val="0"/>
            <w:vAlign w:val="center"/>
          </w:tcPr>
          <w:p w14:paraId="1287F8A8">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500≤Y＜20000</w:t>
            </w:r>
          </w:p>
        </w:tc>
        <w:tc>
          <w:tcPr>
            <w:tcW w:w="1426" w:type="dxa"/>
            <w:tcBorders>
              <w:top w:val="nil"/>
              <w:left w:val="nil"/>
              <w:bottom w:val="single" w:color="auto" w:sz="4" w:space="0"/>
              <w:right w:val="single" w:color="auto" w:sz="4" w:space="0"/>
            </w:tcBorders>
            <w:noWrap w:val="0"/>
            <w:vAlign w:val="center"/>
          </w:tcPr>
          <w:p w14:paraId="557707CA">
            <w:pPr>
              <w:widowControl/>
              <w:ind w:left="-1" w:leftChars="-1" w:hanging="1"/>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100≤Y＜500 </w:t>
            </w:r>
          </w:p>
        </w:tc>
        <w:tc>
          <w:tcPr>
            <w:tcW w:w="992" w:type="dxa"/>
            <w:tcBorders>
              <w:top w:val="nil"/>
              <w:left w:val="nil"/>
              <w:bottom w:val="single" w:color="auto" w:sz="4" w:space="0"/>
              <w:right w:val="nil"/>
            </w:tcBorders>
            <w:noWrap w:val="0"/>
            <w:vAlign w:val="center"/>
          </w:tcPr>
          <w:p w14:paraId="3A0409B7">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w:t>
            </w:r>
          </w:p>
        </w:tc>
      </w:tr>
      <w:tr w14:paraId="219DF044">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738CAA72">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交通运输业 *</w:t>
            </w:r>
          </w:p>
        </w:tc>
        <w:tc>
          <w:tcPr>
            <w:tcW w:w="1369" w:type="dxa"/>
            <w:tcBorders>
              <w:top w:val="nil"/>
              <w:left w:val="nil"/>
              <w:bottom w:val="nil"/>
              <w:right w:val="single" w:color="auto" w:sz="4" w:space="0"/>
            </w:tcBorders>
            <w:noWrap w:val="0"/>
            <w:vAlign w:val="center"/>
          </w:tcPr>
          <w:p w14:paraId="1A2DFE7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4BE7F19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02BDAE16">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X≥1000</w:t>
            </w:r>
          </w:p>
        </w:tc>
        <w:tc>
          <w:tcPr>
            <w:tcW w:w="1701" w:type="dxa"/>
            <w:tcBorders>
              <w:top w:val="nil"/>
              <w:left w:val="nil"/>
              <w:bottom w:val="nil"/>
              <w:right w:val="single" w:color="auto" w:sz="4" w:space="0"/>
            </w:tcBorders>
            <w:noWrap w:val="0"/>
            <w:vAlign w:val="center"/>
          </w:tcPr>
          <w:p w14:paraId="353C049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300≤X＜1000</w:t>
            </w:r>
          </w:p>
        </w:tc>
        <w:tc>
          <w:tcPr>
            <w:tcW w:w="1426" w:type="dxa"/>
            <w:tcBorders>
              <w:top w:val="nil"/>
              <w:left w:val="nil"/>
              <w:bottom w:val="nil"/>
              <w:right w:val="single" w:color="auto" w:sz="4" w:space="0"/>
            </w:tcBorders>
            <w:noWrap w:val="0"/>
            <w:vAlign w:val="center"/>
          </w:tcPr>
          <w:p w14:paraId="44F0C12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20≤X＜300</w:t>
            </w:r>
          </w:p>
        </w:tc>
        <w:tc>
          <w:tcPr>
            <w:tcW w:w="992" w:type="dxa"/>
            <w:tcBorders>
              <w:top w:val="nil"/>
              <w:left w:val="nil"/>
              <w:bottom w:val="nil"/>
              <w:right w:val="nil"/>
            </w:tcBorders>
            <w:noWrap w:val="0"/>
            <w:vAlign w:val="center"/>
          </w:tcPr>
          <w:p w14:paraId="38BA3646">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X＜20</w:t>
            </w:r>
          </w:p>
        </w:tc>
      </w:tr>
      <w:tr w14:paraId="4532BC2C">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139B93A4">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76803BD9">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4990B437">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32E5E19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Y≥30000</w:t>
            </w:r>
          </w:p>
        </w:tc>
        <w:tc>
          <w:tcPr>
            <w:tcW w:w="1701" w:type="dxa"/>
            <w:tcBorders>
              <w:top w:val="nil"/>
              <w:left w:val="nil"/>
              <w:bottom w:val="single" w:color="auto" w:sz="4" w:space="0"/>
              <w:right w:val="single" w:color="auto" w:sz="4" w:space="0"/>
            </w:tcBorders>
            <w:noWrap w:val="0"/>
            <w:vAlign w:val="center"/>
          </w:tcPr>
          <w:p w14:paraId="001FFAB9">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3000≤Y＜30000</w:t>
            </w:r>
          </w:p>
        </w:tc>
        <w:tc>
          <w:tcPr>
            <w:tcW w:w="1426" w:type="dxa"/>
            <w:tcBorders>
              <w:top w:val="nil"/>
              <w:left w:val="nil"/>
              <w:bottom w:val="single" w:color="auto" w:sz="4" w:space="0"/>
              <w:right w:val="single" w:color="auto" w:sz="4" w:space="0"/>
            </w:tcBorders>
            <w:noWrap w:val="0"/>
            <w:vAlign w:val="center"/>
          </w:tcPr>
          <w:p w14:paraId="72AD583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200≤Y＜3000</w:t>
            </w:r>
          </w:p>
        </w:tc>
        <w:tc>
          <w:tcPr>
            <w:tcW w:w="992" w:type="dxa"/>
            <w:tcBorders>
              <w:top w:val="nil"/>
              <w:left w:val="nil"/>
              <w:bottom w:val="single" w:color="auto" w:sz="4" w:space="0"/>
              <w:right w:val="nil"/>
            </w:tcBorders>
            <w:noWrap w:val="0"/>
            <w:vAlign w:val="center"/>
          </w:tcPr>
          <w:p w14:paraId="1582ED68">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Y＜200</w:t>
            </w:r>
          </w:p>
        </w:tc>
      </w:tr>
      <w:tr w14:paraId="380C4192">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2EB59225">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仓储业*</w:t>
            </w:r>
          </w:p>
        </w:tc>
        <w:tc>
          <w:tcPr>
            <w:tcW w:w="1369" w:type="dxa"/>
            <w:tcBorders>
              <w:top w:val="nil"/>
              <w:left w:val="nil"/>
              <w:bottom w:val="nil"/>
              <w:right w:val="single" w:color="auto" w:sz="4" w:space="0"/>
            </w:tcBorders>
            <w:noWrap w:val="0"/>
            <w:vAlign w:val="center"/>
          </w:tcPr>
          <w:p w14:paraId="76059247">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42DC75D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35C52D89">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X≥200</w:t>
            </w:r>
          </w:p>
        </w:tc>
        <w:tc>
          <w:tcPr>
            <w:tcW w:w="1701" w:type="dxa"/>
            <w:tcBorders>
              <w:top w:val="nil"/>
              <w:left w:val="nil"/>
              <w:bottom w:val="nil"/>
              <w:right w:val="single" w:color="auto" w:sz="4" w:space="0"/>
            </w:tcBorders>
            <w:noWrap w:val="0"/>
            <w:vAlign w:val="center"/>
          </w:tcPr>
          <w:p w14:paraId="447B9FC6">
            <w:pPr>
              <w:widowControl/>
              <w:ind w:left="1" w:leftChars="-51" w:hanging="108" w:hangingChars="60"/>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100≤X＜200</w:t>
            </w:r>
          </w:p>
        </w:tc>
        <w:tc>
          <w:tcPr>
            <w:tcW w:w="1426" w:type="dxa"/>
            <w:tcBorders>
              <w:top w:val="nil"/>
              <w:left w:val="nil"/>
              <w:bottom w:val="nil"/>
              <w:right w:val="single" w:color="auto" w:sz="4" w:space="0"/>
            </w:tcBorders>
            <w:noWrap w:val="0"/>
            <w:vAlign w:val="center"/>
          </w:tcPr>
          <w:p w14:paraId="0BF2EF6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20≤X＜100</w:t>
            </w:r>
          </w:p>
        </w:tc>
        <w:tc>
          <w:tcPr>
            <w:tcW w:w="992" w:type="dxa"/>
            <w:tcBorders>
              <w:top w:val="nil"/>
              <w:left w:val="nil"/>
              <w:bottom w:val="nil"/>
              <w:right w:val="nil"/>
            </w:tcBorders>
            <w:noWrap w:val="0"/>
            <w:vAlign w:val="center"/>
          </w:tcPr>
          <w:p w14:paraId="2EB6E78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X＜20</w:t>
            </w:r>
          </w:p>
        </w:tc>
      </w:tr>
      <w:tr w14:paraId="5885DE6C">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38F3FF7C">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515D56AD">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2F599AD6">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599DF48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Y≥30000</w:t>
            </w:r>
          </w:p>
        </w:tc>
        <w:tc>
          <w:tcPr>
            <w:tcW w:w="1701" w:type="dxa"/>
            <w:tcBorders>
              <w:top w:val="nil"/>
              <w:left w:val="nil"/>
              <w:bottom w:val="single" w:color="auto" w:sz="4" w:space="0"/>
              <w:right w:val="single" w:color="auto" w:sz="4" w:space="0"/>
            </w:tcBorders>
            <w:noWrap w:val="0"/>
            <w:vAlign w:val="center"/>
          </w:tcPr>
          <w:p w14:paraId="73D41F8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1000≤Y＜30000</w:t>
            </w:r>
          </w:p>
        </w:tc>
        <w:tc>
          <w:tcPr>
            <w:tcW w:w="1426" w:type="dxa"/>
            <w:tcBorders>
              <w:top w:val="nil"/>
              <w:left w:val="nil"/>
              <w:bottom w:val="single" w:color="auto" w:sz="4" w:space="0"/>
              <w:right w:val="single" w:color="auto" w:sz="4" w:space="0"/>
            </w:tcBorders>
            <w:noWrap w:val="0"/>
            <w:vAlign w:val="center"/>
          </w:tcPr>
          <w:p w14:paraId="444BA736">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100≤Y＜1000</w:t>
            </w:r>
          </w:p>
        </w:tc>
        <w:tc>
          <w:tcPr>
            <w:tcW w:w="992" w:type="dxa"/>
            <w:tcBorders>
              <w:top w:val="nil"/>
              <w:left w:val="nil"/>
              <w:bottom w:val="single" w:color="auto" w:sz="4" w:space="0"/>
              <w:right w:val="nil"/>
            </w:tcBorders>
            <w:noWrap w:val="0"/>
            <w:vAlign w:val="center"/>
          </w:tcPr>
          <w:p w14:paraId="794E692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w:t>
            </w:r>
          </w:p>
        </w:tc>
      </w:tr>
      <w:tr w14:paraId="0B54B582">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1B97ADBA">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邮政业</w:t>
            </w:r>
          </w:p>
        </w:tc>
        <w:tc>
          <w:tcPr>
            <w:tcW w:w="1369" w:type="dxa"/>
            <w:tcBorders>
              <w:top w:val="nil"/>
              <w:left w:val="nil"/>
              <w:bottom w:val="nil"/>
              <w:right w:val="single" w:color="auto" w:sz="4" w:space="0"/>
            </w:tcBorders>
            <w:noWrap w:val="0"/>
            <w:vAlign w:val="center"/>
          </w:tcPr>
          <w:p w14:paraId="4370BB87">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089ABA3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12E3CF7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X≥1000</w:t>
            </w:r>
          </w:p>
        </w:tc>
        <w:tc>
          <w:tcPr>
            <w:tcW w:w="1701" w:type="dxa"/>
            <w:tcBorders>
              <w:top w:val="nil"/>
              <w:left w:val="nil"/>
              <w:bottom w:val="nil"/>
              <w:right w:val="single" w:color="auto" w:sz="4" w:space="0"/>
            </w:tcBorders>
            <w:noWrap w:val="0"/>
            <w:vAlign w:val="center"/>
          </w:tcPr>
          <w:p w14:paraId="60AEDF0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300≤X＜1000</w:t>
            </w:r>
          </w:p>
        </w:tc>
        <w:tc>
          <w:tcPr>
            <w:tcW w:w="1426" w:type="dxa"/>
            <w:tcBorders>
              <w:top w:val="nil"/>
              <w:left w:val="nil"/>
              <w:bottom w:val="nil"/>
              <w:right w:val="single" w:color="auto" w:sz="4" w:space="0"/>
            </w:tcBorders>
            <w:noWrap w:val="0"/>
            <w:vAlign w:val="center"/>
          </w:tcPr>
          <w:p w14:paraId="11EF7A76">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20≤X＜300</w:t>
            </w:r>
          </w:p>
        </w:tc>
        <w:tc>
          <w:tcPr>
            <w:tcW w:w="992" w:type="dxa"/>
            <w:tcBorders>
              <w:top w:val="nil"/>
              <w:left w:val="nil"/>
              <w:bottom w:val="nil"/>
              <w:right w:val="nil"/>
            </w:tcBorders>
            <w:noWrap w:val="0"/>
            <w:vAlign w:val="center"/>
          </w:tcPr>
          <w:p w14:paraId="187F044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X＜20</w:t>
            </w:r>
          </w:p>
        </w:tc>
      </w:tr>
      <w:tr w14:paraId="62672C58">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4204BF09">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3CA65E28">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59F9CC1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045C380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Y≥30000</w:t>
            </w:r>
          </w:p>
        </w:tc>
        <w:tc>
          <w:tcPr>
            <w:tcW w:w="1701" w:type="dxa"/>
            <w:tcBorders>
              <w:top w:val="nil"/>
              <w:left w:val="nil"/>
              <w:bottom w:val="single" w:color="auto" w:sz="4" w:space="0"/>
              <w:right w:val="single" w:color="auto" w:sz="4" w:space="0"/>
            </w:tcBorders>
            <w:noWrap w:val="0"/>
            <w:vAlign w:val="center"/>
          </w:tcPr>
          <w:p w14:paraId="492F243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2000≤Y＜30000</w:t>
            </w:r>
          </w:p>
        </w:tc>
        <w:tc>
          <w:tcPr>
            <w:tcW w:w="1426" w:type="dxa"/>
            <w:tcBorders>
              <w:top w:val="nil"/>
              <w:left w:val="nil"/>
              <w:bottom w:val="single" w:color="auto" w:sz="4" w:space="0"/>
              <w:right w:val="single" w:color="auto" w:sz="4" w:space="0"/>
            </w:tcBorders>
            <w:noWrap w:val="0"/>
            <w:vAlign w:val="center"/>
          </w:tcPr>
          <w:p w14:paraId="22A9CDF9">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100≤Y＜2000</w:t>
            </w:r>
          </w:p>
        </w:tc>
        <w:tc>
          <w:tcPr>
            <w:tcW w:w="992" w:type="dxa"/>
            <w:tcBorders>
              <w:top w:val="nil"/>
              <w:left w:val="nil"/>
              <w:bottom w:val="single" w:color="auto" w:sz="4" w:space="0"/>
              <w:right w:val="nil"/>
            </w:tcBorders>
            <w:noWrap w:val="0"/>
            <w:vAlign w:val="center"/>
          </w:tcPr>
          <w:p w14:paraId="27DA660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w:t>
            </w:r>
          </w:p>
        </w:tc>
      </w:tr>
      <w:tr w14:paraId="32DE163D">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59281A38">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住宿业</w:t>
            </w:r>
          </w:p>
        </w:tc>
        <w:tc>
          <w:tcPr>
            <w:tcW w:w="1369" w:type="dxa"/>
            <w:tcBorders>
              <w:top w:val="nil"/>
              <w:left w:val="nil"/>
              <w:bottom w:val="nil"/>
              <w:right w:val="single" w:color="auto" w:sz="4" w:space="0"/>
            </w:tcBorders>
            <w:noWrap w:val="0"/>
            <w:vAlign w:val="center"/>
          </w:tcPr>
          <w:p w14:paraId="4040D47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2933FFAC">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03BC19F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X≥300</w:t>
            </w:r>
          </w:p>
        </w:tc>
        <w:tc>
          <w:tcPr>
            <w:tcW w:w="1701" w:type="dxa"/>
            <w:tcBorders>
              <w:top w:val="nil"/>
              <w:left w:val="nil"/>
              <w:bottom w:val="nil"/>
              <w:right w:val="single" w:color="auto" w:sz="4" w:space="0"/>
            </w:tcBorders>
            <w:noWrap w:val="0"/>
            <w:vAlign w:val="center"/>
          </w:tcPr>
          <w:p w14:paraId="43ABDC1A">
            <w:pPr>
              <w:widowControl/>
              <w:ind w:left="1" w:leftChars="-51" w:hanging="108" w:hangingChars="60"/>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100≤X＜300 </w:t>
            </w:r>
          </w:p>
        </w:tc>
        <w:tc>
          <w:tcPr>
            <w:tcW w:w="1426" w:type="dxa"/>
            <w:tcBorders>
              <w:top w:val="nil"/>
              <w:left w:val="nil"/>
              <w:bottom w:val="nil"/>
              <w:right w:val="single" w:color="auto" w:sz="4" w:space="0"/>
            </w:tcBorders>
            <w:noWrap w:val="0"/>
            <w:vAlign w:val="center"/>
          </w:tcPr>
          <w:p w14:paraId="1F33501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10≤X＜100</w:t>
            </w:r>
          </w:p>
        </w:tc>
        <w:tc>
          <w:tcPr>
            <w:tcW w:w="992" w:type="dxa"/>
            <w:tcBorders>
              <w:top w:val="nil"/>
              <w:left w:val="nil"/>
              <w:bottom w:val="nil"/>
              <w:right w:val="nil"/>
            </w:tcBorders>
            <w:noWrap w:val="0"/>
            <w:vAlign w:val="center"/>
          </w:tcPr>
          <w:p w14:paraId="78D06B4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w:t>
            </w:r>
          </w:p>
        </w:tc>
      </w:tr>
      <w:tr w14:paraId="62889C8B">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36735FB3">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319D6F70">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79C9D6B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1A193E2C">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Y≥10000</w:t>
            </w:r>
          </w:p>
        </w:tc>
        <w:tc>
          <w:tcPr>
            <w:tcW w:w="1701" w:type="dxa"/>
            <w:tcBorders>
              <w:top w:val="nil"/>
              <w:left w:val="nil"/>
              <w:bottom w:val="single" w:color="auto" w:sz="4" w:space="0"/>
              <w:right w:val="single" w:color="auto" w:sz="4" w:space="0"/>
            </w:tcBorders>
            <w:noWrap w:val="0"/>
            <w:vAlign w:val="center"/>
          </w:tcPr>
          <w:p w14:paraId="66D151A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2000≤Y＜10000</w:t>
            </w:r>
          </w:p>
        </w:tc>
        <w:tc>
          <w:tcPr>
            <w:tcW w:w="1426" w:type="dxa"/>
            <w:tcBorders>
              <w:top w:val="nil"/>
              <w:left w:val="nil"/>
              <w:bottom w:val="single" w:color="auto" w:sz="4" w:space="0"/>
              <w:right w:val="single" w:color="auto" w:sz="4" w:space="0"/>
            </w:tcBorders>
            <w:noWrap w:val="0"/>
            <w:vAlign w:val="center"/>
          </w:tcPr>
          <w:p w14:paraId="3F1FFA7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100≤Y＜2000</w:t>
            </w:r>
          </w:p>
        </w:tc>
        <w:tc>
          <w:tcPr>
            <w:tcW w:w="992" w:type="dxa"/>
            <w:tcBorders>
              <w:top w:val="nil"/>
              <w:left w:val="nil"/>
              <w:bottom w:val="single" w:color="auto" w:sz="4" w:space="0"/>
              <w:right w:val="nil"/>
            </w:tcBorders>
            <w:noWrap w:val="0"/>
            <w:vAlign w:val="center"/>
          </w:tcPr>
          <w:p w14:paraId="6D84186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w:t>
            </w:r>
          </w:p>
        </w:tc>
      </w:tr>
      <w:tr w14:paraId="5828F34F">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57846A1B">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餐饮业</w:t>
            </w:r>
          </w:p>
        </w:tc>
        <w:tc>
          <w:tcPr>
            <w:tcW w:w="1369" w:type="dxa"/>
            <w:tcBorders>
              <w:top w:val="nil"/>
              <w:left w:val="nil"/>
              <w:bottom w:val="nil"/>
              <w:right w:val="single" w:color="auto" w:sz="4" w:space="0"/>
            </w:tcBorders>
            <w:noWrap w:val="0"/>
            <w:vAlign w:val="center"/>
          </w:tcPr>
          <w:p w14:paraId="45CD22F8">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32E0C10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2B753A4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X≥300</w:t>
            </w:r>
          </w:p>
        </w:tc>
        <w:tc>
          <w:tcPr>
            <w:tcW w:w="1701" w:type="dxa"/>
            <w:tcBorders>
              <w:top w:val="nil"/>
              <w:left w:val="nil"/>
              <w:bottom w:val="nil"/>
              <w:right w:val="single" w:color="auto" w:sz="4" w:space="0"/>
            </w:tcBorders>
            <w:noWrap w:val="0"/>
            <w:vAlign w:val="center"/>
          </w:tcPr>
          <w:p w14:paraId="22B40B38">
            <w:pPr>
              <w:widowControl/>
              <w:ind w:left="1" w:leftChars="-51" w:hanging="108" w:hangingChars="60"/>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100≤X＜300 </w:t>
            </w:r>
          </w:p>
        </w:tc>
        <w:tc>
          <w:tcPr>
            <w:tcW w:w="1426" w:type="dxa"/>
            <w:tcBorders>
              <w:top w:val="nil"/>
              <w:left w:val="nil"/>
              <w:bottom w:val="nil"/>
              <w:right w:val="single" w:color="auto" w:sz="4" w:space="0"/>
            </w:tcBorders>
            <w:noWrap w:val="0"/>
            <w:vAlign w:val="center"/>
          </w:tcPr>
          <w:p w14:paraId="544293C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10≤X＜100</w:t>
            </w:r>
          </w:p>
        </w:tc>
        <w:tc>
          <w:tcPr>
            <w:tcW w:w="992" w:type="dxa"/>
            <w:tcBorders>
              <w:top w:val="nil"/>
              <w:left w:val="nil"/>
              <w:bottom w:val="nil"/>
              <w:right w:val="nil"/>
            </w:tcBorders>
            <w:noWrap w:val="0"/>
            <w:vAlign w:val="center"/>
          </w:tcPr>
          <w:p w14:paraId="4CDD8B98">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w:t>
            </w:r>
          </w:p>
        </w:tc>
      </w:tr>
      <w:tr w14:paraId="2CAA7ECC">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1C4F576D">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3FD61023">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40E7B36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25FC9AC9">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Y≥10000</w:t>
            </w:r>
          </w:p>
        </w:tc>
        <w:tc>
          <w:tcPr>
            <w:tcW w:w="1701" w:type="dxa"/>
            <w:tcBorders>
              <w:top w:val="nil"/>
              <w:left w:val="nil"/>
              <w:bottom w:val="single" w:color="auto" w:sz="4" w:space="0"/>
              <w:right w:val="single" w:color="auto" w:sz="4" w:space="0"/>
            </w:tcBorders>
            <w:noWrap w:val="0"/>
            <w:vAlign w:val="center"/>
          </w:tcPr>
          <w:p w14:paraId="4B5BCEEC">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2000≤Y＜10000</w:t>
            </w:r>
          </w:p>
        </w:tc>
        <w:tc>
          <w:tcPr>
            <w:tcW w:w="1426" w:type="dxa"/>
            <w:tcBorders>
              <w:top w:val="nil"/>
              <w:left w:val="nil"/>
              <w:bottom w:val="single" w:color="auto" w:sz="4" w:space="0"/>
              <w:right w:val="single" w:color="auto" w:sz="4" w:space="0"/>
            </w:tcBorders>
            <w:noWrap w:val="0"/>
            <w:vAlign w:val="center"/>
          </w:tcPr>
          <w:p w14:paraId="29FD0D5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100≤Y＜2000</w:t>
            </w:r>
          </w:p>
        </w:tc>
        <w:tc>
          <w:tcPr>
            <w:tcW w:w="992" w:type="dxa"/>
            <w:tcBorders>
              <w:top w:val="nil"/>
              <w:left w:val="nil"/>
              <w:bottom w:val="single" w:color="auto" w:sz="4" w:space="0"/>
              <w:right w:val="nil"/>
            </w:tcBorders>
            <w:noWrap w:val="0"/>
            <w:vAlign w:val="center"/>
          </w:tcPr>
          <w:p w14:paraId="5D40B988">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w:t>
            </w:r>
          </w:p>
        </w:tc>
      </w:tr>
      <w:tr w14:paraId="6B3338EF">
        <w:tblPrEx>
          <w:tblCellMar>
            <w:top w:w="0" w:type="dxa"/>
            <w:left w:w="108" w:type="dxa"/>
            <w:bottom w:w="0" w:type="dxa"/>
            <w:right w:w="108" w:type="dxa"/>
          </w:tblCellMar>
        </w:tblPrEx>
        <w:trPr>
          <w:trHeight w:val="397" w:hRule="exact"/>
          <w:jc w:val="center"/>
        </w:trPr>
        <w:tc>
          <w:tcPr>
            <w:tcW w:w="2113" w:type="dxa"/>
            <w:vMerge w:val="restart"/>
            <w:tcBorders>
              <w:top w:val="nil"/>
              <w:left w:val="nil"/>
              <w:bottom w:val="single" w:color="auto" w:sz="4" w:space="0"/>
              <w:right w:val="single" w:color="auto" w:sz="4" w:space="0"/>
            </w:tcBorders>
            <w:noWrap w:val="0"/>
            <w:vAlign w:val="center"/>
          </w:tcPr>
          <w:p w14:paraId="18CDA86A">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信息传输业 *</w:t>
            </w:r>
          </w:p>
        </w:tc>
        <w:tc>
          <w:tcPr>
            <w:tcW w:w="1369" w:type="dxa"/>
            <w:tcBorders>
              <w:top w:val="nil"/>
              <w:left w:val="nil"/>
              <w:bottom w:val="nil"/>
              <w:right w:val="single" w:color="auto" w:sz="4" w:space="0"/>
            </w:tcBorders>
            <w:noWrap w:val="0"/>
            <w:vAlign w:val="center"/>
          </w:tcPr>
          <w:p w14:paraId="1A30679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68017D4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2FE4A45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X≥2000</w:t>
            </w:r>
          </w:p>
        </w:tc>
        <w:tc>
          <w:tcPr>
            <w:tcW w:w="1701" w:type="dxa"/>
            <w:tcBorders>
              <w:top w:val="nil"/>
              <w:left w:val="nil"/>
              <w:bottom w:val="nil"/>
              <w:right w:val="single" w:color="auto" w:sz="4" w:space="0"/>
            </w:tcBorders>
            <w:noWrap w:val="0"/>
            <w:vAlign w:val="center"/>
          </w:tcPr>
          <w:p w14:paraId="5278227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100≤X＜2000</w:t>
            </w:r>
          </w:p>
        </w:tc>
        <w:tc>
          <w:tcPr>
            <w:tcW w:w="1426" w:type="dxa"/>
            <w:tcBorders>
              <w:top w:val="nil"/>
              <w:left w:val="nil"/>
              <w:bottom w:val="nil"/>
              <w:right w:val="single" w:color="auto" w:sz="4" w:space="0"/>
            </w:tcBorders>
            <w:noWrap w:val="0"/>
            <w:vAlign w:val="center"/>
          </w:tcPr>
          <w:p w14:paraId="340952C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10≤X＜100</w:t>
            </w:r>
          </w:p>
        </w:tc>
        <w:tc>
          <w:tcPr>
            <w:tcW w:w="992" w:type="dxa"/>
            <w:tcBorders>
              <w:top w:val="nil"/>
              <w:left w:val="nil"/>
              <w:bottom w:val="nil"/>
              <w:right w:val="nil"/>
            </w:tcBorders>
            <w:noWrap w:val="0"/>
            <w:vAlign w:val="center"/>
          </w:tcPr>
          <w:p w14:paraId="1AC9377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w:t>
            </w:r>
          </w:p>
        </w:tc>
      </w:tr>
      <w:tr w14:paraId="6CD8E7ED">
        <w:tblPrEx>
          <w:tblCellMar>
            <w:top w:w="0" w:type="dxa"/>
            <w:left w:w="108" w:type="dxa"/>
            <w:bottom w:w="0" w:type="dxa"/>
            <w:right w:w="108" w:type="dxa"/>
          </w:tblCellMar>
        </w:tblPrEx>
        <w:trPr>
          <w:trHeight w:val="397" w:hRule="exact"/>
          <w:jc w:val="center"/>
        </w:trPr>
        <w:tc>
          <w:tcPr>
            <w:tcW w:w="2113" w:type="dxa"/>
            <w:vMerge w:val="continue"/>
            <w:tcBorders>
              <w:top w:val="nil"/>
              <w:left w:val="nil"/>
              <w:bottom w:val="single" w:color="auto" w:sz="4" w:space="0"/>
              <w:right w:val="single" w:color="auto" w:sz="4" w:space="0"/>
            </w:tcBorders>
            <w:noWrap w:val="0"/>
            <w:vAlign w:val="center"/>
          </w:tcPr>
          <w:p w14:paraId="4D4AA13A">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66147579">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1524776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3850687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Y≥100000</w:t>
            </w:r>
          </w:p>
        </w:tc>
        <w:tc>
          <w:tcPr>
            <w:tcW w:w="1701" w:type="dxa"/>
            <w:tcBorders>
              <w:top w:val="nil"/>
              <w:left w:val="nil"/>
              <w:bottom w:val="single" w:color="auto" w:sz="4" w:space="0"/>
              <w:right w:val="single" w:color="auto" w:sz="4" w:space="0"/>
            </w:tcBorders>
            <w:noWrap w:val="0"/>
            <w:vAlign w:val="center"/>
          </w:tcPr>
          <w:p w14:paraId="0408DEB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1000≤Y＜100000</w:t>
            </w:r>
          </w:p>
        </w:tc>
        <w:tc>
          <w:tcPr>
            <w:tcW w:w="1426" w:type="dxa"/>
            <w:tcBorders>
              <w:top w:val="nil"/>
              <w:left w:val="nil"/>
              <w:bottom w:val="single" w:color="auto" w:sz="4" w:space="0"/>
              <w:right w:val="single" w:color="auto" w:sz="4" w:space="0"/>
            </w:tcBorders>
            <w:noWrap w:val="0"/>
            <w:vAlign w:val="center"/>
          </w:tcPr>
          <w:p w14:paraId="52646D5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100≤Y＜1000</w:t>
            </w:r>
          </w:p>
        </w:tc>
        <w:tc>
          <w:tcPr>
            <w:tcW w:w="992" w:type="dxa"/>
            <w:tcBorders>
              <w:top w:val="nil"/>
              <w:left w:val="nil"/>
              <w:bottom w:val="single" w:color="auto" w:sz="4" w:space="0"/>
              <w:right w:val="nil"/>
            </w:tcBorders>
            <w:noWrap w:val="0"/>
            <w:vAlign w:val="center"/>
          </w:tcPr>
          <w:p w14:paraId="0E2617B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w:t>
            </w:r>
          </w:p>
        </w:tc>
      </w:tr>
      <w:tr w14:paraId="6A81AA4F">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nil"/>
              <w:bottom w:val="single" w:color="auto" w:sz="4" w:space="0"/>
              <w:right w:val="single" w:color="auto" w:sz="4" w:space="0"/>
            </w:tcBorders>
            <w:noWrap w:val="0"/>
            <w:vAlign w:val="center"/>
          </w:tcPr>
          <w:p w14:paraId="0BDDF794">
            <w:pPr>
              <w:widowControl/>
              <w:spacing w:line="240" w:lineRule="exact"/>
              <w:jc w:val="left"/>
              <w:rPr>
                <w:rFonts w:ascii="宋体" w:hAnsi="宋体" w:cs="宋体"/>
                <w:color w:val="000000"/>
                <w:spacing w:val="-12"/>
                <w:kern w:val="0"/>
                <w:sz w:val="18"/>
                <w:szCs w:val="18"/>
                <w:highlight w:val="none"/>
              </w:rPr>
            </w:pPr>
            <w:r>
              <w:rPr>
                <w:rFonts w:hint="eastAsia" w:ascii="宋体" w:hAnsi="宋体" w:cs="宋体"/>
                <w:color w:val="000000"/>
                <w:spacing w:val="-12"/>
                <w:kern w:val="0"/>
                <w:sz w:val="18"/>
                <w:szCs w:val="18"/>
                <w:highlight w:val="none"/>
              </w:rPr>
              <w:t>软件和信息技术服</w:t>
            </w:r>
            <w:r>
              <w:rPr>
                <w:rFonts w:hint="eastAsia" w:ascii="宋体" w:hAnsi="宋体" w:cs="宋体"/>
                <w:color w:val="000000"/>
                <w:kern w:val="0"/>
                <w:sz w:val="18"/>
                <w:szCs w:val="18"/>
                <w:highlight w:val="none"/>
              </w:rPr>
              <w:t>务业</w:t>
            </w:r>
          </w:p>
        </w:tc>
        <w:tc>
          <w:tcPr>
            <w:tcW w:w="1369" w:type="dxa"/>
            <w:tcBorders>
              <w:top w:val="nil"/>
              <w:left w:val="nil"/>
              <w:bottom w:val="nil"/>
              <w:right w:val="single" w:color="auto" w:sz="4" w:space="0"/>
            </w:tcBorders>
            <w:noWrap w:val="0"/>
            <w:vAlign w:val="center"/>
          </w:tcPr>
          <w:p w14:paraId="2C969E4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44E8AAA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29D813E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X≥300</w:t>
            </w:r>
          </w:p>
        </w:tc>
        <w:tc>
          <w:tcPr>
            <w:tcW w:w="1701" w:type="dxa"/>
            <w:tcBorders>
              <w:top w:val="nil"/>
              <w:left w:val="nil"/>
              <w:bottom w:val="nil"/>
              <w:right w:val="single" w:color="auto" w:sz="4" w:space="0"/>
            </w:tcBorders>
            <w:noWrap w:val="0"/>
            <w:vAlign w:val="center"/>
          </w:tcPr>
          <w:p w14:paraId="61DBAEDA">
            <w:pPr>
              <w:widowControl/>
              <w:ind w:left="1" w:leftChars="-51" w:hanging="108" w:hangingChars="60"/>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100≤X＜300 </w:t>
            </w:r>
          </w:p>
        </w:tc>
        <w:tc>
          <w:tcPr>
            <w:tcW w:w="1426" w:type="dxa"/>
            <w:tcBorders>
              <w:top w:val="nil"/>
              <w:left w:val="nil"/>
              <w:bottom w:val="nil"/>
              <w:right w:val="single" w:color="auto" w:sz="4" w:space="0"/>
            </w:tcBorders>
            <w:noWrap w:val="0"/>
            <w:vAlign w:val="center"/>
          </w:tcPr>
          <w:p w14:paraId="22AE589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10≤X＜100</w:t>
            </w:r>
          </w:p>
        </w:tc>
        <w:tc>
          <w:tcPr>
            <w:tcW w:w="992" w:type="dxa"/>
            <w:tcBorders>
              <w:top w:val="nil"/>
              <w:left w:val="nil"/>
              <w:bottom w:val="nil"/>
              <w:right w:val="nil"/>
            </w:tcBorders>
            <w:noWrap w:val="0"/>
            <w:vAlign w:val="center"/>
          </w:tcPr>
          <w:p w14:paraId="7FE686D6">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w:t>
            </w:r>
          </w:p>
        </w:tc>
      </w:tr>
      <w:tr w14:paraId="734B2356">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nil"/>
              <w:bottom w:val="single" w:color="auto" w:sz="4" w:space="0"/>
              <w:right w:val="single" w:color="auto" w:sz="4" w:space="0"/>
            </w:tcBorders>
            <w:noWrap w:val="0"/>
            <w:vAlign w:val="center"/>
          </w:tcPr>
          <w:p w14:paraId="3D18FBCB">
            <w:pPr>
              <w:widowControl/>
              <w:jc w:val="left"/>
              <w:rPr>
                <w:rFonts w:ascii="宋体" w:hAnsi="宋体" w:cs="宋体"/>
                <w:color w:val="000000"/>
                <w:spacing w:val="-12"/>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59226703">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175C924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1018B2C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Y≥10000</w:t>
            </w:r>
          </w:p>
        </w:tc>
        <w:tc>
          <w:tcPr>
            <w:tcW w:w="1701" w:type="dxa"/>
            <w:tcBorders>
              <w:top w:val="nil"/>
              <w:left w:val="nil"/>
              <w:bottom w:val="single" w:color="auto" w:sz="4" w:space="0"/>
              <w:right w:val="single" w:color="auto" w:sz="4" w:space="0"/>
            </w:tcBorders>
            <w:noWrap w:val="0"/>
            <w:vAlign w:val="center"/>
          </w:tcPr>
          <w:p w14:paraId="4C0BE90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1000≤Y＜10000</w:t>
            </w:r>
          </w:p>
        </w:tc>
        <w:tc>
          <w:tcPr>
            <w:tcW w:w="1426" w:type="dxa"/>
            <w:tcBorders>
              <w:top w:val="nil"/>
              <w:left w:val="nil"/>
              <w:bottom w:val="single" w:color="auto" w:sz="4" w:space="0"/>
              <w:right w:val="single" w:color="auto" w:sz="4" w:space="0"/>
            </w:tcBorders>
            <w:noWrap w:val="0"/>
            <w:vAlign w:val="center"/>
          </w:tcPr>
          <w:p w14:paraId="4E439873">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50≤Y＜1000</w:t>
            </w:r>
          </w:p>
        </w:tc>
        <w:tc>
          <w:tcPr>
            <w:tcW w:w="992" w:type="dxa"/>
            <w:tcBorders>
              <w:top w:val="nil"/>
              <w:left w:val="nil"/>
              <w:bottom w:val="single" w:color="auto" w:sz="4" w:space="0"/>
              <w:right w:val="nil"/>
            </w:tcBorders>
            <w:noWrap w:val="0"/>
            <w:vAlign w:val="center"/>
          </w:tcPr>
          <w:p w14:paraId="2B55A0E8">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Y＜50</w:t>
            </w:r>
          </w:p>
        </w:tc>
      </w:tr>
      <w:tr w14:paraId="7C8E00A8">
        <w:tblPrEx>
          <w:tblCellMar>
            <w:top w:w="0" w:type="dxa"/>
            <w:left w:w="108" w:type="dxa"/>
            <w:bottom w:w="0" w:type="dxa"/>
            <w:right w:w="108" w:type="dxa"/>
          </w:tblCellMar>
        </w:tblPrEx>
        <w:trPr>
          <w:trHeight w:val="340" w:hRule="exact"/>
          <w:jc w:val="center"/>
        </w:trPr>
        <w:tc>
          <w:tcPr>
            <w:tcW w:w="2113" w:type="dxa"/>
            <w:vMerge w:val="restart"/>
            <w:tcBorders>
              <w:top w:val="nil"/>
              <w:left w:val="nil"/>
              <w:bottom w:val="single" w:color="auto" w:sz="4" w:space="0"/>
              <w:right w:val="single" w:color="auto" w:sz="4" w:space="0"/>
            </w:tcBorders>
            <w:noWrap w:val="0"/>
            <w:vAlign w:val="center"/>
          </w:tcPr>
          <w:p w14:paraId="4F7E8275">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房地产开发经营</w:t>
            </w:r>
          </w:p>
        </w:tc>
        <w:tc>
          <w:tcPr>
            <w:tcW w:w="1369" w:type="dxa"/>
            <w:tcBorders>
              <w:top w:val="nil"/>
              <w:left w:val="nil"/>
              <w:bottom w:val="nil"/>
              <w:right w:val="single" w:color="auto" w:sz="4" w:space="0"/>
            </w:tcBorders>
            <w:noWrap w:val="0"/>
            <w:vAlign w:val="center"/>
          </w:tcPr>
          <w:p w14:paraId="1D228FF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nil"/>
              <w:right w:val="single" w:color="auto" w:sz="4" w:space="0"/>
            </w:tcBorders>
            <w:noWrap w:val="0"/>
            <w:vAlign w:val="center"/>
          </w:tcPr>
          <w:p w14:paraId="3625727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nil"/>
              <w:right w:val="single" w:color="auto" w:sz="4" w:space="0"/>
            </w:tcBorders>
            <w:noWrap w:val="0"/>
            <w:vAlign w:val="center"/>
          </w:tcPr>
          <w:p w14:paraId="1691BFC3">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Y≥200000</w:t>
            </w:r>
          </w:p>
        </w:tc>
        <w:tc>
          <w:tcPr>
            <w:tcW w:w="1701" w:type="dxa"/>
            <w:tcBorders>
              <w:top w:val="nil"/>
              <w:left w:val="nil"/>
              <w:bottom w:val="nil"/>
              <w:right w:val="single" w:color="auto" w:sz="4" w:space="0"/>
            </w:tcBorders>
            <w:noWrap w:val="0"/>
            <w:vAlign w:val="center"/>
          </w:tcPr>
          <w:p w14:paraId="2687E246">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1000≤Y＜200000</w:t>
            </w:r>
          </w:p>
        </w:tc>
        <w:tc>
          <w:tcPr>
            <w:tcW w:w="1426" w:type="dxa"/>
            <w:tcBorders>
              <w:top w:val="nil"/>
              <w:left w:val="nil"/>
              <w:bottom w:val="nil"/>
              <w:right w:val="single" w:color="auto" w:sz="4" w:space="0"/>
            </w:tcBorders>
            <w:noWrap w:val="0"/>
            <w:vAlign w:val="center"/>
          </w:tcPr>
          <w:p w14:paraId="666F292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100≤Y＜1000</w:t>
            </w:r>
          </w:p>
        </w:tc>
        <w:tc>
          <w:tcPr>
            <w:tcW w:w="992" w:type="dxa"/>
            <w:tcBorders>
              <w:top w:val="nil"/>
              <w:left w:val="nil"/>
              <w:bottom w:val="nil"/>
              <w:right w:val="nil"/>
            </w:tcBorders>
            <w:noWrap w:val="0"/>
            <w:vAlign w:val="center"/>
          </w:tcPr>
          <w:p w14:paraId="14D91BF3">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Y＜100</w:t>
            </w:r>
          </w:p>
        </w:tc>
      </w:tr>
      <w:tr w14:paraId="3C4C0087">
        <w:tblPrEx>
          <w:tblCellMar>
            <w:top w:w="0" w:type="dxa"/>
            <w:left w:w="108" w:type="dxa"/>
            <w:bottom w:w="0" w:type="dxa"/>
            <w:right w:w="108" w:type="dxa"/>
          </w:tblCellMar>
        </w:tblPrEx>
        <w:trPr>
          <w:trHeight w:val="340" w:hRule="exact"/>
          <w:jc w:val="center"/>
        </w:trPr>
        <w:tc>
          <w:tcPr>
            <w:tcW w:w="2113" w:type="dxa"/>
            <w:vMerge w:val="continue"/>
            <w:tcBorders>
              <w:top w:val="nil"/>
              <w:left w:val="nil"/>
              <w:bottom w:val="single" w:color="auto" w:sz="4" w:space="0"/>
              <w:right w:val="single" w:color="auto" w:sz="4" w:space="0"/>
            </w:tcBorders>
            <w:noWrap w:val="0"/>
            <w:vAlign w:val="center"/>
          </w:tcPr>
          <w:p w14:paraId="76276D3C">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7A350C19">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资产总额(Z)</w:t>
            </w:r>
          </w:p>
        </w:tc>
        <w:tc>
          <w:tcPr>
            <w:tcW w:w="709" w:type="dxa"/>
            <w:tcBorders>
              <w:top w:val="nil"/>
              <w:left w:val="nil"/>
              <w:bottom w:val="single" w:color="auto" w:sz="4" w:space="0"/>
              <w:right w:val="single" w:color="auto" w:sz="4" w:space="0"/>
            </w:tcBorders>
            <w:noWrap w:val="0"/>
            <w:vAlign w:val="center"/>
          </w:tcPr>
          <w:p w14:paraId="3D5D294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587569B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Z≥10000</w:t>
            </w:r>
          </w:p>
        </w:tc>
        <w:tc>
          <w:tcPr>
            <w:tcW w:w="1701" w:type="dxa"/>
            <w:tcBorders>
              <w:top w:val="nil"/>
              <w:left w:val="nil"/>
              <w:bottom w:val="single" w:color="auto" w:sz="4" w:space="0"/>
              <w:right w:val="single" w:color="auto" w:sz="4" w:space="0"/>
            </w:tcBorders>
            <w:noWrap w:val="0"/>
            <w:vAlign w:val="center"/>
          </w:tcPr>
          <w:p w14:paraId="529C0B0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5000≤Z＜10000</w:t>
            </w:r>
          </w:p>
        </w:tc>
        <w:tc>
          <w:tcPr>
            <w:tcW w:w="1426" w:type="dxa"/>
            <w:tcBorders>
              <w:top w:val="nil"/>
              <w:left w:val="nil"/>
              <w:bottom w:val="single" w:color="auto" w:sz="4" w:space="0"/>
              <w:right w:val="single" w:color="auto" w:sz="4" w:space="0"/>
            </w:tcBorders>
            <w:noWrap w:val="0"/>
            <w:vAlign w:val="center"/>
          </w:tcPr>
          <w:p w14:paraId="1CDD934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2000≤Z＜5000   </w:t>
            </w:r>
          </w:p>
        </w:tc>
        <w:tc>
          <w:tcPr>
            <w:tcW w:w="992" w:type="dxa"/>
            <w:tcBorders>
              <w:top w:val="nil"/>
              <w:left w:val="nil"/>
              <w:bottom w:val="single" w:color="auto" w:sz="4" w:space="0"/>
              <w:right w:val="nil"/>
            </w:tcBorders>
            <w:noWrap w:val="0"/>
            <w:vAlign w:val="center"/>
          </w:tcPr>
          <w:p w14:paraId="4A4AFFC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Z＜2000</w:t>
            </w:r>
          </w:p>
        </w:tc>
      </w:tr>
      <w:tr w14:paraId="1554671E">
        <w:tblPrEx>
          <w:tblCellMar>
            <w:top w:w="0" w:type="dxa"/>
            <w:left w:w="108" w:type="dxa"/>
            <w:bottom w:w="0" w:type="dxa"/>
            <w:right w:w="108" w:type="dxa"/>
          </w:tblCellMar>
        </w:tblPrEx>
        <w:trPr>
          <w:trHeight w:val="340" w:hRule="exact"/>
          <w:jc w:val="center"/>
        </w:trPr>
        <w:tc>
          <w:tcPr>
            <w:tcW w:w="2113" w:type="dxa"/>
            <w:vMerge w:val="restart"/>
            <w:tcBorders>
              <w:top w:val="nil"/>
              <w:left w:val="nil"/>
              <w:bottom w:val="single" w:color="auto" w:sz="4" w:space="0"/>
              <w:right w:val="single" w:color="auto" w:sz="4" w:space="0"/>
            </w:tcBorders>
            <w:noWrap w:val="0"/>
            <w:vAlign w:val="center"/>
          </w:tcPr>
          <w:p w14:paraId="6CA3955A">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物业管理</w:t>
            </w:r>
          </w:p>
        </w:tc>
        <w:tc>
          <w:tcPr>
            <w:tcW w:w="1369" w:type="dxa"/>
            <w:tcBorders>
              <w:top w:val="nil"/>
              <w:left w:val="nil"/>
              <w:bottom w:val="nil"/>
              <w:right w:val="single" w:color="auto" w:sz="4" w:space="0"/>
            </w:tcBorders>
            <w:noWrap w:val="0"/>
            <w:vAlign w:val="center"/>
          </w:tcPr>
          <w:p w14:paraId="3A1C364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165ECBA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5DD57E2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X≥1000</w:t>
            </w:r>
          </w:p>
        </w:tc>
        <w:tc>
          <w:tcPr>
            <w:tcW w:w="1701" w:type="dxa"/>
            <w:tcBorders>
              <w:top w:val="nil"/>
              <w:left w:val="nil"/>
              <w:bottom w:val="nil"/>
              <w:right w:val="single" w:color="auto" w:sz="4" w:space="0"/>
            </w:tcBorders>
            <w:noWrap w:val="0"/>
            <w:vAlign w:val="center"/>
          </w:tcPr>
          <w:p w14:paraId="4C30542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300≤X＜1000</w:t>
            </w:r>
          </w:p>
        </w:tc>
        <w:tc>
          <w:tcPr>
            <w:tcW w:w="1426" w:type="dxa"/>
            <w:tcBorders>
              <w:top w:val="nil"/>
              <w:left w:val="nil"/>
              <w:bottom w:val="nil"/>
              <w:right w:val="single" w:color="auto" w:sz="4" w:space="0"/>
            </w:tcBorders>
            <w:noWrap w:val="0"/>
            <w:vAlign w:val="center"/>
          </w:tcPr>
          <w:p w14:paraId="43F0C2F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100≤X＜300 </w:t>
            </w:r>
          </w:p>
        </w:tc>
        <w:tc>
          <w:tcPr>
            <w:tcW w:w="992" w:type="dxa"/>
            <w:tcBorders>
              <w:top w:val="nil"/>
              <w:left w:val="nil"/>
              <w:bottom w:val="nil"/>
              <w:right w:val="nil"/>
            </w:tcBorders>
            <w:noWrap w:val="0"/>
            <w:vAlign w:val="center"/>
          </w:tcPr>
          <w:p w14:paraId="1E30F0D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X＜100</w:t>
            </w:r>
          </w:p>
        </w:tc>
      </w:tr>
      <w:tr w14:paraId="036740E7">
        <w:tblPrEx>
          <w:tblCellMar>
            <w:top w:w="0" w:type="dxa"/>
            <w:left w:w="108" w:type="dxa"/>
            <w:bottom w:w="0" w:type="dxa"/>
            <w:right w:w="108" w:type="dxa"/>
          </w:tblCellMar>
        </w:tblPrEx>
        <w:trPr>
          <w:trHeight w:val="340" w:hRule="exact"/>
          <w:jc w:val="center"/>
        </w:trPr>
        <w:tc>
          <w:tcPr>
            <w:tcW w:w="2113" w:type="dxa"/>
            <w:vMerge w:val="continue"/>
            <w:tcBorders>
              <w:top w:val="nil"/>
              <w:left w:val="nil"/>
              <w:bottom w:val="single" w:color="auto" w:sz="4" w:space="0"/>
              <w:right w:val="single" w:color="auto" w:sz="4" w:space="0"/>
            </w:tcBorders>
            <w:noWrap w:val="0"/>
            <w:vAlign w:val="center"/>
          </w:tcPr>
          <w:p w14:paraId="3B1DABE3">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05CDEBD7">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营业收入(Y)</w:t>
            </w:r>
          </w:p>
        </w:tc>
        <w:tc>
          <w:tcPr>
            <w:tcW w:w="709" w:type="dxa"/>
            <w:tcBorders>
              <w:top w:val="nil"/>
              <w:left w:val="nil"/>
              <w:bottom w:val="single" w:color="auto" w:sz="4" w:space="0"/>
              <w:right w:val="single" w:color="auto" w:sz="4" w:space="0"/>
            </w:tcBorders>
            <w:noWrap w:val="0"/>
            <w:vAlign w:val="center"/>
          </w:tcPr>
          <w:p w14:paraId="1BAF3298">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4F3CD2B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Y≥5000</w:t>
            </w:r>
          </w:p>
        </w:tc>
        <w:tc>
          <w:tcPr>
            <w:tcW w:w="1701" w:type="dxa"/>
            <w:tcBorders>
              <w:top w:val="nil"/>
              <w:left w:val="nil"/>
              <w:bottom w:val="single" w:color="auto" w:sz="4" w:space="0"/>
              <w:right w:val="single" w:color="auto" w:sz="4" w:space="0"/>
            </w:tcBorders>
            <w:noWrap w:val="0"/>
            <w:vAlign w:val="center"/>
          </w:tcPr>
          <w:p w14:paraId="53012C06">
            <w:pPr>
              <w:widowControl/>
              <w:ind w:left="1" w:leftChars="-51" w:hanging="108" w:hangingChars="60"/>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1000≤Y＜5000 </w:t>
            </w:r>
          </w:p>
        </w:tc>
        <w:tc>
          <w:tcPr>
            <w:tcW w:w="1426" w:type="dxa"/>
            <w:tcBorders>
              <w:top w:val="nil"/>
              <w:left w:val="nil"/>
              <w:bottom w:val="single" w:color="auto" w:sz="4" w:space="0"/>
              <w:right w:val="single" w:color="auto" w:sz="4" w:space="0"/>
            </w:tcBorders>
            <w:noWrap w:val="0"/>
            <w:vAlign w:val="center"/>
          </w:tcPr>
          <w:p w14:paraId="26F25ED4">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500≤Y＜1000</w:t>
            </w:r>
          </w:p>
        </w:tc>
        <w:tc>
          <w:tcPr>
            <w:tcW w:w="992" w:type="dxa"/>
            <w:tcBorders>
              <w:top w:val="nil"/>
              <w:left w:val="nil"/>
              <w:bottom w:val="single" w:color="auto" w:sz="4" w:space="0"/>
              <w:right w:val="nil"/>
            </w:tcBorders>
            <w:noWrap w:val="0"/>
            <w:vAlign w:val="center"/>
          </w:tcPr>
          <w:p w14:paraId="688850D5">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Y＜500</w:t>
            </w:r>
          </w:p>
        </w:tc>
      </w:tr>
      <w:tr w14:paraId="55F343D9">
        <w:tblPrEx>
          <w:tblCellMar>
            <w:top w:w="0" w:type="dxa"/>
            <w:left w:w="108" w:type="dxa"/>
            <w:bottom w:w="0" w:type="dxa"/>
            <w:right w:w="108" w:type="dxa"/>
          </w:tblCellMar>
        </w:tblPrEx>
        <w:trPr>
          <w:trHeight w:val="340" w:hRule="exact"/>
          <w:jc w:val="center"/>
        </w:trPr>
        <w:tc>
          <w:tcPr>
            <w:tcW w:w="2113" w:type="dxa"/>
            <w:vMerge w:val="restart"/>
            <w:tcBorders>
              <w:top w:val="nil"/>
              <w:left w:val="nil"/>
              <w:bottom w:val="single" w:color="auto" w:sz="4" w:space="0"/>
              <w:right w:val="single" w:color="auto" w:sz="4" w:space="0"/>
            </w:tcBorders>
            <w:noWrap w:val="0"/>
            <w:vAlign w:val="center"/>
          </w:tcPr>
          <w:p w14:paraId="348FE476">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租赁和商务服务业</w:t>
            </w:r>
          </w:p>
        </w:tc>
        <w:tc>
          <w:tcPr>
            <w:tcW w:w="1369" w:type="dxa"/>
            <w:tcBorders>
              <w:top w:val="nil"/>
              <w:left w:val="nil"/>
              <w:bottom w:val="nil"/>
              <w:right w:val="single" w:color="auto" w:sz="4" w:space="0"/>
            </w:tcBorders>
            <w:noWrap w:val="0"/>
            <w:vAlign w:val="center"/>
          </w:tcPr>
          <w:p w14:paraId="27511F56">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nil"/>
              <w:right w:val="single" w:color="auto" w:sz="4" w:space="0"/>
            </w:tcBorders>
            <w:noWrap w:val="0"/>
            <w:vAlign w:val="center"/>
          </w:tcPr>
          <w:p w14:paraId="59B667AC">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nil"/>
              <w:right w:val="single" w:color="auto" w:sz="4" w:space="0"/>
            </w:tcBorders>
            <w:noWrap w:val="0"/>
            <w:vAlign w:val="center"/>
          </w:tcPr>
          <w:p w14:paraId="596CBFF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X≥300</w:t>
            </w:r>
          </w:p>
        </w:tc>
        <w:tc>
          <w:tcPr>
            <w:tcW w:w="1701" w:type="dxa"/>
            <w:tcBorders>
              <w:top w:val="nil"/>
              <w:left w:val="nil"/>
              <w:bottom w:val="nil"/>
              <w:right w:val="single" w:color="auto" w:sz="4" w:space="0"/>
            </w:tcBorders>
            <w:noWrap w:val="0"/>
            <w:vAlign w:val="center"/>
          </w:tcPr>
          <w:p w14:paraId="58C03442">
            <w:pPr>
              <w:widowControl/>
              <w:ind w:left="1" w:leftChars="-51" w:hanging="108" w:hangingChars="60"/>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100≤X＜300 </w:t>
            </w:r>
          </w:p>
        </w:tc>
        <w:tc>
          <w:tcPr>
            <w:tcW w:w="1426" w:type="dxa"/>
            <w:tcBorders>
              <w:top w:val="nil"/>
              <w:left w:val="nil"/>
              <w:bottom w:val="nil"/>
              <w:right w:val="single" w:color="auto" w:sz="4" w:space="0"/>
            </w:tcBorders>
            <w:noWrap w:val="0"/>
            <w:vAlign w:val="center"/>
          </w:tcPr>
          <w:p w14:paraId="747A4CB0">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10≤X＜100</w:t>
            </w:r>
          </w:p>
        </w:tc>
        <w:tc>
          <w:tcPr>
            <w:tcW w:w="992" w:type="dxa"/>
            <w:tcBorders>
              <w:top w:val="nil"/>
              <w:left w:val="nil"/>
              <w:bottom w:val="nil"/>
              <w:right w:val="nil"/>
            </w:tcBorders>
            <w:noWrap w:val="0"/>
            <w:vAlign w:val="center"/>
          </w:tcPr>
          <w:p w14:paraId="6F4D8576">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w:t>
            </w:r>
          </w:p>
        </w:tc>
      </w:tr>
      <w:tr w14:paraId="7A59427D">
        <w:tblPrEx>
          <w:tblCellMar>
            <w:top w:w="0" w:type="dxa"/>
            <w:left w:w="108" w:type="dxa"/>
            <w:bottom w:w="0" w:type="dxa"/>
            <w:right w:w="108" w:type="dxa"/>
          </w:tblCellMar>
        </w:tblPrEx>
        <w:trPr>
          <w:trHeight w:val="340" w:hRule="exact"/>
          <w:jc w:val="center"/>
        </w:trPr>
        <w:tc>
          <w:tcPr>
            <w:tcW w:w="2113" w:type="dxa"/>
            <w:vMerge w:val="continue"/>
            <w:tcBorders>
              <w:top w:val="nil"/>
              <w:left w:val="nil"/>
              <w:bottom w:val="single" w:color="auto" w:sz="4" w:space="0"/>
              <w:right w:val="single" w:color="auto" w:sz="4" w:space="0"/>
            </w:tcBorders>
            <w:noWrap w:val="0"/>
            <w:vAlign w:val="center"/>
          </w:tcPr>
          <w:p w14:paraId="7B60167F">
            <w:pPr>
              <w:widowControl/>
              <w:jc w:val="left"/>
              <w:rPr>
                <w:rFonts w:ascii="宋体" w:hAnsi="宋体" w:cs="宋体"/>
                <w:color w:val="000000"/>
                <w:kern w:val="0"/>
                <w:sz w:val="18"/>
                <w:szCs w:val="18"/>
                <w:highlight w:val="none"/>
              </w:rPr>
            </w:pPr>
          </w:p>
        </w:tc>
        <w:tc>
          <w:tcPr>
            <w:tcW w:w="1369" w:type="dxa"/>
            <w:tcBorders>
              <w:top w:val="nil"/>
              <w:left w:val="nil"/>
              <w:bottom w:val="single" w:color="auto" w:sz="4" w:space="0"/>
              <w:right w:val="single" w:color="auto" w:sz="4" w:space="0"/>
            </w:tcBorders>
            <w:noWrap w:val="0"/>
            <w:vAlign w:val="center"/>
          </w:tcPr>
          <w:p w14:paraId="19BDB4FF">
            <w:pPr>
              <w:widowControl/>
              <w:spacing w:line="240" w:lineRule="exact"/>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资产总额(Z)</w:t>
            </w:r>
          </w:p>
        </w:tc>
        <w:tc>
          <w:tcPr>
            <w:tcW w:w="709" w:type="dxa"/>
            <w:tcBorders>
              <w:top w:val="nil"/>
              <w:left w:val="nil"/>
              <w:bottom w:val="single" w:color="auto" w:sz="4" w:space="0"/>
              <w:right w:val="single" w:color="auto" w:sz="4" w:space="0"/>
            </w:tcBorders>
            <w:noWrap w:val="0"/>
            <w:vAlign w:val="center"/>
          </w:tcPr>
          <w:p w14:paraId="77DF14D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万元</w:t>
            </w:r>
          </w:p>
        </w:tc>
        <w:tc>
          <w:tcPr>
            <w:tcW w:w="1125" w:type="dxa"/>
            <w:tcBorders>
              <w:top w:val="nil"/>
              <w:left w:val="nil"/>
              <w:bottom w:val="single" w:color="auto" w:sz="4" w:space="0"/>
              <w:right w:val="single" w:color="auto" w:sz="4" w:space="0"/>
            </w:tcBorders>
            <w:noWrap w:val="0"/>
            <w:vAlign w:val="center"/>
          </w:tcPr>
          <w:p w14:paraId="525B5E4E">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Z≥120000</w:t>
            </w:r>
          </w:p>
        </w:tc>
        <w:tc>
          <w:tcPr>
            <w:tcW w:w="1701" w:type="dxa"/>
            <w:tcBorders>
              <w:top w:val="nil"/>
              <w:left w:val="nil"/>
              <w:bottom w:val="single" w:color="auto" w:sz="4" w:space="0"/>
              <w:right w:val="single" w:color="auto" w:sz="4" w:space="0"/>
            </w:tcBorders>
            <w:noWrap w:val="0"/>
            <w:vAlign w:val="center"/>
          </w:tcPr>
          <w:p w14:paraId="3C2D9253">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8000≤Z＜120000</w:t>
            </w:r>
          </w:p>
        </w:tc>
        <w:tc>
          <w:tcPr>
            <w:tcW w:w="1426" w:type="dxa"/>
            <w:tcBorders>
              <w:top w:val="nil"/>
              <w:left w:val="nil"/>
              <w:bottom w:val="single" w:color="auto" w:sz="4" w:space="0"/>
              <w:right w:val="single" w:color="auto" w:sz="4" w:space="0"/>
            </w:tcBorders>
            <w:noWrap w:val="0"/>
            <w:vAlign w:val="center"/>
          </w:tcPr>
          <w:p w14:paraId="264EFCB8">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100≤Z＜8000</w:t>
            </w:r>
          </w:p>
        </w:tc>
        <w:tc>
          <w:tcPr>
            <w:tcW w:w="992" w:type="dxa"/>
            <w:tcBorders>
              <w:top w:val="nil"/>
              <w:left w:val="nil"/>
              <w:bottom w:val="single" w:color="auto" w:sz="4" w:space="0"/>
              <w:right w:val="nil"/>
            </w:tcBorders>
            <w:noWrap w:val="0"/>
            <w:vAlign w:val="center"/>
          </w:tcPr>
          <w:p w14:paraId="13E7AEFD">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Z＜100</w:t>
            </w:r>
          </w:p>
        </w:tc>
      </w:tr>
      <w:tr w14:paraId="0897533A">
        <w:tblPrEx>
          <w:tblCellMar>
            <w:top w:w="0" w:type="dxa"/>
            <w:left w:w="108" w:type="dxa"/>
            <w:bottom w:w="0" w:type="dxa"/>
            <w:right w:w="108" w:type="dxa"/>
          </w:tblCellMar>
        </w:tblPrEx>
        <w:trPr>
          <w:trHeight w:val="397" w:hRule="exact"/>
          <w:jc w:val="center"/>
        </w:trPr>
        <w:tc>
          <w:tcPr>
            <w:tcW w:w="2113" w:type="dxa"/>
            <w:tcBorders>
              <w:top w:val="nil"/>
              <w:left w:val="nil"/>
              <w:bottom w:val="single" w:color="auto" w:sz="4" w:space="0"/>
              <w:right w:val="single" w:color="auto" w:sz="4" w:space="0"/>
            </w:tcBorders>
            <w:noWrap w:val="0"/>
            <w:vAlign w:val="center"/>
          </w:tcPr>
          <w:p w14:paraId="1043750D">
            <w:pPr>
              <w:widowControl/>
              <w:spacing w:line="240" w:lineRule="exact"/>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其他未列明行业 *</w:t>
            </w:r>
          </w:p>
        </w:tc>
        <w:tc>
          <w:tcPr>
            <w:tcW w:w="1369" w:type="dxa"/>
            <w:tcBorders>
              <w:top w:val="nil"/>
              <w:left w:val="nil"/>
              <w:bottom w:val="single" w:color="auto" w:sz="4" w:space="0"/>
              <w:right w:val="single" w:color="auto" w:sz="4" w:space="0"/>
            </w:tcBorders>
            <w:noWrap w:val="0"/>
            <w:vAlign w:val="center"/>
          </w:tcPr>
          <w:p w14:paraId="66E5F8C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从业人员(X)</w:t>
            </w:r>
          </w:p>
        </w:tc>
        <w:tc>
          <w:tcPr>
            <w:tcW w:w="709" w:type="dxa"/>
            <w:tcBorders>
              <w:top w:val="nil"/>
              <w:left w:val="nil"/>
              <w:bottom w:val="single" w:color="auto" w:sz="4" w:space="0"/>
              <w:right w:val="single" w:color="auto" w:sz="4" w:space="0"/>
            </w:tcBorders>
            <w:noWrap w:val="0"/>
            <w:vAlign w:val="center"/>
          </w:tcPr>
          <w:p w14:paraId="27DBC653">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人</w:t>
            </w:r>
          </w:p>
        </w:tc>
        <w:tc>
          <w:tcPr>
            <w:tcW w:w="1125" w:type="dxa"/>
            <w:tcBorders>
              <w:top w:val="nil"/>
              <w:left w:val="nil"/>
              <w:bottom w:val="single" w:color="auto" w:sz="4" w:space="0"/>
              <w:right w:val="single" w:color="auto" w:sz="4" w:space="0"/>
            </w:tcBorders>
            <w:noWrap w:val="0"/>
            <w:vAlign w:val="center"/>
          </w:tcPr>
          <w:p w14:paraId="3DC90317">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X≥300</w:t>
            </w:r>
          </w:p>
        </w:tc>
        <w:tc>
          <w:tcPr>
            <w:tcW w:w="1701" w:type="dxa"/>
            <w:tcBorders>
              <w:top w:val="nil"/>
              <w:left w:val="nil"/>
              <w:bottom w:val="single" w:color="auto" w:sz="4" w:space="0"/>
              <w:right w:val="single" w:color="auto" w:sz="4" w:space="0"/>
            </w:tcBorders>
            <w:noWrap w:val="0"/>
            <w:vAlign w:val="center"/>
          </w:tcPr>
          <w:p w14:paraId="5D176993">
            <w:pPr>
              <w:widowControl/>
              <w:ind w:left="1" w:leftChars="-51" w:hanging="108" w:hangingChars="60"/>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100≤X＜300 </w:t>
            </w:r>
          </w:p>
        </w:tc>
        <w:tc>
          <w:tcPr>
            <w:tcW w:w="1426" w:type="dxa"/>
            <w:tcBorders>
              <w:top w:val="nil"/>
              <w:left w:val="nil"/>
              <w:bottom w:val="single" w:color="auto" w:sz="4" w:space="0"/>
              <w:right w:val="single" w:color="auto" w:sz="4" w:space="0"/>
            </w:tcBorders>
            <w:noWrap w:val="0"/>
            <w:vAlign w:val="center"/>
          </w:tcPr>
          <w:p w14:paraId="6ED3B2B2">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 xml:space="preserve"> 10≤X＜100</w:t>
            </w:r>
          </w:p>
        </w:tc>
        <w:tc>
          <w:tcPr>
            <w:tcW w:w="992" w:type="dxa"/>
            <w:tcBorders>
              <w:top w:val="nil"/>
              <w:left w:val="nil"/>
              <w:bottom w:val="single" w:color="auto" w:sz="4" w:space="0"/>
              <w:right w:val="nil"/>
            </w:tcBorders>
            <w:noWrap w:val="0"/>
            <w:vAlign w:val="center"/>
          </w:tcPr>
          <w:p w14:paraId="30A1D0CA">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X＜10</w:t>
            </w:r>
          </w:p>
        </w:tc>
      </w:tr>
    </w:tbl>
    <w:p w14:paraId="70DE8A4C">
      <w:pPr>
        <w:widowControl/>
        <w:spacing w:line="540" w:lineRule="exact"/>
        <w:rPr>
          <w:rFonts w:ascii="宋体" w:hAnsi="宋体" w:cs="宋体"/>
          <w:color w:val="000000"/>
          <w:spacing w:val="8"/>
          <w:kern w:val="0"/>
          <w:szCs w:val="21"/>
          <w:highlight w:val="none"/>
        </w:rPr>
      </w:pPr>
      <w:r>
        <w:rPr>
          <w:rFonts w:ascii="宋体" w:hAnsi="宋体" w:cs="宋体"/>
          <w:color w:val="000000"/>
          <w:spacing w:val="8"/>
          <w:kern w:val="0"/>
          <w:szCs w:val="21"/>
          <w:highlight w:val="none"/>
        </w:rPr>
        <w:br w:type="page"/>
      </w:r>
      <w:r>
        <w:rPr>
          <w:rFonts w:hint="eastAsia" w:ascii="宋体" w:hAnsi="宋体" w:cs="宋体"/>
          <w:color w:val="000000"/>
          <w:spacing w:val="8"/>
          <w:kern w:val="0"/>
          <w:szCs w:val="21"/>
          <w:highlight w:val="none"/>
        </w:rPr>
        <w:t>说明：</w:t>
      </w:r>
    </w:p>
    <w:p w14:paraId="00C377A1">
      <w:pPr>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　　</w:t>
      </w:r>
      <w:r>
        <w:rPr>
          <w:rFonts w:hint="eastAsia" w:ascii="宋体" w:hAnsi="宋体"/>
          <w:color w:val="000000"/>
          <w:spacing w:val="8"/>
          <w:kern w:val="0"/>
          <w:szCs w:val="21"/>
          <w:highlight w:val="none"/>
        </w:rPr>
        <w:t>1.</w:t>
      </w:r>
      <w:r>
        <w:rPr>
          <w:rFonts w:hint="eastAsia" w:ascii="宋体" w:hAnsi="宋体" w:cs="宋体"/>
          <w:color w:val="000000"/>
          <w:spacing w:val="8"/>
          <w:kern w:val="0"/>
          <w:szCs w:val="21"/>
          <w:highlight w:val="none"/>
        </w:rPr>
        <w:t>大型、中型和小型企业须同时满足所列指标的下限，否则下划一档；微型企业只须满足所列指标中的一项即可。</w:t>
      </w:r>
    </w:p>
    <w:p w14:paraId="5C92B66E">
      <w:pPr>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　　</w:t>
      </w:r>
      <w:r>
        <w:rPr>
          <w:rFonts w:hint="eastAsia" w:ascii="宋体" w:hAnsi="宋体"/>
          <w:color w:val="000000"/>
          <w:spacing w:val="8"/>
          <w:kern w:val="0"/>
          <w:szCs w:val="21"/>
          <w:highlight w:val="none"/>
        </w:rPr>
        <w:t>2.</w:t>
      </w:r>
      <w:r>
        <w:rPr>
          <w:rFonts w:hint="eastAsia" w:ascii="宋体" w:hAnsi="宋体" w:cs="宋体"/>
          <w:color w:val="000000"/>
          <w:spacing w:val="8"/>
          <w:kern w:val="0"/>
          <w:szCs w:val="21"/>
          <w:highlight w:val="none"/>
        </w:rPr>
        <w:t>附表中各行业的范围以《国民经济行业分类》（</w:t>
      </w:r>
      <w:r>
        <w:rPr>
          <w:rFonts w:hint="eastAsia" w:ascii="宋体" w:hAnsi="宋体"/>
          <w:color w:val="000000"/>
          <w:spacing w:val="8"/>
          <w:kern w:val="0"/>
          <w:szCs w:val="21"/>
          <w:highlight w:val="none"/>
        </w:rPr>
        <w:t>GB/T4754-2017</w:t>
      </w:r>
      <w:r>
        <w:rPr>
          <w:rFonts w:hint="eastAsia" w:ascii="宋体" w:hAnsi="宋体" w:cs="宋体"/>
          <w:color w:val="000000"/>
          <w:spacing w:val="8"/>
          <w:kern w:val="0"/>
          <w:szCs w:val="21"/>
          <w:highlight w:val="none"/>
        </w:rPr>
        <w:t>）为准。带</w:t>
      </w:r>
      <w:r>
        <w:rPr>
          <w:rFonts w:hint="eastAsia" w:ascii="宋体" w:hAnsi="宋体"/>
          <w:color w:val="000000"/>
          <w:spacing w:val="8"/>
          <w:kern w:val="0"/>
          <w:szCs w:val="21"/>
          <w:highlight w:val="none"/>
        </w:rPr>
        <w:t>*</w:t>
      </w:r>
      <w:r>
        <w:rPr>
          <w:rFonts w:hint="eastAsia" w:ascii="宋体" w:hAnsi="宋体" w:cs="宋体"/>
          <w:color w:val="000000"/>
          <w:spacing w:val="8"/>
          <w:kern w:val="0"/>
          <w:szCs w:val="21"/>
          <w:highlight w:val="none"/>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EF5DD64">
      <w:pPr>
        <w:spacing w:line="540" w:lineRule="exact"/>
        <w:rPr>
          <w:rFonts w:ascii="宋体" w:hAnsi="宋体"/>
          <w:color w:val="000000"/>
          <w:szCs w:val="21"/>
          <w:highlight w:val="none"/>
        </w:rPr>
      </w:pPr>
      <w:r>
        <w:rPr>
          <w:rFonts w:hint="eastAsia" w:ascii="宋体" w:hAnsi="宋体" w:cs="宋体"/>
          <w:color w:val="000000"/>
          <w:spacing w:val="8"/>
          <w:kern w:val="0"/>
          <w:szCs w:val="21"/>
          <w:highlight w:val="none"/>
        </w:rPr>
        <w:t>　　</w:t>
      </w:r>
      <w:r>
        <w:rPr>
          <w:rFonts w:hint="eastAsia" w:ascii="宋体" w:hAnsi="宋体"/>
          <w:color w:val="000000"/>
          <w:spacing w:val="8"/>
          <w:kern w:val="0"/>
          <w:szCs w:val="21"/>
          <w:highlight w:val="none"/>
        </w:rPr>
        <w:t>3.</w:t>
      </w:r>
      <w:r>
        <w:rPr>
          <w:rFonts w:hint="eastAsia" w:ascii="宋体" w:hAnsi="宋体" w:cs="宋体"/>
          <w:color w:val="000000"/>
          <w:spacing w:val="8"/>
          <w:kern w:val="0"/>
          <w:szCs w:val="21"/>
          <w:highlight w:val="none"/>
        </w:rPr>
        <w:t>企业划分指标以现行统计制度为准。（</w:t>
      </w:r>
      <w:r>
        <w:rPr>
          <w:rFonts w:hint="eastAsia" w:ascii="宋体" w:hAnsi="宋体"/>
          <w:color w:val="000000"/>
          <w:spacing w:val="8"/>
          <w:kern w:val="0"/>
          <w:szCs w:val="21"/>
          <w:highlight w:val="none"/>
        </w:rPr>
        <w:t>1</w:t>
      </w:r>
      <w:r>
        <w:rPr>
          <w:rFonts w:hint="eastAsia" w:ascii="宋体" w:hAnsi="宋体" w:cs="宋体"/>
          <w:color w:val="000000"/>
          <w:spacing w:val="8"/>
          <w:kern w:val="0"/>
          <w:szCs w:val="21"/>
          <w:highlight w:val="none"/>
        </w:rPr>
        <w:t>）从业人员，是指期末从业人员数，没有期末从业人员数的，采用全年平均人员数代替。（</w:t>
      </w:r>
      <w:r>
        <w:rPr>
          <w:rFonts w:hint="eastAsia" w:ascii="宋体" w:hAnsi="宋体"/>
          <w:color w:val="000000"/>
          <w:spacing w:val="8"/>
          <w:kern w:val="0"/>
          <w:szCs w:val="21"/>
          <w:highlight w:val="none"/>
        </w:rPr>
        <w:t>2</w:t>
      </w:r>
      <w:r>
        <w:rPr>
          <w:rFonts w:hint="eastAsia" w:ascii="宋体" w:hAnsi="宋体" w:cs="宋体"/>
          <w:color w:val="000000"/>
          <w:spacing w:val="8"/>
          <w:kern w:val="0"/>
          <w:szCs w:val="21"/>
          <w:highlight w:val="none"/>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000000"/>
          <w:spacing w:val="8"/>
          <w:kern w:val="0"/>
          <w:szCs w:val="21"/>
          <w:highlight w:val="none"/>
        </w:rPr>
        <w:t>3</w:t>
      </w:r>
      <w:r>
        <w:rPr>
          <w:rFonts w:hint="eastAsia" w:ascii="宋体" w:hAnsi="宋体" w:cs="宋体"/>
          <w:color w:val="000000"/>
          <w:spacing w:val="8"/>
          <w:kern w:val="0"/>
          <w:szCs w:val="21"/>
          <w:highlight w:val="none"/>
        </w:rPr>
        <w:t>）资产总额，采用资产总计代替。</w:t>
      </w:r>
    </w:p>
    <w:p w14:paraId="6E8F49DE">
      <w:pPr>
        <w:spacing w:line="360" w:lineRule="auto"/>
        <w:rPr>
          <w:rFonts w:ascii="宋体" w:hAnsi="宋体"/>
          <w:b/>
          <w:szCs w:val="21"/>
          <w:highlight w:val="none"/>
        </w:rPr>
      </w:pPr>
    </w:p>
    <w:p w14:paraId="1334F8F0">
      <w:pPr>
        <w:spacing w:line="360" w:lineRule="auto"/>
        <w:rPr>
          <w:rFonts w:ascii="宋体" w:hAnsi="宋体"/>
          <w:szCs w:val="21"/>
          <w:highlight w:val="none"/>
        </w:rPr>
      </w:pPr>
    </w:p>
    <w:p w14:paraId="05C7491A">
      <w:pPr>
        <w:widowControl/>
        <w:rPr>
          <w:rFonts w:ascii="宋体" w:hAnsi="宋体"/>
          <w:szCs w:val="21"/>
          <w:highlight w:val="none"/>
        </w:rPr>
      </w:pPr>
    </w:p>
    <w:p w14:paraId="1B70BC0E">
      <w:pPr>
        <w:pageBreakBefore w:val="0"/>
        <w:widowControl w:val="0"/>
        <w:kinsoku/>
        <w:wordWrap/>
        <w:overflowPunct/>
        <w:topLinePunct w:val="0"/>
        <w:autoSpaceDE/>
        <w:autoSpaceDN/>
        <w:bidi w:val="0"/>
        <w:adjustRightInd/>
        <w:snapToGrid/>
        <w:spacing w:before="0" w:line="360" w:lineRule="auto"/>
        <w:jc w:val="center"/>
        <w:textAlignment w:val="auto"/>
        <w:outlineLvl w:val="2"/>
        <w:rPr>
          <w:rFonts w:hint="eastAsia" w:ascii="Times New Roman" w:hAnsi="Times New Roman" w:eastAsia="宋体" w:cs="Times New Roman"/>
          <w:b/>
          <w:sz w:val="28"/>
          <w:szCs w:val="28"/>
          <w:highlight w:val="none"/>
          <w:lang w:val="en-US" w:eastAsia="zh-CN"/>
        </w:rPr>
      </w:pPr>
      <w:r>
        <w:rPr>
          <w:rFonts w:hint="eastAsia" w:ascii="Times New Roman" w:hAnsi="Times New Roman" w:eastAsia="宋体" w:cs="Times New Roman"/>
          <w:b/>
          <w:bCs w:val="0"/>
          <w:kern w:val="2"/>
          <w:sz w:val="22"/>
          <w:szCs w:val="21"/>
          <w:highlight w:val="none"/>
          <w:lang w:val="en-US" w:eastAsia="zh-CN" w:bidi="ar-SA"/>
        </w:rPr>
        <w:br w:type="page"/>
      </w:r>
      <w:r>
        <w:rPr>
          <w:rFonts w:hint="eastAsia" w:cs="Times New Roman"/>
          <w:b/>
          <w:bCs w:val="0"/>
          <w:kern w:val="2"/>
          <w:sz w:val="28"/>
          <w:szCs w:val="28"/>
          <w:highlight w:val="none"/>
          <w:lang w:val="en-US" w:eastAsia="zh-CN" w:bidi="ar-SA"/>
        </w:rPr>
        <w:t>（七）</w:t>
      </w:r>
      <w:r>
        <w:rPr>
          <w:rFonts w:hint="eastAsia"/>
          <w:b/>
          <w:sz w:val="28"/>
          <w:szCs w:val="28"/>
          <w:highlight w:val="none"/>
        </w:rPr>
        <w:t>特定资格</w:t>
      </w:r>
    </w:p>
    <w:p w14:paraId="185BD2C4">
      <w:pPr>
        <w:numPr>
          <w:ilvl w:val="0"/>
          <w:numId w:val="0"/>
        </w:numPr>
        <w:spacing w:line="360" w:lineRule="auto"/>
        <w:ind w:firstLine="562" w:firstLineChars="200"/>
        <w:jc w:val="left"/>
        <w:outlineLvl w:val="3"/>
        <w:rPr>
          <w:rFonts w:hint="eastAsia" w:ascii="宋体" w:hAnsi="宋体" w:eastAsia="宋体" w:cs="宋体"/>
          <w:color w:val="auto"/>
          <w:kern w:val="0"/>
          <w:sz w:val="28"/>
          <w:szCs w:val="28"/>
          <w:highlight w:val="none"/>
          <w:lang w:val="en-US" w:eastAsia="zh-CN"/>
        </w:rPr>
      </w:pPr>
      <w:r>
        <w:rPr>
          <w:rFonts w:hint="eastAsia" w:ascii="宋体" w:hAnsi="宋体" w:cs="Times New Roman"/>
          <w:b/>
          <w:bCs/>
          <w:color w:val="auto"/>
          <w:sz w:val="28"/>
          <w:szCs w:val="28"/>
          <w:highlight w:val="none"/>
          <w:lang w:val="en-US" w:eastAsia="zh-CN"/>
        </w:rPr>
        <w:t>1.</w:t>
      </w:r>
      <w:r>
        <w:rPr>
          <w:rFonts w:hint="eastAsia" w:ascii="宋体" w:hAnsi="宋体" w:eastAsia="宋体" w:cs="Times New Roman"/>
          <w:b/>
          <w:bCs/>
          <w:color w:val="auto"/>
          <w:sz w:val="28"/>
          <w:szCs w:val="28"/>
          <w:highlight w:val="none"/>
        </w:rPr>
        <w:t>单位负责人为同一人或者存在直接控股、管理关系的不同</w:t>
      </w:r>
      <w:r>
        <w:rPr>
          <w:rFonts w:hint="eastAsia" w:ascii="宋体" w:hAnsi="宋体" w:eastAsia="宋体" w:cs="Times New Roman"/>
          <w:b/>
          <w:bCs/>
          <w:color w:val="auto"/>
          <w:sz w:val="28"/>
          <w:szCs w:val="28"/>
          <w:highlight w:val="none"/>
          <w:lang w:val="en-US" w:eastAsia="zh-CN"/>
        </w:rPr>
        <w:t>供应商</w:t>
      </w:r>
      <w:r>
        <w:rPr>
          <w:rFonts w:hint="eastAsia" w:ascii="宋体" w:hAnsi="宋体" w:eastAsia="宋体" w:cs="Times New Roman"/>
          <w:b/>
          <w:bCs/>
          <w:color w:val="auto"/>
          <w:sz w:val="28"/>
          <w:szCs w:val="28"/>
          <w:highlight w:val="none"/>
        </w:rPr>
        <w:t>，不得参加同一合同项下的政府采购活动</w:t>
      </w:r>
      <w:r>
        <w:rPr>
          <w:rFonts w:hint="eastAsia" w:ascii="宋体" w:hAnsi="宋体" w:cs="Times New Roman"/>
          <w:b/>
          <w:bCs/>
          <w:color w:val="auto"/>
          <w:sz w:val="28"/>
          <w:szCs w:val="28"/>
          <w:highlight w:val="none"/>
          <w:lang w:eastAsia="zh-CN"/>
        </w:rPr>
        <w:t>，为本项目提供整体设计、规范编制或者项目管理、监理、检测等服务的</w:t>
      </w:r>
      <w:r>
        <w:rPr>
          <w:rFonts w:hint="eastAsia" w:ascii="宋体" w:hAnsi="宋体" w:cs="Times New Roman"/>
          <w:b/>
          <w:bCs/>
          <w:color w:val="auto"/>
          <w:sz w:val="28"/>
          <w:szCs w:val="28"/>
          <w:highlight w:val="none"/>
          <w:lang w:val="en-US" w:eastAsia="zh-CN"/>
        </w:rPr>
        <w:t>供应商</w:t>
      </w:r>
      <w:r>
        <w:rPr>
          <w:rFonts w:hint="eastAsia" w:ascii="宋体" w:hAnsi="宋体" w:cs="Times New Roman"/>
          <w:b/>
          <w:bCs/>
          <w:color w:val="auto"/>
          <w:sz w:val="28"/>
          <w:szCs w:val="28"/>
          <w:highlight w:val="none"/>
          <w:lang w:eastAsia="zh-CN"/>
        </w:rPr>
        <w:t>，不得再参加本次采购活动。</w:t>
      </w:r>
      <w:r>
        <w:rPr>
          <w:rFonts w:hint="eastAsia" w:ascii="宋体" w:hAnsi="宋体" w:eastAsia="宋体" w:cs="宋体"/>
          <w:b/>
          <w:bCs/>
          <w:color w:val="auto"/>
          <w:kern w:val="0"/>
          <w:sz w:val="28"/>
          <w:szCs w:val="28"/>
          <w:highlight w:val="none"/>
          <w:lang w:val="en-US" w:eastAsia="zh-CN"/>
        </w:rPr>
        <w:t>（提供承诺函）</w:t>
      </w:r>
    </w:p>
    <w:p w14:paraId="3FD48853">
      <w:pPr>
        <w:spacing w:line="600" w:lineRule="exact"/>
        <w:jc w:val="center"/>
        <w:rPr>
          <w:rFonts w:hint="eastAsia" w:ascii="宋体" w:hAnsi="宋体" w:cs="宋体"/>
          <w:b/>
          <w:sz w:val="28"/>
          <w:szCs w:val="28"/>
          <w:highlight w:val="none"/>
        </w:rPr>
      </w:pPr>
      <w:r>
        <w:rPr>
          <w:rFonts w:hint="eastAsia" w:ascii="宋体" w:hAnsi="宋体" w:cs="宋体"/>
          <w:b/>
          <w:sz w:val="28"/>
          <w:szCs w:val="28"/>
          <w:highlight w:val="none"/>
        </w:rPr>
        <w:t>承诺函</w:t>
      </w:r>
    </w:p>
    <w:p w14:paraId="23323AB6">
      <w:pPr>
        <w:jc w:val="center"/>
        <w:rPr>
          <w:rFonts w:hint="eastAsia"/>
          <w:b/>
          <w:sz w:val="30"/>
          <w:szCs w:val="30"/>
          <w:highlight w:val="none"/>
        </w:rPr>
      </w:pPr>
    </w:p>
    <w:p w14:paraId="0D4862DD">
      <w:pPr>
        <w:spacing w:line="480" w:lineRule="exact"/>
        <w:rPr>
          <w:rFonts w:hint="eastAsia" w:ascii="宋体" w:hAnsi="宋体"/>
          <w:sz w:val="22"/>
          <w:szCs w:val="18"/>
          <w:highlight w:val="none"/>
        </w:rPr>
      </w:pPr>
      <w:r>
        <w:rPr>
          <w:rFonts w:hint="eastAsia" w:ascii="宋体" w:hAnsi="宋体"/>
          <w:sz w:val="22"/>
          <w:szCs w:val="18"/>
          <w:highlight w:val="none"/>
        </w:rPr>
        <w:t>致：</w:t>
      </w:r>
      <w:r>
        <w:rPr>
          <w:rFonts w:hint="eastAsia" w:ascii="宋体" w:hAnsi="宋体"/>
          <w:sz w:val="22"/>
          <w:szCs w:val="18"/>
          <w:highlight w:val="none"/>
          <w:lang w:eastAsia="zh-CN"/>
        </w:rPr>
        <w:t>云南省保山第一中学</w:t>
      </w:r>
    </w:p>
    <w:p w14:paraId="493E0055">
      <w:pPr>
        <w:spacing w:line="560" w:lineRule="exact"/>
        <w:ind w:firstLine="480"/>
        <w:jc w:val="left"/>
        <w:rPr>
          <w:sz w:val="22"/>
          <w:szCs w:val="18"/>
          <w:highlight w:val="none"/>
          <w:shd w:val="clear" w:color="auto" w:fill="FFFFFF"/>
        </w:rPr>
      </w:pPr>
      <w:r>
        <w:rPr>
          <w:rFonts w:hint="eastAsia"/>
          <w:sz w:val="22"/>
          <w:szCs w:val="18"/>
          <w:highlight w:val="none"/>
          <w:shd w:val="clear" w:color="auto" w:fill="FFFFFF"/>
        </w:rPr>
        <w:t>我公司承诺：</w:t>
      </w:r>
    </w:p>
    <w:p w14:paraId="130DEF06">
      <w:pPr>
        <w:spacing w:line="560" w:lineRule="exact"/>
        <w:ind w:firstLine="480"/>
        <w:jc w:val="left"/>
        <w:rPr>
          <w:rFonts w:ascii="宋体" w:hAnsi="宋体"/>
          <w:sz w:val="22"/>
          <w:szCs w:val="18"/>
          <w:highlight w:val="none"/>
          <w:shd w:val="clear" w:color="auto" w:fill="FFFFFF"/>
        </w:rPr>
      </w:pPr>
      <w:r>
        <w:rPr>
          <w:rFonts w:hint="eastAsia" w:ascii="宋体" w:hAnsi="宋体"/>
          <w:bCs/>
          <w:sz w:val="22"/>
          <w:szCs w:val="18"/>
          <w:highlight w:val="none"/>
          <w:shd w:val="clear" w:color="auto" w:fill="FFFFFF"/>
        </w:rPr>
        <w:t>1.单位负责人为同一人或者存在直接控股、管理关系的不同</w:t>
      </w:r>
      <w:r>
        <w:rPr>
          <w:rFonts w:hint="eastAsia" w:ascii="宋体" w:hAnsi="宋体"/>
          <w:bCs/>
          <w:sz w:val="22"/>
          <w:szCs w:val="18"/>
          <w:highlight w:val="none"/>
          <w:shd w:val="clear" w:color="auto" w:fill="FFFFFF"/>
          <w:lang w:val="en-US" w:eastAsia="zh-CN"/>
        </w:rPr>
        <w:t>供应商</w:t>
      </w:r>
      <w:r>
        <w:rPr>
          <w:rFonts w:hint="eastAsia" w:ascii="宋体" w:hAnsi="宋体"/>
          <w:bCs/>
          <w:sz w:val="22"/>
          <w:szCs w:val="18"/>
          <w:highlight w:val="none"/>
          <w:shd w:val="clear" w:color="auto" w:fill="FFFFFF"/>
        </w:rPr>
        <w:t>，不得参加同一合同项下的政府采购活动，为本项目提供整体设计、规范编制或者项目管理、监理、检测等服务的</w:t>
      </w:r>
      <w:r>
        <w:rPr>
          <w:rFonts w:hint="eastAsia" w:ascii="宋体" w:hAnsi="宋体"/>
          <w:bCs/>
          <w:sz w:val="22"/>
          <w:szCs w:val="18"/>
          <w:highlight w:val="none"/>
          <w:shd w:val="clear" w:color="auto" w:fill="FFFFFF"/>
          <w:lang w:val="en-US" w:eastAsia="zh-CN"/>
        </w:rPr>
        <w:t>供应商</w:t>
      </w:r>
      <w:r>
        <w:rPr>
          <w:rFonts w:hint="eastAsia" w:ascii="宋体" w:hAnsi="宋体"/>
          <w:bCs/>
          <w:sz w:val="22"/>
          <w:szCs w:val="18"/>
          <w:highlight w:val="none"/>
          <w:shd w:val="clear" w:color="auto" w:fill="FFFFFF"/>
        </w:rPr>
        <w:t>，不得再参加本次采购活动</w:t>
      </w:r>
      <w:r>
        <w:rPr>
          <w:rFonts w:hint="eastAsia" w:ascii="宋体" w:hAnsi="宋体"/>
          <w:sz w:val="22"/>
          <w:szCs w:val="18"/>
          <w:highlight w:val="none"/>
          <w:shd w:val="clear" w:color="auto" w:fill="FFFFFF"/>
        </w:rPr>
        <w:t>。</w:t>
      </w:r>
    </w:p>
    <w:p w14:paraId="4B39B0FB">
      <w:pPr>
        <w:spacing w:line="560" w:lineRule="exact"/>
        <w:ind w:firstLine="480"/>
        <w:jc w:val="left"/>
        <w:rPr>
          <w:rFonts w:ascii="宋体" w:hAnsi="宋体"/>
          <w:sz w:val="22"/>
          <w:szCs w:val="18"/>
          <w:highlight w:val="none"/>
          <w:shd w:val="clear" w:color="auto" w:fill="FFFFFF"/>
        </w:rPr>
      </w:pPr>
      <w:r>
        <w:rPr>
          <w:rFonts w:hint="eastAsia" w:ascii="宋体" w:hAnsi="宋体"/>
          <w:sz w:val="22"/>
          <w:szCs w:val="18"/>
          <w:highlight w:val="none"/>
          <w:shd w:val="clear" w:color="auto" w:fill="FFFFFF"/>
        </w:rPr>
        <w:t>我公司承诺</w:t>
      </w:r>
      <w:r>
        <w:rPr>
          <w:rFonts w:hint="eastAsia" w:ascii="宋体" w:hAnsi="宋体"/>
          <w:sz w:val="22"/>
          <w:szCs w:val="18"/>
          <w:highlight w:val="none"/>
          <w:shd w:val="clear" w:color="auto" w:fill="FFFFFF"/>
          <w:lang w:val="en-US" w:eastAsia="zh-CN"/>
        </w:rPr>
        <w:t>响应</w:t>
      </w:r>
      <w:r>
        <w:rPr>
          <w:rFonts w:hint="eastAsia" w:ascii="宋体" w:hAnsi="宋体"/>
          <w:sz w:val="22"/>
          <w:szCs w:val="18"/>
          <w:highlight w:val="none"/>
          <w:shd w:val="clear" w:color="auto" w:fill="FFFFFF"/>
        </w:rPr>
        <w:t>文件中提供的材料均真实有效。</w:t>
      </w:r>
    </w:p>
    <w:p w14:paraId="2B8D0CC1">
      <w:pPr>
        <w:spacing w:line="560" w:lineRule="exact"/>
        <w:ind w:firstLine="480"/>
        <w:jc w:val="left"/>
        <w:rPr>
          <w:sz w:val="22"/>
          <w:szCs w:val="18"/>
          <w:highlight w:val="none"/>
          <w:shd w:val="clear" w:color="auto" w:fill="FFFFFF"/>
        </w:rPr>
      </w:pPr>
      <w:r>
        <w:rPr>
          <w:rFonts w:hint="eastAsia"/>
          <w:sz w:val="22"/>
          <w:szCs w:val="18"/>
          <w:highlight w:val="none"/>
          <w:shd w:val="clear" w:color="auto" w:fill="FFFFFF"/>
        </w:rPr>
        <w:t>若违反上述规定，</w:t>
      </w:r>
      <w:r>
        <w:rPr>
          <w:rFonts w:hint="eastAsia"/>
          <w:sz w:val="22"/>
          <w:szCs w:val="18"/>
          <w:highlight w:val="none"/>
          <w:shd w:val="clear" w:color="auto" w:fill="FFFFFF"/>
          <w:lang w:val="en-US" w:eastAsia="zh-CN"/>
        </w:rPr>
        <w:t>则</w:t>
      </w:r>
      <w:r>
        <w:rPr>
          <w:rFonts w:hint="eastAsia"/>
          <w:sz w:val="22"/>
          <w:szCs w:val="18"/>
          <w:highlight w:val="none"/>
          <w:shd w:val="clear" w:color="auto" w:fill="FFFFFF"/>
        </w:rPr>
        <w:t>投标无效，并承担相应的责任。</w:t>
      </w:r>
    </w:p>
    <w:p w14:paraId="46E24856">
      <w:pPr>
        <w:spacing w:line="560" w:lineRule="exact"/>
        <w:ind w:firstLine="480"/>
        <w:jc w:val="left"/>
        <w:rPr>
          <w:sz w:val="24"/>
          <w:highlight w:val="none"/>
          <w:shd w:val="clear" w:color="auto" w:fill="FFFFFF"/>
        </w:rPr>
      </w:pPr>
      <w:r>
        <w:rPr>
          <w:rFonts w:hint="eastAsia"/>
          <w:sz w:val="22"/>
          <w:szCs w:val="18"/>
          <w:highlight w:val="none"/>
          <w:shd w:val="clear" w:color="auto" w:fill="FFFFFF"/>
        </w:rPr>
        <w:t>特此承诺！</w:t>
      </w:r>
      <w:r>
        <w:rPr>
          <w:rFonts w:hint="eastAsia"/>
          <w:sz w:val="22"/>
          <w:szCs w:val="18"/>
          <w:highlight w:val="none"/>
          <w:shd w:val="clear" w:color="auto" w:fill="FFFFFF"/>
        </w:rPr>
        <w:br w:type="textWrapping"/>
      </w:r>
    </w:p>
    <w:p w14:paraId="7D3D3CC7">
      <w:pPr>
        <w:spacing w:before="60" w:after="60"/>
        <w:jc w:val="left"/>
        <w:rPr>
          <w:rFonts w:ascii="宋体" w:hAnsi="宋体" w:cs="宋体"/>
          <w:b/>
          <w:sz w:val="22"/>
          <w:szCs w:val="18"/>
          <w:highlight w:val="none"/>
          <w:u w:val="single"/>
          <w:shd w:val="clear" w:color="auto" w:fill="FFFFFF"/>
        </w:rPr>
      </w:pPr>
      <w:r>
        <w:rPr>
          <w:rFonts w:hint="eastAsia" w:ascii="宋体" w:hAnsi="宋体" w:cs="宋体"/>
          <w:b/>
          <w:sz w:val="22"/>
          <w:szCs w:val="18"/>
          <w:highlight w:val="none"/>
          <w:shd w:val="clear" w:color="auto" w:fill="FFFFFF"/>
          <w:lang w:eastAsia="zh-CN"/>
        </w:rPr>
        <w:t>供应商全称</w:t>
      </w:r>
      <w:r>
        <w:rPr>
          <w:rFonts w:hint="eastAsia" w:ascii="宋体" w:hAnsi="宋体" w:cs="宋体"/>
          <w:b/>
          <w:sz w:val="22"/>
          <w:szCs w:val="18"/>
          <w:highlight w:val="none"/>
          <w:shd w:val="clear" w:color="auto" w:fill="FFFFFF"/>
        </w:rPr>
        <w:t>(电子签章或盖章)：</w:t>
      </w:r>
      <w:r>
        <w:rPr>
          <w:rFonts w:hint="eastAsia" w:ascii="宋体" w:hAnsi="宋体" w:cs="宋体"/>
          <w:b/>
          <w:sz w:val="22"/>
          <w:szCs w:val="18"/>
          <w:highlight w:val="none"/>
          <w:u w:val="single"/>
          <w:shd w:val="clear" w:color="auto" w:fill="FFFFFF"/>
        </w:rPr>
        <w:t xml:space="preserve">                                    </w:t>
      </w:r>
    </w:p>
    <w:p w14:paraId="190025FA">
      <w:pPr>
        <w:spacing w:before="360" w:after="360"/>
        <w:jc w:val="left"/>
        <w:rPr>
          <w:rFonts w:ascii="宋体" w:hAnsi="宋体" w:cs="宋体"/>
          <w:b/>
          <w:sz w:val="22"/>
          <w:szCs w:val="18"/>
          <w:highlight w:val="none"/>
          <w:u w:val="single"/>
          <w:shd w:val="clear" w:color="auto" w:fill="FFFFFF"/>
        </w:rPr>
      </w:pPr>
      <w:r>
        <w:rPr>
          <w:rFonts w:hint="eastAsia" w:ascii="宋体" w:hAnsi="宋体" w:cs="宋体"/>
          <w:b/>
          <w:sz w:val="22"/>
          <w:szCs w:val="18"/>
          <w:highlight w:val="none"/>
          <w:shd w:val="clear" w:color="auto" w:fill="FFFFFF"/>
        </w:rPr>
        <w:t>法定代表人或委托代理人(电子签章或签字)：</w:t>
      </w:r>
      <w:r>
        <w:rPr>
          <w:rFonts w:hint="eastAsia" w:ascii="宋体" w:hAnsi="宋体" w:cs="宋体"/>
          <w:b/>
          <w:sz w:val="22"/>
          <w:szCs w:val="18"/>
          <w:highlight w:val="none"/>
          <w:u w:val="single"/>
          <w:shd w:val="clear" w:color="auto" w:fill="FFFFFF"/>
        </w:rPr>
        <w:t xml:space="preserve">                        </w:t>
      </w:r>
    </w:p>
    <w:p w14:paraId="6B790E1A">
      <w:pPr>
        <w:spacing w:line="360" w:lineRule="exact"/>
        <w:jc w:val="left"/>
        <w:rPr>
          <w:rFonts w:ascii="宋体" w:hAnsi="宋体"/>
          <w:sz w:val="22"/>
          <w:szCs w:val="18"/>
          <w:highlight w:val="none"/>
        </w:rPr>
      </w:pPr>
      <w:r>
        <w:rPr>
          <w:rFonts w:hint="eastAsia" w:ascii="宋体" w:hAnsi="宋体" w:cs="宋体"/>
          <w:b/>
          <w:sz w:val="22"/>
          <w:szCs w:val="18"/>
          <w:highlight w:val="none"/>
          <w:shd w:val="clear" w:color="auto" w:fill="FFFFFF"/>
        </w:rPr>
        <w:t>日    期：________年____月____日</w:t>
      </w:r>
    </w:p>
    <w:p w14:paraId="56A398F1">
      <w:pPr>
        <w:spacing w:line="360" w:lineRule="auto"/>
        <w:jc w:val="left"/>
        <w:rPr>
          <w:rFonts w:ascii="宋体" w:hAnsi="宋体"/>
          <w:sz w:val="22"/>
          <w:szCs w:val="18"/>
          <w:highlight w:val="none"/>
          <w:shd w:val="clear" w:color="auto" w:fill="FFFFFF"/>
        </w:rPr>
      </w:pPr>
      <w:r>
        <w:rPr>
          <w:rFonts w:hint="eastAsia" w:ascii="宋体" w:hAnsi="宋体"/>
          <w:sz w:val="22"/>
          <w:szCs w:val="18"/>
          <w:highlight w:val="none"/>
          <w:shd w:val="clear" w:color="auto" w:fill="FFFFFF"/>
        </w:rPr>
        <w:t xml:space="preserve">  </w:t>
      </w:r>
    </w:p>
    <w:p w14:paraId="45183207">
      <w:pPr>
        <w:numPr>
          <w:ilvl w:val="0"/>
          <w:numId w:val="0"/>
        </w:numPr>
        <w:spacing w:line="360" w:lineRule="auto"/>
        <w:ind w:firstLine="420" w:firstLineChars="200"/>
        <w:jc w:val="left"/>
        <w:rPr>
          <w:rFonts w:hint="eastAsia" w:ascii="宋体" w:hAnsi="宋体" w:eastAsia="宋体" w:cs="宋体"/>
          <w:color w:val="auto"/>
          <w:kern w:val="0"/>
          <w:sz w:val="21"/>
          <w:szCs w:val="21"/>
          <w:highlight w:val="none"/>
          <w:lang w:val="en-US" w:eastAsia="zh-CN"/>
        </w:rPr>
      </w:pPr>
    </w:p>
    <w:p w14:paraId="68F9714E">
      <w:pPr>
        <w:spacing w:line="360" w:lineRule="auto"/>
        <w:ind w:firstLine="420" w:firstLineChars="200"/>
        <w:rPr>
          <w:rFonts w:hint="eastAsia" w:ascii="宋体" w:hAnsi="宋体" w:cs="Times New Roman"/>
          <w:color w:val="auto"/>
          <w:highlight w:val="none"/>
          <w:lang w:val="en-US" w:eastAsia="zh-CN"/>
        </w:rPr>
        <w:sectPr>
          <w:pgSz w:w="11906" w:h="16838"/>
          <w:pgMar w:top="1191" w:right="1191" w:bottom="1304" w:left="1304" w:header="851" w:footer="851" w:gutter="0"/>
          <w:pgNumType w:fmt="decimal"/>
          <w:cols w:space="720" w:num="1"/>
          <w:docGrid w:linePitch="312" w:charSpace="0"/>
        </w:sectPr>
      </w:pPr>
    </w:p>
    <w:p w14:paraId="480F7A44">
      <w:pPr>
        <w:spacing w:line="360" w:lineRule="auto"/>
        <w:ind w:firstLine="562" w:firstLineChars="200"/>
        <w:outlineLvl w:val="3"/>
        <w:rPr>
          <w:rFonts w:hint="eastAsia" w:ascii="宋体" w:hAnsi="宋体" w:cs="Times New Roman"/>
          <w:color w:val="auto"/>
          <w:highlight w:val="none"/>
          <w:lang w:val="en-US" w:eastAsia="zh-CN"/>
        </w:rPr>
        <w:sectPr>
          <w:pgSz w:w="11906" w:h="16838"/>
          <w:pgMar w:top="1191" w:right="1191" w:bottom="1304" w:left="1304" w:header="851" w:footer="851" w:gutter="0"/>
          <w:pgNumType w:fmt="decimal"/>
          <w:cols w:space="720" w:num="1"/>
          <w:docGrid w:linePitch="312" w:charSpace="0"/>
        </w:sectPr>
      </w:pPr>
      <w:r>
        <w:rPr>
          <w:rFonts w:hint="eastAsia" w:ascii="宋体" w:hAnsi="宋体" w:cs="Times New Roman"/>
          <w:b/>
          <w:bCs/>
          <w:color w:val="auto"/>
          <w:sz w:val="28"/>
          <w:szCs w:val="28"/>
          <w:highlight w:val="none"/>
          <w:lang w:val="en-US" w:eastAsia="zh-CN"/>
        </w:rPr>
        <w:t>2.</w:t>
      </w:r>
      <w:r>
        <w:rPr>
          <w:rFonts w:hint="eastAsia" w:ascii="宋体" w:hAnsi="宋体" w:eastAsia="宋体" w:cs="Times New Roman"/>
          <w:b/>
          <w:bCs/>
          <w:color w:val="auto"/>
          <w:sz w:val="28"/>
          <w:szCs w:val="28"/>
          <w:highlight w:val="none"/>
        </w:rPr>
        <w:t>供应商须具有建设行政主管部门颁发的有效的建筑工程施工总承包</w:t>
      </w:r>
      <w:r>
        <w:rPr>
          <w:rFonts w:hint="eastAsia" w:ascii="宋体" w:hAnsi="宋体" w:eastAsia="宋体" w:cs="Times New Roman"/>
          <w:b/>
          <w:bCs/>
          <w:color w:val="auto"/>
          <w:sz w:val="28"/>
          <w:szCs w:val="28"/>
          <w:highlight w:val="none"/>
          <w:lang w:val="en-US" w:eastAsia="zh-CN"/>
        </w:rPr>
        <w:t>三</w:t>
      </w:r>
      <w:r>
        <w:rPr>
          <w:rFonts w:hint="eastAsia" w:ascii="宋体" w:hAnsi="宋体" w:eastAsia="宋体" w:cs="Times New Roman"/>
          <w:b/>
          <w:bCs/>
          <w:color w:val="auto"/>
          <w:sz w:val="28"/>
          <w:szCs w:val="28"/>
          <w:highlight w:val="none"/>
        </w:rPr>
        <w:t>级（含</w:t>
      </w:r>
      <w:r>
        <w:rPr>
          <w:rFonts w:hint="eastAsia" w:ascii="宋体" w:hAnsi="宋体" w:eastAsia="宋体" w:cs="Times New Roman"/>
          <w:b/>
          <w:bCs/>
          <w:color w:val="auto"/>
          <w:sz w:val="28"/>
          <w:szCs w:val="28"/>
          <w:highlight w:val="none"/>
          <w:lang w:val="en-US" w:eastAsia="zh-CN"/>
        </w:rPr>
        <w:t>三</w:t>
      </w:r>
      <w:r>
        <w:rPr>
          <w:rFonts w:hint="eastAsia" w:ascii="宋体" w:hAnsi="宋体" w:eastAsia="宋体" w:cs="Times New Roman"/>
          <w:b/>
          <w:bCs/>
          <w:color w:val="auto"/>
          <w:sz w:val="28"/>
          <w:szCs w:val="28"/>
          <w:highlight w:val="none"/>
        </w:rPr>
        <w:t>级）及以上资质</w:t>
      </w:r>
      <w:r>
        <w:rPr>
          <w:rFonts w:hint="eastAsia" w:ascii="宋体" w:hAnsi="宋体" w:eastAsia="宋体" w:cs="Times New Roman"/>
          <w:b/>
          <w:bCs/>
          <w:color w:val="auto"/>
          <w:sz w:val="28"/>
          <w:szCs w:val="28"/>
          <w:highlight w:val="none"/>
          <w:lang w:eastAsia="zh-CN"/>
        </w:rPr>
        <w:t>，</w:t>
      </w:r>
      <w:r>
        <w:rPr>
          <w:rFonts w:hint="eastAsia" w:ascii="宋体" w:hAnsi="宋体" w:eastAsia="宋体" w:cs="Times New Roman"/>
          <w:b/>
          <w:bCs/>
          <w:color w:val="auto"/>
          <w:sz w:val="28"/>
          <w:szCs w:val="28"/>
          <w:highlight w:val="none"/>
        </w:rPr>
        <w:t>且具有有效期内的安全生产许可证</w:t>
      </w:r>
      <w:r>
        <w:rPr>
          <w:rFonts w:hint="eastAsia" w:ascii="宋体" w:hAnsi="宋体" w:cs="Times New Roman"/>
          <w:b/>
          <w:bCs/>
          <w:color w:val="auto"/>
          <w:sz w:val="28"/>
          <w:szCs w:val="28"/>
          <w:highlight w:val="none"/>
          <w:lang w:eastAsia="zh-CN"/>
        </w:rPr>
        <w:t>（</w:t>
      </w:r>
      <w:r>
        <w:rPr>
          <w:rFonts w:hint="eastAsia" w:ascii="宋体" w:hAnsi="宋体" w:eastAsia="宋体" w:cs="宋体"/>
          <w:b/>
          <w:bCs/>
          <w:color w:val="auto"/>
          <w:sz w:val="28"/>
          <w:szCs w:val="28"/>
          <w:highlight w:val="none"/>
        </w:rPr>
        <w:t>提供加盖</w:t>
      </w:r>
      <w:r>
        <w:rPr>
          <w:rFonts w:hint="eastAsia" w:ascii="宋体" w:hAnsi="宋体" w:cs="宋体"/>
          <w:b/>
          <w:bCs/>
          <w:color w:val="auto"/>
          <w:sz w:val="28"/>
          <w:szCs w:val="28"/>
          <w:highlight w:val="none"/>
          <w:lang w:val="en-US" w:eastAsia="zh-CN"/>
        </w:rPr>
        <w:t>供应商</w:t>
      </w:r>
      <w:r>
        <w:rPr>
          <w:rFonts w:hint="eastAsia" w:ascii="宋体" w:hAnsi="宋体" w:eastAsia="宋体" w:cs="宋体"/>
          <w:b/>
          <w:bCs/>
          <w:color w:val="auto"/>
          <w:sz w:val="28"/>
          <w:szCs w:val="28"/>
          <w:highlight w:val="none"/>
        </w:rPr>
        <w:t>公章或电子</w:t>
      </w:r>
      <w:r>
        <w:rPr>
          <w:rFonts w:hint="eastAsia" w:ascii="宋体" w:hAnsi="宋体" w:eastAsia="宋体" w:cs="宋体"/>
          <w:b/>
          <w:bCs/>
          <w:color w:val="auto"/>
          <w:sz w:val="28"/>
          <w:szCs w:val="28"/>
          <w:highlight w:val="none"/>
          <w:lang w:val="en-US" w:eastAsia="zh-CN"/>
        </w:rPr>
        <w:t>公</w:t>
      </w:r>
      <w:r>
        <w:rPr>
          <w:rFonts w:hint="eastAsia" w:ascii="宋体" w:hAnsi="宋体" w:eastAsia="宋体" w:cs="宋体"/>
          <w:b/>
          <w:bCs/>
          <w:color w:val="auto"/>
          <w:sz w:val="28"/>
          <w:szCs w:val="28"/>
          <w:highlight w:val="none"/>
        </w:rPr>
        <w:t>章的复印件</w:t>
      </w:r>
      <w:r>
        <w:rPr>
          <w:rFonts w:hint="eastAsia" w:ascii="宋体" w:hAnsi="宋体" w:cs="Times New Roman"/>
          <w:b/>
          <w:bCs/>
          <w:color w:val="auto"/>
          <w:sz w:val="28"/>
          <w:szCs w:val="28"/>
          <w:highlight w:val="none"/>
          <w:lang w:val="en-US" w:eastAsia="zh-CN"/>
        </w:rPr>
        <w:t>）。</w:t>
      </w:r>
    </w:p>
    <w:p w14:paraId="67A554E0">
      <w:pPr>
        <w:spacing w:line="360" w:lineRule="auto"/>
        <w:ind w:firstLine="562" w:firstLineChars="200"/>
        <w:outlineLvl w:val="3"/>
        <w:rPr>
          <w:rFonts w:hint="eastAsia" w:ascii="宋体" w:hAnsi="宋体" w:cs="Times New Roman"/>
          <w:b/>
          <w:bCs/>
          <w:color w:val="auto"/>
          <w:sz w:val="28"/>
          <w:szCs w:val="28"/>
          <w:highlight w:val="none"/>
          <w:lang w:val="en-US" w:eastAsia="zh-CN"/>
        </w:rPr>
        <w:sectPr>
          <w:pgSz w:w="11906" w:h="16838"/>
          <w:pgMar w:top="1191" w:right="1191" w:bottom="1304" w:left="1304" w:header="851" w:footer="851" w:gutter="0"/>
          <w:pgNumType w:fmt="decimal"/>
          <w:cols w:space="720" w:num="1"/>
          <w:docGrid w:linePitch="312" w:charSpace="0"/>
        </w:sectPr>
      </w:pPr>
      <w:r>
        <w:rPr>
          <w:rFonts w:hint="eastAsia" w:ascii="宋体" w:hAnsi="宋体" w:cs="Times New Roman"/>
          <w:b/>
          <w:bCs/>
          <w:color w:val="auto"/>
          <w:sz w:val="28"/>
          <w:szCs w:val="28"/>
          <w:highlight w:val="none"/>
          <w:lang w:val="en-US" w:eastAsia="zh-CN"/>
        </w:rPr>
        <w:t>3.</w:t>
      </w:r>
      <w:r>
        <w:rPr>
          <w:rFonts w:hint="eastAsia" w:ascii="宋体" w:hAnsi="宋体" w:eastAsia="宋体" w:cs="Times New Roman"/>
          <w:b/>
          <w:bCs/>
          <w:color w:val="auto"/>
          <w:sz w:val="28"/>
          <w:szCs w:val="28"/>
          <w:highlight w:val="none"/>
        </w:rPr>
        <w:t>供应商拟派项目经理须具备建筑工程专业二级及以上注册建造师执业资格，持有安全生产考核合格证书（B证），且必须为供应商本单位人员（</w:t>
      </w:r>
      <w:r>
        <w:rPr>
          <w:rFonts w:hint="eastAsia" w:ascii="宋体" w:hAnsi="宋体" w:eastAsia="宋体" w:cs="Times New Roman"/>
          <w:b/>
          <w:bCs/>
          <w:color w:val="auto"/>
          <w:sz w:val="28"/>
          <w:szCs w:val="28"/>
          <w:highlight w:val="none"/>
          <w:lang w:val="en-US" w:eastAsia="zh-CN"/>
        </w:rPr>
        <w:t>提供</w:t>
      </w:r>
      <w:r>
        <w:rPr>
          <w:rFonts w:hint="eastAsia" w:ascii="宋体" w:hAnsi="宋体" w:eastAsia="宋体" w:cs="Times New Roman"/>
          <w:b/>
          <w:bCs/>
          <w:color w:val="auto"/>
          <w:sz w:val="28"/>
          <w:szCs w:val="28"/>
          <w:highlight w:val="none"/>
        </w:rPr>
        <w:t>劳动合同及提交响应文件截止之日前</w:t>
      </w:r>
      <w:r>
        <w:rPr>
          <w:rFonts w:hint="eastAsia" w:ascii="宋体" w:hAnsi="宋体" w:eastAsia="宋体" w:cs="Times New Roman"/>
          <w:b/>
          <w:bCs/>
          <w:color w:val="auto"/>
          <w:sz w:val="28"/>
          <w:szCs w:val="28"/>
          <w:highlight w:val="none"/>
          <w:lang w:val="en-US" w:eastAsia="zh-CN"/>
        </w:rPr>
        <w:t>3</w:t>
      </w:r>
      <w:r>
        <w:rPr>
          <w:rFonts w:hint="eastAsia" w:ascii="宋体" w:hAnsi="宋体" w:eastAsia="宋体" w:cs="Times New Roman"/>
          <w:b/>
          <w:bCs/>
          <w:color w:val="auto"/>
          <w:sz w:val="28"/>
          <w:szCs w:val="28"/>
          <w:highlight w:val="none"/>
        </w:rPr>
        <w:t>个月内任意一个月的缴纳社会保险记录），且未担任其它在建工程项目的项目经理（提供无在建项目承诺书）（注：若项目经理有在建工程，但已做变更的，需提供全套项目经理变更相关证明材料扫描件；若项目经理在本项目成交人确定前已在其他项目中中标（成交）并担任项目经理,且</w:t>
      </w:r>
      <w:r>
        <w:rPr>
          <w:rFonts w:hint="eastAsia" w:ascii="宋体" w:hAnsi="宋体" w:eastAsia="宋体" w:cs="Times New Roman"/>
          <w:b/>
          <w:bCs/>
          <w:color w:val="auto"/>
          <w:sz w:val="28"/>
          <w:szCs w:val="28"/>
          <w:highlight w:val="none"/>
          <w:lang w:val="en-US" w:eastAsia="zh-CN"/>
        </w:rPr>
        <w:t>磋商</w:t>
      </w:r>
      <w:r>
        <w:rPr>
          <w:rFonts w:hint="eastAsia" w:ascii="宋体" w:hAnsi="宋体" w:eastAsia="宋体" w:cs="Times New Roman"/>
          <w:b/>
          <w:bCs/>
          <w:color w:val="auto"/>
          <w:sz w:val="28"/>
          <w:szCs w:val="28"/>
          <w:highlight w:val="none"/>
        </w:rPr>
        <w:t>时未提供项目经理变更材料的，视其为“担任其他在建设工程项目的项目经理”)。</w:t>
      </w:r>
      <w:r>
        <w:rPr>
          <w:rFonts w:hint="eastAsia" w:ascii="宋体" w:hAnsi="宋体" w:cs="Times New Roman"/>
          <w:b/>
          <w:bCs/>
          <w:color w:val="auto"/>
          <w:sz w:val="28"/>
          <w:szCs w:val="28"/>
          <w:highlight w:val="none"/>
          <w:lang w:eastAsia="zh-CN"/>
        </w:rPr>
        <w:t>（</w:t>
      </w:r>
      <w:r>
        <w:rPr>
          <w:rFonts w:hint="eastAsia" w:ascii="宋体" w:hAnsi="宋体" w:eastAsia="宋体" w:cs="宋体"/>
          <w:b/>
          <w:bCs/>
          <w:color w:val="auto"/>
          <w:sz w:val="28"/>
          <w:szCs w:val="28"/>
          <w:highlight w:val="none"/>
        </w:rPr>
        <w:t>提供加盖</w:t>
      </w:r>
      <w:r>
        <w:rPr>
          <w:rFonts w:hint="eastAsia" w:ascii="宋体" w:hAnsi="宋体" w:cs="宋体"/>
          <w:b/>
          <w:bCs/>
          <w:color w:val="auto"/>
          <w:sz w:val="28"/>
          <w:szCs w:val="28"/>
          <w:highlight w:val="none"/>
          <w:lang w:val="en-US" w:eastAsia="zh-CN"/>
        </w:rPr>
        <w:t>供应商</w:t>
      </w:r>
      <w:r>
        <w:rPr>
          <w:rFonts w:hint="eastAsia" w:ascii="宋体" w:hAnsi="宋体" w:eastAsia="宋体" w:cs="宋体"/>
          <w:b/>
          <w:bCs/>
          <w:color w:val="auto"/>
          <w:sz w:val="28"/>
          <w:szCs w:val="28"/>
          <w:highlight w:val="none"/>
        </w:rPr>
        <w:t>公章或电子</w:t>
      </w:r>
      <w:r>
        <w:rPr>
          <w:rFonts w:hint="eastAsia" w:ascii="宋体" w:hAnsi="宋体" w:eastAsia="宋体" w:cs="宋体"/>
          <w:b/>
          <w:bCs/>
          <w:color w:val="auto"/>
          <w:sz w:val="28"/>
          <w:szCs w:val="28"/>
          <w:highlight w:val="none"/>
          <w:lang w:val="en-US" w:eastAsia="zh-CN"/>
        </w:rPr>
        <w:t>公</w:t>
      </w:r>
      <w:r>
        <w:rPr>
          <w:rFonts w:hint="eastAsia" w:ascii="宋体" w:hAnsi="宋体" w:eastAsia="宋体" w:cs="宋体"/>
          <w:b/>
          <w:bCs/>
          <w:color w:val="auto"/>
          <w:sz w:val="28"/>
          <w:szCs w:val="28"/>
          <w:highlight w:val="none"/>
        </w:rPr>
        <w:t>章的复印件</w:t>
      </w:r>
      <w:r>
        <w:rPr>
          <w:rFonts w:hint="eastAsia" w:ascii="宋体" w:hAnsi="宋体" w:cs="Times New Roman"/>
          <w:b/>
          <w:bCs/>
          <w:color w:val="auto"/>
          <w:sz w:val="28"/>
          <w:szCs w:val="28"/>
          <w:highlight w:val="none"/>
          <w:lang w:val="en-US" w:eastAsia="zh-CN"/>
        </w:rPr>
        <w:t>）</w:t>
      </w:r>
    </w:p>
    <w:p w14:paraId="1CBFEC82">
      <w:pPr>
        <w:spacing w:line="360" w:lineRule="auto"/>
        <w:ind w:firstLine="562" w:firstLineChars="200"/>
        <w:outlineLvl w:val="3"/>
        <w:rPr>
          <w:rFonts w:hint="eastAsia" w:ascii="宋体" w:hAnsi="宋体" w:eastAsia="宋体" w:cs="Times New Roman"/>
          <w:color w:val="auto"/>
          <w:sz w:val="28"/>
          <w:szCs w:val="28"/>
          <w:highlight w:val="none"/>
        </w:rPr>
      </w:pPr>
      <w:r>
        <w:rPr>
          <w:rFonts w:hint="eastAsia" w:ascii="宋体" w:hAnsi="宋体" w:cs="Times New Roman"/>
          <w:b/>
          <w:bCs/>
          <w:color w:val="auto"/>
          <w:sz w:val="28"/>
          <w:szCs w:val="28"/>
          <w:highlight w:val="none"/>
          <w:lang w:val="en-US" w:eastAsia="zh-CN"/>
        </w:rPr>
        <w:t>4.</w:t>
      </w:r>
      <w:r>
        <w:rPr>
          <w:rFonts w:hint="eastAsia" w:ascii="宋体" w:hAnsi="宋体" w:eastAsia="宋体" w:cs="Times New Roman"/>
          <w:b/>
          <w:bCs/>
          <w:color w:val="auto"/>
          <w:sz w:val="28"/>
          <w:szCs w:val="28"/>
          <w:highlight w:val="none"/>
        </w:rPr>
        <w:t>供应商未被列入“信用中国”网站（www.creditchina.gov.cn）失信被执行人、重大税收违法失信主体及中国政府采购网（www.ccgp.gov.cn）“政府采购严重违法失信行为信息记录”</w:t>
      </w:r>
      <w:r>
        <w:rPr>
          <w:rFonts w:hint="eastAsia" w:ascii="Times New Roman" w:hAnsi="Times New Roman" w:eastAsia="宋体" w:cs="Times New Roman"/>
          <w:b/>
          <w:bCs/>
          <w:color w:val="auto"/>
          <w:sz w:val="28"/>
          <w:szCs w:val="28"/>
          <w:highlight w:val="none"/>
        </w:rPr>
        <w:t>（处罚期限尚未届满的）</w:t>
      </w:r>
      <w:r>
        <w:rPr>
          <w:rFonts w:hint="eastAsia" w:ascii="宋体" w:hAnsi="宋体" w:eastAsia="宋体" w:cs="Times New Roman"/>
          <w:b/>
          <w:bCs/>
          <w:color w:val="auto"/>
          <w:sz w:val="28"/>
          <w:szCs w:val="28"/>
          <w:highlight w:val="none"/>
        </w:rPr>
        <w:t>。（以响应文件提交截止时间后磋商现场工作人员查询结果为准）。</w:t>
      </w:r>
    </w:p>
    <w:p w14:paraId="753A89AE">
      <w:pPr>
        <w:spacing w:line="360" w:lineRule="auto"/>
        <w:ind w:firstLine="420" w:firstLineChars="200"/>
        <w:rPr>
          <w:rFonts w:hint="eastAsia" w:ascii="宋体" w:hAnsi="宋体" w:cs="Times New Roman"/>
          <w:color w:val="auto"/>
          <w:highlight w:val="none"/>
          <w:lang w:val="en-US" w:eastAsia="zh-CN"/>
        </w:rPr>
        <w:sectPr>
          <w:pgSz w:w="11906" w:h="16838"/>
          <w:pgMar w:top="1191" w:right="1191" w:bottom="1304" w:left="1304" w:header="851" w:footer="851" w:gutter="0"/>
          <w:pgNumType w:fmt="decimal"/>
          <w:cols w:space="720" w:num="1"/>
          <w:docGrid w:linePitch="312" w:charSpace="0"/>
        </w:sectPr>
      </w:pPr>
    </w:p>
    <w:p w14:paraId="5B1B2FBC">
      <w:pPr>
        <w:spacing w:line="360" w:lineRule="auto"/>
        <w:ind w:firstLine="562" w:firstLineChars="200"/>
        <w:outlineLvl w:val="3"/>
        <w:rPr>
          <w:rFonts w:hint="eastAsia" w:ascii="宋体" w:hAnsi="宋体" w:eastAsia="宋体" w:cs="Times New Roman"/>
          <w:color w:val="auto"/>
          <w:sz w:val="28"/>
          <w:szCs w:val="28"/>
          <w:highlight w:val="none"/>
        </w:rPr>
      </w:pPr>
      <w:r>
        <w:rPr>
          <w:rFonts w:hint="eastAsia" w:ascii="宋体" w:hAnsi="宋体" w:cs="Times New Roman"/>
          <w:b/>
          <w:bCs/>
          <w:color w:val="auto"/>
          <w:sz w:val="28"/>
          <w:szCs w:val="28"/>
          <w:highlight w:val="none"/>
          <w:lang w:val="en-US" w:eastAsia="zh-CN"/>
        </w:rPr>
        <w:t>5.</w:t>
      </w:r>
      <w:r>
        <w:rPr>
          <w:rFonts w:hint="eastAsia" w:ascii="宋体" w:hAnsi="宋体" w:eastAsia="宋体" w:cs="Times New Roman"/>
          <w:b/>
          <w:bCs/>
          <w:color w:val="auto"/>
          <w:sz w:val="28"/>
          <w:szCs w:val="28"/>
          <w:highlight w:val="none"/>
        </w:rPr>
        <w:t>本次磋商不接受联合体。</w:t>
      </w:r>
    </w:p>
    <w:p w14:paraId="27B26A8A">
      <w:pPr>
        <w:spacing w:line="480" w:lineRule="exact"/>
        <w:jc w:val="center"/>
        <w:rPr>
          <w:rFonts w:hint="eastAsia" w:ascii="宋体" w:hAnsi="宋体" w:eastAsia="宋体" w:cs="宋体"/>
          <w:b/>
          <w:bCs/>
          <w:color w:val="auto"/>
          <w:sz w:val="30"/>
          <w:highlight w:val="none"/>
        </w:rPr>
      </w:pPr>
      <w:r>
        <w:rPr>
          <w:rFonts w:hint="eastAsia" w:ascii="宋体" w:hAnsi="宋体" w:eastAsia="宋体" w:cs="宋体"/>
          <w:b/>
          <w:bCs/>
          <w:color w:val="auto"/>
          <w:sz w:val="28"/>
          <w:szCs w:val="18"/>
          <w:highlight w:val="none"/>
        </w:rPr>
        <w:t>声明书</w:t>
      </w:r>
      <w:r>
        <w:rPr>
          <w:rFonts w:hint="eastAsia" w:ascii="宋体" w:hAnsi="宋体" w:eastAsia="宋体" w:cs="宋体"/>
          <w:b/>
          <w:bCs/>
          <w:color w:val="auto"/>
          <w:sz w:val="30"/>
          <w:highlight w:val="none"/>
        </w:rPr>
        <w:t xml:space="preserve"> </w:t>
      </w:r>
    </w:p>
    <w:p w14:paraId="7E789C26">
      <w:pPr>
        <w:spacing w:line="480" w:lineRule="exact"/>
        <w:rPr>
          <w:rFonts w:hint="eastAsia" w:ascii="宋体" w:hAnsi="宋体" w:eastAsia="宋体" w:cs="宋体"/>
          <w:b/>
          <w:bCs/>
          <w:color w:val="auto"/>
          <w:sz w:val="21"/>
          <w:szCs w:val="21"/>
          <w:highlight w:val="none"/>
        </w:rPr>
      </w:pPr>
    </w:p>
    <w:p w14:paraId="12267CBE">
      <w:pPr>
        <w:spacing w:line="480" w:lineRule="exact"/>
        <w:rPr>
          <w:rFonts w:hint="eastAsia" w:ascii="宋体" w:hAnsi="宋体" w:eastAsia="宋体" w:cs="宋体"/>
          <w:b/>
          <w:color w:val="auto"/>
          <w:sz w:val="21"/>
          <w:szCs w:val="21"/>
          <w:highlight w:val="none"/>
          <w:u w:val="single"/>
        </w:rPr>
      </w:pP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致：</w:t>
      </w:r>
      <w:r>
        <w:rPr>
          <w:rFonts w:hint="eastAsia" w:ascii="宋体" w:hAnsi="宋体" w:eastAsia="宋体" w:cs="宋体"/>
          <w:b/>
          <w:color w:val="auto"/>
          <w:sz w:val="21"/>
          <w:szCs w:val="21"/>
          <w:highlight w:val="none"/>
          <w:u w:val="single"/>
        </w:rPr>
        <w:t xml:space="preserve">    （采购人名称）       </w:t>
      </w:r>
    </w:p>
    <w:p w14:paraId="54FBDC60">
      <w:pPr>
        <w:spacing w:line="500" w:lineRule="exact"/>
        <w:rPr>
          <w:rFonts w:hint="eastAsia" w:ascii="宋体" w:hAnsi="宋体" w:eastAsia="宋体" w:cs="宋体"/>
          <w:b/>
          <w:color w:val="auto"/>
          <w:sz w:val="21"/>
          <w:szCs w:val="21"/>
          <w:highlight w:val="none"/>
        </w:rPr>
      </w:pPr>
    </w:p>
    <w:p w14:paraId="06C0B4C1">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在审阅了贵方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项目名称、项目编号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包括确已收到第</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号补充文件（若有，若没有任何补遗、更正的，请填写“/”），我方被授权签字人在此申明我方就本项目</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为独立</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，我方不属于</w:t>
      </w:r>
      <w:r>
        <w:rPr>
          <w:rFonts w:hint="eastAsia" w:ascii="宋体" w:hAnsi="宋体" w:eastAsia="宋体" w:cs="宋体"/>
          <w:b/>
          <w:color w:val="auto"/>
          <w:sz w:val="21"/>
          <w:szCs w:val="21"/>
          <w:highlight w:val="none"/>
        </w:rPr>
        <w:t>联合体参加投标，与其他</w:t>
      </w:r>
      <w:r>
        <w:rPr>
          <w:rFonts w:hint="eastAsia" w:ascii="宋体" w:hAnsi="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不存在单位负责人为同一人或者存在直接控股、管理关系的情况。</w:t>
      </w:r>
    </w:p>
    <w:p w14:paraId="5E44F120">
      <w:pPr>
        <w:spacing w:line="500" w:lineRule="exact"/>
        <w:ind w:firstLine="420" w:firstLineChars="200"/>
        <w:jc w:val="left"/>
        <w:rPr>
          <w:rFonts w:hint="eastAsia" w:ascii="宋体" w:hAnsi="宋体" w:eastAsia="宋体" w:cs="宋体"/>
          <w:color w:val="auto"/>
          <w:sz w:val="21"/>
          <w:szCs w:val="21"/>
          <w:highlight w:val="none"/>
        </w:rPr>
      </w:pPr>
    </w:p>
    <w:p w14:paraId="67C0E3AF">
      <w:pPr>
        <w:spacing w:line="500" w:lineRule="exact"/>
        <w:ind w:firstLine="420" w:firstLineChars="200"/>
        <w:jc w:val="left"/>
        <w:rPr>
          <w:rFonts w:hint="eastAsia" w:ascii="宋体" w:hAnsi="宋体" w:eastAsia="宋体" w:cs="宋体"/>
          <w:color w:val="auto"/>
          <w:sz w:val="21"/>
          <w:szCs w:val="21"/>
          <w:highlight w:val="none"/>
        </w:rPr>
      </w:pPr>
    </w:p>
    <w:p w14:paraId="1D47FA90">
      <w:pPr>
        <w:spacing w:before="60" w:after="60"/>
        <w:jc w:val="left"/>
        <w:rPr>
          <w:rFonts w:ascii="宋体" w:hAnsi="宋体" w:cs="宋体"/>
          <w:b/>
          <w:sz w:val="22"/>
          <w:szCs w:val="18"/>
          <w:highlight w:val="none"/>
          <w:u w:val="single"/>
          <w:shd w:val="clear" w:color="auto" w:fill="FFFFFF"/>
        </w:rPr>
      </w:pPr>
      <w:r>
        <w:rPr>
          <w:rFonts w:hint="eastAsia" w:ascii="宋体" w:hAnsi="宋体" w:cs="宋体"/>
          <w:b/>
          <w:sz w:val="22"/>
          <w:szCs w:val="18"/>
          <w:highlight w:val="none"/>
          <w:shd w:val="clear" w:color="auto" w:fill="FFFFFF"/>
          <w:lang w:eastAsia="zh-CN"/>
        </w:rPr>
        <w:t>供应商全称</w:t>
      </w:r>
      <w:r>
        <w:rPr>
          <w:rFonts w:hint="eastAsia" w:ascii="宋体" w:hAnsi="宋体" w:cs="宋体"/>
          <w:b/>
          <w:sz w:val="22"/>
          <w:szCs w:val="18"/>
          <w:highlight w:val="none"/>
          <w:shd w:val="clear" w:color="auto" w:fill="FFFFFF"/>
        </w:rPr>
        <w:t>(电子签章或盖章)：</w:t>
      </w:r>
      <w:r>
        <w:rPr>
          <w:rFonts w:hint="eastAsia" w:ascii="宋体" w:hAnsi="宋体" w:cs="宋体"/>
          <w:b/>
          <w:sz w:val="22"/>
          <w:szCs w:val="18"/>
          <w:highlight w:val="none"/>
          <w:u w:val="single"/>
          <w:shd w:val="clear" w:color="auto" w:fill="FFFFFF"/>
        </w:rPr>
        <w:t xml:space="preserve">                                    </w:t>
      </w:r>
    </w:p>
    <w:p w14:paraId="3AA62810">
      <w:pPr>
        <w:spacing w:before="360" w:after="360"/>
        <w:jc w:val="left"/>
        <w:rPr>
          <w:rFonts w:ascii="宋体" w:hAnsi="宋体" w:cs="宋体"/>
          <w:b/>
          <w:sz w:val="22"/>
          <w:szCs w:val="18"/>
          <w:highlight w:val="none"/>
          <w:u w:val="single"/>
          <w:shd w:val="clear" w:color="auto" w:fill="FFFFFF"/>
        </w:rPr>
      </w:pPr>
      <w:r>
        <w:rPr>
          <w:rFonts w:hint="eastAsia" w:ascii="宋体" w:hAnsi="宋体" w:cs="宋体"/>
          <w:b/>
          <w:sz w:val="22"/>
          <w:szCs w:val="18"/>
          <w:highlight w:val="none"/>
          <w:shd w:val="clear" w:color="auto" w:fill="FFFFFF"/>
        </w:rPr>
        <w:t>法定代表人或委托代理人(电子签章或签字)：</w:t>
      </w:r>
      <w:r>
        <w:rPr>
          <w:rFonts w:hint="eastAsia" w:ascii="宋体" w:hAnsi="宋体" w:cs="宋体"/>
          <w:b/>
          <w:sz w:val="22"/>
          <w:szCs w:val="18"/>
          <w:highlight w:val="none"/>
          <w:u w:val="single"/>
          <w:shd w:val="clear" w:color="auto" w:fill="FFFFFF"/>
        </w:rPr>
        <w:t xml:space="preserve">                        </w:t>
      </w:r>
    </w:p>
    <w:p w14:paraId="39036BE3">
      <w:pPr>
        <w:spacing w:line="360" w:lineRule="exact"/>
        <w:jc w:val="left"/>
        <w:rPr>
          <w:rFonts w:ascii="宋体" w:hAnsi="宋体"/>
          <w:sz w:val="22"/>
          <w:szCs w:val="18"/>
          <w:highlight w:val="none"/>
        </w:rPr>
      </w:pPr>
      <w:r>
        <w:rPr>
          <w:rFonts w:hint="eastAsia" w:ascii="宋体" w:hAnsi="宋体" w:cs="宋体"/>
          <w:b/>
          <w:sz w:val="22"/>
          <w:szCs w:val="18"/>
          <w:highlight w:val="none"/>
          <w:shd w:val="clear" w:color="auto" w:fill="FFFFFF"/>
        </w:rPr>
        <w:t>日    期：________年____月____日</w:t>
      </w:r>
    </w:p>
    <w:p w14:paraId="44B96B90">
      <w:pPr>
        <w:spacing w:line="360" w:lineRule="auto"/>
        <w:jc w:val="left"/>
        <w:rPr>
          <w:rFonts w:ascii="宋体" w:hAnsi="宋体"/>
          <w:sz w:val="22"/>
          <w:szCs w:val="18"/>
          <w:highlight w:val="none"/>
          <w:shd w:val="clear" w:color="auto" w:fill="FFFFFF"/>
        </w:rPr>
      </w:pPr>
      <w:r>
        <w:rPr>
          <w:rFonts w:hint="eastAsia" w:ascii="宋体" w:hAnsi="宋体"/>
          <w:sz w:val="22"/>
          <w:szCs w:val="18"/>
          <w:highlight w:val="none"/>
          <w:shd w:val="clear" w:color="auto" w:fill="FFFFFF"/>
        </w:rPr>
        <w:t xml:space="preserve">  </w:t>
      </w:r>
    </w:p>
    <w:p w14:paraId="3103F215">
      <w:pPr>
        <w:keepNext w:val="0"/>
        <w:keepLines w:val="0"/>
        <w:pageBreakBefore w:val="0"/>
        <w:widowControl w:val="0"/>
        <w:kinsoku/>
        <w:wordWrap/>
        <w:overflowPunct/>
        <w:topLinePunct w:val="0"/>
        <w:autoSpaceDE/>
        <w:autoSpaceDN/>
        <w:bidi w:val="0"/>
        <w:adjustRightInd/>
        <w:snapToGrid/>
        <w:spacing w:line="360" w:lineRule="auto"/>
        <w:ind w:firstLine="279" w:firstLineChars="133"/>
        <w:textAlignment w:val="auto"/>
        <w:rPr>
          <w:rFonts w:hint="eastAsia" w:ascii="宋体" w:hAnsi="宋体" w:eastAsia="宋体" w:cs="宋体"/>
          <w:color w:val="auto"/>
          <w:sz w:val="21"/>
          <w:szCs w:val="21"/>
          <w:highlight w:val="none"/>
        </w:rPr>
      </w:pPr>
    </w:p>
    <w:p w14:paraId="784F9142">
      <w:pPr>
        <w:spacing w:line="500" w:lineRule="exact"/>
        <w:jc w:val="left"/>
        <w:rPr>
          <w:rFonts w:hint="eastAsia" w:ascii="宋体" w:hAnsi="宋体" w:eastAsia="宋体" w:cs="宋体"/>
          <w:color w:val="auto"/>
          <w:szCs w:val="21"/>
          <w:highlight w:val="none"/>
        </w:rPr>
      </w:pPr>
    </w:p>
    <w:p w14:paraId="402BA4F6">
      <w:pPr>
        <w:spacing w:line="360" w:lineRule="auto"/>
        <w:ind w:firstLine="420" w:firstLineChars="200"/>
        <w:rPr>
          <w:rFonts w:hint="eastAsia" w:ascii="宋体" w:hAnsi="宋体" w:eastAsia="宋体" w:cs="Times New Roman"/>
          <w:color w:val="auto"/>
          <w:szCs w:val="21"/>
          <w:highlight w:val="none"/>
          <w:lang w:val="en-US" w:eastAsia="zh-CN"/>
        </w:rPr>
        <w:sectPr>
          <w:pgSz w:w="11906" w:h="16838"/>
          <w:pgMar w:top="1191" w:right="1191" w:bottom="1304" w:left="1304" w:header="851" w:footer="851" w:gutter="0"/>
          <w:pgNumType w:fmt="decimal"/>
          <w:cols w:space="720" w:num="1"/>
          <w:docGrid w:linePitch="312" w:charSpace="0"/>
        </w:sectPr>
      </w:pPr>
    </w:p>
    <w:p w14:paraId="2BEB87E0">
      <w:pPr>
        <w:spacing w:line="360" w:lineRule="auto"/>
        <w:ind w:firstLine="562" w:firstLineChars="200"/>
        <w:outlineLvl w:val="3"/>
        <w:rPr>
          <w:rFonts w:hint="eastAsia" w:ascii="宋体" w:hAnsi="宋体" w:eastAsia="宋体" w:cs="Times New Roman"/>
          <w:color w:val="auto"/>
          <w:szCs w:val="21"/>
          <w:highlight w:val="none"/>
        </w:rPr>
      </w:pPr>
      <w:r>
        <w:rPr>
          <w:rFonts w:hint="eastAsia" w:ascii="宋体" w:hAnsi="宋体" w:eastAsia="宋体" w:cs="Times New Roman"/>
          <w:b/>
          <w:bCs/>
          <w:color w:val="auto"/>
          <w:sz w:val="28"/>
          <w:szCs w:val="28"/>
          <w:highlight w:val="none"/>
          <w:lang w:val="en-US" w:eastAsia="zh-CN"/>
        </w:rPr>
        <w:t>6.</w:t>
      </w:r>
      <w:r>
        <w:rPr>
          <w:rFonts w:hint="eastAsia" w:ascii="宋体" w:hAnsi="宋体" w:eastAsia="宋体" w:cs="Times New Roman"/>
          <w:b/>
          <w:bCs/>
          <w:color w:val="auto"/>
          <w:sz w:val="28"/>
          <w:szCs w:val="28"/>
          <w:highlight w:val="none"/>
        </w:rPr>
        <w:t xml:space="preserve"> 本项目电梯安装工程须由具备相应特种设备安装许可资质的单位实施。成交供应商可依法将电梯安装工程专业分包给具备相应资质的单位，分包单位须具备市场监督管理部门颁发的有效的《中华人民共和国特种设备生产许可证》（许可项目含电梯安装（含修理）），分包单位及资质须在响应文件中载明，分包单位不得再次分包。除电梯安装专业工程外，本项目其他工程不得分包。</w:t>
      </w:r>
    </w:p>
    <w:p w14:paraId="77BE0C8E">
      <w:pPr>
        <w:pStyle w:val="6"/>
        <w:numPr>
          <w:ilvl w:val="0"/>
          <w:numId w:val="0"/>
        </w:numPr>
        <w:tabs>
          <w:tab w:val="left" w:pos="840"/>
        </w:tabs>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lang w:eastAsia="zh-CN"/>
        </w:rPr>
        <w:t>）</w:t>
      </w:r>
      <w:r>
        <w:rPr>
          <w:rFonts w:hint="eastAsia" w:ascii="宋体" w:hAnsi="宋体" w:cs="宋体"/>
          <w:sz w:val="22"/>
          <w:szCs w:val="22"/>
          <w:highlight w:val="none"/>
          <w:lang w:val="en-US" w:eastAsia="zh-CN"/>
        </w:rPr>
        <w:t>供应商</w:t>
      </w:r>
      <w:r>
        <w:rPr>
          <w:rFonts w:hint="eastAsia" w:ascii="宋体" w:hAnsi="宋体" w:eastAsia="宋体" w:cs="宋体"/>
          <w:sz w:val="22"/>
          <w:szCs w:val="22"/>
          <w:highlight w:val="none"/>
        </w:rPr>
        <w:t>资质（</w:t>
      </w:r>
      <w:r>
        <w:rPr>
          <w:rFonts w:hint="eastAsia" w:ascii="宋体" w:hAnsi="宋体" w:eastAsia="宋体" w:cs="宋体"/>
          <w:sz w:val="22"/>
          <w:szCs w:val="22"/>
          <w:highlight w:val="none"/>
          <w:lang w:val="en-US" w:eastAsia="zh-CN"/>
        </w:rPr>
        <w:t>电梯安装工程</w:t>
      </w:r>
      <w:r>
        <w:rPr>
          <w:rFonts w:hint="eastAsia" w:ascii="宋体" w:hAnsi="宋体" w:eastAsia="宋体" w:cs="宋体"/>
          <w:sz w:val="22"/>
          <w:szCs w:val="22"/>
          <w:highlight w:val="none"/>
        </w:rPr>
        <w:t>不分包的需提供）</w:t>
      </w:r>
    </w:p>
    <w:p w14:paraId="3C67A74C">
      <w:pPr>
        <w:spacing w:line="480" w:lineRule="exact"/>
        <w:rPr>
          <w:rFonts w:ascii="宋体" w:hAnsi="宋体"/>
          <w:sz w:val="24"/>
          <w:highlight w:val="none"/>
        </w:rPr>
        <w:sectPr>
          <w:pgSz w:w="11906" w:h="16838"/>
          <w:pgMar w:top="1191" w:right="1191" w:bottom="1304" w:left="1304" w:header="851" w:footer="851" w:gutter="0"/>
          <w:pgNumType w:fmt="decimal"/>
          <w:cols w:space="720" w:num="1"/>
          <w:docGrid w:linePitch="312" w:charSpace="0"/>
        </w:sectPr>
      </w:pPr>
      <w:r>
        <w:rPr>
          <w:rFonts w:hint="eastAsia" w:ascii="宋体" w:hAnsi="宋体" w:cs="宋体"/>
          <w:sz w:val="24"/>
          <w:highlight w:val="none"/>
        </w:rPr>
        <w:t>①</w:t>
      </w:r>
      <w:r>
        <w:rPr>
          <w:rFonts w:ascii="宋体" w:hAnsi="宋体"/>
          <w:sz w:val="24"/>
          <w:highlight w:val="none"/>
        </w:rPr>
        <w:t>资质证书扫描件</w:t>
      </w:r>
    </w:p>
    <w:p w14:paraId="71DFEF3D">
      <w:pPr>
        <w:spacing w:line="480" w:lineRule="exact"/>
        <w:rPr>
          <w:rFonts w:hint="eastAsia" w:ascii="宋体" w:hAnsi="宋体" w:cs="宋体"/>
          <w:bCs/>
          <w:sz w:val="24"/>
          <w:highlight w:val="none"/>
        </w:rPr>
      </w:pPr>
      <w:r>
        <w:rPr>
          <w:rFonts w:hint="eastAsia" w:ascii="宋体" w:hAnsi="宋体" w:cs="宋体"/>
          <w:bCs/>
          <w:sz w:val="24"/>
          <w:highlight w:val="none"/>
        </w:rPr>
        <w:t>②不分包承诺书</w:t>
      </w:r>
    </w:p>
    <w:p w14:paraId="0101D51A">
      <w:pPr>
        <w:rPr>
          <w:rFonts w:ascii="宋体" w:hAnsi="宋体" w:cs="宋体"/>
          <w:bCs/>
          <w:sz w:val="24"/>
          <w:highlight w:val="none"/>
        </w:rPr>
      </w:pPr>
    </w:p>
    <w:p w14:paraId="0F4FA50D">
      <w:pPr>
        <w:spacing w:line="600" w:lineRule="exact"/>
        <w:jc w:val="center"/>
        <w:rPr>
          <w:rFonts w:hint="eastAsia" w:ascii="宋体" w:hAnsi="宋体" w:cs="宋体"/>
          <w:b/>
          <w:sz w:val="36"/>
          <w:szCs w:val="36"/>
          <w:highlight w:val="none"/>
        </w:rPr>
      </w:pPr>
      <w:r>
        <w:rPr>
          <w:rFonts w:hint="eastAsia" w:ascii="宋体" w:hAnsi="宋体" w:cs="宋体"/>
          <w:b/>
          <w:sz w:val="28"/>
          <w:szCs w:val="28"/>
          <w:highlight w:val="none"/>
        </w:rPr>
        <w:t>承诺书</w:t>
      </w:r>
    </w:p>
    <w:p w14:paraId="74432F83">
      <w:pPr>
        <w:jc w:val="center"/>
        <w:rPr>
          <w:rFonts w:hint="eastAsia"/>
          <w:b/>
          <w:sz w:val="30"/>
          <w:szCs w:val="30"/>
          <w:highlight w:val="none"/>
        </w:rPr>
      </w:pPr>
    </w:p>
    <w:p w14:paraId="4C8D20DE">
      <w:pPr>
        <w:spacing w:line="480" w:lineRule="exact"/>
        <w:rPr>
          <w:rFonts w:hint="eastAsia" w:ascii="宋体" w:hAnsi="宋体"/>
          <w:sz w:val="24"/>
          <w:highlight w:val="none"/>
        </w:rPr>
      </w:pPr>
      <w:r>
        <w:rPr>
          <w:rFonts w:hint="eastAsia" w:ascii="宋体" w:hAnsi="宋体"/>
          <w:sz w:val="24"/>
          <w:highlight w:val="none"/>
        </w:rPr>
        <w:t>致：</w:t>
      </w:r>
      <w:r>
        <w:rPr>
          <w:rFonts w:hint="eastAsia" w:ascii="宋体" w:hAnsi="宋体"/>
          <w:sz w:val="24"/>
          <w:highlight w:val="none"/>
          <w:lang w:eastAsia="zh-CN"/>
        </w:rPr>
        <w:t>云南省保山第一中学</w:t>
      </w:r>
    </w:p>
    <w:p w14:paraId="3BCFAE5A">
      <w:pPr>
        <w:spacing w:line="560" w:lineRule="exact"/>
        <w:ind w:firstLine="480"/>
        <w:jc w:val="left"/>
        <w:rPr>
          <w:sz w:val="24"/>
          <w:szCs w:val="20"/>
          <w:highlight w:val="none"/>
          <w:shd w:val="clear" w:color="auto" w:fill="FFFFFF"/>
        </w:rPr>
      </w:pPr>
      <w:r>
        <w:rPr>
          <w:rFonts w:hint="eastAsia" w:ascii="宋体" w:hAnsi="宋体" w:cs="宋体"/>
          <w:b/>
          <w:sz w:val="24"/>
          <w:highlight w:val="none"/>
          <w:u w:val="single"/>
          <w:shd w:val="clear" w:color="auto" w:fill="FFFFFF"/>
        </w:rPr>
        <w:t xml:space="preserve">                      </w:t>
      </w:r>
      <w:r>
        <w:rPr>
          <w:rFonts w:hint="eastAsia" w:ascii="宋体" w:hAnsi="宋体" w:cs="宋体"/>
          <w:bCs/>
          <w:sz w:val="24"/>
          <w:highlight w:val="none"/>
          <w:u w:val="single"/>
          <w:shd w:val="clear" w:color="auto" w:fill="FFFFFF"/>
        </w:rPr>
        <w:t>（公司名称）</w:t>
      </w:r>
      <w:r>
        <w:rPr>
          <w:rFonts w:hint="eastAsia"/>
          <w:sz w:val="24"/>
          <w:szCs w:val="20"/>
          <w:highlight w:val="none"/>
          <w:shd w:val="clear" w:color="auto" w:fill="FFFFFF"/>
        </w:rPr>
        <w:t>承诺：</w:t>
      </w:r>
    </w:p>
    <w:p w14:paraId="0D065BBC">
      <w:pPr>
        <w:spacing w:line="560" w:lineRule="exact"/>
        <w:ind w:firstLine="480"/>
        <w:jc w:val="left"/>
        <w:rPr>
          <w:rFonts w:hint="eastAsia" w:ascii="宋体" w:hAnsi="宋体"/>
          <w:sz w:val="24"/>
          <w:szCs w:val="20"/>
          <w:highlight w:val="none"/>
          <w:shd w:val="clear" w:color="auto" w:fill="FFFFFF"/>
        </w:rPr>
      </w:pPr>
      <w:r>
        <w:rPr>
          <w:rFonts w:hint="eastAsia" w:ascii="宋体" w:hAnsi="宋体"/>
          <w:sz w:val="24"/>
          <w:szCs w:val="20"/>
          <w:highlight w:val="none"/>
          <w:shd w:val="clear" w:color="auto" w:fill="FFFFFF"/>
        </w:rPr>
        <w:t>我公司</w:t>
      </w:r>
      <w:r>
        <w:rPr>
          <w:rFonts w:hint="eastAsia" w:ascii="宋体" w:hAnsi="宋体"/>
          <w:sz w:val="24"/>
          <w:szCs w:val="20"/>
          <w:highlight w:val="none"/>
          <w:shd w:val="clear" w:color="auto" w:fill="FFFFFF"/>
          <w:lang w:val="en-US" w:eastAsia="zh-CN"/>
        </w:rPr>
        <w:t>自行</w:t>
      </w:r>
      <w:r>
        <w:rPr>
          <w:rFonts w:hint="eastAsia" w:ascii="宋体" w:hAnsi="宋体"/>
          <w:sz w:val="24"/>
          <w:szCs w:val="20"/>
          <w:highlight w:val="none"/>
          <w:shd w:val="clear" w:color="auto" w:fill="FFFFFF"/>
        </w:rPr>
        <w:t>承接</w:t>
      </w:r>
      <w:r>
        <w:rPr>
          <w:rFonts w:hint="eastAsia" w:ascii="宋体" w:hAnsi="宋体"/>
          <w:sz w:val="24"/>
          <w:szCs w:val="20"/>
          <w:highlight w:val="none"/>
          <w:shd w:val="clear" w:color="auto" w:fill="FFFFFF"/>
          <w:lang w:val="en-US" w:eastAsia="zh-CN"/>
        </w:rPr>
        <w:t>电梯安装工程</w:t>
      </w:r>
      <w:r>
        <w:rPr>
          <w:rFonts w:hint="eastAsia" w:ascii="宋体" w:hAnsi="宋体"/>
          <w:sz w:val="24"/>
          <w:szCs w:val="20"/>
          <w:highlight w:val="none"/>
          <w:shd w:val="clear" w:color="auto" w:fill="FFFFFF"/>
        </w:rPr>
        <w:t>，且不分包。</w:t>
      </w:r>
    </w:p>
    <w:p w14:paraId="26A3C515">
      <w:pPr>
        <w:spacing w:line="560" w:lineRule="exact"/>
        <w:ind w:firstLine="480"/>
        <w:jc w:val="left"/>
        <w:rPr>
          <w:sz w:val="24"/>
          <w:szCs w:val="20"/>
          <w:highlight w:val="none"/>
          <w:shd w:val="clear" w:color="auto" w:fill="FFFFFF"/>
        </w:rPr>
      </w:pPr>
      <w:r>
        <w:rPr>
          <w:rFonts w:hint="eastAsia"/>
          <w:sz w:val="24"/>
          <w:szCs w:val="20"/>
          <w:highlight w:val="none"/>
          <w:shd w:val="clear" w:color="auto" w:fill="FFFFFF"/>
        </w:rPr>
        <w:t>若违反上述规定，承担相应的责任。</w:t>
      </w:r>
    </w:p>
    <w:p w14:paraId="0F48AC4D">
      <w:pPr>
        <w:spacing w:line="560" w:lineRule="exact"/>
        <w:ind w:firstLine="480"/>
        <w:jc w:val="left"/>
        <w:rPr>
          <w:sz w:val="24"/>
          <w:highlight w:val="none"/>
          <w:shd w:val="clear" w:color="auto" w:fill="FFFFFF"/>
        </w:rPr>
      </w:pPr>
      <w:r>
        <w:rPr>
          <w:rFonts w:hint="eastAsia"/>
          <w:sz w:val="24"/>
          <w:szCs w:val="20"/>
          <w:highlight w:val="none"/>
          <w:shd w:val="clear" w:color="auto" w:fill="FFFFFF"/>
        </w:rPr>
        <w:t>特此承诺！</w:t>
      </w:r>
      <w:r>
        <w:rPr>
          <w:rFonts w:hint="eastAsia"/>
          <w:sz w:val="24"/>
          <w:szCs w:val="20"/>
          <w:highlight w:val="none"/>
          <w:shd w:val="clear" w:color="auto" w:fill="FFFFFF"/>
        </w:rPr>
        <w:br w:type="textWrapping"/>
      </w:r>
    </w:p>
    <w:p w14:paraId="436C6D42">
      <w:pPr>
        <w:spacing w:before="60" w:after="60"/>
        <w:jc w:val="left"/>
        <w:rPr>
          <w:rFonts w:hint="eastAsia" w:ascii="宋体" w:hAnsi="宋体" w:cs="宋体"/>
          <w:b/>
          <w:sz w:val="24"/>
          <w:highlight w:val="none"/>
          <w:shd w:val="clear" w:color="auto" w:fill="FFFFFF"/>
        </w:rPr>
      </w:pPr>
    </w:p>
    <w:p w14:paraId="2CFEEDB2">
      <w:pPr>
        <w:spacing w:before="60" w:after="60"/>
        <w:jc w:val="left"/>
        <w:rPr>
          <w:rFonts w:ascii="宋体" w:hAnsi="宋体" w:cs="宋体"/>
          <w:b/>
          <w:sz w:val="22"/>
          <w:szCs w:val="18"/>
          <w:highlight w:val="none"/>
          <w:u w:val="single"/>
          <w:shd w:val="clear" w:color="auto" w:fill="FFFFFF"/>
        </w:rPr>
      </w:pPr>
      <w:r>
        <w:rPr>
          <w:rFonts w:hint="eastAsia" w:ascii="宋体" w:hAnsi="宋体" w:cs="宋体"/>
          <w:b/>
          <w:sz w:val="22"/>
          <w:szCs w:val="18"/>
          <w:highlight w:val="none"/>
          <w:shd w:val="clear" w:color="auto" w:fill="FFFFFF"/>
          <w:lang w:eastAsia="zh-CN"/>
        </w:rPr>
        <w:t>供应商全称</w:t>
      </w:r>
      <w:r>
        <w:rPr>
          <w:rFonts w:hint="eastAsia" w:ascii="宋体" w:hAnsi="宋体" w:cs="宋体"/>
          <w:b/>
          <w:sz w:val="22"/>
          <w:szCs w:val="18"/>
          <w:highlight w:val="none"/>
          <w:shd w:val="clear" w:color="auto" w:fill="FFFFFF"/>
        </w:rPr>
        <w:t>(电子签章或盖章)：</w:t>
      </w:r>
      <w:r>
        <w:rPr>
          <w:rFonts w:hint="eastAsia" w:ascii="宋体" w:hAnsi="宋体" w:cs="宋体"/>
          <w:b/>
          <w:sz w:val="22"/>
          <w:szCs w:val="18"/>
          <w:highlight w:val="none"/>
          <w:u w:val="single"/>
          <w:shd w:val="clear" w:color="auto" w:fill="FFFFFF"/>
        </w:rPr>
        <w:t xml:space="preserve">                                    </w:t>
      </w:r>
    </w:p>
    <w:p w14:paraId="7DF22435">
      <w:pPr>
        <w:spacing w:before="360" w:after="360"/>
        <w:jc w:val="left"/>
        <w:rPr>
          <w:rFonts w:ascii="宋体" w:hAnsi="宋体" w:cs="宋体"/>
          <w:b/>
          <w:sz w:val="22"/>
          <w:szCs w:val="18"/>
          <w:highlight w:val="none"/>
          <w:u w:val="single"/>
          <w:shd w:val="clear" w:color="auto" w:fill="FFFFFF"/>
        </w:rPr>
      </w:pPr>
      <w:r>
        <w:rPr>
          <w:rFonts w:hint="eastAsia" w:ascii="宋体" w:hAnsi="宋体" w:cs="宋体"/>
          <w:b/>
          <w:sz w:val="22"/>
          <w:szCs w:val="18"/>
          <w:highlight w:val="none"/>
          <w:shd w:val="clear" w:color="auto" w:fill="FFFFFF"/>
        </w:rPr>
        <w:t>法定代表人或委托代理人(电子签章或签字)：</w:t>
      </w:r>
      <w:r>
        <w:rPr>
          <w:rFonts w:hint="eastAsia" w:ascii="宋体" w:hAnsi="宋体" w:cs="宋体"/>
          <w:b/>
          <w:sz w:val="22"/>
          <w:szCs w:val="18"/>
          <w:highlight w:val="none"/>
          <w:u w:val="single"/>
          <w:shd w:val="clear" w:color="auto" w:fill="FFFFFF"/>
        </w:rPr>
        <w:t xml:space="preserve">                        </w:t>
      </w:r>
    </w:p>
    <w:p w14:paraId="5221436D">
      <w:pPr>
        <w:spacing w:line="360" w:lineRule="exact"/>
        <w:jc w:val="left"/>
        <w:rPr>
          <w:rFonts w:ascii="宋体" w:hAnsi="宋体"/>
          <w:sz w:val="22"/>
          <w:szCs w:val="18"/>
          <w:highlight w:val="none"/>
        </w:rPr>
      </w:pPr>
      <w:r>
        <w:rPr>
          <w:rFonts w:hint="eastAsia" w:ascii="宋体" w:hAnsi="宋体" w:cs="宋体"/>
          <w:b/>
          <w:sz w:val="22"/>
          <w:szCs w:val="18"/>
          <w:highlight w:val="none"/>
          <w:shd w:val="clear" w:color="auto" w:fill="FFFFFF"/>
        </w:rPr>
        <w:t>日    期：________年____月____日</w:t>
      </w:r>
    </w:p>
    <w:p w14:paraId="3F7BAAED">
      <w:pPr>
        <w:spacing w:line="360" w:lineRule="auto"/>
        <w:jc w:val="left"/>
        <w:rPr>
          <w:rFonts w:ascii="宋体" w:hAnsi="宋体"/>
          <w:sz w:val="22"/>
          <w:szCs w:val="18"/>
          <w:highlight w:val="none"/>
          <w:shd w:val="clear" w:color="auto" w:fill="FFFFFF"/>
        </w:rPr>
      </w:pPr>
      <w:r>
        <w:rPr>
          <w:rFonts w:hint="eastAsia" w:ascii="宋体" w:hAnsi="宋体"/>
          <w:sz w:val="22"/>
          <w:szCs w:val="18"/>
          <w:highlight w:val="none"/>
          <w:shd w:val="clear" w:color="auto" w:fill="FFFFFF"/>
        </w:rPr>
        <w:t xml:space="preserve">  </w:t>
      </w:r>
    </w:p>
    <w:p w14:paraId="590C39AD">
      <w:pPr>
        <w:spacing w:line="360" w:lineRule="exact"/>
        <w:jc w:val="left"/>
        <w:rPr>
          <w:rFonts w:hint="eastAsia" w:ascii="宋体" w:hAnsi="宋体" w:cs="宋体"/>
          <w:b/>
          <w:sz w:val="24"/>
          <w:highlight w:val="none"/>
          <w:shd w:val="clear" w:color="auto" w:fill="FFFFFF"/>
        </w:rPr>
      </w:pPr>
    </w:p>
    <w:p w14:paraId="279F1E37">
      <w:pPr>
        <w:spacing w:line="360" w:lineRule="exact"/>
        <w:jc w:val="left"/>
        <w:rPr>
          <w:rFonts w:hint="eastAsia" w:ascii="宋体" w:hAnsi="宋体" w:cs="宋体"/>
          <w:b/>
          <w:sz w:val="24"/>
          <w:highlight w:val="none"/>
          <w:shd w:val="clear" w:color="auto" w:fill="FFFFFF"/>
        </w:rPr>
      </w:pPr>
    </w:p>
    <w:p w14:paraId="27548E48">
      <w:pPr>
        <w:spacing w:line="360" w:lineRule="exact"/>
        <w:jc w:val="left"/>
        <w:rPr>
          <w:rFonts w:hint="eastAsia" w:ascii="宋体" w:hAnsi="宋体" w:cs="宋体"/>
          <w:b/>
          <w:sz w:val="24"/>
          <w:highlight w:val="none"/>
          <w:shd w:val="clear" w:color="auto" w:fill="FFFFFF"/>
        </w:rPr>
      </w:pPr>
    </w:p>
    <w:p w14:paraId="0D0F40FD">
      <w:pPr>
        <w:spacing w:line="360" w:lineRule="exact"/>
        <w:jc w:val="left"/>
        <w:rPr>
          <w:rFonts w:hint="eastAsia" w:ascii="宋体" w:hAnsi="宋体" w:cs="宋体"/>
          <w:b/>
          <w:sz w:val="24"/>
          <w:highlight w:val="none"/>
          <w:shd w:val="clear" w:color="auto" w:fill="FFFFFF"/>
        </w:rPr>
      </w:pPr>
    </w:p>
    <w:p w14:paraId="09B9CDF2">
      <w:pPr>
        <w:pStyle w:val="6"/>
        <w:numPr>
          <w:ilvl w:val="1"/>
          <w:numId w:val="0"/>
        </w:numPr>
        <w:tabs>
          <w:tab w:val="left" w:pos="840"/>
        </w:tabs>
        <w:rPr>
          <w:rFonts w:ascii="宋体" w:hAnsi="宋体"/>
          <w:sz w:val="32"/>
          <w:szCs w:val="32"/>
          <w:highlight w:val="none"/>
        </w:rPr>
      </w:pPr>
      <w:r>
        <w:rPr>
          <w:rFonts w:ascii="宋体" w:hAnsi="宋体"/>
          <w:sz w:val="32"/>
          <w:szCs w:val="32"/>
          <w:highlight w:val="none"/>
        </w:rPr>
        <w:br w:type="page"/>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lang w:eastAsia="zh-CN"/>
        </w:rPr>
        <w:t>）分包单位资料（</w:t>
      </w:r>
      <w:r>
        <w:rPr>
          <w:rFonts w:hint="eastAsia" w:ascii="宋体" w:hAnsi="宋体" w:eastAsia="宋体" w:cs="宋体"/>
          <w:sz w:val="22"/>
          <w:szCs w:val="22"/>
          <w:highlight w:val="none"/>
          <w:lang w:val="en-US" w:eastAsia="zh-CN"/>
        </w:rPr>
        <w:t>电梯安装工程</w:t>
      </w:r>
      <w:r>
        <w:rPr>
          <w:rFonts w:hint="eastAsia" w:ascii="宋体" w:hAnsi="宋体" w:eastAsia="宋体" w:cs="宋体"/>
          <w:sz w:val="22"/>
          <w:szCs w:val="22"/>
          <w:highlight w:val="none"/>
          <w:lang w:eastAsia="zh-CN"/>
        </w:rPr>
        <w:t>分包的需提供）</w:t>
      </w:r>
    </w:p>
    <w:p w14:paraId="62AEBFBD">
      <w:pPr>
        <w:spacing w:line="480" w:lineRule="exact"/>
        <w:rPr>
          <w:rFonts w:hint="eastAsia" w:ascii="宋体" w:hAnsi="宋体" w:cs="宋体"/>
          <w:bCs/>
          <w:sz w:val="24"/>
          <w:highlight w:val="none"/>
        </w:rPr>
      </w:pPr>
    </w:p>
    <w:p w14:paraId="2059234E">
      <w:pPr>
        <w:spacing w:line="480" w:lineRule="exact"/>
        <w:rPr>
          <w:rFonts w:ascii="宋体" w:hAnsi="宋体" w:cs="宋体"/>
          <w:bCs/>
          <w:sz w:val="24"/>
          <w:highlight w:val="none"/>
        </w:rPr>
      </w:pPr>
      <w:r>
        <w:rPr>
          <w:rFonts w:hint="eastAsia" w:ascii="宋体" w:hAnsi="宋体" w:cs="宋体"/>
          <w:bCs/>
          <w:sz w:val="24"/>
          <w:highlight w:val="none"/>
        </w:rPr>
        <w:t>①分包单位营业执照扫描件</w:t>
      </w:r>
    </w:p>
    <w:p w14:paraId="486A7F54">
      <w:pPr>
        <w:spacing w:line="480" w:lineRule="exact"/>
        <w:rPr>
          <w:rFonts w:hint="eastAsia" w:ascii="宋体" w:hAnsi="宋体" w:cs="宋体"/>
          <w:bCs/>
          <w:sz w:val="24"/>
          <w:highlight w:val="none"/>
        </w:rPr>
      </w:pPr>
    </w:p>
    <w:p w14:paraId="684AB967">
      <w:pPr>
        <w:spacing w:line="480" w:lineRule="exact"/>
        <w:rPr>
          <w:rFonts w:hint="eastAsia" w:ascii="宋体" w:hAnsi="宋体" w:cs="宋体"/>
          <w:bCs/>
          <w:sz w:val="24"/>
          <w:highlight w:val="none"/>
        </w:rPr>
      </w:pPr>
      <w:r>
        <w:rPr>
          <w:rFonts w:hint="eastAsia" w:ascii="宋体" w:hAnsi="宋体" w:cs="宋体"/>
          <w:bCs/>
          <w:sz w:val="24"/>
          <w:highlight w:val="none"/>
        </w:rPr>
        <w:t>②分包单位资质证书扫描件</w:t>
      </w:r>
    </w:p>
    <w:p w14:paraId="0DD28642">
      <w:pPr>
        <w:rPr>
          <w:rFonts w:hint="eastAsia" w:ascii="宋体" w:hAnsi="宋体" w:cs="宋体"/>
          <w:bCs/>
          <w:sz w:val="24"/>
          <w:highlight w:val="none"/>
        </w:rPr>
      </w:pPr>
    </w:p>
    <w:p w14:paraId="09ED55D5">
      <w:pPr>
        <w:rPr>
          <w:rFonts w:hint="eastAsia" w:ascii="宋体" w:hAnsi="宋体" w:cs="宋体"/>
          <w:bCs/>
          <w:sz w:val="24"/>
          <w:highlight w:val="none"/>
        </w:rPr>
        <w:sectPr>
          <w:pgSz w:w="11906" w:h="16838"/>
          <w:pgMar w:top="1191" w:right="1191" w:bottom="1304" w:left="1304" w:header="851" w:footer="851" w:gutter="0"/>
          <w:pgNumType w:fmt="decimal"/>
          <w:cols w:space="720" w:num="1"/>
          <w:docGrid w:linePitch="312" w:charSpace="0"/>
        </w:sectPr>
      </w:pPr>
    </w:p>
    <w:p w14:paraId="6C810FBB">
      <w:pPr>
        <w:spacing w:line="480" w:lineRule="exact"/>
        <w:rPr>
          <w:rFonts w:hint="eastAsia" w:ascii="宋体" w:hAnsi="宋体" w:cs="宋体"/>
          <w:bCs/>
          <w:sz w:val="24"/>
          <w:highlight w:val="none"/>
        </w:rPr>
      </w:pPr>
      <w:r>
        <w:rPr>
          <w:rFonts w:hint="eastAsia" w:ascii="宋体" w:hAnsi="宋体" w:cs="宋体"/>
          <w:bCs/>
          <w:sz w:val="24"/>
          <w:highlight w:val="none"/>
        </w:rPr>
        <w:t>③不得再次分包承诺书</w:t>
      </w:r>
    </w:p>
    <w:p w14:paraId="03ECB66D">
      <w:pPr>
        <w:rPr>
          <w:rFonts w:ascii="宋体" w:hAnsi="宋体" w:cs="宋体"/>
          <w:bCs/>
          <w:sz w:val="24"/>
          <w:highlight w:val="none"/>
        </w:rPr>
      </w:pPr>
    </w:p>
    <w:p w14:paraId="3787861F">
      <w:pPr>
        <w:spacing w:line="600" w:lineRule="exact"/>
        <w:jc w:val="center"/>
        <w:rPr>
          <w:rFonts w:hint="eastAsia" w:ascii="宋体" w:hAnsi="宋体" w:cs="宋体"/>
          <w:b/>
          <w:sz w:val="28"/>
          <w:szCs w:val="28"/>
          <w:highlight w:val="none"/>
        </w:rPr>
      </w:pPr>
      <w:r>
        <w:rPr>
          <w:rFonts w:hint="eastAsia" w:ascii="宋体" w:hAnsi="宋体" w:cs="宋体"/>
          <w:b/>
          <w:sz w:val="28"/>
          <w:szCs w:val="28"/>
          <w:highlight w:val="none"/>
        </w:rPr>
        <w:t>承诺书</w:t>
      </w:r>
    </w:p>
    <w:p w14:paraId="2B6D6060">
      <w:pPr>
        <w:jc w:val="center"/>
        <w:rPr>
          <w:rFonts w:hint="eastAsia"/>
          <w:b/>
          <w:sz w:val="30"/>
          <w:szCs w:val="30"/>
          <w:highlight w:val="none"/>
        </w:rPr>
      </w:pPr>
    </w:p>
    <w:p w14:paraId="69185194">
      <w:pPr>
        <w:spacing w:line="480" w:lineRule="exact"/>
        <w:rPr>
          <w:rFonts w:hint="eastAsia" w:ascii="宋体" w:hAnsi="宋体"/>
          <w:sz w:val="24"/>
          <w:highlight w:val="none"/>
        </w:rPr>
      </w:pPr>
      <w:r>
        <w:rPr>
          <w:rFonts w:hint="eastAsia" w:ascii="宋体" w:hAnsi="宋体"/>
          <w:sz w:val="24"/>
          <w:highlight w:val="none"/>
        </w:rPr>
        <w:t>致：</w:t>
      </w:r>
      <w:r>
        <w:rPr>
          <w:rFonts w:hint="eastAsia" w:ascii="宋体" w:hAnsi="宋体"/>
          <w:sz w:val="24"/>
          <w:highlight w:val="none"/>
          <w:lang w:eastAsia="zh-CN"/>
        </w:rPr>
        <w:t>云南省保山第一中学</w:t>
      </w:r>
    </w:p>
    <w:p w14:paraId="01D3B22A">
      <w:pPr>
        <w:spacing w:line="560" w:lineRule="exact"/>
        <w:ind w:firstLine="480"/>
        <w:jc w:val="left"/>
        <w:rPr>
          <w:sz w:val="24"/>
          <w:szCs w:val="20"/>
          <w:highlight w:val="none"/>
          <w:shd w:val="clear" w:color="auto" w:fill="FFFFFF"/>
        </w:rPr>
      </w:pPr>
      <w:r>
        <w:rPr>
          <w:rFonts w:hint="eastAsia" w:ascii="宋体" w:hAnsi="宋体" w:cs="宋体"/>
          <w:b/>
          <w:sz w:val="24"/>
          <w:highlight w:val="none"/>
          <w:u w:val="single"/>
          <w:shd w:val="clear" w:color="auto" w:fill="FFFFFF"/>
        </w:rPr>
        <w:t xml:space="preserve">                      </w:t>
      </w:r>
      <w:r>
        <w:rPr>
          <w:rFonts w:hint="eastAsia" w:ascii="宋体" w:hAnsi="宋体" w:cs="宋体"/>
          <w:bCs/>
          <w:sz w:val="24"/>
          <w:highlight w:val="none"/>
          <w:u w:val="single"/>
          <w:shd w:val="clear" w:color="auto" w:fill="FFFFFF"/>
        </w:rPr>
        <w:t>（公司名称）</w:t>
      </w:r>
      <w:r>
        <w:rPr>
          <w:rFonts w:hint="eastAsia"/>
          <w:sz w:val="24"/>
          <w:szCs w:val="20"/>
          <w:highlight w:val="none"/>
          <w:shd w:val="clear" w:color="auto" w:fill="FFFFFF"/>
        </w:rPr>
        <w:t>承诺：</w:t>
      </w:r>
    </w:p>
    <w:p w14:paraId="47E47637">
      <w:pPr>
        <w:spacing w:line="560" w:lineRule="exact"/>
        <w:ind w:firstLine="480"/>
        <w:jc w:val="left"/>
        <w:rPr>
          <w:rFonts w:hint="eastAsia" w:ascii="宋体" w:hAnsi="宋体"/>
          <w:sz w:val="24"/>
          <w:szCs w:val="20"/>
          <w:highlight w:val="none"/>
          <w:shd w:val="clear" w:color="auto" w:fill="FFFFFF"/>
        </w:rPr>
      </w:pPr>
      <w:r>
        <w:rPr>
          <w:rFonts w:hint="eastAsia" w:ascii="宋体" w:hAnsi="宋体"/>
          <w:sz w:val="24"/>
          <w:szCs w:val="20"/>
          <w:highlight w:val="none"/>
          <w:shd w:val="clear" w:color="auto" w:fill="FFFFFF"/>
        </w:rPr>
        <w:t>我公司</w:t>
      </w:r>
      <w:r>
        <w:rPr>
          <w:rFonts w:hint="eastAsia" w:ascii="宋体" w:hAnsi="宋体"/>
          <w:sz w:val="24"/>
          <w:szCs w:val="20"/>
          <w:highlight w:val="none"/>
          <w:shd w:val="clear" w:color="auto" w:fill="FFFFFF"/>
          <w:lang w:val="en-US" w:eastAsia="zh-CN"/>
        </w:rPr>
        <w:t>电梯安装工程</w:t>
      </w:r>
      <w:r>
        <w:rPr>
          <w:rFonts w:hint="eastAsia" w:ascii="宋体" w:hAnsi="宋体"/>
          <w:sz w:val="24"/>
          <w:szCs w:val="20"/>
          <w:highlight w:val="none"/>
          <w:shd w:val="clear" w:color="auto" w:fill="FFFFFF"/>
        </w:rPr>
        <w:t>，且不得再次分包。</w:t>
      </w:r>
    </w:p>
    <w:p w14:paraId="543483B4">
      <w:pPr>
        <w:spacing w:line="560" w:lineRule="exact"/>
        <w:ind w:firstLine="480"/>
        <w:jc w:val="left"/>
        <w:rPr>
          <w:sz w:val="24"/>
          <w:szCs w:val="20"/>
          <w:highlight w:val="none"/>
          <w:shd w:val="clear" w:color="auto" w:fill="FFFFFF"/>
        </w:rPr>
      </w:pPr>
      <w:r>
        <w:rPr>
          <w:rFonts w:hint="eastAsia"/>
          <w:sz w:val="24"/>
          <w:szCs w:val="20"/>
          <w:highlight w:val="none"/>
          <w:shd w:val="clear" w:color="auto" w:fill="FFFFFF"/>
        </w:rPr>
        <w:t>若违反上述规定，承担相应的责任。</w:t>
      </w:r>
    </w:p>
    <w:p w14:paraId="6D3E2C3F">
      <w:pPr>
        <w:spacing w:line="560" w:lineRule="exact"/>
        <w:ind w:firstLine="480"/>
        <w:jc w:val="left"/>
        <w:rPr>
          <w:sz w:val="24"/>
          <w:highlight w:val="none"/>
          <w:shd w:val="clear" w:color="auto" w:fill="FFFFFF"/>
        </w:rPr>
      </w:pPr>
      <w:r>
        <w:rPr>
          <w:rFonts w:hint="eastAsia"/>
          <w:sz w:val="24"/>
          <w:szCs w:val="20"/>
          <w:highlight w:val="none"/>
          <w:shd w:val="clear" w:color="auto" w:fill="FFFFFF"/>
        </w:rPr>
        <w:t>特此承诺！</w:t>
      </w:r>
      <w:r>
        <w:rPr>
          <w:rFonts w:hint="eastAsia"/>
          <w:sz w:val="24"/>
          <w:szCs w:val="20"/>
          <w:highlight w:val="none"/>
          <w:shd w:val="clear" w:color="auto" w:fill="FFFFFF"/>
        </w:rPr>
        <w:br w:type="textWrapping"/>
      </w:r>
    </w:p>
    <w:p w14:paraId="3ED7B27F">
      <w:pPr>
        <w:spacing w:before="60" w:after="60"/>
        <w:jc w:val="left"/>
        <w:rPr>
          <w:rFonts w:ascii="宋体" w:hAnsi="宋体" w:cs="宋体"/>
          <w:b/>
          <w:sz w:val="24"/>
          <w:highlight w:val="none"/>
          <w:shd w:val="clear" w:color="auto" w:fill="FFFFFF"/>
        </w:rPr>
      </w:pPr>
      <w:r>
        <w:rPr>
          <w:rFonts w:hint="eastAsia" w:ascii="宋体" w:hAnsi="宋体" w:cs="宋体"/>
          <w:b/>
          <w:sz w:val="24"/>
          <w:highlight w:val="none"/>
          <w:shd w:val="clear" w:color="auto" w:fill="FFFFFF"/>
        </w:rPr>
        <w:t>分包单位全称(电子签章或盖章)：</w:t>
      </w:r>
      <w:r>
        <w:rPr>
          <w:rFonts w:hint="eastAsia" w:ascii="宋体" w:hAnsi="宋体" w:cs="宋体"/>
          <w:b/>
          <w:sz w:val="24"/>
          <w:highlight w:val="none"/>
          <w:u w:val="single"/>
          <w:shd w:val="clear" w:color="auto" w:fill="FFFFFF"/>
        </w:rPr>
        <w:t xml:space="preserve">                                    </w:t>
      </w:r>
    </w:p>
    <w:p w14:paraId="2A33D24D">
      <w:pPr>
        <w:spacing w:before="60" w:after="60"/>
        <w:jc w:val="left"/>
        <w:rPr>
          <w:rFonts w:hint="eastAsia" w:ascii="宋体" w:hAnsi="宋体" w:cs="宋体"/>
          <w:b/>
          <w:sz w:val="24"/>
          <w:highlight w:val="none"/>
          <w:shd w:val="clear" w:color="auto" w:fill="FFFFFF"/>
        </w:rPr>
      </w:pPr>
    </w:p>
    <w:p w14:paraId="00E62800">
      <w:pPr>
        <w:spacing w:before="60" w:after="60"/>
        <w:jc w:val="left"/>
        <w:rPr>
          <w:rFonts w:ascii="宋体" w:hAnsi="宋体" w:cs="宋体"/>
          <w:b/>
          <w:sz w:val="24"/>
          <w:highlight w:val="none"/>
          <w:u w:val="single"/>
          <w:shd w:val="clear" w:color="auto" w:fill="FFFFFF"/>
        </w:rPr>
      </w:pPr>
      <w:r>
        <w:rPr>
          <w:rFonts w:hint="eastAsia" w:ascii="宋体" w:hAnsi="宋体" w:cs="宋体"/>
          <w:b/>
          <w:sz w:val="24"/>
          <w:highlight w:val="none"/>
          <w:shd w:val="clear" w:color="auto" w:fill="FFFFFF"/>
          <w:lang w:eastAsia="zh-CN"/>
        </w:rPr>
        <w:t>供应商全称</w:t>
      </w:r>
      <w:r>
        <w:rPr>
          <w:rFonts w:hint="eastAsia" w:ascii="宋体" w:hAnsi="宋体" w:cs="宋体"/>
          <w:b/>
          <w:sz w:val="24"/>
          <w:highlight w:val="none"/>
          <w:shd w:val="clear" w:color="auto" w:fill="FFFFFF"/>
        </w:rPr>
        <w:t>(电子签章或盖章)：</w:t>
      </w:r>
      <w:r>
        <w:rPr>
          <w:rFonts w:hint="eastAsia" w:ascii="宋体" w:hAnsi="宋体" w:cs="宋体"/>
          <w:b/>
          <w:sz w:val="24"/>
          <w:highlight w:val="none"/>
          <w:u w:val="single"/>
          <w:shd w:val="clear" w:color="auto" w:fill="FFFFFF"/>
        </w:rPr>
        <w:t xml:space="preserve">                                    </w:t>
      </w:r>
    </w:p>
    <w:p w14:paraId="7958386C">
      <w:pPr>
        <w:spacing w:before="360" w:after="360"/>
        <w:jc w:val="left"/>
        <w:rPr>
          <w:rFonts w:ascii="宋体" w:hAnsi="宋体" w:cs="宋体"/>
          <w:b/>
          <w:sz w:val="24"/>
          <w:highlight w:val="none"/>
          <w:u w:val="single"/>
          <w:shd w:val="clear" w:color="auto" w:fill="FFFFFF"/>
        </w:rPr>
      </w:pPr>
      <w:r>
        <w:rPr>
          <w:rFonts w:hint="eastAsia" w:ascii="宋体" w:hAnsi="宋体" w:cs="宋体"/>
          <w:b/>
          <w:sz w:val="24"/>
          <w:highlight w:val="none"/>
          <w:shd w:val="clear" w:color="auto" w:fill="FFFFFF"/>
        </w:rPr>
        <w:t>法定代表人或委托代理人(电子签章或签字)：</w:t>
      </w:r>
      <w:r>
        <w:rPr>
          <w:rFonts w:hint="eastAsia" w:ascii="宋体" w:hAnsi="宋体" w:cs="宋体"/>
          <w:b/>
          <w:sz w:val="24"/>
          <w:highlight w:val="none"/>
          <w:u w:val="single"/>
          <w:shd w:val="clear" w:color="auto" w:fill="FFFFFF"/>
        </w:rPr>
        <w:t xml:space="preserve">                        </w:t>
      </w:r>
    </w:p>
    <w:p w14:paraId="23835F62">
      <w:pPr>
        <w:spacing w:line="360" w:lineRule="exact"/>
        <w:jc w:val="left"/>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日    期：________年____月____日</w:t>
      </w:r>
    </w:p>
    <w:p w14:paraId="522611AB">
      <w:pPr>
        <w:spacing w:line="360" w:lineRule="exact"/>
        <w:jc w:val="left"/>
        <w:rPr>
          <w:rFonts w:hint="eastAsia" w:ascii="宋体" w:hAnsi="宋体" w:cs="宋体"/>
          <w:b/>
          <w:sz w:val="24"/>
          <w:highlight w:val="none"/>
          <w:shd w:val="clear" w:color="auto" w:fill="FFFFFF"/>
        </w:rPr>
      </w:pPr>
    </w:p>
    <w:p w14:paraId="3E1DC704">
      <w:pPr>
        <w:keepNext w:val="0"/>
        <w:keepLines w:val="0"/>
        <w:pageBreakBefore w:val="0"/>
        <w:widowControl w:val="0"/>
        <w:kinsoku/>
        <w:wordWrap/>
        <w:overflowPunct/>
        <w:topLinePunct w:val="0"/>
        <w:autoSpaceDE/>
        <w:autoSpaceDN/>
        <w:bidi w:val="0"/>
        <w:adjustRightInd/>
        <w:snapToGrid/>
        <w:spacing w:line="560" w:lineRule="exact"/>
        <w:ind w:firstLine="0"/>
        <w:jc w:val="left"/>
        <w:textAlignment w:val="auto"/>
        <w:rPr>
          <w:rFonts w:hint="eastAsia" w:ascii="Times New Roman" w:hAnsi="Times New Roman" w:eastAsia="宋体" w:cs="Times New Roman"/>
          <w:sz w:val="24"/>
          <w:szCs w:val="20"/>
          <w:highlight w:val="none"/>
          <w:shd w:val="clear" w:color="auto" w:fill="FFFFFF"/>
        </w:rPr>
      </w:pPr>
      <w:r>
        <w:rPr>
          <w:rFonts w:hint="eastAsia" w:ascii="Times New Roman" w:hAnsi="Times New Roman" w:eastAsia="宋体" w:cs="Times New Roman"/>
          <w:sz w:val="24"/>
          <w:szCs w:val="20"/>
          <w:highlight w:val="none"/>
          <w:shd w:val="clear" w:color="auto" w:fill="FFFFFF"/>
        </w:rPr>
        <w:t>注：可以先填写承诺书，打印后由分包单位盖章，再扫描成图片上传后由</w:t>
      </w:r>
      <w:r>
        <w:rPr>
          <w:rFonts w:hint="eastAsia" w:cs="Times New Roman"/>
          <w:sz w:val="24"/>
          <w:szCs w:val="20"/>
          <w:highlight w:val="none"/>
          <w:shd w:val="clear" w:color="auto" w:fill="FFFFFF"/>
          <w:lang w:val="en-US" w:eastAsia="zh-CN"/>
        </w:rPr>
        <w:t>供应商</w:t>
      </w:r>
      <w:r>
        <w:rPr>
          <w:rFonts w:hint="eastAsia" w:ascii="Times New Roman" w:hAnsi="Times New Roman" w:eastAsia="宋体" w:cs="Times New Roman"/>
          <w:sz w:val="24"/>
          <w:szCs w:val="20"/>
          <w:highlight w:val="none"/>
          <w:shd w:val="clear" w:color="auto" w:fill="FFFFFF"/>
        </w:rPr>
        <w:t>进行电子签章。</w:t>
      </w:r>
    </w:p>
    <w:p w14:paraId="2064A531">
      <w:pPr>
        <w:pStyle w:val="23"/>
        <w:spacing w:line="360" w:lineRule="auto"/>
        <w:rPr>
          <w:rFonts w:hint="eastAsia" w:hAnsi="宋体"/>
          <w:b/>
          <w:sz w:val="28"/>
          <w:szCs w:val="28"/>
          <w:highlight w:val="none"/>
        </w:rPr>
      </w:pPr>
      <w:r>
        <w:rPr>
          <w:rFonts w:hint="eastAsia" w:ascii="Times New Roman" w:hAnsi="Times New Roman" w:eastAsia="宋体" w:cs="Times New Roman"/>
          <w:sz w:val="24"/>
          <w:szCs w:val="20"/>
          <w:highlight w:val="none"/>
          <w:shd w:val="clear" w:color="auto" w:fill="FFFFFF"/>
        </w:rPr>
        <w:br w:type="page"/>
      </w:r>
    </w:p>
    <w:p w14:paraId="44377224">
      <w:pPr>
        <w:spacing w:line="360" w:lineRule="auto"/>
        <w:ind w:firstLine="422" w:firstLineChars="200"/>
        <w:jc w:val="both"/>
        <w:outlineLvl w:val="3"/>
        <w:rPr>
          <w:rFonts w:hint="eastAsia" w:ascii="Times New Roman" w:hAnsi="Times New Roman" w:eastAsia="宋体" w:cs="Times New Roman"/>
          <w:b/>
          <w:sz w:val="24"/>
          <w:szCs w:val="24"/>
          <w:highlight w:val="none"/>
          <w:lang w:val="en-US" w:eastAsia="zh-CN"/>
        </w:rPr>
      </w:pPr>
      <w:r>
        <w:rPr>
          <w:rFonts w:hint="eastAsia" w:cs="Times New Roman"/>
          <w:b/>
          <w:sz w:val="21"/>
          <w:szCs w:val="21"/>
          <w:highlight w:val="none"/>
          <w:lang w:val="en-US" w:eastAsia="zh-CN"/>
        </w:rPr>
        <w:t>7.</w:t>
      </w:r>
      <w:r>
        <w:rPr>
          <w:rFonts w:hint="eastAsia" w:ascii="Times New Roman" w:hAnsi="Times New Roman" w:eastAsia="宋体" w:cs="Times New Roman"/>
          <w:b/>
          <w:sz w:val="21"/>
          <w:szCs w:val="21"/>
          <w:highlight w:val="none"/>
          <w:lang w:val="en-US" w:eastAsia="zh-CN"/>
        </w:rPr>
        <w:t>采购文件第一章“申请人的资格要求”中要求提供的其他资格证明文件</w:t>
      </w:r>
    </w:p>
    <w:p w14:paraId="7CE81F10">
      <w:pPr>
        <w:pStyle w:val="23"/>
        <w:snapToGrid w:val="0"/>
        <w:spacing w:line="360" w:lineRule="auto"/>
        <w:ind w:firstLine="420" w:firstLineChars="200"/>
        <w:jc w:val="left"/>
        <w:rPr>
          <w:rFonts w:ascii="Times New Roman" w:hAnsi="Times New Roman"/>
          <w:sz w:val="21"/>
          <w:szCs w:val="21"/>
          <w:highlight w:val="none"/>
        </w:rPr>
      </w:pPr>
      <w:r>
        <w:rPr>
          <w:rFonts w:hint="eastAsia" w:ascii="Times New Roman" w:hAnsi="Times New Roman"/>
          <w:sz w:val="21"/>
          <w:szCs w:val="21"/>
          <w:highlight w:val="none"/>
        </w:rPr>
        <w:t>详见第一章</w:t>
      </w:r>
      <w:r>
        <w:rPr>
          <w:rFonts w:hint="eastAsia" w:ascii="Times New Roman" w:hAnsi="Times New Roman"/>
          <w:sz w:val="21"/>
          <w:szCs w:val="21"/>
          <w:highlight w:val="none"/>
          <w:lang w:eastAsia="zh-CN"/>
        </w:rPr>
        <w:t>竞争性磋商</w:t>
      </w:r>
      <w:r>
        <w:rPr>
          <w:rFonts w:hint="eastAsia" w:ascii="Times New Roman" w:hAnsi="Times New Roman"/>
          <w:sz w:val="21"/>
          <w:szCs w:val="21"/>
          <w:highlight w:val="none"/>
        </w:rPr>
        <w:t>公告</w:t>
      </w:r>
      <w:r>
        <w:rPr>
          <w:rFonts w:hint="eastAsia" w:ascii="Times New Roman" w:hAnsi="Times New Roman"/>
          <w:sz w:val="21"/>
          <w:szCs w:val="21"/>
          <w:highlight w:val="none"/>
          <w:lang w:eastAsia="zh-CN"/>
        </w:rPr>
        <w:t>“</w:t>
      </w:r>
      <w:r>
        <w:rPr>
          <w:rFonts w:hint="eastAsia" w:ascii="Times New Roman" w:hAnsi="Times New Roman"/>
          <w:sz w:val="21"/>
          <w:szCs w:val="21"/>
          <w:highlight w:val="none"/>
        </w:rPr>
        <w:t>二、申请人的资格要求</w:t>
      </w:r>
      <w:r>
        <w:rPr>
          <w:rFonts w:hint="eastAsia" w:ascii="Times New Roman" w:hAnsi="Times New Roman"/>
          <w:sz w:val="21"/>
          <w:szCs w:val="21"/>
          <w:highlight w:val="none"/>
          <w:lang w:eastAsia="zh-CN"/>
        </w:rPr>
        <w:t>”</w:t>
      </w:r>
      <w:r>
        <w:rPr>
          <w:rFonts w:hint="eastAsia" w:ascii="Times New Roman" w:hAnsi="Times New Roman"/>
          <w:sz w:val="21"/>
          <w:szCs w:val="21"/>
          <w:highlight w:val="none"/>
        </w:rPr>
        <w:t>要求提供的其他材料。有格式的请按给定格式填写，无格式要求的请自拟格式。</w:t>
      </w:r>
    </w:p>
    <w:p w14:paraId="68FCF8A6">
      <w:pPr>
        <w:rPr>
          <w:rFonts w:hint="eastAsia" w:ascii="Times New Roman" w:hAnsi="Times New Roman" w:eastAsia="宋体" w:cs="Times New Roman"/>
          <w:b/>
          <w:bCs w:val="0"/>
          <w:kern w:val="2"/>
          <w:sz w:val="22"/>
          <w:szCs w:val="21"/>
          <w:highlight w:val="none"/>
          <w:lang w:val="en-US" w:eastAsia="zh-CN" w:bidi="ar-SA"/>
        </w:rPr>
      </w:pPr>
      <w:r>
        <w:rPr>
          <w:rFonts w:hint="eastAsia" w:ascii="Times New Roman" w:hAnsi="Times New Roman" w:eastAsia="宋体" w:cs="Times New Roman"/>
          <w:b/>
          <w:bCs w:val="0"/>
          <w:kern w:val="2"/>
          <w:sz w:val="22"/>
          <w:szCs w:val="21"/>
          <w:highlight w:val="none"/>
          <w:lang w:val="en-US" w:eastAsia="zh-CN" w:bidi="ar-SA"/>
        </w:rPr>
        <w:br w:type="page"/>
      </w:r>
    </w:p>
    <w:p w14:paraId="5D499119">
      <w:pPr>
        <w:pageBreakBefore w:val="0"/>
        <w:widowControl w:val="0"/>
        <w:kinsoku/>
        <w:wordWrap/>
        <w:overflowPunct/>
        <w:topLinePunct w:val="0"/>
        <w:autoSpaceDE/>
        <w:autoSpaceDN/>
        <w:bidi w:val="0"/>
        <w:adjustRightInd/>
        <w:snapToGrid/>
        <w:spacing w:before="0" w:line="360" w:lineRule="auto"/>
        <w:jc w:val="left"/>
        <w:textAlignment w:val="auto"/>
        <w:outlineLvl w:val="1"/>
        <w:rPr>
          <w:rFonts w:hint="eastAsia" w:ascii="Times New Roman" w:hAnsi="Times New Roman" w:eastAsia="宋体" w:cs="Times New Roman"/>
          <w:b/>
          <w:bCs w:val="0"/>
          <w:kern w:val="2"/>
          <w:sz w:val="28"/>
          <w:szCs w:val="24"/>
          <w:highlight w:val="none"/>
          <w:lang w:val="en-US" w:eastAsia="zh-CN" w:bidi="ar-SA"/>
        </w:rPr>
      </w:pPr>
      <w:bookmarkStart w:id="293" w:name="_Toc32048"/>
      <w:bookmarkStart w:id="294" w:name="_Toc149055024"/>
      <w:bookmarkStart w:id="295" w:name="_Toc17422"/>
      <w:bookmarkStart w:id="296" w:name="_Toc347849251"/>
      <w:r>
        <w:rPr>
          <w:rFonts w:hint="eastAsia" w:ascii="Times New Roman" w:hAnsi="Times New Roman" w:eastAsia="宋体" w:cs="Times New Roman"/>
          <w:b/>
          <w:bCs w:val="0"/>
          <w:kern w:val="2"/>
          <w:sz w:val="28"/>
          <w:szCs w:val="24"/>
          <w:highlight w:val="none"/>
          <w:lang w:val="en-US" w:eastAsia="zh-CN" w:bidi="ar-SA"/>
        </w:rPr>
        <w:t>二、报价文件</w:t>
      </w:r>
      <w:bookmarkEnd w:id="293"/>
      <w:bookmarkEnd w:id="294"/>
      <w:bookmarkEnd w:id="295"/>
    </w:p>
    <w:bookmarkEnd w:id="296"/>
    <w:p w14:paraId="2AF945F5">
      <w:pPr>
        <w:keepNext w:val="0"/>
        <w:keepLines w:val="0"/>
        <w:pageBreakBefore w:val="0"/>
        <w:widowControl w:val="0"/>
        <w:kinsoku/>
        <w:wordWrap/>
        <w:overflowPunct/>
        <w:topLinePunct w:val="0"/>
        <w:autoSpaceDE/>
        <w:autoSpaceDN/>
        <w:bidi w:val="0"/>
        <w:adjustRightInd/>
        <w:snapToGrid/>
        <w:ind w:firstLine="0"/>
        <w:jc w:val="center"/>
        <w:textAlignment w:val="auto"/>
        <w:outlineLvl w:val="2"/>
        <w:rPr>
          <w:rFonts w:ascii="Times New Roman" w:hAnsi="Times New Roman" w:eastAsia="宋体" w:cs="Times New Roman"/>
          <w:b/>
          <w:sz w:val="30"/>
          <w:szCs w:val="30"/>
          <w:highlight w:val="none"/>
        </w:rPr>
      </w:pPr>
      <w:bookmarkStart w:id="297" w:name="_Toc149055026"/>
      <w:r>
        <w:rPr>
          <w:rFonts w:hint="eastAsia" w:cs="Times New Roman"/>
          <w:b/>
          <w:sz w:val="30"/>
          <w:szCs w:val="30"/>
          <w:highlight w:val="none"/>
          <w:lang w:eastAsia="zh-CN"/>
        </w:rPr>
        <w:t>（</w:t>
      </w:r>
      <w:r>
        <w:rPr>
          <w:rFonts w:hint="eastAsia" w:cs="Times New Roman"/>
          <w:b/>
          <w:sz w:val="30"/>
          <w:szCs w:val="30"/>
          <w:highlight w:val="none"/>
          <w:lang w:val="en-US" w:eastAsia="zh-CN"/>
        </w:rPr>
        <w:t>一</w:t>
      </w:r>
      <w:r>
        <w:rPr>
          <w:rFonts w:hint="eastAsia" w:cs="Times New Roman"/>
          <w:b/>
          <w:sz w:val="30"/>
          <w:szCs w:val="30"/>
          <w:highlight w:val="none"/>
          <w:lang w:eastAsia="zh-CN"/>
        </w:rPr>
        <w:t>）</w:t>
      </w:r>
      <w:r>
        <w:rPr>
          <w:rFonts w:hint="eastAsia" w:ascii="Times New Roman" w:hAnsi="Times New Roman" w:eastAsia="宋体" w:cs="Times New Roman"/>
          <w:b/>
          <w:sz w:val="30"/>
          <w:szCs w:val="30"/>
          <w:highlight w:val="none"/>
        </w:rPr>
        <w:t>★</w:t>
      </w:r>
      <w:r>
        <w:rPr>
          <w:rFonts w:ascii="Times New Roman" w:hAnsi="Times New Roman" w:eastAsia="宋体" w:cs="Times New Roman"/>
          <w:b/>
          <w:sz w:val="30"/>
          <w:szCs w:val="30"/>
          <w:highlight w:val="none"/>
        </w:rPr>
        <w:t>报价一览表</w:t>
      </w:r>
      <w:bookmarkEnd w:id="297"/>
    </w:p>
    <w:p w14:paraId="70DBCDFB">
      <w:pPr>
        <w:pStyle w:val="23"/>
        <w:spacing w:line="360" w:lineRule="auto"/>
        <w:rPr>
          <w:rFonts w:ascii="Times New Roman"/>
          <w:b/>
          <w:sz w:val="21"/>
          <w:szCs w:val="21"/>
          <w:highlight w:val="none"/>
          <w:u w:val="none"/>
        </w:rPr>
      </w:pPr>
    </w:p>
    <w:p w14:paraId="10432251">
      <w:pPr>
        <w:pStyle w:val="23"/>
        <w:spacing w:line="360" w:lineRule="auto"/>
        <w:rPr>
          <w:rFonts w:ascii="Times New Roman"/>
          <w:sz w:val="21"/>
          <w:szCs w:val="21"/>
          <w:highlight w:val="none"/>
          <w:u w:val="none"/>
        </w:rPr>
      </w:pPr>
      <w:r>
        <w:rPr>
          <w:rFonts w:ascii="Times New Roman"/>
          <w:b/>
          <w:sz w:val="21"/>
          <w:szCs w:val="21"/>
          <w:highlight w:val="none"/>
          <w:u w:val="none"/>
        </w:rPr>
        <w:t>项目名称：</w:t>
      </w:r>
      <w:r>
        <w:rPr>
          <w:rFonts w:hint="eastAsia" w:ascii="Times New Roman"/>
          <w:b/>
          <w:sz w:val="21"/>
          <w:szCs w:val="21"/>
          <w:highlight w:val="none"/>
          <w:u w:val="none"/>
          <w:lang w:eastAsia="zh-CN"/>
        </w:rPr>
        <w:t>云南省保山第一中学附属设施（连廊）建设项目（一期）</w:t>
      </w:r>
      <w:r>
        <w:rPr>
          <w:rFonts w:ascii="Times New Roman"/>
          <w:b/>
          <w:sz w:val="21"/>
          <w:szCs w:val="21"/>
          <w:highlight w:val="none"/>
          <w:u w:val="none"/>
        </w:rPr>
        <w:t xml:space="preserve">                                          </w:t>
      </w:r>
    </w:p>
    <w:tbl>
      <w:tblPr>
        <w:tblStyle w:val="41"/>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4"/>
        <w:gridCol w:w="1496"/>
        <w:gridCol w:w="1663"/>
        <w:gridCol w:w="2461"/>
        <w:gridCol w:w="1374"/>
        <w:gridCol w:w="1104"/>
      </w:tblGrid>
      <w:tr w14:paraId="54181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1" w:hRule="atLeast"/>
          <w:jc w:val="center"/>
        </w:trPr>
        <w:tc>
          <w:tcPr>
            <w:tcW w:w="779" w:type="pct"/>
            <w:noWrap w:val="0"/>
            <w:vAlign w:val="center"/>
          </w:tcPr>
          <w:p w14:paraId="45A480F8">
            <w:pPr>
              <w:pStyle w:val="23"/>
              <w:spacing w:line="360" w:lineRule="auto"/>
              <w:jc w:val="center"/>
              <w:rPr>
                <w:rFonts w:ascii="Times New Roman"/>
                <w:b/>
                <w:bCs w:val="0"/>
                <w:spacing w:val="-20"/>
                <w:sz w:val="21"/>
                <w:szCs w:val="21"/>
                <w:highlight w:val="none"/>
              </w:rPr>
            </w:pPr>
            <w:r>
              <w:rPr>
                <w:rFonts w:ascii="Times New Roman"/>
                <w:b/>
                <w:bCs w:val="0"/>
                <w:sz w:val="21"/>
                <w:szCs w:val="21"/>
                <w:highlight w:val="none"/>
              </w:rPr>
              <w:t>供应商名称</w:t>
            </w:r>
          </w:p>
        </w:tc>
        <w:tc>
          <w:tcPr>
            <w:tcW w:w="780" w:type="pct"/>
            <w:noWrap w:val="0"/>
            <w:vAlign w:val="center"/>
          </w:tcPr>
          <w:p w14:paraId="4E0A3C76">
            <w:pPr>
              <w:spacing w:line="320" w:lineRule="exact"/>
              <w:jc w:val="center"/>
              <w:rPr>
                <w:b/>
                <w:bCs w:val="0"/>
                <w:szCs w:val="21"/>
                <w:highlight w:val="none"/>
              </w:rPr>
            </w:pPr>
            <w:r>
              <w:rPr>
                <w:rFonts w:hint="eastAsia"/>
                <w:b/>
                <w:bCs w:val="0"/>
                <w:szCs w:val="21"/>
                <w:highlight w:val="none"/>
                <w:lang w:eastAsia="zh-CN"/>
              </w:rPr>
              <w:t>磋商</w:t>
            </w:r>
            <w:r>
              <w:rPr>
                <w:rFonts w:hint="eastAsia"/>
                <w:b/>
                <w:bCs w:val="0"/>
                <w:szCs w:val="21"/>
                <w:highlight w:val="none"/>
              </w:rPr>
              <w:t>总</w:t>
            </w:r>
            <w:r>
              <w:rPr>
                <w:b/>
                <w:bCs w:val="0"/>
                <w:szCs w:val="21"/>
                <w:highlight w:val="none"/>
              </w:rPr>
              <w:t>报价</w:t>
            </w:r>
          </w:p>
          <w:p w14:paraId="47C355A6">
            <w:pPr>
              <w:pStyle w:val="23"/>
              <w:spacing w:line="360" w:lineRule="auto"/>
              <w:jc w:val="center"/>
              <w:rPr>
                <w:rFonts w:ascii="Times New Roman"/>
                <w:b/>
                <w:bCs w:val="0"/>
                <w:spacing w:val="-20"/>
                <w:sz w:val="21"/>
                <w:szCs w:val="21"/>
                <w:highlight w:val="none"/>
              </w:rPr>
            </w:pPr>
            <w:r>
              <w:rPr>
                <w:rFonts w:ascii="Times New Roman"/>
                <w:b/>
                <w:bCs w:val="0"/>
                <w:sz w:val="21"/>
                <w:szCs w:val="21"/>
                <w:highlight w:val="none"/>
              </w:rPr>
              <w:t>（</w:t>
            </w:r>
            <w:r>
              <w:rPr>
                <w:rFonts w:hint="eastAsia" w:ascii="Times New Roman"/>
                <w:b/>
                <w:bCs w:val="0"/>
                <w:sz w:val="21"/>
                <w:szCs w:val="21"/>
                <w:highlight w:val="none"/>
                <w:lang w:val="en-US" w:eastAsia="zh-CN"/>
              </w:rPr>
              <w:t>元</w:t>
            </w:r>
            <w:r>
              <w:rPr>
                <w:rFonts w:ascii="Times New Roman"/>
                <w:b/>
                <w:bCs w:val="0"/>
                <w:sz w:val="21"/>
                <w:szCs w:val="21"/>
                <w:highlight w:val="none"/>
              </w:rPr>
              <w:t>）</w:t>
            </w:r>
          </w:p>
        </w:tc>
        <w:tc>
          <w:tcPr>
            <w:tcW w:w="867" w:type="pct"/>
            <w:noWrap w:val="0"/>
            <w:vAlign w:val="center"/>
          </w:tcPr>
          <w:p w14:paraId="709F702D">
            <w:pPr>
              <w:jc w:val="center"/>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工期</w:t>
            </w:r>
          </w:p>
        </w:tc>
        <w:tc>
          <w:tcPr>
            <w:tcW w:w="1283" w:type="pct"/>
            <w:noWrap w:val="0"/>
            <w:vAlign w:val="center"/>
          </w:tcPr>
          <w:p w14:paraId="655D6E9B">
            <w:pPr>
              <w:jc w:val="center"/>
              <w:rPr>
                <w:rFonts w:hint="eastAsia" w:ascii="Times New Roman" w:hAnsi="Times New Roman" w:eastAsia="宋体" w:cs="Times New Roman"/>
                <w:b/>
                <w:bCs/>
                <w:szCs w:val="21"/>
                <w:highlight w:val="none"/>
                <w:lang w:val="en-US" w:eastAsia="zh-CN"/>
              </w:rPr>
            </w:pPr>
            <w:bookmarkStart w:id="298" w:name="OLE_LINK22"/>
            <w:r>
              <w:rPr>
                <w:rFonts w:hint="eastAsia" w:ascii="Times New Roman" w:hAnsi="Times New Roman" w:eastAsia="宋体" w:cs="Times New Roman"/>
                <w:b/>
                <w:bCs/>
                <w:szCs w:val="21"/>
                <w:highlight w:val="none"/>
                <w:lang w:val="en-US" w:eastAsia="zh-CN"/>
              </w:rPr>
              <w:t>项目经理</w:t>
            </w:r>
          </w:p>
          <w:p w14:paraId="09F6E32C">
            <w:pPr>
              <w:jc w:val="center"/>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（姓名及执业证书信息）</w:t>
            </w:r>
            <w:bookmarkEnd w:id="298"/>
          </w:p>
        </w:tc>
        <w:tc>
          <w:tcPr>
            <w:tcW w:w="716" w:type="pct"/>
            <w:noWrap w:val="0"/>
            <w:vAlign w:val="center"/>
          </w:tcPr>
          <w:p w14:paraId="313F903E">
            <w:pPr>
              <w:jc w:val="center"/>
              <w:rPr>
                <w:rFonts w:ascii="Times New Roman"/>
                <w:b/>
                <w:bCs/>
                <w:sz w:val="21"/>
                <w:szCs w:val="21"/>
                <w:highlight w:val="none"/>
              </w:rPr>
            </w:pPr>
            <w:bookmarkStart w:id="299" w:name="OLE_LINK24"/>
            <w:r>
              <w:rPr>
                <w:rFonts w:hint="eastAsia"/>
                <w:b/>
                <w:bCs/>
                <w:szCs w:val="21"/>
                <w:highlight w:val="none"/>
                <w:lang w:val="en-US" w:eastAsia="zh-CN"/>
              </w:rPr>
              <w:t>磋商保证金</w:t>
            </w:r>
            <w:bookmarkEnd w:id="299"/>
            <w:r>
              <w:rPr>
                <w:rFonts w:hint="eastAsia"/>
                <w:b/>
                <w:bCs/>
                <w:szCs w:val="21"/>
                <w:highlight w:val="none"/>
                <w:lang w:val="en-US" w:eastAsia="zh-CN"/>
              </w:rPr>
              <w:t>形式</w:t>
            </w:r>
          </w:p>
        </w:tc>
        <w:tc>
          <w:tcPr>
            <w:tcW w:w="572" w:type="pct"/>
            <w:noWrap w:val="0"/>
            <w:vAlign w:val="center"/>
          </w:tcPr>
          <w:p w14:paraId="72078C6F">
            <w:pPr>
              <w:pStyle w:val="23"/>
              <w:spacing w:line="360" w:lineRule="auto"/>
              <w:jc w:val="center"/>
              <w:rPr>
                <w:rFonts w:ascii="Times New Roman"/>
                <w:b/>
                <w:bCs/>
                <w:sz w:val="21"/>
                <w:szCs w:val="21"/>
                <w:highlight w:val="none"/>
              </w:rPr>
            </w:pPr>
            <w:r>
              <w:rPr>
                <w:rFonts w:ascii="Times New Roman"/>
                <w:b/>
                <w:bCs/>
                <w:sz w:val="21"/>
                <w:szCs w:val="21"/>
                <w:highlight w:val="none"/>
              </w:rPr>
              <w:t>备注</w:t>
            </w:r>
          </w:p>
        </w:tc>
      </w:tr>
      <w:tr w14:paraId="1CCA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8" w:hRule="atLeast"/>
          <w:jc w:val="center"/>
        </w:trPr>
        <w:tc>
          <w:tcPr>
            <w:tcW w:w="779" w:type="pct"/>
            <w:noWrap w:val="0"/>
            <w:vAlign w:val="center"/>
          </w:tcPr>
          <w:p w14:paraId="5D9337AA">
            <w:pPr>
              <w:pStyle w:val="23"/>
              <w:spacing w:line="360" w:lineRule="auto"/>
              <w:rPr>
                <w:rFonts w:ascii="Times New Roman"/>
                <w:sz w:val="21"/>
                <w:szCs w:val="21"/>
                <w:highlight w:val="none"/>
              </w:rPr>
            </w:pPr>
          </w:p>
        </w:tc>
        <w:tc>
          <w:tcPr>
            <w:tcW w:w="780" w:type="pct"/>
            <w:noWrap w:val="0"/>
            <w:vAlign w:val="center"/>
          </w:tcPr>
          <w:p w14:paraId="23CF8AC8">
            <w:pPr>
              <w:pStyle w:val="23"/>
              <w:spacing w:line="360" w:lineRule="auto"/>
              <w:rPr>
                <w:rFonts w:ascii="Times New Roman"/>
                <w:szCs w:val="21"/>
                <w:highlight w:val="none"/>
              </w:rPr>
            </w:pPr>
          </w:p>
        </w:tc>
        <w:tc>
          <w:tcPr>
            <w:tcW w:w="867" w:type="pct"/>
            <w:noWrap w:val="0"/>
            <w:vAlign w:val="center"/>
          </w:tcPr>
          <w:p w14:paraId="48FBFD62">
            <w:pPr>
              <w:pStyle w:val="23"/>
              <w:spacing w:line="360" w:lineRule="auto"/>
              <w:rPr>
                <w:rFonts w:ascii="Times New Roman"/>
                <w:sz w:val="21"/>
                <w:szCs w:val="21"/>
                <w:highlight w:val="none"/>
              </w:rPr>
            </w:pPr>
            <w:r>
              <w:rPr>
                <w:rFonts w:hint="eastAsia" w:ascii="宋体" w:hAnsi="宋体" w:eastAsia="宋体" w:cs="宋体"/>
                <w:color w:val="auto"/>
                <w:kern w:val="0"/>
                <w:szCs w:val="21"/>
                <w:highlight w:val="none"/>
                <w:lang w:val="en-US" w:eastAsia="zh-CN"/>
              </w:rPr>
              <w:t>计划工期</w:t>
            </w:r>
            <w:r>
              <w:rPr>
                <w:szCs w:val="21"/>
                <w:highlight w:val="none"/>
                <w:u w:val="single"/>
              </w:rPr>
              <w:t xml:space="preserve">    </w:t>
            </w:r>
            <w:r>
              <w:rPr>
                <w:rFonts w:hint="eastAsia" w:ascii="宋体" w:hAnsi="宋体" w:eastAsia="宋体" w:cs="宋体"/>
                <w:color w:val="auto"/>
                <w:kern w:val="0"/>
                <w:szCs w:val="21"/>
                <w:highlight w:val="none"/>
                <w:lang w:val="en-US" w:eastAsia="zh-CN"/>
              </w:rPr>
              <w:t>个日历天，具体开工时间以采购人实际下达的通知为准</w:t>
            </w:r>
          </w:p>
        </w:tc>
        <w:tc>
          <w:tcPr>
            <w:tcW w:w="1283" w:type="pct"/>
            <w:noWrap w:val="0"/>
            <w:vAlign w:val="center"/>
          </w:tcPr>
          <w:p w14:paraId="2C5CCF3E">
            <w:pPr>
              <w:pStyle w:val="23"/>
              <w:spacing w:line="360" w:lineRule="auto"/>
              <w:rPr>
                <w:rFonts w:ascii="Times New Roman"/>
                <w:sz w:val="21"/>
                <w:szCs w:val="21"/>
                <w:highlight w:val="none"/>
              </w:rPr>
            </w:pPr>
          </w:p>
        </w:tc>
        <w:tc>
          <w:tcPr>
            <w:tcW w:w="716" w:type="pct"/>
            <w:noWrap w:val="0"/>
            <w:vAlign w:val="center"/>
          </w:tcPr>
          <w:p w14:paraId="42A25735">
            <w:pPr>
              <w:pStyle w:val="23"/>
              <w:spacing w:line="360" w:lineRule="auto"/>
              <w:rPr>
                <w:rFonts w:hint="eastAsia" w:ascii="Times New Roman" w:eastAsia="宋体"/>
                <w:sz w:val="21"/>
                <w:szCs w:val="21"/>
                <w:highlight w:val="none"/>
                <w:lang w:val="en-US" w:eastAsia="zh-CN"/>
              </w:rPr>
            </w:pPr>
          </w:p>
        </w:tc>
        <w:tc>
          <w:tcPr>
            <w:tcW w:w="572" w:type="pct"/>
            <w:noWrap w:val="0"/>
            <w:vAlign w:val="center"/>
          </w:tcPr>
          <w:p w14:paraId="37B54851">
            <w:pPr>
              <w:rPr>
                <w:szCs w:val="21"/>
                <w:highlight w:val="none"/>
              </w:rPr>
            </w:pPr>
          </w:p>
        </w:tc>
      </w:tr>
      <w:tr w14:paraId="6BC5C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4" w:hRule="atLeast"/>
          <w:jc w:val="center"/>
        </w:trPr>
        <w:tc>
          <w:tcPr>
            <w:tcW w:w="5000" w:type="pct"/>
            <w:gridSpan w:val="6"/>
            <w:noWrap w:val="0"/>
            <w:vAlign w:val="center"/>
          </w:tcPr>
          <w:p w14:paraId="6A711254">
            <w:pPr>
              <w:spacing w:line="360" w:lineRule="auto"/>
              <w:ind w:firstLine="2" w:firstLineChars="1"/>
              <w:rPr>
                <w:szCs w:val="21"/>
                <w:highlight w:val="none"/>
              </w:rPr>
            </w:pPr>
            <w:r>
              <w:rPr>
                <w:szCs w:val="21"/>
                <w:highlight w:val="none"/>
              </w:rPr>
              <w:t>供应商：</w:t>
            </w:r>
            <w:r>
              <w:rPr>
                <w:szCs w:val="21"/>
                <w:highlight w:val="none"/>
                <w:u w:val="single"/>
              </w:rPr>
              <w:t xml:space="preserve">                                 </w:t>
            </w:r>
            <w:r>
              <w:rPr>
                <w:szCs w:val="21"/>
                <w:highlight w:val="none"/>
              </w:rPr>
              <w:t>（盖章</w:t>
            </w:r>
            <w:r>
              <w:rPr>
                <w:rFonts w:hint="eastAsia"/>
                <w:szCs w:val="21"/>
                <w:highlight w:val="none"/>
              </w:rPr>
              <w:t>或电子签章</w:t>
            </w:r>
            <w:r>
              <w:rPr>
                <w:szCs w:val="21"/>
                <w:highlight w:val="none"/>
              </w:rPr>
              <w:t>）</w:t>
            </w:r>
          </w:p>
          <w:p w14:paraId="7FBB145F">
            <w:pPr>
              <w:pStyle w:val="23"/>
              <w:spacing w:before="156" w:line="360" w:lineRule="auto"/>
              <w:ind w:firstLine="178" w:firstLineChars="85"/>
              <w:rPr>
                <w:rFonts w:ascii="Times New Roman"/>
                <w:sz w:val="21"/>
                <w:szCs w:val="21"/>
                <w:highlight w:val="none"/>
                <w:u w:val="single"/>
              </w:rPr>
            </w:pPr>
            <w:r>
              <w:rPr>
                <w:rFonts w:ascii="Times New Roman"/>
                <w:sz w:val="21"/>
                <w:szCs w:val="21"/>
                <w:highlight w:val="none"/>
                <w:u w:val="single"/>
              </w:rPr>
              <w:t xml:space="preserve">            </w:t>
            </w:r>
            <w:r>
              <w:rPr>
                <w:rFonts w:ascii="Times New Roman"/>
                <w:sz w:val="21"/>
                <w:szCs w:val="21"/>
                <w:highlight w:val="none"/>
              </w:rPr>
              <w:t>年</w:t>
            </w:r>
            <w:r>
              <w:rPr>
                <w:rFonts w:ascii="Times New Roman"/>
                <w:sz w:val="21"/>
                <w:szCs w:val="21"/>
                <w:highlight w:val="none"/>
                <w:u w:val="single"/>
              </w:rPr>
              <w:t xml:space="preserve">       </w:t>
            </w:r>
            <w:r>
              <w:rPr>
                <w:rFonts w:ascii="Times New Roman"/>
                <w:sz w:val="21"/>
                <w:szCs w:val="21"/>
                <w:highlight w:val="none"/>
              </w:rPr>
              <w:t>月</w:t>
            </w:r>
            <w:r>
              <w:rPr>
                <w:rFonts w:ascii="Times New Roman"/>
                <w:sz w:val="21"/>
                <w:szCs w:val="21"/>
                <w:highlight w:val="none"/>
                <w:u w:val="single"/>
              </w:rPr>
              <w:t xml:space="preserve">       </w:t>
            </w:r>
            <w:r>
              <w:rPr>
                <w:rFonts w:ascii="Times New Roman"/>
                <w:sz w:val="21"/>
                <w:szCs w:val="21"/>
                <w:highlight w:val="none"/>
              </w:rPr>
              <w:t>日</w:t>
            </w:r>
          </w:p>
        </w:tc>
      </w:tr>
    </w:tbl>
    <w:p w14:paraId="3AC72EC1">
      <w:pPr>
        <w:numPr>
          <w:ilvl w:val="1"/>
          <w:numId w:val="0"/>
        </w:numPr>
        <w:tabs>
          <w:tab w:val="left" w:pos="1021"/>
        </w:tabs>
        <w:ind w:left="425"/>
        <w:jc w:val="left"/>
        <w:outlineLvl w:val="9"/>
        <w:rPr>
          <w:rFonts w:hint="eastAsia" w:ascii="宋体" w:hAnsi="宋体"/>
          <w:b/>
          <w:szCs w:val="21"/>
          <w:highlight w:val="none"/>
        </w:rPr>
      </w:pPr>
      <w:r>
        <w:rPr>
          <w:rFonts w:hint="eastAsia" w:ascii="宋体" w:hAnsi="宋体"/>
          <w:b/>
          <w:szCs w:val="21"/>
          <w:highlight w:val="none"/>
        </w:rPr>
        <w:t>此表中“</w:t>
      </w:r>
      <w:r>
        <w:rPr>
          <w:rFonts w:hint="eastAsia" w:ascii="宋体" w:hAnsi="宋体"/>
          <w:b/>
          <w:szCs w:val="21"/>
          <w:highlight w:val="none"/>
          <w:lang w:val="en-US" w:eastAsia="zh-CN"/>
        </w:rPr>
        <w:t>磋商</w:t>
      </w:r>
      <w:r>
        <w:rPr>
          <w:rFonts w:hint="eastAsia" w:ascii="宋体" w:hAnsi="宋体"/>
          <w:b/>
          <w:szCs w:val="21"/>
          <w:highlight w:val="none"/>
        </w:rPr>
        <w:t>总报价”应与“</w:t>
      </w:r>
      <w:r>
        <w:rPr>
          <w:rFonts w:hint="eastAsia" w:ascii="宋体" w:hAnsi="宋体"/>
          <w:b/>
          <w:szCs w:val="21"/>
          <w:highlight w:val="none"/>
          <w:lang w:val="en-US" w:eastAsia="zh-CN"/>
        </w:rPr>
        <w:t>磋商申请</w:t>
      </w:r>
      <w:r>
        <w:rPr>
          <w:rFonts w:hint="eastAsia" w:ascii="宋体" w:hAnsi="宋体"/>
          <w:b/>
          <w:szCs w:val="21"/>
          <w:highlight w:val="none"/>
        </w:rPr>
        <w:t>函”中“</w:t>
      </w:r>
      <w:r>
        <w:rPr>
          <w:rFonts w:hint="eastAsia" w:ascii="宋体" w:hAnsi="宋体"/>
          <w:b/>
          <w:szCs w:val="21"/>
          <w:highlight w:val="none"/>
          <w:lang w:val="en-US" w:eastAsia="zh-CN"/>
        </w:rPr>
        <w:t>磋商</w:t>
      </w:r>
      <w:r>
        <w:rPr>
          <w:rFonts w:hint="eastAsia" w:ascii="宋体" w:hAnsi="宋体"/>
          <w:b/>
          <w:szCs w:val="21"/>
          <w:highlight w:val="none"/>
        </w:rPr>
        <w:t>总报价”一致。</w:t>
      </w:r>
    </w:p>
    <w:p w14:paraId="79CBCF63">
      <w:pPr>
        <w:numPr>
          <w:ilvl w:val="1"/>
          <w:numId w:val="0"/>
        </w:numPr>
        <w:tabs>
          <w:tab w:val="left" w:pos="1021"/>
        </w:tabs>
        <w:ind w:left="425"/>
        <w:jc w:val="center"/>
        <w:outlineLvl w:val="9"/>
        <w:rPr>
          <w:rFonts w:hint="eastAsia" w:ascii="宋体" w:hAnsi="宋体"/>
          <w:b/>
          <w:szCs w:val="21"/>
          <w:highlight w:val="none"/>
        </w:rPr>
      </w:pPr>
    </w:p>
    <w:p w14:paraId="47BA1DD0">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2"/>
        <w:rPr>
          <w:rFonts w:hint="eastAsia" w:ascii="宋体" w:hAnsi="宋体" w:eastAsia="宋体"/>
          <w:szCs w:val="32"/>
          <w:highlight w:val="none"/>
        </w:rPr>
      </w:pPr>
      <w:r>
        <w:rPr>
          <w:b/>
          <w:sz w:val="28"/>
          <w:highlight w:val="none"/>
        </w:rPr>
        <w:br w:type="page"/>
      </w:r>
      <w:bookmarkStart w:id="300" w:name="_Toc459622352"/>
      <w:bookmarkStart w:id="301" w:name="_Toc74918592"/>
      <w:bookmarkStart w:id="302" w:name="_Toc18630"/>
      <w:bookmarkStart w:id="303" w:name="_Toc149055029"/>
      <w:bookmarkStart w:id="304" w:name="_Toc141187548"/>
      <w:r>
        <w:rPr>
          <w:rFonts w:hint="eastAsia" w:ascii="Times New Roman" w:hAnsi="Times New Roman" w:eastAsia="宋体" w:cs="Times New Roman"/>
          <w:b/>
          <w:sz w:val="30"/>
          <w:szCs w:val="30"/>
          <w:highlight w:val="none"/>
          <w:lang w:val="en-US" w:eastAsia="zh-CN"/>
        </w:rPr>
        <w:t>（二）报价总说明</w:t>
      </w:r>
      <w:bookmarkEnd w:id="300"/>
      <w:bookmarkEnd w:id="301"/>
    </w:p>
    <w:p w14:paraId="65131DE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kern w:val="0"/>
          <w:sz w:val="21"/>
          <w:szCs w:val="21"/>
          <w:highlight w:val="none"/>
        </w:rPr>
      </w:pPr>
      <w:r>
        <w:rPr>
          <w:rFonts w:hint="eastAsia" w:ascii="宋体" w:hAnsi="宋体"/>
          <w:kern w:val="0"/>
          <w:sz w:val="21"/>
          <w:szCs w:val="21"/>
          <w:highlight w:val="none"/>
        </w:rPr>
        <w:t>1、</w:t>
      </w:r>
      <w:r>
        <w:rPr>
          <w:rFonts w:hint="eastAsia"/>
          <w:sz w:val="21"/>
          <w:szCs w:val="21"/>
          <w:highlight w:val="none"/>
        </w:rPr>
        <w:t>本项目采用工程量清单计价。本次磋商提供工程量，供应商应根据磋商文件、答疑补遗文件（如有）、技术要求（用户需求）及工程量清单编制说明等有关文件等（缺项部分参考相关部委的专业定额）规范结合现场踏勘情况</w:t>
      </w:r>
      <w:r>
        <w:rPr>
          <w:rFonts w:hint="eastAsia"/>
          <w:sz w:val="21"/>
          <w:szCs w:val="21"/>
          <w:highlight w:val="none"/>
          <w:lang w:eastAsia="zh-CN"/>
        </w:rPr>
        <w:t>（</w:t>
      </w:r>
      <w:r>
        <w:rPr>
          <w:rFonts w:hint="eastAsia"/>
          <w:sz w:val="21"/>
          <w:szCs w:val="21"/>
          <w:highlight w:val="none"/>
          <w:lang w:val="en-US" w:eastAsia="zh-CN"/>
        </w:rPr>
        <w:t>如有</w:t>
      </w:r>
      <w:r>
        <w:rPr>
          <w:rFonts w:hint="eastAsia"/>
          <w:sz w:val="21"/>
          <w:szCs w:val="21"/>
          <w:highlight w:val="none"/>
          <w:lang w:eastAsia="zh-CN"/>
        </w:rPr>
        <w:t>）</w:t>
      </w:r>
      <w:r>
        <w:rPr>
          <w:rFonts w:hint="eastAsia"/>
          <w:sz w:val="21"/>
          <w:szCs w:val="21"/>
          <w:highlight w:val="none"/>
        </w:rPr>
        <w:t>综合报价</w:t>
      </w:r>
      <w:r>
        <w:rPr>
          <w:rFonts w:hint="eastAsia" w:ascii="宋体" w:hAnsi="宋体"/>
          <w:kern w:val="0"/>
          <w:sz w:val="21"/>
          <w:szCs w:val="21"/>
          <w:highlight w:val="none"/>
        </w:rPr>
        <w:t>。</w:t>
      </w:r>
    </w:p>
    <w:p w14:paraId="77FAC63C">
      <w:pPr>
        <w:keepNext w:val="0"/>
        <w:keepLines w:val="0"/>
        <w:pageBreakBefore w:val="0"/>
        <w:widowControl w:val="0"/>
        <w:kinsoku/>
        <w:wordWrap/>
        <w:overflowPunct/>
        <w:topLinePunct w:val="0"/>
        <w:autoSpaceDE/>
        <w:autoSpaceDN/>
        <w:bidi w:val="0"/>
        <w:adjustRightInd/>
        <w:snapToGrid/>
        <w:spacing w:line="360" w:lineRule="auto"/>
        <w:ind w:firstLine="424" w:firstLineChars="202"/>
        <w:textAlignment w:val="auto"/>
        <w:rPr>
          <w:rFonts w:hint="eastAsia" w:ascii="宋体" w:hAnsi="宋体" w:cs="宋体"/>
          <w:sz w:val="21"/>
          <w:szCs w:val="21"/>
          <w:highlight w:val="none"/>
        </w:rPr>
      </w:pPr>
      <w:r>
        <w:rPr>
          <w:rFonts w:hint="eastAsia" w:ascii="宋体" w:hAnsi="宋体" w:cs="宋体"/>
          <w:sz w:val="21"/>
          <w:szCs w:val="21"/>
          <w:highlight w:val="none"/>
        </w:rPr>
        <w:t>2、本工程量清单报价表中的每一单项均应填写单价和合价。</w:t>
      </w:r>
    </w:p>
    <w:p w14:paraId="1BA41D12">
      <w:pPr>
        <w:spacing w:line="360" w:lineRule="auto"/>
        <w:ind w:firstLine="424" w:firstLineChars="202"/>
        <w:rPr>
          <w:rFonts w:hint="eastAsia" w:ascii="宋体" w:hAnsi="宋体" w:cs="宋体"/>
          <w:sz w:val="21"/>
          <w:szCs w:val="21"/>
          <w:highlight w:val="none"/>
        </w:rPr>
      </w:pPr>
      <w:r>
        <w:rPr>
          <w:rFonts w:hint="eastAsia" w:ascii="宋体" w:hAnsi="宋体" w:cs="宋体"/>
          <w:sz w:val="21"/>
          <w:szCs w:val="21"/>
          <w:highlight w:val="none"/>
        </w:rPr>
        <w:t>3、本报价的币种为</w:t>
      </w:r>
      <w:r>
        <w:rPr>
          <w:rFonts w:hint="eastAsia" w:ascii="宋体" w:hAnsi="宋体" w:cs="宋体"/>
          <w:sz w:val="21"/>
          <w:szCs w:val="21"/>
          <w:highlight w:val="none"/>
          <w:u w:val="single"/>
        </w:rPr>
        <w:t xml:space="preserve">   人民币    </w:t>
      </w:r>
      <w:r>
        <w:rPr>
          <w:rFonts w:hint="eastAsia" w:ascii="宋体" w:hAnsi="宋体" w:cs="宋体"/>
          <w:sz w:val="21"/>
          <w:szCs w:val="21"/>
          <w:highlight w:val="none"/>
        </w:rPr>
        <w:t>。</w:t>
      </w:r>
    </w:p>
    <w:p w14:paraId="314F652A">
      <w:pPr>
        <w:spacing w:line="360" w:lineRule="auto"/>
        <w:ind w:firstLine="424" w:firstLineChars="202"/>
        <w:rPr>
          <w:rFonts w:hint="eastAsia" w:ascii="宋体" w:hAnsi="宋体"/>
          <w:kern w:val="0"/>
          <w:sz w:val="21"/>
          <w:szCs w:val="21"/>
          <w:highlight w:val="none"/>
        </w:rPr>
      </w:pPr>
      <w:r>
        <w:rPr>
          <w:rFonts w:hint="eastAsia" w:ascii="宋体" w:hAnsi="宋体" w:cs="宋体"/>
          <w:sz w:val="21"/>
          <w:szCs w:val="21"/>
          <w:highlight w:val="none"/>
        </w:rPr>
        <w:t>4、</w:t>
      </w:r>
      <w:r>
        <w:rPr>
          <w:rFonts w:hint="eastAsia" w:ascii="宋体" w:hAnsi="宋体" w:cs="宋体"/>
          <w:sz w:val="21"/>
          <w:szCs w:val="21"/>
          <w:highlight w:val="none"/>
          <w:lang w:eastAsia="zh-CN"/>
        </w:rPr>
        <w:t>供应商</w:t>
      </w:r>
      <w:r>
        <w:rPr>
          <w:rFonts w:hint="eastAsia" w:ascii="宋体" w:hAnsi="宋体" w:cs="宋体"/>
          <w:sz w:val="21"/>
          <w:szCs w:val="21"/>
          <w:highlight w:val="none"/>
        </w:rPr>
        <w:t>应将</w:t>
      </w:r>
      <w:r>
        <w:rPr>
          <w:rFonts w:hint="eastAsia" w:ascii="宋体" w:hAnsi="宋体" w:cs="宋体"/>
          <w:sz w:val="21"/>
          <w:szCs w:val="21"/>
          <w:highlight w:val="none"/>
          <w:lang w:eastAsia="zh-CN"/>
        </w:rPr>
        <w:t>磋商</w:t>
      </w:r>
      <w:r>
        <w:rPr>
          <w:rFonts w:hint="eastAsia" w:ascii="宋体" w:hAnsi="宋体" w:cs="宋体"/>
          <w:sz w:val="21"/>
          <w:szCs w:val="21"/>
          <w:highlight w:val="none"/>
        </w:rPr>
        <w:t>报价需要说明的事项，用文字书写与已标价的工程量清单一并报送。</w:t>
      </w:r>
    </w:p>
    <w:p w14:paraId="47988F35">
      <w:pPr>
        <w:spacing w:line="360" w:lineRule="auto"/>
        <w:ind w:firstLine="2" w:firstLineChars="1"/>
        <w:rPr>
          <w:rFonts w:hint="eastAsia" w:ascii="宋体" w:hAnsi="宋体"/>
          <w:sz w:val="21"/>
          <w:szCs w:val="21"/>
          <w:highlight w:val="none"/>
        </w:rPr>
      </w:pPr>
    </w:p>
    <w:p w14:paraId="4A1D6838">
      <w:pPr>
        <w:pStyle w:val="23"/>
        <w:spacing w:line="360" w:lineRule="auto"/>
        <w:rPr>
          <w:rFonts w:hint="eastAsia" w:hAnsi="宋体"/>
          <w:sz w:val="21"/>
          <w:szCs w:val="21"/>
          <w:highlight w:val="none"/>
        </w:rPr>
      </w:pPr>
    </w:p>
    <w:p w14:paraId="6E87CB27">
      <w:pPr>
        <w:pStyle w:val="23"/>
        <w:spacing w:line="360" w:lineRule="auto"/>
        <w:outlineLvl w:val="3"/>
        <w:rPr>
          <w:rFonts w:hint="default" w:hAnsi="宋体" w:eastAsia="宋体"/>
          <w:b/>
          <w:bCs/>
          <w:szCs w:val="21"/>
          <w:highlight w:val="none"/>
          <w:lang w:val="en-US" w:eastAsia="zh-CN"/>
        </w:rPr>
      </w:pPr>
      <w:r>
        <w:rPr>
          <w:rFonts w:hint="eastAsia" w:hAnsi="宋体"/>
          <w:b/>
          <w:bCs/>
          <w:szCs w:val="21"/>
          <w:highlight w:val="none"/>
        </w:rPr>
        <w:t>附：</w:t>
      </w:r>
      <w:r>
        <w:rPr>
          <w:rFonts w:hint="eastAsia" w:hAnsi="宋体"/>
          <w:b/>
          <w:bCs/>
          <w:szCs w:val="21"/>
          <w:highlight w:val="none"/>
          <w:lang w:val="en-US" w:eastAsia="zh-CN"/>
        </w:rPr>
        <w:t>已标价的工程量清单</w:t>
      </w:r>
    </w:p>
    <w:p w14:paraId="69D1E80E">
      <w:pPr>
        <w:pStyle w:val="23"/>
        <w:spacing w:line="360" w:lineRule="auto"/>
        <w:rPr>
          <w:rFonts w:hint="default" w:hAnsi="宋体" w:eastAsia="宋体"/>
          <w:szCs w:val="21"/>
          <w:highlight w:val="none"/>
          <w:lang w:val="en-US" w:eastAsia="zh-CN"/>
        </w:rPr>
      </w:pPr>
      <w:r>
        <w:rPr>
          <w:rFonts w:hint="eastAsia" w:hAnsi="宋体"/>
          <w:b/>
          <w:kern w:val="0"/>
          <w:highlight w:val="none"/>
          <w:u w:val="single"/>
          <w:lang w:val="en-US" w:eastAsia="zh-CN"/>
        </w:rPr>
        <w:t>1.</w:t>
      </w:r>
      <w:r>
        <w:rPr>
          <w:rFonts w:hint="eastAsia" w:hAnsi="宋体"/>
          <w:b/>
          <w:kern w:val="0"/>
          <w:highlight w:val="none"/>
          <w:u w:val="single"/>
        </w:rPr>
        <w:t>按照公布的“</w:t>
      </w:r>
      <w:r>
        <w:rPr>
          <w:rFonts w:hint="eastAsia" w:hAnsi="宋体"/>
          <w:b/>
          <w:kern w:val="0"/>
          <w:highlight w:val="none"/>
          <w:u w:val="single"/>
          <w:lang w:val="en-US" w:eastAsia="zh-CN"/>
        </w:rPr>
        <w:t>工程量清单</w:t>
      </w:r>
      <w:r>
        <w:rPr>
          <w:rFonts w:hint="eastAsia" w:hAnsi="宋体"/>
          <w:b/>
          <w:kern w:val="0"/>
          <w:highlight w:val="none"/>
          <w:u w:val="single"/>
        </w:rPr>
        <w:t>”的内容及格式提交</w:t>
      </w:r>
      <w:r>
        <w:rPr>
          <w:rFonts w:hint="eastAsia" w:hAnsi="宋体"/>
          <w:b/>
          <w:kern w:val="0"/>
          <w:highlight w:val="none"/>
          <w:u w:val="single"/>
          <w:lang w:eastAsia="zh-CN"/>
        </w:rPr>
        <w:t>。</w:t>
      </w:r>
      <w:r>
        <w:rPr>
          <w:rFonts w:hint="eastAsia" w:hAnsi="宋体"/>
          <w:b/>
          <w:kern w:val="0"/>
          <w:highlight w:val="none"/>
          <w:u w:val="single"/>
          <w:lang w:val="en-US" w:eastAsia="zh-CN"/>
        </w:rPr>
        <w:t xml:space="preserve"> 供应商</w:t>
      </w:r>
      <w:r>
        <w:rPr>
          <w:rFonts w:hint="eastAsia" w:hAnsi="宋体"/>
          <w:b/>
          <w:kern w:val="0"/>
          <w:highlight w:val="none"/>
          <w:u w:val="single"/>
          <w:lang w:eastAsia="zh-CN"/>
        </w:rPr>
        <w:t>已标价的工程量清单</w:t>
      </w:r>
      <w:r>
        <w:rPr>
          <w:rFonts w:hint="eastAsia" w:hAnsi="宋体"/>
          <w:b/>
          <w:kern w:val="0"/>
          <w:highlight w:val="none"/>
          <w:u w:val="single"/>
          <w:lang w:val="en-US" w:eastAsia="zh-CN"/>
        </w:rPr>
        <w:t>中工程名称、标段</w:t>
      </w:r>
      <w:r>
        <w:rPr>
          <w:rFonts w:hint="eastAsia" w:hAnsi="宋体"/>
          <w:b/>
          <w:kern w:val="0"/>
          <w:highlight w:val="none"/>
          <w:u w:val="single"/>
          <w:lang w:eastAsia="zh-CN"/>
        </w:rPr>
        <w:t>名称</w:t>
      </w:r>
      <w:r>
        <w:rPr>
          <w:rFonts w:hint="eastAsia" w:hAnsi="宋体"/>
          <w:b/>
          <w:kern w:val="0"/>
          <w:highlight w:val="none"/>
          <w:u w:val="single"/>
          <w:lang w:val="en-US" w:eastAsia="zh-CN"/>
        </w:rPr>
        <w:t>等以采购人</w:t>
      </w:r>
      <w:r>
        <w:rPr>
          <w:rFonts w:hint="eastAsia" w:hAnsi="宋体"/>
          <w:b/>
          <w:kern w:val="0"/>
          <w:highlight w:val="none"/>
          <w:u w:val="single"/>
        </w:rPr>
        <w:t>公布的“</w:t>
      </w:r>
      <w:r>
        <w:rPr>
          <w:rFonts w:hint="eastAsia" w:hAnsi="宋体"/>
          <w:b/>
          <w:kern w:val="0"/>
          <w:highlight w:val="none"/>
          <w:u w:val="single"/>
          <w:lang w:val="en-US" w:eastAsia="zh-CN"/>
        </w:rPr>
        <w:t>分项报价一览表</w:t>
      </w:r>
      <w:r>
        <w:rPr>
          <w:rFonts w:hint="eastAsia" w:hAnsi="宋体"/>
          <w:b/>
          <w:kern w:val="0"/>
          <w:highlight w:val="none"/>
          <w:u w:val="single"/>
        </w:rPr>
        <w:t>”</w:t>
      </w:r>
      <w:r>
        <w:rPr>
          <w:rFonts w:hint="eastAsia" w:hAnsi="宋体"/>
          <w:b/>
          <w:kern w:val="0"/>
          <w:highlight w:val="none"/>
          <w:u w:val="single"/>
          <w:lang w:val="en-US" w:eastAsia="zh-CN"/>
        </w:rPr>
        <w:t>中的工程名称、标段</w:t>
      </w:r>
      <w:r>
        <w:rPr>
          <w:rFonts w:hint="eastAsia" w:hAnsi="宋体"/>
          <w:b/>
          <w:kern w:val="0"/>
          <w:highlight w:val="none"/>
          <w:u w:val="single"/>
          <w:lang w:eastAsia="zh-CN"/>
        </w:rPr>
        <w:t>名称</w:t>
      </w:r>
      <w:r>
        <w:rPr>
          <w:rFonts w:hint="eastAsia" w:hAnsi="宋体"/>
          <w:b/>
          <w:kern w:val="0"/>
          <w:highlight w:val="none"/>
          <w:u w:val="single"/>
          <w:lang w:val="en-US" w:eastAsia="zh-CN"/>
        </w:rPr>
        <w:t>为准。</w:t>
      </w:r>
    </w:p>
    <w:p w14:paraId="6E69DD0B">
      <w:pPr>
        <w:pStyle w:val="23"/>
        <w:spacing w:line="360" w:lineRule="auto"/>
        <w:rPr>
          <w:rFonts w:hint="eastAsia" w:hAnsi="宋体"/>
          <w:b/>
          <w:kern w:val="0"/>
          <w:highlight w:val="none"/>
          <w:u w:val="single"/>
          <w:lang w:eastAsia="zh-CN"/>
        </w:rPr>
      </w:pPr>
      <w:r>
        <w:rPr>
          <w:rFonts w:hint="eastAsia" w:hAnsi="宋体"/>
          <w:b/>
          <w:kern w:val="0"/>
          <w:highlight w:val="none"/>
          <w:u w:val="single"/>
          <w:lang w:val="en-US" w:eastAsia="zh-CN"/>
        </w:rPr>
        <w:t>★2.</w:t>
      </w:r>
      <w:r>
        <w:rPr>
          <w:rFonts w:hint="eastAsia" w:hAnsi="宋体"/>
          <w:b/>
          <w:kern w:val="0"/>
          <w:highlight w:val="none"/>
          <w:u w:val="single"/>
        </w:rPr>
        <w:t>按照公布《</w:t>
      </w:r>
      <w:r>
        <w:rPr>
          <w:rFonts w:hint="eastAsia" w:hAnsi="宋体"/>
          <w:b/>
          <w:kern w:val="0"/>
          <w:highlight w:val="none"/>
          <w:u w:val="single"/>
          <w:lang w:eastAsia="zh-CN"/>
        </w:rPr>
        <w:t>最高投标限价公布表</w:t>
      </w:r>
      <w:r>
        <w:rPr>
          <w:rFonts w:hint="eastAsia" w:hAnsi="宋体"/>
          <w:b/>
          <w:kern w:val="0"/>
          <w:highlight w:val="none"/>
          <w:u w:val="single"/>
        </w:rPr>
        <w:t>》配置报价一览表</w:t>
      </w:r>
      <w:r>
        <w:rPr>
          <w:rFonts w:hint="eastAsia" w:hAnsi="宋体"/>
          <w:b/>
          <w:kern w:val="0"/>
          <w:highlight w:val="none"/>
          <w:u w:val="single"/>
          <w:lang w:eastAsia="zh-CN"/>
        </w:rPr>
        <w:t>。</w:t>
      </w:r>
    </w:p>
    <w:p w14:paraId="2944DF58">
      <w:pPr>
        <w:pStyle w:val="23"/>
        <w:spacing w:line="360" w:lineRule="auto"/>
        <w:rPr>
          <w:rFonts w:hint="eastAsia" w:hAnsi="宋体"/>
          <w:b/>
          <w:kern w:val="0"/>
          <w:highlight w:val="none"/>
          <w:u w:val="single"/>
          <w:lang w:eastAsia="zh-CN"/>
        </w:rPr>
      </w:pPr>
      <w:r>
        <w:rPr>
          <w:rFonts w:hint="eastAsia" w:hAnsi="宋体"/>
          <w:b/>
          <w:kern w:val="0"/>
          <w:highlight w:val="none"/>
          <w:u w:val="single"/>
          <w:lang w:eastAsia="zh-CN"/>
        </w:rPr>
        <w:t>★3、</w:t>
      </w:r>
      <w:r>
        <w:rPr>
          <w:rFonts w:hint="eastAsia" w:hAnsi="宋体"/>
          <w:b/>
          <w:kern w:val="0"/>
          <w:highlight w:val="none"/>
          <w:u w:val="single"/>
          <w:lang w:val="en-US" w:eastAsia="zh-CN"/>
        </w:rPr>
        <w:t>已标价的工程量清单</w:t>
      </w:r>
      <w:r>
        <w:rPr>
          <w:rFonts w:hint="eastAsia" w:hAnsi="宋体"/>
          <w:b/>
          <w:kern w:val="0"/>
          <w:highlight w:val="none"/>
          <w:u w:val="single"/>
          <w:lang w:eastAsia="zh-CN"/>
        </w:rPr>
        <w:t>须由造价工程师编制并在应签字盖章处签章并盖注册章。可委托具有相应资质的工程造价咨询单位对其报价进行编制，</w:t>
      </w:r>
      <w:r>
        <w:rPr>
          <w:rFonts w:hint="eastAsia" w:hAnsi="宋体"/>
          <w:b/>
          <w:kern w:val="0"/>
          <w:highlight w:val="none"/>
          <w:u w:val="single"/>
          <w:lang w:val="en-US" w:eastAsia="zh-CN"/>
        </w:rPr>
        <w:t>并提供委托协议</w:t>
      </w:r>
      <w:r>
        <w:rPr>
          <w:rFonts w:hint="eastAsia" w:hAnsi="宋体"/>
          <w:b/>
          <w:kern w:val="0"/>
          <w:highlight w:val="none"/>
          <w:u w:val="single"/>
          <w:lang w:eastAsia="zh-CN"/>
        </w:rPr>
        <w:t>。注：造价工程师指：中华人民共和国一级注册造价工程师。</w:t>
      </w:r>
    </w:p>
    <w:p w14:paraId="6CC1423E">
      <w:pPr>
        <w:pStyle w:val="23"/>
        <w:spacing w:line="360" w:lineRule="auto"/>
        <w:rPr>
          <w:rFonts w:hint="eastAsia" w:hAnsi="宋体"/>
          <w:b/>
          <w:kern w:val="0"/>
          <w:highlight w:val="none"/>
          <w:u w:val="single"/>
          <w:lang w:eastAsia="zh-CN"/>
        </w:rPr>
      </w:pPr>
      <w:r>
        <w:rPr>
          <w:rFonts w:hint="eastAsia" w:hAnsi="宋体"/>
          <w:b/>
          <w:kern w:val="0"/>
          <w:highlight w:val="none"/>
          <w:u w:val="single"/>
          <w:lang w:eastAsia="zh-CN"/>
        </w:rPr>
        <w:t>★同一家造价咨询公司或同一注册造价工程师同时接受</w:t>
      </w:r>
      <w:r>
        <w:rPr>
          <w:rFonts w:hint="eastAsia" w:hAnsi="宋体"/>
          <w:b/>
          <w:kern w:val="0"/>
          <w:highlight w:val="none"/>
          <w:u w:val="single"/>
          <w:lang w:val="en-US" w:eastAsia="zh-CN"/>
        </w:rPr>
        <w:t>采购</w:t>
      </w:r>
      <w:r>
        <w:rPr>
          <w:rFonts w:hint="eastAsia" w:hAnsi="宋体"/>
          <w:b/>
          <w:kern w:val="0"/>
          <w:highlight w:val="none"/>
          <w:u w:val="single"/>
          <w:lang w:eastAsia="zh-CN"/>
        </w:rPr>
        <w:t>人和</w:t>
      </w:r>
      <w:r>
        <w:rPr>
          <w:rFonts w:hint="eastAsia" w:hAnsi="宋体"/>
          <w:b/>
          <w:kern w:val="0"/>
          <w:highlight w:val="none"/>
          <w:u w:val="single"/>
          <w:lang w:val="en-US" w:eastAsia="zh-CN"/>
        </w:rPr>
        <w:t>供应商</w:t>
      </w:r>
      <w:r>
        <w:rPr>
          <w:rFonts w:hint="eastAsia" w:hAnsi="宋体"/>
          <w:b/>
          <w:kern w:val="0"/>
          <w:highlight w:val="none"/>
          <w:u w:val="single"/>
          <w:lang w:eastAsia="zh-CN"/>
        </w:rPr>
        <w:t>或两个及两个以上</w:t>
      </w:r>
      <w:r>
        <w:rPr>
          <w:rFonts w:hint="eastAsia" w:hAnsi="宋体"/>
          <w:b/>
          <w:kern w:val="0"/>
          <w:highlight w:val="none"/>
          <w:u w:val="single"/>
          <w:lang w:val="en-US" w:eastAsia="zh-CN"/>
        </w:rPr>
        <w:t>供应商</w:t>
      </w:r>
      <w:r>
        <w:rPr>
          <w:rFonts w:hint="eastAsia" w:hAnsi="宋体"/>
          <w:b/>
          <w:kern w:val="0"/>
          <w:highlight w:val="none"/>
          <w:u w:val="single"/>
          <w:lang w:eastAsia="zh-CN"/>
        </w:rPr>
        <w:t>对同一项目的工程造价咨询业务的，</w:t>
      </w:r>
      <w:r>
        <w:rPr>
          <w:rFonts w:hint="eastAsia" w:hAnsi="宋体"/>
          <w:b/>
          <w:bCs/>
          <w:color w:val="auto"/>
          <w:szCs w:val="21"/>
          <w:highlight w:val="none"/>
          <w:u w:val="single"/>
        </w:rPr>
        <w:t>按未实质性响应</w:t>
      </w:r>
      <w:r>
        <w:rPr>
          <w:rFonts w:hint="eastAsia" w:hAnsi="宋体"/>
          <w:b/>
          <w:bCs/>
          <w:color w:val="auto"/>
          <w:szCs w:val="21"/>
          <w:highlight w:val="none"/>
          <w:u w:val="single"/>
          <w:lang w:val="en-US" w:eastAsia="zh-CN"/>
        </w:rPr>
        <w:t>采购</w:t>
      </w:r>
      <w:r>
        <w:rPr>
          <w:rFonts w:hint="eastAsia" w:hAnsi="宋体"/>
          <w:b/>
          <w:bCs/>
          <w:color w:val="auto"/>
          <w:szCs w:val="21"/>
          <w:highlight w:val="none"/>
          <w:u w:val="single"/>
        </w:rPr>
        <w:t>文件要求处理</w:t>
      </w:r>
      <w:r>
        <w:rPr>
          <w:rFonts w:hint="eastAsia" w:hAnsi="宋体"/>
          <w:b/>
          <w:kern w:val="0"/>
          <w:highlight w:val="none"/>
          <w:u w:val="single"/>
          <w:lang w:eastAsia="zh-CN"/>
        </w:rPr>
        <w:t>。</w:t>
      </w:r>
    </w:p>
    <w:p w14:paraId="2476F37D">
      <w:pPr>
        <w:bidi w:val="0"/>
        <w:rPr>
          <w:rFonts w:hint="eastAsia"/>
        </w:rPr>
      </w:pPr>
    </w:p>
    <w:p w14:paraId="558AD1D7">
      <w:pPr>
        <w:keepNext w:val="0"/>
        <w:keepLines w:val="0"/>
        <w:pageBreakBefore w:val="0"/>
        <w:widowControl w:val="0"/>
        <w:kinsoku/>
        <w:wordWrap/>
        <w:overflowPunct/>
        <w:topLinePunct w:val="0"/>
        <w:autoSpaceDE/>
        <w:autoSpaceDN/>
        <w:bidi w:val="0"/>
        <w:adjustRightInd/>
        <w:snapToGrid/>
        <w:ind w:firstLine="0"/>
        <w:jc w:val="center"/>
        <w:textAlignment w:val="auto"/>
        <w:outlineLvl w:val="2"/>
        <w:rPr>
          <w:rFonts w:hint="eastAsia" w:cs="Times New Roman"/>
          <w:b/>
          <w:bCs w:val="0"/>
          <w:kern w:val="2"/>
          <w:sz w:val="30"/>
          <w:szCs w:val="30"/>
          <w:highlight w:val="none"/>
          <w:lang w:val="en-US" w:eastAsia="zh-CN" w:bidi="ar-SA"/>
        </w:rPr>
        <w:sectPr>
          <w:pgSz w:w="11906" w:h="16838"/>
          <w:pgMar w:top="1191" w:right="1191" w:bottom="1304" w:left="1304" w:header="851" w:footer="851" w:gutter="0"/>
          <w:pgNumType w:fmt="decimal"/>
          <w:cols w:space="720" w:num="1"/>
          <w:docGrid w:linePitch="312" w:charSpace="0"/>
        </w:sectPr>
      </w:pPr>
    </w:p>
    <w:p w14:paraId="5CE8F790">
      <w:pPr>
        <w:keepNext w:val="0"/>
        <w:keepLines w:val="0"/>
        <w:pageBreakBefore w:val="0"/>
        <w:widowControl w:val="0"/>
        <w:kinsoku/>
        <w:wordWrap/>
        <w:overflowPunct/>
        <w:topLinePunct w:val="0"/>
        <w:autoSpaceDE/>
        <w:autoSpaceDN/>
        <w:bidi w:val="0"/>
        <w:adjustRightInd/>
        <w:snapToGrid/>
        <w:ind w:firstLine="0"/>
        <w:jc w:val="center"/>
        <w:textAlignment w:val="auto"/>
        <w:outlineLvl w:val="2"/>
        <w:rPr>
          <w:rFonts w:ascii="Times New Roman" w:hAnsi="Times New Roman" w:eastAsia="宋体" w:cs="Times New Roman"/>
          <w:b/>
          <w:sz w:val="30"/>
          <w:szCs w:val="30"/>
          <w:highlight w:val="none"/>
        </w:rPr>
      </w:pPr>
      <w:r>
        <w:rPr>
          <w:rFonts w:hint="eastAsia" w:cs="Times New Roman"/>
          <w:b/>
          <w:bCs w:val="0"/>
          <w:kern w:val="2"/>
          <w:sz w:val="30"/>
          <w:szCs w:val="30"/>
          <w:highlight w:val="none"/>
          <w:lang w:val="en-US" w:eastAsia="zh-CN" w:bidi="ar-SA"/>
        </w:rPr>
        <w:t>（三）</w:t>
      </w:r>
      <w:r>
        <w:rPr>
          <w:rFonts w:hint="eastAsia" w:ascii="Times New Roman" w:hAnsi="Times New Roman" w:eastAsia="宋体" w:cs="Times New Roman"/>
          <w:b/>
          <w:bCs w:val="0"/>
          <w:kern w:val="2"/>
          <w:sz w:val="30"/>
          <w:szCs w:val="30"/>
          <w:highlight w:val="none"/>
          <w:lang w:val="en-US" w:eastAsia="zh-CN" w:bidi="ar-SA"/>
        </w:rPr>
        <w:t>★</w:t>
      </w:r>
      <w:r>
        <w:rPr>
          <w:rFonts w:hint="eastAsia" w:ascii="Times New Roman" w:hAnsi="Times New Roman" w:eastAsia="宋体" w:cs="Times New Roman"/>
          <w:b/>
          <w:sz w:val="30"/>
          <w:szCs w:val="30"/>
          <w:highlight w:val="none"/>
          <w:lang w:eastAsia="zh-CN"/>
        </w:rPr>
        <w:t>磋商</w:t>
      </w:r>
      <w:r>
        <w:rPr>
          <w:rFonts w:ascii="Times New Roman" w:hAnsi="Times New Roman" w:eastAsia="宋体" w:cs="Times New Roman"/>
          <w:b/>
          <w:sz w:val="30"/>
          <w:szCs w:val="30"/>
          <w:highlight w:val="none"/>
        </w:rPr>
        <w:t>申请函</w:t>
      </w:r>
    </w:p>
    <w:p w14:paraId="2F26B6AF">
      <w:pPr>
        <w:spacing w:line="360" w:lineRule="auto"/>
        <w:jc w:val="left"/>
        <w:rPr>
          <w:szCs w:val="21"/>
          <w:highlight w:val="none"/>
        </w:rPr>
      </w:pPr>
      <w:r>
        <w:rPr>
          <w:szCs w:val="21"/>
          <w:highlight w:val="none"/>
        </w:rPr>
        <w:t>致：</w:t>
      </w:r>
      <w:r>
        <w:rPr>
          <w:szCs w:val="21"/>
          <w:highlight w:val="none"/>
          <w:u w:val="single"/>
        </w:rPr>
        <w:t xml:space="preserve">               （采购人名称）</w:t>
      </w:r>
    </w:p>
    <w:p w14:paraId="4F39138D">
      <w:pPr>
        <w:spacing w:line="360" w:lineRule="auto"/>
        <w:ind w:firstLine="420" w:firstLineChars="200"/>
        <w:jc w:val="left"/>
        <w:rPr>
          <w:szCs w:val="21"/>
          <w:highlight w:val="none"/>
        </w:rPr>
      </w:pPr>
      <w:r>
        <w:rPr>
          <w:szCs w:val="21"/>
          <w:highlight w:val="none"/>
        </w:rPr>
        <w:t>我方仔细研究了</w:t>
      </w:r>
      <w:r>
        <w:rPr>
          <w:rFonts w:hint="eastAsia" w:ascii="Times New Roman" w:hAnsi="Times New Roman" w:eastAsia="宋体" w:cs="Times New Roman"/>
          <w:b/>
          <w:bCs/>
          <w:i w:val="0"/>
          <w:iCs w:val="0"/>
          <w:spacing w:val="6"/>
          <w:szCs w:val="21"/>
          <w:highlight w:val="none"/>
          <w:u w:val="single"/>
          <w:lang w:eastAsia="zh-CN"/>
        </w:rPr>
        <w:t>云南省保山第一中学附属设施（连廊）建设项目（一期）</w:t>
      </w:r>
      <w:r>
        <w:rPr>
          <w:szCs w:val="21"/>
          <w:highlight w:val="none"/>
        </w:rPr>
        <w:t>竞争性</w:t>
      </w:r>
      <w:r>
        <w:rPr>
          <w:rFonts w:hint="eastAsia"/>
          <w:szCs w:val="21"/>
          <w:highlight w:val="none"/>
          <w:lang w:eastAsia="zh-CN"/>
        </w:rPr>
        <w:t>磋商</w:t>
      </w:r>
      <w:r>
        <w:rPr>
          <w:szCs w:val="21"/>
          <w:highlight w:val="none"/>
        </w:rPr>
        <w:t>文件的全部内容，我方正式授权</w:t>
      </w:r>
      <w:r>
        <w:rPr>
          <w:szCs w:val="21"/>
          <w:highlight w:val="none"/>
          <w:u w:val="single"/>
        </w:rPr>
        <w:t xml:space="preserve">   （姓名和职务）     </w:t>
      </w:r>
      <w:r>
        <w:rPr>
          <w:szCs w:val="21"/>
          <w:highlight w:val="none"/>
        </w:rPr>
        <w:t>全权代表</w:t>
      </w:r>
      <w:r>
        <w:rPr>
          <w:szCs w:val="21"/>
          <w:highlight w:val="none"/>
          <w:u w:val="single"/>
        </w:rPr>
        <w:t xml:space="preserve">  （供应商全称）   </w:t>
      </w:r>
      <w:r>
        <w:rPr>
          <w:szCs w:val="21"/>
          <w:highlight w:val="none"/>
        </w:rPr>
        <w:t>参加</w:t>
      </w:r>
      <w:r>
        <w:rPr>
          <w:rFonts w:hint="eastAsia"/>
          <w:szCs w:val="21"/>
          <w:highlight w:val="none"/>
          <w:lang w:eastAsia="zh-CN"/>
        </w:rPr>
        <w:t>磋商</w:t>
      </w:r>
      <w:r>
        <w:rPr>
          <w:szCs w:val="21"/>
          <w:highlight w:val="none"/>
        </w:rPr>
        <w:t>，并按要求提交响应文件。</w:t>
      </w:r>
    </w:p>
    <w:p w14:paraId="3B11CDBA">
      <w:pPr>
        <w:spacing w:line="360" w:lineRule="auto"/>
        <w:ind w:firstLine="420" w:firstLineChars="200"/>
        <w:jc w:val="left"/>
        <w:rPr>
          <w:szCs w:val="21"/>
          <w:highlight w:val="none"/>
        </w:rPr>
      </w:pPr>
      <w:r>
        <w:rPr>
          <w:szCs w:val="21"/>
          <w:highlight w:val="none"/>
        </w:rPr>
        <w:t>据此申请书，兹宣布同意如下：</w:t>
      </w:r>
    </w:p>
    <w:p w14:paraId="0E01E897">
      <w:pPr>
        <w:spacing w:line="360" w:lineRule="auto"/>
        <w:ind w:firstLine="420" w:firstLineChars="200"/>
        <w:jc w:val="left"/>
        <w:rPr>
          <w:rFonts w:hint="default" w:eastAsia="宋体"/>
          <w:szCs w:val="21"/>
          <w:highlight w:val="none"/>
          <w:lang w:val="en-US" w:eastAsia="zh-CN"/>
        </w:rPr>
      </w:pPr>
      <w:r>
        <w:rPr>
          <w:szCs w:val="21"/>
          <w:highlight w:val="none"/>
        </w:rPr>
        <w:t xml:space="preserve">1. </w:t>
      </w:r>
      <w:r>
        <w:rPr>
          <w:rFonts w:hint="eastAsia" w:ascii="宋体" w:hAnsi="宋体" w:eastAsia="宋体" w:cs="宋体"/>
          <w:szCs w:val="21"/>
          <w:highlight w:val="none"/>
        </w:rPr>
        <w:t>按</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文件需求及项目需求，</w:t>
      </w:r>
      <w:r>
        <w:rPr>
          <w:rFonts w:hint="eastAsia" w:ascii="宋体" w:hAnsi="宋体" w:eastAsia="宋体" w:cs="宋体"/>
          <w:szCs w:val="21"/>
          <w:highlight w:val="none"/>
          <w:lang w:eastAsia="zh-CN"/>
        </w:rPr>
        <w:t>磋商</w:t>
      </w:r>
      <w:r>
        <w:rPr>
          <w:rFonts w:hint="eastAsia" w:ascii="宋体" w:hAnsi="宋体" w:eastAsia="宋体" w:cs="宋体"/>
          <w:szCs w:val="21"/>
          <w:highlight w:val="none"/>
        </w:rPr>
        <w:t>总报价为</w:t>
      </w:r>
      <w:r>
        <w:rPr>
          <w:rFonts w:hint="eastAsia" w:ascii="宋体" w:hAnsi="宋体" w:eastAsia="宋体" w:cs="宋体"/>
          <w:szCs w:val="21"/>
          <w:highlight w:val="none"/>
          <w:u w:val="single"/>
        </w:rPr>
        <w:t xml:space="preserve">       </w:t>
      </w:r>
      <w:r>
        <w:rPr>
          <w:rFonts w:hint="eastAsia" w:ascii="宋体" w:hAnsi="宋体" w:cs="宋体"/>
          <w:szCs w:val="21"/>
          <w:highlight w:val="none"/>
          <w:lang w:val="en-US" w:eastAsia="zh-CN"/>
        </w:rPr>
        <w:t>元</w:t>
      </w:r>
      <w:r>
        <w:rPr>
          <w:rFonts w:hint="eastAsia" w:ascii="宋体" w:hAnsi="宋体" w:eastAsia="宋体" w:cs="宋体"/>
          <w:szCs w:val="21"/>
          <w:highlight w:val="none"/>
        </w:rPr>
        <w:t>。</w:t>
      </w:r>
      <w:r>
        <w:rPr>
          <w:rFonts w:hint="eastAsia" w:ascii="宋体" w:hAnsi="宋体" w:eastAsia="宋体" w:cs="宋体"/>
          <w:szCs w:val="21"/>
          <w:highlight w:val="none"/>
          <w:u w:val="none"/>
          <w:lang w:val="en-US" w:eastAsia="zh-CN"/>
        </w:rPr>
        <w:t>工期</w:t>
      </w:r>
      <w:r>
        <w:rPr>
          <w:rFonts w:hint="eastAsia" w:ascii="宋体" w:hAnsi="宋体" w:cs="宋体"/>
          <w:szCs w:val="21"/>
          <w:highlight w:val="none"/>
          <w:u w:val="none"/>
          <w:lang w:eastAsia="zh-CN"/>
        </w:rPr>
        <w:t>：</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质量承诺：</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w:t>
      </w:r>
    </w:p>
    <w:p w14:paraId="4725D974">
      <w:pPr>
        <w:spacing w:line="360" w:lineRule="auto"/>
        <w:ind w:firstLine="420" w:firstLineChars="200"/>
        <w:jc w:val="left"/>
        <w:rPr>
          <w:szCs w:val="21"/>
          <w:highlight w:val="none"/>
        </w:rPr>
      </w:pPr>
      <w:r>
        <w:rPr>
          <w:szCs w:val="21"/>
          <w:highlight w:val="none"/>
        </w:rPr>
        <w:t>2. 我方同意在《供应商须知》规定的提交响应文件截止日期起遵循本响应文件，并在《供应商须知》第1</w:t>
      </w:r>
      <w:r>
        <w:rPr>
          <w:rFonts w:hint="eastAsia"/>
          <w:szCs w:val="21"/>
          <w:highlight w:val="none"/>
          <w:lang w:val="en-US" w:eastAsia="zh-CN"/>
        </w:rPr>
        <w:t>3</w:t>
      </w:r>
      <w:r>
        <w:rPr>
          <w:szCs w:val="21"/>
          <w:highlight w:val="none"/>
        </w:rPr>
        <w:t>条规定的有效期满之前均具有约束力。如果我方报价被接受，则至合同履行完毕为止，本承诺书保持有效。</w:t>
      </w:r>
    </w:p>
    <w:p w14:paraId="1B5C8846">
      <w:pPr>
        <w:spacing w:line="360" w:lineRule="auto"/>
        <w:ind w:firstLine="420" w:firstLineChars="200"/>
        <w:jc w:val="left"/>
        <w:rPr>
          <w:szCs w:val="21"/>
          <w:highlight w:val="none"/>
        </w:rPr>
      </w:pPr>
      <w:r>
        <w:rPr>
          <w:szCs w:val="21"/>
          <w:highlight w:val="none"/>
        </w:rPr>
        <w:t>3. 我方同意供应商须知中关于没收保证金的规定。</w:t>
      </w:r>
    </w:p>
    <w:p w14:paraId="493A2D9C">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 xml:space="preserve">. </w:t>
      </w:r>
      <w:r>
        <w:rPr>
          <w:rFonts w:hint="eastAsia" w:ascii="宋体" w:hAnsi="宋体"/>
          <w:szCs w:val="21"/>
          <w:highlight w:val="none"/>
        </w:rPr>
        <w:t>我方</w:t>
      </w:r>
      <w:r>
        <w:rPr>
          <w:rFonts w:ascii="宋体" w:hAnsi="宋体"/>
          <w:szCs w:val="21"/>
          <w:highlight w:val="none"/>
        </w:rPr>
        <w:t>将按</w:t>
      </w:r>
      <w:r>
        <w:rPr>
          <w:rFonts w:hint="eastAsia" w:ascii="宋体" w:hAnsi="宋体"/>
          <w:szCs w:val="21"/>
          <w:highlight w:val="none"/>
        </w:rPr>
        <w:t>竞争性磋商文件</w:t>
      </w:r>
      <w:r>
        <w:rPr>
          <w:rFonts w:ascii="宋体" w:hAnsi="宋体"/>
          <w:szCs w:val="21"/>
          <w:highlight w:val="none"/>
        </w:rPr>
        <w:t>的规定履行合同责任和义务。</w:t>
      </w:r>
    </w:p>
    <w:p w14:paraId="7ECF8776">
      <w:pPr>
        <w:spacing w:line="360" w:lineRule="auto"/>
        <w:ind w:firstLine="420" w:firstLineChars="200"/>
        <w:jc w:val="left"/>
        <w:rPr>
          <w:rFonts w:ascii="宋体" w:hAnsi="宋体"/>
          <w:szCs w:val="21"/>
          <w:highlight w:val="none"/>
        </w:rPr>
      </w:pPr>
      <w:r>
        <w:rPr>
          <w:rFonts w:hint="eastAsia" w:ascii="宋体" w:hAnsi="宋体"/>
          <w:szCs w:val="21"/>
          <w:highlight w:val="none"/>
        </w:rPr>
        <w:t>5</w:t>
      </w:r>
      <w:r>
        <w:rPr>
          <w:rFonts w:ascii="宋体" w:hAnsi="宋体"/>
          <w:szCs w:val="21"/>
          <w:highlight w:val="none"/>
        </w:rPr>
        <w:t>. 同意应贵方要求提供与本次</w:t>
      </w:r>
      <w:r>
        <w:rPr>
          <w:rFonts w:hint="eastAsia" w:ascii="宋体" w:hAnsi="宋体"/>
          <w:szCs w:val="21"/>
          <w:highlight w:val="none"/>
        </w:rPr>
        <w:t>磋商</w:t>
      </w:r>
      <w:r>
        <w:rPr>
          <w:rFonts w:ascii="宋体" w:hAnsi="宋体"/>
          <w:szCs w:val="21"/>
          <w:highlight w:val="none"/>
        </w:rPr>
        <w:t>有关的任何数据和资料，并保证数据和资料的完整性和真实性。</w:t>
      </w:r>
    </w:p>
    <w:p w14:paraId="79239A6B">
      <w:pPr>
        <w:spacing w:line="360" w:lineRule="auto"/>
        <w:ind w:firstLine="420" w:firstLineChars="200"/>
        <w:jc w:val="left"/>
        <w:rPr>
          <w:rFonts w:ascii="宋体" w:hAnsi="宋体"/>
          <w:szCs w:val="21"/>
          <w:highlight w:val="none"/>
        </w:rPr>
      </w:pPr>
      <w:r>
        <w:rPr>
          <w:rFonts w:hint="eastAsia" w:ascii="宋体" w:hAnsi="宋体"/>
          <w:szCs w:val="21"/>
          <w:highlight w:val="none"/>
        </w:rPr>
        <w:t>6</w:t>
      </w:r>
      <w:r>
        <w:rPr>
          <w:rFonts w:ascii="宋体" w:hAnsi="宋体"/>
          <w:szCs w:val="21"/>
          <w:highlight w:val="none"/>
        </w:rPr>
        <w:t>. 我方完全理解贵方不一定要接受最低报价的供应商为成交供应商的行为。</w:t>
      </w:r>
    </w:p>
    <w:p w14:paraId="4A21E5F1">
      <w:pPr>
        <w:spacing w:line="360" w:lineRule="auto"/>
        <w:ind w:firstLine="420" w:firstLineChars="200"/>
        <w:jc w:val="left"/>
        <w:rPr>
          <w:highlight w:val="none"/>
        </w:rPr>
      </w:pPr>
      <w:r>
        <w:rPr>
          <w:rFonts w:hint="eastAsia"/>
          <w:szCs w:val="21"/>
          <w:highlight w:val="none"/>
          <w:lang w:val="en-US" w:eastAsia="zh-CN"/>
        </w:rPr>
        <w:t>7.</w:t>
      </w:r>
      <w:r>
        <w:rPr>
          <w:szCs w:val="21"/>
          <w:highlight w:val="none"/>
        </w:rPr>
        <w:t>（其他补充说明）。</w:t>
      </w:r>
    </w:p>
    <w:p w14:paraId="1E24823E">
      <w:pPr>
        <w:tabs>
          <w:tab w:val="center" w:pos="4762"/>
        </w:tabs>
        <w:spacing w:line="360" w:lineRule="auto"/>
        <w:ind w:firstLine="420" w:firstLineChars="200"/>
        <w:jc w:val="left"/>
        <w:rPr>
          <w:rFonts w:hint="eastAsia" w:eastAsia="宋体"/>
          <w:szCs w:val="21"/>
          <w:highlight w:val="none"/>
          <w:lang w:eastAsia="zh-CN"/>
        </w:rPr>
      </w:pPr>
      <w:r>
        <w:rPr>
          <w:szCs w:val="21"/>
          <w:highlight w:val="none"/>
        </w:rPr>
        <w:t>与本次</w:t>
      </w:r>
      <w:r>
        <w:rPr>
          <w:rFonts w:hint="eastAsia"/>
          <w:szCs w:val="21"/>
          <w:highlight w:val="none"/>
          <w:lang w:eastAsia="zh-CN"/>
        </w:rPr>
        <w:t>磋商</w:t>
      </w:r>
      <w:r>
        <w:rPr>
          <w:szCs w:val="21"/>
          <w:highlight w:val="none"/>
        </w:rPr>
        <w:t>有关的正式通讯地址为：</w:t>
      </w:r>
      <w:r>
        <w:rPr>
          <w:rFonts w:hint="eastAsia"/>
          <w:szCs w:val="21"/>
          <w:highlight w:val="none"/>
          <w:lang w:eastAsia="zh-CN"/>
        </w:rPr>
        <w:tab/>
      </w:r>
    </w:p>
    <w:p w14:paraId="05F81CF7">
      <w:pPr>
        <w:spacing w:line="360" w:lineRule="auto"/>
        <w:ind w:firstLine="420" w:firstLineChars="200"/>
        <w:jc w:val="left"/>
        <w:rPr>
          <w:szCs w:val="21"/>
          <w:highlight w:val="none"/>
        </w:rPr>
      </w:pPr>
      <w:r>
        <w:rPr>
          <w:szCs w:val="21"/>
          <w:highlight w:val="none"/>
        </w:rPr>
        <w:t>地    址：</w:t>
      </w:r>
      <w:r>
        <w:rPr>
          <w:szCs w:val="21"/>
          <w:highlight w:val="none"/>
          <w:u w:val="single"/>
        </w:rPr>
        <w:t xml:space="preserve">                  </w:t>
      </w:r>
      <w:r>
        <w:rPr>
          <w:szCs w:val="21"/>
          <w:highlight w:val="none"/>
        </w:rPr>
        <w:t xml:space="preserve">           邮政编码：</w:t>
      </w:r>
      <w:r>
        <w:rPr>
          <w:szCs w:val="21"/>
          <w:highlight w:val="none"/>
          <w:u w:val="single"/>
        </w:rPr>
        <w:t xml:space="preserve">                </w:t>
      </w:r>
    </w:p>
    <w:p w14:paraId="165CB1DD">
      <w:pPr>
        <w:spacing w:line="360" w:lineRule="auto"/>
        <w:ind w:firstLine="420" w:firstLineChars="200"/>
        <w:jc w:val="left"/>
        <w:rPr>
          <w:szCs w:val="21"/>
          <w:highlight w:val="none"/>
        </w:rPr>
      </w:pPr>
      <w:r>
        <w:rPr>
          <w:szCs w:val="21"/>
          <w:highlight w:val="none"/>
        </w:rPr>
        <w:t>电    话：</w:t>
      </w:r>
      <w:r>
        <w:rPr>
          <w:szCs w:val="21"/>
          <w:highlight w:val="none"/>
          <w:u w:val="single"/>
        </w:rPr>
        <w:t xml:space="preserve">                  </w:t>
      </w:r>
      <w:r>
        <w:rPr>
          <w:szCs w:val="21"/>
          <w:highlight w:val="none"/>
        </w:rPr>
        <w:t xml:space="preserve">           传    真：</w:t>
      </w:r>
      <w:r>
        <w:rPr>
          <w:szCs w:val="21"/>
          <w:highlight w:val="none"/>
          <w:u w:val="single"/>
        </w:rPr>
        <w:t xml:space="preserve">                </w:t>
      </w:r>
    </w:p>
    <w:p w14:paraId="3D01D059">
      <w:pPr>
        <w:spacing w:line="360" w:lineRule="auto"/>
        <w:ind w:firstLine="420" w:firstLineChars="200"/>
        <w:jc w:val="left"/>
        <w:rPr>
          <w:szCs w:val="21"/>
          <w:highlight w:val="none"/>
          <w:u w:val="single"/>
        </w:rPr>
      </w:pPr>
      <w:r>
        <w:rPr>
          <w:szCs w:val="21"/>
          <w:highlight w:val="none"/>
        </w:rPr>
        <w:t>开户名称：</w:t>
      </w:r>
      <w:r>
        <w:rPr>
          <w:szCs w:val="21"/>
          <w:highlight w:val="none"/>
          <w:u w:val="single"/>
        </w:rPr>
        <w:t xml:space="preserve">                                                    </w:t>
      </w:r>
    </w:p>
    <w:p w14:paraId="7FF260CD">
      <w:pPr>
        <w:spacing w:line="360" w:lineRule="auto"/>
        <w:ind w:firstLine="420" w:firstLineChars="200"/>
        <w:jc w:val="left"/>
        <w:rPr>
          <w:szCs w:val="21"/>
          <w:highlight w:val="none"/>
          <w:u w:val="single"/>
        </w:rPr>
      </w:pPr>
      <w:r>
        <w:rPr>
          <w:szCs w:val="21"/>
          <w:highlight w:val="none"/>
        </w:rPr>
        <w:t>开户银行：</w:t>
      </w:r>
      <w:r>
        <w:rPr>
          <w:szCs w:val="21"/>
          <w:highlight w:val="none"/>
          <w:u w:val="single"/>
        </w:rPr>
        <w:t xml:space="preserve">                                                    </w:t>
      </w:r>
    </w:p>
    <w:p w14:paraId="7D6B31E2">
      <w:pPr>
        <w:spacing w:line="360" w:lineRule="auto"/>
        <w:ind w:firstLine="420" w:firstLineChars="200"/>
        <w:jc w:val="left"/>
        <w:rPr>
          <w:szCs w:val="21"/>
          <w:highlight w:val="none"/>
          <w:u w:val="single"/>
        </w:rPr>
      </w:pPr>
      <w:r>
        <w:rPr>
          <w:szCs w:val="21"/>
          <w:highlight w:val="none"/>
        </w:rPr>
        <w:t>账    号：</w:t>
      </w:r>
      <w:r>
        <w:rPr>
          <w:szCs w:val="21"/>
          <w:highlight w:val="none"/>
          <w:u w:val="single"/>
        </w:rPr>
        <w:t xml:space="preserve">                                                    </w:t>
      </w:r>
    </w:p>
    <w:p w14:paraId="5EF447FB">
      <w:pPr>
        <w:spacing w:line="360" w:lineRule="auto"/>
        <w:ind w:firstLine="420" w:firstLineChars="200"/>
        <w:jc w:val="left"/>
        <w:rPr>
          <w:szCs w:val="21"/>
          <w:highlight w:val="none"/>
        </w:rPr>
      </w:pPr>
      <w:r>
        <w:rPr>
          <w:szCs w:val="21"/>
          <w:highlight w:val="none"/>
        </w:rPr>
        <w:t>供应商：</w:t>
      </w:r>
      <w:r>
        <w:rPr>
          <w:szCs w:val="21"/>
          <w:highlight w:val="none"/>
          <w:u w:val="single"/>
        </w:rPr>
        <w:t xml:space="preserve">              （全称）                     </w:t>
      </w:r>
      <w:r>
        <w:rPr>
          <w:szCs w:val="21"/>
          <w:highlight w:val="none"/>
        </w:rPr>
        <w:t>（盖章</w:t>
      </w:r>
      <w:r>
        <w:rPr>
          <w:rFonts w:hint="eastAsia"/>
          <w:szCs w:val="21"/>
          <w:highlight w:val="none"/>
        </w:rPr>
        <w:t>或电子签章</w:t>
      </w:r>
      <w:r>
        <w:rPr>
          <w:szCs w:val="21"/>
          <w:highlight w:val="none"/>
        </w:rPr>
        <w:t>）</w:t>
      </w:r>
    </w:p>
    <w:p w14:paraId="230DA337">
      <w:pPr>
        <w:spacing w:line="360" w:lineRule="auto"/>
        <w:ind w:firstLine="420" w:firstLineChars="200"/>
        <w:jc w:val="left"/>
        <w:rPr>
          <w:rFonts w:ascii="宋体" w:hAnsi="宋体" w:eastAsia="宋体" w:cs="Times New Roman"/>
          <w:szCs w:val="21"/>
          <w:highlight w:val="none"/>
        </w:rPr>
      </w:pPr>
      <w:r>
        <w:rPr>
          <w:szCs w:val="21"/>
          <w:highlight w:val="none"/>
        </w:rPr>
        <w:t>日期：</w:t>
      </w: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052E6467">
      <w:pPr>
        <w:ind w:firstLine="420" w:firstLineChars="200"/>
        <w:jc w:val="left"/>
        <w:rPr>
          <w:color w:val="auto"/>
          <w:szCs w:val="21"/>
          <w:highlight w:val="none"/>
        </w:rPr>
      </w:pPr>
    </w:p>
    <w:p w14:paraId="346B5D27">
      <w:pPr>
        <w:pageBreakBefore w:val="0"/>
        <w:widowControl w:val="0"/>
        <w:kinsoku/>
        <w:wordWrap/>
        <w:overflowPunct/>
        <w:topLinePunct w:val="0"/>
        <w:autoSpaceDE/>
        <w:autoSpaceDN/>
        <w:bidi w:val="0"/>
        <w:adjustRightInd/>
        <w:snapToGrid/>
        <w:spacing w:before="0" w:line="360" w:lineRule="auto"/>
        <w:jc w:val="left"/>
        <w:textAlignment w:val="auto"/>
        <w:outlineLvl w:val="1"/>
        <w:rPr>
          <w:rFonts w:hint="eastAsia" w:ascii="Times New Roman" w:hAnsi="Times New Roman" w:eastAsia="宋体" w:cs="Times New Roman"/>
          <w:b/>
          <w:bCs w:val="0"/>
          <w:kern w:val="2"/>
          <w:sz w:val="22"/>
          <w:szCs w:val="21"/>
          <w:highlight w:val="none"/>
          <w:lang w:val="en-US" w:eastAsia="zh-CN" w:bidi="ar-SA"/>
        </w:rPr>
      </w:pPr>
      <w:r>
        <w:rPr>
          <w:sz w:val="32"/>
          <w:highlight w:val="none"/>
        </w:rPr>
        <w:br w:type="page"/>
      </w:r>
      <w:bookmarkStart w:id="305" w:name="_Toc20841"/>
      <w:r>
        <w:rPr>
          <w:rFonts w:hint="eastAsia" w:ascii="Times New Roman" w:hAnsi="Times New Roman" w:eastAsia="宋体" w:cs="Times New Roman"/>
          <w:b/>
          <w:bCs w:val="0"/>
          <w:kern w:val="2"/>
          <w:sz w:val="28"/>
          <w:szCs w:val="24"/>
          <w:highlight w:val="none"/>
          <w:lang w:val="en-US" w:eastAsia="zh-CN" w:bidi="ar-SA"/>
        </w:rPr>
        <w:t>三、商务技术文件</w:t>
      </w:r>
      <w:bookmarkEnd w:id="302"/>
      <w:bookmarkEnd w:id="303"/>
      <w:bookmarkEnd w:id="304"/>
      <w:bookmarkEnd w:id="305"/>
    </w:p>
    <w:p w14:paraId="22293AD3">
      <w:pPr>
        <w:keepNext w:val="0"/>
        <w:keepLines w:val="0"/>
        <w:pageBreakBefore w:val="0"/>
        <w:widowControl w:val="0"/>
        <w:kinsoku/>
        <w:wordWrap/>
        <w:overflowPunct/>
        <w:topLinePunct w:val="0"/>
        <w:autoSpaceDE/>
        <w:autoSpaceDN/>
        <w:bidi w:val="0"/>
        <w:adjustRightInd/>
        <w:snapToGrid/>
        <w:ind w:firstLine="0"/>
        <w:jc w:val="center"/>
        <w:textAlignment w:val="auto"/>
        <w:outlineLvl w:val="2"/>
        <w:rPr>
          <w:rFonts w:ascii="Times New Roman" w:hAnsi="Times New Roman" w:eastAsia="宋体" w:cs="Times New Roman"/>
          <w:b/>
          <w:sz w:val="30"/>
          <w:szCs w:val="30"/>
          <w:highlight w:val="none"/>
        </w:rPr>
      </w:pPr>
      <w:bookmarkStart w:id="306" w:name="_Toc149055030"/>
      <w:r>
        <w:rPr>
          <w:rFonts w:hint="eastAsia" w:cs="Times New Roman"/>
          <w:b/>
          <w:sz w:val="30"/>
          <w:szCs w:val="30"/>
          <w:highlight w:val="none"/>
          <w:lang w:eastAsia="zh-CN"/>
        </w:rPr>
        <w:t>（</w:t>
      </w:r>
      <w:r>
        <w:rPr>
          <w:rFonts w:hint="eastAsia" w:cs="Times New Roman"/>
          <w:b/>
          <w:sz w:val="30"/>
          <w:szCs w:val="30"/>
          <w:highlight w:val="none"/>
          <w:lang w:val="en-US" w:eastAsia="zh-CN"/>
        </w:rPr>
        <w:t>一</w:t>
      </w:r>
      <w:r>
        <w:rPr>
          <w:rFonts w:hint="eastAsia" w:cs="Times New Roman"/>
          <w:b/>
          <w:sz w:val="30"/>
          <w:szCs w:val="30"/>
          <w:highlight w:val="none"/>
          <w:lang w:eastAsia="zh-CN"/>
        </w:rPr>
        <w:t>）</w:t>
      </w:r>
      <w:r>
        <w:rPr>
          <w:rFonts w:hint="eastAsia" w:ascii="Times New Roman" w:hAnsi="Times New Roman" w:eastAsia="宋体" w:cs="Times New Roman"/>
          <w:b/>
          <w:sz w:val="30"/>
          <w:szCs w:val="30"/>
          <w:highlight w:val="none"/>
        </w:rPr>
        <w:t>★</w:t>
      </w:r>
      <w:r>
        <w:rPr>
          <w:rFonts w:ascii="Times New Roman" w:hAnsi="Times New Roman" w:eastAsia="宋体" w:cs="Times New Roman"/>
          <w:b/>
          <w:sz w:val="30"/>
          <w:szCs w:val="30"/>
          <w:highlight w:val="none"/>
        </w:rPr>
        <w:t>商务条款偏离表</w:t>
      </w:r>
      <w:bookmarkEnd w:id="306"/>
    </w:p>
    <w:p w14:paraId="382F525D">
      <w:pPr>
        <w:pStyle w:val="23"/>
        <w:spacing w:line="360" w:lineRule="auto"/>
        <w:ind w:firstLine="420" w:firstLineChars="200"/>
        <w:rPr>
          <w:rFonts w:hint="eastAsia" w:hAnsi="宋体"/>
          <w:szCs w:val="21"/>
          <w:highlight w:val="none"/>
        </w:rPr>
      </w:pPr>
    </w:p>
    <w:p w14:paraId="011C92DB">
      <w:pPr>
        <w:widowControl w:val="0"/>
        <w:snapToGrid w:val="0"/>
        <w:spacing w:line="360" w:lineRule="auto"/>
        <w:ind w:firstLine="420" w:firstLineChars="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供应商须逐条对应采购文件中要求的商务条款，认真填写该表。</w:t>
      </w:r>
    </w:p>
    <w:p w14:paraId="0046B10B">
      <w:pPr>
        <w:widowControl w:val="0"/>
        <w:snapToGrid w:val="0"/>
        <w:spacing w:line="360" w:lineRule="auto"/>
        <w:ind w:firstLine="420" w:firstLineChars="200"/>
        <w:jc w:val="both"/>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商务条款是指：采购文件中要求的</w:t>
      </w:r>
      <w:r>
        <w:rPr>
          <w:rFonts w:hint="eastAsia" w:ascii="宋体" w:hAnsi="宋体" w:eastAsia="宋体" w:cs="Times New Roman"/>
          <w:b/>
          <w:kern w:val="2"/>
          <w:sz w:val="21"/>
          <w:szCs w:val="21"/>
          <w:highlight w:val="none"/>
          <w:lang w:val="en-US" w:eastAsia="zh-CN" w:bidi="ar-SA"/>
        </w:rPr>
        <w:t>工期、工程地点、质量要求、承包方式、付款方式、违约责任、缺陷责任期、保修期、履约保证金（如有）等要求。</w:t>
      </w:r>
    </w:p>
    <w:p w14:paraId="724C44C5">
      <w:pPr>
        <w:widowControl w:val="0"/>
        <w:snapToGrid w:val="0"/>
        <w:spacing w:line="360" w:lineRule="auto"/>
        <w:jc w:val="both"/>
        <w:rPr>
          <w:rFonts w:hint="eastAsia" w:ascii="宋体" w:hAnsi="宋体" w:eastAsia="宋体" w:cs="Times New Roman"/>
          <w:b/>
          <w:kern w:val="2"/>
          <w:sz w:val="21"/>
          <w:szCs w:val="21"/>
          <w:highlight w:val="none"/>
          <w:lang w:val="en-US" w:eastAsia="zh-CN" w:bidi="ar-SA"/>
        </w:rPr>
      </w:pPr>
      <w:r>
        <w:rPr>
          <w:rFonts w:hint="eastAsia" w:ascii="宋体" w:hAnsi="宋体" w:eastAsia="宋体" w:cs="Times New Roman"/>
          <w:b/>
          <w:kern w:val="2"/>
          <w:sz w:val="21"/>
          <w:szCs w:val="21"/>
          <w:highlight w:val="none"/>
          <w:lang w:val="en-US" w:eastAsia="zh-CN" w:bidi="ar-SA"/>
        </w:rPr>
        <w:t>项目名称：</w:t>
      </w:r>
      <w:r>
        <w:rPr>
          <w:rFonts w:hint="eastAsia" w:ascii="Times New Roman" w:hAnsi="Times New Roman" w:eastAsia="宋体" w:cs="Times New Roman"/>
          <w:b/>
          <w:bCs/>
          <w:i w:val="0"/>
          <w:iCs w:val="0"/>
          <w:spacing w:val="6"/>
          <w:szCs w:val="21"/>
          <w:highlight w:val="none"/>
          <w:u w:val="single"/>
          <w:lang w:eastAsia="zh-CN"/>
        </w:rPr>
        <w:t>云南省保山第一中学附属设施（连廊）建设项目（一期）</w:t>
      </w:r>
      <w:r>
        <w:rPr>
          <w:rFonts w:hint="eastAsia" w:ascii="宋体" w:hAnsi="宋体" w:eastAsia="宋体" w:cs="Times New Roman"/>
          <w:b/>
          <w:kern w:val="2"/>
          <w:sz w:val="21"/>
          <w:szCs w:val="21"/>
          <w:highlight w:val="none"/>
          <w:lang w:val="en-US" w:eastAsia="zh-CN" w:bidi="ar-SA"/>
        </w:rPr>
        <w:t xml:space="preserve">           </w:t>
      </w:r>
    </w:p>
    <w:p w14:paraId="7E58380A">
      <w:pPr>
        <w:widowControl w:val="0"/>
        <w:snapToGrid w:val="0"/>
        <w:spacing w:line="360" w:lineRule="auto"/>
        <w:jc w:val="both"/>
        <w:rPr>
          <w:rFonts w:hint="eastAsia" w:ascii="宋体" w:hAnsi="宋体" w:eastAsia="宋体" w:cs="Times New Roman"/>
          <w:b w:val="0"/>
          <w:bCs/>
          <w:kern w:val="2"/>
          <w:sz w:val="21"/>
          <w:szCs w:val="21"/>
          <w:highlight w:val="none"/>
          <w:u w:val="single"/>
          <w:lang w:val="en-US" w:eastAsia="zh-CN" w:bidi="ar-SA"/>
        </w:rPr>
      </w:pPr>
      <w:r>
        <w:rPr>
          <w:rFonts w:hint="eastAsia" w:ascii="宋体" w:hAnsi="宋体" w:eastAsia="宋体" w:cs="Times New Roman"/>
          <w:b/>
          <w:kern w:val="2"/>
          <w:sz w:val="21"/>
          <w:szCs w:val="21"/>
          <w:highlight w:val="none"/>
          <w:lang w:val="en-US" w:eastAsia="zh-CN" w:bidi="ar-SA"/>
        </w:rPr>
        <w:t>项目编号：</w:t>
      </w:r>
    </w:p>
    <w:p w14:paraId="66981336">
      <w:pPr>
        <w:widowControl w:val="0"/>
        <w:snapToGrid w:val="0"/>
        <w:spacing w:line="360" w:lineRule="auto"/>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A.</w:t>
      </w:r>
      <w:r>
        <w:rPr>
          <w:rFonts w:hint="default" w:ascii="Times New Roman" w:hAnsi="Times New Roman" w:eastAsia="宋体" w:cs="Times New Roman"/>
          <w:color w:val="auto"/>
          <w:kern w:val="2"/>
          <w:sz w:val="21"/>
          <w:szCs w:val="21"/>
          <w:highlight w:val="none"/>
          <w:lang w:val="en-US" w:eastAsia="zh-CN" w:bidi="ar-SA"/>
        </w:rPr>
        <w:sym w:font="Wingdings" w:char="00A8"/>
      </w:r>
      <w:r>
        <w:rPr>
          <w:rFonts w:hint="default" w:ascii="Times New Roman" w:hAnsi="Times New Roman" w:eastAsia="宋体" w:cs="Times New Roman"/>
          <w:color w:val="auto"/>
          <w:kern w:val="2"/>
          <w:sz w:val="21"/>
          <w:szCs w:val="21"/>
          <w:highlight w:val="none"/>
          <w:lang w:val="en-US" w:eastAsia="zh-CN" w:bidi="ar-SA"/>
        </w:rPr>
        <w:t>我公司已详细阅读</w:t>
      </w:r>
      <w:r>
        <w:rPr>
          <w:rFonts w:hint="eastAsia" w:ascii="Times New Roman" w:hAnsi="Times New Roman" w:eastAsia="宋体" w:cs="Times New Roman"/>
          <w:color w:val="auto"/>
          <w:kern w:val="2"/>
          <w:sz w:val="21"/>
          <w:szCs w:val="21"/>
          <w:highlight w:val="none"/>
          <w:lang w:val="en-US" w:eastAsia="zh-CN" w:bidi="ar-SA"/>
        </w:rPr>
        <w:t>采购文件</w:t>
      </w:r>
      <w:r>
        <w:rPr>
          <w:rFonts w:hint="default" w:ascii="Times New Roman" w:hAnsi="Times New Roman" w:eastAsia="宋体" w:cs="Times New Roman"/>
          <w:color w:val="auto"/>
          <w:kern w:val="2"/>
          <w:sz w:val="21"/>
          <w:szCs w:val="21"/>
          <w:highlight w:val="none"/>
          <w:lang w:val="en-US" w:eastAsia="zh-CN" w:bidi="ar-SA"/>
        </w:rPr>
        <w:t>中各项商务要求，所有商务要求均无偏离，</w:t>
      </w:r>
      <w:r>
        <w:rPr>
          <w:rFonts w:hint="eastAsia" w:ascii="Times New Roman" w:hAnsi="Times New Roman" w:eastAsia="宋体" w:cs="Times New Roman"/>
          <w:color w:val="auto"/>
          <w:kern w:val="2"/>
          <w:sz w:val="21"/>
          <w:szCs w:val="21"/>
          <w:highlight w:val="none"/>
          <w:lang w:val="en-US" w:eastAsia="zh-CN" w:bidi="ar-SA"/>
        </w:rPr>
        <w:t>成交后</w:t>
      </w:r>
      <w:r>
        <w:rPr>
          <w:rFonts w:hint="default" w:ascii="Times New Roman" w:hAnsi="Times New Roman" w:eastAsia="宋体" w:cs="Times New Roman"/>
          <w:color w:val="auto"/>
          <w:kern w:val="2"/>
          <w:sz w:val="21"/>
          <w:szCs w:val="21"/>
          <w:highlight w:val="none"/>
          <w:lang w:val="en-US" w:eastAsia="zh-CN" w:bidi="ar-SA"/>
        </w:rPr>
        <w:t>我公司将严格遵照执行。</w:t>
      </w:r>
    </w:p>
    <w:p w14:paraId="5EFE6EBF">
      <w:pPr>
        <w:widowControl w:val="0"/>
        <w:snapToGrid w:val="0"/>
        <w:spacing w:line="360" w:lineRule="auto"/>
        <w:ind w:firstLine="420" w:firstLineChars="200"/>
        <w:jc w:val="both"/>
        <w:rPr>
          <w:rFonts w:hint="eastAsia" w:ascii="宋体" w:hAnsi="Courier New" w:eastAsia="宋体" w:cs="Times New Roman"/>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B.</w:t>
      </w:r>
      <w:r>
        <w:rPr>
          <w:rFonts w:hint="default" w:ascii="Times New Roman" w:hAnsi="Times New Roman" w:eastAsia="宋体" w:cs="Times New Roman"/>
          <w:color w:val="auto"/>
          <w:kern w:val="2"/>
          <w:sz w:val="21"/>
          <w:szCs w:val="21"/>
          <w:highlight w:val="none"/>
          <w:lang w:val="en-US" w:eastAsia="zh-CN" w:bidi="ar-SA"/>
        </w:rPr>
        <w:sym w:font="Wingdings" w:char="00A8"/>
      </w:r>
      <w:r>
        <w:rPr>
          <w:rFonts w:hint="default" w:ascii="Times New Roman" w:hAnsi="Times New Roman" w:eastAsia="宋体" w:cs="Times New Roman"/>
          <w:color w:val="auto"/>
          <w:kern w:val="2"/>
          <w:sz w:val="21"/>
          <w:szCs w:val="21"/>
          <w:highlight w:val="none"/>
          <w:lang w:val="en-US" w:eastAsia="zh-CN" w:bidi="ar-SA"/>
        </w:rPr>
        <w:t>我公司已详细阅读</w:t>
      </w:r>
      <w:r>
        <w:rPr>
          <w:rFonts w:hint="eastAsia" w:ascii="Times New Roman" w:hAnsi="Times New Roman" w:eastAsia="宋体" w:cs="Times New Roman"/>
          <w:color w:val="auto"/>
          <w:kern w:val="2"/>
          <w:sz w:val="21"/>
          <w:szCs w:val="21"/>
          <w:highlight w:val="none"/>
          <w:lang w:val="en-US" w:eastAsia="zh-CN" w:bidi="ar-SA"/>
        </w:rPr>
        <w:t>采购文件</w:t>
      </w:r>
      <w:r>
        <w:rPr>
          <w:rFonts w:hint="default" w:ascii="Times New Roman" w:hAnsi="Times New Roman" w:eastAsia="宋体" w:cs="Times New Roman"/>
          <w:color w:val="auto"/>
          <w:kern w:val="2"/>
          <w:sz w:val="21"/>
          <w:szCs w:val="21"/>
          <w:highlight w:val="none"/>
          <w:lang w:val="en-US" w:eastAsia="zh-CN" w:bidi="ar-SA"/>
        </w:rPr>
        <w:t>中各项商务要求，除下述条款有偏离外，其余条款我公司均予以认可，</w:t>
      </w:r>
      <w:r>
        <w:rPr>
          <w:rFonts w:hint="eastAsia" w:ascii="Times New Roman" w:hAnsi="Times New Roman" w:eastAsia="宋体" w:cs="Times New Roman"/>
          <w:color w:val="auto"/>
          <w:kern w:val="2"/>
          <w:sz w:val="21"/>
          <w:szCs w:val="21"/>
          <w:highlight w:val="none"/>
          <w:lang w:val="en-US" w:eastAsia="zh-CN" w:bidi="ar-SA"/>
        </w:rPr>
        <w:t>成交后</w:t>
      </w:r>
      <w:r>
        <w:rPr>
          <w:rFonts w:hint="default" w:ascii="Times New Roman" w:hAnsi="Times New Roman" w:eastAsia="宋体" w:cs="Times New Roman"/>
          <w:color w:val="auto"/>
          <w:kern w:val="2"/>
          <w:sz w:val="21"/>
          <w:szCs w:val="21"/>
          <w:highlight w:val="none"/>
          <w:lang w:val="en-US" w:eastAsia="zh-CN" w:bidi="ar-SA"/>
        </w:rPr>
        <w:t>将严格遵照执行。</w:t>
      </w:r>
    </w:p>
    <w:tbl>
      <w:tblPr>
        <w:tblStyle w:val="41"/>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3329"/>
        <w:gridCol w:w="3125"/>
        <w:gridCol w:w="2138"/>
      </w:tblGrid>
      <w:tr w14:paraId="27D82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1238" w:type="dxa"/>
            <w:noWrap w:val="0"/>
            <w:vAlign w:val="center"/>
          </w:tcPr>
          <w:p w14:paraId="5CAA77B5">
            <w:pPr>
              <w:widowControl w:val="0"/>
              <w:snapToGrid w:val="0"/>
              <w:spacing w:line="360" w:lineRule="auto"/>
              <w:jc w:val="center"/>
              <w:rPr>
                <w:rFonts w:hint="eastAsia" w:ascii="宋体" w:hAnsi="宋体" w:eastAsia="宋体" w:cs="Times New Roman"/>
                <w:b/>
                <w:kern w:val="2"/>
                <w:sz w:val="21"/>
                <w:szCs w:val="21"/>
                <w:highlight w:val="none"/>
                <w:lang w:val="en-US" w:eastAsia="zh-CN" w:bidi="ar-SA"/>
              </w:rPr>
            </w:pPr>
            <w:r>
              <w:rPr>
                <w:rFonts w:hint="eastAsia" w:ascii="宋体" w:hAnsi="宋体" w:eastAsia="宋体" w:cs="Times New Roman"/>
                <w:b/>
                <w:kern w:val="2"/>
                <w:sz w:val="21"/>
                <w:szCs w:val="21"/>
                <w:highlight w:val="none"/>
                <w:lang w:val="en-US" w:eastAsia="zh-CN" w:bidi="ar-SA"/>
              </w:rPr>
              <w:t>序号</w:t>
            </w:r>
          </w:p>
        </w:tc>
        <w:tc>
          <w:tcPr>
            <w:tcW w:w="3329" w:type="dxa"/>
            <w:noWrap w:val="0"/>
            <w:vAlign w:val="center"/>
          </w:tcPr>
          <w:p w14:paraId="1A33CA1A">
            <w:pPr>
              <w:widowControl w:val="0"/>
              <w:snapToGrid w:val="0"/>
              <w:spacing w:line="360" w:lineRule="auto"/>
              <w:jc w:val="center"/>
              <w:rPr>
                <w:rFonts w:hint="eastAsia" w:ascii="宋体" w:hAnsi="宋体" w:eastAsia="宋体" w:cs="Times New Roman"/>
                <w:b/>
                <w:kern w:val="2"/>
                <w:sz w:val="21"/>
                <w:szCs w:val="21"/>
                <w:highlight w:val="none"/>
                <w:lang w:val="en-US" w:eastAsia="zh-CN" w:bidi="ar-SA"/>
              </w:rPr>
            </w:pPr>
            <w:r>
              <w:rPr>
                <w:rFonts w:hint="eastAsia" w:ascii="宋体" w:hAnsi="宋体" w:eastAsia="宋体" w:cs="Times New Roman"/>
                <w:b/>
                <w:kern w:val="2"/>
                <w:sz w:val="21"/>
                <w:szCs w:val="21"/>
                <w:highlight w:val="none"/>
                <w:lang w:val="en-US" w:eastAsia="zh-CN" w:bidi="ar-SA"/>
              </w:rPr>
              <w:t>采购文件的商务条款</w:t>
            </w:r>
          </w:p>
        </w:tc>
        <w:tc>
          <w:tcPr>
            <w:tcW w:w="3125" w:type="dxa"/>
            <w:noWrap w:val="0"/>
            <w:vAlign w:val="center"/>
          </w:tcPr>
          <w:p w14:paraId="77294A4C">
            <w:pPr>
              <w:widowControl w:val="0"/>
              <w:snapToGrid w:val="0"/>
              <w:spacing w:line="360" w:lineRule="auto"/>
              <w:jc w:val="center"/>
              <w:rPr>
                <w:rFonts w:hint="eastAsia" w:ascii="宋体" w:hAnsi="宋体" w:eastAsia="宋体" w:cs="Times New Roman"/>
                <w:b/>
                <w:kern w:val="2"/>
                <w:sz w:val="21"/>
                <w:szCs w:val="21"/>
                <w:highlight w:val="none"/>
                <w:lang w:val="en-US" w:eastAsia="zh-CN" w:bidi="ar-SA"/>
              </w:rPr>
            </w:pPr>
            <w:r>
              <w:rPr>
                <w:rFonts w:hint="eastAsia" w:ascii="宋体" w:hAnsi="宋体" w:eastAsia="宋体" w:cs="Times New Roman"/>
                <w:b/>
                <w:kern w:val="2"/>
                <w:sz w:val="21"/>
                <w:szCs w:val="21"/>
                <w:highlight w:val="none"/>
                <w:lang w:val="en-US" w:eastAsia="zh-CN" w:bidi="ar-SA"/>
              </w:rPr>
              <w:t>响应文件的商务条款</w:t>
            </w:r>
          </w:p>
        </w:tc>
        <w:tc>
          <w:tcPr>
            <w:tcW w:w="2138" w:type="dxa"/>
            <w:noWrap w:val="0"/>
            <w:vAlign w:val="center"/>
          </w:tcPr>
          <w:p w14:paraId="60DA7C95">
            <w:pPr>
              <w:widowControl w:val="0"/>
              <w:snapToGrid w:val="0"/>
              <w:spacing w:line="360" w:lineRule="auto"/>
              <w:jc w:val="center"/>
              <w:rPr>
                <w:rFonts w:hint="eastAsia" w:ascii="宋体" w:hAnsi="宋体" w:eastAsia="宋体" w:cs="Times New Roman"/>
                <w:b/>
                <w:kern w:val="2"/>
                <w:sz w:val="21"/>
                <w:szCs w:val="21"/>
                <w:highlight w:val="none"/>
                <w:lang w:val="en-US" w:eastAsia="zh-CN" w:bidi="ar-SA"/>
              </w:rPr>
            </w:pPr>
            <w:r>
              <w:rPr>
                <w:rFonts w:hint="eastAsia" w:ascii="宋体" w:hAnsi="宋体" w:eastAsia="宋体" w:cs="Times New Roman"/>
                <w:b/>
                <w:kern w:val="2"/>
                <w:sz w:val="21"/>
                <w:szCs w:val="21"/>
                <w:highlight w:val="none"/>
                <w:lang w:val="en-US" w:eastAsia="zh-CN" w:bidi="ar-SA"/>
              </w:rPr>
              <w:t>偏离情况说明</w:t>
            </w:r>
          </w:p>
        </w:tc>
      </w:tr>
      <w:tr w14:paraId="5B80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noWrap w:val="0"/>
            <w:vAlign w:val="top"/>
          </w:tcPr>
          <w:p w14:paraId="310FA38C">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329" w:type="dxa"/>
            <w:noWrap w:val="0"/>
            <w:vAlign w:val="top"/>
          </w:tcPr>
          <w:p w14:paraId="222C1DD1">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125" w:type="dxa"/>
            <w:noWrap w:val="0"/>
            <w:vAlign w:val="top"/>
          </w:tcPr>
          <w:p w14:paraId="2EA5208A">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2138" w:type="dxa"/>
            <w:noWrap w:val="0"/>
            <w:vAlign w:val="top"/>
          </w:tcPr>
          <w:p w14:paraId="684195DF">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r>
      <w:tr w14:paraId="5BE2B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noWrap w:val="0"/>
            <w:vAlign w:val="top"/>
          </w:tcPr>
          <w:p w14:paraId="682E25EE">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329" w:type="dxa"/>
            <w:noWrap w:val="0"/>
            <w:vAlign w:val="top"/>
          </w:tcPr>
          <w:p w14:paraId="7E6ADEFC">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125" w:type="dxa"/>
            <w:noWrap w:val="0"/>
            <w:vAlign w:val="top"/>
          </w:tcPr>
          <w:p w14:paraId="1690E929">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2138" w:type="dxa"/>
            <w:noWrap w:val="0"/>
            <w:vAlign w:val="top"/>
          </w:tcPr>
          <w:p w14:paraId="0A99D132">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r>
      <w:tr w14:paraId="2D58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noWrap w:val="0"/>
            <w:vAlign w:val="top"/>
          </w:tcPr>
          <w:p w14:paraId="62771202">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329" w:type="dxa"/>
            <w:noWrap w:val="0"/>
            <w:vAlign w:val="top"/>
          </w:tcPr>
          <w:p w14:paraId="57AADC91">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125" w:type="dxa"/>
            <w:noWrap w:val="0"/>
            <w:vAlign w:val="top"/>
          </w:tcPr>
          <w:p w14:paraId="4ADFE23B">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2138" w:type="dxa"/>
            <w:noWrap w:val="0"/>
            <w:vAlign w:val="top"/>
          </w:tcPr>
          <w:p w14:paraId="195CAA52">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r>
      <w:tr w14:paraId="67BC4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noWrap w:val="0"/>
            <w:vAlign w:val="top"/>
          </w:tcPr>
          <w:p w14:paraId="48F190BA">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329" w:type="dxa"/>
            <w:noWrap w:val="0"/>
            <w:vAlign w:val="top"/>
          </w:tcPr>
          <w:p w14:paraId="2A52F4D0">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125" w:type="dxa"/>
            <w:noWrap w:val="0"/>
            <w:vAlign w:val="top"/>
          </w:tcPr>
          <w:p w14:paraId="050D8E1B">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2138" w:type="dxa"/>
            <w:noWrap w:val="0"/>
            <w:vAlign w:val="top"/>
          </w:tcPr>
          <w:p w14:paraId="224AE336">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r>
      <w:tr w14:paraId="12C3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noWrap w:val="0"/>
            <w:vAlign w:val="top"/>
          </w:tcPr>
          <w:p w14:paraId="6EE60429">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329" w:type="dxa"/>
            <w:noWrap w:val="0"/>
            <w:vAlign w:val="top"/>
          </w:tcPr>
          <w:p w14:paraId="57BDF461">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125" w:type="dxa"/>
            <w:noWrap w:val="0"/>
            <w:vAlign w:val="top"/>
          </w:tcPr>
          <w:p w14:paraId="6F6B3F39">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2138" w:type="dxa"/>
            <w:noWrap w:val="0"/>
            <w:vAlign w:val="top"/>
          </w:tcPr>
          <w:p w14:paraId="6C330490">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r>
      <w:tr w14:paraId="7C4B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noWrap w:val="0"/>
            <w:vAlign w:val="top"/>
          </w:tcPr>
          <w:p w14:paraId="6577FCAB">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329" w:type="dxa"/>
            <w:noWrap w:val="0"/>
            <w:vAlign w:val="top"/>
          </w:tcPr>
          <w:p w14:paraId="6D307BE3">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125" w:type="dxa"/>
            <w:noWrap w:val="0"/>
            <w:vAlign w:val="top"/>
          </w:tcPr>
          <w:p w14:paraId="11755060">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2138" w:type="dxa"/>
            <w:noWrap w:val="0"/>
            <w:vAlign w:val="top"/>
          </w:tcPr>
          <w:p w14:paraId="6292259C">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r>
      <w:tr w14:paraId="6E3B4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noWrap w:val="0"/>
            <w:vAlign w:val="top"/>
          </w:tcPr>
          <w:p w14:paraId="73C37C09">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329" w:type="dxa"/>
            <w:noWrap w:val="0"/>
            <w:vAlign w:val="top"/>
          </w:tcPr>
          <w:p w14:paraId="191A9FB8">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3125" w:type="dxa"/>
            <w:noWrap w:val="0"/>
            <w:vAlign w:val="top"/>
          </w:tcPr>
          <w:p w14:paraId="11D89EC1">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c>
          <w:tcPr>
            <w:tcW w:w="2138" w:type="dxa"/>
            <w:noWrap w:val="0"/>
            <w:vAlign w:val="top"/>
          </w:tcPr>
          <w:p w14:paraId="28E9B2A8">
            <w:pPr>
              <w:widowControl w:val="0"/>
              <w:snapToGrid w:val="0"/>
              <w:spacing w:line="360" w:lineRule="auto"/>
              <w:jc w:val="both"/>
              <w:rPr>
                <w:rFonts w:hint="eastAsia" w:ascii="宋体" w:hAnsi="宋体" w:eastAsia="宋体" w:cs="Times New Roman"/>
                <w:kern w:val="2"/>
                <w:sz w:val="21"/>
                <w:szCs w:val="21"/>
                <w:highlight w:val="none"/>
                <w:lang w:val="en-US" w:eastAsia="zh-CN" w:bidi="ar-SA"/>
              </w:rPr>
            </w:pPr>
          </w:p>
        </w:tc>
      </w:tr>
    </w:tbl>
    <w:p w14:paraId="46731197">
      <w:pPr>
        <w:widowControl w:val="0"/>
        <w:snapToGrid w:val="0"/>
        <w:spacing w:line="360" w:lineRule="auto"/>
        <w:ind w:firstLine="402"/>
        <w:jc w:val="both"/>
        <w:rPr>
          <w:rFonts w:hint="eastAsia" w:ascii="宋体" w:hAnsi="宋体" w:eastAsia="宋体" w:cs="Times New Roman"/>
          <w:b/>
          <w:kern w:val="2"/>
          <w:sz w:val="21"/>
          <w:szCs w:val="21"/>
          <w:highlight w:val="none"/>
          <w:lang w:val="en-US" w:eastAsia="zh-CN" w:bidi="ar-SA"/>
        </w:rPr>
      </w:pPr>
      <w:r>
        <w:rPr>
          <w:rFonts w:hint="eastAsia" w:ascii="宋体" w:hAnsi="宋体" w:eastAsia="宋体" w:cs="Times New Roman"/>
          <w:b/>
          <w:kern w:val="2"/>
          <w:sz w:val="21"/>
          <w:szCs w:val="21"/>
          <w:highlight w:val="none"/>
          <w:lang w:val="en-US" w:eastAsia="zh-CN" w:bidi="ar-SA"/>
        </w:rPr>
        <w:t>注：表格填写说明：</w:t>
      </w:r>
    </w:p>
    <w:p w14:paraId="05607A46">
      <w:pPr>
        <w:widowControl w:val="0"/>
        <w:snapToGrid w:val="0"/>
        <w:spacing w:line="360" w:lineRule="auto"/>
        <w:ind w:firstLine="402"/>
        <w:jc w:val="both"/>
        <w:rPr>
          <w:rFonts w:hint="eastAsia" w:ascii="宋体" w:hAnsi="宋体" w:eastAsia="宋体" w:cs="Times New Roman"/>
          <w:b w:val="0"/>
          <w:bCs/>
          <w:kern w:val="2"/>
          <w:sz w:val="21"/>
          <w:szCs w:val="21"/>
          <w:highlight w:val="none"/>
          <w:lang w:val="en-US" w:eastAsia="zh-CN" w:bidi="ar-SA"/>
        </w:rPr>
      </w:pPr>
      <w:r>
        <w:rPr>
          <w:rFonts w:hint="eastAsia" w:ascii="宋体" w:hAnsi="宋体" w:eastAsia="宋体" w:cs="Times New Roman"/>
          <w:b w:val="0"/>
          <w:bCs/>
          <w:kern w:val="2"/>
          <w:sz w:val="21"/>
          <w:szCs w:val="21"/>
          <w:highlight w:val="none"/>
          <w:lang w:val="en-US" w:eastAsia="zh-CN" w:bidi="ar-SA"/>
        </w:rPr>
        <w:t>供应商根据应根据实际响应情况，填写本表格，若无偏离，则勾选A项，盖章即可。若有偏离，则勾选B项，按表格要求及实际情况填写后盖章。表格中只需填写有“偏离”部分，“无偏离”部分不用填写。</w:t>
      </w:r>
    </w:p>
    <w:p w14:paraId="12335183">
      <w:pPr>
        <w:widowControl w:val="0"/>
        <w:snapToGrid w:val="0"/>
        <w:spacing w:line="360" w:lineRule="auto"/>
        <w:ind w:firstLine="402"/>
        <w:jc w:val="both"/>
        <w:rPr>
          <w:rFonts w:hint="eastAsia" w:ascii="宋体" w:hAnsi="宋体" w:eastAsia="宋体" w:cs="Times New Roman"/>
          <w:b/>
          <w:bCs w:val="0"/>
          <w:kern w:val="2"/>
          <w:sz w:val="21"/>
          <w:szCs w:val="21"/>
          <w:highlight w:val="none"/>
          <w:lang w:val="en-US" w:eastAsia="zh-CN" w:bidi="ar-SA"/>
        </w:rPr>
      </w:pPr>
      <w:r>
        <w:rPr>
          <w:rFonts w:hint="eastAsia" w:ascii="宋体" w:hAnsi="宋体" w:eastAsia="宋体" w:cs="Times New Roman"/>
          <w:b/>
          <w:bCs w:val="0"/>
          <w:kern w:val="2"/>
          <w:sz w:val="21"/>
          <w:szCs w:val="21"/>
          <w:highlight w:val="none"/>
          <w:lang w:val="en-US" w:eastAsia="zh-CN" w:bidi="ar-SA"/>
        </w:rPr>
        <w:t>对于采购文件中要求需有证明材料或书面承诺的，须在响应文件中提供证明材料。</w:t>
      </w:r>
    </w:p>
    <w:tbl>
      <w:tblPr>
        <w:tblStyle w:val="41"/>
        <w:tblW w:w="5534" w:type="dxa"/>
        <w:tblInd w:w="4294" w:type="dxa"/>
        <w:tblLayout w:type="fixed"/>
        <w:tblCellMar>
          <w:top w:w="0" w:type="dxa"/>
          <w:left w:w="108" w:type="dxa"/>
          <w:bottom w:w="0" w:type="dxa"/>
          <w:right w:w="108" w:type="dxa"/>
        </w:tblCellMar>
      </w:tblPr>
      <w:tblGrid>
        <w:gridCol w:w="5534"/>
      </w:tblGrid>
      <w:tr w14:paraId="4F9CFCE5">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top"/>
          </w:tcPr>
          <w:p w14:paraId="21B0C574">
            <w:pPr>
              <w:widowControl w:val="0"/>
              <w:tabs>
                <w:tab w:val="left" w:pos="1200"/>
              </w:tabs>
              <w:snapToGrid w:val="0"/>
              <w:spacing w:line="360" w:lineRule="auto"/>
              <w:jc w:val="both"/>
              <w:textAlignment w:val="center"/>
              <w:rPr>
                <w:rFonts w:hint="eastAsia" w:ascii="华文细黑" w:hAnsi="宋体" w:eastAsia="宋体" w:cs="Times New Roman"/>
                <w:kern w:val="0"/>
                <w:sz w:val="21"/>
                <w:szCs w:val="21"/>
                <w:highlight w:val="none"/>
                <w:lang w:val="en-US" w:eastAsia="zh-CN" w:bidi="ar-SA"/>
              </w:rPr>
            </w:pPr>
            <w:r>
              <w:rPr>
                <w:rFonts w:hint="eastAsia" w:ascii="华文细黑" w:hAnsi="宋体" w:eastAsia="宋体" w:cs="Times New Roman"/>
                <w:b/>
                <w:kern w:val="0"/>
                <w:sz w:val="21"/>
                <w:szCs w:val="21"/>
                <w:highlight w:val="none"/>
                <w:lang w:val="en-US" w:eastAsia="zh-CN" w:bidi="ar-SA"/>
              </w:rPr>
              <w:t>供应商</w:t>
            </w:r>
            <w:r>
              <w:rPr>
                <w:rFonts w:ascii="华文细黑" w:hAnsi="宋体" w:eastAsia="宋体" w:cs="Times New Roman"/>
                <w:b/>
                <w:kern w:val="0"/>
                <w:sz w:val="21"/>
                <w:szCs w:val="21"/>
                <w:highlight w:val="none"/>
                <w:lang w:val="en-US" w:eastAsia="zh-CN" w:bidi="ar-SA"/>
              </w:rPr>
              <w:t>：</w:t>
            </w:r>
            <w:r>
              <w:rPr>
                <w:rFonts w:hint="eastAsia" w:ascii="华文细黑" w:hAnsi="宋体" w:eastAsia="宋体" w:cs="Times New Roman"/>
                <w:b/>
                <w:kern w:val="0"/>
                <w:sz w:val="21"/>
                <w:szCs w:val="21"/>
                <w:highlight w:val="none"/>
                <w:lang w:val="en-US" w:eastAsia="zh-CN" w:bidi="ar-SA"/>
              </w:rPr>
              <w:t xml:space="preserve">               </w:t>
            </w:r>
            <w:r>
              <w:rPr>
                <w:rFonts w:ascii="华文细黑" w:hAnsi="宋体" w:eastAsia="宋体" w:cs="Times New Roman"/>
                <w:b/>
                <w:kern w:val="0"/>
                <w:sz w:val="21"/>
                <w:szCs w:val="21"/>
                <w:highlight w:val="none"/>
                <w:lang w:val="en-US" w:eastAsia="zh-CN" w:bidi="ar-SA"/>
              </w:rPr>
              <w:t>（</w:t>
            </w:r>
            <w:r>
              <w:rPr>
                <w:rFonts w:hint="eastAsia" w:ascii="华文细黑" w:hAnsi="宋体" w:eastAsia="宋体" w:cs="Times New Roman"/>
                <w:b/>
                <w:kern w:val="0"/>
                <w:sz w:val="21"/>
                <w:szCs w:val="21"/>
                <w:highlight w:val="none"/>
                <w:lang w:val="en-US" w:eastAsia="zh-CN" w:bidi="ar-SA"/>
              </w:rPr>
              <w:t>电子签章</w:t>
            </w:r>
            <w:r>
              <w:rPr>
                <w:rFonts w:ascii="华文细黑" w:hAnsi="宋体" w:eastAsia="宋体" w:cs="Times New Roman"/>
                <w:b/>
                <w:kern w:val="0"/>
                <w:sz w:val="21"/>
                <w:szCs w:val="21"/>
                <w:highlight w:val="none"/>
                <w:lang w:val="en-US" w:eastAsia="zh-CN" w:bidi="ar-SA"/>
              </w:rPr>
              <w:t>）</w:t>
            </w:r>
          </w:p>
        </w:tc>
      </w:tr>
      <w:tr w14:paraId="13D09206">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top"/>
          </w:tcPr>
          <w:p w14:paraId="54DC0648">
            <w:pPr>
              <w:widowControl w:val="0"/>
              <w:tabs>
                <w:tab w:val="left" w:pos="1200"/>
              </w:tabs>
              <w:snapToGrid w:val="0"/>
              <w:spacing w:line="360" w:lineRule="auto"/>
              <w:jc w:val="both"/>
              <w:textAlignment w:val="center"/>
              <w:rPr>
                <w:rFonts w:hint="eastAsia" w:ascii="华文细黑" w:hAnsi="宋体" w:eastAsia="宋体" w:cs="Times New Roman"/>
                <w:kern w:val="0"/>
                <w:sz w:val="21"/>
                <w:szCs w:val="21"/>
                <w:highlight w:val="none"/>
                <w:lang w:val="en-US" w:eastAsia="zh-CN" w:bidi="ar-SA"/>
              </w:rPr>
            </w:pPr>
          </w:p>
        </w:tc>
      </w:tr>
    </w:tbl>
    <w:p w14:paraId="2975F5BE">
      <w:pPr>
        <w:snapToGrid w:val="0"/>
        <w:spacing w:line="360" w:lineRule="auto"/>
        <w:ind w:firstLine="4712" w:firstLineChars="2235"/>
        <w:jc w:val="right"/>
        <w:rPr>
          <w:highlight w:val="none"/>
        </w:rPr>
      </w:pPr>
      <w:r>
        <w:rPr>
          <w:rFonts w:ascii="宋体" w:hAnsi="宋体" w:eastAsia="宋体" w:cs="Times New Roman"/>
          <w:b/>
          <w:szCs w:val="21"/>
          <w:highlight w:val="none"/>
        </w:rPr>
        <w:t>年</w:t>
      </w:r>
      <w:r>
        <w:rPr>
          <w:rFonts w:hint="eastAsia" w:ascii="宋体" w:hAnsi="宋体" w:eastAsia="宋体" w:cs="Times New Roman"/>
          <w:b/>
          <w:szCs w:val="21"/>
          <w:highlight w:val="none"/>
        </w:rPr>
        <w:t xml:space="preserve"> </w:t>
      </w:r>
      <w:r>
        <w:rPr>
          <w:rFonts w:ascii="宋体" w:hAnsi="宋体" w:eastAsia="宋体" w:cs="Times New Roman"/>
          <w:b/>
          <w:szCs w:val="21"/>
          <w:highlight w:val="none"/>
        </w:rPr>
        <w:t xml:space="preserve"> 月</w:t>
      </w:r>
      <w:r>
        <w:rPr>
          <w:rFonts w:hint="eastAsia" w:ascii="宋体" w:hAnsi="宋体" w:eastAsia="宋体" w:cs="Times New Roman"/>
          <w:b/>
          <w:szCs w:val="21"/>
          <w:highlight w:val="none"/>
        </w:rPr>
        <w:t xml:space="preserve"> </w:t>
      </w:r>
      <w:r>
        <w:rPr>
          <w:rFonts w:ascii="宋体" w:hAnsi="宋体" w:eastAsia="宋体" w:cs="Times New Roman"/>
          <w:b/>
          <w:szCs w:val="21"/>
          <w:highlight w:val="none"/>
        </w:rPr>
        <w:t xml:space="preserve"> 日</w:t>
      </w:r>
    </w:p>
    <w:p w14:paraId="00AC71E8">
      <w:pPr>
        <w:spacing w:line="360" w:lineRule="auto"/>
        <w:rPr>
          <w:highlight w:val="none"/>
        </w:rPr>
      </w:pPr>
    </w:p>
    <w:p w14:paraId="47BB687C">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2"/>
        <w:rPr>
          <w:rFonts w:hint="default" w:ascii="Times New Roman" w:hAnsi="Times New Roman" w:eastAsia="宋体" w:cs="Times New Roman"/>
          <w:b/>
          <w:bCs w:val="0"/>
          <w:kern w:val="2"/>
          <w:sz w:val="22"/>
          <w:szCs w:val="21"/>
          <w:highlight w:val="none"/>
          <w:lang w:val="en-US" w:eastAsia="zh-CN" w:bidi="ar-SA"/>
        </w:rPr>
      </w:pPr>
      <w:r>
        <w:rPr>
          <w:bCs/>
          <w:sz w:val="32"/>
          <w:highlight w:val="none"/>
        </w:rPr>
        <w:br w:type="page"/>
      </w:r>
      <w:bookmarkStart w:id="307" w:name="_Toc347849262"/>
      <w:bookmarkStart w:id="308" w:name="_Toc9648"/>
      <w:bookmarkStart w:id="309" w:name="_Toc147935917"/>
      <w:r>
        <w:rPr>
          <w:rFonts w:hint="eastAsia" w:ascii="Times New Roman" w:hAnsi="Times New Roman" w:eastAsia="宋体" w:cs="Times New Roman"/>
          <w:b/>
          <w:sz w:val="30"/>
          <w:szCs w:val="30"/>
          <w:highlight w:val="none"/>
          <w:lang w:val="en-US" w:eastAsia="zh-CN"/>
        </w:rPr>
        <w:t>（二）技术文件</w:t>
      </w:r>
    </w:p>
    <w:p w14:paraId="614EC287">
      <w:pPr>
        <w:keepNext/>
        <w:keepLines/>
        <w:pageBreakBefore w:val="0"/>
        <w:widowControl w:val="0"/>
        <w:kinsoku/>
        <w:wordWrap/>
        <w:overflowPunct/>
        <w:topLinePunct w:val="0"/>
        <w:autoSpaceDE/>
        <w:autoSpaceDN/>
        <w:bidi w:val="0"/>
        <w:adjustRightInd/>
        <w:snapToGrid/>
        <w:spacing w:line="360" w:lineRule="auto"/>
        <w:jc w:val="center"/>
        <w:textAlignment w:val="auto"/>
        <w:outlineLvl w:val="3"/>
        <w:rPr>
          <w:rFonts w:hint="eastAsia" w:ascii="宋体" w:hAnsi="宋体"/>
          <w:b/>
          <w:bCs/>
          <w:sz w:val="28"/>
          <w:szCs w:val="32"/>
          <w:highlight w:val="none"/>
        </w:rPr>
      </w:pPr>
      <w:bookmarkStart w:id="310" w:name="_Toc208348113"/>
      <w:bookmarkStart w:id="311" w:name="_Toc208348202"/>
      <w:r>
        <w:rPr>
          <w:rFonts w:hint="eastAsia" w:ascii="宋体" w:hAnsi="宋体"/>
          <w:b/>
          <w:bCs/>
          <w:sz w:val="28"/>
          <w:szCs w:val="32"/>
          <w:highlight w:val="none"/>
          <w:lang w:val="en-US" w:eastAsia="zh-CN"/>
        </w:rPr>
        <w:t>1.</w:t>
      </w:r>
      <w:r>
        <w:rPr>
          <w:rFonts w:ascii="宋体" w:hAnsi="宋体"/>
          <w:b/>
          <w:bCs/>
          <w:sz w:val="28"/>
          <w:szCs w:val="32"/>
          <w:highlight w:val="none"/>
        </w:rPr>
        <w:t>施工组织方案</w:t>
      </w:r>
      <w:bookmarkEnd w:id="310"/>
      <w:bookmarkEnd w:id="311"/>
    </w:p>
    <w:p w14:paraId="67986FB5">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szCs w:val="21"/>
          <w:highlight w:val="none"/>
        </w:rPr>
      </w:pPr>
      <w:r>
        <w:rPr>
          <w:rFonts w:ascii="宋体" w:hAnsi="宋体"/>
          <w:szCs w:val="21"/>
          <w:highlight w:val="none"/>
        </w:rPr>
        <w:t>（</w:t>
      </w:r>
      <w:r>
        <w:rPr>
          <w:rFonts w:hint="eastAsia" w:ascii="宋体" w:hAnsi="宋体"/>
          <w:szCs w:val="21"/>
          <w:highlight w:val="none"/>
        </w:rPr>
        <w:t>内容格式自拟</w:t>
      </w:r>
      <w:r>
        <w:rPr>
          <w:rFonts w:ascii="宋体" w:hAnsi="宋体"/>
          <w:szCs w:val="21"/>
          <w:highlight w:val="none"/>
        </w:rPr>
        <w:t>）</w:t>
      </w:r>
    </w:p>
    <w:p w14:paraId="6B5024FC">
      <w:pPr>
        <w:spacing w:line="360" w:lineRule="auto"/>
        <w:jc w:val="left"/>
        <w:rPr>
          <w:rFonts w:hint="eastAsia" w:ascii="宋体" w:hAnsi="宋体"/>
          <w:b/>
          <w:sz w:val="28"/>
          <w:szCs w:val="28"/>
          <w:highlight w:val="none"/>
        </w:rPr>
      </w:pPr>
    </w:p>
    <w:p w14:paraId="469ADD6E">
      <w:pPr>
        <w:spacing w:line="360" w:lineRule="auto"/>
        <w:jc w:val="left"/>
        <w:rPr>
          <w:rFonts w:hint="eastAsia" w:ascii="宋体" w:hAnsi="宋体"/>
          <w:b/>
          <w:sz w:val="28"/>
          <w:szCs w:val="28"/>
          <w:highlight w:val="none"/>
        </w:rPr>
      </w:pPr>
    </w:p>
    <w:p w14:paraId="7BAB2560">
      <w:pPr>
        <w:keepNext/>
        <w:keepLines/>
        <w:spacing w:line="360" w:lineRule="auto"/>
        <w:jc w:val="center"/>
        <w:outlineLvl w:val="3"/>
        <w:rPr>
          <w:rFonts w:hint="eastAsia" w:ascii="宋体" w:hAnsi="宋体"/>
          <w:b/>
          <w:bCs/>
          <w:sz w:val="28"/>
          <w:szCs w:val="32"/>
          <w:highlight w:val="none"/>
        </w:rPr>
      </w:pPr>
      <w:r>
        <w:rPr>
          <w:rFonts w:hint="eastAsia" w:ascii="宋体" w:hAnsi="宋体" w:cs="宋体"/>
          <w:b/>
          <w:bCs/>
          <w:sz w:val="28"/>
          <w:szCs w:val="21"/>
          <w:highlight w:val="none"/>
          <w:lang w:val="en-US" w:eastAsia="zh-CN"/>
        </w:rPr>
        <w:t>2.</w:t>
      </w:r>
      <w:r>
        <w:rPr>
          <w:rFonts w:hint="eastAsia" w:ascii="宋体" w:hAnsi="宋体" w:cs="宋体"/>
          <w:b/>
          <w:bCs/>
          <w:sz w:val="28"/>
          <w:szCs w:val="21"/>
          <w:highlight w:val="none"/>
        </w:rPr>
        <w:t>质量、安全管理体系与措施</w:t>
      </w:r>
    </w:p>
    <w:p w14:paraId="003D44F6">
      <w:pPr>
        <w:spacing w:line="360" w:lineRule="auto"/>
        <w:jc w:val="center"/>
        <w:rPr>
          <w:rFonts w:hint="eastAsia" w:ascii="宋体" w:hAnsi="宋体"/>
          <w:highlight w:val="none"/>
        </w:rPr>
      </w:pPr>
      <w:r>
        <w:rPr>
          <w:rFonts w:hint="eastAsia" w:ascii="宋体" w:hAnsi="宋体"/>
          <w:highlight w:val="none"/>
        </w:rPr>
        <w:t>（内容格式自拟）</w:t>
      </w:r>
    </w:p>
    <w:p w14:paraId="2BB32301">
      <w:pPr>
        <w:spacing w:line="360" w:lineRule="auto"/>
        <w:jc w:val="left"/>
        <w:rPr>
          <w:rFonts w:hint="eastAsia" w:ascii="宋体" w:hAnsi="宋体"/>
          <w:highlight w:val="none"/>
        </w:rPr>
      </w:pPr>
    </w:p>
    <w:p w14:paraId="7B058E03">
      <w:pPr>
        <w:spacing w:line="360" w:lineRule="auto"/>
        <w:jc w:val="left"/>
        <w:rPr>
          <w:rFonts w:hint="eastAsia" w:ascii="宋体" w:hAnsi="宋体"/>
          <w:b/>
          <w:sz w:val="28"/>
          <w:szCs w:val="28"/>
          <w:highlight w:val="none"/>
        </w:rPr>
      </w:pPr>
      <w:r>
        <w:rPr>
          <w:rFonts w:hint="eastAsia" w:ascii="宋体" w:hAnsi="宋体"/>
          <w:b/>
          <w:sz w:val="28"/>
          <w:szCs w:val="28"/>
          <w:highlight w:val="none"/>
        </w:rPr>
        <w:t xml:space="preserve"> </w:t>
      </w:r>
    </w:p>
    <w:p w14:paraId="0664496E">
      <w:pPr>
        <w:keepNext/>
        <w:keepLines/>
        <w:spacing w:line="360" w:lineRule="auto"/>
        <w:jc w:val="center"/>
        <w:outlineLvl w:val="3"/>
        <w:rPr>
          <w:rFonts w:hint="eastAsia" w:ascii="宋体" w:hAnsi="宋体"/>
          <w:b/>
          <w:bCs/>
          <w:sz w:val="28"/>
          <w:szCs w:val="32"/>
          <w:highlight w:val="none"/>
        </w:rPr>
      </w:pPr>
      <w:r>
        <w:rPr>
          <w:rFonts w:hint="eastAsia" w:ascii="宋体" w:hAnsi="宋体"/>
          <w:b/>
          <w:bCs/>
          <w:sz w:val="28"/>
          <w:szCs w:val="21"/>
          <w:highlight w:val="none"/>
          <w:lang w:val="en-US" w:eastAsia="zh-CN"/>
        </w:rPr>
        <w:t>3.</w:t>
      </w:r>
      <w:r>
        <w:rPr>
          <w:rFonts w:hint="eastAsia" w:ascii="宋体" w:hAnsi="宋体"/>
          <w:b/>
          <w:bCs/>
          <w:sz w:val="28"/>
          <w:szCs w:val="21"/>
          <w:highlight w:val="none"/>
        </w:rPr>
        <w:t>文明、绿色施工及环境保护管理体系与措施</w:t>
      </w:r>
    </w:p>
    <w:p w14:paraId="29CA5B15">
      <w:pPr>
        <w:spacing w:line="360" w:lineRule="auto"/>
        <w:jc w:val="center"/>
        <w:rPr>
          <w:rFonts w:hint="eastAsia" w:ascii="宋体" w:hAnsi="宋体"/>
          <w:highlight w:val="none"/>
        </w:rPr>
      </w:pPr>
      <w:r>
        <w:rPr>
          <w:rFonts w:hint="eastAsia" w:ascii="宋体" w:hAnsi="宋体"/>
          <w:highlight w:val="none"/>
        </w:rPr>
        <w:t>（内容格式自拟）</w:t>
      </w:r>
    </w:p>
    <w:p w14:paraId="0A9AD9E3">
      <w:pPr>
        <w:spacing w:line="360" w:lineRule="auto"/>
        <w:jc w:val="left"/>
        <w:rPr>
          <w:rFonts w:hint="eastAsia" w:ascii="宋体" w:hAnsi="宋体"/>
          <w:b/>
          <w:sz w:val="28"/>
          <w:szCs w:val="28"/>
          <w:highlight w:val="none"/>
        </w:rPr>
      </w:pPr>
      <w:r>
        <w:rPr>
          <w:rFonts w:hint="eastAsia" w:ascii="宋体" w:hAnsi="宋体"/>
          <w:b/>
          <w:sz w:val="28"/>
          <w:szCs w:val="28"/>
          <w:highlight w:val="none"/>
        </w:rPr>
        <w:t xml:space="preserve"> </w:t>
      </w:r>
    </w:p>
    <w:p w14:paraId="16417CDE">
      <w:pPr>
        <w:spacing w:line="360" w:lineRule="auto"/>
        <w:jc w:val="left"/>
        <w:rPr>
          <w:rFonts w:hint="eastAsia" w:ascii="宋体" w:hAnsi="宋体"/>
          <w:b/>
          <w:sz w:val="28"/>
          <w:szCs w:val="28"/>
          <w:highlight w:val="none"/>
        </w:rPr>
      </w:pPr>
    </w:p>
    <w:p w14:paraId="53AE2F0D">
      <w:pPr>
        <w:keepNext/>
        <w:keepLines/>
        <w:tabs>
          <w:tab w:val="left" w:pos="360"/>
        </w:tabs>
        <w:spacing w:line="360" w:lineRule="auto"/>
        <w:ind w:left="425"/>
        <w:jc w:val="center"/>
        <w:outlineLvl w:val="9"/>
        <w:rPr>
          <w:rFonts w:hint="eastAsia" w:ascii="宋体" w:hAnsi="宋体" w:cs="宋体"/>
          <w:b/>
          <w:bCs/>
          <w:sz w:val="28"/>
          <w:szCs w:val="28"/>
          <w:highlight w:val="none"/>
        </w:rPr>
      </w:pPr>
      <w:bookmarkStart w:id="312" w:name="_Toc12863"/>
      <w:bookmarkStart w:id="313" w:name="_Toc2066"/>
      <w:bookmarkStart w:id="314" w:name="_Toc208348118"/>
      <w:bookmarkStart w:id="315" w:name="_Toc139471275"/>
      <w:bookmarkStart w:id="316" w:name="_Toc208348207"/>
      <w:bookmarkStart w:id="317" w:name="_Toc147601957"/>
      <w:bookmarkStart w:id="318" w:name="_Toc139471157"/>
      <w:bookmarkStart w:id="319" w:name="_Toc131545999"/>
      <w:bookmarkStart w:id="320" w:name="_Toc23619"/>
      <w:bookmarkStart w:id="321" w:name="_Toc137737750"/>
      <w:bookmarkStart w:id="322" w:name="_Toc496521012"/>
      <w:bookmarkStart w:id="323" w:name="_Toc11282"/>
      <w:bookmarkStart w:id="324" w:name="_Toc493600044"/>
      <w:bookmarkStart w:id="325" w:name="_Toc21100"/>
    </w:p>
    <w:p w14:paraId="72582BC7">
      <w:pPr>
        <w:keepNext/>
        <w:keepLines/>
        <w:tabs>
          <w:tab w:val="left" w:pos="360"/>
        </w:tabs>
        <w:spacing w:line="360" w:lineRule="auto"/>
        <w:ind w:left="425"/>
        <w:jc w:val="center"/>
        <w:outlineLvl w:val="9"/>
        <w:rPr>
          <w:rFonts w:hint="eastAsia" w:ascii="宋体" w:hAnsi="宋体" w:cs="宋体"/>
          <w:b/>
          <w:bCs/>
          <w:sz w:val="28"/>
          <w:szCs w:val="28"/>
          <w:highlight w:val="none"/>
        </w:rPr>
      </w:pPr>
    </w:p>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14:paraId="5AFEA575">
      <w:pPr>
        <w:keepNext/>
        <w:keepLines/>
        <w:numPr>
          <w:ilvl w:val="1"/>
          <w:numId w:val="0"/>
        </w:numPr>
        <w:tabs>
          <w:tab w:val="left" w:pos="360"/>
        </w:tabs>
        <w:spacing w:line="360" w:lineRule="auto"/>
        <w:jc w:val="center"/>
        <w:outlineLvl w:val="3"/>
        <w:rPr>
          <w:rFonts w:hint="eastAsia" w:ascii="宋体" w:hAnsi="宋体" w:cs="宋体"/>
          <w:b/>
          <w:bCs/>
          <w:sz w:val="28"/>
          <w:szCs w:val="28"/>
          <w:highlight w:val="none"/>
        </w:rPr>
      </w:pPr>
      <w:bookmarkStart w:id="326" w:name="_Toc174031568"/>
      <w:bookmarkStart w:id="327" w:name="_Toc156995328"/>
      <w:bookmarkStart w:id="328" w:name="_Toc174031563"/>
      <w:bookmarkStart w:id="329" w:name="_Toc174031482"/>
      <w:bookmarkStart w:id="330" w:name="_Toc174031477"/>
      <w:bookmarkStart w:id="331" w:name="_Toc179645143"/>
      <w:bookmarkStart w:id="332" w:name="_Toc174031567"/>
      <w:bookmarkStart w:id="333" w:name="_Toc174031481"/>
      <w:r>
        <w:rPr>
          <w:rFonts w:hint="eastAsia" w:ascii="宋体" w:hAnsi="宋体" w:cs="宋体"/>
          <w:b/>
          <w:sz w:val="28"/>
          <w:szCs w:val="28"/>
          <w:highlight w:val="none"/>
          <w:lang w:val="en-US" w:eastAsia="zh-CN"/>
        </w:rPr>
        <w:t>4.</w:t>
      </w:r>
      <w:r>
        <w:rPr>
          <w:rFonts w:hint="eastAsia" w:ascii="宋体" w:hAnsi="宋体" w:cs="宋体"/>
          <w:b/>
          <w:sz w:val="28"/>
          <w:szCs w:val="28"/>
          <w:highlight w:val="none"/>
        </w:rPr>
        <w:t>工程进度计划、资源配备计划与保证措施</w:t>
      </w:r>
    </w:p>
    <w:p w14:paraId="5296C41A">
      <w:pPr>
        <w:spacing w:line="360" w:lineRule="auto"/>
        <w:jc w:val="center"/>
        <w:rPr>
          <w:rFonts w:hint="eastAsia" w:ascii="宋体" w:hAnsi="宋体" w:cs="宋体"/>
          <w:szCs w:val="21"/>
          <w:highlight w:val="none"/>
        </w:rPr>
      </w:pPr>
      <w:r>
        <w:rPr>
          <w:rFonts w:hint="eastAsia" w:ascii="宋体" w:hAnsi="宋体" w:cs="宋体"/>
          <w:szCs w:val="21"/>
          <w:highlight w:val="none"/>
        </w:rPr>
        <w:t>（内容格式自拟）</w:t>
      </w:r>
    </w:p>
    <w:p w14:paraId="0D4219DB">
      <w:pPr>
        <w:spacing w:line="360" w:lineRule="auto"/>
        <w:ind w:firstLine="420" w:firstLineChars="200"/>
        <w:rPr>
          <w:rFonts w:hint="eastAsia" w:ascii="宋体" w:hAnsi="等线"/>
          <w:szCs w:val="22"/>
          <w:highlight w:val="none"/>
        </w:rPr>
      </w:pPr>
    </w:p>
    <w:p w14:paraId="43467E51">
      <w:pPr>
        <w:spacing w:line="360" w:lineRule="auto"/>
        <w:rPr>
          <w:highlight w:val="none"/>
        </w:rPr>
      </w:pPr>
    </w:p>
    <w:p w14:paraId="3B8E11A4">
      <w:pPr>
        <w:rPr>
          <w:rFonts w:hint="eastAsia" w:ascii="宋体" w:hAnsi="宋体" w:cs="宋体"/>
          <w:b/>
          <w:sz w:val="28"/>
          <w:szCs w:val="28"/>
          <w:highlight w:val="none"/>
        </w:rPr>
      </w:pPr>
      <w:bookmarkStart w:id="334" w:name="_Toc147601954"/>
      <w:bookmarkStart w:id="335" w:name="_Toc139471272"/>
      <w:bookmarkStart w:id="336" w:name="_Toc29792"/>
      <w:bookmarkStart w:id="337" w:name="_Toc30090"/>
      <w:bookmarkStart w:id="338" w:name="_Toc139471154"/>
      <w:bookmarkStart w:id="339" w:name="_Toc2780"/>
      <w:bookmarkStart w:id="340" w:name="_Toc32094"/>
      <w:bookmarkStart w:id="341" w:name="_Toc131545997"/>
      <w:bookmarkStart w:id="342" w:name="_Toc137737747"/>
      <w:bookmarkStart w:id="343" w:name="_Toc208348211"/>
      <w:bookmarkStart w:id="344" w:name="_Toc208348122"/>
      <w:r>
        <w:rPr>
          <w:rFonts w:hint="eastAsia" w:ascii="宋体" w:hAnsi="宋体" w:cs="宋体"/>
          <w:b/>
          <w:sz w:val="28"/>
          <w:szCs w:val="28"/>
          <w:highlight w:val="none"/>
        </w:rPr>
        <w:br w:type="page"/>
      </w:r>
    </w:p>
    <w:bookmarkEnd w:id="334"/>
    <w:bookmarkEnd w:id="335"/>
    <w:bookmarkEnd w:id="336"/>
    <w:bookmarkEnd w:id="337"/>
    <w:bookmarkEnd w:id="338"/>
    <w:bookmarkEnd w:id="339"/>
    <w:bookmarkEnd w:id="340"/>
    <w:bookmarkEnd w:id="341"/>
    <w:bookmarkEnd w:id="342"/>
    <w:p w14:paraId="12A7FDCC">
      <w:pPr>
        <w:keepNext/>
        <w:keepLines/>
        <w:numPr>
          <w:ilvl w:val="1"/>
          <w:numId w:val="0"/>
        </w:numPr>
        <w:tabs>
          <w:tab w:val="left" w:pos="360"/>
        </w:tabs>
        <w:spacing w:line="360" w:lineRule="auto"/>
        <w:jc w:val="center"/>
        <w:outlineLvl w:val="3"/>
        <w:rPr>
          <w:rFonts w:hint="eastAsia" w:ascii="宋体" w:hAnsi="宋体" w:cs="宋体"/>
          <w:b/>
          <w:bCs/>
          <w:sz w:val="28"/>
          <w:szCs w:val="28"/>
          <w:highlight w:val="none"/>
        </w:rPr>
      </w:pPr>
      <w:r>
        <w:rPr>
          <w:rFonts w:hint="eastAsia" w:ascii="宋体" w:hAnsi="宋体" w:cs="宋体"/>
          <w:b/>
          <w:sz w:val="28"/>
          <w:szCs w:val="28"/>
          <w:highlight w:val="none"/>
          <w:lang w:val="en-US" w:eastAsia="zh-CN"/>
        </w:rPr>
        <w:t>5.</w:t>
      </w:r>
      <w:r>
        <w:rPr>
          <w:rFonts w:hint="eastAsia" w:ascii="宋体" w:hAnsi="宋体" w:cs="宋体"/>
          <w:b/>
          <w:sz w:val="28"/>
          <w:szCs w:val="28"/>
          <w:highlight w:val="none"/>
        </w:rPr>
        <w:t>项目管理机构配置</w:t>
      </w:r>
      <w:bookmarkEnd w:id="343"/>
      <w:bookmarkEnd w:id="344"/>
    </w:p>
    <w:p w14:paraId="47661E1A">
      <w:pPr>
        <w:keepNext/>
        <w:numPr>
          <w:ilvl w:val="1"/>
          <w:numId w:val="0"/>
        </w:numPr>
        <w:tabs>
          <w:tab w:val="left" w:pos="1021"/>
        </w:tabs>
        <w:adjustRightInd w:val="0"/>
        <w:spacing w:line="360" w:lineRule="auto"/>
        <w:jc w:val="center"/>
        <w:textAlignment w:val="baseline"/>
        <w:outlineLvl w:val="4"/>
        <w:rPr>
          <w:rFonts w:hint="eastAsia" w:ascii="宋体" w:hAnsi="宋体" w:cs="宋体"/>
          <w:b/>
          <w:bCs/>
          <w:kern w:val="0"/>
          <w:sz w:val="24"/>
          <w:highlight w:val="none"/>
        </w:rPr>
      </w:pPr>
      <w:bookmarkStart w:id="345" w:name="_Toc29599"/>
      <w:bookmarkStart w:id="346" w:name="_Toc25067"/>
      <w:bookmarkStart w:id="347" w:name="_Toc7436350"/>
      <w:bookmarkStart w:id="348" w:name="_Toc29736"/>
      <w:bookmarkStart w:id="349" w:name="_Toc17400"/>
      <w:bookmarkStart w:id="350" w:name="_Toc489883529"/>
      <w:r>
        <w:rPr>
          <w:rFonts w:hint="eastAsia" w:ascii="宋体" w:hAnsi="宋体" w:cs="宋体"/>
          <w:b/>
          <w:bCs/>
          <w:kern w:val="0"/>
          <w:sz w:val="24"/>
          <w:highlight w:val="none"/>
          <w:lang w:val="en-US" w:eastAsia="zh-CN"/>
        </w:rPr>
        <w:t>5.1</w:t>
      </w:r>
      <w:r>
        <w:rPr>
          <w:rFonts w:hint="eastAsia" w:ascii="宋体" w:hAnsi="宋体" w:cs="宋体"/>
          <w:b/>
          <w:bCs/>
          <w:kern w:val="0"/>
          <w:sz w:val="24"/>
          <w:highlight w:val="none"/>
        </w:rPr>
        <w:t>项目经理简历表</w:t>
      </w:r>
      <w:bookmarkEnd w:id="345"/>
      <w:bookmarkEnd w:id="346"/>
      <w:bookmarkEnd w:id="347"/>
      <w:bookmarkEnd w:id="348"/>
      <w:bookmarkEnd w:id="349"/>
      <w:bookmarkEnd w:id="350"/>
    </w:p>
    <w:tbl>
      <w:tblPr>
        <w:tblStyle w:val="41"/>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81"/>
        <w:gridCol w:w="1005"/>
        <w:gridCol w:w="1205"/>
        <w:gridCol w:w="1205"/>
        <w:gridCol w:w="605"/>
        <w:gridCol w:w="1639"/>
        <w:gridCol w:w="169"/>
        <w:gridCol w:w="2218"/>
      </w:tblGrid>
      <w:tr w14:paraId="5BB903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pct"/>
            <w:tcBorders>
              <w:tl2br w:val="nil"/>
              <w:tr2bl w:val="nil"/>
            </w:tcBorders>
            <w:noWrap w:val="0"/>
            <w:vAlign w:val="center"/>
          </w:tcPr>
          <w:p w14:paraId="0EDE7774">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姓名</w:t>
            </w:r>
          </w:p>
        </w:tc>
        <w:tc>
          <w:tcPr>
            <w:tcW w:w="668" w:type="pct"/>
            <w:gridSpan w:val="2"/>
            <w:tcBorders>
              <w:tl2br w:val="nil"/>
              <w:tr2bl w:val="nil"/>
            </w:tcBorders>
            <w:noWrap w:val="0"/>
            <w:vAlign w:val="center"/>
          </w:tcPr>
          <w:p w14:paraId="284F51EB">
            <w:pPr>
              <w:autoSpaceDE w:val="0"/>
              <w:autoSpaceDN w:val="0"/>
              <w:adjustRightInd w:val="0"/>
              <w:spacing w:line="276" w:lineRule="auto"/>
              <w:jc w:val="center"/>
              <w:rPr>
                <w:rFonts w:hint="eastAsia" w:ascii="宋体" w:hAnsi="宋体" w:cs="宋体"/>
                <w:kern w:val="0"/>
                <w:highlight w:val="none"/>
              </w:rPr>
            </w:pPr>
          </w:p>
        </w:tc>
        <w:tc>
          <w:tcPr>
            <w:tcW w:w="626" w:type="pct"/>
            <w:tcBorders>
              <w:tl2br w:val="nil"/>
              <w:tr2bl w:val="nil"/>
            </w:tcBorders>
            <w:noWrap w:val="0"/>
            <w:vAlign w:val="center"/>
          </w:tcPr>
          <w:p w14:paraId="31F3A772">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年龄</w:t>
            </w:r>
          </w:p>
        </w:tc>
        <w:tc>
          <w:tcPr>
            <w:tcW w:w="626" w:type="pct"/>
            <w:tcBorders>
              <w:tl2br w:val="nil"/>
              <w:tr2bl w:val="nil"/>
            </w:tcBorders>
            <w:noWrap w:val="0"/>
            <w:vAlign w:val="center"/>
          </w:tcPr>
          <w:p w14:paraId="7E7F0D3F">
            <w:pPr>
              <w:autoSpaceDE w:val="0"/>
              <w:autoSpaceDN w:val="0"/>
              <w:adjustRightInd w:val="0"/>
              <w:spacing w:line="276" w:lineRule="auto"/>
              <w:jc w:val="center"/>
              <w:rPr>
                <w:rFonts w:hint="eastAsia" w:ascii="宋体" w:hAnsi="宋体" w:cs="宋体"/>
                <w:kern w:val="0"/>
                <w:highlight w:val="none"/>
              </w:rPr>
            </w:pPr>
          </w:p>
        </w:tc>
        <w:tc>
          <w:tcPr>
            <w:tcW w:w="1253" w:type="pct"/>
            <w:gridSpan w:val="3"/>
            <w:tcBorders>
              <w:tl2br w:val="nil"/>
              <w:tr2bl w:val="nil"/>
            </w:tcBorders>
            <w:noWrap w:val="0"/>
            <w:vAlign w:val="center"/>
          </w:tcPr>
          <w:p w14:paraId="42D37C4C">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学历</w:t>
            </w:r>
          </w:p>
        </w:tc>
        <w:tc>
          <w:tcPr>
            <w:tcW w:w="1152" w:type="pct"/>
            <w:tcBorders>
              <w:tl2br w:val="nil"/>
              <w:tr2bl w:val="nil"/>
            </w:tcBorders>
            <w:noWrap w:val="0"/>
            <w:vAlign w:val="center"/>
          </w:tcPr>
          <w:p w14:paraId="363B6595">
            <w:pPr>
              <w:autoSpaceDE w:val="0"/>
              <w:autoSpaceDN w:val="0"/>
              <w:adjustRightInd w:val="0"/>
              <w:spacing w:line="276" w:lineRule="auto"/>
              <w:jc w:val="center"/>
              <w:rPr>
                <w:rFonts w:hint="eastAsia" w:ascii="宋体" w:hAnsi="宋体" w:cs="宋体"/>
                <w:kern w:val="0"/>
                <w:highlight w:val="none"/>
              </w:rPr>
            </w:pPr>
          </w:p>
        </w:tc>
      </w:tr>
      <w:tr w14:paraId="5F8C0A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pct"/>
            <w:tcBorders>
              <w:tl2br w:val="nil"/>
              <w:tr2bl w:val="nil"/>
            </w:tcBorders>
            <w:noWrap w:val="0"/>
            <w:vAlign w:val="center"/>
          </w:tcPr>
          <w:p w14:paraId="7A980BCD">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职称</w:t>
            </w:r>
          </w:p>
        </w:tc>
        <w:tc>
          <w:tcPr>
            <w:tcW w:w="668" w:type="pct"/>
            <w:gridSpan w:val="2"/>
            <w:tcBorders>
              <w:tl2br w:val="nil"/>
              <w:tr2bl w:val="nil"/>
            </w:tcBorders>
            <w:noWrap w:val="0"/>
            <w:vAlign w:val="center"/>
          </w:tcPr>
          <w:p w14:paraId="545FC3DB">
            <w:pPr>
              <w:autoSpaceDE w:val="0"/>
              <w:autoSpaceDN w:val="0"/>
              <w:adjustRightInd w:val="0"/>
              <w:spacing w:line="276" w:lineRule="auto"/>
              <w:jc w:val="center"/>
              <w:rPr>
                <w:rFonts w:hint="eastAsia" w:ascii="宋体" w:hAnsi="宋体" w:cs="宋体"/>
                <w:kern w:val="0"/>
                <w:highlight w:val="none"/>
              </w:rPr>
            </w:pPr>
          </w:p>
        </w:tc>
        <w:tc>
          <w:tcPr>
            <w:tcW w:w="626" w:type="pct"/>
            <w:tcBorders>
              <w:tl2br w:val="nil"/>
              <w:tr2bl w:val="nil"/>
            </w:tcBorders>
            <w:noWrap w:val="0"/>
            <w:vAlign w:val="center"/>
          </w:tcPr>
          <w:p w14:paraId="4FE0463F">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职务</w:t>
            </w:r>
          </w:p>
        </w:tc>
        <w:tc>
          <w:tcPr>
            <w:tcW w:w="626" w:type="pct"/>
            <w:tcBorders>
              <w:tl2br w:val="nil"/>
              <w:tr2bl w:val="nil"/>
            </w:tcBorders>
            <w:noWrap w:val="0"/>
            <w:vAlign w:val="center"/>
          </w:tcPr>
          <w:p w14:paraId="1AC3FC80">
            <w:pPr>
              <w:autoSpaceDE w:val="0"/>
              <w:autoSpaceDN w:val="0"/>
              <w:adjustRightInd w:val="0"/>
              <w:spacing w:line="276" w:lineRule="auto"/>
              <w:jc w:val="center"/>
              <w:rPr>
                <w:rFonts w:hint="eastAsia" w:ascii="宋体" w:hAnsi="宋体" w:cs="宋体"/>
                <w:kern w:val="0"/>
                <w:highlight w:val="none"/>
              </w:rPr>
            </w:pPr>
          </w:p>
        </w:tc>
        <w:tc>
          <w:tcPr>
            <w:tcW w:w="1253" w:type="pct"/>
            <w:gridSpan w:val="3"/>
            <w:tcBorders>
              <w:tl2br w:val="nil"/>
              <w:tr2bl w:val="nil"/>
            </w:tcBorders>
            <w:noWrap w:val="0"/>
            <w:vAlign w:val="center"/>
          </w:tcPr>
          <w:p w14:paraId="07851FD4">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拟在本合同任职</w:t>
            </w:r>
          </w:p>
        </w:tc>
        <w:tc>
          <w:tcPr>
            <w:tcW w:w="1152" w:type="pct"/>
            <w:tcBorders>
              <w:tl2br w:val="nil"/>
              <w:tr2bl w:val="nil"/>
            </w:tcBorders>
            <w:noWrap w:val="0"/>
            <w:vAlign w:val="center"/>
          </w:tcPr>
          <w:p w14:paraId="770A963F">
            <w:pPr>
              <w:autoSpaceDE w:val="0"/>
              <w:autoSpaceDN w:val="0"/>
              <w:adjustRightInd w:val="0"/>
              <w:spacing w:line="276" w:lineRule="auto"/>
              <w:jc w:val="center"/>
              <w:rPr>
                <w:rFonts w:hint="eastAsia" w:ascii="宋体" w:hAnsi="宋体" w:cs="宋体"/>
                <w:kern w:val="0"/>
                <w:highlight w:val="none"/>
              </w:rPr>
            </w:pPr>
          </w:p>
        </w:tc>
      </w:tr>
      <w:tr w14:paraId="55DB84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5" w:type="pct"/>
            <w:tcBorders>
              <w:tl2br w:val="nil"/>
              <w:tr2bl w:val="nil"/>
            </w:tcBorders>
            <w:noWrap w:val="0"/>
            <w:vAlign w:val="center"/>
          </w:tcPr>
          <w:p w14:paraId="32ECD4E3">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毕业学校</w:t>
            </w:r>
          </w:p>
        </w:tc>
        <w:tc>
          <w:tcPr>
            <w:tcW w:w="4325" w:type="pct"/>
            <w:gridSpan w:val="8"/>
            <w:tcBorders>
              <w:tl2br w:val="nil"/>
              <w:tr2bl w:val="nil"/>
            </w:tcBorders>
            <w:noWrap w:val="0"/>
            <w:vAlign w:val="center"/>
          </w:tcPr>
          <w:p w14:paraId="25426EC8">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年毕业于            学校            专业</w:t>
            </w:r>
          </w:p>
        </w:tc>
      </w:tr>
      <w:tr w14:paraId="0E7856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9"/>
            <w:tcBorders>
              <w:tl2br w:val="nil"/>
              <w:tr2bl w:val="nil"/>
            </w:tcBorders>
            <w:noWrap w:val="0"/>
            <w:vAlign w:val="center"/>
          </w:tcPr>
          <w:p w14:paraId="7F098325">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主要工作经历</w:t>
            </w:r>
          </w:p>
        </w:tc>
      </w:tr>
      <w:tr w14:paraId="00EFAD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1" w:type="pct"/>
            <w:gridSpan w:val="2"/>
            <w:tcBorders>
              <w:tl2br w:val="nil"/>
              <w:tr2bl w:val="nil"/>
            </w:tcBorders>
            <w:noWrap w:val="0"/>
            <w:vAlign w:val="center"/>
          </w:tcPr>
          <w:p w14:paraId="4205CA02">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时间</w:t>
            </w:r>
          </w:p>
        </w:tc>
        <w:tc>
          <w:tcPr>
            <w:tcW w:w="2088" w:type="pct"/>
            <w:gridSpan w:val="4"/>
            <w:tcBorders>
              <w:tl2br w:val="nil"/>
              <w:tr2bl w:val="nil"/>
            </w:tcBorders>
            <w:noWrap w:val="0"/>
            <w:vAlign w:val="center"/>
          </w:tcPr>
          <w:p w14:paraId="7215304D">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参加过的类似项目</w:t>
            </w:r>
          </w:p>
        </w:tc>
        <w:tc>
          <w:tcPr>
            <w:tcW w:w="851" w:type="pct"/>
            <w:tcBorders>
              <w:tl2br w:val="nil"/>
              <w:tr2bl w:val="nil"/>
            </w:tcBorders>
            <w:noWrap w:val="0"/>
            <w:vAlign w:val="center"/>
          </w:tcPr>
          <w:p w14:paraId="68E876CD">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担任职务</w:t>
            </w:r>
          </w:p>
        </w:tc>
        <w:tc>
          <w:tcPr>
            <w:tcW w:w="1241" w:type="pct"/>
            <w:gridSpan w:val="2"/>
            <w:tcBorders>
              <w:tl2br w:val="nil"/>
              <w:tr2bl w:val="nil"/>
            </w:tcBorders>
            <w:noWrap w:val="0"/>
            <w:vAlign w:val="center"/>
          </w:tcPr>
          <w:p w14:paraId="73C4A3E3">
            <w:pPr>
              <w:autoSpaceDE w:val="0"/>
              <w:autoSpaceDN w:val="0"/>
              <w:adjustRightInd w:val="0"/>
              <w:spacing w:line="276" w:lineRule="auto"/>
              <w:jc w:val="center"/>
              <w:rPr>
                <w:rFonts w:hint="eastAsia" w:ascii="宋体" w:hAnsi="宋体" w:cs="宋体"/>
                <w:b/>
                <w:bCs/>
                <w:kern w:val="0"/>
                <w:highlight w:val="none"/>
              </w:rPr>
            </w:pPr>
            <w:r>
              <w:rPr>
                <w:rFonts w:hint="eastAsia" w:ascii="宋体" w:hAnsi="宋体" w:cs="宋体"/>
                <w:b/>
                <w:bCs/>
                <w:kern w:val="0"/>
                <w:highlight w:val="none"/>
              </w:rPr>
              <w:t>发包人及联系电话</w:t>
            </w:r>
          </w:p>
        </w:tc>
      </w:tr>
      <w:tr w14:paraId="1A6FC0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gridSpan w:val="2"/>
            <w:tcBorders>
              <w:tl2br w:val="nil"/>
              <w:tr2bl w:val="nil"/>
            </w:tcBorders>
            <w:noWrap w:val="0"/>
            <w:vAlign w:val="center"/>
          </w:tcPr>
          <w:p w14:paraId="07AC0A63">
            <w:pPr>
              <w:autoSpaceDE w:val="0"/>
              <w:autoSpaceDN w:val="0"/>
              <w:adjustRightInd w:val="0"/>
              <w:spacing w:line="520" w:lineRule="exact"/>
              <w:jc w:val="center"/>
              <w:rPr>
                <w:rFonts w:hint="eastAsia" w:ascii="宋体" w:hAnsi="宋体" w:cs="宋体"/>
                <w:kern w:val="0"/>
                <w:highlight w:val="none"/>
              </w:rPr>
            </w:pPr>
          </w:p>
        </w:tc>
        <w:tc>
          <w:tcPr>
            <w:tcW w:w="2088" w:type="pct"/>
            <w:gridSpan w:val="4"/>
            <w:tcBorders>
              <w:tl2br w:val="nil"/>
              <w:tr2bl w:val="nil"/>
            </w:tcBorders>
            <w:noWrap w:val="0"/>
            <w:vAlign w:val="center"/>
          </w:tcPr>
          <w:p w14:paraId="14CD20CE">
            <w:pPr>
              <w:autoSpaceDE w:val="0"/>
              <w:autoSpaceDN w:val="0"/>
              <w:adjustRightInd w:val="0"/>
              <w:spacing w:line="520" w:lineRule="exact"/>
              <w:jc w:val="center"/>
              <w:rPr>
                <w:rFonts w:hint="eastAsia" w:ascii="宋体" w:hAnsi="宋体" w:cs="宋体"/>
                <w:kern w:val="0"/>
                <w:highlight w:val="none"/>
              </w:rPr>
            </w:pPr>
          </w:p>
        </w:tc>
        <w:tc>
          <w:tcPr>
            <w:tcW w:w="851" w:type="pct"/>
            <w:tcBorders>
              <w:tl2br w:val="nil"/>
              <w:tr2bl w:val="nil"/>
            </w:tcBorders>
            <w:noWrap w:val="0"/>
            <w:vAlign w:val="center"/>
          </w:tcPr>
          <w:p w14:paraId="31D4A2CD">
            <w:pPr>
              <w:autoSpaceDE w:val="0"/>
              <w:autoSpaceDN w:val="0"/>
              <w:adjustRightInd w:val="0"/>
              <w:spacing w:line="520" w:lineRule="exact"/>
              <w:jc w:val="center"/>
              <w:rPr>
                <w:rFonts w:hint="eastAsia" w:ascii="宋体" w:hAnsi="宋体" w:cs="宋体"/>
                <w:kern w:val="0"/>
                <w:highlight w:val="none"/>
              </w:rPr>
            </w:pPr>
          </w:p>
        </w:tc>
        <w:tc>
          <w:tcPr>
            <w:tcW w:w="1241" w:type="pct"/>
            <w:gridSpan w:val="2"/>
            <w:tcBorders>
              <w:tl2br w:val="nil"/>
              <w:tr2bl w:val="nil"/>
            </w:tcBorders>
            <w:noWrap w:val="0"/>
            <w:vAlign w:val="center"/>
          </w:tcPr>
          <w:p w14:paraId="39159C35">
            <w:pPr>
              <w:autoSpaceDE w:val="0"/>
              <w:autoSpaceDN w:val="0"/>
              <w:adjustRightInd w:val="0"/>
              <w:spacing w:line="520" w:lineRule="exact"/>
              <w:jc w:val="center"/>
              <w:rPr>
                <w:rFonts w:hint="eastAsia" w:ascii="宋体" w:hAnsi="宋体" w:cs="宋体"/>
                <w:kern w:val="0"/>
                <w:highlight w:val="none"/>
              </w:rPr>
            </w:pPr>
          </w:p>
        </w:tc>
      </w:tr>
      <w:tr w14:paraId="6F803B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gridSpan w:val="2"/>
            <w:tcBorders>
              <w:tl2br w:val="nil"/>
              <w:tr2bl w:val="nil"/>
            </w:tcBorders>
            <w:noWrap w:val="0"/>
            <w:vAlign w:val="center"/>
          </w:tcPr>
          <w:p w14:paraId="1378D593">
            <w:pPr>
              <w:autoSpaceDE w:val="0"/>
              <w:autoSpaceDN w:val="0"/>
              <w:adjustRightInd w:val="0"/>
              <w:spacing w:line="520" w:lineRule="exact"/>
              <w:jc w:val="center"/>
              <w:rPr>
                <w:rFonts w:hint="eastAsia" w:ascii="宋体" w:hAnsi="宋体" w:cs="宋体"/>
                <w:kern w:val="0"/>
                <w:highlight w:val="none"/>
              </w:rPr>
            </w:pPr>
          </w:p>
        </w:tc>
        <w:tc>
          <w:tcPr>
            <w:tcW w:w="2088" w:type="pct"/>
            <w:gridSpan w:val="4"/>
            <w:tcBorders>
              <w:tl2br w:val="nil"/>
              <w:tr2bl w:val="nil"/>
            </w:tcBorders>
            <w:noWrap w:val="0"/>
            <w:vAlign w:val="center"/>
          </w:tcPr>
          <w:p w14:paraId="4530031C">
            <w:pPr>
              <w:autoSpaceDE w:val="0"/>
              <w:autoSpaceDN w:val="0"/>
              <w:adjustRightInd w:val="0"/>
              <w:spacing w:line="520" w:lineRule="exact"/>
              <w:jc w:val="center"/>
              <w:rPr>
                <w:rFonts w:hint="eastAsia" w:ascii="宋体" w:hAnsi="宋体" w:cs="宋体"/>
                <w:kern w:val="0"/>
                <w:highlight w:val="none"/>
              </w:rPr>
            </w:pPr>
          </w:p>
        </w:tc>
        <w:tc>
          <w:tcPr>
            <w:tcW w:w="851" w:type="pct"/>
            <w:tcBorders>
              <w:tl2br w:val="nil"/>
              <w:tr2bl w:val="nil"/>
            </w:tcBorders>
            <w:noWrap w:val="0"/>
            <w:vAlign w:val="center"/>
          </w:tcPr>
          <w:p w14:paraId="2A618963">
            <w:pPr>
              <w:autoSpaceDE w:val="0"/>
              <w:autoSpaceDN w:val="0"/>
              <w:adjustRightInd w:val="0"/>
              <w:spacing w:line="520" w:lineRule="exact"/>
              <w:jc w:val="center"/>
              <w:rPr>
                <w:rFonts w:hint="eastAsia" w:ascii="宋体" w:hAnsi="宋体" w:cs="宋体"/>
                <w:kern w:val="0"/>
                <w:highlight w:val="none"/>
              </w:rPr>
            </w:pPr>
          </w:p>
        </w:tc>
        <w:tc>
          <w:tcPr>
            <w:tcW w:w="1241" w:type="pct"/>
            <w:gridSpan w:val="2"/>
            <w:tcBorders>
              <w:tl2br w:val="nil"/>
              <w:tr2bl w:val="nil"/>
            </w:tcBorders>
            <w:noWrap w:val="0"/>
            <w:vAlign w:val="center"/>
          </w:tcPr>
          <w:p w14:paraId="3E687758">
            <w:pPr>
              <w:autoSpaceDE w:val="0"/>
              <w:autoSpaceDN w:val="0"/>
              <w:adjustRightInd w:val="0"/>
              <w:spacing w:line="520" w:lineRule="exact"/>
              <w:jc w:val="center"/>
              <w:rPr>
                <w:rFonts w:hint="eastAsia" w:ascii="宋体" w:hAnsi="宋体" w:cs="宋体"/>
                <w:kern w:val="0"/>
                <w:highlight w:val="none"/>
              </w:rPr>
            </w:pPr>
          </w:p>
        </w:tc>
      </w:tr>
      <w:tr w14:paraId="1F9000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gridSpan w:val="2"/>
            <w:tcBorders>
              <w:tl2br w:val="nil"/>
              <w:tr2bl w:val="nil"/>
            </w:tcBorders>
            <w:noWrap w:val="0"/>
            <w:vAlign w:val="center"/>
          </w:tcPr>
          <w:p w14:paraId="6E4D1426">
            <w:pPr>
              <w:autoSpaceDE w:val="0"/>
              <w:autoSpaceDN w:val="0"/>
              <w:adjustRightInd w:val="0"/>
              <w:spacing w:line="520" w:lineRule="exact"/>
              <w:jc w:val="center"/>
              <w:rPr>
                <w:rFonts w:hint="eastAsia" w:ascii="宋体" w:hAnsi="宋体" w:cs="宋体"/>
                <w:kern w:val="0"/>
                <w:highlight w:val="none"/>
              </w:rPr>
            </w:pPr>
          </w:p>
        </w:tc>
        <w:tc>
          <w:tcPr>
            <w:tcW w:w="2088" w:type="pct"/>
            <w:gridSpan w:val="4"/>
            <w:tcBorders>
              <w:tl2br w:val="nil"/>
              <w:tr2bl w:val="nil"/>
            </w:tcBorders>
            <w:noWrap w:val="0"/>
            <w:vAlign w:val="center"/>
          </w:tcPr>
          <w:p w14:paraId="07C50E75">
            <w:pPr>
              <w:autoSpaceDE w:val="0"/>
              <w:autoSpaceDN w:val="0"/>
              <w:adjustRightInd w:val="0"/>
              <w:spacing w:line="520" w:lineRule="exact"/>
              <w:jc w:val="center"/>
              <w:rPr>
                <w:rFonts w:hint="eastAsia" w:ascii="宋体" w:hAnsi="宋体" w:cs="宋体"/>
                <w:kern w:val="0"/>
                <w:highlight w:val="none"/>
              </w:rPr>
            </w:pPr>
          </w:p>
        </w:tc>
        <w:tc>
          <w:tcPr>
            <w:tcW w:w="851" w:type="pct"/>
            <w:tcBorders>
              <w:tl2br w:val="nil"/>
              <w:tr2bl w:val="nil"/>
            </w:tcBorders>
            <w:noWrap w:val="0"/>
            <w:vAlign w:val="center"/>
          </w:tcPr>
          <w:p w14:paraId="223839B9">
            <w:pPr>
              <w:autoSpaceDE w:val="0"/>
              <w:autoSpaceDN w:val="0"/>
              <w:adjustRightInd w:val="0"/>
              <w:spacing w:line="520" w:lineRule="exact"/>
              <w:jc w:val="center"/>
              <w:rPr>
                <w:rFonts w:hint="eastAsia" w:ascii="宋体" w:hAnsi="宋体" w:cs="宋体"/>
                <w:kern w:val="0"/>
                <w:highlight w:val="none"/>
              </w:rPr>
            </w:pPr>
          </w:p>
        </w:tc>
        <w:tc>
          <w:tcPr>
            <w:tcW w:w="1241" w:type="pct"/>
            <w:gridSpan w:val="2"/>
            <w:tcBorders>
              <w:tl2br w:val="nil"/>
              <w:tr2bl w:val="nil"/>
            </w:tcBorders>
            <w:noWrap w:val="0"/>
            <w:vAlign w:val="center"/>
          </w:tcPr>
          <w:p w14:paraId="344F92FB">
            <w:pPr>
              <w:autoSpaceDE w:val="0"/>
              <w:autoSpaceDN w:val="0"/>
              <w:adjustRightInd w:val="0"/>
              <w:spacing w:line="520" w:lineRule="exact"/>
              <w:jc w:val="center"/>
              <w:rPr>
                <w:rFonts w:hint="eastAsia" w:ascii="宋体" w:hAnsi="宋体" w:cs="宋体"/>
                <w:kern w:val="0"/>
                <w:highlight w:val="none"/>
              </w:rPr>
            </w:pPr>
          </w:p>
        </w:tc>
      </w:tr>
      <w:tr w14:paraId="6414DA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gridSpan w:val="2"/>
            <w:tcBorders>
              <w:tl2br w:val="nil"/>
              <w:tr2bl w:val="nil"/>
            </w:tcBorders>
            <w:noWrap w:val="0"/>
            <w:vAlign w:val="center"/>
          </w:tcPr>
          <w:p w14:paraId="180179B1">
            <w:pPr>
              <w:autoSpaceDE w:val="0"/>
              <w:autoSpaceDN w:val="0"/>
              <w:adjustRightInd w:val="0"/>
              <w:spacing w:line="520" w:lineRule="exact"/>
              <w:jc w:val="center"/>
              <w:rPr>
                <w:rFonts w:hint="eastAsia" w:ascii="宋体" w:hAnsi="宋体" w:cs="宋体"/>
                <w:kern w:val="0"/>
                <w:highlight w:val="none"/>
              </w:rPr>
            </w:pPr>
          </w:p>
        </w:tc>
        <w:tc>
          <w:tcPr>
            <w:tcW w:w="2088" w:type="pct"/>
            <w:gridSpan w:val="4"/>
            <w:tcBorders>
              <w:tl2br w:val="nil"/>
              <w:tr2bl w:val="nil"/>
            </w:tcBorders>
            <w:noWrap w:val="0"/>
            <w:vAlign w:val="center"/>
          </w:tcPr>
          <w:p w14:paraId="36B2E598">
            <w:pPr>
              <w:autoSpaceDE w:val="0"/>
              <w:autoSpaceDN w:val="0"/>
              <w:adjustRightInd w:val="0"/>
              <w:spacing w:line="520" w:lineRule="exact"/>
              <w:jc w:val="center"/>
              <w:rPr>
                <w:rFonts w:hint="eastAsia" w:ascii="宋体" w:hAnsi="宋体" w:cs="宋体"/>
                <w:kern w:val="0"/>
                <w:highlight w:val="none"/>
              </w:rPr>
            </w:pPr>
          </w:p>
        </w:tc>
        <w:tc>
          <w:tcPr>
            <w:tcW w:w="851" w:type="pct"/>
            <w:tcBorders>
              <w:tl2br w:val="nil"/>
              <w:tr2bl w:val="nil"/>
            </w:tcBorders>
            <w:noWrap w:val="0"/>
            <w:vAlign w:val="center"/>
          </w:tcPr>
          <w:p w14:paraId="2A7A0965">
            <w:pPr>
              <w:autoSpaceDE w:val="0"/>
              <w:autoSpaceDN w:val="0"/>
              <w:adjustRightInd w:val="0"/>
              <w:spacing w:line="520" w:lineRule="exact"/>
              <w:jc w:val="center"/>
              <w:rPr>
                <w:rFonts w:hint="eastAsia" w:ascii="宋体" w:hAnsi="宋体" w:cs="宋体"/>
                <w:kern w:val="0"/>
                <w:highlight w:val="none"/>
              </w:rPr>
            </w:pPr>
          </w:p>
        </w:tc>
        <w:tc>
          <w:tcPr>
            <w:tcW w:w="1241" w:type="pct"/>
            <w:gridSpan w:val="2"/>
            <w:tcBorders>
              <w:tl2br w:val="nil"/>
              <w:tr2bl w:val="nil"/>
            </w:tcBorders>
            <w:noWrap w:val="0"/>
            <w:vAlign w:val="center"/>
          </w:tcPr>
          <w:p w14:paraId="5B2189DE">
            <w:pPr>
              <w:autoSpaceDE w:val="0"/>
              <w:autoSpaceDN w:val="0"/>
              <w:adjustRightInd w:val="0"/>
              <w:spacing w:line="520" w:lineRule="exact"/>
              <w:jc w:val="center"/>
              <w:rPr>
                <w:rFonts w:hint="eastAsia" w:ascii="宋体" w:hAnsi="宋体" w:cs="宋体"/>
                <w:kern w:val="0"/>
                <w:highlight w:val="none"/>
              </w:rPr>
            </w:pPr>
          </w:p>
        </w:tc>
      </w:tr>
      <w:tr w14:paraId="7DDC74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gridSpan w:val="2"/>
            <w:tcBorders>
              <w:tl2br w:val="nil"/>
              <w:tr2bl w:val="nil"/>
            </w:tcBorders>
            <w:noWrap w:val="0"/>
            <w:vAlign w:val="center"/>
          </w:tcPr>
          <w:p w14:paraId="1AC5D81F">
            <w:pPr>
              <w:autoSpaceDE w:val="0"/>
              <w:autoSpaceDN w:val="0"/>
              <w:adjustRightInd w:val="0"/>
              <w:spacing w:line="520" w:lineRule="exact"/>
              <w:jc w:val="center"/>
              <w:rPr>
                <w:rFonts w:hint="eastAsia" w:ascii="宋体" w:hAnsi="宋体" w:cs="宋体"/>
                <w:kern w:val="0"/>
                <w:highlight w:val="none"/>
              </w:rPr>
            </w:pPr>
          </w:p>
        </w:tc>
        <w:tc>
          <w:tcPr>
            <w:tcW w:w="2088" w:type="pct"/>
            <w:gridSpan w:val="4"/>
            <w:tcBorders>
              <w:tl2br w:val="nil"/>
              <w:tr2bl w:val="nil"/>
            </w:tcBorders>
            <w:noWrap w:val="0"/>
            <w:vAlign w:val="center"/>
          </w:tcPr>
          <w:p w14:paraId="166144C3">
            <w:pPr>
              <w:autoSpaceDE w:val="0"/>
              <w:autoSpaceDN w:val="0"/>
              <w:adjustRightInd w:val="0"/>
              <w:spacing w:line="520" w:lineRule="exact"/>
              <w:jc w:val="center"/>
              <w:rPr>
                <w:rFonts w:hint="eastAsia" w:ascii="宋体" w:hAnsi="宋体" w:cs="宋体"/>
                <w:kern w:val="0"/>
                <w:highlight w:val="none"/>
              </w:rPr>
            </w:pPr>
          </w:p>
        </w:tc>
        <w:tc>
          <w:tcPr>
            <w:tcW w:w="851" w:type="pct"/>
            <w:tcBorders>
              <w:tl2br w:val="nil"/>
              <w:tr2bl w:val="nil"/>
            </w:tcBorders>
            <w:noWrap w:val="0"/>
            <w:vAlign w:val="center"/>
          </w:tcPr>
          <w:p w14:paraId="15475132">
            <w:pPr>
              <w:autoSpaceDE w:val="0"/>
              <w:autoSpaceDN w:val="0"/>
              <w:adjustRightInd w:val="0"/>
              <w:spacing w:line="520" w:lineRule="exact"/>
              <w:jc w:val="center"/>
              <w:rPr>
                <w:rFonts w:hint="eastAsia" w:ascii="宋体" w:hAnsi="宋体" w:cs="宋体"/>
                <w:kern w:val="0"/>
                <w:highlight w:val="none"/>
              </w:rPr>
            </w:pPr>
          </w:p>
        </w:tc>
        <w:tc>
          <w:tcPr>
            <w:tcW w:w="1241" w:type="pct"/>
            <w:gridSpan w:val="2"/>
            <w:tcBorders>
              <w:tl2br w:val="nil"/>
              <w:tr2bl w:val="nil"/>
            </w:tcBorders>
            <w:noWrap w:val="0"/>
            <w:vAlign w:val="center"/>
          </w:tcPr>
          <w:p w14:paraId="7218556C">
            <w:pPr>
              <w:autoSpaceDE w:val="0"/>
              <w:autoSpaceDN w:val="0"/>
              <w:adjustRightInd w:val="0"/>
              <w:spacing w:line="520" w:lineRule="exact"/>
              <w:jc w:val="center"/>
              <w:rPr>
                <w:rFonts w:hint="eastAsia" w:ascii="宋体" w:hAnsi="宋体" w:cs="宋体"/>
                <w:kern w:val="0"/>
                <w:highlight w:val="none"/>
              </w:rPr>
            </w:pPr>
          </w:p>
        </w:tc>
      </w:tr>
      <w:tr w14:paraId="601349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gridSpan w:val="2"/>
            <w:tcBorders>
              <w:tl2br w:val="nil"/>
              <w:tr2bl w:val="nil"/>
            </w:tcBorders>
            <w:noWrap w:val="0"/>
            <w:vAlign w:val="center"/>
          </w:tcPr>
          <w:p w14:paraId="3767E353">
            <w:pPr>
              <w:autoSpaceDE w:val="0"/>
              <w:autoSpaceDN w:val="0"/>
              <w:adjustRightInd w:val="0"/>
              <w:spacing w:line="520" w:lineRule="exact"/>
              <w:jc w:val="center"/>
              <w:rPr>
                <w:rFonts w:hint="eastAsia" w:ascii="宋体" w:hAnsi="宋体" w:cs="宋体"/>
                <w:kern w:val="0"/>
                <w:highlight w:val="none"/>
              </w:rPr>
            </w:pPr>
          </w:p>
        </w:tc>
        <w:tc>
          <w:tcPr>
            <w:tcW w:w="2088" w:type="pct"/>
            <w:gridSpan w:val="4"/>
            <w:tcBorders>
              <w:tl2br w:val="nil"/>
              <w:tr2bl w:val="nil"/>
            </w:tcBorders>
            <w:noWrap w:val="0"/>
            <w:vAlign w:val="center"/>
          </w:tcPr>
          <w:p w14:paraId="6BD5700F">
            <w:pPr>
              <w:autoSpaceDE w:val="0"/>
              <w:autoSpaceDN w:val="0"/>
              <w:adjustRightInd w:val="0"/>
              <w:spacing w:line="520" w:lineRule="exact"/>
              <w:jc w:val="center"/>
              <w:rPr>
                <w:rFonts w:hint="eastAsia" w:ascii="宋体" w:hAnsi="宋体" w:cs="宋体"/>
                <w:kern w:val="0"/>
                <w:highlight w:val="none"/>
              </w:rPr>
            </w:pPr>
          </w:p>
        </w:tc>
        <w:tc>
          <w:tcPr>
            <w:tcW w:w="851" w:type="pct"/>
            <w:tcBorders>
              <w:tl2br w:val="nil"/>
              <w:tr2bl w:val="nil"/>
            </w:tcBorders>
            <w:noWrap w:val="0"/>
            <w:vAlign w:val="center"/>
          </w:tcPr>
          <w:p w14:paraId="40B9AFDD">
            <w:pPr>
              <w:autoSpaceDE w:val="0"/>
              <w:autoSpaceDN w:val="0"/>
              <w:adjustRightInd w:val="0"/>
              <w:spacing w:line="520" w:lineRule="exact"/>
              <w:jc w:val="center"/>
              <w:rPr>
                <w:rFonts w:hint="eastAsia" w:ascii="宋体" w:hAnsi="宋体" w:cs="宋体"/>
                <w:kern w:val="0"/>
                <w:highlight w:val="none"/>
              </w:rPr>
            </w:pPr>
          </w:p>
        </w:tc>
        <w:tc>
          <w:tcPr>
            <w:tcW w:w="1241" w:type="pct"/>
            <w:gridSpan w:val="2"/>
            <w:tcBorders>
              <w:tl2br w:val="nil"/>
              <w:tr2bl w:val="nil"/>
            </w:tcBorders>
            <w:noWrap w:val="0"/>
            <w:vAlign w:val="center"/>
          </w:tcPr>
          <w:p w14:paraId="55AB6AB7">
            <w:pPr>
              <w:autoSpaceDE w:val="0"/>
              <w:autoSpaceDN w:val="0"/>
              <w:adjustRightInd w:val="0"/>
              <w:spacing w:line="520" w:lineRule="exact"/>
              <w:jc w:val="center"/>
              <w:rPr>
                <w:rFonts w:hint="eastAsia" w:ascii="宋体" w:hAnsi="宋体" w:cs="宋体"/>
                <w:kern w:val="0"/>
                <w:highlight w:val="none"/>
              </w:rPr>
            </w:pPr>
          </w:p>
        </w:tc>
      </w:tr>
      <w:tr w14:paraId="6DE09C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gridSpan w:val="2"/>
            <w:tcBorders>
              <w:tl2br w:val="nil"/>
              <w:tr2bl w:val="nil"/>
            </w:tcBorders>
            <w:noWrap w:val="0"/>
            <w:vAlign w:val="center"/>
          </w:tcPr>
          <w:p w14:paraId="26731FD5">
            <w:pPr>
              <w:autoSpaceDE w:val="0"/>
              <w:autoSpaceDN w:val="0"/>
              <w:adjustRightInd w:val="0"/>
              <w:spacing w:line="520" w:lineRule="exact"/>
              <w:jc w:val="center"/>
              <w:rPr>
                <w:rFonts w:hint="eastAsia" w:ascii="宋体" w:hAnsi="宋体" w:cs="宋体"/>
                <w:kern w:val="0"/>
                <w:highlight w:val="none"/>
              </w:rPr>
            </w:pPr>
          </w:p>
        </w:tc>
        <w:tc>
          <w:tcPr>
            <w:tcW w:w="2088" w:type="pct"/>
            <w:gridSpan w:val="4"/>
            <w:tcBorders>
              <w:tl2br w:val="nil"/>
              <w:tr2bl w:val="nil"/>
            </w:tcBorders>
            <w:noWrap w:val="0"/>
            <w:vAlign w:val="center"/>
          </w:tcPr>
          <w:p w14:paraId="2A312D9D">
            <w:pPr>
              <w:autoSpaceDE w:val="0"/>
              <w:autoSpaceDN w:val="0"/>
              <w:adjustRightInd w:val="0"/>
              <w:spacing w:line="520" w:lineRule="exact"/>
              <w:jc w:val="center"/>
              <w:rPr>
                <w:rFonts w:hint="eastAsia" w:ascii="宋体" w:hAnsi="宋体" w:cs="宋体"/>
                <w:kern w:val="0"/>
                <w:highlight w:val="none"/>
              </w:rPr>
            </w:pPr>
          </w:p>
        </w:tc>
        <w:tc>
          <w:tcPr>
            <w:tcW w:w="851" w:type="pct"/>
            <w:tcBorders>
              <w:tl2br w:val="nil"/>
              <w:tr2bl w:val="nil"/>
            </w:tcBorders>
            <w:noWrap w:val="0"/>
            <w:vAlign w:val="center"/>
          </w:tcPr>
          <w:p w14:paraId="38EFD928">
            <w:pPr>
              <w:autoSpaceDE w:val="0"/>
              <w:autoSpaceDN w:val="0"/>
              <w:adjustRightInd w:val="0"/>
              <w:spacing w:line="520" w:lineRule="exact"/>
              <w:jc w:val="center"/>
              <w:rPr>
                <w:rFonts w:hint="eastAsia" w:ascii="宋体" w:hAnsi="宋体" w:cs="宋体"/>
                <w:kern w:val="0"/>
                <w:highlight w:val="none"/>
              </w:rPr>
            </w:pPr>
          </w:p>
        </w:tc>
        <w:tc>
          <w:tcPr>
            <w:tcW w:w="1241" w:type="pct"/>
            <w:gridSpan w:val="2"/>
            <w:tcBorders>
              <w:tl2br w:val="nil"/>
              <w:tr2bl w:val="nil"/>
            </w:tcBorders>
            <w:noWrap w:val="0"/>
            <w:vAlign w:val="center"/>
          </w:tcPr>
          <w:p w14:paraId="0B8CFB49">
            <w:pPr>
              <w:autoSpaceDE w:val="0"/>
              <w:autoSpaceDN w:val="0"/>
              <w:adjustRightInd w:val="0"/>
              <w:spacing w:line="520" w:lineRule="exact"/>
              <w:jc w:val="center"/>
              <w:rPr>
                <w:rFonts w:hint="eastAsia" w:ascii="宋体" w:hAnsi="宋体" w:cs="宋体"/>
                <w:kern w:val="0"/>
                <w:highlight w:val="none"/>
              </w:rPr>
            </w:pPr>
          </w:p>
        </w:tc>
      </w:tr>
      <w:tr w14:paraId="5E2C15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gridSpan w:val="2"/>
            <w:tcBorders>
              <w:tl2br w:val="nil"/>
              <w:tr2bl w:val="nil"/>
            </w:tcBorders>
            <w:noWrap w:val="0"/>
            <w:vAlign w:val="center"/>
          </w:tcPr>
          <w:p w14:paraId="092F7D33">
            <w:pPr>
              <w:autoSpaceDE w:val="0"/>
              <w:autoSpaceDN w:val="0"/>
              <w:adjustRightInd w:val="0"/>
              <w:spacing w:line="520" w:lineRule="exact"/>
              <w:jc w:val="center"/>
              <w:rPr>
                <w:rFonts w:hint="eastAsia" w:ascii="宋体" w:hAnsi="宋体" w:cs="宋体"/>
                <w:kern w:val="0"/>
                <w:highlight w:val="none"/>
              </w:rPr>
            </w:pPr>
          </w:p>
        </w:tc>
        <w:tc>
          <w:tcPr>
            <w:tcW w:w="2088" w:type="pct"/>
            <w:gridSpan w:val="4"/>
            <w:tcBorders>
              <w:tl2br w:val="nil"/>
              <w:tr2bl w:val="nil"/>
            </w:tcBorders>
            <w:noWrap w:val="0"/>
            <w:vAlign w:val="center"/>
          </w:tcPr>
          <w:p w14:paraId="11C49EA6">
            <w:pPr>
              <w:autoSpaceDE w:val="0"/>
              <w:autoSpaceDN w:val="0"/>
              <w:adjustRightInd w:val="0"/>
              <w:spacing w:line="520" w:lineRule="exact"/>
              <w:jc w:val="center"/>
              <w:rPr>
                <w:rFonts w:hint="eastAsia" w:ascii="宋体" w:hAnsi="宋体" w:cs="宋体"/>
                <w:kern w:val="0"/>
                <w:highlight w:val="none"/>
              </w:rPr>
            </w:pPr>
          </w:p>
        </w:tc>
        <w:tc>
          <w:tcPr>
            <w:tcW w:w="851" w:type="pct"/>
            <w:tcBorders>
              <w:tl2br w:val="nil"/>
              <w:tr2bl w:val="nil"/>
            </w:tcBorders>
            <w:noWrap w:val="0"/>
            <w:vAlign w:val="center"/>
          </w:tcPr>
          <w:p w14:paraId="6D5D3C66">
            <w:pPr>
              <w:autoSpaceDE w:val="0"/>
              <w:autoSpaceDN w:val="0"/>
              <w:adjustRightInd w:val="0"/>
              <w:spacing w:line="520" w:lineRule="exact"/>
              <w:jc w:val="center"/>
              <w:rPr>
                <w:rFonts w:hint="eastAsia" w:ascii="宋体" w:hAnsi="宋体" w:cs="宋体"/>
                <w:kern w:val="0"/>
                <w:highlight w:val="none"/>
              </w:rPr>
            </w:pPr>
          </w:p>
        </w:tc>
        <w:tc>
          <w:tcPr>
            <w:tcW w:w="1241" w:type="pct"/>
            <w:gridSpan w:val="2"/>
            <w:tcBorders>
              <w:tl2br w:val="nil"/>
              <w:tr2bl w:val="nil"/>
            </w:tcBorders>
            <w:noWrap w:val="0"/>
            <w:vAlign w:val="center"/>
          </w:tcPr>
          <w:p w14:paraId="4910071C">
            <w:pPr>
              <w:autoSpaceDE w:val="0"/>
              <w:autoSpaceDN w:val="0"/>
              <w:adjustRightInd w:val="0"/>
              <w:spacing w:line="520" w:lineRule="exact"/>
              <w:jc w:val="center"/>
              <w:rPr>
                <w:rFonts w:hint="eastAsia" w:ascii="宋体" w:hAnsi="宋体" w:cs="宋体"/>
                <w:kern w:val="0"/>
                <w:highlight w:val="none"/>
              </w:rPr>
            </w:pPr>
          </w:p>
        </w:tc>
      </w:tr>
      <w:tr w14:paraId="36A8CB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21" w:type="pct"/>
            <w:gridSpan w:val="2"/>
            <w:tcBorders>
              <w:tl2br w:val="nil"/>
              <w:tr2bl w:val="nil"/>
            </w:tcBorders>
            <w:noWrap w:val="0"/>
            <w:vAlign w:val="center"/>
          </w:tcPr>
          <w:p w14:paraId="6EC11885">
            <w:pPr>
              <w:autoSpaceDE w:val="0"/>
              <w:autoSpaceDN w:val="0"/>
              <w:adjustRightInd w:val="0"/>
              <w:spacing w:line="520" w:lineRule="exact"/>
              <w:jc w:val="center"/>
              <w:rPr>
                <w:rFonts w:hint="eastAsia" w:ascii="宋体" w:hAnsi="宋体" w:cs="宋体"/>
                <w:kern w:val="0"/>
                <w:highlight w:val="none"/>
              </w:rPr>
            </w:pPr>
          </w:p>
        </w:tc>
        <w:tc>
          <w:tcPr>
            <w:tcW w:w="2088" w:type="pct"/>
            <w:gridSpan w:val="4"/>
            <w:tcBorders>
              <w:tl2br w:val="nil"/>
              <w:tr2bl w:val="nil"/>
            </w:tcBorders>
            <w:noWrap w:val="0"/>
            <w:vAlign w:val="center"/>
          </w:tcPr>
          <w:p w14:paraId="4144297A">
            <w:pPr>
              <w:autoSpaceDE w:val="0"/>
              <w:autoSpaceDN w:val="0"/>
              <w:adjustRightInd w:val="0"/>
              <w:spacing w:line="520" w:lineRule="exact"/>
              <w:jc w:val="center"/>
              <w:rPr>
                <w:rFonts w:hint="eastAsia" w:ascii="宋体" w:hAnsi="宋体" w:cs="宋体"/>
                <w:kern w:val="0"/>
                <w:highlight w:val="none"/>
              </w:rPr>
            </w:pPr>
          </w:p>
        </w:tc>
        <w:tc>
          <w:tcPr>
            <w:tcW w:w="851" w:type="pct"/>
            <w:tcBorders>
              <w:tl2br w:val="nil"/>
              <w:tr2bl w:val="nil"/>
            </w:tcBorders>
            <w:noWrap w:val="0"/>
            <w:vAlign w:val="center"/>
          </w:tcPr>
          <w:p w14:paraId="00AA232E">
            <w:pPr>
              <w:autoSpaceDE w:val="0"/>
              <w:autoSpaceDN w:val="0"/>
              <w:adjustRightInd w:val="0"/>
              <w:spacing w:line="520" w:lineRule="exact"/>
              <w:jc w:val="center"/>
              <w:rPr>
                <w:rFonts w:hint="eastAsia" w:ascii="宋体" w:hAnsi="宋体" w:cs="宋体"/>
                <w:kern w:val="0"/>
                <w:highlight w:val="none"/>
              </w:rPr>
            </w:pPr>
          </w:p>
        </w:tc>
        <w:tc>
          <w:tcPr>
            <w:tcW w:w="1241" w:type="pct"/>
            <w:gridSpan w:val="2"/>
            <w:tcBorders>
              <w:tl2br w:val="nil"/>
              <w:tr2bl w:val="nil"/>
            </w:tcBorders>
            <w:noWrap w:val="0"/>
            <w:vAlign w:val="center"/>
          </w:tcPr>
          <w:p w14:paraId="63C121F9">
            <w:pPr>
              <w:autoSpaceDE w:val="0"/>
              <w:autoSpaceDN w:val="0"/>
              <w:adjustRightInd w:val="0"/>
              <w:spacing w:line="520" w:lineRule="exact"/>
              <w:jc w:val="center"/>
              <w:rPr>
                <w:rFonts w:hint="eastAsia" w:ascii="宋体" w:hAnsi="宋体" w:cs="宋体"/>
                <w:kern w:val="0"/>
                <w:highlight w:val="none"/>
              </w:rPr>
            </w:pPr>
          </w:p>
        </w:tc>
      </w:tr>
    </w:tbl>
    <w:p w14:paraId="286CEA1B">
      <w:pPr>
        <w:spacing w:line="360" w:lineRule="auto"/>
        <w:rPr>
          <w:rFonts w:ascii="宋体" w:hAnsi="宋体" w:eastAsia="宋体"/>
          <w:szCs w:val="21"/>
          <w:highlight w:val="none"/>
        </w:rPr>
      </w:pPr>
      <w:r>
        <w:rPr>
          <w:rFonts w:ascii="宋体" w:hAnsi="宋体" w:eastAsia="宋体"/>
          <w:szCs w:val="21"/>
          <w:highlight w:val="none"/>
        </w:rPr>
        <w:t>注：</w:t>
      </w:r>
    </w:p>
    <w:p w14:paraId="5B9AD5DB">
      <w:pPr>
        <w:spacing w:line="360" w:lineRule="auto"/>
        <w:rPr>
          <w:rFonts w:ascii="宋体" w:hAnsi="宋体" w:eastAsia="宋体"/>
          <w:szCs w:val="21"/>
          <w:highlight w:val="none"/>
        </w:rPr>
      </w:pPr>
      <w:r>
        <w:rPr>
          <w:rFonts w:ascii="宋体" w:hAnsi="宋体" w:eastAsia="宋体"/>
          <w:szCs w:val="21"/>
          <w:highlight w:val="none"/>
        </w:rPr>
        <w:t>1</w:t>
      </w:r>
      <w:r>
        <w:rPr>
          <w:rFonts w:hint="eastAsia" w:ascii="宋体" w:hAnsi="宋体" w:eastAsia="宋体"/>
          <w:szCs w:val="21"/>
          <w:highlight w:val="none"/>
          <w:lang w:eastAsia="zh-CN"/>
        </w:rPr>
        <w:t>.</w:t>
      </w:r>
      <w:r>
        <w:rPr>
          <w:rFonts w:ascii="宋体" w:hAnsi="宋体" w:eastAsia="宋体"/>
          <w:szCs w:val="21"/>
          <w:highlight w:val="none"/>
        </w:rPr>
        <w:t>此表可扩展。</w:t>
      </w:r>
    </w:p>
    <w:p w14:paraId="1AAB41E6">
      <w:pPr>
        <w:spacing w:line="360" w:lineRule="auto"/>
        <w:rPr>
          <w:rFonts w:hint="eastAsia" w:ascii="宋体" w:hAnsi="宋体" w:cs="宋体"/>
          <w:b/>
          <w:szCs w:val="21"/>
          <w:highlight w:val="none"/>
        </w:rPr>
      </w:pPr>
      <w:r>
        <w:rPr>
          <w:rFonts w:hint="eastAsia" w:ascii="宋体" w:hAnsi="宋体" w:eastAsia="宋体"/>
          <w:szCs w:val="21"/>
          <w:highlight w:val="none"/>
          <w:lang w:eastAsia="zh-CN"/>
        </w:rPr>
        <w:t>2.</w:t>
      </w:r>
      <w:r>
        <w:rPr>
          <w:rFonts w:hint="eastAsia"/>
          <w:highlight w:val="none"/>
          <w:lang w:eastAsia="zh-CN"/>
        </w:rPr>
        <w:t>此表后应附项目</w:t>
      </w:r>
      <w:r>
        <w:rPr>
          <w:rFonts w:hint="eastAsia"/>
          <w:highlight w:val="none"/>
          <w:lang w:val="en-US" w:eastAsia="zh-CN"/>
        </w:rPr>
        <w:t>经理</w:t>
      </w:r>
      <w:r>
        <w:rPr>
          <w:rFonts w:hint="eastAsia"/>
          <w:highlight w:val="none"/>
          <w:lang w:eastAsia="zh-CN"/>
        </w:rPr>
        <w:t>相应证明材料，</w:t>
      </w:r>
      <w:r>
        <w:rPr>
          <w:rFonts w:hint="eastAsia"/>
          <w:highlight w:val="none"/>
          <w:lang w:val="en-US" w:eastAsia="zh-CN"/>
        </w:rPr>
        <w:t>供应商</w:t>
      </w:r>
      <w:r>
        <w:rPr>
          <w:rFonts w:hint="eastAsia"/>
          <w:highlight w:val="none"/>
          <w:lang w:eastAsia="zh-CN"/>
        </w:rPr>
        <w:t>根据自身情况</w:t>
      </w:r>
      <w:r>
        <w:rPr>
          <w:rFonts w:hint="eastAsia" w:ascii="宋体" w:hAnsi="宋体" w:eastAsia="宋体"/>
          <w:bCs/>
          <w:szCs w:val="21"/>
          <w:highlight w:val="none"/>
          <w:lang w:eastAsia="zh-CN"/>
        </w:rPr>
        <w:t>按</w:t>
      </w:r>
      <w:r>
        <w:rPr>
          <w:rFonts w:hint="eastAsia" w:ascii="宋体" w:hAnsi="宋体" w:eastAsia="宋体"/>
          <w:bCs/>
          <w:szCs w:val="21"/>
          <w:highlight w:val="none"/>
          <w:lang w:val="en-US" w:eastAsia="zh-CN"/>
        </w:rPr>
        <w:t>详细评审</w:t>
      </w:r>
      <w:r>
        <w:rPr>
          <w:rFonts w:hint="eastAsia" w:ascii="宋体" w:hAnsi="宋体" w:eastAsia="宋体"/>
          <w:bCs/>
          <w:szCs w:val="21"/>
          <w:highlight w:val="none"/>
          <w:lang w:eastAsia="zh-CN"/>
        </w:rPr>
        <w:t>要求提供证明材料</w:t>
      </w:r>
      <w:r>
        <w:rPr>
          <w:rFonts w:hint="eastAsia"/>
          <w:highlight w:val="none"/>
          <w:lang w:eastAsia="zh-CN"/>
        </w:rPr>
        <w:t>，以反映对应评审因素真实性</w:t>
      </w:r>
      <w:r>
        <w:rPr>
          <w:rFonts w:hint="eastAsia" w:ascii="宋体" w:hAnsi="宋体" w:cs="宋体"/>
          <w:kern w:val="0"/>
          <w:highlight w:val="none"/>
        </w:rPr>
        <w:t>。</w:t>
      </w:r>
    </w:p>
    <w:p w14:paraId="0E08D523">
      <w:pPr>
        <w:keepNext/>
        <w:numPr>
          <w:ilvl w:val="1"/>
          <w:numId w:val="0"/>
        </w:numPr>
        <w:tabs>
          <w:tab w:val="left" w:pos="1021"/>
        </w:tabs>
        <w:adjustRightInd w:val="0"/>
        <w:spacing w:line="360" w:lineRule="auto"/>
        <w:jc w:val="center"/>
        <w:textAlignment w:val="baseline"/>
        <w:outlineLvl w:val="4"/>
        <w:rPr>
          <w:rFonts w:hint="eastAsia" w:ascii="宋体" w:hAnsi="宋体" w:cs="宋体"/>
          <w:b/>
          <w:bCs/>
          <w:kern w:val="0"/>
          <w:sz w:val="24"/>
          <w:highlight w:val="none"/>
        </w:rPr>
      </w:pPr>
      <w:bookmarkStart w:id="351" w:name="_Toc7436351"/>
      <w:bookmarkStart w:id="352" w:name="_Toc489883530"/>
      <w:r>
        <w:rPr>
          <w:rFonts w:ascii="宋体" w:hAnsi="宋体"/>
          <w:szCs w:val="21"/>
          <w:highlight w:val="none"/>
        </w:rPr>
        <w:br w:type="page"/>
      </w:r>
      <w:bookmarkStart w:id="353" w:name="_Toc24334"/>
      <w:bookmarkStart w:id="354" w:name="_Toc29451"/>
      <w:bookmarkStart w:id="355" w:name="_Toc14131"/>
      <w:bookmarkStart w:id="356" w:name="_Toc32362"/>
      <w:r>
        <w:rPr>
          <w:rFonts w:hint="eastAsia" w:ascii="宋体" w:hAnsi="宋体" w:eastAsia="宋体" w:cs="宋体"/>
          <w:b/>
          <w:bCs/>
          <w:kern w:val="0"/>
          <w:sz w:val="24"/>
          <w:highlight w:val="none"/>
          <w:lang w:val="en-US" w:eastAsia="zh-CN"/>
        </w:rPr>
        <w:t>5.2</w:t>
      </w:r>
      <w:r>
        <w:rPr>
          <w:rFonts w:hint="eastAsia" w:ascii="宋体" w:hAnsi="宋体" w:cs="宋体"/>
          <w:b/>
          <w:bCs/>
          <w:kern w:val="0"/>
          <w:sz w:val="24"/>
          <w:highlight w:val="none"/>
        </w:rPr>
        <w:t>拟投入本项目的其他人员配备表</w:t>
      </w:r>
      <w:bookmarkEnd w:id="351"/>
      <w:bookmarkEnd w:id="352"/>
      <w:bookmarkEnd w:id="353"/>
      <w:bookmarkEnd w:id="354"/>
      <w:bookmarkEnd w:id="355"/>
      <w:bookmarkEnd w:id="356"/>
    </w:p>
    <w:p w14:paraId="0A0D3CA1">
      <w:pPr>
        <w:widowControl w:val="0"/>
        <w:numPr>
          <w:ilvl w:val="0"/>
          <w:numId w:val="0"/>
        </w:numPr>
        <w:spacing w:line="240" w:lineRule="auto"/>
        <w:jc w:val="both"/>
        <w:outlineLvl w:val="9"/>
        <w:rPr>
          <w:rFonts w:hint="eastAsia" w:ascii="仿宋" w:hAnsi="仿宋" w:eastAsia="仿宋" w:cs="仿宋"/>
          <w:b/>
          <w:bCs/>
          <w:color w:val="auto"/>
          <w:sz w:val="32"/>
          <w:szCs w:val="28"/>
          <w:highlight w:val="none"/>
        </w:rPr>
      </w:pPr>
    </w:p>
    <w:tbl>
      <w:tblPr>
        <w:tblStyle w:val="41"/>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709"/>
        <w:gridCol w:w="709"/>
        <w:gridCol w:w="1276"/>
        <w:gridCol w:w="1135"/>
        <w:gridCol w:w="709"/>
        <w:gridCol w:w="803"/>
        <w:gridCol w:w="1651"/>
        <w:gridCol w:w="1454"/>
      </w:tblGrid>
      <w:tr w14:paraId="412B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77C7110C">
            <w:pPr>
              <w:autoSpaceDE w:val="0"/>
              <w:autoSpaceDN w:val="0"/>
              <w:adjustRightInd w:val="0"/>
              <w:spacing w:line="240" w:lineRule="auto"/>
              <w:ind w:left="0" w:firstLine="0"/>
              <w:jc w:val="center"/>
              <w:outlineLvl w:val="9"/>
              <w:rPr>
                <w:rFonts w:hint="eastAsia" w:ascii="宋体" w:hAnsi="宋体" w:eastAsia="宋体" w:cs="宋体"/>
                <w:b/>
                <w:bCs/>
                <w:color w:val="auto"/>
                <w:kern w:val="0"/>
                <w:sz w:val="22"/>
                <w:szCs w:val="21"/>
                <w:highlight w:val="none"/>
                <w:lang w:val="zh-CN" w:bidi="zh-CN"/>
              </w:rPr>
            </w:pPr>
            <w:r>
              <w:rPr>
                <w:rFonts w:hint="eastAsia" w:ascii="宋体" w:hAnsi="宋体" w:eastAsia="宋体" w:cs="宋体"/>
                <w:b/>
                <w:bCs/>
                <w:color w:val="auto"/>
                <w:kern w:val="0"/>
                <w:sz w:val="22"/>
                <w:szCs w:val="21"/>
                <w:highlight w:val="none"/>
                <w:lang w:val="zh-CN" w:bidi="zh-CN"/>
              </w:rPr>
              <w:t>岗位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924A51E">
            <w:pPr>
              <w:autoSpaceDE w:val="0"/>
              <w:autoSpaceDN w:val="0"/>
              <w:adjustRightInd w:val="0"/>
              <w:spacing w:line="240" w:lineRule="auto"/>
              <w:ind w:left="0" w:firstLine="0"/>
              <w:jc w:val="center"/>
              <w:outlineLvl w:val="9"/>
              <w:rPr>
                <w:rFonts w:hint="eastAsia" w:ascii="宋体" w:hAnsi="宋体" w:eastAsia="宋体" w:cs="宋体"/>
                <w:b/>
                <w:bCs/>
                <w:color w:val="auto"/>
                <w:kern w:val="0"/>
                <w:sz w:val="22"/>
                <w:szCs w:val="21"/>
                <w:highlight w:val="none"/>
                <w:lang w:val="zh-CN" w:bidi="zh-CN"/>
              </w:rPr>
            </w:pPr>
            <w:r>
              <w:rPr>
                <w:rFonts w:hint="eastAsia" w:ascii="宋体" w:hAnsi="宋体" w:eastAsia="宋体" w:cs="宋体"/>
                <w:b/>
                <w:bCs/>
                <w:color w:val="auto"/>
                <w:kern w:val="0"/>
                <w:sz w:val="22"/>
                <w:szCs w:val="21"/>
                <w:highlight w:val="none"/>
                <w:lang w:val="zh-CN" w:bidi="zh-CN"/>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6792FBE">
            <w:pPr>
              <w:autoSpaceDE w:val="0"/>
              <w:autoSpaceDN w:val="0"/>
              <w:adjustRightInd w:val="0"/>
              <w:spacing w:line="240" w:lineRule="auto"/>
              <w:ind w:left="0" w:firstLine="0"/>
              <w:jc w:val="center"/>
              <w:outlineLvl w:val="9"/>
              <w:rPr>
                <w:rFonts w:hint="eastAsia" w:ascii="宋体" w:hAnsi="宋体" w:eastAsia="宋体" w:cs="宋体"/>
                <w:b/>
                <w:bCs/>
                <w:color w:val="auto"/>
                <w:kern w:val="0"/>
                <w:sz w:val="22"/>
                <w:szCs w:val="21"/>
                <w:highlight w:val="none"/>
                <w:lang w:val="zh-CN" w:bidi="zh-CN"/>
              </w:rPr>
            </w:pPr>
            <w:r>
              <w:rPr>
                <w:rFonts w:hint="eastAsia" w:ascii="宋体" w:hAnsi="宋体" w:eastAsia="宋体" w:cs="宋体"/>
                <w:b/>
                <w:bCs/>
                <w:color w:val="auto"/>
                <w:kern w:val="0"/>
                <w:sz w:val="22"/>
                <w:szCs w:val="21"/>
                <w:highlight w:val="none"/>
                <w:lang w:val="zh-CN" w:bidi="zh-CN"/>
              </w:rPr>
              <w:t>性别</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E843EE9">
            <w:pPr>
              <w:autoSpaceDE w:val="0"/>
              <w:autoSpaceDN w:val="0"/>
              <w:adjustRightInd w:val="0"/>
              <w:spacing w:line="240" w:lineRule="auto"/>
              <w:ind w:left="0" w:firstLine="0"/>
              <w:jc w:val="center"/>
              <w:outlineLvl w:val="9"/>
              <w:rPr>
                <w:rFonts w:hint="eastAsia" w:ascii="宋体" w:hAnsi="宋体" w:eastAsia="宋体" w:cs="宋体"/>
                <w:b/>
                <w:bCs/>
                <w:color w:val="auto"/>
                <w:kern w:val="0"/>
                <w:sz w:val="22"/>
                <w:szCs w:val="21"/>
                <w:highlight w:val="none"/>
                <w:lang w:val="zh-CN" w:bidi="zh-CN"/>
              </w:rPr>
            </w:pPr>
            <w:r>
              <w:rPr>
                <w:rFonts w:hint="eastAsia" w:ascii="宋体" w:hAnsi="宋体" w:eastAsia="宋体" w:cs="宋体"/>
                <w:b/>
                <w:bCs/>
                <w:color w:val="auto"/>
                <w:kern w:val="0"/>
                <w:sz w:val="22"/>
                <w:szCs w:val="21"/>
                <w:highlight w:val="none"/>
                <w:lang w:val="zh-CN" w:bidi="zh-CN"/>
              </w:rPr>
              <w:t>出生年月</w:t>
            </w:r>
          </w:p>
        </w:tc>
        <w:tc>
          <w:tcPr>
            <w:tcW w:w="1135" w:type="dxa"/>
            <w:tcBorders>
              <w:top w:val="single" w:color="auto" w:sz="4" w:space="0"/>
              <w:left w:val="single" w:color="auto" w:sz="4" w:space="0"/>
              <w:bottom w:val="single" w:color="auto" w:sz="4" w:space="0"/>
              <w:right w:val="single" w:color="auto" w:sz="4" w:space="0"/>
            </w:tcBorders>
            <w:noWrap w:val="0"/>
            <w:vAlign w:val="center"/>
          </w:tcPr>
          <w:p w14:paraId="613532EA">
            <w:pPr>
              <w:autoSpaceDE w:val="0"/>
              <w:autoSpaceDN w:val="0"/>
              <w:adjustRightInd w:val="0"/>
              <w:spacing w:line="240" w:lineRule="auto"/>
              <w:ind w:left="0" w:firstLine="0"/>
              <w:jc w:val="center"/>
              <w:outlineLvl w:val="9"/>
              <w:rPr>
                <w:rFonts w:hint="eastAsia" w:ascii="宋体" w:hAnsi="宋体" w:eastAsia="宋体" w:cs="宋体"/>
                <w:b/>
                <w:bCs/>
                <w:color w:val="auto"/>
                <w:kern w:val="0"/>
                <w:sz w:val="22"/>
                <w:szCs w:val="21"/>
                <w:highlight w:val="none"/>
                <w:lang w:val="zh-CN" w:bidi="zh-CN"/>
              </w:rPr>
            </w:pPr>
            <w:r>
              <w:rPr>
                <w:rFonts w:hint="eastAsia" w:ascii="宋体" w:hAnsi="宋体" w:eastAsia="宋体" w:cs="宋体"/>
                <w:b/>
                <w:bCs/>
                <w:color w:val="auto"/>
                <w:kern w:val="0"/>
                <w:sz w:val="22"/>
                <w:szCs w:val="21"/>
                <w:highlight w:val="none"/>
                <w:lang w:val="zh-CN" w:bidi="zh-CN"/>
              </w:rPr>
              <w:t>工作年限</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D4C7AE1">
            <w:pPr>
              <w:autoSpaceDE w:val="0"/>
              <w:autoSpaceDN w:val="0"/>
              <w:adjustRightInd w:val="0"/>
              <w:spacing w:line="240" w:lineRule="auto"/>
              <w:ind w:left="0" w:firstLine="0"/>
              <w:jc w:val="center"/>
              <w:outlineLvl w:val="9"/>
              <w:rPr>
                <w:rFonts w:hint="eastAsia" w:ascii="宋体" w:hAnsi="宋体" w:eastAsia="宋体" w:cs="宋体"/>
                <w:b/>
                <w:bCs/>
                <w:color w:val="auto"/>
                <w:kern w:val="0"/>
                <w:sz w:val="22"/>
                <w:szCs w:val="21"/>
                <w:highlight w:val="none"/>
                <w:lang w:val="zh-CN" w:bidi="zh-CN"/>
              </w:rPr>
            </w:pPr>
            <w:r>
              <w:rPr>
                <w:rFonts w:hint="eastAsia" w:ascii="宋体" w:hAnsi="宋体" w:eastAsia="宋体" w:cs="宋体"/>
                <w:b/>
                <w:bCs/>
                <w:color w:val="auto"/>
                <w:kern w:val="0"/>
                <w:sz w:val="22"/>
                <w:szCs w:val="21"/>
                <w:highlight w:val="none"/>
                <w:lang w:val="zh-CN" w:bidi="zh-CN"/>
              </w:rPr>
              <w:t>职称</w:t>
            </w:r>
          </w:p>
        </w:tc>
        <w:tc>
          <w:tcPr>
            <w:tcW w:w="803" w:type="dxa"/>
            <w:tcBorders>
              <w:top w:val="single" w:color="auto" w:sz="4" w:space="0"/>
              <w:left w:val="single" w:color="auto" w:sz="4" w:space="0"/>
              <w:bottom w:val="single" w:color="auto" w:sz="4" w:space="0"/>
              <w:right w:val="single" w:color="auto" w:sz="4" w:space="0"/>
            </w:tcBorders>
            <w:noWrap w:val="0"/>
            <w:vAlign w:val="center"/>
          </w:tcPr>
          <w:p w14:paraId="165031BC">
            <w:pPr>
              <w:autoSpaceDE w:val="0"/>
              <w:autoSpaceDN w:val="0"/>
              <w:adjustRightInd w:val="0"/>
              <w:spacing w:line="240" w:lineRule="auto"/>
              <w:ind w:left="0" w:firstLine="0"/>
              <w:jc w:val="center"/>
              <w:outlineLvl w:val="9"/>
              <w:rPr>
                <w:rFonts w:hint="eastAsia" w:ascii="宋体" w:hAnsi="宋体" w:eastAsia="宋体" w:cs="宋体"/>
                <w:b/>
                <w:bCs/>
                <w:color w:val="auto"/>
                <w:kern w:val="0"/>
                <w:sz w:val="22"/>
                <w:szCs w:val="21"/>
                <w:highlight w:val="none"/>
                <w:lang w:val="zh-CN" w:bidi="zh-CN"/>
              </w:rPr>
            </w:pPr>
            <w:r>
              <w:rPr>
                <w:rFonts w:hint="eastAsia" w:ascii="宋体" w:hAnsi="宋体" w:eastAsia="宋体" w:cs="宋体"/>
                <w:b/>
                <w:bCs/>
                <w:color w:val="auto"/>
                <w:kern w:val="0"/>
                <w:sz w:val="22"/>
                <w:szCs w:val="21"/>
                <w:highlight w:val="none"/>
                <w:lang w:val="zh-CN" w:bidi="zh-CN"/>
              </w:rPr>
              <w:t>学历</w:t>
            </w:r>
          </w:p>
        </w:tc>
        <w:tc>
          <w:tcPr>
            <w:tcW w:w="1651" w:type="dxa"/>
            <w:tcBorders>
              <w:top w:val="single" w:color="auto" w:sz="4" w:space="0"/>
              <w:left w:val="single" w:color="auto" w:sz="4" w:space="0"/>
              <w:bottom w:val="single" w:color="auto" w:sz="4" w:space="0"/>
              <w:right w:val="single" w:color="auto" w:sz="4" w:space="0"/>
            </w:tcBorders>
            <w:noWrap w:val="0"/>
            <w:vAlign w:val="center"/>
          </w:tcPr>
          <w:p w14:paraId="10D7F8D3">
            <w:pPr>
              <w:autoSpaceDE w:val="0"/>
              <w:autoSpaceDN w:val="0"/>
              <w:adjustRightInd w:val="0"/>
              <w:spacing w:line="240" w:lineRule="auto"/>
              <w:ind w:left="0" w:firstLine="0"/>
              <w:jc w:val="center"/>
              <w:outlineLvl w:val="9"/>
              <w:rPr>
                <w:rFonts w:hint="eastAsia" w:ascii="宋体" w:hAnsi="宋体" w:eastAsia="宋体" w:cs="宋体"/>
                <w:b/>
                <w:bCs/>
                <w:color w:val="auto"/>
                <w:kern w:val="0"/>
                <w:sz w:val="22"/>
                <w:szCs w:val="21"/>
                <w:highlight w:val="none"/>
                <w:lang w:val="zh-CN" w:bidi="zh-CN"/>
              </w:rPr>
            </w:pPr>
            <w:r>
              <w:rPr>
                <w:rFonts w:hint="eastAsia" w:ascii="宋体" w:hAnsi="宋体" w:eastAsia="宋体" w:cs="宋体"/>
                <w:b/>
                <w:bCs/>
                <w:color w:val="auto"/>
                <w:kern w:val="0"/>
                <w:sz w:val="22"/>
                <w:szCs w:val="21"/>
                <w:highlight w:val="none"/>
                <w:lang w:val="zh-CN" w:bidi="zh-CN"/>
              </w:rPr>
              <w:t>岗位证书（资格证书）及编号</w:t>
            </w:r>
          </w:p>
        </w:tc>
        <w:tc>
          <w:tcPr>
            <w:tcW w:w="1454" w:type="dxa"/>
            <w:tcBorders>
              <w:top w:val="single" w:color="auto" w:sz="4" w:space="0"/>
              <w:left w:val="single" w:color="auto" w:sz="4" w:space="0"/>
              <w:bottom w:val="single" w:color="auto" w:sz="4" w:space="0"/>
              <w:right w:val="single" w:color="auto" w:sz="4" w:space="0"/>
            </w:tcBorders>
            <w:noWrap w:val="0"/>
            <w:vAlign w:val="center"/>
          </w:tcPr>
          <w:p w14:paraId="5A6A72E3">
            <w:pPr>
              <w:autoSpaceDE w:val="0"/>
              <w:autoSpaceDN w:val="0"/>
              <w:adjustRightInd w:val="0"/>
              <w:spacing w:line="240" w:lineRule="auto"/>
              <w:ind w:left="0" w:firstLine="0"/>
              <w:jc w:val="center"/>
              <w:outlineLvl w:val="9"/>
              <w:rPr>
                <w:rFonts w:hint="eastAsia" w:ascii="宋体" w:hAnsi="宋体" w:eastAsia="宋体" w:cs="宋体"/>
                <w:b/>
                <w:bCs/>
                <w:color w:val="auto"/>
                <w:kern w:val="0"/>
                <w:sz w:val="22"/>
                <w:szCs w:val="21"/>
                <w:highlight w:val="none"/>
                <w:lang w:val="zh-CN" w:bidi="zh-CN"/>
              </w:rPr>
            </w:pPr>
            <w:r>
              <w:rPr>
                <w:rFonts w:hint="eastAsia" w:ascii="宋体" w:hAnsi="宋体" w:eastAsia="宋体" w:cs="宋体"/>
                <w:b/>
                <w:bCs/>
                <w:color w:val="auto"/>
                <w:kern w:val="0"/>
                <w:sz w:val="22"/>
                <w:szCs w:val="21"/>
                <w:highlight w:val="none"/>
                <w:lang w:val="zh-CN" w:bidi="zh-CN"/>
              </w:rPr>
              <w:t>岗位要求</w:t>
            </w:r>
          </w:p>
        </w:tc>
      </w:tr>
      <w:tr w14:paraId="7B3E6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4CE58809">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F6A0FFE">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9A86777">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2734AC0">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75F02C4A">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F803E78">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052F9C05">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19A563B7">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1019F878">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2F872B23">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r w14:paraId="07233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35D32DDC">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4B9D5E8">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16BFC1">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02E8E7C">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2A47BC0D">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612414B">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349D93F8">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353BC8F4">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3DD9AC5A">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18DE5312">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r w14:paraId="3DAA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41306CEA">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F53F9C">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796E045">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865F193">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22A57E2F">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4EC1FEF">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1B896FD1">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6407CAED">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2DFD5878">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71109CAD">
            <w:pPr>
              <w:autoSpaceDE w:val="0"/>
              <w:autoSpaceDN w:val="0"/>
              <w:spacing w:line="240" w:lineRule="auto"/>
              <w:ind w:left="0" w:leftChars="0" w:firstLine="0" w:firstLineChars="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r w14:paraId="2145C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5AF268A3">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C980D17">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990120">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3216558">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6A012F6D">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2E1A90">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371E9B0D">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29DDAEC6">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648F00BF">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5611339F">
            <w:pPr>
              <w:autoSpaceDE w:val="0"/>
              <w:autoSpaceDN w:val="0"/>
              <w:spacing w:line="240" w:lineRule="auto"/>
              <w:ind w:left="0" w:leftChars="0" w:firstLine="0" w:firstLineChars="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r w14:paraId="11C7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31A2B869">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59F90EB">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2FF9521">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D17DEC5">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6D4DD4E8">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D9490EF">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67681806">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1CA90CA9">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2D017859">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0A137BCE">
            <w:pPr>
              <w:autoSpaceDE w:val="0"/>
              <w:autoSpaceDN w:val="0"/>
              <w:spacing w:line="240" w:lineRule="auto"/>
              <w:ind w:left="0" w:leftChars="0" w:firstLine="0" w:firstLineChars="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r w14:paraId="6027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6993F744">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8DF298B">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848F06E">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36768C9">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2021EFF2">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BFA062">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71BA5347">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1A0D0473">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52EB73A9">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48F8716D">
            <w:pPr>
              <w:autoSpaceDE w:val="0"/>
              <w:autoSpaceDN w:val="0"/>
              <w:spacing w:line="240" w:lineRule="auto"/>
              <w:ind w:left="0" w:leftChars="0" w:firstLine="0" w:firstLineChars="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r w14:paraId="4DE1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6840DCDD">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73BA99">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7663F96">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979722E">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65078E82">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48B023">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2D8B8E62">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7629F063">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4A34BA67">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58854E7F">
            <w:pPr>
              <w:autoSpaceDE w:val="0"/>
              <w:autoSpaceDN w:val="0"/>
              <w:spacing w:line="240" w:lineRule="auto"/>
              <w:ind w:left="0" w:leftChars="0" w:firstLine="0" w:firstLineChars="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r w14:paraId="430ED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3F32C872">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50BDA38">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F9CA8BA">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6ECA287">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306476A5">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1BFFCC">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2C722DF4">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516F4EF8">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5B01E066">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552F7B3C">
            <w:pPr>
              <w:autoSpaceDE w:val="0"/>
              <w:autoSpaceDN w:val="0"/>
              <w:spacing w:line="240" w:lineRule="auto"/>
              <w:ind w:left="0" w:leftChars="0" w:firstLine="0" w:firstLineChars="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r w14:paraId="7007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511C8E55">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16D4B7E">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9C0D8F">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725D17E">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427F357">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8ABC26">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73920D95">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46EA90CC">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05891AA5">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0A7EFA9B">
            <w:pPr>
              <w:autoSpaceDE w:val="0"/>
              <w:autoSpaceDN w:val="0"/>
              <w:spacing w:line="240" w:lineRule="auto"/>
              <w:ind w:left="0" w:leftChars="0" w:firstLine="0" w:firstLineChars="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r w14:paraId="3728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454" w:type="dxa"/>
            <w:tcBorders>
              <w:top w:val="single" w:color="auto" w:sz="4" w:space="0"/>
              <w:left w:val="single" w:color="auto" w:sz="4" w:space="0"/>
              <w:bottom w:val="single" w:color="auto" w:sz="4" w:space="0"/>
              <w:right w:val="single" w:color="auto" w:sz="4" w:space="0"/>
            </w:tcBorders>
            <w:noWrap w:val="0"/>
            <w:vAlign w:val="center"/>
          </w:tcPr>
          <w:p w14:paraId="1019C871">
            <w:pPr>
              <w:autoSpaceDE w:val="0"/>
              <w:autoSpaceDN w:val="0"/>
              <w:adjustRightInd w:val="0"/>
              <w:spacing w:line="240" w:lineRule="auto"/>
              <w:ind w:left="0" w:firstLine="0"/>
              <w:jc w:val="center"/>
              <w:outlineLvl w:val="9"/>
              <w:rPr>
                <w:rFonts w:hint="eastAsia" w:ascii="宋体" w:hAnsi="宋体" w:eastAsia="宋体" w:cs="宋体"/>
                <w:color w:val="auto"/>
                <w:kern w:val="0"/>
                <w:sz w:val="22"/>
                <w:szCs w:val="21"/>
                <w:highlight w:val="none"/>
                <w:lang w:val="zh-CN" w:bidi="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24D1B5">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D3C457">
            <w:pPr>
              <w:autoSpaceDE w:val="0"/>
              <w:autoSpaceDN w:val="0"/>
              <w:adjustRightInd w:val="0"/>
              <w:jc w:val="center"/>
              <w:outlineLvl w:val="9"/>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C6EEFF0">
            <w:pPr>
              <w:autoSpaceDE w:val="0"/>
              <w:autoSpaceDN w:val="0"/>
              <w:adjustRightInd w:val="0"/>
              <w:jc w:val="center"/>
              <w:outlineLvl w:val="9"/>
              <w:rPr>
                <w:rFonts w:hint="eastAsia" w:ascii="宋体" w:hAnsi="宋体" w:eastAsia="宋体" w:cs="宋体"/>
                <w:color w:val="auto"/>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090F8F84">
            <w:pPr>
              <w:autoSpaceDE w:val="0"/>
              <w:autoSpaceDN w:val="0"/>
              <w:adjustRightInd w:val="0"/>
              <w:jc w:val="center"/>
              <w:outlineLvl w:val="9"/>
              <w:rPr>
                <w:rFonts w:hint="eastAsia" w:ascii="宋体" w:hAnsi="宋体" w:eastAsia="宋体" w:cs="宋体"/>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19A1AF7">
            <w:pPr>
              <w:autoSpaceDE w:val="0"/>
              <w:autoSpaceDN w:val="0"/>
              <w:adjustRightInd w:val="0"/>
              <w:jc w:val="center"/>
              <w:outlineLvl w:val="9"/>
              <w:rPr>
                <w:rFonts w:hint="eastAsia" w:ascii="宋体" w:hAnsi="宋体" w:eastAsia="宋体" w:cs="宋体"/>
                <w:color w:val="auto"/>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19862708">
            <w:pPr>
              <w:autoSpaceDE w:val="0"/>
              <w:autoSpaceDN w:val="0"/>
              <w:adjustRightInd w:val="0"/>
              <w:jc w:val="center"/>
              <w:outlineLvl w:val="9"/>
              <w:rPr>
                <w:rFonts w:hint="eastAsia" w:ascii="宋体" w:hAnsi="宋体" w:eastAsia="宋体" w:cs="宋体"/>
                <w:color w:val="auto"/>
                <w:szCs w:val="21"/>
                <w:highlight w:val="none"/>
              </w:rPr>
            </w:pPr>
          </w:p>
        </w:tc>
        <w:tc>
          <w:tcPr>
            <w:tcW w:w="1651" w:type="dxa"/>
            <w:tcBorders>
              <w:top w:val="single" w:color="auto" w:sz="4" w:space="0"/>
              <w:left w:val="single" w:color="auto" w:sz="4" w:space="0"/>
              <w:bottom w:val="single" w:color="auto" w:sz="4" w:space="0"/>
              <w:right w:val="single" w:color="auto" w:sz="4" w:space="0"/>
            </w:tcBorders>
            <w:noWrap w:val="0"/>
            <w:vAlign w:val="center"/>
          </w:tcPr>
          <w:p w14:paraId="60499A63">
            <w:pPr>
              <w:autoSpaceDE w:val="0"/>
              <w:autoSpaceDN w:val="0"/>
              <w:adjustRightInd w:val="0"/>
              <w:jc w:val="center"/>
              <w:outlineLvl w:val="9"/>
              <w:rPr>
                <w:rFonts w:hint="eastAsia" w:ascii="宋体" w:hAnsi="宋体" w:eastAsia="宋体" w:cs="宋体"/>
                <w:color w:val="auto"/>
                <w:szCs w:val="21"/>
                <w:highlight w:val="none"/>
              </w:rPr>
            </w:pPr>
          </w:p>
        </w:tc>
        <w:tc>
          <w:tcPr>
            <w:tcW w:w="1454" w:type="dxa"/>
            <w:tcBorders>
              <w:top w:val="single" w:color="auto" w:sz="4" w:space="0"/>
              <w:left w:val="single" w:color="auto" w:sz="4" w:space="0"/>
              <w:bottom w:val="single" w:color="auto" w:sz="4" w:space="0"/>
              <w:right w:val="single" w:color="auto" w:sz="4" w:space="0"/>
            </w:tcBorders>
            <w:noWrap w:val="0"/>
            <w:vAlign w:val="center"/>
          </w:tcPr>
          <w:p w14:paraId="5AD3184F">
            <w:pPr>
              <w:autoSpaceDE w:val="0"/>
              <w:autoSpaceDN w:val="0"/>
              <w:spacing w:line="240" w:lineRule="auto"/>
              <w:ind w:left="0" w:firstLine="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专职：</w:t>
            </w:r>
            <w:r>
              <w:rPr>
                <w:rFonts w:hint="eastAsia" w:ascii="宋体" w:hAnsi="宋体" w:eastAsia="宋体" w:cs="宋体"/>
                <w:color w:val="auto"/>
                <w:kern w:val="0"/>
                <w:sz w:val="22"/>
                <w:szCs w:val="21"/>
                <w:highlight w:val="none"/>
                <w:lang w:val="zh-CN" w:eastAsia="zh-CN" w:bidi="zh-CN"/>
              </w:rPr>
              <w:t>□</w:t>
            </w:r>
            <w:r>
              <w:rPr>
                <w:rFonts w:hint="eastAsia" w:ascii="宋体" w:hAnsi="宋体" w:eastAsia="宋体" w:cs="宋体"/>
                <w:color w:val="auto"/>
                <w:kern w:val="0"/>
                <w:sz w:val="22"/>
                <w:szCs w:val="21"/>
                <w:highlight w:val="none"/>
                <w:lang w:val="zh-CN" w:bidi="zh-CN"/>
              </w:rPr>
              <w:t xml:space="preserve"> </w:t>
            </w:r>
          </w:p>
          <w:p w14:paraId="3986B785">
            <w:pPr>
              <w:autoSpaceDE w:val="0"/>
              <w:autoSpaceDN w:val="0"/>
              <w:spacing w:line="240" w:lineRule="auto"/>
              <w:ind w:left="0" w:leftChars="0" w:firstLine="0" w:firstLineChars="0"/>
              <w:jc w:val="left"/>
              <w:outlineLvl w:val="9"/>
              <w:rPr>
                <w:rFonts w:hint="eastAsia" w:ascii="宋体" w:hAnsi="宋体" w:eastAsia="宋体" w:cs="宋体"/>
                <w:color w:val="auto"/>
                <w:kern w:val="0"/>
                <w:sz w:val="22"/>
                <w:szCs w:val="21"/>
                <w:highlight w:val="none"/>
                <w:lang w:val="zh-CN" w:bidi="zh-CN"/>
              </w:rPr>
            </w:pPr>
            <w:r>
              <w:rPr>
                <w:rFonts w:hint="eastAsia" w:ascii="宋体" w:hAnsi="宋体" w:eastAsia="宋体" w:cs="宋体"/>
                <w:color w:val="auto"/>
                <w:kern w:val="0"/>
                <w:sz w:val="22"/>
                <w:szCs w:val="21"/>
                <w:highlight w:val="none"/>
                <w:lang w:val="zh-CN" w:bidi="zh-CN"/>
              </w:rPr>
              <w:t>可兼任：□</w:t>
            </w:r>
          </w:p>
        </w:tc>
      </w:tr>
    </w:tbl>
    <w:p w14:paraId="7612D6D0">
      <w:pPr>
        <w:keepNext w:val="0"/>
        <w:keepLines w:val="0"/>
        <w:pageBreakBefore w:val="0"/>
        <w:kinsoku/>
        <w:wordWrap/>
        <w:overflowPunct/>
        <w:topLinePunct w:val="0"/>
        <w:bidi w:val="0"/>
        <w:snapToGrid/>
        <w:ind w:left="0" w:leftChars="0" w:firstLine="0" w:firstLineChars="0"/>
        <w:textAlignment w:val="auto"/>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注：1.表中“岗位要求”一栏，“专职”“可兼任”由</w:t>
      </w:r>
      <w:r>
        <w:rPr>
          <w:rFonts w:hint="eastAsia" w:ascii="宋体" w:hAnsi="宋体" w:eastAsia="宋体" w:cs="宋体"/>
          <w:color w:val="auto"/>
          <w:sz w:val="22"/>
          <w:szCs w:val="22"/>
          <w:highlight w:val="none"/>
          <w:lang w:eastAsia="zh-CN"/>
        </w:rPr>
        <w:t>供应商</w:t>
      </w:r>
      <w:r>
        <w:rPr>
          <w:rFonts w:hint="eastAsia" w:ascii="宋体" w:hAnsi="宋体" w:eastAsia="宋体" w:cs="宋体"/>
          <w:color w:val="auto"/>
          <w:sz w:val="22"/>
          <w:szCs w:val="22"/>
          <w:highlight w:val="none"/>
        </w:rPr>
        <w:t>在“□”内打“√”；</w:t>
      </w:r>
    </w:p>
    <w:p w14:paraId="4A7AD231">
      <w:pPr>
        <w:spacing w:line="360" w:lineRule="auto"/>
        <w:rPr>
          <w:rFonts w:ascii="宋体" w:hAnsi="宋体" w:eastAsia="宋体"/>
          <w:szCs w:val="21"/>
          <w:highlight w:val="none"/>
        </w:rPr>
      </w:pPr>
      <w:r>
        <w:rPr>
          <w:rFonts w:hint="eastAsia" w:ascii="宋体" w:hAnsi="宋体"/>
          <w:szCs w:val="21"/>
          <w:highlight w:val="none"/>
          <w:lang w:val="en-US" w:eastAsia="zh-CN"/>
        </w:rPr>
        <w:t>2</w:t>
      </w:r>
      <w:r>
        <w:rPr>
          <w:rFonts w:hint="eastAsia" w:ascii="宋体" w:hAnsi="宋体" w:eastAsia="宋体"/>
          <w:szCs w:val="21"/>
          <w:highlight w:val="none"/>
          <w:lang w:eastAsia="zh-CN"/>
        </w:rPr>
        <w:t>.</w:t>
      </w:r>
      <w:r>
        <w:rPr>
          <w:rFonts w:ascii="宋体" w:hAnsi="宋体" w:eastAsia="宋体"/>
          <w:szCs w:val="21"/>
          <w:highlight w:val="none"/>
        </w:rPr>
        <w:t>此表可扩展。</w:t>
      </w:r>
    </w:p>
    <w:p w14:paraId="12FC464B">
      <w:pPr>
        <w:spacing w:line="360" w:lineRule="auto"/>
        <w:rPr>
          <w:rFonts w:hint="eastAsia" w:ascii="宋体" w:hAnsi="宋体" w:cs="宋体"/>
          <w:kern w:val="0"/>
          <w:highlight w:val="none"/>
        </w:rPr>
      </w:pPr>
      <w:r>
        <w:rPr>
          <w:rFonts w:hint="eastAsia" w:ascii="宋体" w:hAnsi="宋体"/>
          <w:szCs w:val="21"/>
          <w:highlight w:val="none"/>
          <w:lang w:val="en-US" w:eastAsia="zh-CN"/>
        </w:rPr>
        <w:t>3</w:t>
      </w:r>
      <w:r>
        <w:rPr>
          <w:rFonts w:hint="eastAsia" w:ascii="宋体" w:hAnsi="宋体" w:eastAsia="宋体"/>
          <w:szCs w:val="21"/>
          <w:highlight w:val="none"/>
          <w:lang w:eastAsia="zh-CN"/>
        </w:rPr>
        <w:t>.</w:t>
      </w:r>
      <w:r>
        <w:rPr>
          <w:rFonts w:hint="eastAsia"/>
          <w:highlight w:val="none"/>
          <w:lang w:eastAsia="zh-CN"/>
        </w:rPr>
        <w:t>此表后应附其他人员相应证明材料，</w:t>
      </w:r>
      <w:r>
        <w:rPr>
          <w:rFonts w:hint="eastAsia"/>
          <w:highlight w:val="none"/>
          <w:lang w:val="en-US" w:eastAsia="zh-CN"/>
        </w:rPr>
        <w:t>供应商</w:t>
      </w:r>
      <w:r>
        <w:rPr>
          <w:rFonts w:hint="eastAsia"/>
          <w:highlight w:val="none"/>
          <w:lang w:eastAsia="zh-CN"/>
        </w:rPr>
        <w:t>根据自身情况</w:t>
      </w:r>
      <w:r>
        <w:rPr>
          <w:rFonts w:hint="eastAsia" w:ascii="宋体" w:hAnsi="宋体" w:eastAsia="宋体"/>
          <w:bCs/>
          <w:szCs w:val="21"/>
          <w:highlight w:val="none"/>
          <w:lang w:eastAsia="zh-CN"/>
        </w:rPr>
        <w:t>按</w:t>
      </w:r>
      <w:r>
        <w:rPr>
          <w:rFonts w:hint="eastAsia" w:ascii="宋体" w:hAnsi="宋体" w:eastAsia="宋体"/>
          <w:bCs/>
          <w:szCs w:val="21"/>
          <w:highlight w:val="none"/>
          <w:lang w:val="en-US" w:eastAsia="zh-CN"/>
        </w:rPr>
        <w:t>详细评审</w:t>
      </w:r>
      <w:r>
        <w:rPr>
          <w:rFonts w:hint="eastAsia" w:ascii="宋体" w:hAnsi="宋体" w:eastAsia="宋体"/>
          <w:bCs/>
          <w:szCs w:val="21"/>
          <w:highlight w:val="none"/>
          <w:lang w:eastAsia="zh-CN"/>
        </w:rPr>
        <w:t>要求提供证明材料</w:t>
      </w:r>
      <w:r>
        <w:rPr>
          <w:rFonts w:hint="eastAsia"/>
          <w:highlight w:val="none"/>
          <w:lang w:eastAsia="zh-CN"/>
        </w:rPr>
        <w:t>，以反映对应评审因素真实性</w:t>
      </w:r>
      <w:r>
        <w:rPr>
          <w:rFonts w:hint="eastAsia" w:ascii="宋体" w:hAnsi="宋体" w:cs="宋体"/>
          <w:kern w:val="0"/>
          <w:highlight w:val="none"/>
        </w:rPr>
        <w:t>。</w:t>
      </w:r>
    </w:p>
    <w:p w14:paraId="72CD2F6C">
      <w:pPr>
        <w:spacing w:line="360" w:lineRule="auto"/>
        <w:rPr>
          <w:rFonts w:hint="eastAsia" w:ascii="宋体" w:hAnsi="宋体" w:cs="宋体"/>
          <w:kern w:val="0"/>
          <w:highlight w:val="none"/>
        </w:rPr>
      </w:pPr>
    </w:p>
    <w:p w14:paraId="59E2B623">
      <w:pPr>
        <w:widowControl/>
        <w:jc w:val="left"/>
        <w:rPr>
          <w:rFonts w:hint="eastAsia" w:ascii="宋体" w:hAnsi="宋体"/>
          <w:szCs w:val="21"/>
          <w:highlight w:val="none"/>
        </w:rPr>
      </w:pPr>
    </w:p>
    <w:p w14:paraId="6EE0AE6D">
      <w:pPr>
        <w:keepNext/>
        <w:keepLines/>
        <w:numPr>
          <w:ilvl w:val="1"/>
          <w:numId w:val="0"/>
        </w:numPr>
        <w:tabs>
          <w:tab w:val="left" w:pos="360"/>
        </w:tabs>
        <w:spacing w:line="360" w:lineRule="auto"/>
        <w:jc w:val="center"/>
        <w:outlineLvl w:val="3"/>
        <w:rPr>
          <w:rFonts w:hint="eastAsia" w:ascii="宋体" w:hAnsi="宋体" w:cs="宋体"/>
          <w:sz w:val="28"/>
          <w:szCs w:val="28"/>
          <w:highlight w:val="none"/>
        </w:rPr>
      </w:pPr>
      <w:bookmarkStart w:id="357" w:name="_Toc139471273"/>
      <w:bookmarkStart w:id="358" w:name="_Toc137737748"/>
      <w:bookmarkStart w:id="359" w:name="_Toc147601955"/>
      <w:bookmarkStart w:id="360" w:name="_Toc139471155"/>
      <w:r>
        <w:rPr>
          <w:rFonts w:hint="eastAsia" w:ascii="宋体" w:hAnsi="宋体" w:cs="宋体"/>
          <w:b/>
          <w:sz w:val="28"/>
          <w:szCs w:val="28"/>
          <w:highlight w:val="none"/>
        </w:rPr>
        <w:br w:type="page"/>
      </w:r>
      <w:bookmarkEnd w:id="326"/>
      <w:bookmarkEnd w:id="327"/>
      <w:bookmarkEnd w:id="328"/>
      <w:bookmarkEnd w:id="329"/>
      <w:bookmarkEnd w:id="330"/>
      <w:bookmarkEnd w:id="331"/>
      <w:bookmarkEnd w:id="357"/>
      <w:bookmarkEnd w:id="358"/>
      <w:bookmarkEnd w:id="359"/>
      <w:bookmarkEnd w:id="360"/>
      <w:bookmarkStart w:id="361" w:name="_Toc179645147"/>
      <w:bookmarkStart w:id="362" w:name="_Toc208348212"/>
      <w:bookmarkStart w:id="363" w:name="_Toc208348123"/>
      <w:r>
        <w:rPr>
          <w:rFonts w:hint="eastAsia" w:ascii="宋体" w:hAnsi="宋体" w:cs="宋体"/>
          <w:b/>
          <w:sz w:val="28"/>
          <w:szCs w:val="28"/>
          <w:highlight w:val="none"/>
          <w:lang w:val="en-US" w:eastAsia="zh-CN"/>
        </w:rPr>
        <w:t>6.</w:t>
      </w:r>
      <w:r>
        <w:rPr>
          <w:rFonts w:hint="eastAsia" w:ascii="宋体" w:hAnsi="宋体" w:cs="宋体"/>
          <w:b/>
          <w:sz w:val="28"/>
          <w:szCs w:val="18"/>
          <w:highlight w:val="none"/>
        </w:rPr>
        <w:t>类似项目业绩</w:t>
      </w:r>
      <w:bookmarkEnd w:id="332"/>
      <w:bookmarkEnd w:id="333"/>
      <w:bookmarkEnd w:id="361"/>
      <w:bookmarkEnd w:id="362"/>
      <w:bookmarkEnd w:id="363"/>
    </w:p>
    <w:tbl>
      <w:tblPr>
        <w:tblStyle w:val="4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02"/>
        <w:gridCol w:w="2524"/>
        <w:gridCol w:w="1553"/>
        <w:gridCol w:w="1705"/>
        <w:gridCol w:w="1942"/>
        <w:gridCol w:w="901"/>
      </w:tblGrid>
      <w:tr w14:paraId="35EE0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4738B2A0">
            <w:pPr>
              <w:snapToGrid w:val="0"/>
              <w:jc w:val="center"/>
              <w:rPr>
                <w:rFonts w:hint="eastAsia" w:ascii="宋体" w:hAnsi="宋体" w:cs="宋体"/>
                <w:b/>
                <w:szCs w:val="21"/>
                <w:highlight w:val="none"/>
              </w:rPr>
            </w:pPr>
            <w:r>
              <w:rPr>
                <w:rFonts w:hint="eastAsia" w:ascii="宋体" w:hAnsi="宋体" w:cs="宋体"/>
                <w:b/>
                <w:szCs w:val="21"/>
                <w:highlight w:val="none"/>
              </w:rPr>
              <w:t>序号</w:t>
            </w:r>
          </w:p>
        </w:tc>
        <w:tc>
          <w:tcPr>
            <w:tcW w:w="1310" w:type="pct"/>
            <w:noWrap w:val="0"/>
            <w:vAlign w:val="center"/>
          </w:tcPr>
          <w:p w14:paraId="51A429FC">
            <w:pPr>
              <w:snapToGrid w:val="0"/>
              <w:jc w:val="center"/>
              <w:rPr>
                <w:rFonts w:hint="eastAsia" w:ascii="宋体" w:hAnsi="宋体" w:cs="宋体"/>
                <w:b/>
                <w:szCs w:val="21"/>
                <w:highlight w:val="none"/>
              </w:rPr>
            </w:pPr>
            <w:r>
              <w:rPr>
                <w:rFonts w:hint="eastAsia" w:ascii="宋体" w:hAnsi="宋体" w:cs="宋体"/>
                <w:b/>
                <w:szCs w:val="21"/>
                <w:highlight w:val="none"/>
              </w:rPr>
              <w:t>项目名称</w:t>
            </w:r>
          </w:p>
        </w:tc>
        <w:tc>
          <w:tcPr>
            <w:tcW w:w="806" w:type="pct"/>
            <w:noWrap w:val="0"/>
            <w:vAlign w:val="center"/>
          </w:tcPr>
          <w:p w14:paraId="1D133F8E">
            <w:pPr>
              <w:snapToGrid w:val="0"/>
              <w:jc w:val="center"/>
              <w:rPr>
                <w:rFonts w:hint="eastAsia" w:ascii="宋体" w:hAnsi="宋体" w:cs="宋体"/>
                <w:b/>
                <w:szCs w:val="21"/>
                <w:highlight w:val="none"/>
              </w:rPr>
            </w:pPr>
            <w:r>
              <w:rPr>
                <w:rFonts w:hint="eastAsia" w:ascii="宋体" w:hAnsi="宋体" w:cs="宋体"/>
                <w:b/>
                <w:szCs w:val="21"/>
                <w:highlight w:val="none"/>
              </w:rPr>
              <w:t>发包人</w:t>
            </w:r>
          </w:p>
        </w:tc>
        <w:tc>
          <w:tcPr>
            <w:tcW w:w="885" w:type="pct"/>
            <w:noWrap w:val="0"/>
            <w:vAlign w:val="center"/>
          </w:tcPr>
          <w:p w14:paraId="6BCDED24">
            <w:pPr>
              <w:snapToGrid w:val="0"/>
              <w:jc w:val="center"/>
              <w:rPr>
                <w:rFonts w:hint="eastAsia" w:ascii="宋体" w:hAnsi="宋体" w:cs="宋体"/>
                <w:b/>
                <w:szCs w:val="21"/>
                <w:highlight w:val="none"/>
              </w:rPr>
            </w:pPr>
            <w:r>
              <w:rPr>
                <w:rFonts w:hint="eastAsia" w:ascii="宋体" w:hAnsi="宋体" w:cs="宋体"/>
                <w:b/>
                <w:szCs w:val="21"/>
                <w:highlight w:val="none"/>
              </w:rPr>
              <w:t>金额</w:t>
            </w:r>
          </w:p>
        </w:tc>
        <w:tc>
          <w:tcPr>
            <w:tcW w:w="1008" w:type="pct"/>
            <w:noWrap w:val="0"/>
            <w:vAlign w:val="center"/>
          </w:tcPr>
          <w:p w14:paraId="132F638F">
            <w:pPr>
              <w:snapToGrid w:val="0"/>
              <w:jc w:val="center"/>
              <w:rPr>
                <w:rFonts w:hint="eastAsia" w:ascii="宋体" w:hAnsi="宋体" w:cs="宋体"/>
                <w:b/>
                <w:szCs w:val="21"/>
                <w:highlight w:val="none"/>
              </w:rPr>
            </w:pPr>
            <w:r>
              <w:rPr>
                <w:rFonts w:hint="eastAsia" w:ascii="宋体" w:hAnsi="宋体" w:cs="宋体"/>
                <w:b/>
                <w:szCs w:val="21"/>
                <w:highlight w:val="none"/>
              </w:rPr>
              <w:t>时间</w:t>
            </w:r>
          </w:p>
        </w:tc>
        <w:tc>
          <w:tcPr>
            <w:tcW w:w="467" w:type="pct"/>
            <w:noWrap w:val="0"/>
            <w:vAlign w:val="center"/>
          </w:tcPr>
          <w:p w14:paraId="5800EB0C">
            <w:pPr>
              <w:snapToGrid w:val="0"/>
              <w:jc w:val="center"/>
              <w:rPr>
                <w:rFonts w:hint="eastAsia" w:ascii="宋体" w:hAnsi="宋体" w:cs="宋体"/>
                <w:b/>
                <w:szCs w:val="21"/>
                <w:highlight w:val="none"/>
              </w:rPr>
            </w:pPr>
            <w:r>
              <w:rPr>
                <w:rFonts w:hint="eastAsia" w:ascii="宋体" w:hAnsi="宋体" w:cs="宋体"/>
                <w:b/>
                <w:szCs w:val="21"/>
                <w:highlight w:val="none"/>
              </w:rPr>
              <w:t>备注</w:t>
            </w:r>
          </w:p>
        </w:tc>
      </w:tr>
      <w:tr w14:paraId="217AB3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52665F23">
            <w:pPr>
              <w:snapToGrid w:val="0"/>
              <w:jc w:val="center"/>
              <w:rPr>
                <w:rFonts w:hint="eastAsia" w:ascii="宋体" w:hAnsi="宋体" w:cs="宋体"/>
                <w:b/>
                <w:szCs w:val="21"/>
                <w:highlight w:val="none"/>
              </w:rPr>
            </w:pPr>
            <w:r>
              <w:rPr>
                <w:rFonts w:hint="eastAsia" w:ascii="宋体" w:hAnsi="宋体" w:cs="宋体"/>
                <w:b/>
                <w:szCs w:val="21"/>
                <w:highlight w:val="none"/>
              </w:rPr>
              <w:t>1</w:t>
            </w:r>
          </w:p>
        </w:tc>
        <w:tc>
          <w:tcPr>
            <w:tcW w:w="1310" w:type="pct"/>
            <w:noWrap w:val="0"/>
            <w:vAlign w:val="center"/>
          </w:tcPr>
          <w:p w14:paraId="6B64566D">
            <w:pPr>
              <w:snapToGrid w:val="0"/>
              <w:jc w:val="center"/>
              <w:rPr>
                <w:rFonts w:hint="eastAsia" w:ascii="宋体" w:hAnsi="宋体" w:cs="宋体"/>
                <w:b/>
                <w:szCs w:val="21"/>
                <w:highlight w:val="none"/>
                <w:u w:val="single"/>
              </w:rPr>
            </w:pPr>
          </w:p>
        </w:tc>
        <w:tc>
          <w:tcPr>
            <w:tcW w:w="806" w:type="pct"/>
            <w:noWrap w:val="0"/>
            <w:vAlign w:val="center"/>
          </w:tcPr>
          <w:p w14:paraId="6BD881B3">
            <w:pPr>
              <w:snapToGrid w:val="0"/>
              <w:jc w:val="center"/>
              <w:rPr>
                <w:rFonts w:hint="eastAsia" w:ascii="宋体" w:hAnsi="宋体" w:cs="宋体"/>
                <w:b/>
                <w:szCs w:val="21"/>
                <w:highlight w:val="none"/>
                <w:u w:val="single"/>
              </w:rPr>
            </w:pPr>
          </w:p>
        </w:tc>
        <w:tc>
          <w:tcPr>
            <w:tcW w:w="885" w:type="pct"/>
            <w:noWrap w:val="0"/>
            <w:vAlign w:val="center"/>
          </w:tcPr>
          <w:p w14:paraId="3CC70547">
            <w:pPr>
              <w:snapToGrid w:val="0"/>
              <w:jc w:val="center"/>
              <w:rPr>
                <w:rFonts w:hint="eastAsia" w:ascii="宋体" w:hAnsi="宋体" w:cs="宋体"/>
                <w:b/>
                <w:szCs w:val="21"/>
                <w:highlight w:val="none"/>
                <w:u w:val="single"/>
              </w:rPr>
            </w:pPr>
          </w:p>
        </w:tc>
        <w:tc>
          <w:tcPr>
            <w:tcW w:w="1008" w:type="pct"/>
            <w:noWrap w:val="0"/>
            <w:vAlign w:val="center"/>
          </w:tcPr>
          <w:p w14:paraId="18EA383C">
            <w:pPr>
              <w:snapToGrid w:val="0"/>
              <w:jc w:val="center"/>
              <w:rPr>
                <w:rFonts w:hint="eastAsia" w:ascii="宋体" w:hAnsi="宋体" w:cs="宋体"/>
                <w:b/>
                <w:szCs w:val="21"/>
                <w:highlight w:val="none"/>
                <w:u w:val="single"/>
              </w:rPr>
            </w:pPr>
          </w:p>
        </w:tc>
        <w:tc>
          <w:tcPr>
            <w:tcW w:w="467" w:type="pct"/>
            <w:noWrap w:val="0"/>
            <w:vAlign w:val="center"/>
          </w:tcPr>
          <w:p w14:paraId="21810D1F">
            <w:pPr>
              <w:snapToGrid w:val="0"/>
              <w:jc w:val="center"/>
              <w:rPr>
                <w:rFonts w:hint="eastAsia" w:ascii="宋体" w:hAnsi="宋体" w:cs="宋体"/>
                <w:b/>
                <w:szCs w:val="21"/>
                <w:highlight w:val="none"/>
                <w:u w:val="single"/>
              </w:rPr>
            </w:pPr>
          </w:p>
        </w:tc>
      </w:tr>
      <w:tr w14:paraId="2994B2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228F0641">
            <w:pPr>
              <w:snapToGrid w:val="0"/>
              <w:jc w:val="center"/>
              <w:rPr>
                <w:rFonts w:hint="eastAsia" w:ascii="宋体" w:hAnsi="宋体" w:cs="宋体"/>
                <w:b/>
                <w:szCs w:val="21"/>
                <w:highlight w:val="none"/>
              </w:rPr>
            </w:pPr>
            <w:r>
              <w:rPr>
                <w:rFonts w:hint="eastAsia" w:ascii="宋体" w:hAnsi="宋体" w:cs="宋体"/>
                <w:b/>
                <w:szCs w:val="21"/>
                <w:highlight w:val="none"/>
              </w:rPr>
              <w:t>2</w:t>
            </w:r>
          </w:p>
        </w:tc>
        <w:tc>
          <w:tcPr>
            <w:tcW w:w="1310" w:type="pct"/>
            <w:noWrap w:val="0"/>
            <w:vAlign w:val="center"/>
          </w:tcPr>
          <w:p w14:paraId="09965CDF">
            <w:pPr>
              <w:snapToGrid w:val="0"/>
              <w:jc w:val="center"/>
              <w:rPr>
                <w:rFonts w:hint="eastAsia" w:ascii="宋体" w:hAnsi="宋体" w:cs="宋体"/>
                <w:b/>
                <w:szCs w:val="21"/>
                <w:highlight w:val="none"/>
                <w:u w:val="single"/>
              </w:rPr>
            </w:pPr>
          </w:p>
        </w:tc>
        <w:tc>
          <w:tcPr>
            <w:tcW w:w="806" w:type="pct"/>
            <w:noWrap w:val="0"/>
            <w:vAlign w:val="center"/>
          </w:tcPr>
          <w:p w14:paraId="2E2E89B3">
            <w:pPr>
              <w:snapToGrid w:val="0"/>
              <w:jc w:val="center"/>
              <w:rPr>
                <w:rFonts w:hint="eastAsia" w:ascii="宋体" w:hAnsi="宋体" w:cs="宋体"/>
                <w:b/>
                <w:szCs w:val="21"/>
                <w:highlight w:val="none"/>
                <w:u w:val="single"/>
              </w:rPr>
            </w:pPr>
          </w:p>
        </w:tc>
        <w:tc>
          <w:tcPr>
            <w:tcW w:w="885" w:type="pct"/>
            <w:noWrap w:val="0"/>
            <w:vAlign w:val="center"/>
          </w:tcPr>
          <w:p w14:paraId="26383703">
            <w:pPr>
              <w:snapToGrid w:val="0"/>
              <w:jc w:val="center"/>
              <w:rPr>
                <w:rFonts w:hint="eastAsia" w:ascii="宋体" w:hAnsi="宋体" w:cs="宋体"/>
                <w:b/>
                <w:szCs w:val="21"/>
                <w:highlight w:val="none"/>
                <w:u w:val="single"/>
              </w:rPr>
            </w:pPr>
          </w:p>
        </w:tc>
        <w:tc>
          <w:tcPr>
            <w:tcW w:w="1008" w:type="pct"/>
            <w:noWrap w:val="0"/>
            <w:vAlign w:val="center"/>
          </w:tcPr>
          <w:p w14:paraId="793532CB">
            <w:pPr>
              <w:snapToGrid w:val="0"/>
              <w:jc w:val="center"/>
              <w:rPr>
                <w:rFonts w:hint="eastAsia" w:ascii="宋体" w:hAnsi="宋体" w:cs="宋体"/>
                <w:b/>
                <w:szCs w:val="21"/>
                <w:highlight w:val="none"/>
                <w:u w:val="single"/>
              </w:rPr>
            </w:pPr>
          </w:p>
        </w:tc>
        <w:tc>
          <w:tcPr>
            <w:tcW w:w="467" w:type="pct"/>
            <w:noWrap w:val="0"/>
            <w:vAlign w:val="center"/>
          </w:tcPr>
          <w:p w14:paraId="54D5C23C">
            <w:pPr>
              <w:snapToGrid w:val="0"/>
              <w:jc w:val="center"/>
              <w:rPr>
                <w:rFonts w:hint="eastAsia" w:ascii="宋体" w:hAnsi="宋体" w:cs="宋体"/>
                <w:b/>
                <w:szCs w:val="21"/>
                <w:highlight w:val="none"/>
                <w:u w:val="single"/>
              </w:rPr>
            </w:pPr>
          </w:p>
        </w:tc>
      </w:tr>
      <w:tr w14:paraId="425011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6019E9DB">
            <w:pPr>
              <w:snapToGrid w:val="0"/>
              <w:jc w:val="center"/>
              <w:rPr>
                <w:rFonts w:hint="eastAsia" w:ascii="宋体" w:hAnsi="宋体" w:cs="宋体"/>
                <w:b/>
                <w:szCs w:val="21"/>
                <w:highlight w:val="none"/>
              </w:rPr>
            </w:pPr>
            <w:r>
              <w:rPr>
                <w:rFonts w:hint="eastAsia" w:ascii="宋体" w:hAnsi="宋体" w:cs="宋体"/>
                <w:b/>
                <w:szCs w:val="21"/>
                <w:highlight w:val="none"/>
              </w:rPr>
              <w:t>3</w:t>
            </w:r>
          </w:p>
        </w:tc>
        <w:tc>
          <w:tcPr>
            <w:tcW w:w="1310" w:type="pct"/>
            <w:noWrap w:val="0"/>
            <w:vAlign w:val="center"/>
          </w:tcPr>
          <w:p w14:paraId="35BA7732">
            <w:pPr>
              <w:snapToGrid w:val="0"/>
              <w:jc w:val="center"/>
              <w:rPr>
                <w:rFonts w:hint="eastAsia" w:ascii="宋体" w:hAnsi="宋体" w:cs="宋体"/>
                <w:b/>
                <w:szCs w:val="21"/>
                <w:highlight w:val="none"/>
                <w:u w:val="single"/>
              </w:rPr>
            </w:pPr>
          </w:p>
        </w:tc>
        <w:tc>
          <w:tcPr>
            <w:tcW w:w="806" w:type="pct"/>
            <w:noWrap w:val="0"/>
            <w:vAlign w:val="center"/>
          </w:tcPr>
          <w:p w14:paraId="756A12B0">
            <w:pPr>
              <w:snapToGrid w:val="0"/>
              <w:jc w:val="center"/>
              <w:rPr>
                <w:rFonts w:hint="eastAsia" w:ascii="宋体" w:hAnsi="宋体" w:cs="宋体"/>
                <w:b/>
                <w:szCs w:val="21"/>
                <w:highlight w:val="none"/>
                <w:u w:val="single"/>
              </w:rPr>
            </w:pPr>
          </w:p>
        </w:tc>
        <w:tc>
          <w:tcPr>
            <w:tcW w:w="885" w:type="pct"/>
            <w:noWrap w:val="0"/>
            <w:vAlign w:val="center"/>
          </w:tcPr>
          <w:p w14:paraId="1834739E">
            <w:pPr>
              <w:snapToGrid w:val="0"/>
              <w:jc w:val="center"/>
              <w:rPr>
                <w:rFonts w:hint="eastAsia" w:ascii="宋体" w:hAnsi="宋体" w:cs="宋体"/>
                <w:b/>
                <w:szCs w:val="21"/>
                <w:highlight w:val="none"/>
                <w:u w:val="single"/>
              </w:rPr>
            </w:pPr>
          </w:p>
        </w:tc>
        <w:tc>
          <w:tcPr>
            <w:tcW w:w="1008" w:type="pct"/>
            <w:noWrap w:val="0"/>
            <w:vAlign w:val="center"/>
          </w:tcPr>
          <w:p w14:paraId="677792C3">
            <w:pPr>
              <w:snapToGrid w:val="0"/>
              <w:jc w:val="center"/>
              <w:rPr>
                <w:rFonts w:hint="eastAsia" w:ascii="宋体" w:hAnsi="宋体" w:cs="宋体"/>
                <w:b/>
                <w:szCs w:val="21"/>
                <w:highlight w:val="none"/>
                <w:u w:val="single"/>
              </w:rPr>
            </w:pPr>
          </w:p>
        </w:tc>
        <w:tc>
          <w:tcPr>
            <w:tcW w:w="467" w:type="pct"/>
            <w:noWrap w:val="0"/>
            <w:vAlign w:val="center"/>
          </w:tcPr>
          <w:p w14:paraId="2340E474">
            <w:pPr>
              <w:snapToGrid w:val="0"/>
              <w:jc w:val="center"/>
              <w:rPr>
                <w:rFonts w:hint="eastAsia" w:ascii="宋体" w:hAnsi="宋体" w:cs="宋体"/>
                <w:b/>
                <w:szCs w:val="21"/>
                <w:highlight w:val="none"/>
                <w:u w:val="single"/>
              </w:rPr>
            </w:pPr>
          </w:p>
        </w:tc>
      </w:tr>
      <w:tr w14:paraId="30089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4D5CDA40">
            <w:pPr>
              <w:snapToGrid w:val="0"/>
              <w:jc w:val="center"/>
              <w:rPr>
                <w:rFonts w:hint="eastAsia" w:ascii="宋体" w:hAnsi="宋体" w:cs="宋体"/>
                <w:b/>
                <w:szCs w:val="21"/>
                <w:highlight w:val="none"/>
              </w:rPr>
            </w:pPr>
            <w:r>
              <w:rPr>
                <w:rFonts w:hint="eastAsia" w:ascii="宋体" w:hAnsi="宋体" w:cs="宋体"/>
                <w:b/>
                <w:szCs w:val="21"/>
                <w:highlight w:val="none"/>
              </w:rPr>
              <w:t>……</w:t>
            </w:r>
          </w:p>
        </w:tc>
        <w:tc>
          <w:tcPr>
            <w:tcW w:w="1310" w:type="pct"/>
            <w:noWrap w:val="0"/>
            <w:vAlign w:val="center"/>
          </w:tcPr>
          <w:p w14:paraId="7B4EE359">
            <w:pPr>
              <w:snapToGrid w:val="0"/>
              <w:jc w:val="center"/>
              <w:rPr>
                <w:rFonts w:hint="eastAsia" w:ascii="宋体" w:hAnsi="宋体" w:cs="宋体"/>
                <w:b/>
                <w:szCs w:val="21"/>
                <w:highlight w:val="none"/>
                <w:u w:val="single"/>
              </w:rPr>
            </w:pPr>
          </w:p>
        </w:tc>
        <w:tc>
          <w:tcPr>
            <w:tcW w:w="806" w:type="pct"/>
            <w:noWrap w:val="0"/>
            <w:vAlign w:val="center"/>
          </w:tcPr>
          <w:p w14:paraId="461E380C">
            <w:pPr>
              <w:snapToGrid w:val="0"/>
              <w:jc w:val="center"/>
              <w:rPr>
                <w:rFonts w:hint="eastAsia" w:ascii="宋体" w:hAnsi="宋体" w:cs="宋体"/>
                <w:b/>
                <w:szCs w:val="21"/>
                <w:highlight w:val="none"/>
                <w:u w:val="single"/>
              </w:rPr>
            </w:pPr>
          </w:p>
        </w:tc>
        <w:tc>
          <w:tcPr>
            <w:tcW w:w="885" w:type="pct"/>
            <w:noWrap w:val="0"/>
            <w:vAlign w:val="center"/>
          </w:tcPr>
          <w:p w14:paraId="72980D02">
            <w:pPr>
              <w:snapToGrid w:val="0"/>
              <w:jc w:val="center"/>
              <w:rPr>
                <w:rFonts w:hint="eastAsia" w:ascii="宋体" w:hAnsi="宋体" w:cs="宋体"/>
                <w:b/>
                <w:szCs w:val="21"/>
                <w:highlight w:val="none"/>
                <w:u w:val="single"/>
              </w:rPr>
            </w:pPr>
          </w:p>
        </w:tc>
        <w:tc>
          <w:tcPr>
            <w:tcW w:w="1008" w:type="pct"/>
            <w:noWrap w:val="0"/>
            <w:vAlign w:val="center"/>
          </w:tcPr>
          <w:p w14:paraId="67217BB7">
            <w:pPr>
              <w:snapToGrid w:val="0"/>
              <w:jc w:val="center"/>
              <w:rPr>
                <w:rFonts w:hint="eastAsia" w:ascii="宋体" w:hAnsi="宋体" w:cs="宋体"/>
                <w:b/>
                <w:szCs w:val="21"/>
                <w:highlight w:val="none"/>
                <w:u w:val="single"/>
              </w:rPr>
            </w:pPr>
          </w:p>
        </w:tc>
        <w:tc>
          <w:tcPr>
            <w:tcW w:w="467" w:type="pct"/>
            <w:noWrap w:val="0"/>
            <w:vAlign w:val="center"/>
          </w:tcPr>
          <w:p w14:paraId="5087AD1F">
            <w:pPr>
              <w:snapToGrid w:val="0"/>
              <w:jc w:val="center"/>
              <w:rPr>
                <w:rFonts w:hint="eastAsia" w:ascii="宋体" w:hAnsi="宋体" w:cs="宋体"/>
                <w:b/>
                <w:szCs w:val="21"/>
                <w:highlight w:val="none"/>
                <w:u w:val="single"/>
              </w:rPr>
            </w:pPr>
          </w:p>
        </w:tc>
      </w:tr>
      <w:tr w14:paraId="690B98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78F7DBD2">
            <w:pPr>
              <w:snapToGrid w:val="0"/>
              <w:jc w:val="center"/>
              <w:rPr>
                <w:rFonts w:hint="eastAsia" w:ascii="宋体" w:hAnsi="宋体" w:cs="宋体"/>
                <w:b/>
                <w:szCs w:val="21"/>
                <w:highlight w:val="none"/>
              </w:rPr>
            </w:pPr>
          </w:p>
        </w:tc>
        <w:tc>
          <w:tcPr>
            <w:tcW w:w="1310" w:type="pct"/>
            <w:noWrap w:val="0"/>
            <w:vAlign w:val="center"/>
          </w:tcPr>
          <w:p w14:paraId="2E4D4B36">
            <w:pPr>
              <w:snapToGrid w:val="0"/>
              <w:jc w:val="center"/>
              <w:rPr>
                <w:rFonts w:hint="eastAsia" w:ascii="宋体" w:hAnsi="宋体" w:cs="宋体"/>
                <w:b/>
                <w:szCs w:val="21"/>
                <w:highlight w:val="none"/>
                <w:u w:val="single"/>
              </w:rPr>
            </w:pPr>
          </w:p>
        </w:tc>
        <w:tc>
          <w:tcPr>
            <w:tcW w:w="806" w:type="pct"/>
            <w:noWrap w:val="0"/>
            <w:vAlign w:val="center"/>
          </w:tcPr>
          <w:p w14:paraId="0F07713A">
            <w:pPr>
              <w:snapToGrid w:val="0"/>
              <w:jc w:val="center"/>
              <w:rPr>
                <w:rFonts w:hint="eastAsia" w:ascii="宋体" w:hAnsi="宋体" w:cs="宋体"/>
                <w:b/>
                <w:szCs w:val="21"/>
                <w:highlight w:val="none"/>
                <w:u w:val="single"/>
              </w:rPr>
            </w:pPr>
          </w:p>
        </w:tc>
        <w:tc>
          <w:tcPr>
            <w:tcW w:w="885" w:type="pct"/>
            <w:noWrap w:val="0"/>
            <w:vAlign w:val="center"/>
          </w:tcPr>
          <w:p w14:paraId="092B396F">
            <w:pPr>
              <w:snapToGrid w:val="0"/>
              <w:jc w:val="center"/>
              <w:rPr>
                <w:rFonts w:hint="eastAsia" w:ascii="宋体" w:hAnsi="宋体" w:cs="宋体"/>
                <w:b/>
                <w:szCs w:val="21"/>
                <w:highlight w:val="none"/>
                <w:u w:val="single"/>
              </w:rPr>
            </w:pPr>
          </w:p>
        </w:tc>
        <w:tc>
          <w:tcPr>
            <w:tcW w:w="1008" w:type="pct"/>
            <w:noWrap w:val="0"/>
            <w:vAlign w:val="center"/>
          </w:tcPr>
          <w:p w14:paraId="34EE5D15">
            <w:pPr>
              <w:snapToGrid w:val="0"/>
              <w:jc w:val="center"/>
              <w:rPr>
                <w:rFonts w:hint="eastAsia" w:ascii="宋体" w:hAnsi="宋体" w:cs="宋体"/>
                <w:b/>
                <w:szCs w:val="21"/>
                <w:highlight w:val="none"/>
                <w:u w:val="single"/>
              </w:rPr>
            </w:pPr>
          </w:p>
        </w:tc>
        <w:tc>
          <w:tcPr>
            <w:tcW w:w="467" w:type="pct"/>
            <w:noWrap w:val="0"/>
            <w:vAlign w:val="center"/>
          </w:tcPr>
          <w:p w14:paraId="32961766">
            <w:pPr>
              <w:snapToGrid w:val="0"/>
              <w:jc w:val="center"/>
              <w:rPr>
                <w:rFonts w:hint="eastAsia" w:ascii="宋体" w:hAnsi="宋体" w:cs="宋体"/>
                <w:b/>
                <w:szCs w:val="21"/>
                <w:highlight w:val="none"/>
                <w:u w:val="single"/>
              </w:rPr>
            </w:pPr>
          </w:p>
        </w:tc>
      </w:tr>
      <w:tr w14:paraId="375759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2ECC8EA4">
            <w:pPr>
              <w:snapToGrid w:val="0"/>
              <w:jc w:val="center"/>
              <w:rPr>
                <w:rFonts w:hint="eastAsia" w:ascii="宋体" w:hAnsi="宋体" w:cs="宋体"/>
                <w:b/>
                <w:szCs w:val="21"/>
                <w:highlight w:val="none"/>
              </w:rPr>
            </w:pPr>
          </w:p>
        </w:tc>
        <w:tc>
          <w:tcPr>
            <w:tcW w:w="1310" w:type="pct"/>
            <w:noWrap w:val="0"/>
            <w:vAlign w:val="center"/>
          </w:tcPr>
          <w:p w14:paraId="14142153">
            <w:pPr>
              <w:snapToGrid w:val="0"/>
              <w:jc w:val="center"/>
              <w:rPr>
                <w:rFonts w:hint="eastAsia" w:ascii="宋体" w:hAnsi="宋体" w:cs="宋体"/>
                <w:b/>
                <w:szCs w:val="21"/>
                <w:highlight w:val="none"/>
                <w:u w:val="single"/>
              </w:rPr>
            </w:pPr>
          </w:p>
        </w:tc>
        <w:tc>
          <w:tcPr>
            <w:tcW w:w="806" w:type="pct"/>
            <w:noWrap w:val="0"/>
            <w:vAlign w:val="center"/>
          </w:tcPr>
          <w:p w14:paraId="3BFB10AC">
            <w:pPr>
              <w:snapToGrid w:val="0"/>
              <w:jc w:val="center"/>
              <w:rPr>
                <w:rFonts w:hint="eastAsia" w:ascii="宋体" w:hAnsi="宋体" w:cs="宋体"/>
                <w:b/>
                <w:szCs w:val="21"/>
                <w:highlight w:val="none"/>
                <w:u w:val="single"/>
              </w:rPr>
            </w:pPr>
          </w:p>
        </w:tc>
        <w:tc>
          <w:tcPr>
            <w:tcW w:w="885" w:type="pct"/>
            <w:noWrap w:val="0"/>
            <w:vAlign w:val="center"/>
          </w:tcPr>
          <w:p w14:paraId="2ABE00DB">
            <w:pPr>
              <w:snapToGrid w:val="0"/>
              <w:jc w:val="center"/>
              <w:rPr>
                <w:rFonts w:hint="eastAsia" w:ascii="宋体" w:hAnsi="宋体" w:cs="宋体"/>
                <w:b/>
                <w:szCs w:val="21"/>
                <w:highlight w:val="none"/>
                <w:u w:val="single"/>
              </w:rPr>
            </w:pPr>
          </w:p>
        </w:tc>
        <w:tc>
          <w:tcPr>
            <w:tcW w:w="1008" w:type="pct"/>
            <w:noWrap w:val="0"/>
            <w:vAlign w:val="center"/>
          </w:tcPr>
          <w:p w14:paraId="22099E79">
            <w:pPr>
              <w:snapToGrid w:val="0"/>
              <w:jc w:val="center"/>
              <w:rPr>
                <w:rFonts w:hint="eastAsia" w:ascii="宋体" w:hAnsi="宋体" w:cs="宋体"/>
                <w:b/>
                <w:szCs w:val="21"/>
                <w:highlight w:val="none"/>
                <w:u w:val="single"/>
              </w:rPr>
            </w:pPr>
          </w:p>
        </w:tc>
        <w:tc>
          <w:tcPr>
            <w:tcW w:w="467" w:type="pct"/>
            <w:noWrap w:val="0"/>
            <w:vAlign w:val="center"/>
          </w:tcPr>
          <w:p w14:paraId="6565A193">
            <w:pPr>
              <w:snapToGrid w:val="0"/>
              <w:jc w:val="center"/>
              <w:rPr>
                <w:rFonts w:hint="eastAsia" w:ascii="宋体" w:hAnsi="宋体" w:cs="宋体"/>
                <w:b/>
                <w:szCs w:val="21"/>
                <w:highlight w:val="none"/>
                <w:u w:val="single"/>
              </w:rPr>
            </w:pPr>
          </w:p>
        </w:tc>
      </w:tr>
      <w:tr w14:paraId="083C8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39822F34">
            <w:pPr>
              <w:snapToGrid w:val="0"/>
              <w:jc w:val="center"/>
              <w:rPr>
                <w:rFonts w:hint="eastAsia" w:ascii="宋体" w:hAnsi="宋体" w:cs="宋体"/>
                <w:b/>
                <w:szCs w:val="21"/>
                <w:highlight w:val="none"/>
              </w:rPr>
            </w:pPr>
          </w:p>
        </w:tc>
        <w:tc>
          <w:tcPr>
            <w:tcW w:w="1310" w:type="pct"/>
            <w:noWrap w:val="0"/>
            <w:vAlign w:val="center"/>
          </w:tcPr>
          <w:p w14:paraId="1526A619">
            <w:pPr>
              <w:snapToGrid w:val="0"/>
              <w:jc w:val="center"/>
              <w:rPr>
                <w:rFonts w:hint="eastAsia" w:ascii="宋体" w:hAnsi="宋体" w:cs="宋体"/>
                <w:b/>
                <w:szCs w:val="21"/>
                <w:highlight w:val="none"/>
                <w:u w:val="single"/>
              </w:rPr>
            </w:pPr>
          </w:p>
        </w:tc>
        <w:tc>
          <w:tcPr>
            <w:tcW w:w="806" w:type="pct"/>
            <w:noWrap w:val="0"/>
            <w:vAlign w:val="center"/>
          </w:tcPr>
          <w:p w14:paraId="15BCB873">
            <w:pPr>
              <w:snapToGrid w:val="0"/>
              <w:jc w:val="center"/>
              <w:rPr>
                <w:rFonts w:hint="eastAsia" w:ascii="宋体" w:hAnsi="宋体" w:cs="宋体"/>
                <w:b/>
                <w:szCs w:val="21"/>
                <w:highlight w:val="none"/>
                <w:u w:val="single"/>
              </w:rPr>
            </w:pPr>
          </w:p>
        </w:tc>
        <w:tc>
          <w:tcPr>
            <w:tcW w:w="885" w:type="pct"/>
            <w:noWrap w:val="0"/>
            <w:vAlign w:val="center"/>
          </w:tcPr>
          <w:p w14:paraId="5E42736A">
            <w:pPr>
              <w:snapToGrid w:val="0"/>
              <w:jc w:val="center"/>
              <w:rPr>
                <w:rFonts w:hint="eastAsia" w:ascii="宋体" w:hAnsi="宋体" w:cs="宋体"/>
                <w:b/>
                <w:szCs w:val="21"/>
                <w:highlight w:val="none"/>
                <w:u w:val="single"/>
              </w:rPr>
            </w:pPr>
          </w:p>
        </w:tc>
        <w:tc>
          <w:tcPr>
            <w:tcW w:w="1008" w:type="pct"/>
            <w:noWrap w:val="0"/>
            <w:vAlign w:val="center"/>
          </w:tcPr>
          <w:p w14:paraId="25798F6E">
            <w:pPr>
              <w:snapToGrid w:val="0"/>
              <w:jc w:val="center"/>
              <w:rPr>
                <w:rFonts w:hint="eastAsia" w:ascii="宋体" w:hAnsi="宋体" w:cs="宋体"/>
                <w:b/>
                <w:szCs w:val="21"/>
                <w:highlight w:val="none"/>
                <w:u w:val="single"/>
              </w:rPr>
            </w:pPr>
          </w:p>
        </w:tc>
        <w:tc>
          <w:tcPr>
            <w:tcW w:w="467" w:type="pct"/>
            <w:noWrap w:val="0"/>
            <w:vAlign w:val="center"/>
          </w:tcPr>
          <w:p w14:paraId="09D1C704">
            <w:pPr>
              <w:snapToGrid w:val="0"/>
              <w:jc w:val="center"/>
              <w:rPr>
                <w:rFonts w:hint="eastAsia" w:ascii="宋体" w:hAnsi="宋体" w:cs="宋体"/>
                <w:b/>
                <w:szCs w:val="21"/>
                <w:highlight w:val="none"/>
                <w:u w:val="single"/>
              </w:rPr>
            </w:pPr>
          </w:p>
        </w:tc>
      </w:tr>
      <w:tr w14:paraId="6371A1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6BD290E9">
            <w:pPr>
              <w:snapToGrid w:val="0"/>
              <w:jc w:val="center"/>
              <w:rPr>
                <w:rFonts w:hint="eastAsia" w:ascii="宋体" w:hAnsi="宋体" w:cs="宋体"/>
                <w:b/>
                <w:szCs w:val="21"/>
                <w:highlight w:val="none"/>
              </w:rPr>
            </w:pPr>
          </w:p>
        </w:tc>
        <w:tc>
          <w:tcPr>
            <w:tcW w:w="1310" w:type="pct"/>
            <w:noWrap w:val="0"/>
            <w:vAlign w:val="center"/>
          </w:tcPr>
          <w:p w14:paraId="0F746E0B">
            <w:pPr>
              <w:snapToGrid w:val="0"/>
              <w:jc w:val="center"/>
              <w:rPr>
                <w:rFonts w:hint="eastAsia" w:ascii="宋体" w:hAnsi="宋体" w:cs="宋体"/>
                <w:b/>
                <w:szCs w:val="21"/>
                <w:highlight w:val="none"/>
                <w:u w:val="single"/>
              </w:rPr>
            </w:pPr>
          </w:p>
        </w:tc>
        <w:tc>
          <w:tcPr>
            <w:tcW w:w="806" w:type="pct"/>
            <w:noWrap w:val="0"/>
            <w:vAlign w:val="center"/>
          </w:tcPr>
          <w:p w14:paraId="22E38C64">
            <w:pPr>
              <w:snapToGrid w:val="0"/>
              <w:jc w:val="center"/>
              <w:rPr>
                <w:rFonts w:hint="eastAsia" w:ascii="宋体" w:hAnsi="宋体" w:cs="宋体"/>
                <w:b/>
                <w:szCs w:val="21"/>
                <w:highlight w:val="none"/>
                <w:u w:val="single"/>
              </w:rPr>
            </w:pPr>
          </w:p>
        </w:tc>
        <w:tc>
          <w:tcPr>
            <w:tcW w:w="885" w:type="pct"/>
            <w:noWrap w:val="0"/>
            <w:vAlign w:val="center"/>
          </w:tcPr>
          <w:p w14:paraId="50060DB8">
            <w:pPr>
              <w:snapToGrid w:val="0"/>
              <w:jc w:val="center"/>
              <w:rPr>
                <w:rFonts w:hint="eastAsia" w:ascii="宋体" w:hAnsi="宋体" w:cs="宋体"/>
                <w:b/>
                <w:szCs w:val="21"/>
                <w:highlight w:val="none"/>
                <w:u w:val="single"/>
              </w:rPr>
            </w:pPr>
          </w:p>
        </w:tc>
        <w:tc>
          <w:tcPr>
            <w:tcW w:w="1008" w:type="pct"/>
            <w:noWrap w:val="0"/>
            <w:vAlign w:val="center"/>
          </w:tcPr>
          <w:p w14:paraId="1F8FEBD0">
            <w:pPr>
              <w:snapToGrid w:val="0"/>
              <w:jc w:val="center"/>
              <w:rPr>
                <w:rFonts w:hint="eastAsia" w:ascii="宋体" w:hAnsi="宋体" w:cs="宋体"/>
                <w:b/>
                <w:szCs w:val="21"/>
                <w:highlight w:val="none"/>
                <w:u w:val="single"/>
              </w:rPr>
            </w:pPr>
          </w:p>
        </w:tc>
        <w:tc>
          <w:tcPr>
            <w:tcW w:w="467" w:type="pct"/>
            <w:noWrap w:val="0"/>
            <w:vAlign w:val="center"/>
          </w:tcPr>
          <w:p w14:paraId="628B8049">
            <w:pPr>
              <w:snapToGrid w:val="0"/>
              <w:jc w:val="center"/>
              <w:rPr>
                <w:rFonts w:hint="eastAsia" w:ascii="宋体" w:hAnsi="宋体" w:cs="宋体"/>
                <w:b/>
                <w:szCs w:val="21"/>
                <w:highlight w:val="none"/>
                <w:u w:val="single"/>
              </w:rPr>
            </w:pPr>
          </w:p>
        </w:tc>
      </w:tr>
      <w:tr w14:paraId="2B12B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50E6064F">
            <w:pPr>
              <w:snapToGrid w:val="0"/>
              <w:jc w:val="center"/>
              <w:rPr>
                <w:rFonts w:hint="eastAsia" w:ascii="宋体" w:hAnsi="宋体" w:cs="宋体"/>
                <w:b/>
                <w:szCs w:val="21"/>
                <w:highlight w:val="none"/>
              </w:rPr>
            </w:pPr>
          </w:p>
        </w:tc>
        <w:tc>
          <w:tcPr>
            <w:tcW w:w="1310" w:type="pct"/>
            <w:noWrap w:val="0"/>
            <w:vAlign w:val="center"/>
          </w:tcPr>
          <w:p w14:paraId="4D8F4B36">
            <w:pPr>
              <w:snapToGrid w:val="0"/>
              <w:jc w:val="center"/>
              <w:rPr>
                <w:rFonts w:hint="eastAsia" w:ascii="宋体" w:hAnsi="宋体" w:cs="宋体"/>
                <w:b/>
                <w:szCs w:val="21"/>
                <w:highlight w:val="none"/>
                <w:u w:val="single"/>
              </w:rPr>
            </w:pPr>
          </w:p>
        </w:tc>
        <w:tc>
          <w:tcPr>
            <w:tcW w:w="806" w:type="pct"/>
            <w:noWrap w:val="0"/>
            <w:vAlign w:val="center"/>
          </w:tcPr>
          <w:p w14:paraId="6168EFA8">
            <w:pPr>
              <w:snapToGrid w:val="0"/>
              <w:jc w:val="center"/>
              <w:rPr>
                <w:rFonts w:hint="eastAsia" w:ascii="宋体" w:hAnsi="宋体" w:cs="宋体"/>
                <w:b/>
                <w:szCs w:val="21"/>
                <w:highlight w:val="none"/>
                <w:u w:val="single"/>
              </w:rPr>
            </w:pPr>
          </w:p>
        </w:tc>
        <w:tc>
          <w:tcPr>
            <w:tcW w:w="885" w:type="pct"/>
            <w:noWrap w:val="0"/>
            <w:vAlign w:val="center"/>
          </w:tcPr>
          <w:p w14:paraId="3859AB43">
            <w:pPr>
              <w:snapToGrid w:val="0"/>
              <w:jc w:val="center"/>
              <w:rPr>
                <w:rFonts w:hint="eastAsia" w:ascii="宋体" w:hAnsi="宋体" w:cs="宋体"/>
                <w:b/>
                <w:szCs w:val="21"/>
                <w:highlight w:val="none"/>
                <w:u w:val="single"/>
              </w:rPr>
            </w:pPr>
          </w:p>
        </w:tc>
        <w:tc>
          <w:tcPr>
            <w:tcW w:w="1008" w:type="pct"/>
            <w:noWrap w:val="0"/>
            <w:vAlign w:val="center"/>
          </w:tcPr>
          <w:p w14:paraId="2610BD1E">
            <w:pPr>
              <w:snapToGrid w:val="0"/>
              <w:jc w:val="center"/>
              <w:rPr>
                <w:rFonts w:hint="eastAsia" w:ascii="宋体" w:hAnsi="宋体" w:cs="宋体"/>
                <w:b/>
                <w:szCs w:val="21"/>
                <w:highlight w:val="none"/>
                <w:u w:val="single"/>
              </w:rPr>
            </w:pPr>
          </w:p>
        </w:tc>
        <w:tc>
          <w:tcPr>
            <w:tcW w:w="467" w:type="pct"/>
            <w:noWrap w:val="0"/>
            <w:vAlign w:val="center"/>
          </w:tcPr>
          <w:p w14:paraId="7399318A">
            <w:pPr>
              <w:snapToGrid w:val="0"/>
              <w:jc w:val="center"/>
              <w:rPr>
                <w:rFonts w:hint="eastAsia" w:ascii="宋体" w:hAnsi="宋体" w:cs="宋体"/>
                <w:b/>
                <w:szCs w:val="21"/>
                <w:highlight w:val="none"/>
                <w:u w:val="single"/>
              </w:rPr>
            </w:pPr>
          </w:p>
        </w:tc>
      </w:tr>
      <w:tr w14:paraId="1E4C2D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noWrap w:val="0"/>
            <w:vAlign w:val="center"/>
          </w:tcPr>
          <w:p w14:paraId="767A0830">
            <w:pPr>
              <w:snapToGrid w:val="0"/>
              <w:jc w:val="center"/>
              <w:rPr>
                <w:rFonts w:hint="eastAsia" w:ascii="宋体" w:hAnsi="宋体" w:cs="宋体"/>
                <w:b/>
                <w:szCs w:val="21"/>
                <w:highlight w:val="none"/>
              </w:rPr>
            </w:pPr>
          </w:p>
        </w:tc>
        <w:tc>
          <w:tcPr>
            <w:tcW w:w="1310" w:type="pct"/>
            <w:noWrap w:val="0"/>
            <w:vAlign w:val="center"/>
          </w:tcPr>
          <w:p w14:paraId="1C956062">
            <w:pPr>
              <w:snapToGrid w:val="0"/>
              <w:jc w:val="center"/>
              <w:rPr>
                <w:rFonts w:hint="eastAsia" w:ascii="宋体" w:hAnsi="宋体" w:cs="宋体"/>
                <w:b/>
                <w:szCs w:val="21"/>
                <w:highlight w:val="none"/>
                <w:u w:val="single"/>
              </w:rPr>
            </w:pPr>
          </w:p>
        </w:tc>
        <w:tc>
          <w:tcPr>
            <w:tcW w:w="806" w:type="pct"/>
            <w:noWrap w:val="0"/>
            <w:vAlign w:val="center"/>
          </w:tcPr>
          <w:p w14:paraId="5D96F8A3">
            <w:pPr>
              <w:snapToGrid w:val="0"/>
              <w:jc w:val="center"/>
              <w:rPr>
                <w:rFonts w:hint="eastAsia" w:ascii="宋体" w:hAnsi="宋体" w:cs="宋体"/>
                <w:b/>
                <w:szCs w:val="21"/>
                <w:highlight w:val="none"/>
                <w:u w:val="single"/>
              </w:rPr>
            </w:pPr>
          </w:p>
        </w:tc>
        <w:tc>
          <w:tcPr>
            <w:tcW w:w="885" w:type="pct"/>
            <w:noWrap w:val="0"/>
            <w:vAlign w:val="center"/>
          </w:tcPr>
          <w:p w14:paraId="4739ECBD">
            <w:pPr>
              <w:snapToGrid w:val="0"/>
              <w:jc w:val="center"/>
              <w:rPr>
                <w:rFonts w:hint="eastAsia" w:ascii="宋体" w:hAnsi="宋体" w:cs="宋体"/>
                <w:b/>
                <w:szCs w:val="21"/>
                <w:highlight w:val="none"/>
                <w:u w:val="single"/>
              </w:rPr>
            </w:pPr>
          </w:p>
        </w:tc>
        <w:tc>
          <w:tcPr>
            <w:tcW w:w="1008" w:type="pct"/>
            <w:noWrap w:val="0"/>
            <w:vAlign w:val="center"/>
          </w:tcPr>
          <w:p w14:paraId="4A08A229">
            <w:pPr>
              <w:snapToGrid w:val="0"/>
              <w:jc w:val="center"/>
              <w:rPr>
                <w:rFonts w:hint="eastAsia" w:ascii="宋体" w:hAnsi="宋体" w:cs="宋体"/>
                <w:b/>
                <w:szCs w:val="21"/>
                <w:highlight w:val="none"/>
                <w:u w:val="single"/>
              </w:rPr>
            </w:pPr>
          </w:p>
        </w:tc>
        <w:tc>
          <w:tcPr>
            <w:tcW w:w="467" w:type="pct"/>
            <w:noWrap w:val="0"/>
            <w:vAlign w:val="center"/>
          </w:tcPr>
          <w:p w14:paraId="5C6D91CE">
            <w:pPr>
              <w:snapToGrid w:val="0"/>
              <w:jc w:val="center"/>
              <w:rPr>
                <w:rFonts w:hint="eastAsia" w:ascii="宋体" w:hAnsi="宋体" w:cs="宋体"/>
                <w:b/>
                <w:szCs w:val="21"/>
                <w:highlight w:val="none"/>
                <w:u w:val="single"/>
              </w:rPr>
            </w:pPr>
          </w:p>
        </w:tc>
      </w:tr>
    </w:tbl>
    <w:p w14:paraId="490FA89A">
      <w:pPr>
        <w:widowControl/>
        <w:snapToGrid w:val="0"/>
        <w:rPr>
          <w:rFonts w:hint="eastAsia" w:ascii="宋体" w:hAnsi="宋体" w:cs="宋体"/>
          <w:szCs w:val="21"/>
          <w:highlight w:val="none"/>
        </w:rPr>
      </w:pPr>
      <w:r>
        <w:rPr>
          <w:rFonts w:hint="eastAsia" w:ascii="宋体" w:hAnsi="宋体" w:eastAsia="宋体"/>
          <w:bCs/>
          <w:szCs w:val="21"/>
          <w:highlight w:val="none"/>
          <w:lang w:eastAsia="zh-CN"/>
        </w:rPr>
        <w:t>注：以上表格可扩展，在表格后按业绩要求提供证明材料。</w:t>
      </w:r>
    </w:p>
    <w:p w14:paraId="5052490B">
      <w:pPr>
        <w:spacing w:line="360" w:lineRule="auto"/>
        <w:rPr>
          <w:rFonts w:hint="eastAsia"/>
          <w:highlight w:val="none"/>
        </w:rPr>
      </w:pPr>
    </w:p>
    <w:bookmarkEnd w:id="307"/>
    <w:bookmarkEnd w:id="308"/>
    <w:bookmarkEnd w:id="309"/>
    <w:p w14:paraId="0DFDC295">
      <w:pPr>
        <w:rPr>
          <w:rFonts w:hint="eastAsia" w:ascii="Times New Roman" w:hAnsi="Times New Roman" w:eastAsia="宋体" w:cs="Times New Roman"/>
          <w:b/>
          <w:bCs w:val="0"/>
          <w:kern w:val="2"/>
          <w:sz w:val="22"/>
          <w:szCs w:val="21"/>
          <w:highlight w:val="none"/>
          <w:lang w:val="en-US" w:eastAsia="zh-CN" w:bidi="ar-SA"/>
        </w:rPr>
      </w:pPr>
      <w:r>
        <w:rPr>
          <w:rFonts w:hint="eastAsia" w:ascii="Times New Roman" w:hAnsi="Times New Roman" w:eastAsia="宋体" w:cs="Times New Roman"/>
          <w:b/>
          <w:bCs w:val="0"/>
          <w:kern w:val="2"/>
          <w:sz w:val="22"/>
          <w:szCs w:val="21"/>
          <w:highlight w:val="none"/>
          <w:lang w:val="en-US" w:eastAsia="zh-CN" w:bidi="ar-SA"/>
        </w:rPr>
        <w:br w:type="page"/>
      </w:r>
    </w:p>
    <w:p w14:paraId="05EDEA33">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2"/>
        <w:rPr>
          <w:rFonts w:hint="eastAsia" w:ascii="Times New Roman" w:hAnsi="Times New Roman" w:eastAsia="宋体" w:cs="Times New Roman"/>
          <w:b/>
          <w:sz w:val="30"/>
          <w:szCs w:val="30"/>
          <w:highlight w:val="none"/>
        </w:rPr>
      </w:pPr>
      <w:bookmarkStart w:id="364" w:name="_Toc2126"/>
      <w:bookmarkStart w:id="365" w:name="_Toc73088879"/>
      <w:r>
        <w:rPr>
          <w:rFonts w:hint="eastAsia" w:ascii="Times New Roman" w:hAnsi="Times New Roman" w:eastAsia="宋体" w:cs="Times New Roman"/>
          <w:b/>
          <w:sz w:val="30"/>
          <w:szCs w:val="30"/>
          <w:highlight w:val="none"/>
          <w:lang w:val="en-US" w:eastAsia="zh-CN"/>
        </w:rPr>
        <w:t>（三）</w:t>
      </w:r>
      <w:r>
        <w:rPr>
          <w:rFonts w:hint="eastAsia" w:ascii="Times New Roman" w:hAnsi="Times New Roman" w:eastAsia="宋体" w:cs="Times New Roman"/>
          <w:b/>
          <w:sz w:val="30"/>
          <w:szCs w:val="30"/>
          <w:highlight w:val="none"/>
        </w:rPr>
        <w:t>残疾人福利性单位声明函</w:t>
      </w:r>
      <w:r>
        <w:rPr>
          <w:rFonts w:ascii="Times New Roman" w:hAnsi="Times New Roman" w:eastAsia="宋体" w:cs="Times New Roman"/>
          <w:b/>
          <w:sz w:val="30"/>
          <w:szCs w:val="30"/>
          <w:highlight w:val="none"/>
        </w:rPr>
        <w:t>/</w:t>
      </w:r>
      <w:r>
        <w:rPr>
          <w:rFonts w:hint="eastAsia" w:ascii="Times New Roman" w:hAnsi="Times New Roman" w:eastAsia="宋体" w:cs="Times New Roman"/>
          <w:b/>
          <w:sz w:val="30"/>
          <w:szCs w:val="30"/>
          <w:highlight w:val="none"/>
        </w:rPr>
        <w:t>监狱企业证明文件</w:t>
      </w:r>
      <w:bookmarkEnd w:id="364"/>
      <w:bookmarkEnd w:id="365"/>
    </w:p>
    <w:p w14:paraId="0DA5604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ascii="宋体" w:hAnsi="宋体"/>
          <w:szCs w:val="21"/>
          <w:highlight w:val="none"/>
        </w:rPr>
      </w:pPr>
      <w:r>
        <w:rPr>
          <w:rFonts w:hint="eastAsia" w:ascii="宋体" w:hAnsi="宋体"/>
          <w:szCs w:val="21"/>
          <w:highlight w:val="none"/>
        </w:rPr>
        <w:t>若供应商属于监狱企业或残疾人福利性单位，请供应商根据自身情况提供相关材料。</w:t>
      </w:r>
      <w:r>
        <w:rPr>
          <w:rFonts w:ascii="宋体" w:hAnsi="宋体"/>
          <w:szCs w:val="21"/>
          <w:highlight w:val="none"/>
        </w:rPr>
        <w:br w:type="page"/>
      </w:r>
    </w:p>
    <w:p w14:paraId="0A5C4BA1">
      <w:pPr>
        <w:rPr>
          <w:rFonts w:ascii="宋体" w:hAnsi="宋体"/>
          <w:b/>
          <w:sz w:val="32"/>
          <w:szCs w:val="28"/>
          <w:highlight w:val="none"/>
        </w:rPr>
      </w:pPr>
    </w:p>
    <w:p w14:paraId="403B5E26">
      <w:pPr>
        <w:numPr>
          <w:ilvl w:val="1"/>
          <w:numId w:val="0"/>
        </w:numPr>
        <w:spacing w:before="0" w:after="0"/>
        <w:jc w:val="center"/>
        <w:outlineLvl w:val="3"/>
        <w:rPr>
          <w:b/>
          <w:bCs/>
          <w:sz w:val="32"/>
          <w:highlight w:val="none"/>
        </w:rPr>
      </w:pPr>
      <w:r>
        <w:rPr>
          <w:rFonts w:hint="eastAsia"/>
          <w:b/>
          <w:bCs/>
          <w:sz w:val="32"/>
          <w:highlight w:val="none"/>
          <w:lang w:val="en-US" w:eastAsia="zh-CN"/>
        </w:rPr>
        <w:t>1.</w:t>
      </w:r>
      <w:r>
        <w:rPr>
          <w:rFonts w:hint="eastAsia"/>
          <w:b/>
          <w:bCs/>
          <w:sz w:val="32"/>
          <w:highlight w:val="none"/>
        </w:rPr>
        <w:t>残疾人福利性单位声明函（按需提供）</w:t>
      </w:r>
    </w:p>
    <w:p w14:paraId="354FE8E8">
      <w:pPr>
        <w:spacing w:line="360" w:lineRule="auto"/>
        <w:ind w:firstLine="562" w:firstLineChars="200"/>
        <w:rPr>
          <w:rFonts w:ascii="宋体"/>
          <w:b/>
          <w:sz w:val="28"/>
          <w:szCs w:val="28"/>
          <w:highlight w:val="none"/>
        </w:rPr>
      </w:pPr>
    </w:p>
    <w:p w14:paraId="6AB0C388">
      <w:pPr>
        <w:spacing w:line="360" w:lineRule="auto"/>
        <w:ind w:firstLine="420" w:firstLineChars="200"/>
        <w:rPr>
          <w:szCs w:val="21"/>
          <w:highlight w:val="none"/>
        </w:rPr>
      </w:pPr>
      <w:r>
        <w:rPr>
          <w:rFonts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141号）的规定，本单位为符合条件的残疾人福利性单位，且本单位参加______单位的______项目采购活动由本单位承担工程。</w:t>
      </w:r>
    </w:p>
    <w:p w14:paraId="0660004B">
      <w:pPr>
        <w:spacing w:line="360" w:lineRule="auto"/>
        <w:ind w:firstLine="420" w:firstLineChars="200"/>
        <w:rPr>
          <w:szCs w:val="21"/>
          <w:highlight w:val="none"/>
        </w:rPr>
      </w:pPr>
      <w:r>
        <w:rPr>
          <w:rFonts w:hint="eastAsia"/>
          <w:szCs w:val="21"/>
          <w:highlight w:val="none"/>
        </w:rPr>
        <w:t>本单位对上述声明的真实性负责。如有虚假，将依法承担相应责任。</w:t>
      </w:r>
    </w:p>
    <w:p w14:paraId="38B3414C">
      <w:pPr>
        <w:spacing w:line="360" w:lineRule="auto"/>
        <w:ind w:firstLine="420" w:firstLineChars="200"/>
        <w:rPr>
          <w:szCs w:val="21"/>
          <w:highlight w:val="none"/>
        </w:rPr>
      </w:pPr>
    </w:p>
    <w:p w14:paraId="6B919E9F">
      <w:pPr>
        <w:spacing w:line="360" w:lineRule="auto"/>
        <w:ind w:firstLine="420" w:firstLineChars="200"/>
        <w:rPr>
          <w:szCs w:val="21"/>
          <w:highlight w:val="none"/>
        </w:rPr>
      </w:pPr>
    </w:p>
    <w:p w14:paraId="539387DC">
      <w:pPr>
        <w:snapToGrid w:val="0"/>
        <w:ind w:firstLine="480"/>
        <w:rPr>
          <w:rFonts w:hint="eastAsia" w:ascii="宋体" w:hAnsi="宋体"/>
          <w:b/>
          <w:szCs w:val="21"/>
          <w:highlight w:val="none"/>
        </w:rPr>
      </w:pPr>
      <w:r>
        <w:rPr>
          <w:rFonts w:hint="eastAsia" w:ascii="Times New Roman"/>
          <w:sz w:val="21"/>
          <w:szCs w:val="21"/>
          <w:highlight w:val="none"/>
        </w:rPr>
        <w:t xml:space="preserve">    </w:t>
      </w:r>
    </w:p>
    <w:tbl>
      <w:tblPr>
        <w:tblStyle w:val="41"/>
        <w:tblW w:w="5534" w:type="dxa"/>
        <w:tblInd w:w="4294" w:type="dxa"/>
        <w:tblLayout w:type="fixed"/>
        <w:tblCellMar>
          <w:top w:w="0" w:type="dxa"/>
          <w:left w:w="108" w:type="dxa"/>
          <w:bottom w:w="0" w:type="dxa"/>
          <w:right w:w="108" w:type="dxa"/>
        </w:tblCellMar>
      </w:tblPr>
      <w:tblGrid>
        <w:gridCol w:w="5534"/>
      </w:tblGrid>
      <w:tr w14:paraId="56030857">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top"/>
          </w:tcPr>
          <w:p w14:paraId="16BB376C">
            <w:pPr>
              <w:pStyle w:val="178"/>
              <w:tabs>
                <w:tab w:val="left" w:pos="1200"/>
              </w:tabs>
              <w:snapToGrid w:val="0"/>
              <w:jc w:val="both"/>
              <w:rPr>
                <w:rFonts w:hint="eastAsia" w:hAnsi="宋体"/>
                <w:szCs w:val="21"/>
                <w:highlight w:val="none"/>
              </w:rPr>
            </w:pPr>
            <w:r>
              <w:rPr>
                <w:rFonts w:hint="eastAsia" w:hAnsi="宋体"/>
                <w:b/>
                <w:szCs w:val="21"/>
                <w:highlight w:val="none"/>
                <w:lang w:eastAsia="zh-CN"/>
              </w:rPr>
              <w:t>供应商</w:t>
            </w:r>
            <w:r>
              <w:rPr>
                <w:rFonts w:hAnsi="宋体"/>
                <w:b/>
                <w:szCs w:val="21"/>
                <w:highlight w:val="none"/>
              </w:rPr>
              <w:t>：</w:t>
            </w:r>
            <w:r>
              <w:rPr>
                <w:rFonts w:hint="eastAsia" w:hAnsi="宋体"/>
                <w:b/>
                <w:szCs w:val="21"/>
                <w:highlight w:val="none"/>
              </w:rPr>
              <w:t xml:space="preserve">               </w:t>
            </w:r>
            <w:r>
              <w:rPr>
                <w:rFonts w:hAnsi="宋体"/>
                <w:b/>
                <w:szCs w:val="21"/>
                <w:highlight w:val="none"/>
              </w:rPr>
              <w:t>（</w:t>
            </w:r>
            <w:r>
              <w:rPr>
                <w:rFonts w:hint="eastAsia" w:hAnsi="宋体"/>
                <w:b/>
                <w:szCs w:val="21"/>
                <w:highlight w:val="none"/>
              </w:rPr>
              <w:t>电子签章</w:t>
            </w:r>
            <w:r>
              <w:rPr>
                <w:rFonts w:hAnsi="宋体"/>
                <w:b/>
                <w:szCs w:val="21"/>
                <w:highlight w:val="none"/>
              </w:rPr>
              <w:t>）</w:t>
            </w:r>
          </w:p>
        </w:tc>
      </w:tr>
      <w:tr w14:paraId="464A1840">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top"/>
          </w:tcPr>
          <w:p w14:paraId="41109827">
            <w:pPr>
              <w:pStyle w:val="178"/>
              <w:tabs>
                <w:tab w:val="left" w:pos="1200"/>
              </w:tabs>
              <w:snapToGrid w:val="0"/>
              <w:jc w:val="both"/>
              <w:rPr>
                <w:rFonts w:hint="eastAsia" w:hAnsi="宋体"/>
                <w:szCs w:val="21"/>
                <w:highlight w:val="none"/>
              </w:rPr>
            </w:pPr>
          </w:p>
        </w:tc>
      </w:tr>
    </w:tbl>
    <w:p w14:paraId="480671CB">
      <w:pPr>
        <w:snapToGrid w:val="0"/>
        <w:ind w:firstLine="4712" w:firstLineChars="2235"/>
        <w:jc w:val="right"/>
        <w:rPr>
          <w:rFonts w:hint="eastAsia" w:ascii="宋体" w:hAnsi="宋体"/>
          <w:b/>
          <w:szCs w:val="21"/>
          <w:highlight w:val="none"/>
        </w:rPr>
      </w:pPr>
      <w:r>
        <w:rPr>
          <w:rFonts w:ascii="宋体" w:hAnsi="宋体"/>
          <w:b/>
          <w:szCs w:val="21"/>
          <w:highlight w:val="none"/>
        </w:rPr>
        <w:t>年</w:t>
      </w:r>
      <w:r>
        <w:rPr>
          <w:rFonts w:hint="eastAsia" w:ascii="宋体" w:hAnsi="宋体"/>
          <w:b/>
          <w:szCs w:val="21"/>
          <w:highlight w:val="none"/>
        </w:rPr>
        <w:t xml:space="preserve"> </w:t>
      </w:r>
      <w:r>
        <w:rPr>
          <w:rFonts w:ascii="宋体" w:hAnsi="宋体"/>
          <w:b/>
          <w:szCs w:val="21"/>
          <w:highlight w:val="none"/>
        </w:rPr>
        <w:t xml:space="preserve"> 月</w:t>
      </w:r>
      <w:r>
        <w:rPr>
          <w:rFonts w:hint="eastAsia" w:ascii="宋体" w:hAnsi="宋体"/>
          <w:b/>
          <w:szCs w:val="21"/>
          <w:highlight w:val="none"/>
        </w:rPr>
        <w:t xml:space="preserve"> </w:t>
      </w:r>
      <w:r>
        <w:rPr>
          <w:rFonts w:ascii="宋体" w:hAnsi="宋体"/>
          <w:b/>
          <w:szCs w:val="21"/>
          <w:highlight w:val="none"/>
        </w:rPr>
        <w:t xml:space="preserve"> 日</w:t>
      </w:r>
    </w:p>
    <w:p w14:paraId="67A96498">
      <w:pPr>
        <w:spacing w:line="360" w:lineRule="auto"/>
        <w:ind w:firstLine="6804" w:firstLineChars="3240"/>
        <w:jc w:val="left"/>
        <w:rPr>
          <w:szCs w:val="21"/>
          <w:highlight w:val="none"/>
        </w:rPr>
      </w:pPr>
    </w:p>
    <w:p w14:paraId="3665964F">
      <w:pPr>
        <w:bidi w:val="0"/>
        <w:rPr>
          <w:rFonts w:hint="default"/>
          <w:lang w:val="en-US"/>
        </w:rPr>
      </w:pPr>
      <w:r>
        <w:br w:type="page"/>
      </w:r>
    </w:p>
    <w:p w14:paraId="6A40D198">
      <w:pPr>
        <w:numPr>
          <w:ilvl w:val="1"/>
          <w:numId w:val="0"/>
        </w:numPr>
        <w:spacing w:before="0" w:after="0"/>
        <w:jc w:val="center"/>
        <w:outlineLvl w:val="3"/>
        <w:rPr>
          <w:rFonts w:hint="eastAsia" w:ascii="Times New Roman" w:hAnsi="Times New Roman" w:eastAsia="宋体" w:cs="Times New Roman"/>
          <w:b/>
          <w:bCs/>
          <w:sz w:val="32"/>
          <w:highlight w:val="none"/>
          <w:lang w:val="zh-CN" w:eastAsia="zh-CN"/>
        </w:rPr>
      </w:pPr>
      <w:r>
        <w:rPr>
          <w:rFonts w:hint="eastAsia" w:ascii="Times New Roman" w:hAnsi="Times New Roman" w:eastAsia="宋体" w:cs="Times New Roman"/>
          <w:b/>
          <w:bCs/>
          <w:sz w:val="32"/>
          <w:highlight w:val="none"/>
          <w:lang w:val="en-US" w:eastAsia="zh-CN"/>
        </w:rPr>
        <w:t>2.监狱企业证明文件（按需提供）</w:t>
      </w:r>
    </w:p>
    <w:p w14:paraId="69B7F06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szCs w:val="21"/>
          <w:highlight w:val="none"/>
        </w:rPr>
      </w:pPr>
      <w:r>
        <w:rPr>
          <w:rFonts w:hint="eastAsia" w:ascii="宋体" w:hAnsi="宋体"/>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0C5DC4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szCs w:val="21"/>
          <w:highlight w:val="none"/>
        </w:rPr>
      </w:pPr>
      <w:r>
        <w:rPr>
          <w:rFonts w:hint="eastAsia" w:ascii="宋体" w:hAnsi="宋体"/>
          <w:szCs w:val="21"/>
          <w:highlight w:val="none"/>
        </w:rPr>
        <w:t>监狱企业参加政府采购活动时，应当提供由省级以上监狱管理局、戒毒管理局（含新疆生产建设兵团）出具的属于监狱企业的证明文件。</w:t>
      </w:r>
    </w:p>
    <w:p w14:paraId="6E071CD4">
      <w:pPr>
        <w:numPr>
          <w:ilvl w:val="1"/>
          <w:numId w:val="0"/>
        </w:numPr>
        <w:spacing w:before="0" w:after="0"/>
        <w:jc w:val="center"/>
        <w:outlineLvl w:val="3"/>
        <w:rPr>
          <w:rFonts w:ascii="宋体" w:hAnsi="宋体" w:eastAsia="宋体"/>
          <w:bCs/>
          <w:highlight w:val="none"/>
        </w:rPr>
      </w:pPr>
      <w:r>
        <w:rPr>
          <w:rFonts w:ascii="宋体" w:hAnsi="宋体"/>
          <w:b/>
          <w:sz w:val="28"/>
          <w:highlight w:val="none"/>
        </w:rPr>
        <w:br w:type="page"/>
      </w:r>
      <w:bookmarkStart w:id="366" w:name="_Toc26517045"/>
      <w:bookmarkStart w:id="367" w:name="_Toc74918606"/>
      <w:bookmarkStart w:id="368" w:name="_Toc149055038"/>
      <w:bookmarkStart w:id="369" w:name="_Hlk102987217"/>
      <w:bookmarkStart w:id="370" w:name="_Toc82784449"/>
      <w:bookmarkStart w:id="371" w:name="_Toc103158591"/>
      <w:r>
        <w:rPr>
          <w:rFonts w:hint="eastAsia" w:ascii="Times New Roman" w:hAnsi="Times New Roman" w:eastAsia="宋体" w:cs="Times New Roman"/>
          <w:b/>
          <w:bCs/>
          <w:sz w:val="32"/>
          <w:highlight w:val="none"/>
          <w:lang w:val="en-US" w:eastAsia="zh-CN"/>
        </w:rPr>
        <w:t>3.节能产品/环境标志产品（按需提供）</w:t>
      </w:r>
      <w:bookmarkEnd w:id="366"/>
      <w:bookmarkEnd w:id="367"/>
    </w:p>
    <w:p w14:paraId="56739C6F">
      <w:pPr>
        <w:spacing w:line="360" w:lineRule="auto"/>
        <w:ind w:firstLine="420" w:firstLineChars="200"/>
        <w:rPr>
          <w:szCs w:val="21"/>
          <w:highlight w:val="none"/>
        </w:rPr>
      </w:pPr>
      <w:r>
        <w:rPr>
          <w:rFonts w:hint="eastAsia"/>
          <w:szCs w:val="21"/>
          <w:highlight w:val="none"/>
        </w:rPr>
        <w:t>致</w:t>
      </w:r>
      <w:r>
        <w:rPr>
          <w:rFonts w:hint="eastAsia"/>
          <w:szCs w:val="21"/>
          <w:highlight w:val="none"/>
          <w:u w:val="single"/>
        </w:rPr>
        <w:t>（采购人名称）</w:t>
      </w:r>
      <w:r>
        <w:rPr>
          <w:rFonts w:hint="eastAsia"/>
          <w:szCs w:val="21"/>
          <w:highlight w:val="none"/>
        </w:rPr>
        <w:t>：</w:t>
      </w:r>
    </w:p>
    <w:p w14:paraId="2C480B88">
      <w:pPr>
        <w:spacing w:line="360" w:lineRule="auto"/>
        <w:ind w:firstLine="420" w:firstLineChars="200"/>
        <w:rPr>
          <w:szCs w:val="21"/>
          <w:highlight w:val="none"/>
        </w:rPr>
      </w:pPr>
      <w:r>
        <w:rPr>
          <w:rFonts w:hint="eastAsia"/>
          <w:szCs w:val="21"/>
          <w:highlight w:val="none"/>
        </w:rPr>
        <w:t>根据《财政部发展改革委生态环境部市场监管总局关于调整优化节能产品、环境标志产品政府采购执行机制的通知》（财库〔2019〕9号）的规定，本单位提供的</w:t>
      </w:r>
      <w:r>
        <w:rPr>
          <w:rFonts w:hint="eastAsia"/>
          <w:szCs w:val="21"/>
          <w:highlight w:val="none"/>
          <w:lang w:val="en-US" w:eastAsia="zh-CN"/>
        </w:rPr>
        <w:t>以下产品</w:t>
      </w:r>
      <w:r>
        <w:rPr>
          <w:rFonts w:hint="eastAsia"/>
          <w:szCs w:val="21"/>
          <w:highlight w:val="none"/>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5"/>
        <w:gridCol w:w="1513"/>
        <w:gridCol w:w="1514"/>
        <w:gridCol w:w="1555"/>
        <w:gridCol w:w="1115"/>
        <w:gridCol w:w="1417"/>
        <w:gridCol w:w="1460"/>
      </w:tblGrid>
      <w:tr w14:paraId="5D1C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612EB063">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序号</w:t>
            </w:r>
          </w:p>
        </w:tc>
        <w:tc>
          <w:tcPr>
            <w:tcW w:w="1513" w:type="dxa"/>
            <w:noWrap w:val="0"/>
            <w:vAlign w:val="center"/>
          </w:tcPr>
          <w:p w14:paraId="03A98280">
            <w:pPr>
              <w:spacing w:line="360" w:lineRule="auto"/>
              <w:jc w:val="center"/>
              <w:rPr>
                <w:rFonts w:hint="default"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本次采购需求中的产品</w:t>
            </w:r>
          </w:p>
        </w:tc>
        <w:tc>
          <w:tcPr>
            <w:tcW w:w="1514" w:type="dxa"/>
            <w:noWrap w:val="0"/>
            <w:vAlign w:val="center"/>
          </w:tcPr>
          <w:p w14:paraId="502E5FD9">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品目</w:t>
            </w:r>
          </w:p>
        </w:tc>
        <w:tc>
          <w:tcPr>
            <w:tcW w:w="1555" w:type="dxa"/>
            <w:noWrap w:val="0"/>
            <w:vAlign w:val="center"/>
          </w:tcPr>
          <w:p w14:paraId="3E85D937">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规格型号</w:t>
            </w:r>
          </w:p>
        </w:tc>
        <w:tc>
          <w:tcPr>
            <w:tcW w:w="1115" w:type="dxa"/>
            <w:noWrap w:val="0"/>
            <w:vAlign w:val="center"/>
          </w:tcPr>
          <w:p w14:paraId="7DB47594">
            <w:pPr>
              <w:spacing w:line="360" w:lineRule="auto"/>
              <w:jc w:val="center"/>
              <w:rPr>
                <w:rFonts w:hint="eastAsia" w:ascii="宋体" w:hAnsi="宋体" w:eastAsia="宋体" w:cs="宋体"/>
                <w:szCs w:val="21"/>
                <w:highlight w:val="none"/>
                <w:vertAlign w:val="baseline"/>
              </w:rPr>
            </w:pPr>
            <w:r>
              <w:rPr>
                <w:rFonts w:hint="eastAsia" w:ascii="宋体" w:hAnsi="宋体" w:eastAsia="宋体" w:cs="宋体"/>
                <w:i w:val="0"/>
                <w:iCs w:val="0"/>
                <w:caps w:val="0"/>
                <w:color w:val="333333"/>
                <w:spacing w:val="0"/>
                <w:sz w:val="21"/>
                <w:szCs w:val="21"/>
                <w:highlight w:val="none"/>
                <w:shd w:val="clear" w:color="auto" w:fill="FFFFFF"/>
              </w:rPr>
              <w:t>证书编号</w:t>
            </w:r>
          </w:p>
        </w:tc>
        <w:tc>
          <w:tcPr>
            <w:tcW w:w="1417" w:type="dxa"/>
            <w:noWrap w:val="0"/>
            <w:vAlign w:val="center"/>
          </w:tcPr>
          <w:p w14:paraId="6EF279A7">
            <w:pPr>
              <w:spacing w:line="360" w:lineRule="auto"/>
              <w:jc w:val="center"/>
              <w:rPr>
                <w:rFonts w:hint="eastAsia" w:ascii="宋体" w:hAnsi="宋体" w:eastAsia="宋体" w:cs="宋体"/>
                <w:szCs w:val="21"/>
                <w:highlight w:val="none"/>
                <w:vertAlign w:val="baseline"/>
              </w:rPr>
            </w:pPr>
            <w:r>
              <w:rPr>
                <w:rFonts w:hint="eastAsia" w:ascii="宋体" w:hAnsi="宋体" w:eastAsia="宋体" w:cs="宋体"/>
                <w:szCs w:val="21"/>
                <w:highlight w:val="none"/>
                <w:vertAlign w:val="baseline"/>
              </w:rPr>
              <w:t>生产者 （制造商）</w:t>
            </w:r>
          </w:p>
        </w:tc>
        <w:tc>
          <w:tcPr>
            <w:tcW w:w="1460" w:type="dxa"/>
            <w:noWrap w:val="0"/>
            <w:vAlign w:val="center"/>
          </w:tcPr>
          <w:p w14:paraId="1275C9FA">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认证机构</w:t>
            </w:r>
          </w:p>
        </w:tc>
      </w:tr>
      <w:tr w14:paraId="269D0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7985CF79">
            <w:pPr>
              <w:spacing w:line="360" w:lineRule="auto"/>
              <w:jc w:val="center"/>
              <w:rPr>
                <w:rFonts w:hint="eastAsia" w:ascii="宋体" w:hAnsi="宋体" w:eastAsia="宋体" w:cs="宋体"/>
                <w:szCs w:val="21"/>
                <w:highlight w:val="none"/>
                <w:vertAlign w:val="baseline"/>
              </w:rPr>
            </w:pPr>
          </w:p>
        </w:tc>
        <w:tc>
          <w:tcPr>
            <w:tcW w:w="1513" w:type="dxa"/>
            <w:noWrap w:val="0"/>
            <w:vAlign w:val="center"/>
          </w:tcPr>
          <w:p w14:paraId="256344AE">
            <w:pPr>
              <w:spacing w:line="360" w:lineRule="auto"/>
              <w:jc w:val="center"/>
              <w:rPr>
                <w:rFonts w:hint="eastAsia" w:ascii="宋体" w:hAnsi="宋体" w:eastAsia="宋体" w:cs="宋体"/>
                <w:szCs w:val="21"/>
                <w:highlight w:val="none"/>
                <w:vertAlign w:val="baseline"/>
              </w:rPr>
            </w:pPr>
          </w:p>
        </w:tc>
        <w:tc>
          <w:tcPr>
            <w:tcW w:w="1514" w:type="dxa"/>
            <w:noWrap w:val="0"/>
            <w:vAlign w:val="center"/>
          </w:tcPr>
          <w:p w14:paraId="3AB16582">
            <w:pPr>
              <w:spacing w:line="360" w:lineRule="auto"/>
              <w:jc w:val="center"/>
              <w:rPr>
                <w:rFonts w:hint="eastAsia" w:ascii="宋体" w:hAnsi="宋体" w:eastAsia="宋体" w:cs="宋体"/>
                <w:szCs w:val="21"/>
                <w:highlight w:val="none"/>
                <w:vertAlign w:val="baseline"/>
              </w:rPr>
            </w:pPr>
          </w:p>
        </w:tc>
        <w:tc>
          <w:tcPr>
            <w:tcW w:w="1555" w:type="dxa"/>
            <w:noWrap w:val="0"/>
            <w:vAlign w:val="center"/>
          </w:tcPr>
          <w:p w14:paraId="25F80CC5">
            <w:pPr>
              <w:spacing w:line="360" w:lineRule="auto"/>
              <w:jc w:val="center"/>
              <w:rPr>
                <w:rFonts w:hint="eastAsia" w:ascii="宋体" w:hAnsi="宋体" w:eastAsia="宋体" w:cs="宋体"/>
                <w:szCs w:val="21"/>
                <w:highlight w:val="none"/>
                <w:vertAlign w:val="baseline"/>
              </w:rPr>
            </w:pPr>
          </w:p>
        </w:tc>
        <w:tc>
          <w:tcPr>
            <w:tcW w:w="1115" w:type="dxa"/>
            <w:noWrap w:val="0"/>
            <w:vAlign w:val="center"/>
          </w:tcPr>
          <w:p w14:paraId="7F78093B">
            <w:pPr>
              <w:spacing w:line="360" w:lineRule="auto"/>
              <w:jc w:val="center"/>
              <w:rPr>
                <w:rFonts w:hint="eastAsia" w:ascii="宋体" w:hAnsi="宋体" w:eastAsia="宋体" w:cs="宋体"/>
                <w:szCs w:val="21"/>
                <w:highlight w:val="none"/>
                <w:vertAlign w:val="baseline"/>
              </w:rPr>
            </w:pPr>
          </w:p>
        </w:tc>
        <w:tc>
          <w:tcPr>
            <w:tcW w:w="1417" w:type="dxa"/>
            <w:noWrap w:val="0"/>
            <w:vAlign w:val="center"/>
          </w:tcPr>
          <w:p w14:paraId="5810FBC4">
            <w:pPr>
              <w:spacing w:line="360" w:lineRule="auto"/>
              <w:jc w:val="center"/>
              <w:rPr>
                <w:rFonts w:hint="eastAsia" w:ascii="宋体" w:hAnsi="宋体" w:eastAsia="宋体" w:cs="宋体"/>
                <w:szCs w:val="21"/>
                <w:highlight w:val="none"/>
                <w:vertAlign w:val="baseline"/>
              </w:rPr>
            </w:pPr>
          </w:p>
        </w:tc>
        <w:tc>
          <w:tcPr>
            <w:tcW w:w="1460" w:type="dxa"/>
            <w:noWrap w:val="0"/>
            <w:vAlign w:val="center"/>
          </w:tcPr>
          <w:p w14:paraId="4FD54772">
            <w:pPr>
              <w:spacing w:line="360" w:lineRule="auto"/>
              <w:jc w:val="center"/>
              <w:rPr>
                <w:rFonts w:hint="eastAsia" w:ascii="宋体" w:hAnsi="宋体" w:eastAsia="宋体" w:cs="宋体"/>
                <w:szCs w:val="21"/>
                <w:highlight w:val="none"/>
                <w:vertAlign w:val="baseline"/>
              </w:rPr>
            </w:pPr>
          </w:p>
        </w:tc>
      </w:tr>
      <w:tr w14:paraId="0B34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3A27232D">
            <w:pPr>
              <w:spacing w:line="360" w:lineRule="auto"/>
              <w:jc w:val="center"/>
              <w:rPr>
                <w:rFonts w:hint="eastAsia" w:ascii="宋体" w:hAnsi="宋体" w:eastAsia="宋体" w:cs="宋体"/>
                <w:szCs w:val="21"/>
                <w:highlight w:val="none"/>
                <w:vertAlign w:val="baseline"/>
              </w:rPr>
            </w:pPr>
          </w:p>
        </w:tc>
        <w:tc>
          <w:tcPr>
            <w:tcW w:w="1513" w:type="dxa"/>
            <w:noWrap w:val="0"/>
            <w:vAlign w:val="center"/>
          </w:tcPr>
          <w:p w14:paraId="149D7E28">
            <w:pPr>
              <w:spacing w:line="360" w:lineRule="auto"/>
              <w:jc w:val="center"/>
              <w:rPr>
                <w:rFonts w:hint="eastAsia" w:ascii="宋体" w:hAnsi="宋体" w:eastAsia="宋体" w:cs="宋体"/>
                <w:szCs w:val="21"/>
                <w:highlight w:val="none"/>
                <w:vertAlign w:val="baseline"/>
              </w:rPr>
            </w:pPr>
          </w:p>
        </w:tc>
        <w:tc>
          <w:tcPr>
            <w:tcW w:w="1514" w:type="dxa"/>
            <w:noWrap w:val="0"/>
            <w:vAlign w:val="center"/>
          </w:tcPr>
          <w:p w14:paraId="5B1268E5">
            <w:pPr>
              <w:spacing w:line="360" w:lineRule="auto"/>
              <w:jc w:val="center"/>
              <w:rPr>
                <w:rFonts w:hint="eastAsia" w:ascii="宋体" w:hAnsi="宋体" w:eastAsia="宋体" w:cs="宋体"/>
                <w:szCs w:val="21"/>
                <w:highlight w:val="none"/>
                <w:vertAlign w:val="baseline"/>
              </w:rPr>
            </w:pPr>
          </w:p>
        </w:tc>
        <w:tc>
          <w:tcPr>
            <w:tcW w:w="1555" w:type="dxa"/>
            <w:noWrap w:val="0"/>
            <w:vAlign w:val="center"/>
          </w:tcPr>
          <w:p w14:paraId="39F0E814">
            <w:pPr>
              <w:spacing w:line="360" w:lineRule="auto"/>
              <w:jc w:val="center"/>
              <w:rPr>
                <w:rFonts w:hint="eastAsia" w:ascii="宋体" w:hAnsi="宋体" w:eastAsia="宋体" w:cs="宋体"/>
                <w:szCs w:val="21"/>
                <w:highlight w:val="none"/>
                <w:vertAlign w:val="baseline"/>
              </w:rPr>
            </w:pPr>
          </w:p>
        </w:tc>
        <w:tc>
          <w:tcPr>
            <w:tcW w:w="1115" w:type="dxa"/>
            <w:noWrap w:val="0"/>
            <w:vAlign w:val="center"/>
          </w:tcPr>
          <w:p w14:paraId="3B28B42A">
            <w:pPr>
              <w:spacing w:line="360" w:lineRule="auto"/>
              <w:jc w:val="center"/>
              <w:rPr>
                <w:rFonts w:hint="eastAsia" w:ascii="宋体" w:hAnsi="宋体" w:eastAsia="宋体" w:cs="宋体"/>
                <w:szCs w:val="21"/>
                <w:highlight w:val="none"/>
                <w:vertAlign w:val="baseline"/>
              </w:rPr>
            </w:pPr>
          </w:p>
        </w:tc>
        <w:tc>
          <w:tcPr>
            <w:tcW w:w="1417" w:type="dxa"/>
            <w:noWrap w:val="0"/>
            <w:vAlign w:val="center"/>
          </w:tcPr>
          <w:p w14:paraId="2123BAB3">
            <w:pPr>
              <w:spacing w:line="360" w:lineRule="auto"/>
              <w:jc w:val="center"/>
              <w:rPr>
                <w:rFonts w:hint="eastAsia" w:ascii="宋体" w:hAnsi="宋体" w:eastAsia="宋体" w:cs="宋体"/>
                <w:szCs w:val="21"/>
                <w:highlight w:val="none"/>
                <w:vertAlign w:val="baseline"/>
              </w:rPr>
            </w:pPr>
          </w:p>
        </w:tc>
        <w:tc>
          <w:tcPr>
            <w:tcW w:w="1460" w:type="dxa"/>
            <w:noWrap w:val="0"/>
            <w:vAlign w:val="center"/>
          </w:tcPr>
          <w:p w14:paraId="4D91C04D">
            <w:pPr>
              <w:spacing w:line="360" w:lineRule="auto"/>
              <w:jc w:val="center"/>
              <w:rPr>
                <w:rFonts w:hint="eastAsia" w:ascii="宋体" w:hAnsi="宋体" w:eastAsia="宋体" w:cs="宋体"/>
                <w:szCs w:val="21"/>
                <w:highlight w:val="none"/>
                <w:vertAlign w:val="baseline"/>
              </w:rPr>
            </w:pPr>
          </w:p>
        </w:tc>
      </w:tr>
      <w:tr w14:paraId="69A0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 w:type="dxa"/>
            <w:noWrap w:val="0"/>
            <w:vAlign w:val="center"/>
          </w:tcPr>
          <w:p w14:paraId="64A9BFD7">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w:t>
            </w:r>
          </w:p>
        </w:tc>
        <w:tc>
          <w:tcPr>
            <w:tcW w:w="1513" w:type="dxa"/>
            <w:noWrap w:val="0"/>
            <w:vAlign w:val="center"/>
          </w:tcPr>
          <w:p w14:paraId="31949DD1">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w:t>
            </w:r>
          </w:p>
        </w:tc>
        <w:tc>
          <w:tcPr>
            <w:tcW w:w="1514" w:type="dxa"/>
            <w:noWrap w:val="0"/>
            <w:vAlign w:val="center"/>
          </w:tcPr>
          <w:p w14:paraId="16422D21">
            <w:pPr>
              <w:spacing w:line="360" w:lineRule="auto"/>
              <w:jc w:val="center"/>
              <w:rPr>
                <w:rFonts w:hint="default"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w:t>
            </w:r>
          </w:p>
        </w:tc>
        <w:tc>
          <w:tcPr>
            <w:tcW w:w="1555" w:type="dxa"/>
            <w:noWrap w:val="0"/>
            <w:vAlign w:val="center"/>
          </w:tcPr>
          <w:p w14:paraId="7E3D8C7F">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w:t>
            </w:r>
          </w:p>
        </w:tc>
        <w:tc>
          <w:tcPr>
            <w:tcW w:w="1115" w:type="dxa"/>
            <w:noWrap w:val="0"/>
            <w:vAlign w:val="center"/>
          </w:tcPr>
          <w:p w14:paraId="18453B34">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w:t>
            </w:r>
          </w:p>
        </w:tc>
        <w:tc>
          <w:tcPr>
            <w:tcW w:w="1417" w:type="dxa"/>
            <w:noWrap w:val="0"/>
            <w:vAlign w:val="center"/>
          </w:tcPr>
          <w:p w14:paraId="123D4FC8">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w:t>
            </w:r>
          </w:p>
        </w:tc>
        <w:tc>
          <w:tcPr>
            <w:tcW w:w="1460" w:type="dxa"/>
            <w:noWrap w:val="0"/>
            <w:vAlign w:val="center"/>
          </w:tcPr>
          <w:p w14:paraId="5CAB922A">
            <w:pPr>
              <w:spacing w:line="360" w:lineRule="auto"/>
              <w:jc w:val="center"/>
              <w:rPr>
                <w:rFonts w:hint="eastAsia" w:ascii="宋体" w:hAnsi="宋体" w:eastAsia="宋体" w:cs="宋体"/>
                <w:szCs w:val="21"/>
                <w:highlight w:val="none"/>
                <w:vertAlign w:val="baseline"/>
                <w:lang w:val="en-US" w:eastAsia="zh-CN"/>
              </w:rPr>
            </w:pPr>
            <w:r>
              <w:rPr>
                <w:rFonts w:hint="eastAsia" w:ascii="宋体" w:hAnsi="宋体" w:eastAsia="宋体" w:cs="宋体"/>
                <w:szCs w:val="21"/>
                <w:highlight w:val="none"/>
                <w:vertAlign w:val="baseline"/>
                <w:lang w:val="en-US" w:eastAsia="zh-CN"/>
              </w:rPr>
              <w:t>...</w:t>
            </w:r>
          </w:p>
        </w:tc>
      </w:tr>
    </w:tbl>
    <w:p w14:paraId="665CF2FE">
      <w:pPr>
        <w:spacing w:line="360" w:lineRule="auto"/>
        <w:ind w:firstLine="420" w:firstLineChars="200"/>
        <w:rPr>
          <w:rFonts w:hint="eastAsia" w:eastAsia="宋体"/>
          <w:szCs w:val="21"/>
          <w:highlight w:val="none"/>
          <w:lang w:val="en-US" w:eastAsia="zh-CN"/>
        </w:rPr>
      </w:pPr>
      <w:r>
        <w:rPr>
          <w:rFonts w:hint="eastAsia"/>
          <w:szCs w:val="21"/>
          <w:highlight w:val="none"/>
          <w:lang w:val="en-US" w:eastAsia="zh-CN"/>
        </w:rPr>
        <w:t>后附</w:t>
      </w:r>
      <w:r>
        <w:rPr>
          <w:rFonts w:hint="eastAsia"/>
          <w:szCs w:val="21"/>
          <w:highlight w:val="none"/>
        </w:rPr>
        <w:t>节能产品/环境标志产品认证证书</w:t>
      </w:r>
      <w:r>
        <w:rPr>
          <w:rFonts w:hint="eastAsia"/>
          <w:szCs w:val="21"/>
          <w:highlight w:val="none"/>
          <w:lang w:val="en-US" w:eastAsia="zh-CN"/>
        </w:rPr>
        <w:t>扫描件</w:t>
      </w:r>
    </w:p>
    <w:p w14:paraId="338F7BEA">
      <w:pPr>
        <w:snapToGrid w:val="0"/>
        <w:ind w:firstLine="480"/>
        <w:rPr>
          <w:rFonts w:hint="eastAsia" w:ascii="宋体" w:hAnsi="宋体"/>
          <w:b/>
          <w:szCs w:val="21"/>
          <w:highlight w:val="none"/>
        </w:rPr>
      </w:pPr>
    </w:p>
    <w:p w14:paraId="50B7299E">
      <w:pPr>
        <w:snapToGrid w:val="0"/>
        <w:ind w:firstLine="480"/>
        <w:rPr>
          <w:rFonts w:hint="eastAsia" w:ascii="宋体" w:hAnsi="宋体"/>
          <w:b/>
          <w:szCs w:val="21"/>
          <w:highlight w:val="none"/>
        </w:rPr>
      </w:pPr>
    </w:p>
    <w:p w14:paraId="78EB0E76">
      <w:pPr>
        <w:snapToGrid w:val="0"/>
        <w:ind w:firstLine="480"/>
        <w:rPr>
          <w:rFonts w:hint="eastAsia" w:ascii="宋体" w:hAnsi="宋体"/>
          <w:b/>
          <w:szCs w:val="21"/>
          <w:highlight w:val="none"/>
        </w:rPr>
      </w:pPr>
    </w:p>
    <w:p w14:paraId="53916119">
      <w:pPr>
        <w:snapToGrid w:val="0"/>
        <w:ind w:firstLine="480"/>
        <w:rPr>
          <w:rFonts w:hint="eastAsia" w:ascii="宋体" w:hAnsi="宋体"/>
          <w:b/>
          <w:szCs w:val="21"/>
          <w:highlight w:val="none"/>
        </w:rPr>
      </w:pPr>
    </w:p>
    <w:tbl>
      <w:tblPr>
        <w:tblStyle w:val="41"/>
        <w:tblW w:w="5534" w:type="dxa"/>
        <w:tblInd w:w="4294" w:type="dxa"/>
        <w:tblLayout w:type="fixed"/>
        <w:tblCellMar>
          <w:top w:w="0" w:type="dxa"/>
          <w:left w:w="108" w:type="dxa"/>
          <w:bottom w:w="0" w:type="dxa"/>
          <w:right w:w="108" w:type="dxa"/>
        </w:tblCellMar>
      </w:tblPr>
      <w:tblGrid>
        <w:gridCol w:w="5534"/>
      </w:tblGrid>
      <w:tr w14:paraId="71E51270">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top"/>
          </w:tcPr>
          <w:p w14:paraId="338EDE28">
            <w:pPr>
              <w:pStyle w:val="178"/>
              <w:tabs>
                <w:tab w:val="left" w:pos="1200"/>
              </w:tabs>
              <w:snapToGrid w:val="0"/>
              <w:jc w:val="both"/>
              <w:rPr>
                <w:rFonts w:hint="eastAsia" w:hAnsi="宋体"/>
                <w:szCs w:val="21"/>
                <w:highlight w:val="none"/>
              </w:rPr>
            </w:pPr>
            <w:r>
              <w:rPr>
                <w:rFonts w:hint="eastAsia" w:hAnsi="宋体"/>
                <w:b/>
                <w:szCs w:val="21"/>
                <w:highlight w:val="none"/>
                <w:lang w:eastAsia="zh-CN"/>
              </w:rPr>
              <w:t>供应商</w:t>
            </w:r>
            <w:r>
              <w:rPr>
                <w:rFonts w:hAnsi="宋体"/>
                <w:b/>
                <w:szCs w:val="21"/>
                <w:highlight w:val="none"/>
              </w:rPr>
              <w:t>：</w:t>
            </w:r>
            <w:r>
              <w:rPr>
                <w:rFonts w:hint="eastAsia" w:hAnsi="宋体"/>
                <w:b/>
                <w:szCs w:val="21"/>
                <w:highlight w:val="none"/>
              </w:rPr>
              <w:t xml:space="preserve">               </w:t>
            </w:r>
            <w:r>
              <w:rPr>
                <w:rFonts w:hAnsi="宋体"/>
                <w:b/>
                <w:szCs w:val="21"/>
                <w:highlight w:val="none"/>
              </w:rPr>
              <w:t>（</w:t>
            </w:r>
            <w:r>
              <w:rPr>
                <w:rFonts w:hint="eastAsia" w:hAnsi="宋体"/>
                <w:b/>
                <w:szCs w:val="21"/>
                <w:highlight w:val="none"/>
              </w:rPr>
              <w:t>电子签章</w:t>
            </w:r>
            <w:r>
              <w:rPr>
                <w:rFonts w:hAnsi="宋体"/>
                <w:b/>
                <w:szCs w:val="21"/>
                <w:highlight w:val="none"/>
              </w:rPr>
              <w:t>）</w:t>
            </w:r>
          </w:p>
        </w:tc>
      </w:tr>
      <w:tr w14:paraId="4CF50225">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top"/>
          </w:tcPr>
          <w:p w14:paraId="322C0E24">
            <w:pPr>
              <w:pStyle w:val="178"/>
              <w:tabs>
                <w:tab w:val="left" w:pos="1200"/>
              </w:tabs>
              <w:snapToGrid w:val="0"/>
              <w:jc w:val="both"/>
              <w:rPr>
                <w:rFonts w:hint="eastAsia" w:hAnsi="宋体"/>
                <w:szCs w:val="21"/>
                <w:highlight w:val="none"/>
              </w:rPr>
            </w:pPr>
          </w:p>
        </w:tc>
      </w:tr>
    </w:tbl>
    <w:p w14:paraId="715CEAFC">
      <w:pPr>
        <w:snapToGrid w:val="0"/>
        <w:ind w:firstLine="4712" w:firstLineChars="2235"/>
        <w:jc w:val="right"/>
        <w:rPr>
          <w:rFonts w:hint="eastAsia" w:ascii="宋体" w:hAnsi="宋体"/>
          <w:b/>
          <w:szCs w:val="21"/>
          <w:highlight w:val="none"/>
        </w:rPr>
      </w:pPr>
      <w:r>
        <w:rPr>
          <w:rFonts w:ascii="宋体" w:hAnsi="宋体"/>
          <w:b/>
          <w:szCs w:val="21"/>
          <w:highlight w:val="none"/>
        </w:rPr>
        <w:t>年</w:t>
      </w:r>
      <w:r>
        <w:rPr>
          <w:rFonts w:hint="eastAsia" w:ascii="宋体" w:hAnsi="宋体"/>
          <w:b/>
          <w:szCs w:val="21"/>
          <w:highlight w:val="none"/>
        </w:rPr>
        <w:t xml:space="preserve"> </w:t>
      </w:r>
      <w:r>
        <w:rPr>
          <w:rFonts w:ascii="宋体" w:hAnsi="宋体"/>
          <w:b/>
          <w:szCs w:val="21"/>
          <w:highlight w:val="none"/>
        </w:rPr>
        <w:t xml:space="preserve"> 月</w:t>
      </w:r>
      <w:r>
        <w:rPr>
          <w:rFonts w:hint="eastAsia" w:ascii="宋体" w:hAnsi="宋体"/>
          <w:b/>
          <w:szCs w:val="21"/>
          <w:highlight w:val="none"/>
        </w:rPr>
        <w:t xml:space="preserve"> </w:t>
      </w:r>
      <w:r>
        <w:rPr>
          <w:rFonts w:ascii="宋体" w:hAnsi="宋体"/>
          <w:b/>
          <w:szCs w:val="21"/>
          <w:highlight w:val="none"/>
        </w:rPr>
        <w:t xml:space="preserve"> 日</w:t>
      </w:r>
    </w:p>
    <w:p w14:paraId="771DB0CE">
      <w:pPr>
        <w:pageBreakBefore w:val="0"/>
        <w:widowControl w:val="0"/>
        <w:kinsoku/>
        <w:wordWrap/>
        <w:overflowPunct/>
        <w:topLinePunct w:val="0"/>
        <w:autoSpaceDE/>
        <w:autoSpaceDN/>
        <w:bidi w:val="0"/>
        <w:adjustRightInd/>
        <w:snapToGrid/>
        <w:spacing w:before="0" w:line="360" w:lineRule="auto"/>
        <w:jc w:val="left"/>
        <w:textAlignment w:val="auto"/>
        <w:outlineLvl w:val="9"/>
        <w:rPr>
          <w:rFonts w:ascii="宋体" w:hAnsi="宋体"/>
          <w:b/>
          <w:sz w:val="28"/>
          <w:szCs w:val="28"/>
          <w:highlight w:val="none"/>
        </w:rPr>
      </w:pPr>
    </w:p>
    <w:p w14:paraId="76A92FCF">
      <w:pPr>
        <w:spacing w:line="360" w:lineRule="auto"/>
        <w:ind w:firstLine="420" w:firstLineChars="200"/>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注：1.品名填写</w:t>
      </w:r>
      <w:r>
        <w:rPr>
          <w:rFonts w:hint="eastAsia" w:ascii="Times New Roman" w:hAnsi="Times New Roman" w:eastAsia="宋体" w:cs="Times New Roman"/>
          <w:szCs w:val="21"/>
          <w:highlight w:val="none"/>
        </w:rPr>
        <w:t>《节能产品政府采购品目清单》、《环境标志产品政府采购品目清单》中</w:t>
      </w:r>
      <w:r>
        <w:rPr>
          <w:rFonts w:hint="eastAsia" w:ascii="Times New Roman" w:hAnsi="Times New Roman" w:eastAsia="宋体" w:cs="Times New Roman"/>
          <w:szCs w:val="21"/>
          <w:highlight w:val="none"/>
          <w:lang w:val="en-US" w:eastAsia="zh-CN"/>
        </w:rPr>
        <w:t>的名称（如：A02010104 台式计算机）；</w:t>
      </w:r>
    </w:p>
    <w:p w14:paraId="7AF3F597">
      <w:pPr>
        <w:keepNext w:val="0"/>
        <w:keepLines w:val="0"/>
        <w:pageBreakBefore w:val="0"/>
        <w:widowControl w:val="0"/>
        <w:kinsoku w:val="0"/>
        <w:wordWrap w:val="0"/>
        <w:overflowPunct/>
        <w:topLinePunct w:val="0"/>
        <w:autoSpaceDE w:val="0"/>
        <w:autoSpaceDN w:val="0"/>
        <w:bidi w:val="0"/>
        <w:adjustRightInd/>
        <w:snapToGrid/>
        <w:spacing w:line="360" w:lineRule="auto"/>
        <w:ind w:firstLine="420" w:firstLineChars="200"/>
        <w:textAlignment w:val="baseline"/>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2.规格型号、</w:t>
      </w:r>
      <w:r>
        <w:rPr>
          <w:rFonts w:hint="eastAsia" w:ascii="Times New Roman" w:hAnsi="Times New Roman" w:eastAsia="宋体" w:cs="Times New Roman"/>
          <w:szCs w:val="21"/>
          <w:highlight w:val="none"/>
        </w:rPr>
        <w:t>证书编号</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rPr>
        <w:t>生产者 （制造商）</w:t>
      </w:r>
      <w:r>
        <w:rPr>
          <w:rFonts w:hint="eastAsia" w:ascii="Times New Roman" w:hAnsi="Times New Roman" w:eastAsia="宋体" w:cs="Times New Roman"/>
          <w:szCs w:val="21"/>
          <w:highlight w:val="none"/>
          <w:lang w:eastAsia="zh-CN"/>
        </w:rPr>
        <w:t>、认证机构</w:t>
      </w:r>
      <w:r>
        <w:rPr>
          <w:rFonts w:hint="eastAsia" w:ascii="Times New Roman" w:hAnsi="Times New Roman" w:eastAsia="宋体" w:cs="Times New Roman"/>
          <w:szCs w:val="21"/>
          <w:highlight w:val="none"/>
          <w:lang w:val="en-US" w:eastAsia="zh-CN"/>
        </w:rPr>
        <w:t>根据供应商自身所投产品实际认证情况填写，但应确保所投产品的信息与</w:t>
      </w:r>
      <w:r>
        <w:rPr>
          <w:rFonts w:hint="eastAsia" w:ascii="Times New Roman" w:hAnsi="Times New Roman" w:eastAsia="宋体" w:cs="Times New Roman"/>
          <w:szCs w:val="21"/>
          <w:highlight w:val="none"/>
        </w:rPr>
        <w:t>产品认证证书</w:t>
      </w:r>
      <w:r>
        <w:rPr>
          <w:rFonts w:hint="eastAsia" w:ascii="Times New Roman" w:hAnsi="Times New Roman" w:eastAsia="宋体" w:cs="Times New Roman"/>
          <w:szCs w:val="21"/>
          <w:highlight w:val="none"/>
          <w:lang w:eastAsia="zh-CN"/>
        </w:rPr>
        <w:t>、“全国认证认可信息公共服务平台（cx.cnca.cn）”</w:t>
      </w:r>
      <w:r>
        <w:rPr>
          <w:rFonts w:hint="eastAsia" w:ascii="Times New Roman" w:hAnsi="Times New Roman" w:eastAsia="宋体" w:cs="Times New Roman"/>
          <w:szCs w:val="21"/>
          <w:highlight w:val="none"/>
          <w:lang w:val="en-US" w:eastAsia="zh-CN"/>
        </w:rPr>
        <w:t>或</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lang w:val="en-US" w:eastAsia="zh-CN"/>
        </w:rPr>
        <w:t>中国政府采购网</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lang w:val="en-US" w:eastAsia="zh-CN"/>
        </w:rPr>
        <w:t>中的</w:t>
      </w:r>
      <w:r>
        <w:rPr>
          <w:rFonts w:hint="eastAsia" w:ascii="Times New Roman" w:hAnsi="Times New Roman" w:eastAsia="宋体" w:cs="Times New Roman"/>
          <w:szCs w:val="21"/>
          <w:highlight w:val="none"/>
        </w:rPr>
        <w:t>环境标志产品查询</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rPr>
        <w:t>http://www.ccgp.gov.cn/search/hbqdchaxun.htm</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rPr>
        <w:t>节能产品查询</w:t>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rPr>
        <w:fldChar w:fldCharType="begin"/>
      </w:r>
      <w:r>
        <w:rPr>
          <w:rFonts w:hint="eastAsia" w:ascii="Times New Roman" w:hAnsi="Times New Roman" w:eastAsia="宋体" w:cs="Times New Roman"/>
          <w:szCs w:val="21"/>
          <w:highlight w:val="none"/>
        </w:rPr>
        <w:instrText xml:space="preserve"> HYPERLINK "http://www.ccgp.gov.cn/search/jnqdchaxun.htm" </w:instrText>
      </w:r>
      <w:r>
        <w:rPr>
          <w:rFonts w:hint="eastAsia" w:ascii="Times New Roman" w:hAnsi="Times New Roman" w:eastAsia="宋体" w:cs="Times New Roman"/>
          <w:szCs w:val="21"/>
          <w:highlight w:val="none"/>
        </w:rPr>
        <w:fldChar w:fldCharType="separate"/>
      </w:r>
      <w:r>
        <w:rPr>
          <w:rFonts w:hint="eastAsia" w:ascii="Times New Roman" w:hAnsi="Times New Roman" w:eastAsia="宋体" w:cs="Times New Roman"/>
          <w:szCs w:val="21"/>
          <w:highlight w:val="none"/>
        </w:rPr>
        <w:t>http://www.ccgp.gov.cn/search/jnqdchaxun.htm</w:t>
      </w:r>
      <w:r>
        <w:rPr>
          <w:rFonts w:hint="eastAsia" w:ascii="Times New Roman" w:hAnsi="Times New Roman" w:eastAsia="宋体" w:cs="Times New Roman"/>
          <w:szCs w:val="21"/>
          <w:highlight w:val="none"/>
        </w:rPr>
        <w:fldChar w:fldCharType="end"/>
      </w:r>
      <w:r>
        <w:rPr>
          <w:rFonts w:hint="eastAsia" w:ascii="Times New Roman" w:hAnsi="Times New Roman" w:eastAsia="宋体" w:cs="Times New Roman"/>
          <w:szCs w:val="21"/>
          <w:highlight w:val="none"/>
          <w:lang w:eastAsia="zh-CN"/>
        </w:rPr>
        <w:t>）</w:t>
      </w:r>
      <w:r>
        <w:rPr>
          <w:rFonts w:hint="eastAsia" w:ascii="Times New Roman" w:hAnsi="Times New Roman" w:eastAsia="宋体" w:cs="Times New Roman"/>
          <w:szCs w:val="21"/>
          <w:highlight w:val="none"/>
          <w:lang w:val="en-US" w:eastAsia="zh-CN"/>
        </w:rPr>
        <w:t>结果一致。</w:t>
      </w:r>
    </w:p>
    <w:p w14:paraId="6D23897E">
      <w:pPr>
        <w:adjustRightInd w:val="0"/>
        <w:spacing w:line="360" w:lineRule="auto"/>
        <w:ind w:firstLine="422" w:firstLineChars="200"/>
        <w:rPr>
          <w:rFonts w:ascii="Times New Roman" w:hAnsi="Times New Roman"/>
          <w:b/>
          <w:bCs/>
          <w:szCs w:val="21"/>
          <w:highlight w:val="none"/>
        </w:rPr>
      </w:pPr>
      <w:r>
        <w:rPr>
          <w:rFonts w:hint="eastAsia" w:ascii="Times New Roman" w:hAnsi="Times New Roman"/>
          <w:b/>
          <w:bCs/>
          <w:szCs w:val="21"/>
          <w:highlight w:val="none"/>
          <w:lang w:val="en-US" w:eastAsia="zh-CN"/>
        </w:rPr>
        <w:t>3.</w:t>
      </w:r>
      <w:r>
        <w:rPr>
          <w:rFonts w:ascii="Times New Roman" w:hAnsi="Times New Roman"/>
          <w:b/>
          <w:bCs/>
          <w:szCs w:val="21"/>
          <w:highlight w:val="none"/>
        </w:rPr>
        <w:t>根据财库〔2019〕19号文规定（如在本项目</w:t>
      </w:r>
      <w:r>
        <w:rPr>
          <w:rFonts w:hint="eastAsia" w:ascii="Times New Roman" w:hAnsi="Times New Roman"/>
          <w:b/>
          <w:bCs/>
          <w:szCs w:val="21"/>
          <w:highlight w:val="none"/>
          <w:lang w:val="en-US" w:eastAsia="zh-CN"/>
        </w:rPr>
        <w:t>采购</w:t>
      </w:r>
      <w:r>
        <w:rPr>
          <w:rFonts w:ascii="Times New Roman" w:hAnsi="Times New Roman"/>
          <w:b/>
          <w:bCs/>
          <w:szCs w:val="21"/>
          <w:highlight w:val="none"/>
        </w:rPr>
        <w:t>公告发布之日起至</w:t>
      </w:r>
      <w:r>
        <w:rPr>
          <w:rFonts w:hint="eastAsia" w:ascii="Times New Roman" w:hAnsi="Times New Roman"/>
          <w:b/>
          <w:bCs/>
          <w:szCs w:val="21"/>
          <w:highlight w:val="none"/>
          <w:lang w:val="en-US" w:eastAsia="zh-CN"/>
        </w:rPr>
        <w:t>响应文件提交</w:t>
      </w:r>
      <w:r>
        <w:rPr>
          <w:rFonts w:ascii="Times New Roman" w:hAnsi="Times New Roman"/>
          <w:b/>
          <w:bCs/>
          <w:szCs w:val="21"/>
          <w:highlight w:val="none"/>
        </w:rPr>
        <w:t>截止时间前发布最新版本以最新版本为准），下列产品属于政府强制采购节能产品，</w:t>
      </w:r>
      <w:r>
        <w:rPr>
          <w:rFonts w:hint="eastAsia" w:ascii="Times New Roman" w:hAnsi="Times New Roman"/>
          <w:b/>
          <w:bCs/>
          <w:szCs w:val="21"/>
          <w:highlight w:val="none"/>
          <w:lang w:val="en-US" w:eastAsia="zh-CN"/>
        </w:rPr>
        <w:t>供应商</w:t>
      </w:r>
      <w:r>
        <w:rPr>
          <w:rFonts w:ascii="Times New Roman" w:hAnsi="Times New Roman"/>
          <w:b/>
          <w:bCs/>
          <w:szCs w:val="21"/>
          <w:highlight w:val="none"/>
        </w:rPr>
        <w:t>需提供节能产品认证证书或同等效力证明材料</w:t>
      </w:r>
      <w:r>
        <w:rPr>
          <w:rFonts w:ascii="Times New Roman" w:hAnsi="Times New Roman"/>
          <w:b/>
          <w:bCs/>
          <w:szCs w:val="21"/>
          <w:highlight w:val="none"/>
          <w:u w:val="single"/>
        </w:rPr>
        <w:t>：</w:t>
      </w:r>
      <w:r>
        <w:rPr>
          <w:rFonts w:ascii="Segoe UI Symbol" w:hAnsi="Segoe UI Symbol" w:cs="Segoe UI Symbol"/>
          <w:szCs w:val="21"/>
          <w:highlight w:val="none"/>
          <w:u w:val="single"/>
        </w:rPr>
        <w:t>★</w:t>
      </w:r>
      <w:r>
        <w:rPr>
          <w:rFonts w:ascii="Times New Roman" w:hAnsi="Times New Roman"/>
          <w:b/>
          <w:bCs/>
          <w:szCs w:val="21"/>
          <w:highlight w:val="none"/>
          <w:u w:val="single"/>
        </w:rPr>
        <w:t>A02010104 台式计算机、</w:t>
      </w:r>
      <w:r>
        <w:rPr>
          <w:rFonts w:ascii="Segoe UI Symbol" w:hAnsi="Segoe UI Symbol" w:cs="Segoe UI Symbol"/>
          <w:szCs w:val="21"/>
          <w:highlight w:val="none"/>
          <w:u w:val="single"/>
        </w:rPr>
        <w:t>★</w:t>
      </w:r>
      <w:r>
        <w:rPr>
          <w:rFonts w:ascii="Times New Roman" w:hAnsi="Times New Roman"/>
          <w:b/>
          <w:bCs/>
          <w:szCs w:val="21"/>
          <w:highlight w:val="none"/>
          <w:u w:val="single"/>
        </w:rPr>
        <w:t>A02010105 便携式计算机、</w:t>
      </w:r>
      <w:r>
        <w:rPr>
          <w:rFonts w:ascii="Segoe UI Symbol" w:hAnsi="Segoe UI Symbol" w:cs="Segoe UI Symbol"/>
          <w:szCs w:val="21"/>
          <w:highlight w:val="none"/>
          <w:u w:val="single"/>
        </w:rPr>
        <w:t>★</w:t>
      </w:r>
      <w:r>
        <w:rPr>
          <w:rFonts w:ascii="Times New Roman" w:hAnsi="Times New Roman"/>
          <w:b/>
          <w:bCs/>
          <w:szCs w:val="21"/>
          <w:highlight w:val="none"/>
          <w:u w:val="single"/>
        </w:rPr>
        <w:t>A02010107 平板式微型计算机、</w:t>
      </w:r>
      <w:r>
        <w:rPr>
          <w:rFonts w:ascii="Segoe UI Symbol" w:hAnsi="Segoe UI Symbol" w:cs="Segoe UI Symbol"/>
          <w:szCs w:val="21"/>
          <w:highlight w:val="none"/>
          <w:u w:val="single"/>
        </w:rPr>
        <w:t>★</w:t>
      </w:r>
      <w:r>
        <w:rPr>
          <w:rFonts w:ascii="Times New Roman" w:hAnsi="Times New Roman"/>
          <w:b/>
          <w:bCs/>
          <w:szCs w:val="21"/>
          <w:highlight w:val="none"/>
          <w:u w:val="single"/>
        </w:rPr>
        <w:t>A0201060102 激光打印机、</w:t>
      </w:r>
      <w:r>
        <w:rPr>
          <w:rFonts w:ascii="Segoe UI Symbol" w:hAnsi="Segoe UI Symbol" w:cs="Segoe UI Symbol"/>
          <w:szCs w:val="21"/>
          <w:highlight w:val="none"/>
          <w:u w:val="single"/>
        </w:rPr>
        <w:t>★</w:t>
      </w:r>
      <w:r>
        <w:rPr>
          <w:rFonts w:ascii="Times New Roman" w:hAnsi="Times New Roman"/>
          <w:b/>
          <w:bCs/>
          <w:szCs w:val="21"/>
          <w:highlight w:val="none"/>
          <w:u w:val="single"/>
        </w:rPr>
        <w:t>A0201060104 针式打印机、</w:t>
      </w:r>
      <w:r>
        <w:rPr>
          <w:rFonts w:ascii="Segoe UI Symbol" w:hAnsi="Segoe UI Symbol" w:cs="Segoe UI Symbol"/>
          <w:szCs w:val="21"/>
          <w:highlight w:val="none"/>
          <w:u w:val="single"/>
        </w:rPr>
        <w:t>★</w:t>
      </w:r>
      <w:r>
        <w:rPr>
          <w:rFonts w:ascii="Times New Roman" w:hAnsi="Times New Roman"/>
          <w:b/>
          <w:bCs/>
          <w:szCs w:val="21"/>
          <w:highlight w:val="none"/>
          <w:u w:val="single"/>
        </w:rPr>
        <w:t>A0201060401 液晶显示器、</w:t>
      </w:r>
      <w:r>
        <w:rPr>
          <w:rFonts w:ascii="Segoe UI Symbol" w:hAnsi="Segoe UI Symbol" w:cs="Segoe UI Symbol"/>
          <w:szCs w:val="21"/>
          <w:highlight w:val="none"/>
          <w:u w:val="single"/>
        </w:rPr>
        <w:t>★</w:t>
      </w:r>
      <w:r>
        <w:rPr>
          <w:rFonts w:ascii="Times New Roman" w:hAnsi="Times New Roman"/>
          <w:b/>
          <w:bCs/>
          <w:szCs w:val="21"/>
          <w:highlight w:val="none"/>
          <w:u w:val="single"/>
        </w:rPr>
        <w:t>A02052301 制冷压缩机、</w:t>
      </w:r>
      <w:r>
        <w:rPr>
          <w:rFonts w:ascii="Segoe UI Symbol" w:hAnsi="Segoe UI Symbol" w:cs="Segoe UI Symbol"/>
          <w:szCs w:val="21"/>
          <w:highlight w:val="none"/>
          <w:u w:val="single"/>
        </w:rPr>
        <w:t>★</w:t>
      </w:r>
      <w:r>
        <w:rPr>
          <w:rFonts w:ascii="Times New Roman" w:hAnsi="Times New Roman"/>
          <w:b/>
          <w:bCs/>
          <w:szCs w:val="21"/>
          <w:highlight w:val="none"/>
          <w:u w:val="single"/>
        </w:rPr>
        <w:t>A02052305 空调机组、</w:t>
      </w:r>
      <w:r>
        <w:rPr>
          <w:rFonts w:ascii="Segoe UI Symbol" w:hAnsi="Segoe UI Symbol" w:cs="Segoe UI Symbol"/>
          <w:szCs w:val="21"/>
          <w:highlight w:val="none"/>
          <w:u w:val="single"/>
        </w:rPr>
        <w:t>★</w:t>
      </w:r>
      <w:r>
        <w:rPr>
          <w:rFonts w:ascii="Times New Roman" w:hAnsi="Times New Roman"/>
          <w:b/>
          <w:bCs/>
          <w:szCs w:val="21"/>
          <w:highlight w:val="none"/>
          <w:u w:val="single"/>
        </w:rPr>
        <w:t>A02052309 专用制冷、空调设备、</w:t>
      </w:r>
      <w:r>
        <w:rPr>
          <w:rFonts w:ascii="Segoe UI Symbol" w:hAnsi="Segoe UI Symbol" w:cs="Segoe UI Symbol"/>
          <w:szCs w:val="21"/>
          <w:highlight w:val="none"/>
          <w:u w:val="single"/>
        </w:rPr>
        <w:t>★</w:t>
      </w:r>
      <w:r>
        <w:rPr>
          <w:rFonts w:ascii="Times New Roman" w:hAnsi="Times New Roman"/>
          <w:b/>
          <w:bCs/>
          <w:szCs w:val="21"/>
          <w:highlight w:val="none"/>
          <w:u w:val="single"/>
        </w:rPr>
        <w:t>A020609镇流器、</w:t>
      </w:r>
      <w:r>
        <w:rPr>
          <w:rFonts w:ascii="Segoe UI Symbol" w:hAnsi="Segoe UI Symbol" w:cs="Segoe UI Symbol"/>
          <w:szCs w:val="21"/>
          <w:highlight w:val="none"/>
          <w:u w:val="single"/>
        </w:rPr>
        <w:t>★</w:t>
      </w:r>
      <w:r>
        <w:rPr>
          <w:rFonts w:ascii="Times New Roman" w:hAnsi="Times New Roman"/>
          <w:b/>
          <w:bCs/>
          <w:szCs w:val="21"/>
          <w:highlight w:val="none"/>
          <w:u w:val="single"/>
        </w:rPr>
        <w:t>A0206180203 空调机、</w:t>
      </w:r>
      <w:r>
        <w:rPr>
          <w:rFonts w:ascii="Segoe UI Symbol" w:hAnsi="Segoe UI Symbol" w:cs="Segoe UI Symbol"/>
          <w:szCs w:val="21"/>
          <w:highlight w:val="none"/>
          <w:u w:val="single"/>
        </w:rPr>
        <w:t>★</w:t>
      </w:r>
      <w:r>
        <w:rPr>
          <w:rFonts w:ascii="Times New Roman" w:hAnsi="Times New Roman"/>
          <w:b/>
          <w:bCs/>
          <w:szCs w:val="21"/>
          <w:highlight w:val="none"/>
          <w:u w:val="single"/>
        </w:rPr>
        <w:t>电热水器、</w:t>
      </w:r>
      <w:r>
        <w:rPr>
          <w:rFonts w:ascii="Segoe UI Symbol" w:hAnsi="Segoe UI Symbol" w:cs="Segoe UI Symbol"/>
          <w:szCs w:val="21"/>
          <w:highlight w:val="none"/>
          <w:u w:val="single"/>
        </w:rPr>
        <w:t>★</w:t>
      </w:r>
      <w:r>
        <w:rPr>
          <w:rFonts w:ascii="Times New Roman" w:hAnsi="Times New Roman"/>
          <w:b/>
          <w:bCs/>
          <w:szCs w:val="21"/>
          <w:highlight w:val="none"/>
          <w:u w:val="single"/>
        </w:rPr>
        <w:t>电热水器、</w:t>
      </w:r>
      <w:r>
        <w:rPr>
          <w:rFonts w:ascii="Segoe UI Symbol" w:hAnsi="Segoe UI Symbol" w:cs="Segoe UI Symbol"/>
          <w:szCs w:val="21"/>
          <w:highlight w:val="none"/>
          <w:u w:val="single"/>
        </w:rPr>
        <w:t>★</w:t>
      </w:r>
      <w:r>
        <w:rPr>
          <w:rFonts w:ascii="Times New Roman" w:hAnsi="Times New Roman"/>
          <w:b/>
          <w:bCs/>
          <w:szCs w:val="21"/>
          <w:highlight w:val="none"/>
          <w:u w:val="single"/>
        </w:rPr>
        <w:t>普通照明用双端荧光灯、</w:t>
      </w:r>
      <w:r>
        <w:rPr>
          <w:rFonts w:ascii="Segoe UI Symbol" w:hAnsi="Segoe UI Symbol" w:cs="Segoe UI Symbol"/>
          <w:szCs w:val="21"/>
          <w:highlight w:val="none"/>
          <w:u w:val="single"/>
        </w:rPr>
        <w:t>★</w:t>
      </w:r>
      <w:r>
        <w:rPr>
          <w:rFonts w:ascii="Times New Roman" w:hAnsi="Times New Roman"/>
          <w:b/>
          <w:bCs/>
          <w:szCs w:val="21"/>
          <w:highlight w:val="none"/>
          <w:u w:val="single"/>
        </w:rPr>
        <w:t>A020910电视设备、</w:t>
      </w:r>
      <w:r>
        <w:rPr>
          <w:rFonts w:ascii="Segoe UI Symbol" w:hAnsi="Segoe UI Symbol" w:cs="Segoe UI Symbol"/>
          <w:szCs w:val="21"/>
          <w:highlight w:val="none"/>
          <w:u w:val="single"/>
        </w:rPr>
        <w:t>★</w:t>
      </w:r>
      <w:r>
        <w:rPr>
          <w:rFonts w:ascii="Times New Roman" w:hAnsi="Times New Roman"/>
          <w:b/>
          <w:bCs/>
          <w:szCs w:val="21"/>
          <w:highlight w:val="none"/>
          <w:u w:val="single"/>
        </w:rPr>
        <w:t>A020911 视频设备、</w:t>
      </w:r>
      <w:r>
        <w:rPr>
          <w:rFonts w:ascii="Segoe UI Symbol" w:hAnsi="Segoe UI Symbol" w:cs="Segoe UI Symbol"/>
          <w:szCs w:val="21"/>
          <w:highlight w:val="none"/>
          <w:u w:val="single"/>
        </w:rPr>
        <w:t>★</w:t>
      </w:r>
      <w:r>
        <w:rPr>
          <w:rFonts w:ascii="Times New Roman" w:hAnsi="Times New Roman"/>
          <w:b/>
          <w:bCs/>
          <w:szCs w:val="21"/>
          <w:highlight w:val="none"/>
          <w:u w:val="single"/>
        </w:rPr>
        <w:t>A060805 便器、</w:t>
      </w:r>
      <w:r>
        <w:rPr>
          <w:rFonts w:ascii="Segoe UI Symbol" w:hAnsi="Segoe UI Symbol" w:cs="Segoe UI Symbol"/>
          <w:szCs w:val="21"/>
          <w:highlight w:val="none"/>
          <w:u w:val="single"/>
        </w:rPr>
        <w:t>★</w:t>
      </w:r>
      <w:r>
        <w:rPr>
          <w:rFonts w:ascii="Times New Roman" w:hAnsi="Times New Roman"/>
          <w:b/>
          <w:bCs/>
          <w:szCs w:val="21"/>
          <w:highlight w:val="none"/>
          <w:u w:val="single"/>
        </w:rPr>
        <w:t>A060806 水嘴。</w:t>
      </w:r>
    </w:p>
    <w:p w14:paraId="5672BD8F">
      <w:pPr>
        <w:spacing w:line="360" w:lineRule="auto"/>
        <w:ind w:firstLine="422" w:firstLineChars="200"/>
        <w:outlineLvl w:val="9"/>
        <w:rPr>
          <w:rFonts w:hint="eastAsia" w:ascii="Times New Roman" w:hAnsi="Times New Roman" w:eastAsia="宋体" w:cs="Times New Roman"/>
          <w:b/>
          <w:bCs/>
          <w:szCs w:val="21"/>
          <w:highlight w:val="none"/>
          <w:lang w:val="en-US" w:eastAsia="zh-CN"/>
        </w:rPr>
        <w:sectPr>
          <w:pgSz w:w="11906" w:h="16838"/>
          <w:pgMar w:top="1191" w:right="1191" w:bottom="1304" w:left="1304" w:header="851" w:footer="851" w:gutter="0"/>
          <w:pgNumType w:fmt="decimal"/>
          <w:cols w:space="720" w:num="1"/>
          <w:docGrid w:linePitch="312" w:charSpace="0"/>
        </w:sectPr>
      </w:pPr>
      <w:r>
        <w:rPr>
          <w:rFonts w:hint="eastAsia" w:ascii="Times New Roman" w:hAnsi="Times New Roman" w:eastAsia="宋体" w:cs="Times New Roman"/>
          <w:b/>
          <w:bCs/>
          <w:szCs w:val="21"/>
          <w:highlight w:val="none"/>
          <w:lang w:val="en-US" w:eastAsia="zh-CN"/>
        </w:rPr>
        <w:t>4.供应商提供节能产品或环境标志产品认证证书或同等效力证明材料中的认证机构及填报的认证机构须在市场监管总局《关于发布参与实施政府采购节能产品、环境标志产品认证机构名录的公告》（2019年第16号）的通知中参与实施政府采购节能产品及环境标志产品认证机构名录内，否则不予认可。</w:t>
      </w:r>
    </w:p>
    <w:bookmarkEnd w:id="368"/>
    <w:bookmarkEnd w:id="369"/>
    <w:bookmarkEnd w:id="370"/>
    <w:bookmarkEnd w:id="371"/>
    <w:p w14:paraId="5F315090">
      <w:pPr>
        <w:widowControl/>
        <w:jc w:val="left"/>
        <w:rPr>
          <w:szCs w:val="21"/>
          <w:highlight w:val="none"/>
        </w:rPr>
      </w:pPr>
    </w:p>
    <w:p w14:paraId="4693CCED">
      <w:pPr>
        <w:numPr>
          <w:ilvl w:val="1"/>
          <w:numId w:val="0"/>
        </w:numPr>
        <w:spacing w:before="0" w:after="0"/>
        <w:jc w:val="center"/>
        <w:outlineLvl w:val="2"/>
        <w:rPr>
          <w:rFonts w:hint="eastAsia" w:ascii="Times New Roman" w:hAnsi="Times New Roman" w:eastAsia="宋体" w:cs="Times New Roman"/>
          <w:b/>
          <w:bCs/>
          <w:sz w:val="32"/>
          <w:highlight w:val="none"/>
          <w:lang w:val="en-US" w:eastAsia="zh-CN"/>
        </w:rPr>
      </w:pPr>
      <w:bookmarkStart w:id="372" w:name="_Toc149055040"/>
      <w:bookmarkStart w:id="373" w:name="_Toc19891027"/>
      <w:bookmarkStart w:id="374" w:name="_Toc27406561"/>
      <w:bookmarkStart w:id="375" w:name="_Hlk53162335"/>
      <w:r>
        <w:rPr>
          <w:rFonts w:hint="eastAsia" w:ascii="Times New Roman" w:hAnsi="Times New Roman" w:eastAsia="宋体" w:cs="Times New Roman"/>
          <w:b/>
          <w:bCs/>
          <w:sz w:val="32"/>
          <w:highlight w:val="none"/>
          <w:lang w:val="en-US" w:eastAsia="zh-CN"/>
        </w:rPr>
        <w:t>（四）供应商在响应文件中未提供虚假材料的承诺</w:t>
      </w:r>
      <w:bookmarkEnd w:id="372"/>
      <w:bookmarkEnd w:id="373"/>
      <w:bookmarkEnd w:id="374"/>
    </w:p>
    <w:bookmarkEnd w:id="375"/>
    <w:p w14:paraId="15085B41">
      <w:pPr>
        <w:spacing w:line="360" w:lineRule="auto"/>
        <w:rPr>
          <w:szCs w:val="21"/>
          <w:highlight w:val="none"/>
        </w:rPr>
      </w:pPr>
    </w:p>
    <w:p w14:paraId="48511AC9">
      <w:pPr>
        <w:spacing w:line="360" w:lineRule="auto"/>
        <w:rPr>
          <w:szCs w:val="21"/>
          <w:highlight w:val="none"/>
        </w:rPr>
      </w:pPr>
      <w:r>
        <w:rPr>
          <w:szCs w:val="21"/>
          <w:highlight w:val="none"/>
        </w:rPr>
        <w:t>致：</w:t>
      </w:r>
      <w:r>
        <w:rPr>
          <w:rFonts w:hint="eastAsia" w:ascii="Times New Roman" w:hAnsi="Times New Roman" w:eastAsia="宋体" w:cs="Times New Roman"/>
          <w:b/>
          <w:bCs/>
          <w:i w:val="0"/>
          <w:iCs w:val="0"/>
          <w:spacing w:val="6"/>
          <w:szCs w:val="21"/>
          <w:highlight w:val="none"/>
          <w:u w:val="single"/>
          <w:lang w:eastAsia="zh-CN"/>
        </w:rPr>
        <w:t>云南省保山第一中学</w:t>
      </w:r>
      <w:r>
        <w:rPr>
          <w:szCs w:val="21"/>
          <w:highlight w:val="none"/>
        </w:rPr>
        <w:t xml:space="preserve">   </w:t>
      </w:r>
    </w:p>
    <w:p w14:paraId="76E53651">
      <w:pPr>
        <w:spacing w:line="360" w:lineRule="auto"/>
        <w:ind w:firstLine="630" w:firstLineChars="300"/>
        <w:rPr>
          <w:szCs w:val="21"/>
          <w:highlight w:val="none"/>
        </w:rPr>
      </w:pPr>
      <w:r>
        <w:rPr>
          <w:szCs w:val="21"/>
          <w:highlight w:val="none"/>
        </w:rPr>
        <w:t xml:space="preserve"> </w:t>
      </w:r>
      <w:r>
        <w:rPr>
          <w:szCs w:val="21"/>
          <w:highlight w:val="none"/>
          <w:u w:val="single"/>
        </w:rPr>
        <w:t xml:space="preserve">          （供应商名称）</w:t>
      </w:r>
      <w:r>
        <w:rPr>
          <w:szCs w:val="21"/>
          <w:highlight w:val="none"/>
        </w:rPr>
        <w:t>现对本单位参与的</w:t>
      </w:r>
      <w:r>
        <w:rPr>
          <w:rFonts w:hint="eastAsia" w:ascii="Times New Roman" w:hAnsi="Times New Roman" w:eastAsia="宋体" w:cs="Times New Roman"/>
          <w:b/>
          <w:bCs/>
          <w:i w:val="0"/>
          <w:iCs w:val="0"/>
          <w:spacing w:val="6"/>
          <w:szCs w:val="21"/>
          <w:highlight w:val="none"/>
          <w:u w:val="single"/>
          <w:lang w:eastAsia="zh-CN"/>
        </w:rPr>
        <w:t>云南省保山第一中学附属设施（连廊）建设项目（一期）</w:t>
      </w:r>
      <w:r>
        <w:rPr>
          <w:szCs w:val="21"/>
          <w:highlight w:val="none"/>
        </w:rPr>
        <w:t>（项目名称）提交的响应文件及</w:t>
      </w:r>
      <w:r>
        <w:rPr>
          <w:rFonts w:hint="eastAsia"/>
          <w:szCs w:val="21"/>
          <w:highlight w:val="none"/>
          <w:lang w:eastAsia="zh-CN"/>
        </w:rPr>
        <w:t>磋商</w:t>
      </w:r>
      <w:r>
        <w:rPr>
          <w:szCs w:val="21"/>
          <w:highlight w:val="none"/>
        </w:rPr>
        <w:t>过程中签署的文件资料的真实性，郑重声明如下：</w:t>
      </w:r>
    </w:p>
    <w:p w14:paraId="0FCEA91F">
      <w:pPr>
        <w:spacing w:line="360" w:lineRule="auto"/>
        <w:ind w:firstLine="420" w:firstLineChars="200"/>
        <w:rPr>
          <w:szCs w:val="21"/>
          <w:highlight w:val="none"/>
        </w:rPr>
      </w:pPr>
      <w:r>
        <w:rPr>
          <w:szCs w:val="21"/>
          <w:highlight w:val="none"/>
        </w:rPr>
        <w:t>我单位参与本项目所提供的各项材料，包括但不限于资格证明文件、</w:t>
      </w:r>
      <w:r>
        <w:rPr>
          <w:rFonts w:hint="eastAsia"/>
          <w:szCs w:val="21"/>
          <w:highlight w:val="none"/>
          <w:lang w:val="en-US" w:eastAsia="zh-CN"/>
        </w:rPr>
        <w:t>商务</w:t>
      </w:r>
      <w:r>
        <w:rPr>
          <w:szCs w:val="21"/>
          <w:highlight w:val="none"/>
        </w:rPr>
        <w:t>技术资料及</w:t>
      </w:r>
      <w:r>
        <w:rPr>
          <w:highlight w:val="none"/>
        </w:rPr>
        <w:t>《中小企业声明函》（若有）、残疾人</w:t>
      </w:r>
      <w:r>
        <w:rPr>
          <w:szCs w:val="28"/>
          <w:highlight w:val="none"/>
        </w:rPr>
        <w:t>福利性单位声明函（若有）、</w:t>
      </w:r>
      <w:r>
        <w:rPr>
          <w:highlight w:val="none"/>
        </w:rPr>
        <w:t>监狱企业的证明文件（若有）</w:t>
      </w:r>
      <w:r>
        <w:rPr>
          <w:rFonts w:hint="eastAsia"/>
          <w:highlight w:val="none"/>
          <w:lang w:eastAsia="zh-CN"/>
        </w:rPr>
        <w:t>、</w:t>
      </w:r>
      <w:r>
        <w:rPr>
          <w:rFonts w:hint="eastAsia" w:ascii="宋体" w:hAnsi="宋体" w:eastAsia="宋体"/>
          <w:bCs/>
          <w:highlight w:val="none"/>
        </w:rPr>
        <w:t>节能产品/环境标志产品</w:t>
      </w:r>
      <w:r>
        <w:rPr>
          <w:rFonts w:hint="eastAsia" w:ascii="宋体" w:hAnsi="宋体" w:eastAsia="宋体"/>
          <w:bCs/>
          <w:highlight w:val="none"/>
          <w:lang w:val="en-US" w:eastAsia="zh-CN"/>
        </w:rPr>
        <w:t>认证证书（若有）</w:t>
      </w:r>
      <w:r>
        <w:rPr>
          <w:szCs w:val="21"/>
          <w:highlight w:val="none"/>
        </w:rPr>
        <w:t>等均是真实的。</w:t>
      </w:r>
    </w:p>
    <w:p w14:paraId="3112594C">
      <w:pPr>
        <w:spacing w:line="360" w:lineRule="auto"/>
        <w:ind w:firstLine="480"/>
        <w:rPr>
          <w:b/>
          <w:szCs w:val="21"/>
          <w:highlight w:val="none"/>
        </w:rPr>
      </w:pPr>
      <w:r>
        <w:rPr>
          <w:b/>
          <w:szCs w:val="21"/>
          <w:highlight w:val="none"/>
        </w:rPr>
        <w:t>我方郑重承诺：如提供虚假、不真实资料，我方将接受相关处罚，并对因此而造成的损失承担法律责任。</w:t>
      </w:r>
    </w:p>
    <w:p w14:paraId="206EB42E">
      <w:pPr>
        <w:spacing w:line="360" w:lineRule="auto"/>
        <w:ind w:firstLine="480"/>
        <w:rPr>
          <w:b/>
          <w:szCs w:val="21"/>
          <w:highlight w:val="none"/>
        </w:rPr>
      </w:pPr>
    </w:p>
    <w:p w14:paraId="62B01FA4">
      <w:pPr>
        <w:snapToGrid w:val="0"/>
        <w:ind w:firstLine="480"/>
        <w:rPr>
          <w:rFonts w:hint="eastAsia" w:ascii="宋体" w:hAnsi="宋体"/>
          <w:b/>
          <w:szCs w:val="21"/>
          <w:highlight w:val="none"/>
        </w:rPr>
      </w:pPr>
    </w:p>
    <w:tbl>
      <w:tblPr>
        <w:tblStyle w:val="41"/>
        <w:tblW w:w="5534" w:type="dxa"/>
        <w:tblInd w:w="4294" w:type="dxa"/>
        <w:tblLayout w:type="fixed"/>
        <w:tblCellMar>
          <w:top w:w="0" w:type="dxa"/>
          <w:left w:w="108" w:type="dxa"/>
          <w:bottom w:w="0" w:type="dxa"/>
          <w:right w:w="108" w:type="dxa"/>
        </w:tblCellMar>
      </w:tblPr>
      <w:tblGrid>
        <w:gridCol w:w="5534"/>
      </w:tblGrid>
      <w:tr w14:paraId="608D1F51">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top"/>
          </w:tcPr>
          <w:p w14:paraId="127C376E">
            <w:pPr>
              <w:pStyle w:val="178"/>
              <w:tabs>
                <w:tab w:val="left" w:pos="1200"/>
              </w:tabs>
              <w:snapToGrid w:val="0"/>
              <w:jc w:val="both"/>
              <w:rPr>
                <w:rFonts w:hint="eastAsia" w:hAnsi="宋体"/>
                <w:szCs w:val="21"/>
                <w:highlight w:val="none"/>
              </w:rPr>
            </w:pPr>
            <w:r>
              <w:rPr>
                <w:rFonts w:hint="eastAsia" w:hAnsi="宋体"/>
                <w:b/>
                <w:szCs w:val="21"/>
                <w:highlight w:val="none"/>
                <w:lang w:eastAsia="zh-CN"/>
              </w:rPr>
              <w:t>供应商</w:t>
            </w:r>
            <w:r>
              <w:rPr>
                <w:rFonts w:hAnsi="宋体"/>
                <w:b/>
                <w:szCs w:val="21"/>
                <w:highlight w:val="none"/>
              </w:rPr>
              <w:t>：</w:t>
            </w:r>
            <w:r>
              <w:rPr>
                <w:rFonts w:hint="eastAsia" w:hAnsi="宋体"/>
                <w:b/>
                <w:szCs w:val="21"/>
                <w:highlight w:val="none"/>
              </w:rPr>
              <w:t xml:space="preserve">               </w:t>
            </w:r>
            <w:r>
              <w:rPr>
                <w:rFonts w:hAnsi="宋体"/>
                <w:b/>
                <w:szCs w:val="21"/>
                <w:highlight w:val="none"/>
              </w:rPr>
              <w:t>（</w:t>
            </w:r>
            <w:r>
              <w:rPr>
                <w:rFonts w:hint="eastAsia" w:hAnsi="宋体"/>
                <w:b/>
                <w:szCs w:val="21"/>
                <w:highlight w:val="none"/>
              </w:rPr>
              <w:t>电子签章</w:t>
            </w:r>
            <w:r>
              <w:rPr>
                <w:rFonts w:hAnsi="宋体"/>
                <w:b/>
                <w:szCs w:val="21"/>
                <w:highlight w:val="none"/>
              </w:rPr>
              <w:t>）</w:t>
            </w:r>
          </w:p>
        </w:tc>
      </w:tr>
      <w:tr w14:paraId="2B339294">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top"/>
          </w:tcPr>
          <w:p w14:paraId="658B0E57">
            <w:pPr>
              <w:pStyle w:val="178"/>
              <w:tabs>
                <w:tab w:val="left" w:pos="1200"/>
              </w:tabs>
              <w:snapToGrid w:val="0"/>
              <w:jc w:val="both"/>
              <w:rPr>
                <w:rFonts w:hint="eastAsia" w:hAnsi="宋体"/>
                <w:szCs w:val="21"/>
                <w:highlight w:val="none"/>
              </w:rPr>
            </w:pPr>
          </w:p>
        </w:tc>
      </w:tr>
    </w:tbl>
    <w:p w14:paraId="61EC9296">
      <w:pPr>
        <w:snapToGrid w:val="0"/>
        <w:ind w:firstLine="4712" w:firstLineChars="2235"/>
        <w:jc w:val="right"/>
        <w:rPr>
          <w:rFonts w:hint="eastAsia" w:ascii="宋体" w:hAnsi="宋体"/>
          <w:b/>
          <w:szCs w:val="21"/>
          <w:highlight w:val="none"/>
        </w:rPr>
      </w:pPr>
      <w:r>
        <w:rPr>
          <w:rFonts w:ascii="宋体" w:hAnsi="宋体"/>
          <w:b/>
          <w:szCs w:val="21"/>
          <w:highlight w:val="none"/>
        </w:rPr>
        <w:t>年</w:t>
      </w:r>
      <w:r>
        <w:rPr>
          <w:rFonts w:hint="eastAsia" w:ascii="宋体" w:hAnsi="宋体"/>
          <w:b/>
          <w:szCs w:val="21"/>
          <w:highlight w:val="none"/>
        </w:rPr>
        <w:t xml:space="preserve"> </w:t>
      </w:r>
      <w:r>
        <w:rPr>
          <w:rFonts w:ascii="宋体" w:hAnsi="宋体"/>
          <w:b/>
          <w:szCs w:val="21"/>
          <w:highlight w:val="none"/>
        </w:rPr>
        <w:t xml:space="preserve"> 月</w:t>
      </w:r>
      <w:r>
        <w:rPr>
          <w:rFonts w:hint="eastAsia" w:ascii="宋体" w:hAnsi="宋体"/>
          <w:b/>
          <w:szCs w:val="21"/>
          <w:highlight w:val="none"/>
        </w:rPr>
        <w:t xml:space="preserve"> </w:t>
      </w:r>
      <w:r>
        <w:rPr>
          <w:rFonts w:ascii="宋体" w:hAnsi="宋体"/>
          <w:b/>
          <w:szCs w:val="21"/>
          <w:highlight w:val="none"/>
        </w:rPr>
        <w:t xml:space="preserve"> 日</w:t>
      </w:r>
    </w:p>
    <w:p w14:paraId="239CBF45">
      <w:pPr>
        <w:spacing w:line="360" w:lineRule="auto"/>
        <w:ind w:firstLine="2" w:firstLineChars="1"/>
        <w:rPr>
          <w:highlight w:val="none"/>
        </w:rPr>
      </w:pPr>
    </w:p>
    <w:p w14:paraId="79FEC95A">
      <w:pPr>
        <w:spacing w:line="360" w:lineRule="auto"/>
        <w:ind w:firstLine="420" w:firstLineChars="200"/>
        <w:rPr>
          <w:szCs w:val="21"/>
          <w:highlight w:val="none"/>
        </w:rPr>
      </w:pPr>
    </w:p>
    <w:p w14:paraId="43A9CCE4">
      <w:pPr>
        <w:spacing w:line="360" w:lineRule="auto"/>
        <w:ind w:firstLine="420" w:firstLineChars="200"/>
        <w:rPr>
          <w:szCs w:val="21"/>
          <w:highlight w:val="none"/>
        </w:rPr>
      </w:pPr>
    </w:p>
    <w:p w14:paraId="3D088E60">
      <w:pPr>
        <w:bidi w:val="0"/>
        <w:rPr>
          <w:rFonts w:hint="default"/>
          <w:lang w:val="en-US"/>
        </w:rPr>
      </w:pPr>
      <w:r>
        <w:br w:type="page"/>
      </w:r>
      <w:bookmarkEnd w:id="266"/>
      <w:bookmarkEnd w:id="267"/>
      <w:bookmarkEnd w:id="268"/>
    </w:p>
    <w:p w14:paraId="40D73DEB">
      <w:pPr>
        <w:keepNext w:val="0"/>
        <w:keepLines w:val="0"/>
        <w:pageBreakBefore w:val="0"/>
        <w:widowControl w:val="0"/>
        <w:kinsoku/>
        <w:wordWrap/>
        <w:overflowPunct/>
        <w:topLinePunct w:val="0"/>
        <w:autoSpaceDE/>
        <w:autoSpaceDN/>
        <w:bidi w:val="0"/>
        <w:adjustRightInd/>
        <w:snapToGrid/>
        <w:ind w:firstLine="0"/>
        <w:jc w:val="center"/>
        <w:textAlignment w:val="auto"/>
        <w:outlineLvl w:val="2"/>
        <w:rPr>
          <w:rFonts w:hint="eastAsia" w:ascii="Times New Roman" w:hAnsi="Times New Roman" w:eastAsia="宋体" w:cs="Times New Roman"/>
          <w:b/>
          <w:sz w:val="30"/>
          <w:szCs w:val="30"/>
          <w:highlight w:val="none"/>
          <w:lang w:val="en-US" w:eastAsia="zh-CN"/>
        </w:rPr>
      </w:pPr>
      <w:r>
        <w:rPr>
          <w:rFonts w:hint="eastAsia" w:ascii="Times New Roman" w:hAnsi="Times New Roman" w:eastAsia="宋体" w:cs="Times New Roman"/>
          <w:b/>
          <w:sz w:val="30"/>
          <w:szCs w:val="30"/>
          <w:highlight w:val="none"/>
          <w:lang w:val="en-US" w:eastAsia="zh-CN"/>
        </w:rPr>
        <w:t>（五）构成响应文件的其他资料</w:t>
      </w:r>
    </w:p>
    <w:p w14:paraId="69697332">
      <w:pPr>
        <w:pStyle w:val="23"/>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sz w:val="21"/>
          <w:szCs w:val="21"/>
          <w:highlight w:val="none"/>
        </w:rPr>
      </w:pPr>
      <w:r>
        <w:rPr>
          <w:rFonts w:ascii="Times New Roman"/>
          <w:sz w:val="21"/>
          <w:szCs w:val="21"/>
          <w:highlight w:val="none"/>
        </w:rPr>
        <w:t>若有</w:t>
      </w:r>
      <w:r>
        <w:rPr>
          <w:rFonts w:hint="eastAsia" w:ascii="Times New Roman"/>
          <w:sz w:val="21"/>
          <w:szCs w:val="21"/>
          <w:highlight w:val="none"/>
          <w:lang w:eastAsia="zh-CN"/>
        </w:rPr>
        <w:t>，</w:t>
      </w:r>
      <w:r>
        <w:rPr>
          <w:rFonts w:ascii="Times New Roman"/>
          <w:sz w:val="21"/>
          <w:szCs w:val="21"/>
          <w:highlight w:val="none"/>
        </w:rPr>
        <w:t>格式内容请自拟格式。</w:t>
      </w:r>
    </w:p>
    <w:p w14:paraId="492C8A0E">
      <w:pPr>
        <w:pageBreakBefore w:val="0"/>
        <w:widowControl w:val="0"/>
        <w:kinsoku/>
        <w:wordWrap/>
        <w:overflowPunct/>
        <w:topLinePunct w:val="0"/>
        <w:autoSpaceDE/>
        <w:autoSpaceDN/>
        <w:bidi w:val="0"/>
        <w:adjustRightInd/>
        <w:snapToGrid/>
        <w:spacing w:before="0" w:line="360" w:lineRule="auto"/>
        <w:jc w:val="left"/>
        <w:textAlignment w:val="auto"/>
        <w:outlineLvl w:val="2"/>
        <w:rPr>
          <w:rFonts w:hint="eastAsia" w:ascii="Times New Roman" w:hAnsi="Times New Roman" w:eastAsia="宋体" w:cs="Times New Roman"/>
          <w:b/>
          <w:bCs w:val="0"/>
          <w:kern w:val="2"/>
          <w:sz w:val="22"/>
          <w:szCs w:val="21"/>
          <w:highlight w:val="none"/>
          <w:lang w:val="en-US" w:eastAsia="zh-CN" w:bidi="ar-SA"/>
        </w:rPr>
        <w:sectPr>
          <w:pgSz w:w="11906" w:h="16838"/>
          <w:pgMar w:top="1191" w:right="1191" w:bottom="1304" w:left="1304" w:header="851" w:footer="851" w:gutter="0"/>
          <w:pgNumType w:fmt="decimal"/>
          <w:cols w:space="720" w:num="1"/>
          <w:docGrid w:linePitch="312" w:charSpace="0"/>
        </w:sectPr>
      </w:pPr>
    </w:p>
    <w:p w14:paraId="4404CFE1">
      <w:pPr>
        <w:pStyle w:val="23"/>
        <w:spacing w:line="360" w:lineRule="auto"/>
        <w:rPr>
          <w:rFonts w:hint="eastAsia" w:hAnsi="宋体"/>
          <w:b/>
          <w:sz w:val="28"/>
          <w:szCs w:val="28"/>
          <w:highlight w:val="none"/>
        </w:rPr>
      </w:pPr>
    </w:p>
    <w:p w14:paraId="6F56CC3C">
      <w:pPr>
        <w:pStyle w:val="2"/>
        <w:numPr>
          <w:ilvl w:val="0"/>
          <w:numId w:val="5"/>
        </w:numPr>
        <w:spacing w:line="360" w:lineRule="auto"/>
        <w:rPr>
          <w:rFonts w:hint="eastAsia" w:hAnsi="宋体"/>
          <w:b/>
          <w:bCs/>
          <w:color w:val="auto"/>
          <w:sz w:val="36"/>
          <w:highlight w:val="none"/>
          <w:lang w:eastAsia="zh-CN"/>
        </w:rPr>
      </w:pPr>
      <w:bookmarkStart w:id="376" w:name="q19"/>
      <w:bookmarkEnd w:id="376"/>
      <w:bookmarkStart w:id="377" w:name="q18"/>
      <w:bookmarkEnd w:id="377"/>
      <w:bookmarkStart w:id="378" w:name="_Toc20670"/>
      <w:bookmarkStart w:id="379" w:name="_Toc427339195"/>
      <w:bookmarkStart w:id="380" w:name="_Toc427306820"/>
      <w:r>
        <w:rPr>
          <w:rFonts w:hint="eastAsia" w:hAnsi="宋体"/>
          <w:b/>
          <w:bCs/>
          <w:color w:val="auto"/>
          <w:sz w:val="36"/>
          <w:highlight w:val="none"/>
          <w:lang w:eastAsia="zh-CN"/>
        </w:rPr>
        <w:t>项目需求</w:t>
      </w:r>
      <w:bookmarkEnd w:id="378"/>
    </w:p>
    <w:p w14:paraId="5E2E36E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default"/>
          <w:b/>
          <w:bCs/>
          <w:sz w:val="21"/>
          <w:szCs w:val="20"/>
          <w:lang w:val="en-US" w:eastAsia="zh-CN"/>
        </w:rPr>
      </w:pPr>
      <w:r>
        <w:rPr>
          <w:rFonts w:hint="eastAsia"/>
          <w:b/>
          <w:bCs/>
          <w:sz w:val="21"/>
          <w:szCs w:val="20"/>
          <w:lang w:val="en-US" w:eastAsia="zh-CN"/>
        </w:rPr>
        <w:t>一、项目概况</w:t>
      </w:r>
    </w:p>
    <w:p w14:paraId="1D41BF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 w:val="0"/>
          <w:bCs w:val="0"/>
          <w:color w:val="auto"/>
          <w:szCs w:val="21"/>
          <w:highlight w:val="none"/>
        </w:rPr>
      </w:pPr>
      <w:r>
        <w:rPr>
          <w:rFonts w:hint="eastAsia" w:ascii="宋体" w:hAnsi="宋体"/>
          <w:b w:val="0"/>
          <w:bCs w:val="0"/>
          <w:color w:val="auto"/>
          <w:szCs w:val="21"/>
          <w:highlight w:val="none"/>
          <w:lang w:val="en-US" w:eastAsia="zh-CN"/>
        </w:rPr>
        <w:t>1.</w:t>
      </w:r>
      <w:r>
        <w:rPr>
          <w:rFonts w:hint="eastAsia" w:ascii="宋体" w:hAnsi="宋体"/>
          <w:b w:val="0"/>
          <w:bCs w:val="0"/>
          <w:color w:val="auto"/>
          <w:szCs w:val="21"/>
          <w:highlight w:val="none"/>
        </w:rPr>
        <w:t>项目名称：</w:t>
      </w:r>
      <w:r>
        <w:rPr>
          <w:rFonts w:hint="eastAsia" w:ascii="宋体" w:hAnsi="宋体"/>
          <w:b w:val="0"/>
          <w:bCs w:val="0"/>
          <w:color w:val="auto"/>
          <w:szCs w:val="21"/>
          <w:highlight w:val="none"/>
          <w:lang w:eastAsia="zh-CN"/>
        </w:rPr>
        <w:t>云南省保山第一中学附属设施（连廊）建设项目（一期）。</w:t>
      </w:r>
    </w:p>
    <w:p w14:paraId="35EDB0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Times New Roman"/>
          <w:color w:val="auto"/>
          <w:sz w:val="21"/>
          <w:szCs w:val="21"/>
          <w:highlight w:val="none"/>
          <w:lang w:val="en-US" w:eastAsia="zh-CN"/>
        </w:rPr>
      </w:pPr>
      <w:r>
        <w:rPr>
          <w:rFonts w:hint="eastAsia" w:ascii="宋体" w:hAnsi="宋体" w:cs="宋体"/>
          <w:b w:val="0"/>
          <w:bCs w:val="0"/>
          <w:color w:val="auto"/>
          <w:kern w:val="0"/>
          <w:szCs w:val="21"/>
          <w:highlight w:val="none"/>
          <w:lang w:val="en-US" w:eastAsia="zh-CN"/>
        </w:rPr>
        <w:t>2.</w:t>
      </w:r>
      <w:r>
        <w:rPr>
          <w:rFonts w:hint="eastAsia" w:ascii="宋体" w:hAnsi="宋体" w:cs="宋体"/>
          <w:b w:val="0"/>
          <w:bCs w:val="0"/>
          <w:color w:val="auto"/>
          <w:kern w:val="0"/>
          <w:szCs w:val="21"/>
          <w:highlight w:val="none"/>
        </w:rPr>
        <w:t>项目概述：</w:t>
      </w:r>
      <w:r>
        <w:rPr>
          <w:rFonts w:hint="eastAsia" w:ascii="宋体" w:hAnsi="宋体" w:eastAsia="宋体" w:cs="Times New Roman"/>
          <w:b w:val="0"/>
          <w:bCs w:val="0"/>
          <w:color w:val="auto"/>
          <w:sz w:val="21"/>
          <w:szCs w:val="21"/>
          <w:highlight w:val="none"/>
          <w:lang w:eastAsia="zh-CN"/>
        </w:rPr>
        <w:t>简要</w:t>
      </w:r>
      <w:r>
        <w:rPr>
          <w:rFonts w:hint="eastAsia" w:ascii="宋体" w:hAnsi="宋体" w:eastAsia="宋体" w:cs="Times New Roman"/>
          <w:color w:val="auto"/>
          <w:sz w:val="21"/>
          <w:szCs w:val="21"/>
          <w:highlight w:val="none"/>
          <w:lang w:eastAsia="zh-CN"/>
        </w:rPr>
        <w:t>规格描述：新建 2 座连廊 ，总长度 65.9 米 ，总面积 257.01平方米；购置并安装电梯 1 部。</w:t>
      </w:r>
      <w:r>
        <w:rPr>
          <w:rFonts w:hint="eastAsia" w:ascii="宋体" w:hAnsi="宋体" w:eastAsia="宋体" w:cs="Times New Roman"/>
          <w:color w:val="auto"/>
          <w:sz w:val="21"/>
          <w:szCs w:val="21"/>
          <w:highlight w:val="none"/>
          <w:lang w:val="en-US" w:eastAsia="zh-CN"/>
        </w:rPr>
        <w:t>包含但不限于：</w:t>
      </w:r>
    </w:p>
    <w:p w14:paraId="58D70A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（1）新建 1#连廊：连接教学楼（ 思齐院）三楼至图书馆三楼，钢框架结构，长度 33.4 米，宽度 3.9 米，高度 6 米，面积 130.26 平方米，主要用于师生从教学楼到图书馆查阅资料、借阅书籍的便捷通行，避免上下楼及户外绕行。</w:t>
      </w:r>
    </w:p>
    <w:p w14:paraId="31328F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（2）新建 2#连廊：连接教学楼（见贤院）三楼至报告厅二楼，钢框架结构，长度 32.5 米，宽度 3.9 米，高度 6 米，面积 126.75 平方米，主要服务于师生参加报告厅各类会议、讲座、文艺活动等，实现教学区域与活动区域的无缝衔接。</w:t>
      </w:r>
    </w:p>
    <w:p w14:paraId="430075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（3）电梯安装：在办公楼（润泽楼）安装电梯 1 部，采用乘客电梯，额定载重量 1000kg，适配办公楼楼层高度，主要功能为解决办公楼内教职工垂直通行不便的问题，尤其方便老年教职工、携带文件资料及办公用品的教职工上下楼，提升办公便捷性；同时可兼顾残疾教职工、来访人员的通行需求，落实校园无障碍建设要求，完善办公楼服务功能，提升校园整体服务水平。</w:t>
      </w:r>
    </w:p>
    <w:p w14:paraId="0A81AC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lang w:eastAsia="zh-CN"/>
        </w:rPr>
        <w:t>）连廊建设包含主体结构施工、屋面工程、墙面装修、地面铺装、栏杆安装、照明系统、消防系统、防雷系统及配套附属设施等全部工程内容；电梯安装包含电梯设备采购、安装调试、基坑处理、机房配套、安全检测等全部工程内容，确保连廊及电梯使用安全、美观、实用，与校园整体建筑风格保持一致。</w:t>
      </w:r>
    </w:p>
    <w:p w14:paraId="06CE16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eastAsia="zh-CN"/>
        </w:rPr>
      </w:pPr>
      <w:r>
        <w:rPr>
          <w:rFonts w:hint="eastAsia" w:ascii="宋体" w:hAnsi="宋体" w:eastAsia="宋体" w:cs="Calibri"/>
          <w:color w:val="auto"/>
          <w:kern w:val="2"/>
          <w:sz w:val="21"/>
          <w:szCs w:val="21"/>
          <w:highlight w:val="none"/>
          <w:lang w:val="en-US" w:eastAsia="zh-CN" w:bidi="ar-SA"/>
        </w:rPr>
        <w:t>（5）</w:t>
      </w:r>
      <w:r>
        <w:rPr>
          <w:rFonts w:hint="eastAsia" w:ascii="宋体" w:hAnsi="宋体" w:eastAsia="宋体" w:cs="Times New Roman"/>
          <w:color w:val="auto"/>
          <w:sz w:val="21"/>
          <w:szCs w:val="21"/>
          <w:highlight w:val="none"/>
          <w:lang w:eastAsia="zh-CN"/>
        </w:rPr>
        <w:t>具体内容详见工程量清单。</w:t>
      </w:r>
    </w:p>
    <w:p w14:paraId="6C09DA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kern w:val="2"/>
          <w:sz w:val="21"/>
          <w:szCs w:val="21"/>
          <w:highlight w:val="none"/>
          <w:lang w:val="en-US" w:eastAsia="zh-CN" w:bidi="ar-SA"/>
        </w:rPr>
        <w:t>（6）工程地点：云南省保山第一中学，采购人指定地点。</w:t>
      </w:r>
      <w:r>
        <w:rPr>
          <w:rFonts w:hint="eastAsia" w:ascii="宋体" w:hAnsi="宋体" w:eastAsia="宋体" w:cs="Times New Roman"/>
          <w:color w:val="auto"/>
          <w:sz w:val="21"/>
          <w:szCs w:val="21"/>
          <w:highlight w:val="none"/>
          <w:lang w:eastAsia="zh-CN"/>
        </w:rPr>
        <w:t xml:space="preserve"> </w:t>
      </w:r>
    </w:p>
    <w:p w14:paraId="018EDEC9">
      <w:pPr>
        <w:spacing w:line="360" w:lineRule="auto"/>
        <w:outlineLvl w:val="1"/>
        <w:rPr>
          <w:rFonts w:hint="eastAsia"/>
          <w:b/>
          <w:color w:val="auto"/>
          <w:szCs w:val="21"/>
          <w:highlight w:val="none"/>
        </w:rPr>
      </w:pPr>
      <w:r>
        <w:rPr>
          <w:rFonts w:hint="eastAsia"/>
          <w:b/>
          <w:color w:val="auto"/>
          <w:szCs w:val="21"/>
          <w:highlight w:val="none"/>
          <w:lang w:val="en-US" w:eastAsia="zh-CN"/>
        </w:rPr>
        <w:t>二、</w:t>
      </w:r>
      <w:r>
        <w:rPr>
          <w:rFonts w:hint="eastAsia"/>
          <w:b/>
          <w:color w:val="auto"/>
          <w:szCs w:val="21"/>
          <w:highlight w:val="none"/>
        </w:rPr>
        <w:t>技术质量要求</w:t>
      </w:r>
    </w:p>
    <w:p w14:paraId="58356B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eastAsia"/>
          <w:color w:val="auto"/>
          <w:sz w:val="21"/>
          <w:szCs w:val="21"/>
          <w:highlight w:val="none"/>
          <w:lang w:eastAsia="zh-CN"/>
        </w:rPr>
      </w:pPr>
      <w:bookmarkStart w:id="381" w:name="heading_12"/>
      <w:r>
        <w:rPr>
          <w:rFonts w:hint="eastAsia"/>
          <w:color w:val="auto"/>
          <w:sz w:val="21"/>
          <w:szCs w:val="21"/>
          <w:highlight w:val="none"/>
        </w:rPr>
        <w:t>质量标准：</w:t>
      </w:r>
      <w:r>
        <w:rPr>
          <w:rFonts w:hint="eastAsia"/>
          <w:color w:val="auto"/>
          <w:sz w:val="21"/>
          <w:szCs w:val="21"/>
          <w:highlight w:val="none"/>
          <w:lang w:eastAsia="zh-CN"/>
        </w:rPr>
        <w:t>符合现行国家及行业施工质量统一验收标准和规范要求，一次性验收合格。</w:t>
      </w:r>
    </w:p>
    <w:p w14:paraId="4111492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Times New Roman" w:hAnsi="Times New Roman" w:eastAsia="宋体" w:cs="Times New Roman"/>
          <w:b/>
          <w:bCs/>
          <w:sz w:val="21"/>
          <w:szCs w:val="20"/>
          <w:lang w:val="en-US" w:eastAsia="zh-CN"/>
        </w:rPr>
      </w:pPr>
      <w:r>
        <w:rPr>
          <w:rFonts w:hint="eastAsia" w:ascii="Times New Roman" w:hAnsi="Times New Roman" w:eastAsia="宋体" w:cs="Times New Roman"/>
          <w:b/>
          <w:bCs/>
          <w:sz w:val="21"/>
          <w:szCs w:val="20"/>
          <w:lang w:val="en-US" w:eastAsia="zh-CN"/>
        </w:rPr>
        <w:t>三、施工管理要求</w:t>
      </w:r>
      <w:bookmarkEnd w:id="381"/>
    </w:p>
    <w:p w14:paraId="3455BB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b/>
          <w:bCs/>
          <w:color w:val="auto"/>
          <w:sz w:val="21"/>
          <w:szCs w:val="21"/>
          <w:highlight w:val="none"/>
          <w:lang w:val="en-US" w:eastAsia="zh-CN"/>
        </w:rPr>
      </w:pPr>
      <w:bookmarkStart w:id="382" w:name="heading_14"/>
      <w:r>
        <w:rPr>
          <w:rFonts w:hint="eastAsia" w:ascii="宋体" w:hAnsi="宋体" w:eastAsia="宋体" w:cs="Times New Roman"/>
          <w:b/>
          <w:bCs/>
          <w:color w:val="auto"/>
          <w:sz w:val="21"/>
          <w:szCs w:val="21"/>
          <w:highlight w:val="none"/>
          <w:lang w:val="en-US" w:eastAsia="zh-CN"/>
        </w:rPr>
        <w:t>（一）校园专项施工管控</w:t>
      </w:r>
      <w:bookmarkEnd w:id="382"/>
    </w:p>
    <w:p w14:paraId="53A163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1. 施工时间严格规避上课、午休、晚自习及上下学高峰时段，规范作业时段，严禁噪音扰民、干扰教学。</w:t>
      </w:r>
    </w:p>
    <w:p w14:paraId="025166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2. 施工现场设置高度≥2.5m的标准化封闭围挡，实现施工区与师生通行区物理隔离，做好现场安全防护。</w:t>
      </w:r>
    </w:p>
    <w:p w14:paraId="04F1C8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3. 严格落实扬尘、噪音管控措施，施工场地定期洒水降尘，建材、垃圾全覆盖堆放，选用低噪音施工设备，施工车辆校内限速行驶、禁止鸣笛，出场彻底冲洗。</w:t>
      </w:r>
    </w:p>
    <w:p w14:paraId="6C699D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4. 施工前全面排查校园地下给排水、通信、燃气等管线，做好避让和保护，严禁野蛮施工破坏现有设施；施工全过程做好原有建筑、绿化、道路成品保护，施工损坏部分完工后100%复原。</w:t>
      </w:r>
    </w:p>
    <w:p w14:paraId="180B60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5. 施工人员统一登记管理，遵守校园管理制度，岗前开展安全及校园规范培训，杜绝违规行为。</w:t>
      </w:r>
    </w:p>
    <w:p w14:paraId="110499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b/>
          <w:bCs/>
          <w:color w:val="auto"/>
          <w:sz w:val="21"/>
          <w:szCs w:val="21"/>
          <w:highlight w:val="none"/>
          <w:lang w:val="en-US" w:eastAsia="zh-CN"/>
        </w:rPr>
      </w:pPr>
      <w:bookmarkStart w:id="383" w:name="heading_16"/>
      <w:r>
        <w:rPr>
          <w:rFonts w:hint="eastAsia" w:ascii="宋体" w:hAnsi="宋体" w:eastAsia="宋体" w:cs="Times New Roman"/>
          <w:b/>
          <w:bCs/>
          <w:color w:val="auto"/>
          <w:sz w:val="21"/>
          <w:szCs w:val="21"/>
          <w:highlight w:val="none"/>
          <w:lang w:val="en-US" w:eastAsia="zh-CN"/>
        </w:rPr>
        <w:t>（二）安全文明施工</w:t>
      </w:r>
      <w:bookmarkEnd w:id="383"/>
    </w:p>
    <w:p w14:paraId="5F210E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成交人全面承担施工现场安全生产主体责任，配备专职安全员，编制高空作业、消防安全、应急处置等专项方案；严格落实高空作业、用电作业安全防护措施，杜绝高空坠落、物体打击、触电等安全事故；施工垃圾分类收集、密闭清运，施工废水沉淀处理后接入校园污水管网，全程做到安全、文明、绿色施工，项目实施期间无安全责任事故。</w:t>
      </w:r>
    </w:p>
    <w:p w14:paraId="353567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eastAsia="zh-CN"/>
        </w:rPr>
      </w:pPr>
      <w:bookmarkStart w:id="384" w:name="heading_17"/>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三</w:t>
      </w:r>
      <w:r>
        <w:rPr>
          <w:rFonts w:hint="eastAsia" w:ascii="宋体" w:hAnsi="宋体" w:eastAsia="宋体" w:cs="Times New Roman"/>
          <w:color w:val="auto"/>
          <w:sz w:val="21"/>
          <w:szCs w:val="21"/>
          <w:highlight w:val="none"/>
          <w:lang w:eastAsia="zh-CN"/>
        </w:rPr>
        <w:t>）工期：</w:t>
      </w:r>
      <w:r>
        <w:rPr>
          <w:rFonts w:hint="eastAsia" w:ascii="宋体" w:hAnsi="宋体" w:cs="Times New Roman"/>
          <w:color w:val="auto"/>
          <w:sz w:val="21"/>
          <w:szCs w:val="21"/>
          <w:highlight w:val="none"/>
          <w:lang w:val="en-US" w:eastAsia="zh-CN"/>
        </w:rPr>
        <w:t>计划工期120个日历天</w:t>
      </w:r>
      <w:r>
        <w:rPr>
          <w:rFonts w:hint="eastAsia" w:ascii="宋体" w:hAnsi="宋体" w:eastAsia="宋体" w:cs="Times New Roman"/>
          <w:color w:val="auto"/>
          <w:sz w:val="21"/>
          <w:szCs w:val="21"/>
          <w:highlight w:val="none"/>
          <w:lang w:val="en-US" w:eastAsia="zh-CN"/>
        </w:rPr>
        <w:t>，具体开工时间以采购人实际下达的通知为准</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施工单位须</w:t>
      </w:r>
      <w:r>
        <w:rPr>
          <w:rFonts w:hint="eastAsia" w:ascii="宋体" w:hAnsi="宋体" w:cs="Times New Roman"/>
          <w:color w:val="auto"/>
          <w:sz w:val="21"/>
          <w:szCs w:val="21"/>
          <w:highlight w:val="none"/>
          <w:lang w:val="en-US" w:eastAsia="zh-CN"/>
        </w:rPr>
        <w:t>优先利用假期</w:t>
      </w:r>
      <w:r>
        <w:rPr>
          <w:rFonts w:hint="eastAsia" w:ascii="宋体" w:hAnsi="宋体" w:eastAsia="宋体" w:cs="Times New Roman"/>
          <w:color w:val="auto"/>
          <w:sz w:val="21"/>
          <w:szCs w:val="21"/>
          <w:highlight w:val="none"/>
          <w:lang w:val="en-US" w:eastAsia="zh-CN"/>
        </w:rPr>
        <w:t>窗口期开展主体施工，最大限度规避教学时段，减少施工噪音、场地占用对学校正常教学秩序的干扰。成交人须在进场3日内提交完整施工组织设计、专项施工方案及精准节点进度计划，严格按计划组织施工，严禁无故工期延误，因施工单位原因造成的工期滞后，由成交人承担全部违约责任。</w:t>
      </w:r>
    </w:p>
    <w:p w14:paraId="188A0BE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Times New Roman" w:hAnsi="Times New Roman" w:eastAsia="宋体" w:cs="Times New Roman"/>
          <w:b/>
          <w:bCs/>
          <w:sz w:val="21"/>
          <w:szCs w:val="20"/>
          <w:lang w:val="en-US" w:eastAsia="zh-CN"/>
        </w:rPr>
      </w:pPr>
      <w:r>
        <w:rPr>
          <w:rFonts w:hint="eastAsia" w:ascii="Times New Roman" w:hAnsi="Times New Roman" w:eastAsia="宋体" w:cs="Times New Roman"/>
          <w:b/>
          <w:bCs/>
          <w:sz w:val="21"/>
          <w:szCs w:val="20"/>
          <w:lang w:val="en-US" w:eastAsia="zh-CN"/>
        </w:rPr>
        <w:t>四、验收及资料要求</w:t>
      </w:r>
      <w:bookmarkEnd w:id="384"/>
    </w:p>
    <w:p w14:paraId="5B1774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1. 分项验收：主体结构、水电消防、电梯设备、装饰装修等分项工程完工后，逐一开展分项验收，验收合格后方可推进后续施工。</w:t>
      </w:r>
    </w:p>
    <w:p w14:paraId="0D119F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2. 竣工验收：一期工程全部完工后，成交人提交竣工验收申请，配合建设单位、监理单位、主管部门完成整体竣工验收。</w:t>
      </w:r>
    </w:p>
    <w:p w14:paraId="658F7F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3. 资料归档：需完整提交竣工图纸、材料设备合格证、检测报告、隐蔽工程记录、特种设备验收资料、施工日志、运维说明等全套竣工资料，整理成册移交建设单位存档。</w:t>
      </w:r>
    </w:p>
    <w:p w14:paraId="14A1831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Times New Roman" w:hAnsi="Times New Roman" w:eastAsia="宋体" w:cs="Times New Roman"/>
          <w:b/>
          <w:bCs/>
          <w:sz w:val="21"/>
          <w:szCs w:val="20"/>
          <w:lang w:val="en-US" w:eastAsia="zh-CN"/>
        </w:rPr>
      </w:pPr>
      <w:bookmarkStart w:id="385" w:name="heading_18"/>
      <w:r>
        <w:rPr>
          <w:rFonts w:hint="eastAsia" w:ascii="Times New Roman" w:hAnsi="Times New Roman" w:eastAsia="宋体" w:cs="Times New Roman"/>
          <w:b/>
          <w:bCs/>
          <w:sz w:val="21"/>
          <w:szCs w:val="20"/>
          <w:lang w:val="en-US" w:eastAsia="zh-CN"/>
        </w:rPr>
        <w:t>五、质保售后服务要求</w:t>
      </w:r>
      <w:bookmarkEnd w:id="385"/>
    </w:p>
    <w:p w14:paraId="40B75D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1. 主体钢结构按设计使用年限50年标准执行；屋面防水工程质保期不少于5年；装修饰面、地面铺装、栏杆、照明、给排水、防雷、消防附属设施质保期不少于2年。</w:t>
      </w:r>
    </w:p>
    <w:p w14:paraId="342BCE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2. 电梯设备质保期不少于2年，质保期内免费提供定期巡检、维保、故障维修、配件更换服务；接到故障报修后2小时内响应，24小时内到场处置。</w:t>
      </w:r>
    </w:p>
    <w:p w14:paraId="77C281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3. 所有配套电气、安防设备质保期不少于2年，质保期内非人为损坏免费维修、更换。</w:t>
      </w:r>
    </w:p>
    <w:p w14:paraId="20FBB2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4. 质保期满前完成一次全面设备及工程巡检，出具巡检报告，免费为学校后勤管理人员开展设备操作、日常运维培训。质保期满后，提供长期优惠维保服务及技术支持。</w:t>
      </w:r>
    </w:p>
    <w:p w14:paraId="6EB8010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Times New Roman" w:hAnsi="Times New Roman" w:eastAsia="宋体" w:cs="Times New Roman"/>
          <w:b/>
          <w:bCs/>
          <w:sz w:val="21"/>
          <w:szCs w:val="20"/>
          <w:lang w:val="en-US" w:eastAsia="zh-CN"/>
        </w:rPr>
      </w:pPr>
      <w:bookmarkStart w:id="386" w:name="heading_19"/>
      <w:r>
        <w:rPr>
          <w:rFonts w:hint="eastAsia" w:ascii="Times New Roman" w:hAnsi="Times New Roman" w:eastAsia="宋体" w:cs="Times New Roman"/>
          <w:b/>
          <w:bCs/>
          <w:sz w:val="21"/>
          <w:szCs w:val="20"/>
          <w:lang w:val="en-US" w:eastAsia="zh-CN"/>
        </w:rPr>
        <w:t>六、商务及其他要求</w:t>
      </w:r>
      <w:bookmarkEnd w:id="386"/>
    </w:p>
    <w:p w14:paraId="65656B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 </w:t>
      </w:r>
      <w:r>
        <w:rPr>
          <w:rFonts w:hint="eastAsia" w:ascii="宋体" w:hAnsi="宋体"/>
          <w:b/>
          <w:bCs/>
          <w:color w:val="auto"/>
          <w:sz w:val="21"/>
          <w:szCs w:val="21"/>
          <w:highlight w:val="none"/>
        </w:rPr>
        <w:t>本项目</w:t>
      </w:r>
      <w:r>
        <w:rPr>
          <w:rFonts w:hint="eastAsia" w:ascii="宋体" w:hAnsi="宋体"/>
          <w:b/>
          <w:bCs/>
          <w:color w:val="auto"/>
          <w:sz w:val="21"/>
          <w:szCs w:val="21"/>
          <w:highlight w:val="none"/>
          <w:lang w:val="en-US" w:eastAsia="zh-CN"/>
        </w:rPr>
        <w:t>不组织踏勘</w:t>
      </w:r>
      <w:r>
        <w:rPr>
          <w:rFonts w:hint="eastAsia" w:ascii="宋体" w:hAnsi="宋体"/>
          <w:b/>
          <w:bCs/>
          <w:color w:val="auto"/>
          <w:sz w:val="21"/>
          <w:szCs w:val="21"/>
          <w:highlight w:val="none"/>
        </w:rPr>
        <w:t>。</w:t>
      </w:r>
      <w:r>
        <w:rPr>
          <w:rFonts w:hint="eastAsia" w:ascii="宋体" w:hAnsi="宋体"/>
          <w:color w:val="auto"/>
          <w:sz w:val="21"/>
          <w:szCs w:val="21"/>
          <w:highlight w:val="none"/>
        </w:rPr>
        <w:t>如供应商需要现场踏勘的，需先跟采购单位进行对接，按采购单位的相关要求，征得采购单位同意后进行踏勘， 踏勘现场所发生的费用及其一切风险由供应商自行承担。</w:t>
      </w:r>
      <w:r>
        <w:rPr>
          <w:rFonts w:hint="eastAsia" w:ascii="宋体" w:hAnsi="宋体"/>
          <w:color w:val="auto"/>
          <w:sz w:val="21"/>
          <w:szCs w:val="21"/>
          <w:highlight w:val="none"/>
          <w:lang w:val="en-US" w:eastAsia="zh-CN"/>
        </w:rPr>
        <w:t>供应商应</w:t>
      </w:r>
      <w:r>
        <w:rPr>
          <w:rFonts w:hint="eastAsia" w:ascii="宋体" w:hAnsi="宋体" w:eastAsia="宋体" w:cs="Times New Roman"/>
          <w:color w:val="auto"/>
          <w:sz w:val="21"/>
          <w:szCs w:val="21"/>
          <w:highlight w:val="none"/>
          <w:lang w:val="en-US" w:eastAsia="zh-CN"/>
        </w:rPr>
        <w:t>充分熟知校园场地、建筑高差、管线布局、施工限制等现场条件，</w:t>
      </w:r>
      <w:r>
        <w:rPr>
          <w:rFonts w:hint="eastAsia" w:ascii="宋体" w:hAnsi="宋体" w:cs="Times New Roman"/>
          <w:color w:val="auto"/>
          <w:sz w:val="21"/>
          <w:szCs w:val="21"/>
          <w:highlight w:val="none"/>
          <w:lang w:val="en-US" w:eastAsia="zh-CN"/>
        </w:rPr>
        <w:t>成交</w:t>
      </w:r>
      <w:r>
        <w:rPr>
          <w:rFonts w:hint="eastAsia" w:ascii="宋体" w:hAnsi="宋体" w:eastAsia="宋体" w:cs="Times New Roman"/>
          <w:color w:val="auto"/>
          <w:sz w:val="21"/>
          <w:szCs w:val="21"/>
          <w:highlight w:val="none"/>
          <w:lang w:val="en-US" w:eastAsia="zh-CN"/>
        </w:rPr>
        <w:t>后不得以现场条件差异为由提出费用变更、工期顺延等诉求。</w:t>
      </w:r>
    </w:p>
    <w:p w14:paraId="3FDD29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2. 投标报价包含完成本项目一期全部建设内容的所有费用，涵盖人工、主材、辅材、设备采购、运输装卸、安装调试、专项检测、安全文明施工、围挡搭设、降噪降尘、垃圾清运、场地平整、绿化及原有设施复原、措施费、管理费、利润、规费、税金、验收备案、全套资料归档、质保维保、人员操作培训等全部费用。除建设单位书面盖章确认的正式设计变更外，成交人不得再以任何理由申请增加费用、顺延工期。</w:t>
      </w:r>
    </w:p>
    <w:p w14:paraId="08C41D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420" w:firstLineChars="0"/>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3. 成交人须严格服从建设单位、监理单位现场管理，严格遵守校园各项管理制度，规范施工流程，确保项目保质、保量、按期交付使用。</w:t>
      </w:r>
    </w:p>
    <w:p w14:paraId="2856D47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default" w:ascii="Times New Roman" w:hAnsi="Times New Roman" w:eastAsia="宋体" w:cs="Times New Roman"/>
          <w:b/>
          <w:bCs/>
          <w:sz w:val="21"/>
          <w:szCs w:val="20"/>
          <w:lang w:val="en-US" w:eastAsia="zh-CN"/>
        </w:rPr>
      </w:pPr>
      <w:r>
        <w:rPr>
          <w:rFonts w:hint="eastAsia" w:ascii="Times New Roman" w:hAnsi="Times New Roman" w:eastAsia="宋体" w:cs="Times New Roman"/>
          <w:b/>
          <w:bCs/>
          <w:sz w:val="21"/>
          <w:szCs w:val="20"/>
          <w:lang w:val="en-US" w:eastAsia="zh-CN"/>
        </w:rPr>
        <w:t>七、工程量清单：另册，详见附件。</w:t>
      </w:r>
    </w:p>
    <w:p w14:paraId="1A50FB9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Times New Roman" w:hAnsi="Times New Roman" w:eastAsia="宋体" w:cs="Times New Roman"/>
          <w:b/>
          <w:bCs/>
          <w:sz w:val="21"/>
          <w:szCs w:val="20"/>
          <w:lang w:val="en-US" w:eastAsia="zh-CN"/>
        </w:rPr>
      </w:pPr>
      <w:bookmarkStart w:id="387" w:name="_Hlk66174683"/>
      <w:r>
        <w:rPr>
          <w:rFonts w:hint="eastAsia" w:ascii="Times New Roman" w:hAnsi="Times New Roman" w:eastAsia="宋体" w:cs="Times New Roman"/>
          <w:b/>
          <w:bCs/>
          <w:sz w:val="21"/>
          <w:szCs w:val="20"/>
          <w:lang w:val="en-US" w:eastAsia="zh-CN"/>
        </w:rPr>
        <w:t>八、本项目中小企业划分标准所属行业：建筑业。</w:t>
      </w:r>
    </w:p>
    <w:bookmarkEnd w:id="387"/>
    <w:p w14:paraId="79C83993">
      <w:pPr>
        <w:tabs>
          <w:tab w:val="center" w:pos="4819"/>
        </w:tabs>
        <w:spacing w:line="360" w:lineRule="auto"/>
        <w:rPr>
          <w:rFonts w:ascii="宋体" w:hAnsi="宋体"/>
          <w:highlight w:val="none"/>
        </w:rPr>
      </w:pPr>
      <w:r>
        <w:rPr>
          <w:rFonts w:ascii="宋体" w:hAnsi="宋体"/>
          <w:bCs/>
          <w:color w:val="auto"/>
          <w:szCs w:val="21"/>
          <w:highlight w:val="none"/>
        </w:rPr>
        <w:br w:type="page"/>
      </w:r>
    </w:p>
    <w:p w14:paraId="514121B0">
      <w:pPr>
        <w:pStyle w:val="2"/>
        <w:spacing w:line="360" w:lineRule="auto"/>
        <w:rPr>
          <w:rFonts w:hint="eastAsia" w:hAnsi="宋体"/>
          <w:b/>
          <w:bCs/>
          <w:color w:val="auto"/>
          <w:sz w:val="36"/>
          <w:highlight w:val="none"/>
        </w:rPr>
      </w:pPr>
      <w:bookmarkStart w:id="388" w:name="_Toc3074"/>
      <w:r>
        <w:rPr>
          <w:rFonts w:hint="eastAsia" w:hAnsi="宋体"/>
          <w:b/>
          <w:bCs/>
          <w:color w:val="auto"/>
          <w:sz w:val="36"/>
          <w:highlight w:val="none"/>
        </w:rPr>
        <w:t>第六章 磋商程序及方法</w:t>
      </w:r>
      <w:bookmarkEnd w:id="379"/>
      <w:bookmarkEnd w:id="380"/>
      <w:bookmarkEnd w:id="388"/>
    </w:p>
    <w:p w14:paraId="09ED85AA">
      <w:pPr>
        <w:pStyle w:val="3"/>
        <w:spacing w:before="0" w:line="360" w:lineRule="auto"/>
        <w:jc w:val="center"/>
        <w:rPr>
          <w:rFonts w:ascii="宋体" w:hAnsi="宋体" w:eastAsia="宋体"/>
          <w:szCs w:val="32"/>
          <w:highlight w:val="none"/>
        </w:rPr>
      </w:pPr>
      <w:bookmarkStart w:id="389" w:name="_Toc427306821"/>
      <w:bookmarkStart w:id="390" w:name="_Toc427339196"/>
      <w:bookmarkStart w:id="391" w:name="_Toc86124093"/>
      <w:bookmarkStart w:id="392" w:name="_Toc348011981"/>
      <w:bookmarkStart w:id="393" w:name="_Toc373844202"/>
      <w:bookmarkStart w:id="394" w:name="_Toc24611"/>
      <w:bookmarkStart w:id="395" w:name="_Toc191374457"/>
      <w:r>
        <w:rPr>
          <w:rFonts w:ascii="宋体" w:hAnsi="宋体" w:eastAsia="宋体"/>
          <w:szCs w:val="32"/>
          <w:highlight w:val="none"/>
        </w:rPr>
        <w:t>磋商程序和方法前附表</w:t>
      </w:r>
      <w:bookmarkEnd w:id="389"/>
      <w:bookmarkEnd w:id="390"/>
      <w:bookmarkEnd w:id="391"/>
      <w:bookmarkEnd w:id="392"/>
      <w:bookmarkEnd w:id="393"/>
      <w:bookmarkEnd w:id="394"/>
      <w:bookmarkEnd w:id="395"/>
    </w:p>
    <w:tbl>
      <w:tblPr>
        <w:tblStyle w:val="41"/>
        <w:tblW w:w="9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146"/>
        <w:gridCol w:w="7"/>
        <w:gridCol w:w="1388"/>
        <w:gridCol w:w="142"/>
        <w:gridCol w:w="1345"/>
        <w:gridCol w:w="4847"/>
        <w:gridCol w:w="45"/>
      </w:tblGrid>
      <w:tr w14:paraId="1AF2B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00" w:type="dxa"/>
            <w:gridSpan w:val="3"/>
            <w:noWrap w:val="0"/>
            <w:vAlign w:val="center"/>
          </w:tcPr>
          <w:p w14:paraId="3EDFA0CA">
            <w:pPr>
              <w:spacing w:before="100" w:beforeAutospacing="1" w:after="100" w:afterAutospacing="1" w:line="360" w:lineRule="auto"/>
              <w:jc w:val="center"/>
              <w:rPr>
                <w:rFonts w:ascii="宋体" w:hAnsi="宋体"/>
                <w:b/>
                <w:szCs w:val="21"/>
                <w:highlight w:val="none"/>
              </w:rPr>
            </w:pPr>
            <w:r>
              <w:rPr>
                <w:rFonts w:ascii="宋体" w:hAnsi="宋体"/>
                <w:b/>
                <w:szCs w:val="21"/>
                <w:highlight w:val="none"/>
              </w:rPr>
              <w:t>条款号</w:t>
            </w:r>
          </w:p>
        </w:tc>
        <w:tc>
          <w:tcPr>
            <w:tcW w:w="1530" w:type="dxa"/>
            <w:gridSpan w:val="2"/>
            <w:noWrap w:val="0"/>
            <w:vAlign w:val="center"/>
          </w:tcPr>
          <w:p w14:paraId="11064A7D">
            <w:pPr>
              <w:spacing w:before="100" w:beforeAutospacing="1" w:after="100" w:afterAutospacing="1" w:line="360" w:lineRule="auto"/>
              <w:jc w:val="center"/>
              <w:rPr>
                <w:rFonts w:ascii="宋体" w:hAnsi="宋体"/>
                <w:b/>
                <w:szCs w:val="21"/>
                <w:highlight w:val="none"/>
              </w:rPr>
            </w:pPr>
            <w:r>
              <w:rPr>
                <w:rFonts w:ascii="宋体" w:hAnsi="宋体"/>
                <w:b/>
                <w:szCs w:val="21"/>
                <w:highlight w:val="none"/>
              </w:rPr>
              <w:t>审 查 内 容</w:t>
            </w:r>
          </w:p>
        </w:tc>
        <w:tc>
          <w:tcPr>
            <w:tcW w:w="6237" w:type="dxa"/>
            <w:gridSpan w:val="3"/>
            <w:noWrap w:val="0"/>
            <w:vAlign w:val="center"/>
          </w:tcPr>
          <w:p w14:paraId="2E86C805">
            <w:pPr>
              <w:spacing w:before="100" w:beforeAutospacing="1" w:after="100" w:afterAutospacing="1" w:line="360" w:lineRule="auto"/>
              <w:jc w:val="center"/>
              <w:rPr>
                <w:rFonts w:ascii="宋体" w:hAnsi="宋体"/>
                <w:b/>
                <w:szCs w:val="21"/>
                <w:highlight w:val="none"/>
              </w:rPr>
            </w:pPr>
            <w:r>
              <w:rPr>
                <w:rFonts w:ascii="宋体" w:hAnsi="宋体"/>
                <w:b/>
                <w:szCs w:val="21"/>
                <w:highlight w:val="none"/>
              </w:rPr>
              <w:t>审 查 标 准</w:t>
            </w:r>
          </w:p>
        </w:tc>
      </w:tr>
      <w:tr w14:paraId="6B61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947" w:type="dxa"/>
            <w:vMerge w:val="restart"/>
            <w:noWrap w:val="0"/>
            <w:vAlign w:val="center"/>
          </w:tcPr>
          <w:p w14:paraId="5DAD7E05">
            <w:pPr>
              <w:spacing w:before="100" w:beforeAutospacing="1" w:after="100" w:afterAutospacing="1" w:line="360"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4.2.1</w:t>
            </w:r>
          </w:p>
        </w:tc>
        <w:tc>
          <w:tcPr>
            <w:tcW w:w="1153" w:type="dxa"/>
            <w:gridSpan w:val="2"/>
            <w:vMerge w:val="restart"/>
            <w:noWrap w:val="0"/>
            <w:vAlign w:val="center"/>
          </w:tcPr>
          <w:p w14:paraId="74644DA0">
            <w:pPr>
              <w:spacing w:before="100" w:beforeAutospacing="1" w:after="100" w:afterAutospacing="1" w:line="360" w:lineRule="auto"/>
              <w:jc w:val="center"/>
              <w:rPr>
                <w:rFonts w:hint="eastAsia" w:ascii="宋体" w:hAnsi="宋体" w:eastAsia="宋体"/>
                <w:szCs w:val="21"/>
                <w:highlight w:val="none"/>
                <w:lang w:eastAsia="zh-CN"/>
              </w:rPr>
            </w:pPr>
            <w:r>
              <w:rPr>
                <w:rFonts w:hint="eastAsia" w:ascii="宋体" w:hAnsi="宋体"/>
                <w:szCs w:val="21"/>
                <w:highlight w:val="none"/>
                <w:lang w:eastAsia="zh-CN"/>
              </w:rPr>
              <w:t>实质性审查标准</w:t>
            </w:r>
          </w:p>
        </w:tc>
        <w:tc>
          <w:tcPr>
            <w:tcW w:w="1530" w:type="dxa"/>
            <w:gridSpan w:val="2"/>
            <w:noWrap w:val="0"/>
            <w:vAlign w:val="center"/>
          </w:tcPr>
          <w:p w14:paraId="709F657A">
            <w:pPr>
              <w:spacing w:line="240" w:lineRule="auto"/>
              <w:jc w:val="center"/>
              <w:rPr>
                <w:rFonts w:hint="eastAsia" w:ascii="宋体" w:hAnsi="宋体" w:eastAsia="宋体"/>
                <w:szCs w:val="21"/>
                <w:highlight w:val="none"/>
                <w:lang w:eastAsia="zh-CN"/>
              </w:rPr>
            </w:pPr>
            <w:r>
              <w:rPr>
                <w:rFonts w:ascii="宋体" w:hAnsi="宋体"/>
                <w:szCs w:val="21"/>
                <w:highlight w:val="none"/>
              </w:rPr>
              <w:t>资格</w:t>
            </w:r>
            <w:r>
              <w:rPr>
                <w:rFonts w:hint="eastAsia" w:ascii="宋体" w:hAnsi="宋体"/>
                <w:szCs w:val="21"/>
                <w:highlight w:val="none"/>
                <w:lang w:val="en-US" w:eastAsia="zh-CN"/>
              </w:rPr>
              <w:t>审查</w:t>
            </w:r>
          </w:p>
        </w:tc>
        <w:tc>
          <w:tcPr>
            <w:tcW w:w="6237" w:type="dxa"/>
            <w:gridSpan w:val="3"/>
            <w:noWrap w:val="0"/>
            <w:vAlign w:val="center"/>
          </w:tcPr>
          <w:p w14:paraId="51455B3A">
            <w:pPr>
              <w:spacing w:line="240" w:lineRule="auto"/>
              <w:rPr>
                <w:rFonts w:ascii="宋体" w:hAnsi="宋体"/>
                <w:szCs w:val="21"/>
                <w:highlight w:val="none"/>
              </w:rPr>
            </w:pPr>
            <w:r>
              <w:rPr>
                <w:rFonts w:ascii="宋体" w:hAnsi="宋体"/>
                <w:szCs w:val="21"/>
                <w:highlight w:val="none"/>
              </w:rPr>
              <w:t>符合第二章“供应</w:t>
            </w:r>
            <w:r>
              <w:rPr>
                <w:rFonts w:ascii="宋体" w:hAnsi="宋体" w:eastAsia="宋体" w:cs="Times New Roman"/>
                <w:szCs w:val="21"/>
                <w:highlight w:val="none"/>
              </w:rPr>
              <w:t>商</w:t>
            </w:r>
            <w:r>
              <w:rPr>
                <w:rFonts w:ascii="宋体" w:hAnsi="宋体"/>
                <w:szCs w:val="21"/>
                <w:highlight w:val="none"/>
              </w:rPr>
              <w:t>须知”第</w:t>
            </w:r>
            <w:r>
              <w:rPr>
                <w:rFonts w:hint="eastAsia" w:ascii="宋体" w:hAnsi="宋体"/>
                <w:szCs w:val="21"/>
                <w:highlight w:val="none"/>
              </w:rPr>
              <w:t>4</w:t>
            </w:r>
            <w:r>
              <w:rPr>
                <w:rFonts w:ascii="宋体" w:hAnsi="宋体"/>
                <w:szCs w:val="21"/>
                <w:highlight w:val="none"/>
              </w:rPr>
              <w:t>项规定</w:t>
            </w:r>
          </w:p>
        </w:tc>
      </w:tr>
      <w:tr w14:paraId="362AB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47" w:type="dxa"/>
            <w:vMerge w:val="continue"/>
            <w:noWrap w:val="0"/>
            <w:vAlign w:val="center"/>
          </w:tcPr>
          <w:p w14:paraId="79EEDB24">
            <w:pPr>
              <w:spacing w:before="100" w:beforeAutospacing="1" w:after="100" w:afterAutospacing="1" w:line="360" w:lineRule="auto"/>
              <w:jc w:val="center"/>
              <w:rPr>
                <w:rFonts w:ascii="宋体" w:hAnsi="宋体"/>
                <w:szCs w:val="21"/>
                <w:highlight w:val="none"/>
              </w:rPr>
            </w:pPr>
          </w:p>
        </w:tc>
        <w:tc>
          <w:tcPr>
            <w:tcW w:w="1153" w:type="dxa"/>
            <w:gridSpan w:val="2"/>
            <w:vMerge w:val="continue"/>
            <w:noWrap w:val="0"/>
            <w:vAlign w:val="center"/>
          </w:tcPr>
          <w:p w14:paraId="61B51ED8">
            <w:pPr>
              <w:spacing w:before="100" w:beforeAutospacing="1" w:after="100" w:afterAutospacing="1" w:line="360" w:lineRule="auto"/>
              <w:jc w:val="center"/>
              <w:rPr>
                <w:rFonts w:ascii="宋体" w:hAnsi="宋体"/>
                <w:szCs w:val="21"/>
                <w:highlight w:val="none"/>
              </w:rPr>
            </w:pPr>
          </w:p>
        </w:tc>
        <w:tc>
          <w:tcPr>
            <w:tcW w:w="1530" w:type="dxa"/>
            <w:gridSpan w:val="2"/>
            <w:vMerge w:val="restart"/>
            <w:noWrap w:val="0"/>
            <w:vAlign w:val="center"/>
          </w:tcPr>
          <w:p w14:paraId="589EE778">
            <w:pPr>
              <w:spacing w:line="240" w:lineRule="auto"/>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符合性审查</w:t>
            </w:r>
          </w:p>
        </w:tc>
        <w:tc>
          <w:tcPr>
            <w:tcW w:w="1345" w:type="dxa"/>
            <w:noWrap w:val="0"/>
            <w:vAlign w:val="center"/>
          </w:tcPr>
          <w:p w14:paraId="3711A435">
            <w:pPr>
              <w:spacing w:line="240" w:lineRule="auto"/>
              <w:jc w:val="center"/>
              <w:rPr>
                <w:rFonts w:ascii="宋体" w:hAnsi="宋体"/>
                <w:szCs w:val="21"/>
                <w:highlight w:val="none"/>
              </w:rPr>
            </w:pPr>
            <w:r>
              <w:rPr>
                <w:rFonts w:ascii="宋体" w:hAnsi="宋体"/>
                <w:szCs w:val="21"/>
                <w:highlight w:val="none"/>
              </w:rPr>
              <w:t>磋商保证金</w:t>
            </w:r>
          </w:p>
        </w:tc>
        <w:tc>
          <w:tcPr>
            <w:tcW w:w="4892" w:type="dxa"/>
            <w:gridSpan w:val="2"/>
            <w:noWrap w:val="0"/>
            <w:vAlign w:val="center"/>
          </w:tcPr>
          <w:p w14:paraId="65C6AE40">
            <w:pPr>
              <w:spacing w:line="240" w:lineRule="auto"/>
              <w:rPr>
                <w:rFonts w:ascii="宋体" w:hAnsi="宋体"/>
                <w:szCs w:val="21"/>
                <w:highlight w:val="none"/>
              </w:rPr>
            </w:pPr>
            <w:bookmarkStart w:id="396" w:name="OLE_LINK19"/>
            <w:r>
              <w:rPr>
                <w:rFonts w:ascii="宋体" w:hAnsi="宋体"/>
                <w:szCs w:val="21"/>
                <w:highlight w:val="none"/>
              </w:rPr>
              <w:t>符合第二章“供应商须知</w:t>
            </w:r>
            <w:r>
              <w:rPr>
                <w:rFonts w:hint="eastAsia" w:ascii="宋体" w:hAnsi="宋体"/>
                <w:szCs w:val="21"/>
                <w:highlight w:val="none"/>
              </w:rPr>
              <w:t>前附表</w:t>
            </w:r>
            <w:r>
              <w:rPr>
                <w:rFonts w:ascii="宋体" w:hAnsi="宋体"/>
                <w:szCs w:val="21"/>
                <w:highlight w:val="none"/>
              </w:rPr>
              <w:t>”第1</w:t>
            </w:r>
            <w:r>
              <w:rPr>
                <w:rFonts w:hint="eastAsia" w:ascii="宋体" w:hAnsi="宋体"/>
                <w:szCs w:val="21"/>
                <w:highlight w:val="none"/>
              </w:rPr>
              <w:t>5</w:t>
            </w:r>
            <w:r>
              <w:rPr>
                <w:rFonts w:ascii="宋体" w:hAnsi="宋体"/>
                <w:szCs w:val="21"/>
                <w:highlight w:val="none"/>
              </w:rPr>
              <w:t>项规定</w:t>
            </w:r>
            <w:bookmarkEnd w:id="396"/>
          </w:p>
        </w:tc>
      </w:tr>
      <w:tr w14:paraId="781F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947" w:type="dxa"/>
            <w:vMerge w:val="continue"/>
            <w:noWrap w:val="0"/>
            <w:vAlign w:val="center"/>
          </w:tcPr>
          <w:p w14:paraId="2C9DD774">
            <w:pPr>
              <w:spacing w:before="100" w:beforeAutospacing="1" w:after="100" w:afterAutospacing="1" w:line="360" w:lineRule="auto"/>
              <w:rPr>
                <w:rFonts w:ascii="宋体" w:hAnsi="宋体"/>
                <w:szCs w:val="21"/>
                <w:highlight w:val="none"/>
              </w:rPr>
            </w:pPr>
          </w:p>
        </w:tc>
        <w:tc>
          <w:tcPr>
            <w:tcW w:w="1153" w:type="dxa"/>
            <w:gridSpan w:val="2"/>
            <w:vMerge w:val="continue"/>
            <w:noWrap w:val="0"/>
            <w:vAlign w:val="center"/>
          </w:tcPr>
          <w:p w14:paraId="2F0956A8">
            <w:pPr>
              <w:spacing w:before="100" w:beforeAutospacing="1" w:after="100" w:afterAutospacing="1" w:line="360" w:lineRule="auto"/>
              <w:rPr>
                <w:rFonts w:ascii="宋体" w:hAnsi="宋体"/>
                <w:szCs w:val="21"/>
                <w:highlight w:val="none"/>
              </w:rPr>
            </w:pPr>
          </w:p>
        </w:tc>
        <w:tc>
          <w:tcPr>
            <w:tcW w:w="1530" w:type="dxa"/>
            <w:gridSpan w:val="2"/>
            <w:vMerge w:val="continue"/>
            <w:noWrap w:val="0"/>
            <w:vAlign w:val="center"/>
          </w:tcPr>
          <w:p w14:paraId="20B37AB3">
            <w:pPr>
              <w:spacing w:line="240" w:lineRule="auto"/>
              <w:jc w:val="center"/>
              <w:rPr>
                <w:rFonts w:hint="eastAsia" w:ascii="宋体" w:hAnsi="宋体"/>
                <w:szCs w:val="21"/>
                <w:highlight w:val="none"/>
              </w:rPr>
            </w:pPr>
          </w:p>
        </w:tc>
        <w:tc>
          <w:tcPr>
            <w:tcW w:w="1345" w:type="dxa"/>
            <w:noWrap w:val="0"/>
            <w:vAlign w:val="center"/>
          </w:tcPr>
          <w:p w14:paraId="4A9A231E">
            <w:pPr>
              <w:spacing w:line="240" w:lineRule="auto"/>
              <w:jc w:val="center"/>
              <w:rPr>
                <w:rFonts w:hint="eastAsia" w:ascii="宋体" w:hAnsi="宋体"/>
                <w:szCs w:val="21"/>
                <w:highlight w:val="none"/>
              </w:rPr>
            </w:pPr>
            <w:r>
              <w:rPr>
                <w:rFonts w:hint="eastAsia" w:ascii="宋体" w:hAnsi="宋体"/>
                <w:szCs w:val="21"/>
                <w:highlight w:val="none"/>
              </w:rPr>
              <w:t>响应文件</w:t>
            </w:r>
          </w:p>
        </w:tc>
        <w:tc>
          <w:tcPr>
            <w:tcW w:w="4892" w:type="dxa"/>
            <w:gridSpan w:val="2"/>
            <w:noWrap w:val="0"/>
            <w:vAlign w:val="center"/>
          </w:tcPr>
          <w:p w14:paraId="2B39495E">
            <w:pPr>
              <w:spacing w:line="240" w:lineRule="auto"/>
              <w:rPr>
                <w:rFonts w:hint="eastAsia" w:ascii="宋体" w:hAnsi="宋体"/>
                <w:szCs w:val="21"/>
                <w:highlight w:val="none"/>
                <w:lang w:eastAsia="zh-CN"/>
              </w:rPr>
            </w:pPr>
            <w:bookmarkStart w:id="397" w:name="OLE_LINK20"/>
            <w:r>
              <w:rPr>
                <w:rFonts w:hint="eastAsia" w:ascii="宋体" w:hAnsi="宋体"/>
                <w:szCs w:val="21"/>
                <w:highlight w:val="none"/>
              </w:rPr>
              <w:t>响应文件按采购文件要求进行编制、内容完整</w:t>
            </w:r>
            <w:r>
              <w:rPr>
                <w:rFonts w:hint="eastAsia" w:ascii="宋体" w:hAnsi="宋体"/>
                <w:szCs w:val="21"/>
                <w:highlight w:val="none"/>
                <w:lang w:eastAsia="zh-CN"/>
              </w:rPr>
              <w:t>。</w:t>
            </w:r>
          </w:p>
          <w:p w14:paraId="64EDD68D">
            <w:pPr>
              <w:spacing w:line="240" w:lineRule="auto"/>
              <w:rPr>
                <w:rFonts w:hint="eastAsia" w:ascii="宋体" w:hAnsi="宋体"/>
                <w:szCs w:val="21"/>
                <w:highlight w:val="none"/>
              </w:rPr>
            </w:pPr>
            <w:r>
              <w:rPr>
                <w:rFonts w:hint="eastAsia" w:ascii="宋体" w:hAnsi="宋体"/>
                <w:szCs w:val="21"/>
                <w:highlight w:val="none"/>
              </w:rPr>
              <w:t>按照要求签字、盖章</w:t>
            </w:r>
            <w:r>
              <w:rPr>
                <w:rFonts w:hint="eastAsia" w:ascii="宋体" w:hAnsi="宋体"/>
                <w:color w:val="auto"/>
                <w:szCs w:val="21"/>
                <w:highlight w:val="none"/>
              </w:rPr>
              <w:t>（仅针对★格式内容）</w:t>
            </w:r>
            <w:bookmarkEnd w:id="397"/>
          </w:p>
        </w:tc>
      </w:tr>
      <w:tr w14:paraId="580DF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47" w:type="dxa"/>
            <w:vMerge w:val="continue"/>
            <w:noWrap w:val="0"/>
            <w:vAlign w:val="center"/>
          </w:tcPr>
          <w:p w14:paraId="74116D99">
            <w:pPr>
              <w:spacing w:before="100" w:beforeAutospacing="1" w:after="100" w:afterAutospacing="1" w:line="360" w:lineRule="auto"/>
              <w:rPr>
                <w:rFonts w:ascii="宋体" w:hAnsi="宋体"/>
                <w:szCs w:val="21"/>
                <w:highlight w:val="none"/>
              </w:rPr>
            </w:pPr>
          </w:p>
        </w:tc>
        <w:tc>
          <w:tcPr>
            <w:tcW w:w="1153" w:type="dxa"/>
            <w:gridSpan w:val="2"/>
            <w:vMerge w:val="continue"/>
            <w:noWrap w:val="0"/>
            <w:vAlign w:val="center"/>
          </w:tcPr>
          <w:p w14:paraId="1490C397">
            <w:pPr>
              <w:spacing w:before="100" w:beforeAutospacing="1" w:after="100" w:afterAutospacing="1" w:line="360" w:lineRule="auto"/>
              <w:rPr>
                <w:rFonts w:ascii="宋体" w:hAnsi="宋体"/>
                <w:szCs w:val="21"/>
                <w:highlight w:val="none"/>
              </w:rPr>
            </w:pPr>
          </w:p>
        </w:tc>
        <w:tc>
          <w:tcPr>
            <w:tcW w:w="1530" w:type="dxa"/>
            <w:gridSpan w:val="2"/>
            <w:vMerge w:val="continue"/>
            <w:noWrap w:val="0"/>
            <w:vAlign w:val="center"/>
          </w:tcPr>
          <w:p w14:paraId="0A310ED2">
            <w:pPr>
              <w:spacing w:line="240" w:lineRule="auto"/>
              <w:jc w:val="center"/>
              <w:rPr>
                <w:rFonts w:hint="eastAsia" w:ascii="宋体" w:hAnsi="宋体"/>
                <w:szCs w:val="21"/>
                <w:highlight w:val="none"/>
              </w:rPr>
            </w:pPr>
          </w:p>
        </w:tc>
        <w:tc>
          <w:tcPr>
            <w:tcW w:w="1345" w:type="dxa"/>
            <w:noWrap w:val="0"/>
            <w:vAlign w:val="center"/>
          </w:tcPr>
          <w:p w14:paraId="44B3744E">
            <w:pPr>
              <w:spacing w:line="240"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磋商报价</w:t>
            </w:r>
          </w:p>
        </w:tc>
        <w:tc>
          <w:tcPr>
            <w:tcW w:w="4892" w:type="dxa"/>
            <w:gridSpan w:val="2"/>
            <w:noWrap w:val="0"/>
            <w:vAlign w:val="center"/>
          </w:tcPr>
          <w:p w14:paraId="496DD3CA">
            <w:pPr>
              <w:spacing w:line="24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报价完整、</w:t>
            </w:r>
            <w:r>
              <w:rPr>
                <w:rFonts w:hint="eastAsia" w:ascii="宋体" w:hAnsi="宋体" w:eastAsia="宋体" w:cs="Times New Roman"/>
                <w:szCs w:val="21"/>
                <w:highlight w:val="none"/>
              </w:rPr>
              <w:t>只有一个磋商报价且未超过项目最高限价及公布的</w:t>
            </w:r>
            <w:r>
              <w:rPr>
                <w:rFonts w:hint="eastAsia" w:ascii="宋体" w:hAnsi="宋体" w:eastAsia="宋体" w:cs="Times New Roman"/>
                <w:szCs w:val="21"/>
                <w:highlight w:val="none"/>
                <w:lang w:eastAsia="zh-CN"/>
              </w:rPr>
              <w:t>《最高投标限价公布表》</w:t>
            </w:r>
            <w:r>
              <w:rPr>
                <w:rFonts w:hint="eastAsia" w:ascii="宋体" w:hAnsi="宋体" w:eastAsia="宋体" w:cs="Times New Roman"/>
                <w:szCs w:val="21"/>
                <w:highlight w:val="none"/>
              </w:rPr>
              <w:t>中的任何一项</w:t>
            </w:r>
          </w:p>
        </w:tc>
      </w:tr>
      <w:tr w14:paraId="56CEB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947" w:type="dxa"/>
            <w:vMerge w:val="continue"/>
            <w:noWrap w:val="0"/>
            <w:vAlign w:val="center"/>
          </w:tcPr>
          <w:p w14:paraId="78160686">
            <w:pPr>
              <w:spacing w:before="100" w:beforeAutospacing="1" w:after="100" w:afterAutospacing="1" w:line="360" w:lineRule="auto"/>
              <w:rPr>
                <w:rFonts w:ascii="宋体" w:hAnsi="宋体"/>
                <w:szCs w:val="21"/>
                <w:highlight w:val="none"/>
              </w:rPr>
            </w:pPr>
          </w:p>
        </w:tc>
        <w:tc>
          <w:tcPr>
            <w:tcW w:w="1153" w:type="dxa"/>
            <w:gridSpan w:val="2"/>
            <w:vMerge w:val="continue"/>
            <w:noWrap w:val="0"/>
            <w:vAlign w:val="center"/>
          </w:tcPr>
          <w:p w14:paraId="1773BB40">
            <w:pPr>
              <w:spacing w:before="100" w:beforeAutospacing="1" w:after="100" w:afterAutospacing="1" w:line="360" w:lineRule="auto"/>
              <w:rPr>
                <w:rFonts w:ascii="宋体" w:hAnsi="宋体"/>
                <w:szCs w:val="21"/>
                <w:highlight w:val="none"/>
              </w:rPr>
            </w:pPr>
          </w:p>
        </w:tc>
        <w:tc>
          <w:tcPr>
            <w:tcW w:w="1530" w:type="dxa"/>
            <w:gridSpan w:val="2"/>
            <w:vMerge w:val="continue"/>
            <w:noWrap w:val="0"/>
            <w:vAlign w:val="center"/>
          </w:tcPr>
          <w:p w14:paraId="484C9FD9">
            <w:pPr>
              <w:spacing w:line="240" w:lineRule="auto"/>
              <w:jc w:val="center"/>
              <w:rPr>
                <w:rFonts w:hint="eastAsia" w:ascii="宋体" w:hAnsi="宋体"/>
                <w:szCs w:val="21"/>
                <w:highlight w:val="none"/>
              </w:rPr>
            </w:pPr>
          </w:p>
        </w:tc>
        <w:tc>
          <w:tcPr>
            <w:tcW w:w="1345" w:type="dxa"/>
            <w:noWrap w:val="0"/>
            <w:vAlign w:val="center"/>
          </w:tcPr>
          <w:p w14:paraId="7ED1D5F0">
            <w:pPr>
              <w:spacing w:line="240" w:lineRule="auto"/>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工程量清单</w:t>
            </w:r>
          </w:p>
        </w:tc>
        <w:tc>
          <w:tcPr>
            <w:tcW w:w="4892" w:type="dxa"/>
            <w:gridSpan w:val="2"/>
            <w:noWrap w:val="0"/>
            <w:vAlign w:val="center"/>
          </w:tcPr>
          <w:p w14:paraId="7C8324B2">
            <w:pPr>
              <w:spacing w:line="240" w:lineRule="auto"/>
              <w:rPr>
                <w:rFonts w:hint="eastAsia" w:ascii="宋体" w:hAnsi="宋体" w:eastAsia="宋体" w:cs="Times New Roman"/>
                <w:szCs w:val="21"/>
                <w:highlight w:val="none"/>
              </w:rPr>
            </w:pPr>
            <w:r>
              <w:rPr>
                <w:rFonts w:hint="eastAsia" w:ascii="宋体" w:hAnsi="宋体" w:eastAsia="宋体" w:cs="Times New Roman"/>
                <w:szCs w:val="21"/>
                <w:highlight w:val="none"/>
              </w:rPr>
              <w:t>符合第五章“工程量清单”给出的</w:t>
            </w:r>
            <w:r>
              <w:rPr>
                <w:rFonts w:hint="eastAsia" w:ascii="宋体" w:hAnsi="宋体" w:eastAsia="宋体" w:cs="Times New Roman"/>
                <w:szCs w:val="21"/>
                <w:highlight w:val="none"/>
                <w:lang w:val="en-US" w:eastAsia="zh-CN"/>
              </w:rPr>
              <w:t>项目</w:t>
            </w:r>
            <w:r>
              <w:rPr>
                <w:rFonts w:hint="eastAsia" w:ascii="宋体" w:hAnsi="宋体" w:eastAsia="宋体" w:cs="Times New Roman"/>
                <w:szCs w:val="21"/>
                <w:highlight w:val="none"/>
              </w:rPr>
              <w:t>编码、</w:t>
            </w:r>
            <w:r>
              <w:rPr>
                <w:rFonts w:hint="eastAsia" w:ascii="宋体" w:hAnsi="宋体" w:eastAsia="宋体" w:cs="Times New Roman"/>
                <w:szCs w:val="21"/>
                <w:highlight w:val="none"/>
                <w:lang w:val="en-US" w:eastAsia="zh-CN"/>
              </w:rPr>
              <w:t>项目</w:t>
            </w:r>
            <w:r>
              <w:rPr>
                <w:rFonts w:hint="eastAsia" w:ascii="宋体" w:hAnsi="宋体" w:eastAsia="宋体" w:cs="Times New Roman"/>
                <w:szCs w:val="21"/>
                <w:highlight w:val="none"/>
              </w:rPr>
              <w:t>名称、</w:t>
            </w:r>
            <w:r>
              <w:rPr>
                <w:rFonts w:hint="eastAsia" w:ascii="宋体" w:hAnsi="宋体" w:eastAsia="宋体" w:cs="Times New Roman"/>
                <w:szCs w:val="21"/>
                <w:highlight w:val="none"/>
                <w:lang w:val="en-US" w:eastAsia="zh-CN"/>
              </w:rPr>
              <w:t>项目</w:t>
            </w:r>
            <w:r>
              <w:rPr>
                <w:rFonts w:hint="eastAsia" w:ascii="宋体" w:hAnsi="宋体" w:eastAsia="宋体" w:cs="Times New Roman"/>
                <w:szCs w:val="21"/>
                <w:highlight w:val="none"/>
              </w:rPr>
              <w:t>特征、计量单位和工程量，工程量清单报价完整，不存在有漏项、缺项</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并在应签字盖章处</w:t>
            </w:r>
            <w:r>
              <w:rPr>
                <w:rFonts w:hint="eastAsia" w:ascii="宋体" w:hAnsi="宋体" w:eastAsia="宋体" w:cs="Times New Roman"/>
                <w:szCs w:val="21"/>
                <w:highlight w:val="none"/>
              </w:rPr>
              <w:t>签字、盖章。</w:t>
            </w:r>
          </w:p>
        </w:tc>
      </w:tr>
      <w:tr w14:paraId="4040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947" w:type="dxa"/>
            <w:vMerge w:val="continue"/>
            <w:noWrap w:val="0"/>
            <w:vAlign w:val="center"/>
          </w:tcPr>
          <w:p w14:paraId="167E43D7">
            <w:pPr>
              <w:spacing w:before="100" w:beforeAutospacing="1" w:after="100" w:afterAutospacing="1" w:line="360" w:lineRule="auto"/>
              <w:rPr>
                <w:rFonts w:ascii="宋体" w:hAnsi="宋体"/>
                <w:szCs w:val="21"/>
                <w:highlight w:val="none"/>
              </w:rPr>
            </w:pPr>
          </w:p>
        </w:tc>
        <w:tc>
          <w:tcPr>
            <w:tcW w:w="1153" w:type="dxa"/>
            <w:gridSpan w:val="2"/>
            <w:vMerge w:val="continue"/>
            <w:noWrap w:val="0"/>
            <w:vAlign w:val="center"/>
          </w:tcPr>
          <w:p w14:paraId="40590B0D">
            <w:pPr>
              <w:spacing w:before="100" w:beforeAutospacing="1" w:after="100" w:afterAutospacing="1" w:line="360" w:lineRule="auto"/>
              <w:rPr>
                <w:rFonts w:ascii="宋体" w:hAnsi="宋体"/>
                <w:szCs w:val="21"/>
                <w:highlight w:val="none"/>
              </w:rPr>
            </w:pPr>
          </w:p>
        </w:tc>
        <w:tc>
          <w:tcPr>
            <w:tcW w:w="1530" w:type="dxa"/>
            <w:gridSpan w:val="2"/>
            <w:vMerge w:val="continue"/>
            <w:noWrap w:val="0"/>
            <w:vAlign w:val="center"/>
          </w:tcPr>
          <w:p w14:paraId="7C9936E4">
            <w:pPr>
              <w:spacing w:line="240" w:lineRule="auto"/>
              <w:jc w:val="center"/>
              <w:rPr>
                <w:rFonts w:hint="eastAsia" w:ascii="宋体" w:hAnsi="宋体"/>
                <w:szCs w:val="21"/>
                <w:highlight w:val="none"/>
              </w:rPr>
            </w:pPr>
          </w:p>
        </w:tc>
        <w:tc>
          <w:tcPr>
            <w:tcW w:w="1345" w:type="dxa"/>
            <w:noWrap w:val="0"/>
            <w:vAlign w:val="center"/>
          </w:tcPr>
          <w:p w14:paraId="4E39F4B9">
            <w:pPr>
              <w:spacing w:line="240" w:lineRule="auto"/>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暂估价、暂列金</w:t>
            </w:r>
          </w:p>
        </w:tc>
        <w:tc>
          <w:tcPr>
            <w:tcW w:w="4892" w:type="dxa"/>
            <w:gridSpan w:val="2"/>
            <w:noWrap w:val="0"/>
            <w:vAlign w:val="center"/>
          </w:tcPr>
          <w:p w14:paraId="5E741B65">
            <w:pPr>
              <w:spacing w:line="240" w:lineRule="auto"/>
              <w:rPr>
                <w:rFonts w:hint="eastAsia" w:ascii="宋体" w:hAnsi="宋体" w:eastAsia="宋体" w:cs="Times New Roman"/>
                <w:szCs w:val="21"/>
                <w:highlight w:val="none"/>
              </w:rPr>
            </w:pPr>
            <w:r>
              <w:rPr>
                <w:rFonts w:hint="eastAsia" w:ascii="宋体" w:hAnsi="宋体" w:eastAsia="宋体" w:cs="Times New Roman"/>
                <w:szCs w:val="21"/>
                <w:highlight w:val="none"/>
              </w:rPr>
              <w:t>工程量清单中设有暂估价、暂列金的，供应商已标价工程量清单应按采购人规定的金额计入报价</w:t>
            </w:r>
          </w:p>
        </w:tc>
      </w:tr>
      <w:tr w14:paraId="4E4E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jc w:val="center"/>
        </w:trPr>
        <w:tc>
          <w:tcPr>
            <w:tcW w:w="947" w:type="dxa"/>
            <w:vMerge w:val="continue"/>
            <w:noWrap w:val="0"/>
            <w:vAlign w:val="center"/>
          </w:tcPr>
          <w:p w14:paraId="6CE12BD5">
            <w:pPr>
              <w:spacing w:before="100" w:beforeAutospacing="1" w:after="100" w:afterAutospacing="1" w:line="360" w:lineRule="auto"/>
              <w:rPr>
                <w:rFonts w:ascii="宋体" w:hAnsi="宋体"/>
                <w:szCs w:val="21"/>
                <w:highlight w:val="none"/>
              </w:rPr>
            </w:pPr>
          </w:p>
        </w:tc>
        <w:tc>
          <w:tcPr>
            <w:tcW w:w="1153" w:type="dxa"/>
            <w:gridSpan w:val="2"/>
            <w:vMerge w:val="continue"/>
            <w:noWrap w:val="0"/>
            <w:vAlign w:val="center"/>
          </w:tcPr>
          <w:p w14:paraId="5A6A9DC6">
            <w:pPr>
              <w:spacing w:before="100" w:beforeAutospacing="1" w:after="100" w:afterAutospacing="1" w:line="360" w:lineRule="auto"/>
              <w:rPr>
                <w:rFonts w:ascii="宋体" w:hAnsi="宋体"/>
                <w:szCs w:val="21"/>
                <w:highlight w:val="none"/>
              </w:rPr>
            </w:pPr>
          </w:p>
        </w:tc>
        <w:tc>
          <w:tcPr>
            <w:tcW w:w="1530" w:type="dxa"/>
            <w:gridSpan w:val="2"/>
            <w:vMerge w:val="continue"/>
            <w:noWrap w:val="0"/>
            <w:vAlign w:val="center"/>
          </w:tcPr>
          <w:p w14:paraId="6C27FE2D">
            <w:pPr>
              <w:spacing w:line="240" w:lineRule="auto"/>
              <w:jc w:val="center"/>
              <w:rPr>
                <w:rFonts w:hint="eastAsia" w:ascii="宋体" w:hAnsi="宋体"/>
                <w:szCs w:val="21"/>
                <w:highlight w:val="none"/>
              </w:rPr>
            </w:pPr>
          </w:p>
        </w:tc>
        <w:tc>
          <w:tcPr>
            <w:tcW w:w="1345" w:type="dxa"/>
            <w:noWrap w:val="0"/>
            <w:vAlign w:val="center"/>
          </w:tcPr>
          <w:p w14:paraId="2DF21D76">
            <w:pPr>
              <w:spacing w:line="240" w:lineRule="auto"/>
              <w:jc w:val="center"/>
              <w:rPr>
                <w:rFonts w:hint="eastAsia" w:ascii="宋体" w:hAnsi="宋体"/>
                <w:szCs w:val="21"/>
                <w:highlight w:val="none"/>
              </w:rPr>
            </w:pPr>
            <w:r>
              <w:rPr>
                <w:rFonts w:hint="eastAsia" w:ascii="宋体" w:hAnsi="宋体"/>
                <w:szCs w:val="21"/>
                <w:highlight w:val="none"/>
              </w:rPr>
              <w:t>电梯安装实施方式（★）</w:t>
            </w:r>
          </w:p>
        </w:tc>
        <w:tc>
          <w:tcPr>
            <w:tcW w:w="4892" w:type="dxa"/>
            <w:gridSpan w:val="2"/>
            <w:noWrap w:val="0"/>
            <w:vAlign w:val="center"/>
          </w:tcPr>
          <w:p w14:paraId="6510CD43">
            <w:pP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供应商已在响应文件中明确电梯安装工程的实施方式：拟自行实施的，提供了供应商自身的《中华人民共和国特种设备生产许可证》（电梯安装（含修理））；拟专业分包的，按格式载明了分包单位名称、资质并附证书扫描件，分包单位具备相应资质且未再次分包。未载明电梯安装实施方式，或其载明的实施单位不具备相应资质的，按未实质性响应磋商文件要求处理。</w:t>
            </w:r>
          </w:p>
        </w:tc>
      </w:tr>
      <w:tr w14:paraId="609A3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jc w:val="center"/>
        </w:trPr>
        <w:tc>
          <w:tcPr>
            <w:tcW w:w="947" w:type="dxa"/>
            <w:vMerge w:val="continue"/>
            <w:noWrap w:val="0"/>
            <w:vAlign w:val="center"/>
          </w:tcPr>
          <w:p w14:paraId="7383B085">
            <w:pPr>
              <w:spacing w:before="100" w:beforeAutospacing="1" w:after="100" w:afterAutospacing="1" w:line="360" w:lineRule="auto"/>
              <w:rPr>
                <w:rFonts w:ascii="宋体" w:hAnsi="宋体"/>
                <w:szCs w:val="21"/>
                <w:highlight w:val="none"/>
              </w:rPr>
            </w:pPr>
          </w:p>
        </w:tc>
        <w:tc>
          <w:tcPr>
            <w:tcW w:w="1153" w:type="dxa"/>
            <w:gridSpan w:val="2"/>
            <w:vMerge w:val="continue"/>
            <w:noWrap w:val="0"/>
            <w:vAlign w:val="center"/>
          </w:tcPr>
          <w:p w14:paraId="317637EB">
            <w:pPr>
              <w:spacing w:before="100" w:beforeAutospacing="1" w:after="100" w:afterAutospacing="1" w:line="360" w:lineRule="auto"/>
              <w:rPr>
                <w:rFonts w:ascii="宋体" w:hAnsi="宋体"/>
                <w:szCs w:val="21"/>
                <w:highlight w:val="none"/>
              </w:rPr>
            </w:pPr>
          </w:p>
        </w:tc>
        <w:tc>
          <w:tcPr>
            <w:tcW w:w="1530" w:type="dxa"/>
            <w:gridSpan w:val="2"/>
            <w:vMerge w:val="continue"/>
            <w:noWrap w:val="0"/>
            <w:vAlign w:val="center"/>
          </w:tcPr>
          <w:p w14:paraId="7B0C8FF4">
            <w:pPr>
              <w:spacing w:line="240" w:lineRule="auto"/>
              <w:jc w:val="center"/>
              <w:rPr>
                <w:rFonts w:hint="eastAsia" w:ascii="宋体" w:hAnsi="宋体"/>
                <w:szCs w:val="21"/>
                <w:highlight w:val="none"/>
              </w:rPr>
            </w:pPr>
          </w:p>
        </w:tc>
        <w:tc>
          <w:tcPr>
            <w:tcW w:w="1345" w:type="dxa"/>
            <w:noWrap w:val="0"/>
            <w:vAlign w:val="center"/>
          </w:tcPr>
          <w:p w14:paraId="7516C3E8">
            <w:pPr>
              <w:spacing w:line="240" w:lineRule="auto"/>
              <w:jc w:val="center"/>
              <w:rPr>
                <w:rFonts w:hint="eastAsia" w:ascii="宋体" w:hAnsi="宋体"/>
                <w:szCs w:val="21"/>
                <w:highlight w:val="none"/>
              </w:rPr>
            </w:pPr>
            <w:r>
              <w:rPr>
                <w:rFonts w:hint="eastAsia" w:ascii="宋体" w:hAnsi="宋体"/>
                <w:szCs w:val="21"/>
                <w:highlight w:val="none"/>
              </w:rPr>
              <w:t>其它实质性要求</w:t>
            </w:r>
          </w:p>
        </w:tc>
        <w:tc>
          <w:tcPr>
            <w:tcW w:w="4892" w:type="dxa"/>
            <w:gridSpan w:val="2"/>
            <w:noWrap w:val="0"/>
            <w:vAlign w:val="center"/>
          </w:tcPr>
          <w:p w14:paraId="6A06BC77">
            <w:pP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实质性响应磋商文件中标注★条款内容</w:t>
            </w:r>
            <w:r>
              <w:rPr>
                <w:rFonts w:hint="eastAsia" w:ascii="宋体" w:hAnsi="宋体" w:eastAsia="宋体" w:cs="Times New Roman"/>
                <w:szCs w:val="21"/>
                <w:highlight w:val="none"/>
                <w:lang w:eastAsia="zh-CN"/>
              </w:rPr>
              <w:t>；</w:t>
            </w:r>
          </w:p>
          <w:p w14:paraId="2193E885">
            <w:pP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响应文件中未</w:t>
            </w:r>
            <w:r>
              <w:rPr>
                <w:rFonts w:hint="eastAsia" w:ascii="宋体" w:hAnsi="宋体" w:eastAsia="宋体" w:cs="Times New Roman"/>
                <w:szCs w:val="21"/>
                <w:highlight w:val="none"/>
              </w:rPr>
              <w:t>含有采购人不能接受的附加条件</w:t>
            </w:r>
            <w:r>
              <w:rPr>
                <w:rFonts w:hint="eastAsia" w:ascii="宋体" w:hAnsi="宋体" w:eastAsia="宋体" w:cs="Times New Roman"/>
                <w:szCs w:val="21"/>
                <w:highlight w:val="none"/>
                <w:lang w:eastAsia="zh-CN"/>
              </w:rPr>
              <w:t>；</w:t>
            </w:r>
          </w:p>
          <w:p w14:paraId="5D399BDC">
            <w:pPr>
              <w:spacing w:line="24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未出现</w:t>
            </w:r>
            <w:r>
              <w:rPr>
                <w:rFonts w:hint="eastAsia" w:ascii="宋体" w:hAnsi="宋体" w:eastAsia="宋体" w:cs="Times New Roman"/>
                <w:szCs w:val="21"/>
                <w:highlight w:val="none"/>
              </w:rPr>
              <w:t>法律、法规和</w:t>
            </w:r>
            <w:r>
              <w:rPr>
                <w:rFonts w:hint="eastAsia" w:ascii="宋体" w:hAnsi="宋体" w:eastAsia="宋体" w:cs="Times New Roman"/>
                <w:szCs w:val="21"/>
                <w:highlight w:val="none"/>
                <w:lang w:val="en-US" w:eastAsia="zh-CN"/>
              </w:rPr>
              <w:t>采购</w:t>
            </w:r>
            <w:r>
              <w:rPr>
                <w:rFonts w:hint="eastAsia" w:ascii="宋体" w:hAnsi="宋体" w:eastAsia="宋体" w:cs="Times New Roman"/>
                <w:szCs w:val="21"/>
                <w:highlight w:val="none"/>
              </w:rPr>
              <w:t>文件规定的其他无效情形。</w:t>
            </w:r>
          </w:p>
        </w:tc>
      </w:tr>
      <w:tr w14:paraId="43E3D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657" w:hRule="atLeast"/>
          <w:jc w:val="center"/>
        </w:trPr>
        <w:tc>
          <w:tcPr>
            <w:tcW w:w="947" w:type="dxa"/>
            <w:noWrap w:val="0"/>
            <w:vAlign w:val="center"/>
          </w:tcPr>
          <w:p w14:paraId="0DA12751">
            <w:pPr>
              <w:spacing w:before="100" w:beforeAutospacing="1" w:after="100" w:afterAutospacing="1" w:line="360" w:lineRule="auto"/>
              <w:jc w:val="center"/>
              <w:rPr>
                <w:rFonts w:hint="eastAsia" w:ascii="宋体" w:hAnsi="宋体" w:eastAsia="宋体" w:cs="宋体"/>
                <w:szCs w:val="21"/>
                <w:highlight w:val="none"/>
                <w:lang w:val="en-US" w:eastAsia="zh-CN"/>
              </w:rPr>
            </w:pPr>
            <w:bookmarkStart w:id="398" w:name="_Hlk66174725"/>
            <w:bookmarkStart w:id="399" w:name="_Toc86124094"/>
            <w:bookmarkStart w:id="400" w:name="_Toc348011982"/>
            <w:bookmarkStart w:id="401" w:name="_Toc427306822"/>
            <w:bookmarkStart w:id="402" w:name="_Toc347849269"/>
            <w:bookmarkStart w:id="403" w:name="_Toc373844203"/>
            <w:r>
              <w:rPr>
                <w:rFonts w:hint="eastAsia" w:ascii="宋体" w:hAnsi="宋体" w:eastAsia="宋体" w:cs="宋体"/>
                <w:szCs w:val="21"/>
                <w:highlight w:val="none"/>
                <w:lang w:val="en-US" w:eastAsia="zh-CN"/>
              </w:rPr>
              <w:t>4.2.2</w:t>
            </w:r>
          </w:p>
        </w:tc>
        <w:tc>
          <w:tcPr>
            <w:tcW w:w="1146" w:type="dxa"/>
            <w:noWrap w:val="0"/>
            <w:vAlign w:val="center"/>
          </w:tcPr>
          <w:p w14:paraId="2CB264B9">
            <w:pPr>
              <w:spacing w:before="100" w:beforeAutospacing="1" w:after="100" w:afterAutospacing="1" w:line="360" w:lineRule="auto"/>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详细评审标准</w:t>
            </w:r>
          </w:p>
        </w:tc>
        <w:tc>
          <w:tcPr>
            <w:tcW w:w="7729" w:type="dxa"/>
            <w:gridSpan w:val="5"/>
            <w:noWrap w:val="0"/>
            <w:vAlign w:val="center"/>
          </w:tcPr>
          <w:p w14:paraId="68F60E57">
            <w:pPr>
              <w:spacing w:line="360" w:lineRule="auto"/>
              <w:rPr>
                <w:rFonts w:hint="default"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val="en-US" w:eastAsia="zh-CN"/>
              </w:rPr>
              <w:t>综合评分法</w:t>
            </w:r>
          </w:p>
        </w:tc>
      </w:tr>
      <w:tr w14:paraId="22E80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481" w:hRule="atLeast"/>
          <w:jc w:val="center"/>
        </w:trPr>
        <w:tc>
          <w:tcPr>
            <w:tcW w:w="2093" w:type="dxa"/>
            <w:gridSpan w:val="2"/>
            <w:noWrap w:val="0"/>
            <w:vAlign w:val="center"/>
          </w:tcPr>
          <w:p w14:paraId="1ECEF075">
            <w:pPr>
              <w:snapToGrid w:val="0"/>
              <w:jc w:val="center"/>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lang w:val="en-US" w:eastAsia="zh-CN"/>
              </w:rPr>
              <w:t>评审项目</w:t>
            </w:r>
          </w:p>
        </w:tc>
        <w:tc>
          <w:tcPr>
            <w:tcW w:w="7729" w:type="dxa"/>
            <w:gridSpan w:val="5"/>
            <w:noWrap w:val="0"/>
            <w:vAlign w:val="center"/>
          </w:tcPr>
          <w:p w14:paraId="5FC8FFEB">
            <w:pPr>
              <w:snapToGrid w:val="0"/>
              <w:jc w:val="center"/>
              <w:rPr>
                <w:b/>
                <w:bCs/>
                <w:caps/>
                <w:color w:val="FF0000"/>
                <w:highlight w:val="none"/>
              </w:rPr>
            </w:pPr>
            <w:r>
              <w:rPr>
                <w:b/>
                <w:szCs w:val="21"/>
                <w:highlight w:val="none"/>
              </w:rPr>
              <w:t>编列内容</w:t>
            </w:r>
          </w:p>
        </w:tc>
      </w:tr>
      <w:tr w14:paraId="43EE6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481" w:hRule="atLeast"/>
          <w:jc w:val="center"/>
        </w:trPr>
        <w:tc>
          <w:tcPr>
            <w:tcW w:w="2093" w:type="dxa"/>
            <w:gridSpan w:val="2"/>
            <w:noWrap w:val="0"/>
            <w:vAlign w:val="center"/>
          </w:tcPr>
          <w:p w14:paraId="25F1702E">
            <w:pPr>
              <w:numPr>
                <w:ilvl w:val="0"/>
                <w:numId w:val="0"/>
              </w:numPr>
              <w:spacing w:line="360" w:lineRule="auto"/>
              <w:jc w:val="center"/>
              <w:rPr>
                <w:b/>
                <w:bCs/>
                <w:caps/>
                <w:color w:val="auto"/>
                <w:highlight w:val="none"/>
              </w:rPr>
            </w:pPr>
            <w:r>
              <w:rPr>
                <w:rFonts w:hint="eastAsia" w:ascii="宋体" w:hAnsi="宋体" w:eastAsia="宋体" w:cs="Times New Roman"/>
                <w:b w:val="0"/>
                <w:bCs/>
                <w:color w:val="auto"/>
                <w:kern w:val="2"/>
                <w:sz w:val="21"/>
                <w:szCs w:val="21"/>
                <w:highlight w:val="none"/>
                <w:lang w:val="en-US" w:eastAsia="zh-CN" w:bidi="ar-SA"/>
              </w:rPr>
              <w:t>分值构成</w:t>
            </w:r>
          </w:p>
        </w:tc>
        <w:tc>
          <w:tcPr>
            <w:tcW w:w="7729" w:type="dxa"/>
            <w:gridSpan w:val="5"/>
            <w:noWrap w:val="0"/>
            <w:vAlign w:val="center"/>
          </w:tcPr>
          <w:p w14:paraId="38F15FE6">
            <w:pPr>
              <w:numPr>
                <w:ilvl w:val="0"/>
                <w:numId w:val="0"/>
              </w:numPr>
              <w:spacing w:line="360" w:lineRule="auto"/>
              <w:rPr>
                <w:rFonts w:hint="eastAsia" w:ascii="宋体" w:hAnsi="宋体" w:eastAsia="宋体" w:cs="Times New Roman"/>
                <w:b w:val="0"/>
                <w:bCs/>
                <w:color w:val="auto"/>
                <w:kern w:val="2"/>
                <w:sz w:val="21"/>
                <w:szCs w:val="21"/>
                <w:highlight w:val="none"/>
                <w:lang w:val="en-US" w:eastAsia="zh-CN" w:bidi="ar-SA"/>
              </w:rPr>
            </w:pPr>
            <w:r>
              <w:rPr>
                <w:rFonts w:hint="eastAsia" w:ascii="宋体" w:hAnsi="宋体" w:eastAsia="宋体" w:cs="Times New Roman"/>
                <w:b w:val="0"/>
                <w:bCs/>
                <w:color w:val="auto"/>
                <w:kern w:val="2"/>
                <w:sz w:val="21"/>
                <w:szCs w:val="21"/>
                <w:highlight w:val="none"/>
                <w:lang w:val="en-US" w:eastAsia="zh-CN" w:bidi="ar-SA"/>
              </w:rPr>
              <w:t>供应商的评审总得分（满分100分）＝F1＋F2</w:t>
            </w:r>
          </w:p>
          <w:p w14:paraId="48B97002">
            <w:pPr>
              <w:numPr>
                <w:ilvl w:val="0"/>
                <w:numId w:val="0"/>
              </w:numPr>
              <w:spacing w:line="360" w:lineRule="auto"/>
              <w:rPr>
                <w:rFonts w:hint="eastAsia" w:ascii="宋体" w:hAnsi="宋体" w:eastAsia="宋体" w:cs="Times New Roman"/>
                <w:b w:val="0"/>
                <w:bCs/>
                <w:color w:val="auto"/>
                <w:kern w:val="2"/>
                <w:sz w:val="21"/>
                <w:szCs w:val="21"/>
                <w:highlight w:val="none"/>
                <w:lang w:val="en-US" w:eastAsia="zh-CN" w:bidi="ar-SA"/>
              </w:rPr>
            </w:pPr>
            <w:r>
              <w:rPr>
                <w:rFonts w:hint="eastAsia" w:ascii="宋体" w:hAnsi="宋体" w:eastAsia="宋体" w:cs="Times New Roman"/>
                <w:b w:val="0"/>
                <w:bCs/>
                <w:color w:val="auto"/>
                <w:kern w:val="2"/>
                <w:sz w:val="21"/>
                <w:szCs w:val="21"/>
                <w:highlight w:val="none"/>
                <w:lang w:val="en-US" w:eastAsia="zh-CN" w:bidi="ar-SA"/>
              </w:rPr>
              <w:t>其中：F1、F2分别为商务技术部分、报价部分2项评分因素的汇总得分。</w:t>
            </w:r>
          </w:p>
          <w:p w14:paraId="4F6A474D">
            <w:pPr>
              <w:numPr>
                <w:ilvl w:val="0"/>
                <w:numId w:val="0"/>
              </w:numPr>
              <w:spacing w:line="360" w:lineRule="auto"/>
              <w:rPr>
                <w:rFonts w:hint="eastAsia" w:ascii="宋体" w:hAnsi="宋体" w:eastAsia="宋体" w:cs="Times New Roman"/>
                <w:b w:val="0"/>
                <w:bCs/>
                <w:color w:val="auto"/>
                <w:kern w:val="2"/>
                <w:sz w:val="21"/>
                <w:szCs w:val="21"/>
                <w:highlight w:val="none"/>
                <w:lang w:val="en-US" w:eastAsia="zh-CN" w:bidi="ar-SA"/>
              </w:rPr>
            </w:pPr>
            <w:r>
              <w:rPr>
                <w:rFonts w:hint="eastAsia" w:ascii="宋体" w:hAnsi="宋体" w:eastAsia="宋体" w:cs="Times New Roman"/>
                <w:b w:val="0"/>
                <w:bCs/>
                <w:color w:val="auto"/>
                <w:kern w:val="2"/>
                <w:sz w:val="21"/>
                <w:szCs w:val="21"/>
                <w:highlight w:val="none"/>
                <w:lang w:val="en-US" w:eastAsia="zh-CN" w:bidi="ar-SA"/>
              </w:rPr>
              <w:t>商务技术部分F1：</w:t>
            </w:r>
            <w:r>
              <w:rPr>
                <w:rFonts w:hint="eastAsia" w:ascii="宋体" w:hAnsi="宋体" w:cs="Times New Roman"/>
                <w:b w:val="0"/>
                <w:bCs/>
                <w:color w:val="auto"/>
                <w:kern w:val="2"/>
                <w:sz w:val="21"/>
                <w:szCs w:val="21"/>
                <w:highlight w:val="none"/>
                <w:lang w:val="en-US" w:eastAsia="zh-CN" w:bidi="ar-SA"/>
              </w:rPr>
              <w:t>80</w:t>
            </w:r>
            <w:r>
              <w:rPr>
                <w:rFonts w:hint="eastAsia" w:ascii="宋体" w:hAnsi="宋体" w:eastAsia="宋体" w:cs="Times New Roman"/>
                <w:b w:val="0"/>
                <w:bCs/>
                <w:color w:val="auto"/>
                <w:kern w:val="2"/>
                <w:sz w:val="21"/>
                <w:szCs w:val="21"/>
                <w:highlight w:val="none"/>
                <w:lang w:val="en-US" w:eastAsia="zh-CN" w:bidi="ar-SA"/>
              </w:rPr>
              <w:t>分</w:t>
            </w:r>
          </w:p>
          <w:p w14:paraId="64489CF9">
            <w:pPr>
              <w:numPr>
                <w:ilvl w:val="0"/>
                <w:numId w:val="0"/>
              </w:numPr>
              <w:spacing w:line="360" w:lineRule="auto"/>
              <w:rPr>
                <w:b/>
                <w:bCs/>
                <w:caps/>
                <w:color w:val="auto"/>
                <w:highlight w:val="none"/>
              </w:rPr>
            </w:pPr>
            <w:r>
              <w:rPr>
                <w:rFonts w:hint="eastAsia" w:ascii="宋体" w:hAnsi="宋体" w:eastAsia="宋体" w:cs="Times New Roman"/>
                <w:b w:val="0"/>
                <w:bCs/>
                <w:color w:val="auto"/>
                <w:kern w:val="2"/>
                <w:sz w:val="21"/>
                <w:szCs w:val="21"/>
                <w:highlight w:val="none"/>
                <w:lang w:val="en-US" w:eastAsia="zh-CN" w:bidi="ar-SA"/>
              </w:rPr>
              <w:t>报价部分F2：</w:t>
            </w:r>
            <w:r>
              <w:rPr>
                <w:rFonts w:hint="eastAsia" w:ascii="宋体" w:hAnsi="宋体" w:cs="Times New Roman"/>
                <w:b w:val="0"/>
                <w:bCs/>
                <w:color w:val="auto"/>
                <w:kern w:val="2"/>
                <w:sz w:val="21"/>
                <w:szCs w:val="21"/>
                <w:highlight w:val="none"/>
                <w:lang w:val="en-US" w:eastAsia="zh-CN" w:bidi="ar-SA"/>
              </w:rPr>
              <w:t>20</w:t>
            </w:r>
            <w:r>
              <w:rPr>
                <w:rFonts w:hint="eastAsia" w:ascii="宋体" w:hAnsi="宋体" w:eastAsia="宋体" w:cs="Times New Roman"/>
                <w:b w:val="0"/>
                <w:bCs/>
                <w:color w:val="auto"/>
                <w:kern w:val="2"/>
                <w:sz w:val="21"/>
                <w:szCs w:val="21"/>
                <w:highlight w:val="none"/>
                <w:lang w:val="en-US" w:eastAsia="zh-CN" w:bidi="ar-SA"/>
              </w:rPr>
              <w:t>分。</w:t>
            </w:r>
          </w:p>
        </w:tc>
      </w:tr>
      <w:tr w14:paraId="0AFF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481" w:hRule="atLeast"/>
          <w:jc w:val="center"/>
        </w:trPr>
        <w:tc>
          <w:tcPr>
            <w:tcW w:w="947" w:type="dxa"/>
            <w:vMerge w:val="restart"/>
            <w:noWrap w:val="0"/>
            <w:vAlign w:val="center"/>
          </w:tcPr>
          <w:p w14:paraId="7388907F">
            <w:pPr>
              <w:snapToGrid w:val="0"/>
              <w:spacing w:line="276" w:lineRule="auto"/>
              <w:jc w:val="center"/>
              <w:rPr>
                <w:rFonts w:hint="eastAsia" w:ascii="宋体" w:hAnsi="宋体" w:eastAsia="宋体" w:cs="宋体"/>
                <w:b/>
                <w:bCs w:val="0"/>
                <w:color w:val="auto"/>
                <w:szCs w:val="21"/>
                <w:highlight w:val="none"/>
                <w:lang w:eastAsia="zh-CN"/>
              </w:rPr>
            </w:pPr>
            <w:r>
              <w:rPr>
                <w:rFonts w:hint="eastAsia" w:ascii="宋体" w:hAnsi="宋体" w:eastAsia="宋体" w:cs="Times New Roman"/>
                <w:b/>
                <w:bCs w:val="0"/>
                <w:color w:val="auto"/>
                <w:kern w:val="2"/>
                <w:sz w:val="21"/>
                <w:szCs w:val="21"/>
                <w:highlight w:val="none"/>
                <w:lang w:val="en-US" w:eastAsia="zh-CN" w:bidi="ar-SA"/>
              </w:rPr>
              <w:t>商务技术部分F1</w:t>
            </w:r>
          </w:p>
        </w:tc>
        <w:tc>
          <w:tcPr>
            <w:tcW w:w="1146" w:type="dxa"/>
            <w:noWrap w:val="0"/>
            <w:vAlign w:val="center"/>
          </w:tcPr>
          <w:p w14:paraId="32E71DE9">
            <w:pPr>
              <w:snapToGrid w:val="0"/>
              <w:spacing w:line="276" w:lineRule="auto"/>
              <w:jc w:val="center"/>
              <w:rPr>
                <w:rFonts w:hint="eastAsia" w:ascii="宋体" w:hAnsi="宋体" w:cs="宋体"/>
                <w:b/>
                <w:bCs w:val="0"/>
                <w:color w:val="auto"/>
                <w:szCs w:val="24"/>
                <w:highlight w:val="none"/>
              </w:rPr>
            </w:pPr>
            <w:r>
              <w:rPr>
                <w:rFonts w:hint="eastAsia" w:ascii="宋体" w:hAnsi="宋体" w:cs="宋体"/>
                <w:b/>
                <w:bCs w:val="0"/>
                <w:color w:val="auto"/>
                <w:szCs w:val="21"/>
                <w:highlight w:val="none"/>
                <w:lang w:val="en-US" w:eastAsia="zh-CN"/>
              </w:rPr>
              <w:t>序号</w:t>
            </w:r>
          </w:p>
        </w:tc>
        <w:tc>
          <w:tcPr>
            <w:tcW w:w="1395" w:type="dxa"/>
            <w:gridSpan w:val="2"/>
            <w:noWrap w:val="0"/>
            <w:vAlign w:val="center"/>
          </w:tcPr>
          <w:p w14:paraId="763F6B93">
            <w:pPr>
              <w:snapToGrid w:val="0"/>
              <w:spacing w:line="276" w:lineRule="auto"/>
              <w:jc w:val="center"/>
              <w:rPr>
                <w:rFonts w:hint="eastAsia" w:ascii="宋体" w:hAnsi="宋体"/>
                <w:b w:val="0"/>
                <w:bCs/>
                <w:color w:val="auto"/>
                <w:szCs w:val="21"/>
                <w:highlight w:val="none"/>
              </w:rPr>
            </w:pPr>
            <w:r>
              <w:rPr>
                <w:b/>
                <w:bCs/>
                <w:caps/>
                <w:color w:val="auto"/>
                <w:highlight w:val="none"/>
              </w:rPr>
              <w:t>评审内容</w:t>
            </w:r>
          </w:p>
        </w:tc>
        <w:tc>
          <w:tcPr>
            <w:tcW w:w="6334" w:type="dxa"/>
            <w:gridSpan w:val="3"/>
            <w:noWrap w:val="0"/>
            <w:vAlign w:val="center"/>
          </w:tcPr>
          <w:p w14:paraId="56061CC9">
            <w:pPr>
              <w:snapToGrid w:val="0"/>
              <w:spacing w:line="276" w:lineRule="auto"/>
              <w:jc w:val="center"/>
              <w:rPr>
                <w:b/>
                <w:bCs/>
                <w:caps/>
                <w:color w:val="auto"/>
                <w:highlight w:val="none"/>
              </w:rPr>
            </w:pPr>
            <w:r>
              <w:rPr>
                <w:b/>
                <w:bCs/>
                <w:caps/>
                <w:color w:val="auto"/>
                <w:highlight w:val="none"/>
              </w:rPr>
              <w:t>评  审  标  准</w:t>
            </w:r>
          </w:p>
        </w:tc>
      </w:tr>
      <w:bookmarkEnd w:id="398"/>
      <w:tr w14:paraId="74A8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132" w:hRule="atLeast"/>
          <w:jc w:val="center"/>
        </w:trPr>
        <w:tc>
          <w:tcPr>
            <w:tcW w:w="947" w:type="dxa"/>
            <w:vMerge w:val="continue"/>
            <w:noWrap w:val="0"/>
            <w:vAlign w:val="center"/>
          </w:tcPr>
          <w:p w14:paraId="34ED1D52">
            <w:pPr>
              <w:spacing w:line="360" w:lineRule="auto"/>
              <w:rPr>
                <w:rFonts w:hint="eastAsia" w:ascii="宋体" w:hAnsi="宋体" w:eastAsia="宋体" w:cs="宋体"/>
                <w:color w:val="auto"/>
                <w:szCs w:val="21"/>
                <w:highlight w:val="none"/>
                <w:lang w:eastAsia="zh-CN"/>
              </w:rPr>
            </w:pPr>
          </w:p>
        </w:tc>
        <w:tc>
          <w:tcPr>
            <w:tcW w:w="1146" w:type="dxa"/>
            <w:noWrap w:val="0"/>
            <w:vAlign w:val="center"/>
          </w:tcPr>
          <w:p w14:paraId="5CC5F738">
            <w:pPr>
              <w:spacing w:line="360" w:lineRule="auto"/>
              <w:jc w:val="center"/>
              <w:rPr>
                <w:rFonts w:hint="eastAsia" w:ascii="宋体" w:hAnsi="宋体" w:eastAsia="宋体"/>
                <w:color w:val="auto"/>
                <w:szCs w:val="21"/>
                <w:highlight w:val="none"/>
                <w:lang w:eastAsia="zh-CN"/>
              </w:rPr>
            </w:pPr>
            <w:r>
              <w:rPr>
                <w:rFonts w:hint="eastAsia" w:ascii="宋体" w:hAnsi="宋体" w:cs="宋体"/>
                <w:color w:val="auto"/>
                <w:szCs w:val="21"/>
                <w:highlight w:val="none"/>
                <w:lang w:val="en-US" w:eastAsia="zh-CN"/>
              </w:rPr>
              <w:t>1</w:t>
            </w:r>
          </w:p>
        </w:tc>
        <w:tc>
          <w:tcPr>
            <w:tcW w:w="1395" w:type="dxa"/>
            <w:gridSpan w:val="2"/>
            <w:noWrap w:val="0"/>
            <w:vAlign w:val="center"/>
          </w:tcPr>
          <w:p w14:paraId="0AE7F079">
            <w:pPr>
              <w:spacing w:line="360" w:lineRule="auto"/>
              <w:rPr>
                <w:rFonts w:hint="eastAsia" w:ascii="宋体" w:hAnsi="宋体"/>
                <w:b/>
                <w:color w:val="auto"/>
                <w:szCs w:val="21"/>
                <w:highlight w:val="none"/>
              </w:rPr>
            </w:pPr>
            <w:r>
              <w:rPr>
                <w:rFonts w:hint="eastAsia" w:ascii="宋体" w:hAnsi="宋体" w:cs="宋体"/>
                <w:color w:val="auto"/>
                <w:szCs w:val="24"/>
                <w:highlight w:val="none"/>
              </w:rPr>
              <w:t>施工组织方案（满分</w:t>
            </w:r>
            <w:r>
              <w:rPr>
                <w:rFonts w:hint="eastAsia" w:ascii="宋体" w:hAnsi="宋体" w:cs="宋体"/>
                <w:color w:val="auto"/>
                <w:szCs w:val="24"/>
                <w:highlight w:val="none"/>
                <w:lang w:val="en-US" w:eastAsia="zh-CN"/>
              </w:rPr>
              <w:t>32</w:t>
            </w:r>
            <w:r>
              <w:rPr>
                <w:rFonts w:hint="eastAsia" w:ascii="宋体" w:hAnsi="宋体" w:cs="宋体"/>
                <w:color w:val="auto"/>
                <w:szCs w:val="24"/>
                <w:highlight w:val="none"/>
              </w:rPr>
              <w:t>分）</w:t>
            </w:r>
          </w:p>
        </w:tc>
        <w:tc>
          <w:tcPr>
            <w:tcW w:w="6334" w:type="dxa"/>
            <w:gridSpan w:val="3"/>
            <w:noWrap w:val="0"/>
            <w:vAlign w:val="top"/>
          </w:tcPr>
          <w:p w14:paraId="6A947F27">
            <w:pPr>
              <w:numPr>
                <w:ilvl w:val="0"/>
                <w:numId w:val="0"/>
              </w:numPr>
              <w:spacing w:line="360" w:lineRule="auto"/>
              <w:rPr>
                <w:rFonts w:hint="eastAsia" w:ascii="宋体" w:hAnsi="宋体"/>
                <w:b w:val="0"/>
                <w:bCs/>
                <w:color w:val="auto"/>
                <w:szCs w:val="21"/>
                <w:highlight w:val="none"/>
              </w:rPr>
            </w:pPr>
            <w:r>
              <w:rPr>
                <w:rFonts w:hint="eastAsia" w:ascii="宋体" w:hAnsi="宋体" w:eastAsia="宋体" w:cs="Times New Roman"/>
                <w:b w:val="0"/>
                <w:bCs/>
                <w:color w:val="auto"/>
                <w:kern w:val="2"/>
                <w:sz w:val="21"/>
                <w:szCs w:val="21"/>
                <w:highlight w:val="none"/>
                <w:lang w:val="en-US" w:eastAsia="zh-CN" w:bidi="ar-SA"/>
              </w:rPr>
              <w:t>1、</w:t>
            </w:r>
            <w:r>
              <w:rPr>
                <w:rFonts w:hint="eastAsia" w:ascii="宋体" w:hAnsi="宋体"/>
                <w:b w:val="0"/>
                <w:bCs/>
                <w:color w:val="auto"/>
                <w:szCs w:val="21"/>
                <w:highlight w:val="none"/>
              </w:rPr>
              <w:t>评审内容：</w:t>
            </w:r>
          </w:p>
          <w:p w14:paraId="61C6BEA8">
            <w:pPr>
              <w:spacing w:line="360" w:lineRule="auto"/>
              <w:rPr>
                <w:rFonts w:hint="eastAsia" w:ascii="宋体" w:hAnsi="宋体"/>
                <w:color w:val="auto"/>
                <w:szCs w:val="21"/>
                <w:highlight w:val="none"/>
              </w:rPr>
            </w:pPr>
            <w:r>
              <w:rPr>
                <w:rFonts w:hint="eastAsia" w:ascii="宋体" w:hAnsi="宋体"/>
                <w:b/>
                <w:bCs/>
                <w:color w:val="auto"/>
                <w:szCs w:val="21"/>
                <w:highlight w:val="none"/>
              </w:rPr>
              <w:t>（1）编制依据：</w:t>
            </w:r>
            <w:r>
              <w:rPr>
                <w:rFonts w:hint="eastAsia" w:ascii="宋体" w:hAnsi="宋体"/>
                <w:color w:val="auto"/>
                <w:szCs w:val="21"/>
                <w:highlight w:val="none"/>
              </w:rPr>
              <w:t>须按国家法律法规、地方规章制度、采购人的要求进行编制；</w:t>
            </w:r>
          </w:p>
          <w:p w14:paraId="02A12AC9">
            <w:pPr>
              <w:spacing w:line="360" w:lineRule="auto"/>
              <w:rPr>
                <w:rFonts w:hint="eastAsia" w:ascii="宋体" w:hAnsi="宋体"/>
                <w:color w:val="auto"/>
                <w:szCs w:val="21"/>
                <w:highlight w:val="none"/>
              </w:rPr>
            </w:pPr>
            <w:r>
              <w:rPr>
                <w:rFonts w:hint="eastAsia" w:ascii="宋体" w:hAnsi="宋体"/>
                <w:b/>
                <w:bCs/>
                <w:color w:val="auto"/>
                <w:szCs w:val="21"/>
                <w:highlight w:val="none"/>
              </w:rPr>
              <w:t>（2）工程概况：</w:t>
            </w:r>
            <w:r>
              <w:rPr>
                <w:rFonts w:hint="eastAsia" w:ascii="宋体" w:hAnsi="宋体"/>
                <w:color w:val="auto"/>
                <w:szCs w:val="21"/>
                <w:highlight w:val="none"/>
              </w:rPr>
              <w:t>依据采购人提供的工程量清单进行编制；</w:t>
            </w:r>
          </w:p>
          <w:p w14:paraId="138913DF">
            <w:pPr>
              <w:spacing w:line="360" w:lineRule="auto"/>
              <w:rPr>
                <w:rFonts w:hint="eastAsia" w:ascii="宋体" w:hAnsi="宋体"/>
                <w:color w:val="auto"/>
                <w:szCs w:val="21"/>
                <w:highlight w:val="none"/>
              </w:rPr>
            </w:pPr>
            <w:r>
              <w:rPr>
                <w:rFonts w:hint="eastAsia" w:ascii="宋体" w:hAnsi="宋体"/>
                <w:b/>
                <w:bCs/>
                <w:color w:val="auto"/>
                <w:szCs w:val="21"/>
                <w:highlight w:val="none"/>
              </w:rPr>
              <w:t>（3）施工部署：</w:t>
            </w:r>
            <w:r>
              <w:rPr>
                <w:rFonts w:hint="eastAsia" w:ascii="宋体" w:hAnsi="宋体"/>
                <w:color w:val="auto"/>
                <w:szCs w:val="21"/>
                <w:highlight w:val="none"/>
              </w:rPr>
              <w:t>至少包括各个施工阶段的任务、目标等内容；</w:t>
            </w:r>
          </w:p>
          <w:p w14:paraId="71C99651">
            <w:pP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rPr>
              <w:t>（4）施工准备</w:t>
            </w:r>
            <w:r>
              <w:rPr>
                <w:rFonts w:hint="eastAsia" w:ascii="宋体" w:hAnsi="宋体"/>
                <w:b/>
                <w:bCs/>
                <w:color w:val="auto"/>
                <w:szCs w:val="21"/>
                <w:highlight w:val="none"/>
                <w:lang w:eastAsia="zh-CN"/>
              </w:rPr>
              <w:t>：</w:t>
            </w:r>
            <w:r>
              <w:rPr>
                <w:rFonts w:hint="eastAsia" w:ascii="宋体" w:hAnsi="宋体"/>
                <w:color w:val="auto"/>
                <w:szCs w:val="21"/>
                <w:highlight w:val="none"/>
              </w:rPr>
              <w:t>至少包括</w:t>
            </w:r>
            <w:r>
              <w:rPr>
                <w:rFonts w:hint="eastAsia" w:ascii="宋体" w:hAnsi="宋体"/>
                <w:b w:val="0"/>
                <w:bCs w:val="0"/>
                <w:color w:val="auto"/>
                <w:szCs w:val="21"/>
                <w:highlight w:val="none"/>
                <w:lang w:val="en-US" w:eastAsia="zh-CN"/>
              </w:rPr>
              <w:t>技术准备、资源准备、现场准备、组织与管理准备等内容；</w:t>
            </w:r>
          </w:p>
          <w:p w14:paraId="34130BEB">
            <w:pPr>
              <w:spacing w:line="360" w:lineRule="auto"/>
              <w:rPr>
                <w:rFonts w:hint="eastAsia" w:ascii="宋体" w:hAnsi="宋体"/>
                <w:color w:val="auto"/>
                <w:szCs w:val="21"/>
                <w:highlight w:val="none"/>
              </w:rPr>
            </w:pP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5</w:t>
            </w:r>
            <w:r>
              <w:rPr>
                <w:rFonts w:hint="eastAsia" w:ascii="宋体" w:hAnsi="宋体"/>
                <w:b/>
                <w:bCs/>
                <w:color w:val="auto"/>
                <w:szCs w:val="21"/>
                <w:highlight w:val="none"/>
                <w:lang w:eastAsia="zh-CN"/>
              </w:rPr>
              <w:t>）</w:t>
            </w:r>
            <w:r>
              <w:rPr>
                <w:rFonts w:hint="eastAsia" w:ascii="宋体" w:hAnsi="宋体"/>
                <w:b/>
                <w:bCs/>
                <w:color w:val="auto"/>
                <w:szCs w:val="21"/>
                <w:highlight w:val="none"/>
              </w:rPr>
              <w:t>施工现场布置：</w:t>
            </w:r>
            <w:r>
              <w:rPr>
                <w:rFonts w:hint="eastAsia" w:ascii="宋体" w:hAnsi="宋体"/>
                <w:color w:val="auto"/>
                <w:szCs w:val="21"/>
                <w:highlight w:val="none"/>
              </w:rPr>
              <w:t>至少包括</w:t>
            </w:r>
            <w:r>
              <w:rPr>
                <w:rFonts w:hint="eastAsia" w:ascii="宋体" w:hAnsi="宋体"/>
                <w:color w:val="auto"/>
                <w:szCs w:val="21"/>
                <w:highlight w:val="none"/>
                <w:lang w:val="en-US" w:eastAsia="zh-CN"/>
              </w:rPr>
              <w:t>施工区域划分、临时设施布置、安全与环保布置</w:t>
            </w:r>
            <w:r>
              <w:rPr>
                <w:rFonts w:hint="eastAsia" w:ascii="宋体" w:hAnsi="宋体"/>
                <w:color w:val="auto"/>
                <w:szCs w:val="21"/>
                <w:highlight w:val="none"/>
              </w:rPr>
              <w:t>等内容；</w:t>
            </w:r>
          </w:p>
          <w:p w14:paraId="3963F3B5">
            <w:pPr>
              <w:spacing w:line="360" w:lineRule="auto"/>
              <w:rPr>
                <w:rFonts w:hint="eastAsia" w:ascii="宋体" w:hAnsi="宋体"/>
                <w:color w:val="auto"/>
                <w:szCs w:val="21"/>
                <w:highlight w:val="none"/>
              </w:rPr>
            </w:pPr>
            <w:r>
              <w:rPr>
                <w:rFonts w:hint="eastAsia" w:ascii="宋体" w:hAnsi="宋体"/>
                <w:b/>
                <w:bCs/>
                <w:color w:val="auto"/>
                <w:szCs w:val="21"/>
                <w:highlight w:val="none"/>
              </w:rPr>
              <w:t>（</w:t>
            </w:r>
            <w:r>
              <w:rPr>
                <w:rFonts w:hint="eastAsia" w:ascii="宋体" w:hAnsi="宋体"/>
                <w:b/>
                <w:bCs/>
                <w:color w:val="auto"/>
                <w:szCs w:val="21"/>
                <w:highlight w:val="none"/>
                <w:lang w:val="en-US" w:eastAsia="zh-CN"/>
              </w:rPr>
              <w:t>6</w:t>
            </w:r>
            <w:r>
              <w:rPr>
                <w:rFonts w:hint="eastAsia" w:ascii="宋体" w:hAnsi="宋体"/>
                <w:b/>
                <w:bCs/>
                <w:color w:val="auto"/>
                <w:szCs w:val="21"/>
                <w:highlight w:val="none"/>
              </w:rPr>
              <w:t>）主要分部工程施工方案及措施：</w:t>
            </w:r>
            <w:r>
              <w:rPr>
                <w:rFonts w:hint="eastAsia" w:ascii="宋体" w:hAnsi="宋体" w:eastAsia="宋体" w:cs="Times New Roman"/>
                <w:color w:val="auto"/>
                <w:kern w:val="2"/>
                <w:sz w:val="21"/>
                <w:szCs w:val="21"/>
                <w:highlight w:val="none"/>
                <w:lang w:val="en-US" w:eastAsia="zh-CN" w:bidi="ar-SA"/>
              </w:rPr>
              <w:t>至少包括连廊主体钢结构施工、屋面及装修、栏杆安装、照明消防防雷系统、电梯安装调试等方面内容</w:t>
            </w:r>
            <w:r>
              <w:rPr>
                <w:rFonts w:hint="eastAsia" w:ascii="宋体" w:hAnsi="宋体"/>
                <w:color w:val="auto"/>
                <w:szCs w:val="21"/>
                <w:highlight w:val="none"/>
              </w:rPr>
              <w:t>进行编制；</w:t>
            </w:r>
          </w:p>
          <w:p w14:paraId="4675EF14">
            <w:pPr>
              <w:spacing w:line="360" w:lineRule="auto"/>
              <w:rPr>
                <w:rFonts w:hint="default" w:ascii="宋体" w:hAnsi="宋体" w:eastAsia="宋体"/>
                <w:b w:val="0"/>
                <w:bCs w:val="0"/>
                <w:color w:val="auto"/>
                <w:szCs w:val="21"/>
                <w:highlight w:val="none"/>
                <w:lang w:val="en-US" w:eastAsia="zh-CN"/>
              </w:rPr>
            </w:pPr>
            <w:r>
              <w:rPr>
                <w:rFonts w:hint="eastAsia" w:ascii="宋体" w:hAnsi="宋体"/>
                <w:b/>
                <w:bCs/>
                <w:color w:val="auto"/>
                <w:szCs w:val="21"/>
                <w:highlight w:val="none"/>
              </w:rPr>
              <w:t>（</w:t>
            </w:r>
            <w:r>
              <w:rPr>
                <w:rFonts w:hint="eastAsia" w:ascii="宋体" w:hAnsi="宋体"/>
                <w:b/>
                <w:bCs/>
                <w:color w:val="auto"/>
                <w:szCs w:val="21"/>
                <w:highlight w:val="none"/>
                <w:lang w:val="en-US" w:eastAsia="zh-CN"/>
              </w:rPr>
              <w:t>7</w:t>
            </w:r>
            <w:r>
              <w:rPr>
                <w:rFonts w:hint="eastAsia" w:ascii="宋体" w:hAnsi="宋体"/>
                <w:b/>
                <w:bCs/>
                <w:color w:val="auto"/>
                <w:szCs w:val="21"/>
                <w:highlight w:val="none"/>
              </w:rPr>
              <w:t>）重点与特殊部位施工措施和方法</w:t>
            </w:r>
            <w:r>
              <w:rPr>
                <w:rFonts w:hint="eastAsia" w:ascii="宋体" w:hAnsi="宋体"/>
                <w:b/>
                <w:bCs/>
                <w:color w:val="auto"/>
                <w:szCs w:val="21"/>
                <w:highlight w:val="none"/>
                <w:lang w:eastAsia="zh-CN"/>
              </w:rPr>
              <w:t>：</w:t>
            </w:r>
            <w:r>
              <w:rPr>
                <w:rFonts w:hint="eastAsia" w:ascii="宋体" w:hAnsi="宋体"/>
                <w:color w:val="auto"/>
                <w:szCs w:val="21"/>
                <w:highlight w:val="none"/>
              </w:rPr>
              <w:t>至少包括</w:t>
            </w:r>
            <w:r>
              <w:rPr>
                <w:rFonts w:hint="eastAsia" w:ascii="宋体" w:hAnsi="宋体"/>
                <w:b w:val="0"/>
                <w:bCs w:val="0"/>
                <w:color w:val="auto"/>
                <w:szCs w:val="21"/>
                <w:highlight w:val="none"/>
              </w:rPr>
              <w:t>重点与特殊部位</w:t>
            </w:r>
            <w:r>
              <w:rPr>
                <w:rFonts w:hint="eastAsia" w:ascii="宋体" w:hAnsi="宋体"/>
                <w:b w:val="0"/>
                <w:bCs w:val="0"/>
                <w:color w:val="auto"/>
                <w:szCs w:val="21"/>
                <w:highlight w:val="none"/>
                <w:lang w:val="en-US" w:eastAsia="zh-CN"/>
              </w:rPr>
              <w:t>的风险分析、应急处理等内容；</w:t>
            </w:r>
          </w:p>
          <w:p w14:paraId="22A99B5C">
            <w:pPr>
              <w:spacing w:line="360" w:lineRule="auto"/>
              <w:rPr>
                <w:rFonts w:hint="eastAsia" w:ascii="宋体" w:hAnsi="宋体"/>
                <w:color w:val="auto"/>
                <w:szCs w:val="21"/>
                <w:highlight w:val="none"/>
              </w:rPr>
            </w:pPr>
            <w:r>
              <w:rPr>
                <w:rFonts w:hint="eastAsia" w:ascii="宋体" w:hAnsi="宋体"/>
                <w:b/>
                <w:bCs/>
                <w:color w:val="auto"/>
                <w:szCs w:val="21"/>
                <w:highlight w:val="none"/>
              </w:rPr>
              <w:t>（</w:t>
            </w:r>
            <w:r>
              <w:rPr>
                <w:rFonts w:hint="eastAsia" w:ascii="宋体" w:hAnsi="宋体"/>
                <w:b/>
                <w:bCs/>
                <w:color w:val="auto"/>
                <w:szCs w:val="21"/>
                <w:highlight w:val="none"/>
                <w:lang w:val="en-US" w:eastAsia="zh-CN"/>
              </w:rPr>
              <w:t>8</w:t>
            </w:r>
            <w:r>
              <w:rPr>
                <w:rFonts w:hint="eastAsia" w:ascii="宋体" w:hAnsi="宋体"/>
                <w:b/>
                <w:bCs/>
                <w:color w:val="auto"/>
                <w:szCs w:val="21"/>
                <w:highlight w:val="none"/>
              </w:rPr>
              <w:t>）施工组织管理：</w:t>
            </w:r>
            <w:r>
              <w:rPr>
                <w:rFonts w:hint="eastAsia" w:ascii="宋体" w:hAnsi="宋体"/>
                <w:b w:val="0"/>
                <w:bCs w:val="0"/>
                <w:color w:val="auto"/>
                <w:szCs w:val="21"/>
                <w:highlight w:val="none"/>
              </w:rPr>
              <w:t>至少包括现场管理、成本管理、进度管理、环境管理等方面内容；</w:t>
            </w:r>
          </w:p>
          <w:p w14:paraId="1D1ABB5D">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2、评分原则：</w:t>
            </w:r>
          </w:p>
          <w:p w14:paraId="1322D728">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（1）提供的内容完全符合本项目采购需求的得满分</w:t>
            </w:r>
            <w:r>
              <w:rPr>
                <w:rFonts w:hint="eastAsia" w:ascii="宋体" w:hAnsi="宋体"/>
                <w:b w:val="0"/>
                <w:bCs/>
                <w:color w:val="auto"/>
                <w:szCs w:val="21"/>
                <w:highlight w:val="none"/>
                <w:lang w:val="en-US" w:eastAsia="zh-CN"/>
              </w:rPr>
              <w:t>32</w:t>
            </w:r>
            <w:r>
              <w:rPr>
                <w:rFonts w:hint="eastAsia" w:ascii="宋体" w:hAnsi="宋体"/>
                <w:b w:val="0"/>
                <w:bCs/>
                <w:color w:val="auto"/>
                <w:szCs w:val="21"/>
                <w:highlight w:val="none"/>
              </w:rPr>
              <w:t>分；</w:t>
            </w:r>
          </w:p>
          <w:p w14:paraId="396A13E0">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（2）每缺一项内容扣</w:t>
            </w:r>
            <w:r>
              <w:rPr>
                <w:rFonts w:hint="eastAsia" w:ascii="宋体" w:hAnsi="宋体"/>
                <w:b w:val="0"/>
                <w:bCs/>
                <w:color w:val="auto"/>
                <w:szCs w:val="21"/>
                <w:highlight w:val="none"/>
                <w:lang w:val="en-US" w:eastAsia="zh-CN"/>
              </w:rPr>
              <w:t>4</w:t>
            </w:r>
            <w:r>
              <w:rPr>
                <w:rFonts w:hint="eastAsia" w:ascii="宋体" w:hAnsi="宋体"/>
                <w:b w:val="0"/>
                <w:bCs/>
                <w:color w:val="auto"/>
                <w:szCs w:val="21"/>
                <w:highlight w:val="none"/>
              </w:rPr>
              <w:t>分；</w:t>
            </w:r>
          </w:p>
          <w:p w14:paraId="63677726">
            <w:pPr>
              <w:spacing w:line="360" w:lineRule="auto"/>
              <w:rPr>
                <w:rFonts w:hint="eastAsia" w:ascii="宋体" w:hAnsi="宋体" w:eastAsia="宋体"/>
                <w:color w:val="auto"/>
                <w:sz w:val="21"/>
                <w:szCs w:val="21"/>
                <w:highlight w:val="none"/>
                <w:lang w:eastAsia="zh-CN"/>
              </w:rPr>
            </w:pPr>
            <w:r>
              <w:rPr>
                <w:rFonts w:hint="eastAsia" w:ascii="宋体" w:hAnsi="宋体"/>
                <w:b w:val="0"/>
                <w:bCs/>
                <w:color w:val="auto"/>
                <w:szCs w:val="21"/>
                <w:highlight w:val="none"/>
              </w:rPr>
              <w:t>（3）</w:t>
            </w:r>
            <w:r>
              <w:rPr>
                <w:rFonts w:hint="eastAsia" w:ascii="宋体" w:hAnsi="宋体"/>
                <w:b w:val="0"/>
                <w:bCs/>
                <w:color w:val="auto"/>
                <w:szCs w:val="21"/>
                <w:highlight w:val="none"/>
                <w:lang w:val="en-US" w:eastAsia="zh-CN"/>
              </w:rPr>
              <w:t>每项</w:t>
            </w:r>
            <w:r>
              <w:rPr>
                <w:rFonts w:hint="eastAsia" w:ascii="宋体" w:hAnsi="宋体"/>
                <w:b w:val="0"/>
                <w:bCs/>
                <w:color w:val="auto"/>
                <w:szCs w:val="21"/>
                <w:highlight w:val="none"/>
              </w:rPr>
              <w:t>评审内容存在下列</w:t>
            </w:r>
            <w:r>
              <w:rPr>
                <w:rFonts w:hint="eastAsia" w:ascii="宋体" w:hAnsi="宋体"/>
                <w:color w:val="auto"/>
                <w:szCs w:val="21"/>
                <w:highlight w:val="none"/>
              </w:rPr>
              <w:t>不足或有欠缺</w:t>
            </w:r>
            <w:r>
              <w:rPr>
                <w:rFonts w:hint="eastAsia" w:ascii="宋体" w:hAnsi="宋体"/>
                <w:b w:val="0"/>
                <w:bCs/>
                <w:color w:val="auto"/>
                <w:szCs w:val="21"/>
                <w:highlight w:val="none"/>
              </w:rPr>
              <w:t>情形的</w:t>
            </w:r>
            <w:r>
              <w:rPr>
                <w:rFonts w:hint="eastAsia" w:ascii="宋体" w:hAnsi="宋体"/>
                <w:color w:val="auto"/>
                <w:sz w:val="21"/>
                <w:szCs w:val="21"/>
                <w:highlight w:val="none"/>
              </w:rPr>
              <w:t>扣</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分</w:t>
            </w:r>
            <w:r>
              <w:rPr>
                <w:rFonts w:hint="eastAsia" w:ascii="宋体" w:hAnsi="宋体"/>
                <w:color w:val="auto"/>
                <w:sz w:val="21"/>
                <w:szCs w:val="21"/>
                <w:highlight w:val="none"/>
                <w:lang w:eastAsia="zh-CN"/>
              </w:rPr>
              <w:t>。</w:t>
            </w:r>
          </w:p>
          <w:p w14:paraId="4D310A49">
            <w:pPr>
              <w:spacing w:line="360" w:lineRule="auto"/>
              <w:rPr>
                <w:rFonts w:hint="eastAsia" w:ascii="宋体" w:hAnsi="宋体"/>
                <w:b w:val="0"/>
                <w:bCs/>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w:t>
            </w:r>
            <w:r>
              <w:rPr>
                <w:rFonts w:hint="eastAsia" w:ascii="宋体" w:hAnsi="宋体"/>
                <w:color w:val="auto"/>
                <w:szCs w:val="21"/>
                <w:highlight w:val="none"/>
              </w:rPr>
              <w:t>不足或有欠缺</w:t>
            </w:r>
            <w:r>
              <w:rPr>
                <w:rFonts w:hint="eastAsia" w:ascii="宋体" w:hAnsi="宋体"/>
                <w:b w:val="0"/>
                <w:bCs/>
                <w:color w:val="auto"/>
                <w:szCs w:val="21"/>
                <w:highlight w:val="none"/>
              </w:rPr>
              <w:t>情形</w:t>
            </w:r>
            <w:r>
              <w:rPr>
                <w:rFonts w:hint="eastAsia" w:cs="宋体"/>
                <w:bCs/>
                <w:color w:val="auto"/>
                <w:szCs w:val="21"/>
                <w:highlight w:val="none"/>
              </w:rPr>
              <w:t>指</w:t>
            </w:r>
            <w:r>
              <w:rPr>
                <w:rFonts w:hint="eastAsia" w:cs="宋体"/>
                <w:bCs/>
                <w:color w:val="auto"/>
                <w:szCs w:val="21"/>
                <w:highlight w:val="none"/>
                <w:lang w:eastAsia="zh-CN"/>
              </w:rPr>
              <w:t>：</w:t>
            </w:r>
            <w:r>
              <w:rPr>
                <w:rFonts w:hint="eastAsia" w:ascii="宋体" w:hAnsi="宋体" w:cs="宋体"/>
                <w:color w:val="auto"/>
                <w:highlight w:val="none"/>
                <w:lang w:eastAsia="zh-CN"/>
              </w:rPr>
              <w:t>内容只做笼统</w:t>
            </w:r>
            <w:r>
              <w:rPr>
                <w:rFonts w:hint="eastAsia" w:ascii="宋体" w:hAnsi="宋体" w:eastAsia="宋体" w:cs="Times New Roman"/>
                <w:b w:val="0"/>
                <w:bCs/>
                <w:color w:val="auto"/>
                <w:kern w:val="2"/>
                <w:sz w:val="21"/>
                <w:szCs w:val="21"/>
                <w:highlight w:val="none"/>
                <w:lang w:val="en-US" w:eastAsia="zh-CN" w:bidi="ar-SA"/>
              </w:rPr>
              <w:t>概括</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无落地举措，或未完全</w:t>
            </w:r>
            <w:r>
              <w:rPr>
                <w:rFonts w:hint="eastAsia" w:ascii="宋体" w:hAnsi="宋体" w:eastAsia="宋体" w:cs="宋体"/>
                <w:color w:val="auto"/>
                <w:szCs w:val="21"/>
                <w:highlight w:val="none"/>
                <w:lang w:val="en-US" w:eastAsia="zh-CN"/>
              </w:rPr>
              <w:t>按评审内容要求的内容进行描述</w:t>
            </w: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rPr>
              <w:t>未围绕本项目实际</w:t>
            </w:r>
            <w:r>
              <w:rPr>
                <w:rFonts w:hint="eastAsia" w:ascii="宋体" w:hAnsi="宋体" w:eastAsia="宋体" w:cs="Times New Roman"/>
                <w:b w:val="0"/>
                <w:bCs/>
                <w:color w:val="auto"/>
                <w:kern w:val="2"/>
                <w:sz w:val="21"/>
                <w:szCs w:val="21"/>
                <w:highlight w:val="none"/>
                <w:lang w:val="en-US" w:eastAsia="zh-CN" w:bidi="ar-SA"/>
              </w:rPr>
              <w:t>采购</w:t>
            </w:r>
            <w:r>
              <w:rPr>
                <w:rFonts w:hint="eastAsia" w:ascii="宋体" w:hAnsi="宋体" w:cs="宋体"/>
                <w:color w:val="auto"/>
                <w:highlight w:val="none"/>
              </w:rPr>
              <w:t>需求</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rPr>
              <w:t>未结合本项目采购标的、</w:t>
            </w:r>
            <w:r>
              <w:rPr>
                <w:rFonts w:hint="eastAsia" w:ascii="宋体" w:hAnsi="宋体" w:cs="宋体"/>
                <w:color w:val="auto"/>
                <w:highlight w:val="none"/>
                <w:lang w:val="en-US" w:eastAsia="zh-CN"/>
              </w:rPr>
              <w:t>施工</w:t>
            </w:r>
            <w:r>
              <w:rPr>
                <w:rFonts w:hint="eastAsia" w:ascii="宋体" w:hAnsi="宋体" w:cs="宋体"/>
                <w:color w:val="auto"/>
                <w:highlight w:val="none"/>
              </w:rPr>
              <w:t>范围、</w:t>
            </w:r>
            <w:r>
              <w:rPr>
                <w:rFonts w:hint="eastAsia" w:ascii="宋体" w:hAnsi="宋体" w:cs="宋体"/>
                <w:color w:val="auto"/>
                <w:highlight w:val="none"/>
                <w:lang w:val="en-US" w:eastAsia="zh-CN"/>
              </w:rPr>
              <w:t>采购人单位</w:t>
            </w:r>
            <w:r>
              <w:rPr>
                <w:rFonts w:hint="eastAsia" w:ascii="宋体" w:hAnsi="宋体" w:cs="宋体"/>
                <w:color w:val="auto"/>
                <w:highlight w:val="none"/>
              </w:rPr>
              <w:t>特点</w:t>
            </w:r>
            <w:r>
              <w:rPr>
                <w:rFonts w:hint="eastAsia" w:ascii="宋体" w:hAnsi="宋体" w:cs="宋体"/>
                <w:color w:val="auto"/>
                <w:highlight w:val="none"/>
                <w:lang w:val="en-US" w:eastAsia="zh-CN"/>
              </w:rPr>
              <w:t>及需求对应</w:t>
            </w:r>
            <w:r>
              <w:rPr>
                <w:rFonts w:hint="eastAsia" w:ascii="宋体" w:hAnsi="宋体" w:cs="宋体"/>
                <w:color w:val="auto"/>
                <w:highlight w:val="none"/>
              </w:rPr>
              <w:t>进行阐述</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大量阐述与本项目采购标的无关的内容，偏离采购范围，</w:t>
            </w:r>
            <w:r>
              <w:rPr>
                <w:rFonts w:hint="eastAsia" w:ascii="宋体" w:hAnsi="宋体" w:cs="宋体"/>
                <w:color w:val="auto"/>
                <w:highlight w:val="none"/>
                <w:lang w:val="en-US" w:eastAsia="zh-CN"/>
              </w:rPr>
              <w:t>或大量</w:t>
            </w:r>
            <w:r>
              <w:rPr>
                <w:rFonts w:hint="eastAsia" w:ascii="宋体" w:hAnsi="宋体" w:cs="宋体"/>
                <w:color w:val="auto"/>
                <w:highlight w:val="none"/>
                <w:lang w:eastAsia="zh-CN"/>
              </w:rPr>
              <w:t>照搬</w:t>
            </w:r>
            <w:r>
              <w:rPr>
                <w:rFonts w:hint="eastAsia" w:ascii="宋体" w:hAnsi="宋体" w:cs="宋体"/>
                <w:color w:val="auto"/>
                <w:highlight w:val="none"/>
                <w:lang w:val="en-US" w:eastAsia="zh-CN"/>
              </w:rPr>
              <w:t>采购</w:t>
            </w:r>
            <w:r>
              <w:rPr>
                <w:rFonts w:hint="eastAsia" w:ascii="宋体" w:hAnsi="宋体" w:cs="宋体"/>
                <w:color w:val="auto"/>
                <w:highlight w:val="none"/>
                <w:lang w:eastAsia="zh-CN"/>
              </w:rPr>
              <w:t>需求，</w:t>
            </w:r>
            <w:r>
              <w:rPr>
                <w:rFonts w:hint="eastAsia" w:ascii="宋体" w:hAnsi="宋体" w:cs="宋体"/>
                <w:color w:val="auto"/>
                <w:highlight w:val="none"/>
                <w:lang w:val="en-US" w:eastAsia="zh-CN"/>
              </w:rPr>
              <w:t>或出现</w:t>
            </w:r>
            <w:r>
              <w:rPr>
                <w:rFonts w:hint="eastAsia" w:ascii="宋体" w:hAnsi="宋体" w:cs="宋体"/>
                <w:color w:val="auto"/>
                <w:highlight w:val="none"/>
                <w:lang w:eastAsia="zh-CN"/>
              </w:rPr>
              <w:t>其他项目信息，</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前后内容表述冲突，</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实施流程顺序错乱，因果关系不成立，无法</w:t>
            </w:r>
            <w:r>
              <w:rPr>
                <w:rFonts w:hint="eastAsia" w:ascii="宋体" w:hAnsi="宋体" w:eastAsia="宋体" w:cs="Times New Roman"/>
                <w:b w:val="0"/>
                <w:bCs/>
                <w:color w:val="auto"/>
                <w:kern w:val="2"/>
                <w:sz w:val="21"/>
                <w:szCs w:val="21"/>
                <w:highlight w:val="none"/>
                <w:lang w:val="en-US" w:eastAsia="zh-CN" w:bidi="ar-SA"/>
              </w:rPr>
              <w:t>自洽，</w:t>
            </w:r>
            <w:r>
              <w:rPr>
                <w:rFonts w:hint="eastAsia" w:ascii="宋体" w:hAnsi="宋体" w:cs="宋体"/>
                <w:color w:val="auto"/>
                <w:highlight w:val="none"/>
                <w:lang w:val="en-US" w:eastAsia="zh-CN"/>
              </w:rPr>
              <w:t>或</w:t>
            </w:r>
            <w:r>
              <w:rPr>
                <w:rFonts w:hint="eastAsia" w:ascii="宋体" w:hAnsi="宋体" w:eastAsia="宋体" w:cs="Times New Roman"/>
                <w:b w:val="0"/>
                <w:bCs/>
                <w:color w:val="auto"/>
                <w:kern w:val="2"/>
                <w:sz w:val="21"/>
                <w:szCs w:val="21"/>
                <w:highlight w:val="none"/>
                <w:lang w:val="en-US" w:eastAsia="zh-CN" w:bidi="ar-SA"/>
              </w:rPr>
              <w:t>内容违背对应行业原理标准规范；或不符合客观常识。</w:t>
            </w:r>
          </w:p>
        </w:tc>
      </w:tr>
      <w:tr w14:paraId="24628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1196" w:hRule="atLeast"/>
          <w:jc w:val="center"/>
        </w:trPr>
        <w:tc>
          <w:tcPr>
            <w:tcW w:w="947" w:type="dxa"/>
            <w:vMerge w:val="continue"/>
            <w:noWrap w:val="0"/>
            <w:vAlign w:val="center"/>
          </w:tcPr>
          <w:p w14:paraId="67BBFA01">
            <w:pPr>
              <w:autoSpaceDE w:val="0"/>
              <w:autoSpaceDN w:val="0"/>
              <w:adjustRightInd w:val="0"/>
              <w:spacing w:line="360" w:lineRule="auto"/>
              <w:jc w:val="left"/>
              <w:rPr>
                <w:rFonts w:hint="eastAsia" w:ascii="宋体" w:hAnsi="宋体" w:eastAsia="宋体" w:cs="宋体"/>
                <w:color w:val="FF0000"/>
                <w:szCs w:val="21"/>
                <w:highlight w:val="none"/>
                <w:lang w:val="en-US" w:eastAsia="zh-CN"/>
              </w:rPr>
            </w:pPr>
          </w:p>
        </w:tc>
        <w:tc>
          <w:tcPr>
            <w:tcW w:w="1146" w:type="dxa"/>
            <w:noWrap w:val="0"/>
            <w:vAlign w:val="center"/>
          </w:tcPr>
          <w:p w14:paraId="7670D671">
            <w:pPr>
              <w:autoSpaceDE w:val="0"/>
              <w:autoSpaceDN w:val="0"/>
              <w:adjustRightInd w:val="0"/>
              <w:spacing w:line="360" w:lineRule="auto"/>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2</w:t>
            </w:r>
          </w:p>
        </w:tc>
        <w:tc>
          <w:tcPr>
            <w:tcW w:w="1395" w:type="dxa"/>
            <w:gridSpan w:val="2"/>
            <w:noWrap w:val="0"/>
            <w:vAlign w:val="center"/>
          </w:tcPr>
          <w:p w14:paraId="467B6E41">
            <w:pPr>
              <w:spacing w:line="360" w:lineRule="auto"/>
              <w:jc w:val="center"/>
              <w:rPr>
                <w:rFonts w:hint="eastAsia" w:ascii="宋体" w:hAnsi="宋体" w:cs="宋体"/>
                <w:color w:val="auto"/>
                <w:szCs w:val="24"/>
                <w:highlight w:val="none"/>
              </w:rPr>
            </w:pPr>
            <w:r>
              <w:rPr>
                <w:rFonts w:hint="eastAsia" w:ascii="宋体" w:hAnsi="宋体" w:cs="宋体"/>
                <w:color w:val="auto"/>
                <w:szCs w:val="24"/>
                <w:highlight w:val="none"/>
              </w:rPr>
              <w:t>质量、安全管理体系与措施（满分</w:t>
            </w:r>
            <w:r>
              <w:rPr>
                <w:rFonts w:hint="eastAsia" w:ascii="宋体" w:hAnsi="宋体" w:cs="宋体"/>
                <w:color w:val="auto"/>
                <w:szCs w:val="24"/>
                <w:highlight w:val="none"/>
                <w:lang w:val="en-US" w:eastAsia="zh-CN"/>
              </w:rPr>
              <w:t>12</w:t>
            </w:r>
            <w:r>
              <w:rPr>
                <w:rFonts w:hint="eastAsia" w:ascii="宋体" w:hAnsi="宋体" w:cs="宋体"/>
                <w:color w:val="auto"/>
                <w:szCs w:val="24"/>
                <w:highlight w:val="none"/>
              </w:rPr>
              <w:t>分）</w:t>
            </w:r>
          </w:p>
          <w:p w14:paraId="46E9ADA3">
            <w:pPr>
              <w:autoSpaceDE w:val="0"/>
              <w:autoSpaceDN w:val="0"/>
              <w:adjustRightInd w:val="0"/>
              <w:spacing w:line="360" w:lineRule="auto"/>
              <w:jc w:val="left"/>
              <w:rPr>
                <w:rFonts w:hint="eastAsia" w:ascii="宋体" w:hAnsi="宋体"/>
                <w:color w:val="auto"/>
                <w:szCs w:val="21"/>
                <w:highlight w:val="none"/>
              </w:rPr>
            </w:pPr>
          </w:p>
        </w:tc>
        <w:tc>
          <w:tcPr>
            <w:tcW w:w="6334" w:type="dxa"/>
            <w:gridSpan w:val="3"/>
            <w:noWrap w:val="0"/>
            <w:vAlign w:val="top"/>
          </w:tcPr>
          <w:p w14:paraId="4F5F50E5">
            <w:pPr>
              <w:numPr>
                <w:ilvl w:val="0"/>
                <w:numId w:val="0"/>
              </w:numPr>
              <w:spacing w:line="360" w:lineRule="auto"/>
              <w:rPr>
                <w:rFonts w:hint="eastAsia" w:ascii="宋体" w:hAnsi="宋体"/>
                <w:b w:val="0"/>
                <w:bCs/>
                <w:color w:val="auto"/>
                <w:szCs w:val="21"/>
                <w:highlight w:val="none"/>
              </w:rPr>
            </w:pPr>
            <w:r>
              <w:rPr>
                <w:rFonts w:hint="eastAsia" w:ascii="宋体" w:hAnsi="宋体" w:eastAsia="宋体" w:cs="Times New Roman"/>
                <w:b w:val="0"/>
                <w:bCs/>
                <w:color w:val="auto"/>
                <w:kern w:val="2"/>
                <w:sz w:val="21"/>
                <w:szCs w:val="21"/>
                <w:highlight w:val="none"/>
                <w:lang w:val="en-US" w:eastAsia="zh-CN" w:bidi="ar-SA"/>
              </w:rPr>
              <w:t>1、</w:t>
            </w:r>
            <w:r>
              <w:rPr>
                <w:rFonts w:hint="eastAsia" w:ascii="宋体" w:hAnsi="宋体"/>
                <w:b w:val="0"/>
                <w:bCs/>
                <w:color w:val="auto"/>
                <w:szCs w:val="21"/>
                <w:highlight w:val="none"/>
              </w:rPr>
              <w:t>评审内容：</w:t>
            </w:r>
          </w:p>
          <w:p w14:paraId="75684A4C">
            <w:pPr>
              <w:spacing w:line="360" w:lineRule="auto"/>
              <w:rPr>
                <w:rFonts w:hint="eastAsia" w:ascii="宋体" w:hAnsi="宋体" w:cs="宋体"/>
                <w:color w:val="auto"/>
                <w:szCs w:val="20"/>
                <w:highlight w:val="none"/>
              </w:rPr>
            </w:pPr>
            <w:r>
              <w:rPr>
                <w:rFonts w:hint="eastAsia" w:ascii="宋体" w:hAnsi="宋体" w:cs="宋体"/>
                <w:b/>
                <w:bCs/>
                <w:color w:val="auto"/>
                <w:szCs w:val="20"/>
                <w:highlight w:val="none"/>
              </w:rPr>
              <w:t>（1）质量管理体系及措施：</w:t>
            </w:r>
            <w:r>
              <w:rPr>
                <w:rFonts w:hint="eastAsia" w:ascii="宋体" w:hAnsi="宋体" w:cs="宋体"/>
                <w:color w:val="auto"/>
                <w:szCs w:val="20"/>
                <w:highlight w:val="none"/>
              </w:rPr>
              <w:t>至少包括工程质量控制、管理及保证措施、供应商内部质量控制标准及体系；</w:t>
            </w:r>
          </w:p>
          <w:p w14:paraId="35B6C416">
            <w:pPr>
              <w:spacing w:line="360" w:lineRule="auto"/>
              <w:rPr>
                <w:rFonts w:hint="eastAsia" w:ascii="宋体" w:hAnsi="宋体" w:cs="宋体"/>
                <w:color w:val="auto"/>
                <w:szCs w:val="20"/>
                <w:highlight w:val="none"/>
              </w:rPr>
            </w:pPr>
            <w:r>
              <w:rPr>
                <w:rFonts w:hint="eastAsia" w:ascii="宋体" w:hAnsi="宋体" w:cs="宋体"/>
                <w:b/>
                <w:bCs/>
                <w:color w:val="auto"/>
                <w:szCs w:val="20"/>
                <w:highlight w:val="none"/>
              </w:rPr>
              <w:t>（2）安全管理体系及措施：</w:t>
            </w:r>
            <w:r>
              <w:rPr>
                <w:rFonts w:hint="eastAsia" w:ascii="宋体" w:hAnsi="宋体" w:cs="宋体"/>
                <w:color w:val="auto"/>
                <w:szCs w:val="20"/>
                <w:highlight w:val="none"/>
              </w:rPr>
              <w:t>至少包括</w:t>
            </w:r>
            <w:r>
              <w:rPr>
                <w:rFonts w:hint="eastAsia" w:ascii="宋体" w:hAnsi="宋体"/>
                <w:color w:val="auto"/>
                <w:szCs w:val="21"/>
                <w:highlight w:val="none"/>
              </w:rPr>
              <w:t>制定安全责任体系和制度，建立、健全安全管理组织体系等内容，</w:t>
            </w:r>
            <w:r>
              <w:rPr>
                <w:rFonts w:hint="eastAsia" w:ascii="宋体" w:hAnsi="宋体" w:cs="宋体"/>
                <w:color w:val="auto"/>
                <w:szCs w:val="20"/>
                <w:highlight w:val="none"/>
              </w:rPr>
              <w:t>安全检查及隐患整改方案、</w:t>
            </w:r>
            <w:r>
              <w:rPr>
                <w:rFonts w:hint="eastAsia" w:ascii="宋体" w:hAnsi="宋体"/>
                <w:color w:val="auto"/>
                <w:szCs w:val="21"/>
                <w:highlight w:val="none"/>
              </w:rPr>
              <w:t>安全生产管理计划和实施、安全生产管理考核措施等内容；</w:t>
            </w:r>
          </w:p>
          <w:p w14:paraId="4CED0B45">
            <w:pPr>
              <w:spacing w:line="360" w:lineRule="auto"/>
              <w:rPr>
                <w:rFonts w:ascii="宋体" w:hAnsi="宋体"/>
                <w:b w:val="0"/>
                <w:bCs/>
                <w:color w:val="auto"/>
                <w:szCs w:val="21"/>
                <w:highlight w:val="none"/>
              </w:rPr>
            </w:pPr>
            <w:r>
              <w:rPr>
                <w:rFonts w:hint="eastAsia" w:ascii="宋体" w:hAnsi="宋体" w:cs="宋体"/>
                <w:b/>
                <w:bCs/>
                <w:color w:val="auto"/>
                <w:szCs w:val="20"/>
                <w:highlight w:val="none"/>
              </w:rPr>
              <w:t>（3）违约承诺及违约处罚措施：</w:t>
            </w:r>
            <w:r>
              <w:rPr>
                <w:rFonts w:hint="eastAsia" w:ascii="宋体" w:hAnsi="宋体" w:cs="宋体"/>
                <w:color w:val="auto"/>
                <w:szCs w:val="20"/>
                <w:highlight w:val="none"/>
              </w:rPr>
              <w:t>至少包括工程质量违约承诺及细化量化的违约处罚措施、未达到工程施工安全管理要求的违约承诺及细化量化的违约处罚措施。</w:t>
            </w:r>
          </w:p>
          <w:p w14:paraId="147E408A">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2、评分原则：</w:t>
            </w:r>
          </w:p>
          <w:p w14:paraId="3DCC44C9">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（1）提供的内容完全符合本项目采购需求的得满分</w:t>
            </w:r>
            <w:r>
              <w:rPr>
                <w:rFonts w:hint="eastAsia" w:ascii="宋体" w:hAnsi="宋体"/>
                <w:b w:val="0"/>
                <w:bCs/>
                <w:color w:val="auto"/>
                <w:szCs w:val="21"/>
                <w:highlight w:val="none"/>
                <w:lang w:val="en-US" w:eastAsia="zh-CN"/>
              </w:rPr>
              <w:t>12</w:t>
            </w:r>
            <w:r>
              <w:rPr>
                <w:rFonts w:hint="eastAsia" w:ascii="宋体" w:hAnsi="宋体"/>
                <w:b w:val="0"/>
                <w:bCs/>
                <w:color w:val="auto"/>
                <w:szCs w:val="21"/>
                <w:highlight w:val="none"/>
              </w:rPr>
              <w:t>分；</w:t>
            </w:r>
          </w:p>
          <w:p w14:paraId="6E9A6553">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（2）每缺一项内容扣</w:t>
            </w:r>
            <w:r>
              <w:rPr>
                <w:rFonts w:hint="eastAsia" w:ascii="宋体" w:hAnsi="宋体"/>
                <w:b w:val="0"/>
                <w:bCs/>
                <w:color w:val="auto"/>
                <w:szCs w:val="21"/>
                <w:highlight w:val="none"/>
                <w:lang w:val="en-US" w:eastAsia="zh-CN"/>
              </w:rPr>
              <w:t>4</w:t>
            </w:r>
            <w:r>
              <w:rPr>
                <w:rFonts w:hint="eastAsia" w:ascii="宋体" w:hAnsi="宋体"/>
                <w:b w:val="0"/>
                <w:bCs/>
                <w:color w:val="auto"/>
                <w:szCs w:val="21"/>
                <w:highlight w:val="none"/>
              </w:rPr>
              <w:t>分；</w:t>
            </w:r>
          </w:p>
          <w:p w14:paraId="75563ACE">
            <w:pPr>
              <w:spacing w:line="360" w:lineRule="auto"/>
              <w:rPr>
                <w:rFonts w:hint="eastAsia" w:ascii="宋体" w:hAnsi="宋体" w:eastAsia="宋体"/>
                <w:color w:val="auto"/>
                <w:sz w:val="21"/>
                <w:szCs w:val="21"/>
                <w:highlight w:val="none"/>
                <w:lang w:eastAsia="zh-CN"/>
              </w:rPr>
            </w:pPr>
            <w:r>
              <w:rPr>
                <w:rFonts w:hint="eastAsia" w:ascii="宋体" w:hAnsi="宋体"/>
                <w:b w:val="0"/>
                <w:bCs/>
                <w:color w:val="auto"/>
                <w:szCs w:val="21"/>
                <w:highlight w:val="none"/>
              </w:rPr>
              <w:t>（3）</w:t>
            </w:r>
            <w:r>
              <w:rPr>
                <w:rFonts w:hint="eastAsia" w:ascii="宋体" w:hAnsi="宋体"/>
                <w:b w:val="0"/>
                <w:bCs/>
                <w:color w:val="auto"/>
                <w:szCs w:val="21"/>
                <w:highlight w:val="none"/>
                <w:lang w:val="en-US" w:eastAsia="zh-CN"/>
              </w:rPr>
              <w:t>每项</w:t>
            </w:r>
            <w:r>
              <w:rPr>
                <w:rFonts w:hint="eastAsia" w:ascii="宋体" w:hAnsi="宋体"/>
                <w:b w:val="0"/>
                <w:bCs/>
                <w:color w:val="auto"/>
                <w:szCs w:val="21"/>
                <w:highlight w:val="none"/>
              </w:rPr>
              <w:t>评审内容存在下列</w:t>
            </w:r>
            <w:r>
              <w:rPr>
                <w:rFonts w:hint="eastAsia" w:ascii="宋体" w:hAnsi="宋体"/>
                <w:color w:val="auto"/>
                <w:szCs w:val="21"/>
                <w:highlight w:val="none"/>
              </w:rPr>
              <w:t>不足或有欠缺</w:t>
            </w:r>
            <w:r>
              <w:rPr>
                <w:rFonts w:hint="eastAsia" w:ascii="宋体" w:hAnsi="宋体"/>
                <w:b w:val="0"/>
                <w:bCs/>
                <w:color w:val="auto"/>
                <w:szCs w:val="21"/>
                <w:highlight w:val="none"/>
              </w:rPr>
              <w:t>情形的</w:t>
            </w:r>
            <w:r>
              <w:rPr>
                <w:rFonts w:hint="eastAsia" w:ascii="宋体" w:hAnsi="宋体"/>
                <w:color w:val="auto"/>
                <w:sz w:val="21"/>
                <w:szCs w:val="21"/>
                <w:highlight w:val="none"/>
              </w:rPr>
              <w:t>扣</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分</w:t>
            </w:r>
            <w:r>
              <w:rPr>
                <w:rFonts w:hint="eastAsia" w:ascii="宋体" w:hAnsi="宋体"/>
                <w:color w:val="auto"/>
                <w:sz w:val="21"/>
                <w:szCs w:val="21"/>
                <w:highlight w:val="none"/>
                <w:lang w:eastAsia="zh-CN"/>
              </w:rPr>
              <w:t>。</w:t>
            </w:r>
          </w:p>
          <w:p w14:paraId="070B9C71">
            <w:pPr>
              <w:numPr>
                <w:ilvl w:val="0"/>
                <w:numId w:val="0"/>
              </w:numPr>
              <w:spacing w:line="360" w:lineRule="auto"/>
              <w:rPr>
                <w:rFonts w:hint="eastAsia" w:ascii="宋体" w:hAnsi="宋体"/>
                <w:b w:val="0"/>
                <w:bCs/>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w:t>
            </w:r>
            <w:r>
              <w:rPr>
                <w:rFonts w:hint="eastAsia" w:ascii="宋体" w:hAnsi="宋体"/>
                <w:color w:val="auto"/>
                <w:szCs w:val="21"/>
                <w:highlight w:val="none"/>
              </w:rPr>
              <w:t>不足或有欠缺</w:t>
            </w:r>
            <w:r>
              <w:rPr>
                <w:rFonts w:hint="eastAsia" w:ascii="宋体" w:hAnsi="宋体"/>
                <w:b w:val="0"/>
                <w:bCs/>
                <w:color w:val="auto"/>
                <w:szCs w:val="21"/>
                <w:highlight w:val="none"/>
              </w:rPr>
              <w:t>情形</w:t>
            </w:r>
            <w:r>
              <w:rPr>
                <w:rFonts w:hint="eastAsia" w:cs="宋体"/>
                <w:bCs/>
                <w:color w:val="auto"/>
                <w:szCs w:val="21"/>
                <w:highlight w:val="none"/>
              </w:rPr>
              <w:t>指</w:t>
            </w:r>
            <w:r>
              <w:rPr>
                <w:rFonts w:hint="eastAsia" w:cs="宋体"/>
                <w:bCs/>
                <w:color w:val="auto"/>
                <w:szCs w:val="21"/>
                <w:highlight w:val="none"/>
                <w:lang w:eastAsia="zh-CN"/>
              </w:rPr>
              <w:t>：</w:t>
            </w:r>
            <w:r>
              <w:rPr>
                <w:rFonts w:hint="eastAsia" w:ascii="宋体" w:hAnsi="宋体" w:cs="宋体"/>
                <w:color w:val="auto"/>
                <w:highlight w:val="none"/>
                <w:lang w:eastAsia="zh-CN"/>
              </w:rPr>
              <w:t>内容只做笼统</w:t>
            </w:r>
            <w:r>
              <w:rPr>
                <w:rFonts w:hint="eastAsia" w:ascii="宋体" w:hAnsi="宋体" w:eastAsia="宋体" w:cs="Times New Roman"/>
                <w:b w:val="0"/>
                <w:bCs/>
                <w:color w:val="auto"/>
                <w:kern w:val="2"/>
                <w:sz w:val="21"/>
                <w:szCs w:val="21"/>
                <w:highlight w:val="none"/>
                <w:lang w:val="en-US" w:eastAsia="zh-CN" w:bidi="ar-SA"/>
              </w:rPr>
              <w:t>概括</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无落地举措，或未完全</w:t>
            </w:r>
            <w:r>
              <w:rPr>
                <w:rFonts w:hint="eastAsia" w:ascii="宋体" w:hAnsi="宋体" w:eastAsia="宋体" w:cs="宋体"/>
                <w:color w:val="auto"/>
                <w:szCs w:val="21"/>
                <w:highlight w:val="none"/>
                <w:lang w:val="en-US" w:eastAsia="zh-CN"/>
              </w:rPr>
              <w:t>按评审内容要求的内容进行描述</w:t>
            </w: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rPr>
              <w:t>未围绕本项目实际</w:t>
            </w:r>
            <w:r>
              <w:rPr>
                <w:rFonts w:hint="eastAsia" w:ascii="宋体" w:hAnsi="宋体" w:eastAsia="宋体" w:cs="Times New Roman"/>
                <w:b w:val="0"/>
                <w:bCs/>
                <w:color w:val="auto"/>
                <w:kern w:val="2"/>
                <w:sz w:val="21"/>
                <w:szCs w:val="21"/>
                <w:highlight w:val="none"/>
                <w:lang w:val="en-US" w:eastAsia="zh-CN" w:bidi="ar-SA"/>
              </w:rPr>
              <w:t>采购</w:t>
            </w:r>
            <w:r>
              <w:rPr>
                <w:rFonts w:hint="eastAsia" w:ascii="宋体" w:hAnsi="宋体" w:cs="宋体"/>
                <w:color w:val="auto"/>
                <w:highlight w:val="none"/>
              </w:rPr>
              <w:t>需求</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rPr>
              <w:t>未结合本项目采购标的、</w:t>
            </w:r>
            <w:r>
              <w:rPr>
                <w:rFonts w:hint="eastAsia" w:ascii="宋体" w:hAnsi="宋体" w:cs="宋体"/>
                <w:color w:val="auto"/>
                <w:highlight w:val="none"/>
                <w:lang w:val="en-US" w:eastAsia="zh-CN"/>
              </w:rPr>
              <w:t>施工</w:t>
            </w:r>
            <w:r>
              <w:rPr>
                <w:rFonts w:hint="eastAsia" w:ascii="宋体" w:hAnsi="宋体" w:cs="宋体"/>
                <w:color w:val="auto"/>
                <w:highlight w:val="none"/>
              </w:rPr>
              <w:t>范围、</w:t>
            </w:r>
            <w:r>
              <w:rPr>
                <w:rFonts w:hint="eastAsia" w:ascii="宋体" w:hAnsi="宋体" w:cs="宋体"/>
                <w:color w:val="auto"/>
                <w:highlight w:val="none"/>
                <w:lang w:val="en-US" w:eastAsia="zh-CN"/>
              </w:rPr>
              <w:t>采购人单位</w:t>
            </w:r>
            <w:r>
              <w:rPr>
                <w:rFonts w:hint="eastAsia" w:ascii="宋体" w:hAnsi="宋体" w:cs="宋体"/>
                <w:color w:val="auto"/>
                <w:highlight w:val="none"/>
              </w:rPr>
              <w:t>特点</w:t>
            </w:r>
            <w:r>
              <w:rPr>
                <w:rFonts w:hint="eastAsia" w:ascii="宋体" w:hAnsi="宋体" w:cs="宋体"/>
                <w:color w:val="auto"/>
                <w:highlight w:val="none"/>
                <w:lang w:val="en-US" w:eastAsia="zh-CN"/>
              </w:rPr>
              <w:t>及需求对应</w:t>
            </w:r>
            <w:r>
              <w:rPr>
                <w:rFonts w:hint="eastAsia" w:ascii="宋体" w:hAnsi="宋体" w:cs="宋体"/>
                <w:color w:val="auto"/>
                <w:highlight w:val="none"/>
              </w:rPr>
              <w:t>进行阐述</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大量阐述与本项目采购标的无关的内容，偏离采购范围，</w:t>
            </w:r>
            <w:r>
              <w:rPr>
                <w:rFonts w:hint="eastAsia" w:ascii="宋体" w:hAnsi="宋体" w:cs="宋体"/>
                <w:color w:val="auto"/>
                <w:highlight w:val="none"/>
                <w:lang w:val="en-US" w:eastAsia="zh-CN"/>
              </w:rPr>
              <w:t>或大量</w:t>
            </w:r>
            <w:r>
              <w:rPr>
                <w:rFonts w:hint="eastAsia" w:ascii="宋体" w:hAnsi="宋体" w:cs="宋体"/>
                <w:color w:val="auto"/>
                <w:highlight w:val="none"/>
                <w:lang w:eastAsia="zh-CN"/>
              </w:rPr>
              <w:t>照搬</w:t>
            </w:r>
            <w:r>
              <w:rPr>
                <w:rFonts w:hint="eastAsia" w:ascii="宋体" w:hAnsi="宋体" w:cs="宋体"/>
                <w:color w:val="auto"/>
                <w:highlight w:val="none"/>
                <w:lang w:val="en-US" w:eastAsia="zh-CN"/>
              </w:rPr>
              <w:t>采购</w:t>
            </w:r>
            <w:r>
              <w:rPr>
                <w:rFonts w:hint="eastAsia" w:ascii="宋体" w:hAnsi="宋体" w:cs="宋体"/>
                <w:color w:val="auto"/>
                <w:highlight w:val="none"/>
                <w:lang w:eastAsia="zh-CN"/>
              </w:rPr>
              <w:t>需求，</w:t>
            </w:r>
            <w:r>
              <w:rPr>
                <w:rFonts w:hint="eastAsia" w:ascii="宋体" w:hAnsi="宋体" w:cs="宋体"/>
                <w:color w:val="auto"/>
                <w:highlight w:val="none"/>
                <w:lang w:val="en-US" w:eastAsia="zh-CN"/>
              </w:rPr>
              <w:t>或出现</w:t>
            </w:r>
            <w:r>
              <w:rPr>
                <w:rFonts w:hint="eastAsia" w:ascii="宋体" w:hAnsi="宋体" w:cs="宋体"/>
                <w:color w:val="auto"/>
                <w:highlight w:val="none"/>
                <w:lang w:eastAsia="zh-CN"/>
              </w:rPr>
              <w:t>其他项目信息，</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前后内容表述冲突，</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实施流程顺序错乱，因果关系不成立，无法</w:t>
            </w:r>
            <w:r>
              <w:rPr>
                <w:rFonts w:hint="eastAsia" w:ascii="宋体" w:hAnsi="宋体" w:eastAsia="宋体" w:cs="Times New Roman"/>
                <w:b w:val="0"/>
                <w:bCs/>
                <w:color w:val="auto"/>
                <w:kern w:val="2"/>
                <w:sz w:val="21"/>
                <w:szCs w:val="21"/>
                <w:highlight w:val="none"/>
                <w:lang w:val="en-US" w:eastAsia="zh-CN" w:bidi="ar-SA"/>
              </w:rPr>
              <w:t>自洽，</w:t>
            </w:r>
            <w:r>
              <w:rPr>
                <w:rFonts w:hint="eastAsia" w:ascii="宋体" w:hAnsi="宋体" w:cs="宋体"/>
                <w:color w:val="auto"/>
                <w:highlight w:val="none"/>
                <w:lang w:val="en-US" w:eastAsia="zh-CN"/>
              </w:rPr>
              <w:t>或</w:t>
            </w:r>
            <w:r>
              <w:rPr>
                <w:rFonts w:hint="eastAsia" w:ascii="宋体" w:hAnsi="宋体" w:eastAsia="宋体" w:cs="Times New Roman"/>
                <w:b w:val="0"/>
                <w:bCs/>
                <w:color w:val="auto"/>
                <w:kern w:val="2"/>
                <w:sz w:val="21"/>
                <w:szCs w:val="21"/>
                <w:highlight w:val="none"/>
                <w:lang w:val="en-US" w:eastAsia="zh-CN" w:bidi="ar-SA"/>
              </w:rPr>
              <w:t>内容违背对应行业原理标准规范；或不符合客观常识。</w:t>
            </w:r>
          </w:p>
        </w:tc>
      </w:tr>
      <w:tr w14:paraId="5909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132" w:hRule="atLeast"/>
          <w:jc w:val="center"/>
        </w:trPr>
        <w:tc>
          <w:tcPr>
            <w:tcW w:w="947" w:type="dxa"/>
            <w:vMerge w:val="continue"/>
            <w:noWrap w:val="0"/>
            <w:vAlign w:val="center"/>
          </w:tcPr>
          <w:p w14:paraId="41EA39B9">
            <w:pPr>
              <w:autoSpaceDE w:val="0"/>
              <w:autoSpaceDN w:val="0"/>
              <w:adjustRightInd w:val="0"/>
              <w:spacing w:line="360" w:lineRule="auto"/>
              <w:jc w:val="left"/>
              <w:rPr>
                <w:rFonts w:hint="eastAsia" w:ascii="宋体" w:hAnsi="宋体" w:eastAsia="宋体" w:cs="宋体"/>
                <w:color w:val="FF0000"/>
                <w:szCs w:val="21"/>
                <w:highlight w:val="none"/>
                <w:lang w:val="en-US" w:eastAsia="zh-CN"/>
              </w:rPr>
            </w:pPr>
          </w:p>
        </w:tc>
        <w:tc>
          <w:tcPr>
            <w:tcW w:w="1146" w:type="dxa"/>
            <w:noWrap w:val="0"/>
            <w:vAlign w:val="center"/>
          </w:tcPr>
          <w:p w14:paraId="33365AED">
            <w:pPr>
              <w:autoSpaceDE w:val="0"/>
              <w:autoSpaceDN w:val="0"/>
              <w:adjustRightInd w:val="0"/>
              <w:spacing w:line="360" w:lineRule="auto"/>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3</w:t>
            </w:r>
          </w:p>
        </w:tc>
        <w:tc>
          <w:tcPr>
            <w:tcW w:w="1395" w:type="dxa"/>
            <w:gridSpan w:val="2"/>
            <w:noWrap w:val="0"/>
            <w:vAlign w:val="center"/>
          </w:tcPr>
          <w:p w14:paraId="16447B14">
            <w:pPr>
              <w:autoSpaceDE w:val="0"/>
              <w:autoSpaceDN w:val="0"/>
              <w:adjustRightInd w:val="0"/>
              <w:spacing w:line="360" w:lineRule="auto"/>
              <w:jc w:val="left"/>
              <w:rPr>
                <w:rFonts w:hint="eastAsia" w:ascii="宋体" w:hAnsi="宋体" w:cs="宋体"/>
                <w:bCs/>
                <w:color w:val="auto"/>
                <w:szCs w:val="24"/>
                <w:highlight w:val="none"/>
              </w:rPr>
            </w:pPr>
            <w:r>
              <w:rPr>
                <w:rFonts w:hint="eastAsia" w:ascii="宋体" w:hAnsi="宋体" w:cs="宋体"/>
                <w:color w:val="auto"/>
                <w:szCs w:val="24"/>
                <w:highlight w:val="none"/>
              </w:rPr>
              <w:t>文明、绿色施工及环境保护管理体系与措施（满分</w:t>
            </w:r>
            <w:r>
              <w:rPr>
                <w:rFonts w:hint="eastAsia" w:ascii="宋体" w:hAnsi="宋体" w:cs="宋体"/>
                <w:color w:val="auto"/>
                <w:szCs w:val="24"/>
                <w:highlight w:val="none"/>
                <w:lang w:val="en-US" w:eastAsia="zh-CN"/>
              </w:rPr>
              <w:t>9</w:t>
            </w:r>
            <w:r>
              <w:rPr>
                <w:rFonts w:hint="eastAsia" w:ascii="宋体" w:hAnsi="宋体" w:cs="宋体"/>
                <w:color w:val="auto"/>
                <w:szCs w:val="24"/>
                <w:highlight w:val="none"/>
              </w:rPr>
              <w:t>分）</w:t>
            </w:r>
          </w:p>
        </w:tc>
        <w:tc>
          <w:tcPr>
            <w:tcW w:w="6334" w:type="dxa"/>
            <w:gridSpan w:val="3"/>
            <w:noWrap w:val="0"/>
            <w:vAlign w:val="top"/>
          </w:tcPr>
          <w:p w14:paraId="6AEC5B1D">
            <w:pPr>
              <w:numPr>
                <w:ilvl w:val="0"/>
                <w:numId w:val="0"/>
              </w:numPr>
              <w:spacing w:line="360" w:lineRule="auto"/>
              <w:rPr>
                <w:rFonts w:hint="eastAsia" w:ascii="宋体" w:hAnsi="宋体"/>
                <w:b w:val="0"/>
                <w:bCs/>
                <w:color w:val="auto"/>
                <w:szCs w:val="21"/>
                <w:highlight w:val="none"/>
              </w:rPr>
            </w:pPr>
            <w:r>
              <w:rPr>
                <w:rFonts w:hint="eastAsia" w:ascii="宋体" w:hAnsi="宋体" w:eastAsia="宋体" w:cs="Times New Roman"/>
                <w:b w:val="0"/>
                <w:bCs/>
                <w:color w:val="auto"/>
                <w:kern w:val="2"/>
                <w:sz w:val="21"/>
                <w:szCs w:val="21"/>
                <w:highlight w:val="none"/>
                <w:lang w:val="en-US" w:eastAsia="zh-CN" w:bidi="ar-SA"/>
              </w:rPr>
              <w:t>1、</w:t>
            </w:r>
            <w:r>
              <w:rPr>
                <w:rFonts w:hint="eastAsia" w:ascii="宋体" w:hAnsi="宋体"/>
                <w:b w:val="0"/>
                <w:bCs/>
                <w:color w:val="auto"/>
                <w:szCs w:val="21"/>
                <w:highlight w:val="none"/>
              </w:rPr>
              <w:t>评审内容：</w:t>
            </w:r>
          </w:p>
          <w:p w14:paraId="1430B2EB">
            <w:pPr>
              <w:spacing w:line="360" w:lineRule="auto"/>
              <w:rPr>
                <w:rFonts w:hint="eastAsia" w:ascii="宋体" w:hAnsi="宋体" w:cs="宋体"/>
                <w:color w:val="auto"/>
                <w:szCs w:val="20"/>
                <w:highlight w:val="none"/>
              </w:rPr>
            </w:pPr>
            <w:r>
              <w:rPr>
                <w:rFonts w:hint="eastAsia" w:ascii="宋体" w:hAnsi="宋体" w:cs="宋体"/>
                <w:b/>
                <w:bCs/>
                <w:color w:val="auto"/>
                <w:szCs w:val="20"/>
                <w:highlight w:val="none"/>
              </w:rPr>
              <w:t>（1）文明施工管理体系及措施：</w:t>
            </w:r>
            <w:r>
              <w:rPr>
                <w:rFonts w:hint="eastAsia" w:ascii="宋体" w:hAnsi="宋体" w:cs="宋体"/>
                <w:color w:val="auto"/>
                <w:szCs w:val="20"/>
                <w:highlight w:val="none"/>
              </w:rPr>
              <w:t>至少包括管理目标、</w:t>
            </w:r>
            <w:r>
              <w:rPr>
                <w:rFonts w:hint="eastAsia" w:ascii="宋体" w:hAnsi="宋体"/>
                <w:color w:val="auto"/>
                <w:szCs w:val="21"/>
                <w:highlight w:val="none"/>
              </w:rPr>
              <w:t>文明施工管理、</w:t>
            </w:r>
            <w:r>
              <w:rPr>
                <w:rFonts w:ascii="宋体" w:hAnsi="宋体" w:cs="宋体"/>
                <w:color w:val="auto"/>
                <w:kern w:val="0"/>
                <w:szCs w:val="21"/>
                <w:highlight w:val="none"/>
              </w:rPr>
              <w:t>监督与考核</w:t>
            </w:r>
            <w:r>
              <w:rPr>
                <w:rFonts w:hint="eastAsia" w:ascii="宋体" w:hAnsi="宋体" w:cs="宋体"/>
                <w:color w:val="auto"/>
                <w:kern w:val="0"/>
                <w:szCs w:val="21"/>
                <w:highlight w:val="none"/>
              </w:rPr>
              <w:t>等内容</w:t>
            </w:r>
            <w:r>
              <w:rPr>
                <w:rFonts w:hint="eastAsia" w:ascii="宋体" w:hAnsi="宋体" w:cs="宋体"/>
                <w:color w:val="auto"/>
                <w:szCs w:val="20"/>
                <w:highlight w:val="none"/>
              </w:rPr>
              <w:t>；</w:t>
            </w:r>
          </w:p>
          <w:p w14:paraId="248D1427">
            <w:pPr>
              <w:spacing w:line="360" w:lineRule="auto"/>
              <w:rPr>
                <w:rFonts w:hint="eastAsia" w:ascii="宋体" w:hAnsi="宋体" w:cs="宋体"/>
                <w:color w:val="auto"/>
                <w:szCs w:val="20"/>
                <w:highlight w:val="none"/>
              </w:rPr>
            </w:pPr>
            <w:r>
              <w:rPr>
                <w:rFonts w:hint="eastAsia" w:ascii="宋体" w:hAnsi="宋体" w:cs="宋体"/>
                <w:b/>
                <w:bCs/>
                <w:color w:val="auto"/>
                <w:szCs w:val="20"/>
                <w:highlight w:val="none"/>
              </w:rPr>
              <w:t>（2）绿色施工管理体系及措施：</w:t>
            </w:r>
            <w:r>
              <w:rPr>
                <w:rFonts w:hint="eastAsia" w:ascii="宋体" w:hAnsi="宋体" w:cs="宋体"/>
                <w:color w:val="auto"/>
                <w:szCs w:val="20"/>
                <w:highlight w:val="none"/>
              </w:rPr>
              <w:t>至少包括</w:t>
            </w:r>
            <w:r>
              <w:rPr>
                <w:rFonts w:ascii="宋体" w:hAnsi="宋体" w:cs="宋体"/>
                <w:color w:val="auto"/>
                <w:szCs w:val="20"/>
                <w:highlight w:val="none"/>
              </w:rPr>
              <w:t>管理框架与职责体系</w:t>
            </w:r>
            <w:r>
              <w:rPr>
                <w:rFonts w:hint="eastAsia" w:ascii="宋体" w:hAnsi="宋体" w:cs="宋体"/>
                <w:color w:val="auto"/>
                <w:szCs w:val="20"/>
                <w:highlight w:val="none"/>
              </w:rPr>
              <w:t>、</w:t>
            </w:r>
            <w:r>
              <w:rPr>
                <w:rFonts w:ascii="宋体" w:hAnsi="宋体" w:cs="宋体"/>
                <w:color w:val="auto"/>
                <w:szCs w:val="20"/>
                <w:highlight w:val="none"/>
              </w:rPr>
              <w:t>环境保护措施</w:t>
            </w:r>
            <w:r>
              <w:rPr>
                <w:rFonts w:hint="eastAsia" w:ascii="宋体" w:hAnsi="宋体" w:cs="宋体"/>
                <w:color w:val="auto"/>
                <w:szCs w:val="20"/>
                <w:highlight w:val="none"/>
              </w:rPr>
              <w:t>、</w:t>
            </w:r>
            <w:r>
              <w:rPr>
                <w:rFonts w:ascii="宋体" w:hAnsi="宋体" w:cs="宋体"/>
                <w:color w:val="auto"/>
                <w:szCs w:val="20"/>
                <w:highlight w:val="none"/>
              </w:rPr>
              <w:t>资源节约措施</w:t>
            </w:r>
            <w:r>
              <w:rPr>
                <w:rFonts w:hint="eastAsia" w:ascii="宋体" w:hAnsi="宋体" w:cs="宋体"/>
                <w:color w:val="auto"/>
                <w:szCs w:val="20"/>
                <w:highlight w:val="none"/>
              </w:rPr>
              <w:t>等内容；</w:t>
            </w:r>
          </w:p>
          <w:p w14:paraId="5D33C3B1">
            <w:pPr>
              <w:spacing w:line="360" w:lineRule="auto"/>
              <w:rPr>
                <w:rFonts w:ascii="宋体" w:hAnsi="宋体"/>
                <w:b w:val="0"/>
                <w:bCs/>
                <w:color w:val="auto"/>
                <w:szCs w:val="21"/>
                <w:highlight w:val="none"/>
              </w:rPr>
            </w:pPr>
            <w:r>
              <w:rPr>
                <w:rFonts w:hint="eastAsia" w:ascii="宋体" w:hAnsi="宋体" w:cs="宋体"/>
                <w:b/>
                <w:bCs/>
                <w:color w:val="auto"/>
                <w:szCs w:val="20"/>
                <w:highlight w:val="none"/>
              </w:rPr>
              <w:t>（3）环境保护管理体系及措施：</w:t>
            </w:r>
            <w:r>
              <w:rPr>
                <w:rFonts w:hint="eastAsia" w:ascii="宋体" w:hAnsi="宋体" w:cs="宋体"/>
                <w:color w:val="auto"/>
                <w:szCs w:val="20"/>
                <w:highlight w:val="none"/>
              </w:rPr>
              <w:t>至少包括</w:t>
            </w:r>
            <w:r>
              <w:rPr>
                <w:rFonts w:hint="eastAsia" w:ascii="宋体" w:hAnsi="宋体"/>
                <w:color w:val="auto"/>
                <w:szCs w:val="21"/>
                <w:highlight w:val="none"/>
              </w:rPr>
              <w:t>管理目标、环境保护措施、</w:t>
            </w:r>
            <w:r>
              <w:rPr>
                <w:rFonts w:ascii="宋体" w:hAnsi="宋体" w:cs="宋体"/>
                <w:color w:val="auto"/>
                <w:kern w:val="0"/>
                <w:szCs w:val="21"/>
                <w:highlight w:val="none"/>
              </w:rPr>
              <w:t>监督与考核</w:t>
            </w:r>
            <w:r>
              <w:rPr>
                <w:rFonts w:hint="eastAsia" w:ascii="宋体" w:hAnsi="宋体" w:cs="宋体"/>
                <w:color w:val="auto"/>
                <w:kern w:val="0"/>
                <w:szCs w:val="21"/>
                <w:highlight w:val="none"/>
              </w:rPr>
              <w:t>等内容</w:t>
            </w:r>
            <w:r>
              <w:rPr>
                <w:rFonts w:hint="eastAsia" w:ascii="宋体" w:hAnsi="宋体"/>
                <w:b w:val="0"/>
                <w:bCs/>
                <w:color w:val="auto"/>
                <w:szCs w:val="21"/>
                <w:highlight w:val="none"/>
              </w:rPr>
              <w:t>。</w:t>
            </w:r>
          </w:p>
          <w:p w14:paraId="4016C125">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2、评分原则：</w:t>
            </w:r>
          </w:p>
          <w:p w14:paraId="7E7AFC33">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（1）提供的内容完全符合本项目采购需求的得满分</w:t>
            </w:r>
            <w:r>
              <w:rPr>
                <w:rFonts w:hint="eastAsia" w:ascii="宋体" w:hAnsi="宋体"/>
                <w:b w:val="0"/>
                <w:bCs/>
                <w:color w:val="auto"/>
                <w:szCs w:val="21"/>
                <w:highlight w:val="none"/>
                <w:lang w:val="en-US" w:eastAsia="zh-CN"/>
              </w:rPr>
              <w:t>9</w:t>
            </w:r>
            <w:r>
              <w:rPr>
                <w:rFonts w:hint="eastAsia" w:ascii="宋体" w:hAnsi="宋体"/>
                <w:b w:val="0"/>
                <w:bCs/>
                <w:color w:val="auto"/>
                <w:szCs w:val="21"/>
                <w:highlight w:val="none"/>
              </w:rPr>
              <w:t>分；</w:t>
            </w:r>
          </w:p>
          <w:p w14:paraId="444A4949">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（2）每缺一项内容扣</w:t>
            </w:r>
            <w:r>
              <w:rPr>
                <w:rFonts w:hint="eastAsia" w:ascii="宋体" w:hAnsi="宋体"/>
                <w:b w:val="0"/>
                <w:bCs/>
                <w:color w:val="auto"/>
                <w:szCs w:val="21"/>
                <w:highlight w:val="none"/>
                <w:lang w:val="en-US" w:eastAsia="zh-CN"/>
              </w:rPr>
              <w:t>3</w:t>
            </w:r>
            <w:r>
              <w:rPr>
                <w:rFonts w:hint="eastAsia" w:ascii="宋体" w:hAnsi="宋体"/>
                <w:b w:val="0"/>
                <w:bCs/>
                <w:color w:val="auto"/>
                <w:szCs w:val="21"/>
                <w:highlight w:val="none"/>
              </w:rPr>
              <w:t>分；</w:t>
            </w:r>
          </w:p>
          <w:p w14:paraId="1AC5170C">
            <w:pPr>
              <w:spacing w:line="360" w:lineRule="auto"/>
              <w:rPr>
                <w:rFonts w:hint="eastAsia" w:ascii="宋体" w:hAnsi="宋体" w:eastAsia="宋体"/>
                <w:color w:val="auto"/>
                <w:sz w:val="21"/>
                <w:szCs w:val="21"/>
                <w:highlight w:val="none"/>
                <w:lang w:eastAsia="zh-CN"/>
              </w:rPr>
            </w:pPr>
            <w:r>
              <w:rPr>
                <w:rFonts w:hint="eastAsia" w:ascii="宋体" w:hAnsi="宋体"/>
                <w:b w:val="0"/>
                <w:bCs/>
                <w:color w:val="auto"/>
                <w:szCs w:val="21"/>
                <w:highlight w:val="none"/>
              </w:rPr>
              <w:t>（3）</w:t>
            </w:r>
            <w:r>
              <w:rPr>
                <w:rFonts w:hint="eastAsia" w:ascii="宋体" w:hAnsi="宋体"/>
                <w:b w:val="0"/>
                <w:bCs/>
                <w:color w:val="auto"/>
                <w:szCs w:val="21"/>
                <w:highlight w:val="none"/>
                <w:lang w:val="en-US" w:eastAsia="zh-CN"/>
              </w:rPr>
              <w:t>每项</w:t>
            </w:r>
            <w:r>
              <w:rPr>
                <w:rFonts w:hint="eastAsia" w:ascii="宋体" w:hAnsi="宋体"/>
                <w:b w:val="0"/>
                <w:bCs/>
                <w:color w:val="auto"/>
                <w:szCs w:val="21"/>
                <w:highlight w:val="none"/>
              </w:rPr>
              <w:t>评审内容存在下列</w:t>
            </w:r>
            <w:r>
              <w:rPr>
                <w:rFonts w:hint="eastAsia" w:ascii="宋体" w:hAnsi="宋体"/>
                <w:color w:val="auto"/>
                <w:szCs w:val="21"/>
                <w:highlight w:val="none"/>
              </w:rPr>
              <w:t>不足或有欠缺</w:t>
            </w:r>
            <w:r>
              <w:rPr>
                <w:rFonts w:hint="eastAsia" w:ascii="宋体" w:hAnsi="宋体"/>
                <w:b w:val="0"/>
                <w:bCs/>
                <w:color w:val="auto"/>
                <w:szCs w:val="21"/>
                <w:highlight w:val="none"/>
              </w:rPr>
              <w:t>情形的</w:t>
            </w:r>
            <w:r>
              <w:rPr>
                <w:rFonts w:hint="eastAsia" w:ascii="宋体" w:hAnsi="宋体"/>
                <w:color w:val="auto"/>
                <w:sz w:val="21"/>
                <w:szCs w:val="21"/>
                <w:highlight w:val="none"/>
              </w:rPr>
              <w:t>扣</w:t>
            </w:r>
            <w:r>
              <w:rPr>
                <w:rFonts w:hint="eastAsia" w:ascii="宋体" w:hAnsi="宋体"/>
                <w:color w:val="auto"/>
                <w:sz w:val="21"/>
                <w:szCs w:val="21"/>
                <w:highlight w:val="none"/>
                <w:lang w:val="en-US" w:eastAsia="zh-CN"/>
              </w:rPr>
              <w:t>1.5</w:t>
            </w:r>
            <w:r>
              <w:rPr>
                <w:rFonts w:hint="eastAsia" w:ascii="宋体" w:hAnsi="宋体"/>
                <w:color w:val="auto"/>
                <w:sz w:val="21"/>
                <w:szCs w:val="21"/>
                <w:highlight w:val="none"/>
              </w:rPr>
              <w:t>分</w:t>
            </w:r>
            <w:r>
              <w:rPr>
                <w:rFonts w:hint="eastAsia" w:ascii="宋体" w:hAnsi="宋体"/>
                <w:color w:val="auto"/>
                <w:sz w:val="21"/>
                <w:szCs w:val="21"/>
                <w:highlight w:val="none"/>
                <w:lang w:eastAsia="zh-CN"/>
              </w:rPr>
              <w:t>。</w:t>
            </w:r>
          </w:p>
          <w:p w14:paraId="53F17574">
            <w:pPr>
              <w:numPr>
                <w:ilvl w:val="0"/>
                <w:numId w:val="0"/>
              </w:numPr>
              <w:spacing w:line="360" w:lineRule="auto"/>
              <w:rPr>
                <w:rFonts w:hint="eastAsia" w:ascii="宋体" w:hAnsi="宋体"/>
                <w:b w:val="0"/>
                <w:bCs/>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w:t>
            </w:r>
            <w:r>
              <w:rPr>
                <w:rFonts w:hint="eastAsia" w:ascii="宋体" w:hAnsi="宋体"/>
                <w:color w:val="auto"/>
                <w:szCs w:val="21"/>
                <w:highlight w:val="none"/>
              </w:rPr>
              <w:t>不足或有欠缺</w:t>
            </w:r>
            <w:r>
              <w:rPr>
                <w:rFonts w:hint="eastAsia" w:ascii="宋体" w:hAnsi="宋体"/>
                <w:b w:val="0"/>
                <w:bCs/>
                <w:color w:val="auto"/>
                <w:szCs w:val="21"/>
                <w:highlight w:val="none"/>
              </w:rPr>
              <w:t>情形</w:t>
            </w:r>
            <w:r>
              <w:rPr>
                <w:rFonts w:hint="eastAsia" w:cs="宋体"/>
                <w:bCs/>
                <w:color w:val="auto"/>
                <w:szCs w:val="21"/>
                <w:highlight w:val="none"/>
              </w:rPr>
              <w:t>指</w:t>
            </w:r>
            <w:r>
              <w:rPr>
                <w:rFonts w:hint="eastAsia" w:cs="宋体"/>
                <w:bCs/>
                <w:color w:val="auto"/>
                <w:szCs w:val="21"/>
                <w:highlight w:val="none"/>
                <w:lang w:eastAsia="zh-CN"/>
              </w:rPr>
              <w:t>：</w:t>
            </w:r>
            <w:r>
              <w:rPr>
                <w:rFonts w:hint="eastAsia" w:ascii="宋体" w:hAnsi="宋体" w:cs="宋体"/>
                <w:color w:val="auto"/>
                <w:highlight w:val="none"/>
                <w:lang w:eastAsia="zh-CN"/>
              </w:rPr>
              <w:t>内容只做笼统</w:t>
            </w:r>
            <w:r>
              <w:rPr>
                <w:rFonts w:hint="eastAsia" w:ascii="宋体" w:hAnsi="宋体" w:eastAsia="宋体" w:cs="Times New Roman"/>
                <w:b w:val="0"/>
                <w:bCs/>
                <w:color w:val="auto"/>
                <w:kern w:val="2"/>
                <w:sz w:val="21"/>
                <w:szCs w:val="21"/>
                <w:highlight w:val="none"/>
                <w:lang w:val="en-US" w:eastAsia="zh-CN" w:bidi="ar-SA"/>
              </w:rPr>
              <w:t>概括</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无落地举措，或未完全</w:t>
            </w:r>
            <w:r>
              <w:rPr>
                <w:rFonts w:hint="eastAsia" w:ascii="宋体" w:hAnsi="宋体" w:eastAsia="宋体" w:cs="宋体"/>
                <w:color w:val="auto"/>
                <w:szCs w:val="21"/>
                <w:highlight w:val="none"/>
                <w:lang w:val="en-US" w:eastAsia="zh-CN"/>
              </w:rPr>
              <w:t>按评审内容要求的内容进行描述</w:t>
            </w: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rPr>
              <w:t>未围绕本项目实际</w:t>
            </w:r>
            <w:r>
              <w:rPr>
                <w:rFonts w:hint="eastAsia" w:ascii="宋体" w:hAnsi="宋体" w:eastAsia="宋体" w:cs="Times New Roman"/>
                <w:b w:val="0"/>
                <w:bCs/>
                <w:color w:val="auto"/>
                <w:kern w:val="2"/>
                <w:sz w:val="21"/>
                <w:szCs w:val="21"/>
                <w:highlight w:val="none"/>
                <w:lang w:val="en-US" w:eastAsia="zh-CN" w:bidi="ar-SA"/>
              </w:rPr>
              <w:t>采购</w:t>
            </w:r>
            <w:r>
              <w:rPr>
                <w:rFonts w:hint="eastAsia" w:ascii="宋体" w:hAnsi="宋体" w:cs="宋体"/>
                <w:color w:val="auto"/>
                <w:highlight w:val="none"/>
              </w:rPr>
              <w:t>需求</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rPr>
              <w:t>未结合本项目采购标的、</w:t>
            </w:r>
            <w:r>
              <w:rPr>
                <w:rFonts w:hint="eastAsia" w:ascii="宋体" w:hAnsi="宋体" w:cs="宋体"/>
                <w:color w:val="auto"/>
                <w:highlight w:val="none"/>
                <w:lang w:val="en-US" w:eastAsia="zh-CN"/>
              </w:rPr>
              <w:t>施工</w:t>
            </w:r>
            <w:r>
              <w:rPr>
                <w:rFonts w:hint="eastAsia" w:ascii="宋体" w:hAnsi="宋体" w:cs="宋体"/>
                <w:color w:val="auto"/>
                <w:highlight w:val="none"/>
              </w:rPr>
              <w:t>范围、</w:t>
            </w:r>
            <w:r>
              <w:rPr>
                <w:rFonts w:hint="eastAsia" w:ascii="宋体" w:hAnsi="宋体" w:cs="宋体"/>
                <w:color w:val="auto"/>
                <w:highlight w:val="none"/>
                <w:lang w:val="en-US" w:eastAsia="zh-CN"/>
              </w:rPr>
              <w:t>采购人单位</w:t>
            </w:r>
            <w:r>
              <w:rPr>
                <w:rFonts w:hint="eastAsia" w:ascii="宋体" w:hAnsi="宋体" w:cs="宋体"/>
                <w:color w:val="auto"/>
                <w:highlight w:val="none"/>
              </w:rPr>
              <w:t>特点</w:t>
            </w:r>
            <w:r>
              <w:rPr>
                <w:rFonts w:hint="eastAsia" w:ascii="宋体" w:hAnsi="宋体" w:cs="宋体"/>
                <w:color w:val="auto"/>
                <w:highlight w:val="none"/>
                <w:lang w:val="en-US" w:eastAsia="zh-CN"/>
              </w:rPr>
              <w:t>及需求对应</w:t>
            </w:r>
            <w:r>
              <w:rPr>
                <w:rFonts w:hint="eastAsia" w:ascii="宋体" w:hAnsi="宋体" w:cs="宋体"/>
                <w:color w:val="auto"/>
                <w:highlight w:val="none"/>
              </w:rPr>
              <w:t>进行阐述</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大量阐述与本项目采购标的无关的内容，偏离采购范围，</w:t>
            </w:r>
            <w:r>
              <w:rPr>
                <w:rFonts w:hint="eastAsia" w:ascii="宋体" w:hAnsi="宋体" w:cs="宋体"/>
                <w:color w:val="auto"/>
                <w:highlight w:val="none"/>
                <w:lang w:val="en-US" w:eastAsia="zh-CN"/>
              </w:rPr>
              <w:t>或大量</w:t>
            </w:r>
            <w:r>
              <w:rPr>
                <w:rFonts w:hint="eastAsia" w:ascii="宋体" w:hAnsi="宋体" w:cs="宋体"/>
                <w:color w:val="auto"/>
                <w:highlight w:val="none"/>
                <w:lang w:eastAsia="zh-CN"/>
              </w:rPr>
              <w:t>照搬</w:t>
            </w:r>
            <w:r>
              <w:rPr>
                <w:rFonts w:hint="eastAsia" w:ascii="宋体" w:hAnsi="宋体" w:cs="宋体"/>
                <w:color w:val="auto"/>
                <w:highlight w:val="none"/>
                <w:lang w:val="en-US" w:eastAsia="zh-CN"/>
              </w:rPr>
              <w:t>采购</w:t>
            </w:r>
            <w:r>
              <w:rPr>
                <w:rFonts w:hint="eastAsia" w:ascii="宋体" w:hAnsi="宋体" w:cs="宋体"/>
                <w:color w:val="auto"/>
                <w:highlight w:val="none"/>
                <w:lang w:eastAsia="zh-CN"/>
              </w:rPr>
              <w:t>需求，</w:t>
            </w:r>
            <w:r>
              <w:rPr>
                <w:rFonts w:hint="eastAsia" w:ascii="宋体" w:hAnsi="宋体" w:cs="宋体"/>
                <w:color w:val="auto"/>
                <w:highlight w:val="none"/>
                <w:lang w:val="en-US" w:eastAsia="zh-CN"/>
              </w:rPr>
              <w:t>或出现</w:t>
            </w:r>
            <w:r>
              <w:rPr>
                <w:rFonts w:hint="eastAsia" w:ascii="宋体" w:hAnsi="宋体" w:cs="宋体"/>
                <w:color w:val="auto"/>
                <w:highlight w:val="none"/>
                <w:lang w:eastAsia="zh-CN"/>
              </w:rPr>
              <w:t>其他项目信息，</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前后内容表述冲突，</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实施流程顺序错乱，因果关系不成立，无法</w:t>
            </w:r>
            <w:r>
              <w:rPr>
                <w:rFonts w:hint="eastAsia" w:ascii="宋体" w:hAnsi="宋体" w:eastAsia="宋体" w:cs="Times New Roman"/>
                <w:b w:val="0"/>
                <w:bCs/>
                <w:color w:val="auto"/>
                <w:kern w:val="2"/>
                <w:sz w:val="21"/>
                <w:szCs w:val="21"/>
                <w:highlight w:val="none"/>
                <w:lang w:val="en-US" w:eastAsia="zh-CN" w:bidi="ar-SA"/>
              </w:rPr>
              <w:t>自洽，</w:t>
            </w:r>
            <w:r>
              <w:rPr>
                <w:rFonts w:hint="eastAsia" w:ascii="宋体" w:hAnsi="宋体" w:cs="宋体"/>
                <w:color w:val="auto"/>
                <w:highlight w:val="none"/>
                <w:lang w:val="en-US" w:eastAsia="zh-CN"/>
              </w:rPr>
              <w:t>或</w:t>
            </w:r>
            <w:r>
              <w:rPr>
                <w:rFonts w:hint="eastAsia" w:ascii="宋体" w:hAnsi="宋体" w:eastAsia="宋体" w:cs="Times New Roman"/>
                <w:b w:val="0"/>
                <w:bCs/>
                <w:color w:val="auto"/>
                <w:kern w:val="2"/>
                <w:sz w:val="21"/>
                <w:szCs w:val="21"/>
                <w:highlight w:val="none"/>
                <w:lang w:val="en-US" w:eastAsia="zh-CN" w:bidi="ar-SA"/>
              </w:rPr>
              <w:t>内容违背对应行业原理标准规范；或不符合客观常识。</w:t>
            </w:r>
          </w:p>
        </w:tc>
      </w:tr>
      <w:tr w14:paraId="1A13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132" w:hRule="atLeast"/>
          <w:jc w:val="center"/>
        </w:trPr>
        <w:tc>
          <w:tcPr>
            <w:tcW w:w="947" w:type="dxa"/>
            <w:vMerge w:val="continue"/>
            <w:noWrap w:val="0"/>
            <w:vAlign w:val="center"/>
          </w:tcPr>
          <w:p w14:paraId="1B580136">
            <w:pPr>
              <w:spacing w:line="355" w:lineRule="auto"/>
              <w:rPr>
                <w:rFonts w:hint="eastAsia" w:ascii="宋体" w:hAnsi="宋体" w:eastAsia="宋体" w:cs="宋体"/>
                <w:color w:val="FF0000"/>
                <w:szCs w:val="21"/>
                <w:highlight w:val="none"/>
                <w:lang w:val="en-US" w:eastAsia="zh-CN"/>
              </w:rPr>
            </w:pPr>
          </w:p>
        </w:tc>
        <w:tc>
          <w:tcPr>
            <w:tcW w:w="1146" w:type="dxa"/>
            <w:noWrap w:val="0"/>
            <w:vAlign w:val="center"/>
          </w:tcPr>
          <w:p w14:paraId="3D731B4A">
            <w:pPr>
              <w:spacing w:line="355" w:lineRule="auto"/>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4</w:t>
            </w:r>
          </w:p>
        </w:tc>
        <w:tc>
          <w:tcPr>
            <w:tcW w:w="1395" w:type="dxa"/>
            <w:gridSpan w:val="2"/>
            <w:noWrap w:val="0"/>
            <w:vAlign w:val="center"/>
          </w:tcPr>
          <w:p w14:paraId="2335CBAB">
            <w:pPr>
              <w:spacing w:line="355" w:lineRule="auto"/>
              <w:rPr>
                <w:rFonts w:hint="eastAsia" w:ascii="宋体" w:hAnsi="宋体" w:cs="宋体"/>
                <w:color w:val="auto"/>
                <w:kern w:val="0"/>
                <w:szCs w:val="21"/>
                <w:highlight w:val="none"/>
              </w:rPr>
            </w:pPr>
            <w:r>
              <w:rPr>
                <w:rFonts w:hint="eastAsia" w:ascii="宋体" w:hAnsi="宋体" w:cs="宋体"/>
                <w:color w:val="auto"/>
                <w:szCs w:val="21"/>
                <w:highlight w:val="none"/>
              </w:rPr>
              <w:t>工程进度计划、资源配备计划与保证措施（满分</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分）</w:t>
            </w:r>
          </w:p>
        </w:tc>
        <w:tc>
          <w:tcPr>
            <w:tcW w:w="6334" w:type="dxa"/>
            <w:gridSpan w:val="3"/>
            <w:noWrap w:val="0"/>
            <w:vAlign w:val="top"/>
          </w:tcPr>
          <w:p w14:paraId="1609FACC">
            <w:pPr>
              <w:numPr>
                <w:ilvl w:val="0"/>
                <w:numId w:val="0"/>
              </w:numPr>
              <w:spacing w:line="360" w:lineRule="auto"/>
              <w:rPr>
                <w:rFonts w:hint="eastAsia" w:ascii="宋体" w:hAnsi="宋体"/>
                <w:b w:val="0"/>
                <w:bCs/>
                <w:color w:val="auto"/>
                <w:szCs w:val="21"/>
                <w:highlight w:val="none"/>
              </w:rPr>
            </w:pPr>
            <w:r>
              <w:rPr>
                <w:rFonts w:hint="eastAsia" w:ascii="宋体" w:hAnsi="宋体" w:eastAsia="宋体" w:cs="Times New Roman"/>
                <w:b w:val="0"/>
                <w:bCs/>
                <w:color w:val="auto"/>
                <w:kern w:val="2"/>
                <w:sz w:val="21"/>
                <w:szCs w:val="21"/>
                <w:highlight w:val="none"/>
                <w:lang w:val="en-US" w:eastAsia="zh-CN" w:bidi="ar-SA"/>
              </w:rPr>
              <w:t>1、</w:t>
            </w:r>
            <w:r>
              <w:rPr>
                <w:rFonts w:hint="eastAsia" w:ascii="宋体" w:hAnsi="宋体"/>
                <w:b w:val="0"/>
                <w:bCs/>
                <w:color w:val="auto"/>
                <w:szCs w:val="21"/>
                <w:highlight w:val="none"/>
              </w:rPr>
              <w:t>评审内容：</w:t>
            </w:r>
          </w:p>
          <w:p w14:paraId="63EB8E91">
            <w:pPr>
              <w:spacing w:line="360" w:lineRule="auto"/>
              <w:rPr>
                <w:rFonts w:hint="eastAsia" w:ascii="宋体" w:hAnsi="宋体" w:cs="宋体"/>
                <w:color w:val="auto"/>
                <w:szCs w:val="20"/>
                <w:highlight w:val="none"/>
              </w:rPr>
            </w:pPr>
            <w:r>
              <w:rPr>
                <w:rFonts w:hint="eastAsia" w:ascii="宋体" w:hAnsi="宋体" w:cs="宋体"/>
                <w:b/>
                <w:bCs/>
                <w:color w:val="auto"/>
                <w:szCs w:val="20"/>
                <w:highlight w:val="none"/>
              </w:rPr>
              <w:t>（1）工程进度计划及保障措施：</w:t>
            </w:r>
            <w:r>
              <w:rPr>
                <w:rFonts w:hint="eastAsia" w:ascii="宋体" w:hAnsi="宋体" w:cs="宋体"/>
                <w:color w:val="auto"/>
                <w:szCs w:val="20"/>
                <w:highlight w:val="none"/>
              </w:rPr>
              <w:t>按工期承诺编制进度计划及对应的工期保障措施；</w:t>
            </w:r>
          </w:p>
          <w:p w14:paraId="68B71C6B">
            <w:pPr>
              <w:spacing w:line="360" w:lineRule="auto"/>
              <w:rPr>
                <w:rFonts w:hint="eastAsia" w:ascii="宋体" w:hAnsi="宋体" w:cs="宋体"/>
                <w:color w:val="auto"/>
                <w:szCs w:val="20"/>
                <w:highlight w:val="none"/>
              </w:rPr>
            </w:pPr>
            <w:r>
              <w:rPr>
                <w:rFonts w:hint="eastAsia" w:ascii="宋体" w:hAnsi="宋体" w:cs="宋体"/>
                <w:b/>
                <w:bCs/>
                <w:color w:val="auto"/>
                <w:szCs w:val="20"/>
                <w:highlight w:val="none"/>
              </w:rPr>
              <w:t>（2）资源配备计划及保障措施：</w:t>
            </w:r>
            <w:r>
              <w:rPr>
                <w:rFonts w:hint="eastAsia" w:ascii="宋体" w:hAnsi="宋体" w:cs="宋体"/>
                <w:color w:val="auto"/>
                <w:szCs w:val="20"/>
                <w:highlight w:val="none"/>
              </w:rPr>
              <w:t>至少包括完成本工程所需的劳动力计划、施工机具计划、周转材料计划及主要材料一次性需用量计划及相对应的保障措施；</w:t>
            </w:r>
          </w:p>
          <w:p w14:paraId="38238BE1">
            <w:pPr>
              <w:spacing w:line="360" w:lineRule="auto"/>
              <w:rPr>
                <w:rFonts w:hint="eastAsia" w:ascii="宋体" w:hAnsi="宋体" w:cs="宋体"/>
                <w:color w:val="auto"/>
                <w:szCs w:val="20"/>
                <w:highlight w:val="none"/>
              </w:rPr>
            </w:pPr>
            <w:r>
              <w:rPr>
                <w:rFonts w:hint="eastAsia" w:ascii="宋体" w:hAnsi="宋体" w:cs="宋体"/>
                <w:b/>
                <w:bCs/>
                <w:color w:val="auto"/>
                <w:szCs w:val="20"/>
                <w:highlight w:val="none"/>
              </w:rPr>
              <w:t>（3）违约承诺及违约处罚措施：</w:t>
            </w:r>
            <w:r>
              <w:rPr>
                <w:rFonts w:hint="eastAsia" w:ascii="宋体" w:hAnsi="宋体" w:cs="宋体"/>
                <w:color w:val="auto"/>
                <w:szCs w:val="20"/>
                <w:highlight w:val="none"/>
              </w:rPr>
              <w:t>与工期进度计划及资源配备计划相对应的违约承诺及细化量化的违约处罚措施。</w:t>
            </w:r>
          </w:p>
          <w:p w14:paraId="2047F19C">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2、评分原则：</w:t>
            </w:r>
          </w:p>
          <w:p w14:paraId="56D7ABBB">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（1）提供的内容完全符合本项目采购需求的得满分</w:t>
            </w:r>
            <w:r>
              <w:rPr>
                <w:rFonts w:hint="eastAsia" w:ascii="宋体" w:hAnsi="宋体"/>
                <w:b w:val="0"/>
                <w:bCs/>
                <w:color w:val="auto"/>
                <w:szCs w:val="21"/>
                <w:highlight w:val="none"/>
                <w:lang w:val="en-US" w:eastAsia="zh-CN"/>
              </w:rPr>
              <w:t>12</w:t>
            </w:r>
            <w:r>
              <w:rPr>
                <w:rFonts w:hint="eastAsia" w:ascii="宋体" w:hAnsi="宋体"/>
                <w:b w:val="0"/>
                <w:bCs/>
                <w:color w:val="auto"/>
                <w:szCs w:val="21"/>
                <w:highlight w:val="none"/>
              </w:rPr>
              <w:t>分；</w:t>
            </w:r>
          </w:p>
          <w:p w14:paraId="171768E5">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（2）每缺一项内容扣</w:t>
            </w:r>
            <w:r>
              <w:rPr>
                <w:rFonts w:hint="eastAsia" w:ascii="宋体" w:hAnsi="宋体"/>
                <w:b w:val="0"/>
                <w:bCs/>
                <w:color w:val="auto"/>
                <w:szCs w:val="21"/>
                <w:highlight w:val="none"/>
                <w:lang w:val="en-US" w:eastAsia="zh-CN"/>
              </w:rPr>
              <w:t>4</w:t>
            </w:r>
            <w:r>
              <w:rPr>
                <w:rFonts w:hint="eastAsia" w:ascii="宋体" w:hAnsi="宋体"/>
                <w:b w:val="0"/>
                <w:bCs/>
                <w:color w:val="auto"/>
                <w:szCs w:val="21"/>
                <w:highlight w:val="none"/>
              </w:rPr>
              <w:t>分；</w:t>
            </w:r>
          </w:p>
          <w:p w14:paraId="6748A7FB">
            <w:pPr>
              <w:spacing w:line="360" w:lineRule="auto"/>
              <w:rPr>
                <w:rFonts w:hint="eastAsia" w:ascii="宋体" w:hAnsi="宋体" w:eastAsia="宋体"/>
                <w:color w:val="auto"/>
                <w:sz w:val="21"/>
                <w:szCs w:val="21"/>
                <w:highlight w:val="none"/>
                <w:lang w:eastAsia="zh-CN"/>
              </w:rPr>
            </w:pPr>
            <w:r>
              <w:rPr>
                <w:rFonts w:hint="eastAsia" w:ascii="宋体" w:hAnsi="宋体"/>
                <w:b w:val="0"/>
                <w:bCs/>
                <w:color w:val="auto"/>
                <w:szCs w:val="21"/>
                <w:highlight w:val="none"/>
              </w:rPr>
              <w:t>（3）</w:t>
            </w:r>
            <w:r>
              <w:rPr>
                <w:rFonts w:hint="eastAsia" w:ascii="宋体" w:hAnsi="宋体"/>
                <w:b w:val="0"/>
                <w:bCs/>
                <w:color w:val="auto"/>
                <w:szCs w:val="21"/>
                <w:highlight w:val="none"/>
                <w:lang w:val="en-US" w:eastAsia="zh-CN"/>
              </w:rPr>
              <w:t>每项</w:t>
            </w:r>
            <w:r>
              <w:rPr>
                <w:rFonts w:hint="eastAsia" w:ascii="宋体" w:hAnsi="宋体"/>
                <w:b w:val="0"/>
                <w:bCs/>
                <w:color w:val="auto"/>
                <w:szCs w:val="21"/>
                <w:highlight w:val="none"/>
              </w:rPr>
              <w:t>评审内容存在下列</w:t>
            </w:r>
            <w:r>
              <w:rPr>
                <w:rFonts w:hint="eastAsia" w:ascii="宋体" w:hAnsi="宋体"/>
                <w:color w:val="auto"/>
                <w:szCs w:val="21"/>
                <w:highlight w:val="none"/>
              </w:rPr>
              <w:t>不足或有欠缺</w:t>
            </w:r>
            <w:r>
              <w:rPr>
                <w:rFonts w:hint="eastAsia" w:ascii="宋体" w:hAnsi="宋体"/>
                <w:b w:val="0"/>
                <w:bCs/>
                <w:color w:val="auto"/>
                <w:szCs w:val="21"/>
                <w:highlight w:val="none"/>
              </w:rPr>
              <w:t>情形的</w:t>
            </w:r>
            <w:r>
              <w:rPr>
                <w:rFonts w:hint="eastAsia" w:ascii="宋体" w:hAnsi="宋体"/>
                <w:color w:val="auto"/>
                <w:sz w:val="21"/>
                <w:szCs w:val="21"/>
                <w:highlight w:val="none"/>
              </w:rPr>
              <w:t>扣</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分</w:t>
            </w:r>
            <w:r>
              <w:rPr>
                <w:rFonts w:hint="eastAsia" w:ascii="宋体" w:hAnsi="宋体"/>
                <w:color w:val="auto"/>
                <w:sz w:val="21"/>
                <w:szCs w:val="21"/>
                <w:highlight w:val="none"/>
                <w:lang w:eastAsia="zh-CN"/>
              </w:rPr>
              <w:t>。</w:t>
            </w:r>
          </w:p>
          <w:p w14:paraId="56A96129">
            <w:pPr>
              <w:numPr>
                <w:ilvl w:val="0"/>
                <w:numId w:val="0"/>
              </w:numPr>
              <w:spacing w:line="360" w:lineRule="auto"/>
              <w:rPr>
                <w:rFonts w:hint="eastAsia" w:ascii="宋体" w:hAnsi="宋体"/>
                <w:b w:val="0"/>
                <w:bCs/>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w:t>
            </w:r>
            <w:r>
              <w:rPr>
                <w:rFonts w:hint="eastAsia" w:ascii="宋体" w:hAnsi="宋体"/>
                <w:color w:val="auto"/>
                <w:szCs w:val="21"/>
                <w:highlight w:val="none"/>
              </w:rPr>
              <w:t>不足或有欠缺</w:t>
            </w:r>
            <w:r>
              <w:rPr>
                <w:rFonts w:hint="eastAsia" w:ascii="宋体" w:hAnsi="宋体"/>
                <w:b w:val="0"/>
                <w:bCs/>
                <w:color w:val="auto"/>
                <w:szCs w:val="21"/>
                <w:highlight w:val="none"/>
              </w:rPr>
              <w:t>情形</w:t>
            </w:r>
            <w:r>
              <w:rPr>
                <w:rFonts w:hint="eastAsia" w:cs="宋体"/>
                <w:bCs/>
                <w:color w:val="auto"/>
                <w:szCs w:val="21"/>
                <w:highlight w:val="none"/>
              </w:rPr>
              <w:t>指</w:t>
            </w:r>
            <w:r>
              <w:rPr>
                <w:rFonts w:hint="eastAsia" w:cs="宋体"/>
                <w:bCs/>
                <w:color w:val="auto"/>
                <w:szCs w:val="21"/>
                <w:highlight w:val="none"/>
                <w:lang w:eastAsia="zh-CN"/>
              </w:rPr>
              <w:t>：</w:t>
            </w:r>
            <w:r>
              <w:rPr>
                <w:rFonts w:hint="eastAsia" w:ascii="宋体" w:hAnsi="宋体" w:cs="宋体"/>
                <w:color w:val="auto"/>
                <w:highlight w:val="none"/>
                <w:lang w:eastAsia="zh-CN"/>
              </w:rPr>
              <w:t>内容只做笼统</w:t>
            </w:r>
            <w:r>
              <w:rPr>
                <w:rFonts w:hint="eastAsia" w:ascii="宋体" w:hAnsi="宋体" w:eastAsia="宋体" w:cs="Times New Roman"/>
                <w:b w:val="0"/>
                <w:bCs/>
                <w:color w:val="auto"/>
                <w:kern w:val="2"/>
                <w:sz w:val="21"/>
                <w:szCs w:val="21"/>
                <w:highlight w:val="none"/>
                <w:lang w:val="en-US" w:eastAsia="zh-CN" w:bidi="ar-SA"/>
              </w:rPr>
              <w:t>概括</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无落地举措，或未完全</w:t>
            </w:r>
            <w:r>
              <w:rPr>
                <w:rFonts w:hint="eastAsia" w:ascii="宋体" w:hAnsi="宋体" w:eastAsia="宋体" w:cs="宋体"/>
                <w:color w:val="auto"/>
                <w:szCs w:val="21"/>
                <w:highlight w:val="none"/>
                <w:lang w:val="en-US" w:eastAsia="zh-CN"/>
              </w:rPr>
              <w:t>按评审内容要求的内容进行描述</w:t>
            </w: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rPr>
              <w:t>未围绕本项目实际</w:t>
            </w:r>
            <w:r>
              <w:rPr>
                <w:rFonts w:hint="eastAsia" w:ascii="宋体" w:hAnsi="宋体" w:eastAsia="宋体" w:cs="Times New Roman"/>
                <w:b w:val="0"/>
                <w:bCs/>
                <w:color w:val="auto"/>
                <w:kern w:val="2"/>
                <w:sz w:val="21"/>
                <w:szCs w:val="21"/>
                <w:highlight w:val="none"/>
                <w:lang w:val="en-US" w:eastAsia="zh-CN" w:bidi="ar-SA"/>
              </w:rPr>
              <w:t>采购</w:t>
            </w:r>
            <w:r>
              <w:rPr>
                <w:rFonts w:hint="eastAsia" w:ascii="宋体" w:hAnsi="宋体" w:cs="宋体"/>
                <w:color w:val="auto"/>
                <w:highlight w:val="none"/>
              </w:rPr>
              <w:t>需求</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rPr>
              <w:t>未结合本项目采购标的、</w:t>
            </w:r>
            <w:r>
              <w:rPr>
                <w:rFonts w:hint="eastAsia" w:ascii="宋体" w:hAnsi="宋体" w:cs="宋体"/>
                <w:color w:val="auto"/>
                <w:highlight w:val="none"/>
                <w:lang w:val="en-US" w:eastAsia="zh-CN"/>
              </w:rPr>
              <w:t>施工</w:t>
            </w:r>
            <w:r>
              <w:rPr>
                <w:rFonts w:hint="eastAsia" w:ascii="宋体" w:hAnsi="宋体" w:cs="宋体"/>
                <w:color w:val="auto"/>
                <w:highlight w:val="none"/>
              </w:rPr>
              <w:t>范围、</w:t>
            </w:r>
            <w:r>
              <w:rPr>
                <w:rFonts w:hint="eastAsia" w:ascii="宋体" w:hAnsi="宋体" w:cs="宋体"/>
                <w:color w:val="auto"/>
                <w:highlight w:val="none"/>
                <w:lang w:val="en-US" w:eastAsia="zh-CN"/>
              </w:rPr>
              <w:t>采购人单位</w:t>
            </w:r>
            <w:r>
              <w:rPr>
                <w:rFonts w:hint="eastAsia" w:ascii="宋体" w:hAnsi="宋体" w:cs="宋体"/>
                <w:color w:val="auto"/>
                <w:highlight w:val="none"/>
              </w:rPr>
              <w:t>特点</w:t>
            </w:r>
            <w:r>
              <w:rPr>
                <w:rFonts w:hint="eastAsia" w:ascii="宋体" w:hAnsi="宋体" w:cs="宋体"/>
                <w:color w:val="auto"/>
                <w:highlight w:val="none"/>
                <w:lang w:val="en-US" w:eastAsia="zh-CN"/>
              </w:rPr>
              <w:t>及需求对应</w:t>
            </w:r>
            <w:r>
              <w:rPr>
                <w:rFonts w:hint="eastAsia" w:ascii="宋体" w:hAnsi="宋体" w:cs="宋体"/>
                <w:color w:val="auto"/>
                <w:highlight w:val="none"/>
              </w:rPr>
              <w:t>进行阐述</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大量阐述与本项目采购标的无关的内容，偏离采购范围，</w:t>
            </w:r>
            <w:r>
              <w:rPr>
                <w:rFonts w:hint="eastAsia" w:ascii="宋体" w:hAnsi="宋体" w:cs="宋体"/>
                <w:color w:val="auto"/>
                <w:highlight w:val="none"/>
                <w:lang w:val="en-US" w:eastAsia="zh-CN"/>
              </w:rPr>
              <w:t>或大量</w:t>
            </w:r>
            <w:r>
              <w:rPr>
                <w:rFonts w:hint="eastAsia" w:ascii="宋体" w:hAnsi="宋体" w:cs="宋体"/>
                <w:color w:val="auto"/>
                <w:highlight w:val="none"/>
                <w:lang w:eastAsia="zh-CN"/>
              </w:rPr>
              <w:t>照搬</w:t>
            </w:r>
            <w:r>
              <w:rPr>
                <w:rFonts w:hint="eastAsia" w:ascii="宋体" w:hAnsi="宋体" w:cs="宋体"/>
                <w:color w:val="auto"/>
                <w:highlight w:val="none"/>
                <w:lang w:val="en-US" w:eastAsia="zh-CN"/>
              </w:rPr>
              <w:t>采购</w:t>
            </w:r>
            <w:r>
              <w:rPr>
                <w:rFonts w:hint="eastAsia" w:ascii="宋体" w:hAnsi="宋体" w:cs="宋体"/>
                <w:color w:val="auto"/>
                <w:highlight w:val="none"/>
                <w:lang w:eastAsia="zh-CN"/>
              </w:rPr>
              <w:t>需求，</w:t>
            </w:r>
            <w:r>
              <w:rPr>
                <w:rFonts w:hint="eastAsia" w:ascii="宋体" w:hAnsi="宋体" w:cs="宋体"/>
                <w:color w:val="auto"/>
                <w:highlight w:val="none"/>
                <w:lang w:val="en-US" w:eastAsia="zh-CN"/>
              </w:rPr>
              <w:t>或出现</w:t>
            </w:r>
            <w:r>
              <w:rPr>
                <w:rFonts w:hint="eastAsia" w:ascii="宋体" w:hAnsi="宋体" w:cs="宋体"/>
                <w:color w:val="auto"/>
                <w:highlight w:val="none"/>
                <w:lang w:eastAsia="zh-CN"/>
              </w:rPr>
              <w:t>其他项目信息，</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前后内容表述冲突，</w:t>
            </w:r>
            <w:r>
              <w:rPr>
                <w:rFonts w:hint="eastAsia" w:ascii="宋体" w:hAnsi="宋体" w:cs="宋体"/>
                <w:color w:val="auto"/>
                <w:highlight w:val="none"/>
                <w:lang w:val="en-US" w:eastAsia="zh-CN"/>
              </w:rPr>
              <w:t>或</w:t>
            </w:r>
            <w:r>
              <w:rPr>
                <w:rFonts w:hint="eastAsia" w:ascii="宋体" w:hAnsi="宋体" w:cs="宋体"/>
                <w:color w:val="auto"/>
                <w:highlight w:val="none"/>
                <w:lang w:eastAsia="zh-CN"/>
              </w:rPr>
              <w:t>实施流程顺序错乱，因果关系不成立，无法</w:t>
            </w:r>
            <w:r>
              <w:rPr>
                <w:rFonts w:hint="eastAsia" w:ascii="宋体" w:hAnsi="宋体" w:eastAsia="宋体" w:cs="Times New Roman"/>
                <w:b w:val="0"/>
                <w:bCs/>
                <w:color w:val="auto"/>
                <w:kern w:val="2"/>
                <w:sz w:val="21"/>
                <w:szCs w:val="21"/>
                <w:highlight w:val="none"/>
                <w:lang w:val="en-US" w:eastAsia="zh-CN" w:bidi="ar-SA"/>
              </w:rPr>
              <w:t>自洽，</w:t>
            </w:r>
            <w:r>
              <w:rPr>
                <w:rFonts w:hint="eastAsia" w:ascii="宋体" w:hAnsi="宋体" w:cs="宋体"/>
                <w:color w:val="auto"/>
                <w:highlight w:val="none"/>
                <w:lang w:val="en-US" w:eastAsia="zh-CN"/>
              </w:rPr>
              <w:t>或</w:t>
            </w:r>
            <w:r>
              <w:rPr>
                <w:rFonts w:hint="eastAsia" w:ascii="宋体" w:hAnsi="宋体" w:eastAsia="宋体" w:cs="Times New Roman"/>
                <w:b w:val="0"/>
                <w:bCs/>
                <w:color w:val="auto"/>
                <w:kern w:val="2"/>
                <w:sz w:val="21"/>
                <w:szCs w:val="21"/>
                <w:highlight w:val="none"/>
                <w:lang w:val="en-US" w:eastAsia="zh-CN" w:bidi="ar-SA"/>
              </w:rPr>
              <w:t>内容违背对应行业原理标准规范；或不符合客观常识。</w:t>
            </w:r>
          </w:p>
        </w:tc>
      </w:tr>
      <w:tr w14:paraId="1E4F7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858" w:hRule="atLeast"/>
          <w:jc w:val="center"/>
        </w:trPr>
        <w:tc>
          <w:tcPr>
            <w:tcW w:w="947" w:type="dxa"/>
            <w:vMerge w:val="continue"/>
            <w:noWrap w:val="0"/>
            <w:vAlign w:val="center"/>
          </w:tcPr>
          <w:p w14:paraId="194F1DC3">
            <w:pPr>
              <w:spacing w:line="440" w:lineRule="exact"/>
              <w:ind w:firstLine="420" w:firstLineChars="200"/>
              <w:rPr>
                <w:rFonts w:hint="eastAsia" w:ascii="宋体" w:hAnsi="宋体" w:eastAsia="宋体" w:cs="宋体"/>
                <w:color w:val="FF0000"/>
                <w:szCs w:val="21"/>
                <w:highlight w:val="none"/>
                <w:lang w:val="en-US" w:eastAsia="zh-CN"/>
              </w:rPr>
            </w:pPr>
          </w:p>
        </w:tc>
        <w:tc>
          <w:tcPr>
            <w:tcW w:w="1146" w:type="dxa"/>
            <w:noWrap w:val="0"/>
            <w:vAlign w:val="center"/>
          </w:tcPr>
          <w:p w14:paraId="56DCC41F">
            <w:pPr>
              <w:spacing w:line="440" w:lineRule="exact"/>
              <w:ind w:firstLine="420" w:firstLineChars="200"/>
              <w:jc w:val="both"/>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1395" w:type="dxa"/>
            <w:gridSpan w:val="2"/>
            <w:noWrap w:val="0"/>
            <w:vAlign w:val="center"/>
          </w:tcPr>
          <w:p w14:paraId="6D02360E">
            <w:pPr>
              <w:spacing w:line="440" w:lineRule="exact"/>
              <w:jc w:val="both"/>
              <w:rPr>
                <w:rFonts w:hint="eastAsia" w:ascii="宋体" w:hAnsi="宋体"/>
                <w:b w:val="0"/>
                <w:bCs/>
                <w:color w:val="auto"/>
                <w:szCs w:val="21"/>
                <w:highlight w:val="none"/>
              </w:rPr>
            </w:pPr>
            <w:r>
              <w:rPr>
                <w:bCs/>
                <w:color w:val="auto"/>
                <w:highlight w:val="none"/>
              </w:rPr>
              <w:t>项目管理机构配置</w:t>
            </w:r>
            <w:r>
              <w:rPr>
                <w:rFonts w:hint="eastAsia" w:ascii="宋体" w:hAnsi="宋体" w:cs="宋体"/>
                <w:color w:val="auto"/>
                <w:szCs w:val="21"/>
                <w:highlight w:val="none"/>
              </w:rPr>
              <w:t>（满</w:t>
            </w:r>
            <w:r>
              <w:rPr>
                <w:rFonts w:ascii="宋体" w:hAnsi="宋体" w:cs="宋体"/>
                <w:color w:val="auto"/>
                <w:szCs w:val="21"/>
                <w:highlight w:val="none"/>
              </w:rPr>
              <w:t>分</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分）</w:t>
            </w:r>
          </w:p>
        </w:tc>
        <w:tc>
          <w:tcPr>
            <w:tcW w:w="6334" w:type="dxa"/>
            <w:gridSpan w:val="3"/>
            <w:noWrap w:val="0"/>
            <w:vAlign w:val="top"/>
          </w:tcPr>
          <w:p w14:paraId="2998586D">
            <w:pPr>
              <w:spacing w:line="360" w:lineRule="auto"/>
              <w:rPr>
                <w:rFonts w:ascii="宋体" w:hAnsi="宋体" w:cs="宋体"/>
                <w:b/>
                <w:color w:val="auto"/>
                <w:highlight w:val="none"/>
              </w:rPr>
            </w:pPr>
            <w:r>
              <w:rPr>
                <w:rFonts w:hint="eastAsia" w:ascii="宋体" w:hAnsi="宋体" w:cs="宋体"/>
                <w:b/>
                <w:color w:val="auto"/>
                <w:highlight w:val="none"/>
              </w:rPr>
              <w:t>（</w:t>
            </w:r>
            <w:r>
              <w:rPr>
                <w:rFonts w:hint="eastAsia" w:ascii="宋体" w:hAnsi="宋体" w:cs="宋体"/>
                <w:b/>
                <w:color w:val="auto"/>
                <w:highlight w:val="none"/>
                <w:lang w:val="en-US" w:eastAsia="zh-CN"/>
              </w:rPr>
              <w:t>一</w:t>
            </w:r>
            <w:r>
              <w:rPr>
                <w:rFonts w:hint="eastAsia" w:ascii="宋体" w:hAnsi="宋体" w:cs="宋体"/>
                <w:b/>
                <w:color w:val="auto"/>
                <w:highlight w:val="none"/>
              </w:rPr>
              <w:t>）项目经理（</w:t>
            </w:r>
            <w:r>
              <w:rPr>
                <w:rFonts w:hint="eastAsia" w:ascii="宋体" w:hAnsi="宋体" w:cs="宋体"/>
                <w:b/>
                <w:color w:val="auto"/>
                <w:highlight w:val="none"/>
                <w:lang w:val="en-US" w:eastAsia="zh-CN"/>
              </w:rPr>
              <w:t>4</w:t>
            </w:r>
            <w:r>
              <w:rPr>
                <w:rFonts w:hint="eastAsia" w:ascii="宋体" w:hAnsi="宋体" w:cs="宋体"/>
                <w:b/>
                <w:color w:val="auto"/>
                <w:highlight w:val="none"/>
              </w:rPr>
              <w:t>分）</w:t>
            </w:r>
          </w:p>
          <w:p w14:paraId="039BC9A2">
            <w:pPr>
              <w:spacing w:line="360" w:lineRule="auto"/>
              <w:rPr>
                <w:rFonts w:ascii="宋体" w:hAnsi="宋体" w:cs="宋体"/>
                <w:color w:val="auto"/>
                <w:highlight w:val="none"/>
              </w:rPr>
            </w:pPr>
            <w:r>
              <w:rPr>
                <w:rFonts w:hint="eastAsia" w:ascii="宋体" w:hAnsi="宋体" w:cs="宋体"/>
                <w:color w:val="auto"/>
                <w:highlight w:val="none"/>
              </w:rPr>
              <w:t>提供了项目经理的简历表，202</w:t>
            </w:r>
            <w:r>
              <w:rPr>
                <w:rFonts w:hint="eastAsia" w:ascii="宋体" w:hAnsi="宋体" w:cs="宋体"/>
                <w:color w:val="auto"/>
                <w:highlight w:val="none"/>
                <w:lang w:val="en-US" w:eastAsia="zh-CN"/>
              </w:rPr>
              <w:t>3</w:t>
            </w:r>
            <w:r>
              <w:rPr>
                <w:rFonts w:hint="eastAsia" w:ascii="宋体" w:hAnsi="宋体" w:cs="宋体"/>
                <w:color w:val="auto"/>
                <w:highlight w:val="none"/>
              </w:rPr>
              <w:t>年1月1日</w:t>
            </w:r>
            <w:r>
              <w:rPr>
                <w:rFonts w:hint="eastAsia" w:ascii="宋体" w:hAnsi="宋体" w:cs="宋体"/>
                <w:bCs/>
                <w:color w:val="auto"/>
                <w:szCs w:val="24"/>
                <w:highlight w:val="none"/>
              </w:rPr>
              <w:t>至今</w:t>
            </w:r>
            <w:r>
              <w:rPr>
                <w:rFonts w:hint="eastAsia" w:ascii="宋体" w:hAnsi="宋体" w:cs="宋体"/>
                <w:bCs/>
                <w:color w:val="auto"/>
                <w:szCs w:val="24"/>
                <w:highlight w:val="none"/>
                <w:lang w:val="en-US" w:eastAsia="zh-CN"/>
              </w:rPr>
              <w:t>每</w:t>
            </w:r>
            <w:r>
              <w:rPr>
                <w:rFonts w:hint="eastAsia" w:ascii="宋体" w:hAnsi="宋体" w:cs="宋体"/>
                <w:color w:val="auto"/>
                <w:highlight w:val="none"/>
              </w:rPr>
              <w:t>担任过</w:t>
            </w:r>
            <w:r>
              <w:rPr>
                <w:rFonts w:hint="eastAsia" w:ascii="宋体" w:hAnsi="宋体" w:cs="宋体"/>
                <w:color w:val="auto"/>
                <w:highlight w:val="none"/>
                <w:lang w:val="en-US" w:eastAsia="zh-CN"/>
              </w:rPr>
              <w:t>1</w:t>
            </w:r>
            <w:r>
              <w:rPr>
                <w:rFonts w:hint="eastAsia" w:ascii="宋体" w:hAnsi="宋体" w:cs="宋体"/>
                <w:color w:val="auto"/>
                <w:highlight w:val="none"/>
              </w:rPr>
              <w:t>项类似项目</w:t>
            </w:r>
            <w:r>
              <w:rPr>
                <w:rFonts w:hint="eastAsia" w:ascii="宋体" w:hAnsi="宋体" w:cs="宋体"/>
                <w:color w:val="auto"/>
                <w:highlight w:val="none"/>
                <w:lang w:val="en-US" w:eastAsia="zh-CN"/>
              </w:rPr>
              <w:t>业绩</w:t>
            </w:r>
            <w:r>
              <w:rPr>
                <w:rFonts w:hint="eastAsia" w:ascii="宋体" w:hAnsi="宋体"/>
                <w:bCs/>
                <w:color w:val="auto"/>
                <w:szCs w:val="21"/>
                <w:highlight w:val="none"/>
              </w:rPr>
              <w:t>（钢结构工程</w:t>
            </w:r>
            <w:r>
              <w:rPr>
                <w:rFonts w:hint="eastAsia" w:ascii="宋体" w:hAnsi="宋体"/>
                <w:bCs/>
                <w:color w:val="auto"/>
                <w:szCs w:val="21"/>
                <w:highlight w:val="none"/>
                <w:lang w:val="en-US" w:eastAsia="zh-CN"/>
              </w:rPr>
              <w:t>或</w:t>
            </w:r>
            <w:r>
              <w:rPr>
                <w:rFonts w:hint="eastAsia" w:ascii="宋体" w:hAnsi="宋体"/>
                <w:bCs/>
                <w:color w:val="auto"/>
                <w:szCs w:val="21"/>
                <w:highlight w:val="none"/>
              </w:rPr>
              <w:t>连廊/天桥新建工程</w:t>
            </w:r>
            <w:r>
              <w:rPr>
                <w:rFonts w:hint="eastAsia" w:ascii="宋体" w:hAnsi="宋体"/>
                <w:bCs/>
                <w:color w:val="auto"/>
                <w:szCs w:val="21"/>
                <w:highlight w:val="none"/>
                <w:lang w:val="en-US" w:eastAsia="zh-CN"/>
              </w:rPr>
              <w:t>或</w:t>
            </w:r>
            <w:r>
              <w:rPr>
                <w:rFonts w:hint="eastAsia" w:ascii="宋体" w:hAnsi="宋体"/>
                <w:bCs/>
                <w:color w:val="auto"/>
                <w:szCs w:val="21"/>
                <w:highlight w:val="none"/>
              </w:rPr>
              <w:t>房屋建筑工程或电梯安装工程等）</w:t>
            </w:r>
            <w:r>
              <w:rPr>
                <w:rFonts w:hint="eastAsia" w:ascii="宋体" w:hAnsi="宋体" w:cs="宋体"/>
                <w:color w:val="auto"/>
                <w:highlight w:val="none"/>
              </w:rPr>
              <w:t>的得</w:t>
            </w:r>
            <w:r>
              <w:rPr>
                <w:rFonts w:hint="eastAsia" w:ascii="宋体" w:hAnsi="宋体" w:cs="宋体"/>
                <w:color w:val="auto"/>
                <w:highlight w:val="none"/>
                <w:lang w:val="en-US" w:eastAsia="zh-CN"/>
              </w:rPr>
              <w:t>2</w:t>
            </w:r>
            <w:r>
              <w:rPr>
                <w:rFonts w:hint="eastAsia" w:ascii="宋体" w:hAnsi="宋体" w:cs="宋体"/>
                <w:color w:val="auto"/>
                <w:highlight w:val="none"/>
              </w:rPr>
              <w:t>分</w:t>
            </w:r>
            <w:r>
              <w:rPr>
                <w:rFonts w:hint="eastAsia" w:ascii="宋体" w:hAnsi="宋体" w:cs="宋体"/>
                <w:color w:val="auto"/>
                <w:highlight w:val="none"/>
                <w:lang w:eastAsia="zh-CN"/>
              </w:rPr>
              <w:t>，</w:t>
            </w:r>
            <w:r>
              <w:rPr>
                <w:rFonts w:hint="eastAsia" w:ascii="宋体" w:hAnsi="宋体"/>
                <w:color w:val="auto"/>
                <w:szCs w:val="21"/>
                <w:highlight w:val="none"/>
              </w:rPr>
              <w:t>此部分最多得</w:t>
            </w:r>
            <w:r>
              <w:rPr>
                <w:rFonts w:hint="eastAsia" w:ascii="宋体" w:hAnsi="宋体" w:cs="宋体"/>
                <w:color w:val="auto"/>
                <w:highlight w:val="none"/>
                <w:lang w:val="en-US" w:eastAsia="zh-CN"/>
              </w:rPr>
              <w:t>4分。</w:t>
            </w:r>
          </w:p>
          <w:p w14:paraId="506444FC">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二</w:t>
            </w:r>
            <w:r>
              <w:rPr>
                <w:rFonts w:hint="eastAsia" w:ascii="宋体" w:hAnsi="宋体" w:cs="宋体"/>
                <w:b/>
                <w:bCs/>
                <w:color w:val="auto"/>
                <w:szCs w:val="21"/>
                <w:highlight w:val="none"/>
              </w:rPr>
              <w:t>）项目团队人员配置（</w:t>
            </w:r>
            <w:r>
              <w:rPr>
                <w:rFonts w:hint="eastAsia" w:ascii="宋体" w:hAnsi="宋体" w:cs="宋体"/>
                <w:b/>
                <w:bCs/>
                <w:color w:val="auto"/>
                <w:szCs w:val="21"/>
                <w:highlight w:val="none"/>
                <w:lang w:val="en-US" w:eastAsia="zh-CN"/>
              </w:rPr>
              <w:t>8</w:t>
            </w:r>
            <w:r>
              <w:rPr>
                <w:rFonts w:hint="eastAsia" w:ascii="宋体" w:hAnsi="宋体" w:cs="宋体"/>
                <w:b/>
                <w:bCs/>
                <w:color w:val="auto"/>
                <w:szCs w:val="21"/>
                <w:highlight w:val="none"/>
              </w:rPr>
              <w:t>分）</w:t>
            </w:r>
          </w:p>
          <w:p w14:paraId="670A2DE6">
            <w:pPr>
              <w:spacing w:line="360" w:lineRule="auto"/>
              <w:rPr>
                <w:rFonts w:hint="eastAsia" w:ascii="宋体" w:hAnsi="宋体" w:cs="宋体"/>
                <w:b w:val="0"/>
                <w:bCs w:val="0"/>
                <w:color w:val="auto"/>
                <w:highlight w:val="none"/>
              </w:rPr>
            </w:pPr>
            <w:r>
              <w:rPr>
                <w:rFonts w:hint="eastAsia" w:ascii="宋体" w:hAnsi="宋体" w:cs="宋体"/>
                <w:b/>
                <w:bCs/>
                <w:color w:val="auto"/>
                <w:highlight w:val="none"/>
                <w:lang w:val="en-US" w:eastAsia="zh-CN"/>
              </w:rPr>
              <w:t>1</w:t>
            </w:r>
            <w:r>
              <w:rPr>
                <w:rFonts w:hint="eastAsia" w:ascii="宋体" w:hAnsi="宋体" w:cs="宋体"/>
                <w:b w:val="0"/>
                <w:bCs w:val="0"/>
                <w:color w:val="auto"/>
                <w:highlight w:val="none"/>
              </w:rPr>
              <w:t>、供应商拟派的本项目项目团队人员</w:t>
            </w:r>
            <w:r>
              <w:rPr>
                <w:rFonts w:hint="eastAsia" w:ascii="宋体" w:hAnsi="宋体" w:cs="宋体"/>
                <w:b w:val="0"/>
                <w:bCs w:val="0"/>
                <w:color w:val="auto"/>
                <w:highlight w:val="none"/>
                <w:lang w:val="en-US" w:eastAsia="zh-CN"/>
              </w:rPr>
              <w:t>除</w:t>
            </w:r>
            <w:r>
              <w:rPr>
                <w:rFonts w:hint="eastAsia" w:ascii="宋体" w:hAnsi="宋体" w:cs="宋体"/>
                <w:b w:val="0"/>
                <w:bCs w:val="0"/>
                <w:color w:val="auto"/>
                <w:highlight w:val="none"/>
              </w:rPr>
              <w:t>项目经理</w:t>
            </w:r>
            <w:r>
              <w:rPr>
                <w:rFonts w:hint="eastAsia" w:ascii="宋体" w:hAnsi="宋体" w:cs="宋体"/>
                <w:b w:val="0"/>
                <w:bCs w:val="0"/>
                <w:color w:val="auto"/>
                <w:highlight w:val="none"/>
                <w:lang w:val="en-US" w:eastAsia="zh-CN"/>
              </w:rPr>
              <w:t>外</w:t>
            </w:r>
            <w:r>
              <w:rPr>
                <w:rFonts w:hint="eastAsia" w:ascii="宋体" w:hAnsi="宋体" w:cs="宋体"/>
                <w:b w:val="0"/>
                <w:bCs w:val="0"/>
                <w:color w:val="auto"/>
                <w:highlight w:val="none"/>
              </w:rPr>
              <w:t>包括：施工员、质量员、安全员、材料员、劳务员、资料员</w:t>
            </w:r>
            <w:r>
              <w:rPr>
                <w:rFonts w:hint="eastAsia" w:ascii="宋体" w:hAnsi="宋体" w:cs="宋体"/>
                <w:b w:val="0"/>
                <w:bCs w:val="0"/>
                <w:color w:val="auto"/>
                <w:highlight w:val="none"/>
                <w:lang w:eastAsia="zh-CN"/>
              </w:rPr>
              <w:t>，</w:t>
            </w:r>
            <w:r>
              <w:rPr>
                <w:rFonts w:hint="eastAsia" w:ascii="宋体" w:hAnsi="宋体" w:cs="宋体"/>
                <w:b w:val="0"/>
                <w:bCs w:val="0"/>
                <w:color w:val="auto"/>
                <w:highlight w:val="none"/>
                <w:lang w:val="en-US" w:eastAsia="zh-CN"/>
              </w:rPr>
              <w:t>具备执业证书</w:t>
            </w:r>
            <w:r>
              <w:rPr>
                <w:rFonts w:hint="eastAsia" w:ascii="宋体" w:hAnsi="宋体" w:cs="宋体"/>
                <w:b w:val="0"/>
                <w:bCs w:val="0"/>
                <w:color w:val="auto"/>
                <w:highlight w:val="none"/>
              </w:rPr>
              <w:t>得</w:t>
            </w:r>
            <w:r>
              <w:rPr>
                <w:rFonts w:hint="eastAsia" w:ascii="宋体" w:hAnsi="宋体" w:cs="宋体"/>
                <w:b w:val="0"/>
                <w:bCs w:val="0"/>
                <w:color w:val="auto"/>
                <w:highlight w:val="none"/>
                <w:lang w:val="en-US" w:eastAsia="zh-CN"/>
              </w:rPr>
              <w:t>4</w:t>
            </w:r>
            <w:r>
              <w:rPr>
                <w:rFonts w:hint="eastAsia" w:ascii="宋体" w:hAnsi="宋体" w:cs="宋体"/>
                <w:b w:val="0"/>
                <w:bCs w:val="0"/>
                <w:color w:val="auto"/>
                <w:highlight w:val="none"/>
              </w:rPr>
              <w:t>分，否则不得分。</w:t>
            </w:r>
          </w:p>
          <w:p w14:paraId="71F5D896">
            <w:pPr>
              <w:spacing w:line="360" w:lineRule="auto"/>
              <w:rPr>
                <w:rFonts w:hint="eastAsia" w:ascii="宋体" w:hAnsi="宋体" w:cs="宋体"/>
                <w:b w:val="0"/>
                <w:bCs w:val="0"/>
                <w:color w:val="auto"/>
                <w:sz w:val="21"/>
                <w:szCs w:val="21"/>
                <w:highlight w:val="none"/>
              </w:rPr>
            </w:pPr>
            <w:r>
              <w:rPr>
                <w:rFonts w:hint="eastAsia" w:ascii="宋体" w:hAnsi="宋体"/>
                <w:b/>
                <w:bCs/>
                <w:color w:val="auto"/>
                <w:sz w:val="21"/>
                <w:szCs w:val="21"/>
                <w:highlight w:val="none"/>
                <w:lang w:val="en-US" w:eastAsia="zh-CN"/>
              </w:rPr>
              <w:t>2</w:t>
            </w:r>
            <w:r>
              <w:rPr>
                <w:rFonts w:hint="eastAsia" w:ascii="宋体" w:hAnsi="宋体"/>
                <w:b/>
                <w:bCs/>
                <w:color w:val="auto"/>
                <w:sz w:val="21"/>
                <w:szCs w:val="21"/>
                <w:highlight w:val="none"/>
              </w:rPr>
              <w:t>、</w:t>
            </w:r>
            <w:r>
              <w:rPr>
                <w:rFonts w:hint="eastAsia" w:ascii="宋体" w:hAnsi="宋体" w:cs="宋体"/>
                <w:b w:val="0"/>
                <w:bCs w:val="0"/>
                <w:color w:val="auto"/>
                <w:sz w:val="21"/>
                <w:szCs w:val="21"/>
                <w:highlight w:val="none"/>
              </w:rPr>
              <w:t>供应商对拟派的施工项目团队对岗位职责进行了明确说明（主要岗位包括：项目经理、技术负责人、施工员、质量员、安全员、材料员、劳务员、资料员），得</w:t>
            </w:r>
            <w:r>
              <w:rPr>
                <w:rFonts w:hint="eastAsia" w:ascii="宋体" w:hAnsi="宋体" w:cs="宋体"/>
                <w:b w:val="0"/>
                <w:bCs w:val="0"/>
                <w:color w:val="auto"/>
                <w:sz w:val="21"/>
                <w:szCs w:val="21"/>
                <w:highlight w:val="none"/>
                <w:lang w:val="en-US" w:eastAsia="zh-CN"/>
              </w:rPr>
              <w:t>4</w:t>
            </w:r>
            <w:r>
              <w:rPr>
                <w:rFonts w:hint="eastAsia" w:ascii="宋体" w:hAnsi="宋体" w:cs="宋体"/>
                <w:b w:val="0"/>
                <w:bCs w:val="0"/>
                <w:color w:val="auto"/>
                <w:sz w:val="21"/>
                <w:szCs w:val="21"/>
                <w:highlight w:val="none"/>
              </w:rPr>
              <w:t>分，否则不得分。</w:t>
            </w:r>
          </w:p>
          <w:p w14:paraId="72CC3657">
            <w:pPr>
              <w:spacing w:line="36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注：项目团队人员须提供身份证、劳动合同</w:t>
            </w:r>
            <w:r>
              <w:rPr>
                <w:rFonts w:hint="eastAsia" w:ascii="宋体" w:hAnsi="宋体" w:cs="宋体"/>
                <w:b/>
                <w:bCs/>
                <w:color w:val="auto"/>
                <w:szCs w:val="21"/>
                <w:highlight w:val="none"/>
                <w:lang w:val="en-US" w:eastAsia="zh-CN"/>
              </w:rPr>
              <w:t>及提交响应文件截止之日前3个月</w:t>
            </w:r>
            <w:r>
              <w:rPr>
                <w:rFonts w:hint="eastAsia" w:ascii="宋体" w:hAnsi="宋体" w:cs="宋体"/>
                <w:b/>
                <w:bCs/>
                <w:color w:val="auto"/>
                <w:szCs w:val="21"/>
                <w:highlight w:val="none"/>
              </w:rPr>
              <w:t>内任意一个月的缴纳社会保险记录、以及对应人员</w:t>
            </w:r>
            <w:r>
              <w:rPr>
                <w:rFonts w:hint="eastAsia" w:ascii="宋体" w:hAnsi="宋体" w:cs="宋体"/>
                <w:b/>
                <w:bCs/>
                <w:color w:val="auto"/>
                <w:szCs w:val="24"/>
                <w:highlight w:val="none"/>
              </w:rPr>
              <w:t>执业证书（</w:t>
            </w:r>
            <w:r>
              <w:rPr>
                <w:rFonts w:hint="eastAsia" w:ascii="宋体" w:hAnsi="宋体" w:cs="宋体"/>
                <w:b/>
                <w:bCs/>
                <w:color w:val="auto"/>
                <w:szCs w:val="24"/>
                <w:highlight w:val="none"/>
                <w:lang w:val="en-US" w:eastAsia="zh-CN"/>
              </w:rPr>
              <w:t>按自身情况</w:t>
            </w:r>
            <w:r>
              <w:rPr>
                <w:rFonts w:hint="eastAsia" w:ascii="宋体" w:hAnsi="宋体" w:cs="宋体"/>
                <w:b/>
                <w:bCs/>
                <w:color w:val="auto"/>
                <w:szCs w:val="24"/>
                <w:highlight w:val="none"/>
              </w:rPr>
              <w:t>提供）</w:t>
            </w:r>
            <w:r>
              <w:rPr>
                <w:rFonts w:hint="eastAsia" w:ascii="宋体" w:hAnsi="宋体" w:cs="宋体"/>
                <w:b/>
                <w:bCs/>
                <w:color w:val="auto"/>
                <w:szCs w:val="24"/>
                <w:highlight w:val="none"/>
                <w:lang w:eastAsia="zh-CN"/>
              </w:rPr>
              <w:t>。</w:t>
            </w:r>
          </w:p>
          <w:p w14:paraId="125F07DF">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项目经理业绩证明材料为竣工验收证明材料，业绩证明材料须体现对应人员姓名</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日期</w:t>
            </w:r>
            <w:r>
              <w:rPr>
                <w:rFonts w:hint="eastAsia" w:ascii="宋体" w:hAnsi="宋体" w:cs="宋体"/>
                <w:b/>
                <w:bCs/>
                <w:color w:val="auto"/>
                <w:szCs w:val="21"/>
                <w:highlight w:val="none"/>
              </w:rPr>
              <w:t>。</w:t>
            </w:r>
            <w:r>
              <w:rPr>
                <w:rFonts w:hint="eastAsia" w:ascii="宋体" w:hAnsi="宋体" w:cs="宋体"/>
                <w:b/>
                <w:color w:val="auto"/>
                <w:szCs w:val="21"/>
                <w:highlight w:val="none"/>
                <w:lang w:val="en-US" w:eastAsia="zh-CN"/>
              </w:rPr>
              <w:t>日期以</w:t>
            </w:r>
            <w:r>
              <w:rPr>
                <w:rFonts w:hint="eastAsia" w:ascii="宋体" w:hAnsi="宋体" w:cs="宋体"/>
                <w:b/>
                <w:bCs/>
                <w:color w:val="auto"/>
                <w:szCs w:val="21"/>
                <w:highlight w:val="none"/>
              </w:rPr>
              <w:t>竣工验收证明</w:t>
            </w:r>
            <w:r>
              <w:rPr>
                <w:rFonts w:hint="eastAsia" w:ascii="宋体" w:hAnsi="宋体" w:cs="宋体"/>
                <w:b/>
                <w:bCs/>
                <w:color w:val="auto"/>
                <w:szCs w:val="21"/>
                <w:highlight w:val="none"/>
                <w:lang w:val="en-US" w:eastAsia="zh-CN"/>
              </w:rPr>
              <w:t>上的</w:t>
            </w:r>
            <w:r>
              <w:rPr>
                <w:rFonts w:hint="eastAsia" w:ascii="宋体" w:hAnsi="宋体" w:cs="宋体"/>
                <w:b/>
                <w:color w:val="auto"/>
                <w:szCs w:val="21"/>
                <w:highlight w:val="none"/>
              </w:rPr>
              <w:t>日期</w:t>
            </w:r>
            <w:r>
              <w:rPr>
                <w:rFonts w:hint="eastAsia" w:ascii="宋体" w:hAnsi="宋体" w:cs="宋体"/>
                <w:b/>
                <w:color w:val="auto"/>
                <w:szCs w:val="21"/>
                <w:highlight w:val="none"/>
                <w:lang w:val="en-US" w:eastAsia="zh-CN"/>
              </w:rPr>
              <w:t>为准</w:t>
            </w:r>
            <w:r>
              <w:rPr>
                <w:rFonts w:hint="eastAsia" w:ascii="宋体" w:hAnsi="宋体" w:cs="宋体"/>
                <w:b/>
                <w:color w:val="auto"/>
                <w:szCs w:val="21"/>
                <w:highlight w:val="none"/>
                <w:lang w:eastAsia="zh-CN"/>
              </w:rPr>
              <w:t>。</w:t>
            </w:r>
            <w:r>
              <w:rPr>
                <w:rFonts w:hint="eastAsia" w:ascii="宋体" w:hAnsi="宋体" w:cs="宋体"/>
                <w:b/>
                <w:bCs/>
                <w:color w:val="auto"/>
                <w:szCs w:val="21"/>
                <w:highlight w:val="none"/>
                <w:lang w:val="en-US" w:eastAsia="zh-CN"/>
              </w:rPr>
              <w:t>放置</w:t>
            </w:r>
            <w:r>
              <w:rPr>
                <w:rFonts w:hint="eastAsia" w:ascii="宋体" w:hAnsi="宋体" w:cs="宋体"/>
                <w:b/>
                <w:bCs/>
                <w:color w:val="auto"/>
                <w:szCs w:val="21"/>
                <w:highlight w:val="none"/>
              </w:rPr>
              <w:t>对应人员简历表</w:t>
            </w:r>
            <w:r>
              <w:rPr>
                <w:rFonts w:hint="eastAsia" w:ascii="宋体" w:hAnsi="宋体" w:cs="宋体"/>
                <w:b/>
                <w:bCs/>
                <w:color w:val="auto"/>
                <w:szCs w:val="21"/>
                <w:highlight w:val="none"/>
                <w:lang w:val="en-US" w:eastAsia="zh-CN"/>
              </w:rPr>
              <w:t>证明材料之后。</w:t>
            </w:r>
          </w:p>
          <w:p w14:paraId="6073CB4C">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未提供或提供的证明材料无法清晰反映对应评审因素的，</w:t>
            </w:r>
            <w:r>
              <w:rPr>
                <w:rFonts w:hint="eastAsia" w:ascii="宋体" w:hAnsi="宋体" w:cs="宋体"/>
                <w:b/>
                <w:color w:val="auto"/>
                <w:szCs w:val="21"/>
                <w:highlight w:val="none"/>
              </w:rPr>
              <w:t>导致</w:t>
            </w:r>
            <w:r>
              <w:rPr>
                <w:rFonts w:hint="eastAsia" w:ascii="宋体" w:hAnsi="宋体" w:cs="宋体"/>
                <w:b/>
                <w:color w:val="auto"/>
                <w:szCs w:val="21"/>
                <w:highlight w:val="none"/>
                <w:lang w:val="en-US" w:eastAsia="zh-CN"/>
              </w:rPr>
              <w:t>磋商小组</w:t>
            </w:r>
            <w:r>
              <w:rPr>
                <w:rFonts w:hint="eastAsia" w:ascii="宋体" w:hAnsi="宋体" w:cs="宋体"/>
                <w:b/>
                <w:color w:val="auto"/>
                <w:szCs w:val="21"/>
                <w:highlight w:val="none"/>
              </w:rPr>
              <w:t>无法认定时，</w:t>
            </w:r>
            <w:r>
              <w:rPr>
                <w:rFonts w:hint="eastAsia" w:ascii="宋体" w:hAnsi="宋体" w:cs="宋体"/>
                <w:b/>
                <w:bCs/>
                <w:color w:val="auto"/>
                <w:szCs w:val="21"/>
                <w:highlight w:val="none"/>
              </w:rPr>
              <w:t>不予认可。</w:t>
            </w:r>
          </w:p>
        </w:tc>
      </w:tr>
      <w:tr w14:paraId="16F56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132" w:hRule="atLeast"/>
          <w:jc w:val="center"/>
        </w:trPr>
        <w:tc>
          <w:tcPr>
            <w:tcW w:w="947" w:type="dxa"/>
            <w:vMerge w:val="continue"/>
            <w:noWrap w:val="0"/>
            <w:vAlign w:val="center"/>
          </w:tcPr>
          <w:p w14:paraId="11516C09">
            <w:pPr>
              <w:spacing w:line="360" w:lineRule="auto"/>
              <w:rPr>
                <w:rFonts w:hint="eastAsia" w:ascii="宋体" w:hAnsi="宋体" w:eastAsia="宋体" w:cs="宋体"/>
                <w:color w:val="FF0000"/>
                <w:szCs w:val="21"/>
                <w:highlight w:val="none"/>
                <w:lang w:val="en-US" w:eastAsia="zh-CN"/>
              </w:rPr>
            </w:pPr>
          </w:p>
        </w:tc>
        <w:tc>
          <w:tcPr>
            <w:tcW w:w="1146" w:type="dxa"/>
            <w:noWrap w:val="0"/>
            <w:vAlign w:val="center"/>
          </w:tcPr>
          <w:p w14:paraId="250298CD">
            <w:pPr>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1395" w:type="dxa"/>
            <w:gridSpan w:val="2"/>
            <w:noWrap w:val="0"/>
            <w:vAlign w:val="center"/>
          </w:tcPr>
          <w:p w14:paraId="646DACF6">
            <w:pPr>
              <w:spacing w:line="360" w:lineRule="auto"/>
              <w:rPr>
                <w:rFonts w:hint="eastAsia" w:ascii="宋体" w:hAnsi="宋体" w:cs="宋体"/>
                <w:b/>
                <w:bCs/>
                <w:color w:val="auto"/>
                <w:szCs w:val="24"/>
                <w:highlight w:val="none"/>
              </w:rPr>
            </w:pPr>
            <w:r>
              <w:rPr>
                <w:rFonts w:hint="eastAsia" w:ascii="宋体" w:hAnsi="宋体" w:cs="宋体"/>
                <w:color w:val="auto"/>
                <w:szCs w:val="21"/>
                <w:highlight w:val="none"/>
              </w:rPr>
              <w:t>类似业绩（满分</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tc>
        <w:tc>
          <w:tcPr>
            <w:tcW w:w="6334" w:type="dxa"/>
            <w:gridSpan w:val="3"/>
            <w:noWrap w:val="0"/>
            <w:vAlign w:val="top"/>
          </w:tcPr>
          <w:p w14:paraId="398717DE">
            <w:pPr>
              <w:spacing w:line="360" w:lineRule="auto"/>
              <w:rPr>
                <w:rFonts w:hint="eastAsia" w:ascii="宋体" w:hAnsi="宋体"/>
                <w:bCs/>
                <w:color w:val="auto"/>
                <w:szCs w:val="21"/>
                <w:highlight w:val="none"/>
              </w:rPr>
            </w:pPr>
            <w:r>
              <w:rPr>
                <w:rFonts w:hint="eastAsia" w:ascii="宋体" w:hAnsi="宋体"/>
                <w:bCs/>
                <w:color w:val="auto"/>
                <w:szCs w:val="21"/>
                <w:highlight w:val="none"/>
              </w:rPr>
              <w:t>供应商每提供1个202</w:t>
            </w:r>
            <w:r>
              <w:rPr>
                <w:rFonts w:hint="eastAsia" w:ascii="宋体" w:hAnsi="宋体"/>
                <w:bCs/>
                <w:color w:val="auto"/>
                <w:szCs w:val="21"/>
                <w:highlight w:val="none"/>
                <w:lang w:val="en-US" w:eastAsia="zh-CN"/>
              </w:rPr>
              <w:t>3</w:t>
            </w:r>
            <w:r>
              <w:rPr>
                <w:rFonts w:hint="eastAsia" w:ascii="宋体" w:hAnsi="宋体"/>
                <w:bCs/>
                <w:color w:val="auto"/>
                <w:szCs w:val="21"/>
                <w:highlight w:val="none"/>
              </w:rPr>
              <w:t>年1月1日至递交响应文件截止时间前类似项目业绩（钢结构工程</w:t>
            </w:r>
            <w:r>
              <w:rPr>
                <w:rFonts w:hint="eastAsia" w:ascii="宋体" w:hAnsi="宋体"/>
                <w:bCs/>
                <w:color w:val="auto"/>
                <w:szCs w:val="21"/>
                <w:highlight w:val="none"/>
                <w:lang w:val="en-US" w:eastAsia="zh-CN"/>
              </w:rPr>
              <w:t>或</w:t>
            </w:r>
            <w:r>
              <w:rPr>
                <w:rFonts w:hint="eastAsia" w:ascii="宋体" w:hAnsi="宋体"/>
                <w:bCs/>
                <w:color w:val="auto"/>
                <w:szCs w:val="21"/>
                <w:highlight w:val="none"/>
              </w:rPr>
              <w:t>连廊/天桥新建工程</w:t>
            </w:r>
            <w:r>
              <w:rPr>
                <w:rFonts w:hint="eastAsia" w:ascii="宋体" w:hAnsi="宋体"/>
                <w:bCs/>
                <w:color w:val="auto"/>
                <w:szCs w:val="21"/>
                <w:highlight w:val="none"/>
                <w:lang w:val="en-US" w:eastAsia="zh-CN"/>
              </w:rPr>
              <w:t>或</w:t>
            </w:r>
            <w:r>
              <w:rPr>
                <w:rFonts w:hint="eastAsia" w:ascii="宋体" w:hAnsi="宋体"/>
                <w:bCs/>
                <w:color w:val="auto"/>
                <w:szCs w:val="21"/>
                <w:highlight w:val="none"/>
              </w:rPr>
              <w:t>房屋建筑工程或电梯安装工程）得</w:t>
            </w:r>
            <w:r>
              <w:rPr>
                <w:rFonts w:hint="eastAsia" w:ascii="宋体" w:hAnsi="宋体"/>
                <w:bCs/>
                <w:color w:val="auto"/>
                <w:szCs w:val="21"/>
                <w:highlight w:val="none"/>
                <w:lang w:val="en-US" w:eastAsia="zh-CN"/>
              </w:rPr>
              <w:t>1</w:t>
            </w:r>
            <w:r>
              <w:rPr>
                <w:rFonts w:hint="eastAsia" w:ascii="宋体" w:hAnsi="宋体"/>
                <w:bCs/>
                <w:color w:val="auto"/>
                <w:szCs w:val="21"/>
                <w:highlight w:val="none"/>
              </w:rPr>
              <w:t>分，满分</w:t>
            </w:r>
            <w:r>
              <w:rPr>
                <w:rFonts w:hint="eastAsia" w:ascii="宋体" w:hAnsi="宋体"/>
                <w:bCs/>
                <w:color w:val="auto"/>
                <w:szCs w:val="21"/>
                <w:highlight w:val="none"/>
                <w:lang w:val="en-US" w:eastAsia="zh-CN"/>
              </w:rPr>
              <w:t>3</w:t>
            </w:r>
            <w:r>
              <w:rPr>
                <w:rFonts w:hint="eastAsia" w:ascii="宋体" w:hAnsi="宋体"/>
                <w:bCs/>
                <w:color w:val="auto"/>
                <w:szCs w:val="21"/>
                <w:highlight w:val="none"/>
              </w:rPr>
              <w:t>分；未提供类似项目业绩证明材料的不得分。</w:t>
            </w:r>
          </w:p>
          <w:p w14:paraId="43AA837A">
            <w:pPr>
              <w:spacing w:line="360" w:lineRule="auto"/>
              <w:rPr>
                <w:rFonts w:hint="eastAsia" w:ascii="宋体" w:hAnsi="宋体" w:cs="宋体"/>
                <w:b/>
                <w:color w:val="auto"/>
                <w:szCs w:val="21"/>
                <w:highlight w:val="none"/>
              </w:rPr>
            </w:pPr>
            <w:r>
              <w:rPr>
                <w:rFonts w:hint="eastAsia" w:ascii="宋体" w:hAnsi="宋体"/>
                <w:bCs/>
                <w:color w:val="auto"/>
                <w:szCs w:val="21"/>
                <w:highlight w:val="none"/>
              </w:rPr>
              <w:t>注：1.此项评审以供应商提供的合同文件（合同首页，签字盖章页，落款页）或中标/成交通知书（含项目名称、中标/成交时间、中标/成交单位）或竣工验收证明作为评审依据，日期以合同签订日期或中标/成交通知书发出日期或竣工验收证明上的日期为准，因供应商所提供的业绩内容无法清晰反映对应评审因素，导致磋商小组无法认定时，不予认可。</w:t>
            </w:r>
          </w:p>
        </w:tc>
      </w:tr>
      <w:tr w14:paraId="4E7E1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5" w:type="dxa"/>
          <w:trHeight w:val="132" w:hRule="atLeast"/>
          <w:jc w:val="center"/>
        </w:trPr>
        <w:tc>
          <w:tcPr>
            <w:tcW w:w="2093" w:type="dxa"/>
            <w:gridSpan w:val="2"/>
            <w:noWrap w:val="0"/>
            <w:vAlign w:val="center"/>
          </w:tcPr>
          <w:p w14:paraId="2C7203FA">
            <w:pPr>
              <w:snapToGrid w:val="0"/>
              <w:jc w:val="center"/>
              <w:rPr>
                <w:rFonts w:hint="eastAsia" w:ascii="宋体" w:hAnsi="宋体" w:cs="宋体"/>
                <w:color w:val="auto"/>
                <w:szCs w:val="21"/>
                <w:highlight w:val="none"/>
              </w:rPr>
            </w:pPr>
            <w:r>
              <w:rPr>
                <w:b/>
                <w:bCs/>
                <w:color w:val="auto"/>
                <w:szCs w:val="21"/>
                <w:highlight w:val="none"/>
              </w:rPr>
              <w:t>报</w:t>
            </w:r>
            <w:r>
              <w:rPr>
                <w:rFonts w:hint="eastAsia" w:ascii="宋体" w:hAnsi="宋体" w:eastAsia="宋体" w:cs="宋体"/>
                <w:b/>
                <w:bCs/>
                <w:color w:val="auto"/>
                <w:szCs w:val="21"/>
                <w:highlight w:val="none"/>
              </w:rPr>
              <w:t>价</w:t>
            </w:r>
            <w:r>
              <w:rPr>
                <w:rFonts w:hint="eastAsia" w:ascii="宋体" w:hAnsi="宋体" w:eastAsia="宋体" w:cs="宋体"/>
                <w:b/>
                <w:bCs/>
                <w:color w:val="auto"/>
                <w:szCs w:val="21"/>
                <w:highlight w:val="none"/>
                <w:lang w:val="en-US" w:eastAsia="zh-CN"/>
              </w:rPr>
              <w:t>部分F2</w:t>
            </w:r>
          </w:p>
        </w:tc>
        <w:tc>
          <w:tcPr>
            <w:tcW w:w="1395" w:type="dxa"/>
            <w:gridSpan w:val="2"/>
            <w:noWrap w:val="0"/>
            <w:vAlign w:val="center"/>
          </w:tcPr>
          <w:p w14:paraId="5B5A503C">
            <w:pPr>
              <w:snapToGrid w:val="0"/>
              <w:jc w:val="both"/>
              <w:rPr>
                <w:rFonts w:hint="eastAsia" w:ascii="宋体" w:hAnsi="宋体" w:cs="宋体"/>
                <w:b/>
                <w:color w:val="auto"/>
                <w:szCs w:val="21"/>
                <w:highlight w:val="none"/>
              </w:rPr>
            </w:pPr>
            <w:r>
              <w:rPr>
                <w:rFonts w:hint="eastAsia" w:ascii="宋体" w:hAnsi="宋体" w:cs="宋体"/>
                <w:color w:val="auto"/>
                <w:szCs w:val="21"/>
                <w:highlight w:val="none"/>
              </w:rPr>
              <w:t>磋商报价得分（满分</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分）</w:t>
            </w:r>
          </w:p>
        </w:tc>
        <w:tc>
          <w:tcPr>
            <w:tcW w:w="6334" w:type="dxa"/>
            <w:gridSpan w:val="3"/>
            <w:noWrap w:val="0"/>
            <w:vAlign w:val="center"/>
          </w:tcPr>
          <w:p w14:paraId="64E24654">
            <w:pPr>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1、本次竞争性磋商允许二次报价。供应商的二次报价即为最终报价。报价部分评审以供应商二次报价为准。</w:t>
            </w:r>
          </w:p>
          <w:p w14:paraId="14E81E9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2、综合评分法中的价格分统一采用低价优先法计算，即满足竞争性磋商文件要求且最终报价最低的供应商的价格为</w:t>
            </w:r>
            <w:r>
              <w:rPr>
                <w:rFonts w:hint="eastAsia" w:ascii="宋体" w:hAnsi="宋体" w:cs="宋体"/>
                <w:b w:val="0"/>
                <w:bCs w:val="0"/>
                <w:color w:val="auto"/>
                <w:szCs w:val="21"/>
                <w:highlight w:val="none"/>
                <w:lang w:val="en-US" w:eastAsia="zh-CN"/>
              </w:rPr>
              <w:t>评审</w:t>
            </w:r>
            <w:r>
              <w:rPr>
                <w:rFonts w:hint="eastAsia" w:ascii="宋体" w:hAnsi="宋体" w:cs="宋体"/>
                <w:b w:val="0"/>
                <w:bCs w:val="0"/>
                <w:color w:val="auto"/>
                <w:szCs w:val="21"/>
                <w:highlight w:val="none"/>
              </w:rPr>
              <w:t>基准价。</w:t>
            </w:r>
          </w:p>
          <w:p w14:paraId="2F6F4DB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olor w:val="auto"/>
                <w:szCs w:val="21"/>
                <w:highlight w:val="none"/>
              </w:rPr>
            </w:pPr>
            <w:r>
              <w:rPr>
                <w:rFonts w:hint="eastAsia" w:ascii="宋体" w:hAnsi="宋体"/>
                <w:color w:val="auto"/>
                <w:szCs w:val="21"/>
                <w:highlight w:val="none"/>
              </w:rPr>
              <w:t>根据各供应商磋商</w:t>
            </w:r>
            <w:r>
              <w:rPr>
                <w:rFonts w:hint="eastAsia" w:ascii="宋体" w:hAnsi="宋体"/>
                <w:color w:val="auto"/>
                <w:szCs w:val="21"/>
                <w:highlight w:val="none"/>
                <w:lang w:val="en-US" w:eastAsia="zh-CN"/>
              </w:rPr>
              <w:t>总</w:t>
            </w:r>
            <w:r>
              <w:rPr>
                <w:rFonts w:hint="eastAsia" w:ascii="宋体" w:hAnsi="宋体"/>
                <w:color w:val="auto"/>
                <w:szCs w:val="21"/>
                <w:highlight w:val="none"/>
              </w:rPr>
              <w:t>报价按照以下规则进行打分。</w:t>
            </w:r>
          </w:p>
          <w:p w14:paraId="1DF5D297">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（1）算术修正报价</w:t>
            </w:r>
          </w:p>
          <w:p w14:paraId="29F76DD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若存在算术修正，应按修正后的磋商总报价进行评标基准价和磋商报价得分计算</w:t>
            </w:r>
          </w:p>
          <w:p w14:paraId="7C3D93D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（2）政策优惠报价——小微企业或监狱企业或残疾人福利性单位政策</w:t>
            </w:r>
          </w:p>
          <w:p w14:paraId="3E0DA2B8">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若存在符合条件的小微企业或监狱企业或残疾人福利性单位给予的报价优惠的情形，用扣除后的磋商总报价进行评标基准价和磋商报价得分计算。对于同时属于小微企业、监狱企业或残疾人福利性单位的，不重复进行磋商报价扣除。若同时存在算术修正，应在算术修正后的报价基础上进行优惠报价的扣除。</w:t>
            </w:r>
          </w:p>
          <w:p w14:paraId="580F8DBA">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（3）评标基准价＝满足磋商文件要求且磋商总报价最低的磋商报价为评标基准价；</w:t>
            </w:r>
          </w:p>
          <w:p w14:paraId="11E176A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（4）得分计算：满足磋商文件要求且磋商总报价最低的磋商报价，其价格分为满分。其他供应商的价格分统一按照下列公式计算：</w:t>
            </w:r>
          </w:p>
          <w:p w14:paraId="4902432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color w:val="auto"/>
                <w:szCs w:val="21"/>
                <w:highlight w:val="none"/>
                <w:lang w:val="en-US"/>
              </w:rPr>
            </w:pPr>
            <w:r>
              <w:rPr>
                <w:rFonts w:hint="eastAsia" w:ascii="宋体" w:hAnsi="宋体"/>
                <w:color w:val="auto"/>
                <w:szCs w:val="21"/>
                <w:highlight w:val="none"/>
                <w:lang w:val="en-US" w:eastAsia="zh-CN"/>
              </w:rPr>
              <w:t>磋商报价得分＝（评标基准价/磋商总报价）×20</w:t>
            </w:r>
          </w:p>
        </w:tc>
      </w:tr>
    </w:tbl>
    <w:p w14:paraId="12F45FFD">
      <w:pPr>
        <w:spacing w:line="360" w:lineRule="auto"/>
        <w:rPr>
          <w:rFonts w:ascii="宋体" w:hAnsi="宋体"/>
          <w:b/>
          <w:szCs w:val="21"/>
          <w:highlight w:val="none"/>
        </w:rPr>
      </w:pPr>
      <w:r>
        <w:rPr>
          <w:rFonts w:ascii="宋体" w:hAnsi="宋体"/>
          <w:b/>
          <w:szCs w:val="21"/>
          <w:highlight w:val="none"/>
        </w:rPr>
        <w:br w:type="page"/>
      </w:r>
      <w:r>
        <w:rPr>
          <w:rFonts w:ascii="宋体" w:hAnsi="宋体"/>
          <w:b/>
          <w:szCs w:val="21"/>
          <w:highlight w:val="none"/>
        </w:rPr>
        <w:t xml:space="preserve">1. </w:t>
      </w:r>
      <w:bookmarkEnd w:id="399"/>
      <w:r>
        <w:rPr>
          <w:rFonts w:ascii="宋体" w:hAnsi="宋体"/>
          <w:b/>
          <w:szCs w:val="21"/>
          <w:highlight w:val="none"/>
        </w:rPr>
        <w:t>磋商方法</w:t>
      </w:r>
      <w:bookmarkEnd w:id="400"/>
      <w:bookmarkEnd w:id="401"/>
      <w:bookmarkEnd w:id="402"/>
      <w:bookmarkEnd w:id="403"/>
    </w:p>
    <w:p w14:paraId="11150C22">
      <w:pPr>
        <w:spacing w:line="360" w:lineRule="auto"/>
        <w:ind w:firstLine="420" w:firstLineChars="200"/>
        <w:jc w:val="left"/>
        <w:rPr>
          <w:rFonts w:hint="eastAsia" w:ascii="宋体" w:hAnsi="宋体"/>
          <w:szCs w:val="21"/>
          <w:highlight w:val="none"/>
        </w:rPr>
      </w:pPr>
      <w:r>
        <w:rPr>
          <w:rFonts w:hint="eastAsia" w:ascii="宋体" w:hAnsi="宋体"/>
          <w:szCs w:val="21"/>
          <w:highlight w:val="none"/>
        </w:rPr>
        <w:t>根据《中华人民共和国政府采购法》、《中华人民共和国政府采购法实施条例》及省、市有关规定，磋商小组成员按照客观、公正、谨慎的原则，根据竞争性磋商文件规定的评审程序、评审方法和评审标准进行独立评审。根据排名先后确定</w:t>
      </w:r>
      <w:r>
        <w:rPr>
          <w:rFonts w:hint="eastAsia" w:ascii="宋体" w:hAnsi="宋体"/>
          <w:szCs w:val="21"/>
          <w:highlight w:val="none"/>
          <w:lang w:eastAsia="zh-CN"/>
        </w:rPr>
        <w:t>成交候选人</w:t>
      </w:r>
      <w:r>
        <w:rPr>
          <w:rFonts w:hint="eastAsia" w:ascii="宋体" w:hAnsi="宋体"/>
          <w:szCs w:val="21"/>
          <w:highlight w:val="none"/>
        </w:rPr>
        <w:t>。</w:t>
      </w:r>
    </w:p>
    <w:p w14:paraId="39BA7B64">
      <w:pPr>
        <w:pStyle w:val="36"/>
        <w:spacing w:after="0" w:line="360" w:lineRule="auto"/>
        <w:rPr>
          <w:rFonts w:hint="eastAsia" w:ascii="宋体" w:hAnsi="宋体"/>
          <w:b/>
          <w:szCs w:val="21"/>
          <w:highlight w:val="none"/>
        </w:rPr>
      </w:pPr>
      <w:r>
        <w:rPr>
          <w:rFonts w:hint="eastAsia" w:ascii="宋体" w:hAnsi="宋体"/>
          <w:b/>
          <w:szCs w:val="21"/>
          <w:highlight w:val="none"/>
        </w:rPr>
        <w:t>2．评审工作程序</w:t>
      </w:r>
    </w:p>
    <w:p w14:paraId="06ECD538">
      <w:pPr>
        <w:pStyle w:val="36"/>
        <w:spacing w:after="0" w:line="360" w:lineRule="auto"/>
        <w:ind w:firstLine="420" w:firstLineChars="20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1</w:t>
      </w:r>
      <w:r>
        <w:rPr>
          <w:rFonts w:hint="eastAsia" w:ascii="宋体" w:hAnsi="宋体"/>
          <w:szCs w:val="21"/>
          <w:highlight w:val="none"/>
          <w:lang w:eastAsia="zh-CN"/>
        </w:rPr>
        <w:t>）</w:t>
      </w:r>
      <w:r>
        <w:rPr>
          <w:rFonts w:hint="eastAsia" w:ascii="宋体" w:hAnsi="宋体"/>
          <w:szCs w:val="21"/>
          <w:highlight w:val="none"/>
        </w:rPr>
        <w:t>采购代理机构经办人开启响应文件解密；</w:t>
      </w:r>
    </w:p>
    <w:p w14:paraId="4FA01DE6">
      <w:pPr>
        <w:pStyle w:val="36"/>
        <w:spacing w:after="0" w:line="360" w:lineRule="auto"/>
        <w:ind w:firstLine="420" w:firstLineChars="20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w:t>
      </w:r>
      <w:r>
        <w:rPr>
          <w:rFonts w:hint="eastAsia" w:ascii="宋体" w:hAnsi="宋体"/>
          <w:szCs w:val="21"/>
          <w:highlight w:val="none"/>
        </w:rPr>
        <w:t>供应商对响应文件进行解密；</w:t>
      </w:r>
    </w:p>
    <w:p w14:paraId="2290E51A">
      <w:pPr>
        <w:pStyle w:val="36"/>
        <w:spacing w:after="0" w:line="360" w:lineRule="auto"/>
        <w:ind w:firstLine="420" w:firstLineChars="20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3</w:t>
      </w:r>
      <w:r>
        <w:rPr>
          <w:rFonts w:hint="eastAsia" w:ascii="宋体" w:hAnsi="宋体"/>
          <w:szCs w:val="21"/>
          <w:highlight w:val="none"/>
          <w:lang w:eastAsia="zh-CN"/>
        </w:rPr>
        <w:t>）</w:t>
      </w:r>
      <w:r>
        <w:rPr>
          <w:rFonts w:hint="eastAsia" w:ascii="宋体" w:hAnsi="宋体"/>
          <w:szCs w:val="21"/>
          <w:highlight w:val="none"/>
        </w:rPr>
        <w:t>供应商对响应文件进行线上签字；</w:t>
      </w:r>
    </w:p>
    <w:p w14:paraId="0F4EDDF9">
      <w:pPr>
        <w:pStyle w:val="36"/>
        <w:spacing w:after="0" w:line="360" w:lineRule="auto"/>
        <w:ind w:firstLine="420" w:firstLineChars="20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4</w:t>
      </w:r>
      <w:r>
        <w:rPr>
          <w:rFonts w:hint="eastAsia" w:ascii="宋体" w:hAnsi="宋体"/>
          <w:szCs w:val="21"/>
          <w:highlight w:val="none"/>
          <w:lang w:eastAsia="zh-CN"/>
        </w:rPr>
        <w:t>）</w:t>
      </w:r>
      <w:r>
        <w:rPr>
          <w:rFonts w:hint="eastAsia" w:ascii="宋体" w:hAnsi="宋体"/>
          <w:szCs w:val="21"/>
          <w:highlight w:val="none"/>
        </w:rPr>
        <w:t>磋商顺序：按“政采云”系统的编号顺序；</w:t>
      </w:r>
    </w:p>
    <w:p w14:paraId="6F136929">
      <w:pPr>
        <w:pStyle w:val="36"/>
        <w:spacing w:after="0" w:line="360" w:lineRule="auto"/>
        <w:ind w:firstLine="420" w:firstLineChars="200"/>
        <w:rPr>
          <w:rFonts w:hint="eastAsia" w:ascii="宋体" w:hAnsi="宋体" w:eastAsia="宋体"/>
          <w:szCs w:val="21"/>
          <w:highlight w:val="none"/>
          <w:lang w:eastAsia="zh-CN"/>
        </w:rPr>
      </w:pPr>
      <w:r>
        <w:rPr>
          <w:rFonts w:hint="eastAsia" w:ascii="宋体" w:hAnsi="宋体"/>
          <w:szCs w:val="21"/>
          <w:highlight w:val="none"/>
          <w:lang w:eastAsia="zh-CN"/>
        </w:rPr>
        <w:t>（</w:t>
      </w:r>
      <w:r>
        <w:rPr>
          <w:rFonts w:hint="eastAsia" w:ascii="宋体" w:hAnsi="宋体"/>
          <w:szCs w:val="21"/>
          <w:highlight w:val="none"/>
          <w:lang w:val="en-US" w:eastAsia="zh-CN"/>
        </w:rPr>
        <w:t>5</w:t>
      </w:r>
      <w:r>
        <w:rPr>
          <w:rFonts w:hint="eastAsia" w:ascii="宋体" w:hAnsi="宋体"/>
          <w:szCs w:val="21"/>
          <w:highlight w:val="none"/>
          <w:lang w:eastAsia="zh-CN"/>
        </w:rPr>
        <w:t>）</w:t>
      </w:r>
      <w:r>
        <w:rPr>
          <w:rFonts w:hint="eastAsia" w:ascii="宋体" w:hAnsi="宋体"/>
          <w:szCs w:val="21"/>
          <w:highlight w:val="none"/>
        </w:rPr>
        <w:t>实质性审查</w:t>
      </w:r>
      <w:r>
        <w:rPr>
          <w:rFonts w:hint="eastAsia" w:ascii="宋体" w:hAnsi="宋体"/>
          <w:szCs w:val="21"/>
          <w:highlight w:val="none"/>
          <w:lang w:eastAsia="zh-CN"/>
        </w:rPr>
        <w:t>：</w:t>
      </w:r>
    </w:p>
    <w:p w14:paraId="5163F2F0">
      <w:pPr>
        <w:pStyle w:val="36"/>
        <w:spacing w:after="0" w:line="360" w:lineRule="auto"/>
        <w:ind w:firstLine="420" w:firstLineChars="200"/>
        <w:rPr>
          <w:rFonts w:hint="eastAsia" w:ascii="宋体" w:hAnsi="宋体" w:cs="宋体"/>
          <w:szCs w:val="21"/>
          <w:highlight w:val="none"/>
          <w:lang w:val="zh-CN"/>
        </w:rPr>
      </w:pPr>
      <w:r>
        <w:rPr>
          <w:rFonts w:hint="eastAsia" w:ascii="宋体" w:hAnsi="宋体" w:cs="宋体"/>
          <w:szCs w:val="21"/>
          <w:highlight w:val="none"/>
          <w:lang w:val="zh-CN"/>
        </w:rPr>
        <w:t>磋商小组依据竞争性磋商文件的规定，对响应文件的有效性、完整性和对竞争性磋商文件的响应程度进行审查，以确定是否对竞争性磋商文件的要求做出实质性响应。未对竞争性磋商文件做实质性响应的供应商，不得进入具体磋商程序。</w:t>
      </w:r>
    </w:p>
    <w:p w14:paraId="4665E2E8">
      <w:pPr>
        <w:pStyle w:val="36"/>
        <w:spacing w:after="0" w:line="360" w:lineRule="auto"/>
        <w:ind w:firstLine="420" w:firstLineChars="200"/>
        <w:rPr>
          <w:rFonts w:hint="eastAsia" w:ascii="宋体" w:hAnsi="宋体" w:cs="宋体"/>
          <w:szCs w:val="21"/>
          <w:highlight w:val="none"/>
          <w:lang w:val="zh-CN"/>
        </w:rPr>
      </w:pPr>
      <w:r>
        <w:rPr>
          <w:rFonts w:hint="eastAsia" w:ascii="宋体" w:hAnsi="宋体" w:cs="宋体"/>
          <w:szCs w:val="21"/>
          <w:highlight w:val="none"/>
          <w:lang w:val="zh-CN"/>
        </w:rPr>
        <w:t>在竞争性磋商文件及程序符合法律规定的前提下，提交响应文件或对竞争性磋商文件做出实质响应的供应商少于</w:t>
      </w:r>
      <w:r>
        <w:rPr>
          <w:rFonts w:hint="eastAsia" w:ascii="宋体" w:hAnsi="宋体" w:cs="宋体"/>
          <w:szCs w:val="21"/>
          <w:highlight w:val="none"/>
        </w:rPr>
        <w:t>3家</w:t>
      </w:r>
      <w:r>
        <w:rPr>
          <w:rFonts w:hint="eastAsia" w:ascii="宋体" w:hAnsi="宋体" w:cs="宋体"/>
          <w:szCs w:val="21"/>
          <w:highlight w:val="none"/>
          <w:lang w:val="zh-CN"/>
        </w:rPr>
        <w:t>时，应终止磋商，重新组织采购。</w:t>
      </w:r>
    </w:p>
    <w:p w14:paraId="7174C32C">
      <w:pPr>
        <w:pStyle w:val="36"/>
        <w:spacing w:after="0" w:line="360" w:lineRule="auto"/>
        <w:ind w:firstLine="420" w:firstLineChars="20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6</w:t>
      </w:r>
      <w:r>
        <w:rPr>
          <w:rFonts w:hint="eastAsia" w:ascii="宋体" w:hAnsi="宋体"/>
          <w:szCs w:val="21"/>
          <w:highlight w:val="none"/>
          <w:lang w:eastAsia="zh-CN"/>
        </w:rPr>
        <w:t>）</w:t>
      </w:r>
      <w:r>
        <w:rPr>
          <w:rFonts w:hint="eastAsia" w:ascii="宋体" w:hAnsi="宋体"/>
          <w:szCs w:val="21"/>
          <w:highlight w:val="none"/>
        </w:rPr>
        <w:t>磋商或最终报价；</w:t>
      </w:r>
    </w:p>
    <w:p w14:paraId="676FB57B">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宋体"/>
          <w:szCs w:val="21"/>
          <w:highlight w:val="none"/>
          <w:lang w:val="zh-CN"/>
        </w:rPr>
      </w:pPr>
      <w:r>
        <w:rPr>
          <w:rFonts w:hint="eastAsia" w:ascii="宋体" w:hAnsi="宋体"/>
          <w:b/>
          <w:szCs w:val="21"/>
          <w:highlight w:val="none"/>
        </w:rPr>
        <w:t>通过实质性审查的供应商才能进入磋商程序并进行第二轮报价，第二轮报价为最终报价。</w:t>
      </w:r>
      <w:r>
        <w:rPr>
          <w:rFonts w:hint="eastAsia" w:ascii="宋体" w:hAnsi="宋体" w:cs="宋体"/>
          <w:szCs w:val="21"/>
          <w:highlight w:val="none"/>
          <w:lang w:val="zh-CN"/>
        </w:rPr>
        <w:t>磋商小组</w:t>
      </w:r>
      <w:r>
        <w:rPr>
          <w:rFonts w:ascii="宋体" w:hAnsi="宋体" w:cs="宋体"/>
          <w:szCs w:val="21"/>
          <w:highlight w:val="none"/>
          <w:lang w:val="zh-CN"/>
        </w:rPr>
        <w:t>所有成员集中与</w:t>
      </w:r>
      <w:r>
        <w:rPr>
          <w:rFonts w:hint="eastAsia" w:ascii="宋体" w:hAnsi="宋体" w:cs="宋体"/>
          <w:szCs w:val="21"/>
          <w:highlight w:val="none"/>
          <w:lang w:val="zh-CN"/>
        </w:rPr>
        <w:t>单一</w:t>
      </w:r>
      <w:r>
        <w:rPr>
          <w:rFonts w:ascii="宋体" w:hAnsi="宋体" w:cs="宋体"/>
          <w:szCs w:val="21"/>
          <w:highlight w:val="none"/>
          <w:lang w:val="zh-CN"/>
        </w:rPr>
        <w:t>供应商</w:t>
      </w:r>
      <w:r>
        <w:rPr>
          <w:rFonts w:hint="eastAsia" w:ascii="宋体" w:hAnsi="宋体" w:cs="宋体"/>
          <w:szCs w:val="21"/>
          <w:highlight w:val="none"/>
        </w:rPr>
        <w:t>按“政采云”系统的编号顺序</w:t>
      </w:r>
      <w:r>
        <w:rPr>
          <w:rFonts w:hint="eastAsia" w:ascii="宋体" w:hAnsi="宋体"/>
          <w:szCs w:val="21"/>
          <w:highlight w:val="none"/>
          <w:lang w:val="en-US" w:eastAsia="zh-CN"/>
        </w:rPr>
        <w:t>为</w:t>
      </w:r>
      <w:r>
        <w:rPr>
          <w:rFonts w:hint="eastAsia" w:ascii="宋体" w:hAnsi="宋体"/>
          <w:szCs w:val="21"/>
          <w:highlight w:val="none"/>
        </w:rPr>
        <w:t>磋商次序</w:t>
      </w:r>
      <w:r>
        <w:rPr>
          <w:rFonts w:ascii="宋体" w:hAnsi="宋体" w:cs="宋体"/>
          <w:szCs w:val="21"/>
          <w:highlight w:val="none"/>
          <w:lang w:val="zh-CN"/>
        </w:rPr>
        <w:t>分别进行</w:t>
      </w:r>
      <w:r>
        <w:rPr>
          <w:rFonts w:hint="eastAsia" w:ascii="宋体" w:hAnsi="宋体" w:cs="宋体"/>
          <w:szCs w:val="21"/>
          <w:highlight w:val="none"/>
          <w:lang w:val="zh-CN"/>
        </w:rPr>
        <w:t>磋商</w:t>
      </w:r>
      <w:r>
        <w:rPr>
          <w:rFonts w:ascii="宋体" w:hAnsi="宋体" w:cs="宋体"/>
          <w:szCs w:val="21"/>
          <w:highlight w:val="none"/>
          <w:lang w:val="zh-CN"/>
        </w:rPr>
        <w:t>。</w:t>
      </w:r>
      <w:r>
        <w:rPr>
          <w:rFonts w:hint="eastAsia" w:ascii="宋体" w:hAnsi="宋体" w:cs="宋体"/>
          <w:szCs w:val="21"/>
          <w:highlight w:val="none"/>
          <w:lang w:val="zh-CN"/>
        </w:rPr>
        <w:t>磋商小组</w:t>
      </w:r>
      <w:r>
        <w:rPr>
          <w:rFonts w:ascii="宋体" w:hAnsi="宋体" w:cs="宋体"/>
          <w:szCs w:val="21"/>
          <w:highlight w:val="none"/>
          <w:lang w:val="zh-CN"/>
        </w:rPr>
        <w:t>可根据供应商的报价，响应内容及</w:t>
      </w:r>
      <w:r>
        <w:rPr>
          <w:rFonts w:hint="eastAsia" w:ascii="宋体" w:hAnsi="宋体" w:cs="宋体"/>
          <w:szCs w:val="21"/>
          <w:highlight w:val="none"/>
          <w:lang w:val="zh-CN"/>
        </w:rPr>
        <w:t>磋商</w:t>
      </w:r>
      <w:r>
        <w:rPr>
          <w:rFonts w:ascii="宋体" w:hAnsi="宋体" w:cs="宋体"/>
          <w:szCs w:val="21"/>
          <w:highlight w:val="none"/>
          <w:lang w:val="zh-CN"/>
        </w:rPr>
        <w:t>的情况，给予每个正在参加</w:t>
      </w:r>
      <w:r>
        <w:rPr>
          <w:rFonts w:hint="eastAsia" w:ascii="宋体" w:hAnsi="宋体" w:cs="宋体"/>
          <w:szCs w:val="21"/>
          <w:highlight w:val="none"/>
          <w:lang w:val="zh-CN"/>
        </w:rPr>
        <w:t>磋商</w:t>
      </w:r>
      <w:r>
        <w:rPr>
          <w:rFonts w:ascii="宋体" w:hAnsi="宋体" w:cs="宋体"/>
          <w:szCs w:val="21"/>
          <w:highlight w:val="none"/>
          <w:lang w:val="zh-CN"/>
        </w:rPr>
        <w:t>的供应商相同的机会。</w:t>
      </w:r>
    </w:p>
    <w:p w14:paraId="2B84A4AE">
      <w:pPr>
        <w:pStyle w:val="36"/>
        <w:spacing w:after="0" w:line="360" w:lineRule="auto"/>
        <w:ind w:firstLine="420" w:firstLineChars="200"/>
        <w:rPr>
          <w:rFonts w:ascii="宋体" w:hAnsi="宋体" w:cs="宋体"/>
          <w:szCs w:val="21"/>
          <w:highlight w:val="none"/>
        </w:rPr>
      </w:pPr>
      <w:r>
        <w:rPr>
          <w:rFonts w:hint="eastAsia" w:ascii="宋体" w:hAnsi="宋体" w:cs="宋体"/>
          <w:szCs w:val="21"/>
          <w:highlight w:val="none"/>
          <w:lang w:val="zh-CN"/>
        </w:rPr>
        <w:t>①</w:t>
      </w:r>
      <w:r>
        <w:rPr>
          <w:rFonts w:hint="eastAsia" w:ascii="宋体" w:hAnsi="宋体" w:cs="宋体"/>
          <w:szCs w:val="21"/>
          <w:highlight w:val="none"/>
        </w:rPr>
        <w:t>在磋商过程中，磋商小组可以根据竞争性磋商文件和磋商情况实质性变动采购需求中的技术、服务要求以及合同草案条款，但不得变动竞争性磋商文件中的其他内容。实质性变动的内容，须经采购人代表确认</w:t>
      </w:r>
      <w:r>
        <w:rPr>
          <w:rFonts w:hint="eastAsia" w:ascii="宋体" w:hAnsi="宋体"/>
          <w:bCs/>
          <w:szCs w:val="21"/>
          <w:highlight w:val="none"/>
        </w:rPr>
        <w:t>。</w:t>
      </w:r>
    </w:p>
    <w:p w14:paraId="10A07248">
      <w:pPr>
        <w:pStyle w:val="36"/>
        <w:spacing w:after="0" w:line="360" w:lineRule="auto"/>
        <w:ind w:firstLine="420" w:firstLineChars="200"/>
        <w:rPr>
          <w:rFonts w:ascii="宋体" w:hAnsi="宋体" w:cs="宋体"/>
          <w:szCs w:val="21"/>
          <w:highlight w:val="none"/>
        </w:rPr>
      </w:pPr>
      <w:r>
        <w:rPr>
          <w:rFonts w:hint="eastAsia" w:ascii="宋体" w:hAnsi="宋体" w:cs="宋体"/>
          <w:szCs w:val="21"/>
          <w:highlight w:val="none"/>
        </w:rPr>
        <w:t>②对竞争性磋商文件作出的实质性变动是竞争性磋商文件的有效组成部分，磋商小组应当及时以书面形式同时通知所有参加磋商的供应商。</w:t>
      </w:r>
      <w:r>
        <w:rPr>
          <w:rFonts w:ascii="宋体" w:hAnsi="宋体" w:cs="宋体"/>
          <w:szCs w:val="21"/>
          <w:highlight w:val="none"/>
        </w:rPr>
        <w:t xml:space="preserve"> </w:t>
      </w:r>
    </w:p>
    <w:p w14:paraId="6C5F64A3">
      <w:pPr>
        <w:pStyle w:val="36"/>
        <w:spacing w:after="0" w:line="360" w:lineRule="auto"/>
        <w:ind w:firstLine="420" w:firstLineChars="200"/>
        <w:rPr>
          <w:rFonts w:hint="eastAsia" w:ascii="宋体" w:hAnsi="宋体" w:cs="宋体"/>
          <w:szCs w:val="21"/>
          <w:highlight w:val="none"/>
        </w:rPr>
      </w:pPr>
      <w:r>
        <w:rPr>
          <w:rFonts w:hint="eastAsia" w:ascii="宋体" w:hAnsi="宋体" w:cs="宋体"/>
          <w:szCs w:val="21"/>
          <w:highlight w:val="none"/>
        </w:rPr>
        <w:t>③供应商应当按照竞争性磋商文件的变动情况和磋商小组的要求重新提交响应文件，并由其全权代表</w:t>
      </w:r>
      <w:r>
        <w:rPr>
          <w:rFonts w:hint="eastAsia" w:ascii="宋体" w:hAnsi="宋体" w:cs="宋体"/>
          <w:szCs w:val="21"/>
          <w:highlight w:val="none"/>
          <w:lang w:val="en-US" w:eastAsia="zh-CN"/>
        </w:rPr>
        <w:t>签字或盖章</w:t>
      </w:r>
      <w:r>
        <w:rPr>
          <w:rFonts w:hint="eastAsia" w:ascii="宋体" w:hAnsi="宋体" w:cs="宋体"/>
          <w:szCs w:val="21"/>
          <w:highlight w:val="none"/>
        </w:rPr>
        <w:t>。</w:t>
      </w:r>
    </w:p>
    <w:p w14:paraId="4E3A5B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Times New Roman"/>
          <w:szCs w:val="21"/>
          <w:highlight w:val="none"/>
          <w:lang w:val="en-US" w:eastAsia="zh-CN"/>
        </w:rPr>
      </w:pPr>
      <w:r>
        <w:rPr>
          <w:rFonts w:hint="eastAsia" w:ascii="宋体" w:hAnsi="宋体" w:cs="宋体"/>
          <w:szCs w:val="21"/>
          <w:highlight w:val="none"/>
          <w:lang w:val="en-US" w:eastAsia="zh-CN"/>
        </w:rPr>
        <w:t>④各供应商进行报价：磋商结束后，参加磋商的供应商应当对磋商的承诺以书面形式确认，在规定时间内提交并进行二次报价。二次报价为最终报价，最终报价不得高于其首次报价。最终报价文件在政采云平台按要求填报，在规定的时间内提交后统一开启，供应商未在规定时间按要求提交最终报价的，视为未进行最终报价及放弃参加磋商权利，按照无效响应文件处理。</w:t>
      </w:r>
    </w:p>
    <w:p w14:paraId="687C018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b/>
          <w:szCs w:val="21"/>
          <w:highlight w:val="none"/>
        </w:rPr>
      </w:pPr>
      <w:r>
        <w:rPr>
          <w:rFonts w:hint="eastAsia" w:ascii="宋体" w:hAnsi="宋体"/>
          <w:b w:val="0"/>
          <w:bCs w:val="0"/>
          <w:szCs w:val="21"/>
          <w:highlight w:val="none"/>
        </w:rPr>
        <w:t>若已</w:t>
      </w:r>
      <w:r>
        <w:rPr>
          <w:rFonts w:hint="eastAsia" w:ascii="宋体" w:hAnsi="宋体"/>
          <w:b w:val="0"/>
          <w:bCs w:val="0"/>
          <w:szCs w:val="21"/>
          <w:highlight w:val="none"/>
          <w:lang w:val="en-US" w:eastAsia="zh-CN"/>
        </w:rPr>
        <w:t>提交</w:t>
      </w:r>
      <w:r>
        <w:rPr>
          <w:rFonts w:hint="eastAsia" w:ascii="宋体" w:hAnsi="宋体"/>
          <w:b w:val="0"/>
          <w:bCs w:val="0"/>
          <w:szCs w:val="21"/>
          <w:highlight w:val="none"/>
        </w:rPr>
        <w:t>的最终报价文件若出现含义不明确、同类问题表述不一致或者签署不完整、有明显文字和计算错误的，可以进行澄清和补充，但不得改变最终报价文件中报价等实质性内容（算术性错误修正的除外）。</w:t>
      </w:r>
    </w:p>
    <w:p w14:paraId="59E93CF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b/>
          <w:szCs w:val="21"/>
          <w:highlight w:val="none"/>
        </w:rPr>
      </w:pPr>
      <w:r>
        <w:rPr>
          <w:rFonts w:hint="eastAsia" w:ascii="宋体" w:hAnsi="宋体" w:cs="宋体"/>
          <w:kern w:val="0"/>
          <w:szCs w:val="21"/>
          <w:highlight w:val="none"/>
        </w:rPr>
        <w:t>供应商的澄清、说明或者更正应当由法定代表人或其授权代表签字或者加盖公章。由授权代表签字的，应当附法定代表人授权书。供应商为自然人的，应当由本人签字并附身份证明。</w:t>
      </w:r>
    </w:p>
    <w:p w14:paraId="23DC98E1">
      <w:pPr>
        <w:pStyle w:val="36"/>
        <w:spacing w:after="0" w:line="360" w:lineRule="auto"/>
        <w:ind w:firstLine="420" w:firstLineChars="200"/>
        <w:rPr>
          <w:rFonts w:hint="eastAsia" w:ascii="宋体" w:hAnsi="宋体" w:cs="宋体"/>
          <w:b w:val="0"/>
          <w:bCs w:val="0"/>
          <w:szCs w:val="21"/>
          <w:highlight w:val="none"/>
        </w:rPr>
      </w:pPr>
      <w:r>
        <w:rPr>
          <w:rFonts w:hint="eastAsia" w:ascii="宋体" w:hAnsi="宋体" w:cs="宋体"/>
          <w:b w:val="0"/>
          <w:bCs w:val="0"/>
          <w:szCs w:val="21"/>
          <w:highlight w:val="none"/>
          <w:lang w:val="zh-CN"/>
        </w:rPr>
        <w:t>（</w:t>
      </w:r>
      <w:r>
        <w:rPr>
          <w:rFonts w:hint="eastAsia" w:ascii="宋体" w:hAnsi="宋体" w:cs="宋体"/>
          <w:b w:val="0"/>
          <w:bCs w:val="0"/>
          <w:szCs w:val="21"/>
          <w:highlight w:val="none"/>
          <w:lang w:val="en-US" w:eastAsia="zh-CN"/>
        </w:rPr>
        <w:t>7</w:t>
      </w:r>
      <w:r>
        <w:rPr>
          <w:rFonts w:hint="eastAsia" w:ascii="宋体" w:hAnsi="宋体" w:cs="宋体"/>
          <w:b w:val="0"/>
          <w:bCs w:val="0"/>
          <w:szCs w:val="21"/>
          <w:highlight w:val="none"/>
          <w:lang w:val="zh-CN"/>
        </w:rPr>
        <w:t>）</w:t>
      </w:r>
      <w:r>
        <w:rPr>
          <w:rFonts w:hint="eastAsia" w:ascii="宋体" w:hAnsi="宋体" w:cs="宋体"/>
          <w:b w:val="0"/>
          <w:bCs w:val="0"/>
          <w:szCs w:val="21"/>
          <w:highlight w:val="none"/>
        </w:rPr>
        <w:t>由磋商小组采用综合评分法对提交最后报价的供应商的响应文件进行</w:t>
      </w:r>
      <w:r>
        <w:rPr>
          <w:rFonts w:hint="eastAsia" w:ascii="宋体" w:hAnsi="宋体" w:cs="宋体"/>
          <w:b w:val="0"/>
          <w:bCs w:val="0"/>
          <w:szCs w:val="21"/>
          <w:highlight w:val="none"/>
          <w:lang w:val="en-US" w:eastAsia="zh-CN"/>
        </w:rPr>
        <w:t>综合</w:t>
      </w:r>
      <w:r>
        <w:rPr>
          <w:rFonts w:hint="eastAsia" w:ascii="宋体" w:hAnsi="宋体" w:cs="宋体"/>
          <w:b w:val="0"/>
          <w:bCs w:val="0"/>
          <w:szCs w:val="21"/>
          <w:highlight w:val="none"/>
        </w:rPr>
        <w:t>评分。</w:t>
      </w:r>
    </w:p>
    <w:p w14:paraId="7B9EFEE7">
      <w:pPr>
        <w:pStyle w:val="36"/>
        <w:spacing w:after="0" w:line="360" w:lineRule="auto"/>
        <w:ind w:firstLine="420" w:firstLineChars="200"/>
        <w:rPr>
          <w:rFonts w:hint="default" w:ascii="宋体" w:hAnsi="宋体" w:eastAsia="宋体" w:cs="宋体"/>
          <w:b w:val="0"/>
          <w:bCs w:val="0"/>
          <w:szCs w:val="21"/>
          <w:highlight w:val="none"/>
          <w:lang w:val="en-US" w:eastAsia="zh-CN"/>
        </w:rPr>
      </w:pPr>
      <w:r>
        <w:rPr>
          <w:rFonts w:hint="eastAsia" w:ascii="宋体" w:hAnsi="宋体" w:cs="宋体"/>
          <w:b w:val="0"/>
          <w:bCs w:val="0"/>
          <w:szCs w:val="21"/>
          <w:highlight w:val="none"/>
          <w:lang w:val="zh-CN"/>
        </w:rPr>
        <w:t>（</w:t>
      </w:r>
      <w:r>
        <w:rPr>
          <w:rFonts w:hint="eastAsia" w:ascii="宋体" w:hAnsi="宋体" w:cs="宋体"/>
          <w:b w:val="0"/>
          <w:bCs w:val="0"/>
          <w:szCs w:val="21"/>
          <w:highlight w:val="none"/>
          <w:lang w:val="en-US" w:eastAsia="zh-CN"/>
        </w:rPr>
        <w:t>8</w:t>
      </w:r>
      <w:r>
        <w:rPr>
          <w:rFonts w:hint="eastAsia" w:ascii="宋体" w:hAnsi="宋体" w:cs="宋体"/>
          <w:b w:val="0"/>
          <w:bCs w:val="0"/>
          <w:szCs w:val="21"/>
          <w:highlight w:val="none"/>
          <w:lang w:val="zh-CN"/>
        </w:rPr>
        <w:t>）</w:t>
      </w:r>
      <w:r>
        <w:rPr>
          <w:rFonts w:hint="eastAsia" w:ascii="宋体" w:hAnsi="宋体" w:cs="宋体"/>
          <w:b w:val="0"/>
          <w:bCs w:val="0"/>
          <w:szCs w:val="21"/>
          <w:highlight w:val="none"/>
          <w:lang w:val="en-US" w:eastAsia="zh-CN"/>
        </w:rPr>
        <w:t>报价评审</w:t>
      </w:r>
      <w:r>
        <w:rPr>
          <w:rFonts w:hint="eastAsia" w:ascii="宋体" w:hAnsi="宋体"/>
          <w:b w:val="0"/>
          <w:bCs w:val="0"/>
          <w:szCs w:val="21"/>
          <w:highlight w:val="none"/>
          <w:lang w:val="en-US" w:eastAsia="zh-CN"/>
        </w:rPr>
        <w:t>。</w:t>
      </w:r>
    </w:p>
    <w:p w14:paraId="32C6731E">
      <w:pPr>
        <w:pStyle w:val="36"/>
        <w:spacing w:after="0" w:line="360" w:lineRule="auto"/>
        <w:ind w:firstLine="420" w:firstLineChars="200"/>
        <w:rPr>
          <w:rFonts w:hint="eastAsia" w:ascii="宋体" w:hAnsi="宋体" w:cs="宋体"/>
          <w:szCs w:val="21"/>
          <w:highlight w:val="none"/>
          <w:lang w:val="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9</w:t>
      </w:r>
      <w:r>
        <w:rPr>
          <w:rFonts w:hint="eastAsia" w:ascii="宋体" w:hAnsi="宋体" w:cs="宋体"/>
          <w:szCs w:val="21"/>
          <w:highlight w:val="none"/>
          <w:lang w:eastAsia="zh-CN"/>
        </w:rPr>
        <w:t>）</w:t>
      </w:r>
      <w:r>
        <w:rPr>
          <w:rFonts w:hint="eastAsia" w:ascii="宋体" w:hAnsi="宋体" w:cs="宋体"/>
          <w:szCs w:val="21"/>
          <w:highlight w:val="none"/>
          <w:lang w:val="en-US" w:eastAsia="zh-CN"/>
        </w:rPr>
        <w:t>结果汇总及推荐</w:t>
      </w:r>
      <w:r>
        <w:rPr>
          <w:rFonts w:hint="eastAsia" w:ascii="宋体" w:hAnsi="宋体" w:cs="宋体"/>
          <w:szCs w:val="21"/>
          <w:highlight w:val="none"/>
        </w:rPr>
        <w:t>成交供应商。</w:t>
      </w:r>
    </w:p>
    <w:p w14:paraId="21535BA7">
      <w:pPr>
        <w:pStyle w:val="36"/>
        <w:spacing w:after="0" w:line="360" w:lineRule="auto"/>
        <w:rPr>
          <w:rFonts w:hint="eastAsia" w:ascii="宋体" w:hAnsi="宋体" w:cs="黑体"/>
          <w:b/>
          <w:szCs w:val="21"/>
          <w:highlight w:val="none"/>
        </w:rPr>
      </w:pPr>
      <w:r>
        <w:rPr>
          <w:rFonts w:hint="eastAsia" w:ascii="宋体" w:hAnsi="宋体" w:cs="黑体"/>
          <w:b/>
          <w:szCs w:val="21"/>
          <w:highlight w:val="none"/>
        </w:rPr>
        <w:t>3．磋商内容</w:t>
      </w:r>
    </w:p>
    <w:p w14:paraId="4021BE8A">
      <w:pPr>
        <w:pStyle w:val="36"/>
        <w:spacing w:after="0" w:line="360" w:lineRule="auto"/>
        <w:ind w:firstLine="420" w:firstLineChars="200"/>
        <w:rPr>
          <w:rFonts w:hint="eastAsia" w:ascii="宋体" w:hAnsi="宋体"/>
          <w:szCs w:val="21"/>
          <w:highlight w:val="none"/>
        </w:rPr>
      </w:pPr>
      <w:r>
        <w:rPr>
          <w:rFonts w:hint="eastAsia" w:ascii="宋体" w:hAnsi="宋体"/>
          <w:szCs w:val="21"/>
          <w:highlight w:val="none"/>
        </w:rPr>
        <w:t>3.1采购项目的技术、服务要求</w:t>
      </w:r>
      <w:r>
        <w:rPr>
          <w:rFonts w:hint="eastAsia" w:ascii="宋体" w:hAnsi="宋体"/>
          <w:szCs w:val="21"/>
          <w:highlight w:val="none"/>
          <w:lang w:val="en-US" w:eastAsia="zh-CN"/>
        </w:rPr>
        <w:t>及</w:t>
      </w:r>
      <w:r>
        <w:rPr>
          <w:rFonts w:hint="eastAsia" w:ascii="宋体" w:hAnsi="宋体"/>
          <w:szCs w:val="21"/>
          <w:highlight w:val="none"/>
        </w:rPr>
        <w:t>合同草案条款等内容。</w:t>
      </w:r>
    </w:p>
    <w:p w14:paraId="3D8F7D83">
      <w:pPr>
        <w:pStyle w:val="36"/>
        <w:spacing w:after="0" w:line="360" w:lineRule="auto"/>
        <w:rPr>
          <w:rFonts w:hint="eastAsia" w:ascii="宋体" w:hAnsi="宋体" w:cs="黑体"/>
          <w:b/>
          <w:szCs w:val="21"/>
          <w:highlight w:val="none"/>
        </w:rPr>
      </w:pPr>
      <w:r>
        <w:rPr>
          <w:rFonts w:hint="eastAsia" w:ascii="宋体" w:hAnsi="宋体" w:cs="黑体"/>
          <w:b/>
          <w:szCs w:val="21"/>
          <w:highlight w:val="none"/>
        </w:rPr>
        <w:t>4.评审原则与评审方法</w:t>
      </w:r>
    </w:p>
    <w:p w14:paraId="161EEBCB">
      <w:pPr>
        <w:pStyle w:val="36"/>
        <w:spacing w:after="0" w:line="360" w:lineRule="auto"/>
        <w:ind w:firstLine="422" w:firstLineChars="200"/>
        <w:rPr>
          <w:rFonts w:hint="eastAsia" w:ascii="宋体" w:hAnsi="宋体" w:cs="黑体"/>
          <w:b/>
          <w:color w:val="auto"/>
          <w:szCs w:val="21"/>
          <w:highlight w:val="none"/>
        </w:rPr>
      </w:pPr>
      <w:r>
        <w:rPr>
          <w:rFonts w:hint="eastAsia" w:ascii="宋体" w:hAnsi="宋体" w:cs="黑体"/>
          <w:b/>
          <w:color w:val="auto"/>
          <w:szCs w:val="21"/>
          <w:highlight w:val="none"/>
        </w:rPr>
        <w:t>4.1评审原则</w:t>
      </w:r>
    </w:p>
    <w:p w14:paraId="550C5DB3">
      <w:pPr>
        <w:pStyle w:val="36"/>
        <w:spacing w:after="0" w:line="360" w:lineRule="auto"/>
        <w:ind w:firstLine="420" w:firstLineChars="200"/>
        <w:rPr>
          <w:rFonts w:hint="eastAsia" w:ascii="宋体" w:hAnsi="宋体"/>
          <w:b w:val="0"/>
          <w:bCs/>
          <w:color w:val="auto"/>
          <w:szCs w:val="21"/>
          <w:highlight w:val="none"/>
        </w:rPr>
      </w:pPr>
      <w:r>
        <w:rPr>
          <w:rFonts w:hint="eastAsia" w:ascii="宋体" w:hAnsi="宋体" w:cs="黑体"/>
          <w:b w:val="0"/>
          <w:bCs/>
          <w:color w:val="auto"/>
          <w:szCs w:val="21"/>
          <w:highlight w:val="none"/>
        </w:rPr>
        <w:t>（1）</w:t>
      </w:r>
      <w:r>
        <w:rPr>
          <w:rFonts w:hint="eastAsia" w:ascii="宋体" w:hAnsi="宋体"/>
          <w:b w:val="0"/>
          <w:bCs/>
          <w:color w:val="auto"/>
          <w:szCs w:val="21"/>
          <w:highlight w:val="none"/>
        </w:rPr>
        <w:t>本次磋商遵循公开透明、公平竞争、公正和诚实信用的原则。磋商小组成员按照客观、公正、审慎的原则，根据竞争性磋商文件规定的评审程序、评审方法和评审标准进行独立评审。未实质性响应竞争性磋商文件的响应文件按无效响应处理，并告知提交响应文件的供应商。</w:t>
      </w:r>
    </w:p>
    <w:p w14:paraId="31A37C34">
      <w:pPr>
        <w:adjustRightInd w:val="0"/>
        <w:snapToGrid w:val="0"/>
        <w:spacing w:line="360" w:lineRule="auto"/>
        <w:ind w:firstLine="411" w:firstLineChars="196"/>
        <w:rPr>
          <w:rFonts w:hint="eastAsia" w:ascii="宋体" w:hAnsi="宋体" w:cs="宋体"/>
          <w:b/>
          <w:color w:val="auto"/>
          <w:szCs w:val="21"/>
          <w:highlight w:val="none"/>
          <w:lang w:val="zh-CN"/>
        </w:rPr>
      </w:pPr>
      <w:r>
        <w:rPr>
          <w:rFonts w:hint="eastAsia" w:ascii="宋体" w:hAnsi="宋体" w:cs="宋体"/>
          <w:b w:val="0"/>
          <w:bCs/>
          <w:color w:val="auto"/>
          <w:szCs w:val="21"/>
          <w:highlight w:val="none"/>
          <w:lang w:val="zh-CN"/>
        </w:rPr>
        <w:t>（2）磋商小组应当根据综合评分情况，按照评审</w:t>
      </w:r>
      <w:r>
        <w:rPr>
          <w:rFonts w:hint="eastAsia" w:ascii="宋体" w:hAnsi="宋体" w:cs="宋体"/>
          <w:b w:val="0"/>
          <w:bCs/>
          <w:color w:val="auto"/>
          <w:szCs w:val="21"/>
          <w:highlight w:val="none"/>
          <w:lang w:val="en-US" w:eastAsia="zh-CN"/>
        </w:rPr>
        <w:t>总</w:t>
      </w:r>
      <w:r>
        <w:rPr>
          <w:rFonts w:hint="eastAsia" w:ascii="宋体" w:hAnsi="宋体" w:cs="宋体"/>
          <w:b w:val="0"/>
          <w:bCs/>
          <w:color w:val="auto"/>
          <w:szCs w:val="21"/>
          <w:highlight w:val="none"/>
          <w:lang w:val="zh-CN"/>
        </w:rPr>
        <w:t>得分由高到低顺序推荐3名成交候选人，并编写评审报告。</w:t>
      </w:r>
      <w:r>
        <w:rPr>
          <w:rFonts w:hint="eastAsia" w:ascii="宋体" w:hAnsi="宋体" w:cs="宋体"/>
          <w:b/>
          <w:color w:val="auto"/>
          <w:szCs w:val="21"/>
          <w:highlight w:val="none"/>
          <w:lang w:val="zh-CN"/>
        </w:rPr>
        <w:t>评审总得分相同的，按照最后报价由低到高的顺序推荐。评审总得分且最后报价相同的，按照商务技术部分得分由高到低的顺序推荐，所有得分均相等的，</w:t>
      </w:r>
      <w:r>
        <w:rPr>
          <w:rFonts w:hint="eastAsia" w:ascii="宋体" w:hAnsi="宋体" w:cs="宋体"/>
          <w:b/>
          <w:color w:val="auto"/>
          <w:szCs w:val="21"/>
          <w:highlight w:val="none"/>
          <w:lang w:val="en-US" w:eastAsia="zh-CN"/>
        </w:rPr>
        <w:t>依次</w:t>
      </w:r>
      <w:r>
        <w:rPr>
          <w:rFonts w:hint="eastAsia" w:ascii="宋体" w:hAnsi="宋体" w:cs="宋体"/>
          <w:b/>
          <w:color w:val="auto"/>
          <w:szCs w:val="21"/>
          <w:highlight w:val="none"/>
          <w:lang w:val="zh-CN"/>
        </w:rPr>
        <w:t>按</w:t>
      </w:r>
      <w:r>
        <w:rPr>
          <w:rFonts w:hint="eastAsia" w:ascii="宋体" w:hAnsi="宋体" w:cs="宋体"/>
          <w:b/>
          <w:color w:val="auto"/>
          <w:szCs w:val="21"/>
          <w:highlight w:val="none"/>
          <w:lang w:val="en-US" w:eastAsia="zh-CN"/>
        </w:rPr>
        <w:t>商务技术部分评审内容序号顺序得分由高到低</w:t>
      </w:r>
      <w:r>
        <w:rPr>
          <w:rFonts w:hint="eastAsia" w:ascii="宋体" w:hAnsi="宋体" w:cs="宋体"/>
          <w:b/>
          <w:color w:val="auto"/>
          <w:szCs w:val="21"/>
          <w:highlight w:val="none"/>
          <w:lang w:val="zh-CN"/>
        </w:rPr>
        <w:t>推荐成交候选人。</w:t>
      </w:r>
    </w:p>
    <w:p w14:paraId="1F2C5233">
      <w:pPr>
        <w:pStyle w:val="36"/>
        <w:spacing w:after="0" w:line="360" w:lineRule="auto"/>
        <w:ind w:firstLine="420" w:firstLineChars="200"/>
        <w:rPr>
          <w:rFonts w:hint="eastAsia" w:ascii="宋体" w:hAnsi="宋体" w:eastAsia="宋体" w:cs="黑体"/>
          <w:b w:val="0"/>
          <w:bCs/>
          <w:color w:val="auto"/>
          <w:szCs w:val="21"/>
          <w:highlight w:val="none"/>
          <w:lang w:val="en-US" w:eastAsia="zh-CN"/>
        </w:rPr>
      </w:pPr>
      <w:r>
        <w:rPr>
          <w:rFonts w:hint="eastAsia" w:ascii="宋体" w:hAnsi="宋体" w:cs="宋体"/>
          <w:b w:val="0"/>
          <w:bCs/>
          <w:color w:val="auto"/>
          <w:szCs w:val="21"/>
          <w:highlight w:val="none"/>
          <w:lang w:val="zh-CN"/>
        </w:rPr>
        <w:t>（3）</w:t>
      </w:r>
      <w:r>
        <w:rPr>
          <w:rFonts w:hint="eastAsia" w:ascii="宋体" w:hAnsi="宋体" w:cs="黑体"/>
          <w:bCs/>
          <w:color w:val="auto"/>
          <w:highlight w:val="none"/>
          <w:lang w:val="zh-CN"/>
        </w:rPr>
        <w:t>评审报告应当由磋商小组全体人员签字认可。磋商小组成员对</w:t>
      </w:r>
      <w:r>
        <w:rPr>
          <w:rFonts w:hint="eastAsia" w:ascii="宋体" w:hAnsi="宋体" w:cs="黑体"/>
          <w:bCs/>
          <w:highlight w:val="none"/>
          <w:lang w:val="zh-CN"/>
        </w:rPr>
        <w:t>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3C45D23">
      <w:pPr>
        <w:tabs>
          <w:tab w:val="center" w:pos="5181"/>
        </w:tabs>
        <w:adjustRightInd w:val="0"/>
        <w:snapToGrid w:val="0"/>
        <w:spacing w:line="360" w:lineRule="auto"/>
        <w:ind w:firstLine="420" w:firstLineChars="200"/>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4</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磋商小组</w:t>
      </w:r>
      <w:r>
        <w:rPr>
          <w:rFonts w:hint="eastAsia" w:ascii="宋体" w:hAnsi="宋体" w:eastAsia="宋体" w:cs="Times New Roman"/>
          <w:szCs w:val="21"/>
          <w:highlight w:val="none"/>
          <w:lang w:eastAsia="zh-CN"/>
        </w:rPr>
        <w:t>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026D049D">
      <w:pPr>
        <w:tabs>
          <w:tab w:val="center" w:pos="5181"/>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5</w:t>
      </w:r>
      <w:r>
        <w:rPr>
          <w:rFonts w:hint="eastAsia" w:ascii="宋体" w:hAnsi="宋体" w:eastAsia="宋体" w:cs="Times New Roman"/>
          <w:szCs w:val="21"/>
          <w:highlight w:val="none"/>
          <w:lang w:eastAsia="zh-CN"/>
        </w:rPr>
        <w:t>）评审</w:t>
      </w:r>
      <w:r>
        <w:rPr>
          <w:rFonts w:hint="eastAsia" w:ascii="宋体" w:hAnsi="宋体" w:eastAsia="宋体" w:cs="Times New Roman"/>
          <w:szCs w:val="21"/>
          <w:highlight w:val="none"/>
        </w:rPr>
        <w:t>中若遇特殊问题，由</w:t>
      </w:r>
      <w:r>
        <w:rPr>
          <w:rFonts w:hint="eastAsia" w:ascii="宋体" w:hAnsi="宋体" w:eastAsia="宋体" w:cs="Times New Roman"/>
          <w:szCs w:val="21"/>
          <w:highlight w:val="none"/>
          <w:lang w:eastAsia="zh-CN"/>
        </w:rPr>
        <w:t>磋商小组</w:t>
      </w:r>
      <w:r>
        <w:rPr>
          <w:rFonts w:hint="eastAsia" w:ascii="宋体" w:hAnsi="宋体" w:eastAsia="宋体" w:cs="Times New Roman"/>
          <w:szCs w:val="21"/>
          <w:highlight w:val="none"/>
        </w:rPr>
        <w:t>根据有关法律、法规研究决定。</w:t>
      </w:r>
    </w:p>
    <w:p w14:paraId="03FF9D75">
      <w:pPr>
        <w:snapToGrid w:val="0"/>
        <w:spacing w:line="360" w:lineRule="auto"/>
        <w:ind w:firstLine="422" w:firstLineChars="200"/>
        <w:rPr>
          <w:rFonts w:hint="eastAsia" w:ascii="宋体" w:hAnsi="宋体"/>
          <w:b/>
          <w:bCs w:val="0"/>
          <w:color w:val="auto"/>
          <w:szCs w:val="21"/>
          <w:highlight w:val="none"/>
        </w:rPr>
      </w:pPr>
      <w:r>
        <w:rPr>
          <w:rFonts w:hint="eastAsia" w:ascii="宋体" w:hAnsi="宋体"/>
          <w:b/>
          <w:bCs w:val="0"/>
          <w:color w:val="auto"/>
          <w:szCs w:val="21"/>
          <w:highlight w:val="none"/>
        </w:rPr>
        <w:t>4</w:t>
      </w:r>
      <w:r>
        <w:rPr>
          <w:rFonts w:hint="eastAsia" w:ascii="宋体" w:hAnsi="宋体"/>
          <w:b/>
          <w:bCs w:val="0"/>
          <w:color w:val="auto"/>
          <w:szCs w:val="21"/>
          <w:highlight w:val="none"/>
          <w:lang w:val="en-US" w:eastAsia="zh-CN"/>
        </w:rPr>
        <w:t>.</w:t>
      </w:r>
      <w:r>
        <w:rPr>
          <w:rFonts w:hint="eastAsia" w:ascii="宋体" w:hAnsi="宋体"/>
          <w:b/>
          <w:bCs w:val="0"/>
          <w:color w:val="auto"/>
          <w:szCs w:val="21"/>
          <w:highlight w:val="none"/>
        </w:rPr>
        <w:t>2评审标准</w:t>
      </w:r>
    </w:p>
    <w:p w14:paraId="4C83B772">
      <w:pPr>
        <w:adjustRightInd w:val="0"/>
        <w:snapToGrid w:val="0"/>
        <w:spacing w:line="360" w:lineRule="auto"/>
        <w:ind w:firstLine="422" w:firstLineChars="200"/>
        <w:rPr>
          <w:rFonts w:hint="default" w:ascii="宋体" w:hAnsi="宋体"/>
          <w:b/>
          <w:bCs w:val="0"/>
          <w:szCs w:val="21"/>
          <w:highlight w:val="none"/>
          <w:lang w:val="en-US" w:eastAsia="zh-CN"/>
        </w:rPr>
      </w:pPr>
      <w:r>
        <w:rPr>
          <w:rFonts w:hint="eastAsia" w:ascii="宋体" w:hAnsi="宋体"/>
          <w:b/>
          <w:bCs w:val="0"/>
          <w:szCs w:val="21"/>
          <w:highlight w:val="none"/>
        </w:rPr>
        <w:t>4</w:t>
      </w:r>
      <w:r>
        <w:rPr>
          <w:rFonts w:hint="eastAsia" w:ascii="宋体" w:hAnsi="宋体"/>
          <w:b/>
          <w:bCs w:val="0"/>
          <w:szCs w:val="21"/>
          <w:highlight w:val="none"/>
          <w:lang w:val="en-US" w:eastAsia="zh-CN"/>
        </w:rPr>
        <w:t>.2.</w:t>
      </w:r>
      <w:r>
        <w:rPr>
          <w:rFonts w:hint="eastAsia" w:ascii="宋体" w:hAnsi="宋体"/>
          <w:b/>
          <w:bCs w:val="0"/>
          <w:szCs w:val="21"/>
          <w:highlight w:val="none"/>
        </w:rPr>
        <w:t xml:space="preserve">1 </w:t>
      </w:r>
      <w:r>
        <w:rPr>
          <w:rFonts w:hint="eastAsia" w:ascii="宋体" w:hAnsi="宋体"/>
          <w:b/>
          <w:bCs w:val="0"/>
          <w:szCs w:val="21"/>
          <w:highlight w:val="none"/>
          <w:lang w:val="en-US" w:eastAsia="zh-CN"/>
        </w:rPr>
        <w:t>实质性审查标准</w:t>
      </w:r>
    </w:p>
    <w:p w14:paraId="0DB0FAEC">
      <w:pPr>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lang w:val="en-US" w:eastAsia="zh-CN"/>
        </w:rPr>
        <w:t>实质性审查</w:t>
      </w:r>
      <w:r>
        <w:rPr>
          <w:rFonts w:hint="eastAsia" w:ascii="宋体" w:hAnsi="宋体" w:cs="宋体"/>
          <w:szCs w:val="21"/>
          <w:highlight w:val="none"/>
          <w:lang w:val="zh-CN"/>
        </w:rPr>
        <w:t>标准详见“</w:t>
      </w:r>
      <w:r>
        <w:rPr>
          <w:rFonts w:ascii="宋体" w:hAnsi="宋体"/>
          <w:b/>
          <w:szCs w:val="21"/>
          <w:highlight w:val="none"/>
        </w:rPr>
        <w:t>磋商程序和方法前附表</w:t>
      </w:r>
      <w:r>
        <w:rPr>
          <w:rFonts w:hint="eastAsia" w:ascii="宋体" w:hAnsi="宋体" w:cs="宋体"/>
          <w:szCs w:val="21"/>
          <w:highlight w:val="none"/>
          <w:lang w:val="zh-CN"/>
        </w:rPr>
        <w:t>”。</w:t>
      </w:r>
      <w:r>
        <w:rPr>
          <w:rFonts w:hint="eastAsia" w:ascii="宋体" w:hAnsi="宋体"/>
          <w:bCs/>
          <w:szCs w:val="21"/>
          <w:highlight w:val="none"/>
        </w:rPr>
        <w:t>有一项不符合磋商标准的，不通过</w:t>
      </w:r>
      <w:r>
        <w:rPr>
          <w:rFonts w:hint="eastAsia" w:ascii="宋体" w:hAnsi="宋体"/>
          <w:bCs/>
          <w:szCs w:val="21"/>
          <w:highlight w:val="none"/>
          <w:lang w:val="en-US" w:eastAsia="zh-CN"/>
        </w:rPr>
        <w:t>实质性审查</w:t>
      </w:r>
      <w:r>
        <w:rPr>
          <w:rFonts w:hint="eastAsia" w:ascii="宋体" w:hAnsi="宋体"/>
          <w:bCs/>
          <w:szCs w:val="21"/>
          <w:highlight w:val="none"/>
        </w:rPr>
        <w:t>，不再参与磋商。当响应磋商文件实质性要求的供应商少于3家时，将终止本次竞争性磋商采购活动。</w:t>
      </w:r>
    </w:p>
    <w:p w14:paraId="5ACE8789">
      <w:pPr>
        <w:adjustRightInd w:val="0"/>
        <w:snapToGrid w:val="0"/>
        <w:spacing w:line="360" w:lineRule="auto"/>
        <w:ind w:firstLine="422" w:firstLineChars="200"/>
        <w:rPr>
          <w:rFonts w:hint="default" w:ascii="宋体" w:hAnsi="宋体"/>
          <w:b/>
          <w:bCs w:val="0"/>
          <w:szCs w:val="21"/>
          <w:highlight w:val="none"/>
          <w:lang w:val="en-US" w:eastAsia="zh-CN"/>
        </w:rPr>
      </w:pPr>
      <w:r>
        <w:rPr>
          <w:rFonts w:hint="eastAsia" w:ascii="宋体" w:hAnsi="宋体"/>
          <w:b/>
          <w:bCs w:val="0"/>
          <w:szCs w:val="21"/>
          <w:highlight w:val="none"/>
          <w:lang w:val="en-US" w:eastAsia="zh-CN"/>
        </w:rPr>
        <w:t>4.2.2详细评审标准</w:t>
      </w:r>
    </w:p>
    <w:p w14:paraId="0D0A76D3">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本办法采用</w:t>
      </w:r>
      <w:r>
        <w:rPr>
          <w:rFonts w:hint="eastAsia" w:ascii="宋体" w:hAnsi="宋体"/>
          <w:color w:val="auto"/>
          <w:szCs w:val="21"/>
          <w:highlight w:val="none"/>
          <w:lang w:eastAsia="zh-CN"/>
        </w:rPr>
        <w:t>综合评分</w:t>
      </w:r>
      <w:r>
        <w:rPr>
          <w:rFonts w:hint="eastAsia" w:ascii="宋体" w:hAnsi="宋体"/>
          <w:color w:val="auto"/>
          <w:szCs w:val="21"/>
          <w:highlight w:val="none"/>
          <w:lang w:val="en-US" w:eastAsia="zh-CN"/>
        </w:rPr>
        <w:t>法</w:t>
      </w:r>
      <w:r>
        <w:rPr>
          <w:rFonts w:hint="eastAsia" w:ascii="宋体" w:hAnsi="宋体"/>
          <w:color w:val="auto"/>
          <w:szCs w:val="21"/>
          <w:highlight w:val="none"/>
        </w:rPr>
        <w:t>，评审时按前附表规定的商务技术部分（F1）与报价部分（F2）顺序评分，</w:t>
      </w:r>
      <w:r>
        <w:rPr>
          <w:rFonts w:hint="eastAsia" w:ascii="宋体" w:hAnsi="宋体"/>
          <w:color w:val="auto"/>
          <w:szCs w:val="21"/>
          <w:highlight w:val="none"/>
          <w:lang w:val="en-US" w:eastAsia="zh-CN"/>
        </w:rPr>
        <w:t>磋商小组</w:t>
      </w:r>
      <w:r>
        <w:rPr>
          <w:rFonts w:hint="eastAsia" w:ascii="宋体" w:hAnsi="宋体"/>
          <w:color w:val="auto"/>
          <w:szCs w:val="21"/>
          <w:highlight w:val="none"/>
        </w:rPr>
        <w:t>根据竞争性磋商文件规定的评审标准对通过</w:t>
      </w:r>
      <w:r>
        <w:rPr>
          <w:rFonts w:hint="eastAsia" w:ascii="宋体" w:hAnsi="宋体"/>
          <w:color w:val="auto"/>
          <w:szCs w:val="21"/>
          <w:highlight w:val="none"/>
          <w:lang w:eastAsia="zh-CN"/>
        </w:rPr>
        <w:t>实质性审查</w:t>
      </w:r>
      <w:r>
        <w:rPr>
          <w:rFonts w:hint="eastAsia" w:ascii="宋体" w:hAnsi="宋体"/>
          <w:color w:val="auto"/>
          <w:szCs w:val="21"/>
          <w:highlight w:val="none"/>
        </w:rPr>
        <w:t>的响应文件进行独立评审</w:t>
      </w:r>
      <w:r>
        <w:rPr>
          <w:rFonts w:hint="eastAsia" w:ascii="宋体" w:hAnsi="宋体"/>
          <w:color w:val="auto"/>
          <w:szCs w:val="21"/>
          <w:highlight w:val="none"/>
          <w:lang w:val="en-US" w:eastAsia="zh-CN"/>
        </w:rPr>
        <w:t>和</w:t>
      </w:r>
      <w:r>
        <w:rPr>
          <w:rFonts w:hint="eastAsia" w:ascii="宋体" w:hAnsi="宋体"/>
          <w:color w:val="auto"/>
          <w:szCs w:val="21"/>
          <w:highlight w:val="none"/>
        </w:rPr>
        <w:t>打分后</w:t>
      </w:r>
      <w:r>
        <w:rPr>
          <w:rFonts w:hint="eastAsia" w:ascii="宋体" w:hAnsi="宋体"/>
          <w:bCs/>
          <w:szCs w:val="21"/>
          <w:highlight w:val="none"/>
        </w:rPr>
        <w:t>，并计算出供应商的</w:t>
      </w:r>
      <w:r>
        <w:rPr>
          <w:rFonts w:hint="eastAsia" w:ascii="宋体" w:hAnsi="宋体"/>
          <w:bCs/>
          <w:szCs w:val="21"/>
          <w:highlight w:val="none"/>
          <w:lang w:val="en-US" w:eastAsia="zh-CN"/>
        </w:rPr>
        <w:t>评审</w:t>
      </w:r>
      <w:r>
        <w:rPr>
          <w:rFonts w:hint="eastAsia" w:ascii="宋体" w:hAnsi="宋体"/>
          <w:bCs/>
          <w:szCs w:val="21"/>
          <w:highlight w:val="none"/>
        </w:rPr>
        <w:t>总得分</w:t>
      </w:r>
      <w:r>
        <w:rPr>
          <w:rFonts w:hint="eastAsia" w:ascii="宋体" w:hAnsi="宋体"/>
          <w:bCs/>
          <w:szCs w:val="21"/>
          <w:highlight w:val="none"/>
          <w:lang w:eastAsia="zh-CN"/>
        </w:rPr>
        <w:t>。</w:t>
      </w:r>
    </w:p>
    <w:p w14:paraId="6254C0E7">
      <w:pPr>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rPr>
        <w:t>（</w:t>
      </w:r>
      <w:r>
        <w:rPr>
          <w:rFonts w:hint="eastAsia" w:ascii="宋体" w:hAnsi="宋体"/>
          <w:bCs/>
          <w:szCs w:val="21"/>
          <w:highlight w:val="none"/>
          <w:lang w:val="en-US" w:eastAsia="zh-CN"/>
        </w:rPr>
        <w:t>1</w:t>
      </w:r>
      <w:r>
        <w:rPr>
          <w:rFonts w:hint="eastAsia" w:ascii="宋体" w:hAnsi="宋体"/>
          <w:bCs/>
          <w:szCs w:val="21"/>
          <w:highlight w:val="none"/>
        </w:rPr>
        <w:t>）按本章前附表的规定对</w:t>
      </w:r>
      <w:r>
        <w:rPr>
          <w:rFonts w:hint="eastAsia" w:ascii="宋体" w:hAnsi="宋体"/>
          <w:bCs/>
          <w:szCs w:val="21"/>
          <w:highlight w:val="none"/>
          <w:lang w:eastAsia="zh-CN"/>
        </w:rPr>
        <w:t>商务技术部分</w:t>
      </w:r>
      <w:r>
        <w:rPr>
          <w:rFonts w:hint="eastAsia" w:ascii="宋体" w:hAnsi="宋体"/>
          <w:bCs/>
          <w:szCs w:val="21"/>
          <w:highlight w:val="none"/>
        </w:rPr>
        <w:t>评分，得分F</w:t>
      </w:r>
      <w:r>
        <w:rPr>
          <w:rFonts w:hint="eastAsia" w:ascii="宋体" w:hAnsi="宋体"/>
          <w:bCs/>
          <w:szCs w:val="21"/>
          <w:highlight w:val="none"/>
          <w:lang w:val="en-US" w:eastAsia="zh-CN"/>
        </w:rPr>
        <w:t>1</w:t>
      </w:r>
      <w:r>
        <w:rPr>
          <w:rFonts w:hint="eastAsia" w:ascii="宋体" w:hAnsi="宋体"/>
          <w:bCs/>
          <w:szCs w:val="21"/>
          <w:highlight w:val="none"/>
        </w:rPr>
        <w:t>；</w:t>
      </w:r>
    </w:p>
    <w:p w14:paraId="0A28DDFC">
      <w:pPr>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rPr>
        <w:t>（</w:t>
      </w:r>
      <w:r>
        <w:rPr>
          <w:rFonts w:hint="eastAsia" w:ascii="宋体" w:hAnsi="宋体"/>
          <w:bCs/>
          <w:szCs w:val="21"/>
          <w:highlight w:val="none"/>
          <w:lang w:val="en-US" w:eastAsia="zh-CN"/>
        </w:rPr>
        <w:t>2</w:t>
      </w:r>
      <w:r>
        <w:rPr>
          <w:rFonts w:hint="eastAsia" w:ascii="宋体" w:hAnsi="宋体"/>
          <w:bCs/>
          <w:szCs w:val="21"/>
          <w:highlight w:val="none"/>
        </w:rPr>
        <w:t>）按本章前附表的规定对</w:t>
      </w:r>
      <w:r>
        <w:rPr>
          <w:rFonts w:hint="eastAsia" w:ascii="宋体" w:hAnsi="宋体"/>
          <w:bCs/>
          <w:szCs w:val="21"/>
          <w:highlight w:val="none"/>
          <w:lang w:eastAsia="zh-CN"/>
        </w:rPr>
        <w:t>报价部分</w:t>
      </w:r>
      <w:r>
        <w:rPr>
          <w:rFonts w:hint="eastAsia" w:ascii="宋体" w:hAnsi="宋体"/>
          <w:bCs/>
          <w:szCs w:val="21"/>
          <w:highlight w:val="none"/>
        </w:rPr>
        <w:t>评分，得分F</w:t>
      </w:r>
      <w:r>
        <w:rPr>
          <w:rFonts w:hint="eastAsia" w:ascii="宋体" w:hAnsi="宋体"/>
          <w:bCs/>
          <w:szCs w:val="21"/>
          <w:highlight w:val="none"/>
          <w:lang w:val="en-US" w:eastAsia="zh-CN"/>
        </w:rPr>
        <w:t>2</w:t>
      </w:r>
      <w:r>
        <w:rPr>
          <w:rFonts w:hint="eastAsia" w:ascii="宋体" w:hAnsi="宋体"/>
          <w:bCs/>
          <w:szCs w:val="21"/>
          <w:highlight w:val="none"/>
        </w:rPr>
        <w:t>；</w:t>
      </w:r>
    </w:p>
    <w:p w14:paraId="4FDFFCA4">
      <w:pPr>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rPr>
        <w:t>（</w:t>
      </w:r>
      <w:r>
        <w:rPr>
          <w:rFonts w:hint="eastAsia" w:ascii="宋体" w:hAnsi="宋体"/>
          <w:bCs/>
          <w:szCs w:val="21"/>
          <w:highlight w:val="none"/>
          <w:lang w:val="en-US" w:eastAsia="zh-CN"/>
        </w:rPr>
        <w:t>3</w:t>
      </w:r>
      <w:r>
        <w:rPr>
          <w:rFonts w:hint="eastAsia" w:ascii="宋体" w:hAnsi="宋体"/>
          <w:bCs/>
          <w:szCs w:val="21"/>
          <w:highlight w:val="none"/>
        </w:rPr>
        <w:t>）按本章前附表的规定计算总得分。</w:t>
      </w:r>
    </w:p>
    <w:p w14:paraId="534C41F2">
      <w:pPr>
        <w:adjustRightInd w:val="0"/>
        <w:snapToGrid w:val="0"/>
        <w:spacing w:line="360" w:lineRule="auto"/>
        <w:ind w:firstLine="420" w:firstLineChars="200"/>
        <w:rPr>
          <w:rFonts w:hint="eastAsia" w:ascii="宋体" w:hAnsi="宋体"/>
          <w:bCs/>
          <w:szCs w:val="21"/>
          <w:highlight w:val="none"/>
          <w:lang w:val="en-US" w:eastAsia="zh-CN"/>
        </w:rPr>
      </w:pPr>
      <w:r>
        <w:rPr>
          <w:rFonts w:hint="eastAsia" w:ascii="宋体" w:hAnsi="宋体"/>
          <w:bCs/>
          <w:szCs w:val="21"/>
          <w:highlight w:val="none"/>
          <w:lang w:val="en-US" w:eastAsia="zh-CN"/>
        </w:rPr>
        <w:t>（4）统分原则：</w:t>
      </w:r>
    </w:p>
    <w:p w14:paraId="06A3D2BB">
      <w:pPr>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lang w:val="en-US" w:eastAsia="zh-CN"/>
        </w:rPr>
        <w:t>商务技术部分（F1）得分由磋商小组成员独立评分，计算各供应商得分的算术平均值计入各供应商总分。评分分值计算保留小数点后两位，小数点后第三位“四舍五入”。</w:t>
      </w:r>
    </w:p>
    <w:p w14:paraId="7E4AE956">
      <w:pPr>
        <w:adjustRightInd w:val="0"/>
        <w:snapToGrid w:val="0"/>
        <w:spacing w:line="360" w:lineRule="auto"/>
        <w:ind w:firstLine="420" w:firstLineChars="200"/>
        <w:rPr>
          <w:rFonts w:hint="eastAsia" w:ascii="宋体" w:hAnsi="宋体"/>
          <w:bCs/>
          <w:szCs w:val="21"/>
          <w:highlight w:val="none"/>
          <w:lang w:val="en-US" w:eastAsia="zh-CN"/>
        </w:rPr>
      </w:pPr>
      <w:r>
        <w:rPr>
          <w:rFonts w:hint="eastAsia" w:ascii="宋体" w:hAnsi="宋体"/>
          <w:bCs/>
          <w:szCs w:val="21"/>
          <w:highlight w:val="none"/>
          <w:lang w:val="en-US" w:eastAsia="zh-CN"/>
        </w:rPr>
        <w:t>报价部分（F2）得分由磋商小组集中评审打分，评分分值计算保留小数点后两位，小数点后第三位“四舍五入”。</w:t>
      </w:r>
    </w:p>
    <w:p w14:paraId="3E9ACFB5">
      <w:pPr>
        <w:adjustRightInd w:val="0"/>
        <w:snapToGrid w:val="0"/>
        <w:spacing w:line="360" w:lineRule="auto"/>
        <w:ind w:firstLine="420" w:firstLineChars="200"/>
        <w:rPr>
          <w:rFonts w:hint="eastAsia" w:ascii="宋体" w:hAnsi="宋体"/>
          <w:b w:val="0"/>
          <w:bCs/>
          <w:szCs w:val="21"/>
          <w:highlight w:val="none"/>
        </w:rPr>
      </w:pPr>
      <w:r>
        <w:rPr>
          <w:rFonts w:hint="eastAsia" w:ascii="宋体" w:hAnsi="宋体"/>
          <w:b w:val="0"/>
          <w:bCs/>
          <w:szCs w:val="21"/>
          <w:highlight w:val="none"/>
          <w:lang w:eastAsia="zh-CN"/>
        </w:rPr>
        <w:t>（</w:t>
      </w:r>
      <w:r>
        <w:rPr>
          <w:rFonts w:hint="eastAsia" w:ascii="宋体" w:hAnsi="宋体"/>
          <w:b w:val="0"/>
          <w:bCs/>
          <w:szCs w:val="21"/>
          <w:highlight w:val="none"/>
          <w:lang w:val="en-US" w:eastAsia="zh-CN"/>
        </w:rPr>
        <w:t>5</w:t>
      </w:r>
      <w:r>
        <w:rPr>
          <w:rFonts w:hint="eastAsia" w:ascii="宋体" w:hAnsi="宋体"/>
          <w:b w:val="0"/>
          <w:bCs/>
          <w:szCs w:val="21"/>
          <w:highlight w:val="none"/>
          <w:lang w:eastAsia="zh-CN"/>
        </w:rPr>
        <w:t>）</w:t>
      </w:r>
      <w:r>
        <w:rPr>
          <w:rFonts w:hint="eastAsia" w:ascii="宋体" w:hAnsi="宋体"/>
          <w:b w:val="0"/>
          <w:bCs/>
          <w:szCs w:val="21"/>
          <w:highlight w:val="none"/>
        </w:rPr>
        <w:t>磋商小组成员要依法独立评审，并对评审意见承担个人责任。磋商小组成员对需要共同认定的事项存在争议的，按照少数服从多数的原则做出结论。持不同意见的磋商小组成员应当在</w:t>
      </w:r>
      <w:r>
        <w:rPr>
          <w:rFonts w:hint="eastAsia" w:ascii="宋体" w:hAnsi="宋体"/>
          <w:b w:val="0"/>
          <w:bCs/>
          <w:szCs w:val="21"/>
          <w:highlight w:val="none"/>
          <w:lang w:eastAsia="zh-CN"/>
        </w:rPr>
        <w:t>评审报告</w:t>
      </w:r>
      <w:r>
        <w:rPr>
          <w:rFonts w:hint="eastAsia" w:ascii="宋体" w:hAnsi="宋体"/>
          <w:b w:val="0"/>
          <w:bCs/>
          <w:szCs w:val="21"/>
          <w:highlight w:val="none"/>
        </w:rPr>
        <w:t>上签署不同意见并说明理由，否则视为同意。</w:t>
      </w:r>
    </w:p>
    <w:p w14:paraId="29AD010A">
      <w:pPr>
        <w:adjustRightInd w:val="0"/>
        <w:snapToGrid w:val="0"/>
        <w:spacing w:line="360" w:lineRule="auto"/>
        <w:ind w:firstLine="422" w:firstLineChars="200"/>
        <w:rPr>
          <w:rFonts w:hint="eastAsia" w:ascii="宋体" w:hAnsi="宋体"/>
          <w:b/>
          <w:bCs w:val="0"/>
          <w:szCs w:val="21"/>
          <w:highlight w:val="none"/>
        </w:rPr>
      </w:pPr>
      <w:r>
        <w:rPr>
          <w:rFonts w:hint="eastAsia" w:ascii="宋体" w:hAnsi="宋体"/>
          <w:b/>
          <w:bCs w:val="0"/>
          <w:szCs w:val="21"/>
          <w:highlight w:val="none"/>
        </w:rPr>
        <w:t>4.</w:t>
      </w:r>
      <w:r>
        <w:rPr>
          <w:rFonts w:hint="eastAsia" w:ascii="宋体" w:hAnsi="宋体"/>
          <w:b/>
          <w:bCs w:val="0"/>
          <w:szCs w:val="21"/>
          <w:highlight w:val="none"/>
          <w:lang w:val="en-US" w:eastAsia="zh-CN"/>
        </w:rPr>
        <w:t>3</w:t>
      </w:r>
      <w:r>
        <w:rPr>
          <w:rFonts w:hint="eastAsia" w:ascii="宋体" w:hAnsi="宋体"/>
          <w:b/>
          <w:bCs w:val="0"/>
          <w:szCs w:val="21"/>
          <w:highlight w:val="none"/>
        </w:rPr>
        <w:t xml:space="preserve"> 磋商结果</w:t>
      </w:r>
    </w:p>
    <w:p w14:paraId="284E890F">
      <w:pPr>
        <w:adjustRightInd w:val="0"/>
        <w:snapToGrid w:val="0"/>
        <w:spacing w:line="360" w:lineRule="auto"/>
        <w:ind w:firstLine="420" w:firstLineChars="200"/>
        <w:rPr>
          <w:rFonts w:hint="eastAsia" w:ascii="宋体" w:hAnsi="宋体"/>
          <w:bCs/>
          <w:szCs w:val="21"/>
          <w:highlight w:val="none"/>
        </w:rPr>
      </w:pPr>
      <w:r>
        <w:rPr>
          <w:rFonts w:hint="eastAsia" w:ascii="宋体" w:hAnsi="宋体"/>
          <w:bCs/>
          <w:szCs w:val="21"/>
          <w:highlight w:val="none"/>
        </w:rPr>
        <w:t>磋商小组按最终得分由高到低顺序推荐成交候选人，并提出书面</w:t>
      </w:r>
      <w:r>
        <w:rPr>
          <w:rFonts w:hint="eastAsia" w:ascii="宋体" w:hAnsi="宋体"/>
          <w:bCs/>
          <w:szCs w:val="21"/>
          <w:highlight w:val="none"/>
          <w:lang w:eastAsia="zh-CN"/>
        </w:rPr>
        <w:t>评审报告</w:t>
      </w:r>
      <w:r>
        <w:rPr>
          <w:rFonts w:hint="eastAsia" w:ascii="宋体" w:hAnsi="宋体"/>
          <w:bCs/>
          <w:szCs w:val="21"/>
          <w:highlight w:val="none"/>
        </w:rPr>
        <w:t>。采购人根据磋商小组提出的书面</w:t>
      </w:r>
      <w:r>
        <w:rPr>
          <w:rFonts w:hint="eastAsia" w:ascii="宋体" w:hAnsi="宋体"/>
          <w:bCs/>
          <w:szCs w:val="21"/>
          <w:highlight w:val="none"/>
          <w:lang w:eastAsia="zh-CN"/>
        </w:rPr>
        <w:t>评审报告</w:t>
      </w:r>
      <w:r>
        <w:rPr>
          <w:rFonts w:hint="eastAsia" w:ascii="宋体" w:hAnsi="宋体"/>
          <w:bCs/>
          <w:szCs w:val="21"/>
          <w:highlight w:val="none"/>
        </w:rPr>
        <w:t>和推荐的成交候选人名单，确定成交人。</w:t>
      </w:r>
    </w:p>
    <w:p w14:paraId="795ACCE8">
      <w:pPr>
        <w:pStyle w:val="26"/>
        <w:tabs>
          <w:tab w:val="left" w:pos="540"/>
        </w:tabs>
        <w:adjustRightInd w:val="0"/>
        <w:snapToGrid w:val="0"/>
        <w:spacing w:line="360" w:lineRule="auto"/>
        <w:ind w:firstLine="0" w:firstLineChars="0"/>
        <w:rPr>
          <w:rFonts w:hint="eastAsia" w:ascii="宋体" w:hAnsi="宋体" w:eastAsia="宋体"/>
          <w:b/>
          <w:szCs w:val="21"/>
          <w:highlight w:val="none"/>
        </w:rPr>
      </w:pPr>
      <w:bookmarkStart w:id="404" w:name="_Hlk6218910"/>
      <w:r>
        <w:rPr>
          <w:rFonts w:hint="eastAsia" w:ascii="宋体" w:hAnsi="宋体" w:eastAsia="宋体"/>
          <w:b/>
          <w:szCs w:val="21"/>
          <w:highlight w:val="none"/>
          <w:lang w:val="en-US" w:eastAsia="zh-CN"/>
        </w:rPr>
        <w:t>5</w:t>
      </w:r>
      <w:r>
        <w:rPr>
          <w:rFonts w:hint="eastAsia" w:ascii="宋体" w:hAnsi="宋体" w:eastAsia="宋体" w:cs="宋体"/>
          <w:b/>
          <w:szCs w:val="21"/>
          <w:highlight w:val="none"/>
        </w:rPr>
        <w:t>.政府采购政策：</w:t>
      </w:r>
    </w:p>
    <w:p w14:paraId="28EFA224">
      <w:pPr>
        <w:adjustRightInd w:val="0"/>
        <w:snapToGrid w:val="0"/>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lang w:val="en-US" w:eastAsia="zh-CN"/>
        </w:rPr>
        <w:t>5</w:t>
      </w:r>
      <w:r>
        <w:rPr>
          <w:rFonts w:ascii="宋体" w:hAnsi="宋体"/>
          <w:b/>
          <w:color w:val="auto"/>
          <w:szCs w:val="21"/>
          <w:highlight w:val="none"/>
        </w:rPr>
        <w:t>.1</w:t>
      </w:r>
      <w:r>
        <w:rPr>
          <w:rFonts w:hint="eastAsia" w:ascii="宋体" w:hAnsi="宋体"/>
          <w:b/>
          <w:color w:val="auto"/>
          <w:szCs w:val="21"/>
          <w:highlight w:val="none"/>
        </w:rPr>
        <w:t>中小企业扶持政策</w:t>
      </w:r>
    </w:p>
    <w:p w14:paraId="61C03004">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lang w:val="en-US" w:eastAsia="zh-CN"/>
        </w:rPr>
        <w:t>5</w:t>
      </w:r>
      <w:r>
        <w:rPr>
          <w:rFonts w:hint="eastAsia" w:hAnsi="宋体"/>
          <w:color w:val="auto"/>
          <w:highlight w:val="none"/>
        </w:rPr>
        <w:t>.</w:t>
      </w:r>
      <w:r>
        <w:rPr>
          <w:rFonts w:hAnsi="宋体"/>
          <w:color w:val="auto"/>
          <w:highlight w:val="none"/>
        </w:rPr>
        <w:t>1</w:t>
      </w:r>
      <w:r>
        <w:rPr>
          <w:rFonts w:hint="eastAsia" w:hAnsi="宋体"/>
          <w:color w:val="auto"/>
          <w:highlight w:val="none"/>
        </w:rPr>
        <w:t>.1根据《关于进一步加大政府采购支持中小企业力度的通知》（财库【2022】19号）、《政府采购促进中小企业发展管理办法》（财库【2020】46号）的规定，供应商提供的货物、工程或者服务符合下列情形的，享受</w:t>
      </w:r>
      <w:r>
        <w:rPr>
          <w:rFonts w:hint="eastAsia" w:hAnsi="宋体"/>
          <w:color w:val="auto"/>
          <w:highlight w:val="none"/>
          <w:lang w:eastAsia="zh-CN"/>
        </w:rPr>
        <w:t>评审</w:t>
      </w:r>
      <w:r>
        <w:rPr>
          <w:rFonts w:hint="eastAsia" w:hAnsi="宋体"/>
          <w:color w:val="auto"/>
          <w:highlight w:val="none"/>
        </w:rPr>
        <w:t>方法中小企业扶持政策：</w:t>
      </w:r>
    </w:p>
    <w:p w14:paraId="60B4C7F1">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（一）在货物采购项目中，货物由中小企业制造，即货物由中小企业生产且使用该中小企业商号或者注册商标；</w:t>
      </w:r>
    </w:p>
    <w:p w14:paraId="711F2D0D">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（二）在工程采购项目中，工程由中小企业承建，即工程施工单位为中小企业；</w:t>
      </w:r>
    </w:p>
    <w:p w14:paraId="03DBE22B">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（三）在服务采购项目中，服务由中小企业承接，即提供服务的人员为中小企业依照《中华人民共和国劳动合同法》订立劳动合同的从业人员。</w:t>
      </w:r>
    </w:p>
    <w:p w14:paraId="23308A0D">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在货物采购项目中，供应商提供的货物既有中小企业制造货物，也有大型企业制造货物的，不享受</w:t>
      </w:r>
      <w:r>
        <w:rPr>
          <w:rFonts w:hint="eastAsia" w:hAnsi="宋体"/>
          <w:color w:val="auto"/>
          <w:highlight w:val="none"/>
          <w:lang w:eastAsia="zh-CN"/>
        </w:rPr>
        <w:t>评审</w:t>
      </w:r>
      <w:r>
        <w:rPr>
          <w:rFonts w:hint="eastAsia" w:hAnsi="宋体"/>
          <w:color w:val="auto"/>
          <w:highlight w:val="none"/>
        </w:rPr>
        <w:t>方法规定的中小企业扶持政策。</w:t>
      </w:r>
    </w:p>
    <w:p w14:paraId="51D72D76">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以联合体形式参加政府采购活动，联合体各方均为中小企业的，联合体视同中小企业。其中，联合体各方均为小微企业的，联合体视同小微企业。</w:t>
      </w:r>
    </w:p>
    <w:p w14:paraId="1AAB4412">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lang w:val="en-US" w:eastAsia="zh-CN"/>
        </w:rPr>
        <w:t>5</w:t>
      </w:r>
      <w:r>
        <w:rPr>
          <w:rFonts w:hAnsi="宋体"/>
          <w:color w:val="auto"/>
          <w:highlight w:val="none"/>
        </w:rPr>
        <w:t>.1.2</w:t>
      </w:r>
      <w:r>
        <w:rPr>
          <w:rFonts w:hint="eastAsia" w:hAnsi="宋体"/>
          <w:color w:val="auto"/>
          <w:highlight w:val="none"/>
        </w:rPr>
        <w:t>根据《云南省工业和信息化厅关于落实政府采购促进中小企业发展政策意见的通知》（云财</w:t>
      </w:r>
      <w:r>
        <w:rPr>
          <w:rFonts w:hint="eastAsia" w:hAnsi="宋体"/>
          <w:color w:val="auto"/>
          <w:highlight w:val="none"/>
          <w:lang w:val="en-US" w:eastAsia="zh-CN"/>
        </w:rPr>
        <w:t>规</w:t>
      </w:r>
      <w:r>
        <w:rPr>
          <w:rFonts w:hint="eastAsia" w:hAnsi="宋体"/>
          <w:color w:val="auto"/>
          <w:highlight w:val="none"/>
        </w:rPr>
        <w:t>〔2022〕13号）的规定，供应商提供的货物既有中型企业制造，也有小微企业制造的，不享受《办法》规定的小微企业扶持政策。</w:t>
      </w:r>
    </w:p>
    <w:p w14:paraId="291702A1">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lang w:val="en-US" w:eastAsia="zh-CN"/>
        </w:rPr>
        <w:t>5</w:t>
      </w:r>
      <w:r>
        <w:rPr>
          <w:rFonts w:hint="eastAsia" w:hAnsi="宋体"/>
          <w:color w:val="auto"/>
          <w:highlight w:val="none"/>
        </w:rPr>
        <w:t>.</w:t>
      </w:r>
      <w:r>
        <w:rPr>
          <w:rFonts w:hAnsi="宋体"/>
          <w:color w:val="auto"/>
          <w:highlight w:val="none"/>
        </w:rPr>
        <w:t>1</w:t>
      </w:r>
      <w:r>
        <w:rPr>
          <w:rFonts w:hint="eastAsia" w:hAnsi="宋体"/>
          <w:color w:val="auto"/>
          <w:highlight w:val="none"/>
        </w:rPr>
        <w:t>.</w:t>
      </w:r>
      <w:r>
        <w:rPr>
          <w:rFonts w:hAnsi="宋体"/>
          <w:color w:val="auto"/>
          <w:highlight w:val="none"/>
        </w:rPr>
        <w:t>3</w:t>
      </w:r>
      <w:r>
        <w:rPr>
          <w:rFonts w:hint="eastAsia" w:hAnsi="宋体"/>
          <w:color w:val="auto"/>
          <w:highlight w:val="none"/>
          <w:lang w:eastAsia="zh-CN"/>
        </w:rPr>
        <w:t>评审</w:t>
      </w:r>
      <w:r>
        <w:rPr>
          <w:rFonts w:hint="eastAsia" w:hAnsi="宋体"/>
          <w:color w:val="auto"/>
          <w:highlight w:val="none"/>
        </w:rPr>
        <w:t>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271C6BE1">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符合中小企业划分标准的个体工商户，在政府采购活动中视同中小企业。</w:t>
      </w:r>
    </w:p>
    <w:p w14:paraId="1F7E2273">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lang w:val="en-US" w:eastAsia="zh-CN"/>
        </w:rPr>
        <w:t>5</w:t>
      </w:r>
      <w:r>
        <w:rPr>
          <w:rFonts w:hint="eastAsia" w:hAnsi="宋体"/>
          <w:color w:val="auto"/>
          <w:highlight w:val="none"/>
        </w:rPr>
        <w:t>.</w:t>
      </w:r>
      <w:r>
        <w:rPr>
          <w:rFonts w:hAnsi="宋体"/>
          <w:color w:val="auto"/>
          <w:highlight w:val="none"/>
        </w:rPr>
        <w:t>1</w:t>
      </w:r>
      <w:r>
        <w:rPr>
          <w:rFonts w:hint="eastAsia" w:hAnsi="宋体"/>
          <w:color w:val="auto"/>
          <w:highlight w:val="none"/>
        </w:rPr>
        <w:t>.</w:t>
      </w:r>
      <w:r>
        <w:rPr>
          <w:rFonts w:hAnsi="宋体"/>
          <w:color w:val="auto"/>
          <w:highlight w:val="none"/>
        </w:rPr>
        <w:t>4</w:t>
      </w:r>
      <w:r>
        <w:rPr>
          <w:rFonts w:hint="eastAsia" w:hAnsi="宋体"/>
          <w:color w:val="auto"/>
          <w:highlight w:val="none"/>
        </w:rPr>
        <w:t>中小企业参加政府采购活动，应当出具《中小企业声明函》（详见《响应文件格式》），否则不得享受相关中小企业扶持政策。</w:t>
      </w:r>
    </w:p>
    <w:p w14:paraId="0778A048">
      <w:pPr>
        <w:adjustRightInd w:val="0"/>
        <w:snapToGrid w:val="0"/>
        <w:spacing w:line="360" w:lineRule="auto"/>
        <w:ind w:firstLine="411" w:firstLineChars="196"/>
        <w:rPr>
          <w:rFonts w:hint="eastAsia" w:ascii="宋体" w:hAnsi="宋体" w:cs="黑体"/>
          <w:b w:val="0"/>
          <w:bCs w:val="0"/>
          <w:color w:val="auto"/>
          <w:szCs w:val="21"/>
          <w:highlight w:val="none"/>
        </w:rPr>
      </w:pPr>
      <w:r>
        <w:rPr>
          <w:rFonts w:hint="eastAsia" w:ascii="宋体" w:hAnsi="宋体" w:cs="黑体"/>
          <w:b w:val="0"/>
          <w:bCs w:val="0"/>
          <w:color w:val="auto"/>
          <w:szCs w:val="21"/>
          <w:highlight w:val="none"/>
          <w:lang w:val="en-US" w:eastAsia="zh-CN"/>
        </w:rPr>
        <w:t>5</w:t>
      </w:r>
      <w:r>
        <w:rPr>
          <w:rFonts w:hint="eastAsia" w:ascii="宋体" w:hAnsi="宋体" w:cs="黑体"/>
          <w:b w:val="0"/>
          <w:bCs w:val="0"/>
          <w:color w:val="auto"/>
          <w:szCs w:val="21"/>
          <w:highlight w:val="none"/>
        </w:rPr>
        <w:t>.1.5根据政府采购促进中小企业发展管理办法（财库【2020】46号）的规定，对符合条件的小型和微型供应商，在价格评分（商务评审）时给予最终报价3%的扣除，用扣除后的价格参与价格评分（磋商报价评审）。</w:t>
      </w:r>
    </w:p>
    <w:p w14:paraId="5923456E">
      <w:pPr>
        <w:adjustRightInd w:val="0"/>
        <w:snapToGrid w:val="0"/>
        <w:spacing w:line="360" w:lineRule="auto"/>
        <w:ind w:firstLine="411" w:firstLineChars="196"/>
        <w:rPr>
          <w:rFonts w:hint="eastAsia" w:ascii="宋体" w:hAnsi="宋体" w:cs="黑体"/>
          <w:b w:val="0"/>
          <w:bCs w:val="0"/>
          <w:color w:val="auto"/>
          <w:szCs w:val="21"/>
          <w:highlight w:val="none"/>
        </w:rPr>
      </w:pPr>
      <w:r>
        <w:rPr>
          <w:rFonts w:hint="eastAsia" w:ascii="宋体" w:hAnsi="宋体" w:cs="黑体"/>
          <w:b w:val="0"/>
          <w:bCs w:val="0"/>
          <w:color w:val="auto"/>
          <w:szCs w:val="21"/>
          <w:highlight w:val="none"/>
        </w:rPr>
        <w:t>注：①若本项目为非专门面向中小企业采购的项目，则须执行价格评审优惠的扶持政策。</w:t>
      </w:r>
    </w:p>
    <w:p w14:paraId="45295F6B">
      <w:pPr>
        <w:adjustRightInd w:val="0"/>
        <w:snapToGrid w:val="0"/>
        <w:spacing w:line="360" w:lineRule="auto"/>
        <w:ind w:firstLine="411" w:firstLineChars="196"/>
        <w:rPr>
          <w:rFonts w:hint="eastAsia" w:ascii="宋体" w:hAnsi="宋体" w:cs="黑体"/>
          <w:b w:val="0"/>
          <w:bCs w:val="0"/>
          <w:color w:val="auto"/>
          <w:szCs w:val="21"/>
          <w:highlight w:val="none"/>
        </w:rPr>
      </w:pPr>
      <w:r>
        <w:rPr>
          <w:rFonts w:hint="eastAsia" w:ascii="宋体" w:hAnsi="宋体" w:cs="黑体"/>
          <w:b w:val="0"/>
          <w:bCs w:val="0"/>
          <w:color w:val="auto"/>
          <w:szCs w:val="21"/>
          <w:highlight w:val="none"/>
        </w:rPr>
        <w:t>②若本项目为专门面向中小企业采购的项目，则不再执行价格评审优惠的扶持政策。</w:t>
      </w:r>
    </w:p>
    <w:p w14:paraId="51ACAE98">
      <w:pPr>
        <w:pStyle w:val="23"/>
        <w:tabs>
          <w:tab w:val="left" w:pos="2472"/>
        </w:tabs>
        <w:autoSpaceDE/>
        <w:autoSpaceDN/>
        <w:snapToGrid w:val="0"/>
        <w:spacing w:line="360" w:lineRule="auto"/>
        <w:ind w:firstLine="422" w:firstLineChars="200"/>
        <w:jc w:val="both"/>
        <w:rPr>
          <w:rFonts w:hint="eastAsia" w:hAnsi="宋体"/>
          <w:b/>
          <w:color w:val="auto"/>
          <w:highlight w:val="none"/>
        </w:rPr>
      </w:pPr>
      <w:r>
        <w:rPr>
          <w:rFonts w:hint="eastAsia" w:hAnsi="宋体"/>
          <w:b/>
          <w:color w:val="auto"/>
          <w:highlight w:val="none"/>
          <w:lang w:val="en-US" w:eastAsia="zh-CN"/>
        </w:rPr>
        <w:t>5</w:t>
      </w:r>
      <w:r>
        <w:rPr>
          <w:rFonts w:hint="eastAsia" w:hAnsi="宋体"/>
          <w:b/>
          <w:color w:val="auto"/>
          <w:highlight w:val="none"/>
        </w:rPr>
        <w:t>.</w:t>
      </w:r>
      <w:r>
        <w:rPr>
          <w:rFonts w:hAnsi="宋体"/>
          <w:b/>
          <w:color w:val="auto"/>
          <w:highlight w:val="none"/>
        </w:rPr>
        <w:t>2</w:t>
      </w:r>
      <w:r>
        <w:rPr>
          <w:rFonts w:hint="eastAsia" w:hAnsi="宋体"/>
          <w:b/>
          <w:color w:val="auto"/>
          <w:highlight w:val="none"/>
        </w:rPr>
        <w:t>监狱企业</w:t>
      </w:r>
    </w:p>
    <w:p w14:paraId="5CD80F5C">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lang w:val="en-US" w:eastAsia="zh-CN"/>
        </w:rPr>
        <w:t>5</w:t>
      </w:r>
      <w:r>
        <w:rPr>
          <w:rFonts w:hint="eastAsia" w:hAnsi="宋体"/>
          <w:color w:val="auto"/>
          <w:highlight w:val="none"/>
        </w:rPr>
        <w:t>.</w:t>
      </w:r>
      <w:r>
        <w:rPr>
          <w:rFonts w:hAnsi="宋体"/>
          <w:color w:val="auto"/>
          <w:highlight w:val="none"/>
        </w:rPr>
        <w:t>2</w:t>
      </w:r>
      <w:r>
        <w:rPr>
          <w:rFonts w:hint="eastAsia" w:hAnsi="宋体"/>
          <w:color w:val="auto"/>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07850E2">
      <w:pPr>
        <w:pStyle w:val="23"/>
        <w:tabs>
          <w:tab w:val="left" w:pos="2472"/>
        </w:tabs>
        <w:autoSpaceDE/>
        <w:autoSpaceDN/>
        <w:snapToGrid w:val="0"/>
        <w:spacing w:line="360" w:lineRule="auto"/>
        <w:ind w:firstLine="422" w:firstLineChars="200"/>
        <w:jc w:val="both"/>
        <w:rPr>
          <w:rFonts w:hint="eastAsia" w:hAnsi="宋体"/>
          <w:b/>
          <w:color w:val="auto"/>
          <w:highlight w:val="none"/>
        </w:rPr>
      </w:pPr>
      <w:r>
        <w:rPr>
          <w:rFonts w:hint="eastAsia" w:hAnsi="宋体"/>
          <w:b/>
          <w:color w:val="auto"/>
          <w:highlight w:val="none"/>
          <w:lang w:val="en-US" w:eastAsia="zh-CN"/>
        </w:rPr>
        <w:t>5</w:t>
      </w:r>
      <w:r>
        <w:rPr>
          <w:rFonts w:hint="eastAsia" w:hAnsi="宋体"/>
          <w:b/>
          <w:color w:val="auto"/>
          <w:highlight w:val="none"/>
        </w:rPr>
        <w:t>.3残疾人福利性单位</w:t>
      </w:r>
    </w:p>
    <w:p w14:paraId="13D450D3">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lang w:val="en-US" w:eastAsia="zh-CN"/>
        </w:rPr>
        <w:t>5</w:t>
      </w:r>
      <w:r>
        <w:rPr>
          <w:rFonts w:hint="eastAsia" w:hAnsi="宋体"/>
          <w:color w:val="auto"/>
          <w:highlight w:val="none"/>
        </w:rPr>
        <w:t>.3</w:t>
      </w:r>
      <w:r>
        <w:rPr>
          <w:rFonts w:hAnsi="宋体"/>
          <w:color w:val="auto"/>
          <w:highlight w:val="none"/>
        </w:rPr>
        <w:t>.1根据</w:t>
      </w:r>
      <w:r>
        <w:rPr>
          <w:rFonts w:hint="eastAsia" w:hAnsi="宋体"/>
          <w:color w:val="auto"/>
          <w:highlight w:val="none"/>
        </w:rPr>
        <w:t>《财政部 民政部 中国残疾人联合会关于促进残疾人就业政府采购政策的通知》，享受政府采购支持政策的残疾人福利性单位应当同时满足以下条件：</w:t>
      </w:r>
    </w:p>
    <w:p w14:paraId="1E372BC5">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（1）安置的残疾人占本单位在职职工人数的比例不低于25%（含25%），并且安置的残疾人人数不少于10人（含10人）；</w:t>
      </w:r>
    </w:p>
    <w:p w14:paraId="71726206">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（2）依法与安置的每位残疾人签订了一年以上（含一年）的劳动合同或服务协议；</w:t>
      </w:r>
    </w:p>
    <w:p w14:paraId="75DA1219">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（3）为安置的每位残疾人按月足额缴纳了基本养老保险、基本医疗保险、失业保险、工伤保险和生育保险等社会保险费；</w:t>
      </w:r>
    </w:p>
    <w:p w14:paraId="2ABFB378">
      <w:pPr>
        <w:pStyle w:val="23"/>
        <w:tabs>
          <w:tab w:val="left" w:pos="2472"/>
        </w:tabs>
        <w:autoSpaceDE/>
        <w:autoSpaceDN/>
        <w:snapToGrid w:val="0"/>
        <w:spacing w:line="360" w:lineRule="auto"/>
        <w:ind w:firstLine="420" w:firstLineChars="200"/>
        <w:jc w:val="both"/>
        <w:rPr>
          <w:rFonts w:hint="eastAsia" w:hAnsi="宋体"/>
          <w:color w:val="auto"/>
          <w:highlight w:val="none"/>
        </w:rPr>
      </w:pPr>
      <w:r>
        <w:rPr>
          <w:rFonts w:hint="eastAsia" w:hAnsi="宋体"/>
          <w:color w:val="auto"/>
          <w:highlight w:val="none"/>
        </w:rPr>
        <w:t>（4）通过银行等金融机构向安置的每位残疾人，按月支付了不低于单位所在区县适用的经省级人民政府批准的月最低工资标准的工资；</w:t>
      </w:r>
    </w:p>
    <w:p w14:paraId="0C10B644">
      <w:pPr>
        <w:pStyle w:val="23"/>
        <w:tabs>
          <w:tab w:val="left" w:pos="2472"/>
        </w:tabs>
        <w:autoSpaceDE/>
        <w:autoSpaceDN/>
        <w:snapToGrid w:val="0"/>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（5）提供本单位制造的货物、承担的工程或者服务（以下简称产品），或者提供其他残疾人福利性单位制造的货物（不包括使用非残疾人福利性单位注册商标的货物）。</w:t>
      </w:r>
    </w:p>
    <w:p w14:paraId="182AF5DF">
      <w:pPr>
        <w:pStyle w:val="23"/>
        <w:tabs>
          <w:tab w:val="left" w:pos="2472"/>
        </w:tabs>
        <w:autoSpaceDE/>
        <w:autoSpaceDN/>
        <w:snapToGrid w:val="0"/>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F9B3A1F">
      <w:pPr>
        <w:pStyle w:val="23"/>
        <w:tabs>
          <w:tab w:val="left" w:pos="2472"/>
        </w:tabs>
        <w:autoSpaceDE/>
        <w:autoSpaceDN/>
        <w:snapToGrid w:val="0"/>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.3.2符合条件的残疾人福利性单位在参加政府采购活动时，应当提供《残疾人福利性单位声明函》，并对声明的真实性负责。</w:t>
      </w:r>
    </w:p>
    <w:p w14:paraId="075FFA27">
      <w:pPr>
        <w:pStyle w:val="23"/>
        <w:tabs>
          <w:tab w:val="left" w:pos="2472"/>
        </w:tabs>
        <w:autoSpaceDE/>
        <w:autoSpaceDN/>
        <w:snapToGrid w:val="0"/>
        <w:spacing w:line="360" w:lineRule="auto"/>
        <w:ind w:firstLine="422" w:firstLineChars="200"/>
        <w:jc w:val="both"/>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5</w:t>
      </w:r>
      <w:r>
        <w:rPr>
          <w:rFonts w:hint="eastAsia" w:ascii="宋体" w:hAnsi="宋体" w:eastAsia="宋体" w:cs="宋体"/>
          <w:b/>
          <w:color w:val="auto"/>
          <w:highlight w:val="none"/>
        </w:rPr>
        <w:t>.4节能、环境标志产品</w:t>
      </w:r>
    </w:p>
    <w:p w14:paraId="6390BF90">
      <w:pPr>
        <w:pStyle w:val="23"/>
        <w:tabs>
          <w:tab w:val="left" w:pos="2472"/>
        </w:tabs>
        <w:autoSpaceDE/>
        <w:autoSpaceDN/>
        <w:snapToGrid w:val="0"/>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.4.1节能产品是指列入财政部和国家发改委公布的《节能产品政府采购品目清单》中的货物。政府强制采购节能产品是指《节能产品政府采购品目清单》中以“★”标注类别的产品。</w:t>
      </w:r>
    </w:p>
    <w:p w14:paraId="55A15D35">
      <w:pPr>
        <w:pStyle w:val="23"/>
        <w:tabs>
          <w:tab w:val="left" w:pos="2472"/>
        </w:tabs>
        <w:autoSpaceDE/>
        <w:autoSpaceDN/>
        <w:snapToGrid w:val="0"/>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.4.2环境标志产品是指列入财政部、生态环境部公布的《环境标志产品政府采购品目清单》中的货物。</w:t>
      </w:r>
    </w:p>
    <w:p w14:paraId="3D768B0C">
      <w:pPr>
        <w:pStyle w:val="23"/>
        <w:tabs>
          <w:tab w:val="left" w:pos="2472"/>
        </w:tabs>
        <w:autoSpaceDE/>
        <w:autoSpaceDN/>
        <w:snapToGrid w:val="0"/>
        <w:spacing w:line="360" w:lineRule="auto"/>
        <w:ind w:firstLine="42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4.3本项目采购清单中若有政府强制采购节能产品，只接受强制节能产品，供应商必须在响应文件中提供国家确定的认证机构出具的、处于有效期之内的节能产品认证证书。供应商必须选报，否则按不实质性响应竞争性磋商</w:t>
      </w:r>
      <w:r>
        <w:rPr>
          <w:rFonts w:hint="eastAsia" w:ascii="宋体" w:hAnsi="宋体" w:eastAsia="宋体" w:cs="宋体"/>
          <w:color w:val="auto"/>
          <w:highlight w:val="none"/>
          <w:lang w:val="en-US" w:eastAsia="zh-CN"/>
        </w:rPr>
        <w:t>文件要求处理。</w:t>
      </w:r>
    </w:p>
    <w:p w14:paraId="0BCFB03C">
      <w:pPr>
        <w:pStyle w:val="23"/>
      </w:pPr>
      <w:r>
        <w:t>注：本项目采购清单中无政府强制采购节能产品品目，本条不适用。</w:t>
      </w:r>
    </w:p>
    <w:p w14:paraId="053F7F7E">
      <w:pPr>
        <w:pStyle w:val="23"/>
        <w:tabs>
          <w:tab w:val="left" w:pos="2472"/>
        </w:tabs>
        <w:autoSpaceDE/>
        <w:autoSpaceDN/>
        <w:snapToGrid w:val="0"/>
        <w:spacing w:line="360" w:lineRule="auto"/>
        <w:ind w:firstLine="42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5.4.4供应商应在响应文件中</w:t>
      </w:r>
      <w:r>
        <w:rPr>
          <w:rFonts w:hint="eastAsia" w:hAnsi="宋体" w:eastAsia="宋体" w:cs="宋体"/>
          <w:color w:val="auto"/>
          <w:highlight w:val="none"/>
          <w:lang w:val="en-US" w:eastAsia="zh-CN"/>
        </w:rPr>
        <w:t>所</w:t>
      </w:r>
      <w:r>
        <w:rPr>
          <w:rFonts w:hint="eastAsia" w:ascii="宋体" w:hAnsi="宋体" w:eastAsia="宋体" w:cs="宋体"/>
          <w:color w:val="auto"/>
          <w:highlight w:val="none"/>
          <w:lang w:val="en-US" w:eastAsia="zh-CN"/>
        </w:rPr>
        <w:t>提供产品国家确定的认证机构出具的、处于有效期之内的节能产品、环境标志产品认证证书，否则不予认可。</w:t>
      </w:r>
    </w:p>
    <w:p w14:paraId="37C5FF49">
      <w:pPr>
        <w:pStyle w:val="23"/>
        <w:tabs>
          <w:tab w:val="left" w:pos="2472"/>
        </w:tabs>
        <w:autoSpaceDE/>
        <w:autoSpaceDN/>
        <w:snapToGrid w:val="0"/>
        <w:spacing w:line="360" w:lineRule="auto"/>
        <w:ind w:firstLine="42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5.4.5《节能产品政府采购品目清单》及《环境标志产品政府采购品目清单》可通过中国政府采购网（http://www.ccgp.gov.cn/ ）查阅、下载。</w:t>
      </w:r>
    </w:p>
    <w:bookmarkEnd w:id="404"/>
    <w:p w14:paraId="417F6C0F">
      <w:pPr>
        <w:pStyle w:val="36"/>
        <w:spacing w:after="0" w:line="360" w:lineRule="auto"/>
        <w:rPr>
          <w:rFonts w:hint="eastAsia" w:ascii="宋体" w:hAnsi="宋体" w:eastAsia="宋体" w:cs="宋体"/>
          <w:b/>
          <w:color w:val="auto"/>
          <w:szCs w:val="21"/>
          <w:highlight w:val="none"/>
        </w:rPr>
      </w:pPr>
      <w:r>
        <w:rPr>
          <w:rFonts w:hint="eastAsia" w:ascii="宋体" w:hAnsi="宋体" w:eastAsia="宋体" w:cs="宋体"/>
          <w:szCs w:val="21"/>
          <w:highlight w:val="none"/>
        </w:rPr>
        <w:t>★</w:t>
      </w:r>
      <w:r>
        <w:rPr>
          <w:rFonts w:hint="eastAsia" w:ascii="宋体" w:hAnsi="宋体" w:eastAsia="宋体" w:cs="宋体"/>
          <w:b/>
          <w:color w:val="auto"/>
          <w:szCs w:val="21"/>
          <w:highlight w:val="none"/>
          <w:lang w:val="en-US" w:eastAsia="zh-CN"/>
        </w:rPr>
        <w:t>6</w:t>
      </w:r>
      <w:r>
        <w:rPr>
          <w:rFonts w:hint="eastAsia" w:ascii="宋体" w:hAnsi="宋体" w:eastAsia="宋体" w:cs="宋体"/>
          <w:b/>
          <w:color w:val="auto"/>
          <w:szCs w:val="21"/>
          <w:highlight w:val="none"/>
        </w:rPr>
        <w:t>．无效情况说明</w:t>
      </w:r>
    </w:p>
    <w:p w14:paraId="6554D040">
      <w:pPr>
        <w:tabs>
          <w:tab w:val="center" w:pos="5181"/>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响应文件有下列情形之一的，应当按照无效响应文件处理： </w:t>
      </w:r>
    </w:p>
    <w:p w14:paraId="7996E5B1">
      <w:pPr>
        <w:tabs>
          <w:tab w:val="center" w:pos="5181"/>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.1在规定的截止时间之后递交响应文件的； </w:t>
      </w:r>
    </w:p>
    <w:p w14:paraId="28CBC827">
      <w:pPr>
        <w:tabs>
          <w:tab w:val="center" w:pos="5181"/>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.2未按采购文件规定</w:t>
      </w:r>
      <w:r>
        <w:rPr>
          <w:rFonts w:hint="eastAsia" w:ascii="宋体" w:hAnsi="宋体" w:eastAsia="宋体" w:cs="宋体"/>
          <w:color w:val="auto"/>
          <w:szCs w:val="21"/>
          <w:highlight w:val="none"/>
          <w:lang w:val="en-US" w:eastAsia="zh-CN"/>
        </w:rPr>
        <w:t>在</w:t>
      </w:r>
      <w:r>
        <w:rPr>
          <w:rFonts w:hint="eastAsia" w:ascii="宋体" w:hAnsi="宋体" w:eastAsia="宋体" w:cs="宋体"/>
          <w:color w:val="auto"/>
          <w:szCs w:val="21"/>
          <w:highlight w:val="none"/>
        </w:rPr>
        <w:t>要求签署、盖章</w:t>
      </w:r>
      <w:r>
        <w:rPr>
          <w:rFonts w:hint="eastAsia" w:ascii="宋体" w:hAnsi="宋体" w:eastAsia="宋体" w:cs="宋体"/>
          <w:color w:val="auto"/>
          <w:szCs w:val="21"/>
          <w:highlight w:val="none"/>
          <w:lang w:val="en-US" w:eastAsia="zh-CN"/>
        </w:rPr>
        <w:t>处</w:t>
      </w:r>
      <w:r>
        <w:rPr>
          <w:rFonts w:hint="eastAsia" w:ascii="宋体" w:hAnsi="宋体" w:eastAsia="宋体" w:cs="宋体"/>
          <w:color w:val="auto"/>
          <w:szCs w:val="21"/>
          <w:highlight w:val="none"/>
        </w:rPr>
        <w:t xml:space="preserve">签署、盖章的； </w:t>
      </w:r>
    </w:p>
    <w:p w14:paraId="42756ABC">
      <w:pPr>
        <w:tabs>
          <w:tab w:val="center" w:pos="5181"/>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.3未按规定交纳磋商保证金的； </w:t>
      </w:r>
    </w:p>
    <w:p w14:paraId="1620B88F">
      <w:pPr>
        <w:tabs>
          <w:tab w:val="center" w:pos="5181"/>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.4不具备竞争性磋商文件中规定的资格要求的； </w:t>
      </w:r>
    </w:p>
    <w:p w14:paraId="3530D38E">
      <w:pPr>
        <w:tabs>
          <w:tab w:val="center" w:pos="5181"/>
        </w:tabs>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5报价超过最高限价的；</w:t>
      </w:r>
    </w:p>
    <w:p w14:paraId="5BA3F36C">
      <w:pPr>
        <w:tabs>
          <w:tab w:val="center" w:pos="5181"/>
        </w:tabs>
        <w:adjustRightInd w:val="0"/>
        <w:snapToGrid w:val="0"/>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6.6未在规定时间内进行二次报价的；</w:t>
      </w:r>
    </w:p>
    <w:p w14:paraId="5BE12A39">
      <w:pPr>
        <w:tabs>
          <w:tab w:val="center" w:pos="5181"/>
        </w:tabs>
        <w:adjustRightInd w:val="0"/>
        <w:snapToGrid w:val="0"/>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6.7</w:t>
      </w:r>
      <w:r>
        <w:rPr>
          <w:rFonts w:hint="eastAsia" w:ascii="宋体" w:hAnsi="宋体" w:eastAsia="宋体" w:cs="宋体"/>
          <w:szCs w:val="21"/>
          <w:highlight w:val="none"/>
        </w:rPr>
        <w:t>磋商小组认为供应商的报价明显不合理或者低于成本</w:t>
      </w:r>
      <w:r>
        <w:rPr>
          <w:rFonts w:hint="eastAsia" w:ascii="宋体" w:hAnsi="宋体" w:eastAsia="宋体" w:cs="宋体"/>
          <w:szCs w:val="21"/>
          <w:highlight w:val="none"/>
          <w:lang w:val="en-US" w:eastAsia="zh-CN"/>
        </w:rPr>
        <w:t>且</w:t>
      </w:r>
      <w:r>
        <w:rPr>
          <w:rFonts w:hint="eastAsia" w:ascii="宋体" w:hAnsi="宋体" w:eastAsia="宋体" w:cs="宋体"/>
          <w:highlight w:val="none"/>
        </w:rPr>
        <w:t>不能证明其报价合理性的</w:t>
      </w:r>
      <w:r>
        <w:rPr>
          <w:rFonts w:hint="eastAsia" w:ascii="宋体" w:hAnsi="宋体" w:eastAsia="宋体" w:cs="宋体"/>
          <w:highlight w:val="none"/>
          <w:lang w:eastAsia="zh-CN"/>
        </w:rPr>
        <w:t>；</w:t>
      </w:r>
    </w:p>
    <w:p w14:paraId="63B697AC">
      <w:pPr>
        <w:tabs>
          <w:tab w:val="center" w:pos="5181"/>
        </w:tabs>
        <w:adjustRightInd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 xml:space="preserve">未全部响应竞争性磋商文件规定的实质性要求的； </w:t>
      </w:r>
    </w:p>
    <w:p w14:paraId="07CECEE5">
      <w:pPr>
        <w:adjustRightIn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9</w:t>
      </w:r>
      <w:r>
        <w:rPr>
          <w:rFonts w:hint="eastAsia" w:ascii="宋体" w:hAnsi="宋体" w:eastAsia="宋体" w:cs="宋体"/>
          <w:szCs w:val="21"/>
          <w:highlight w:val="none"/>
        </w:rPr>
        <w:t>不符合法律、法规规定的其他情形。</w:t>
      </w:r>
    </w:p>
    <w:p w14:paraId="6AE75243">
      <w:pPr>
        <w:adjustRightInd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7</w:t>
      </w:r>
      <w:r>
        <w:rPr>
          <w:rFonts w:hint="eastAsia" w:ascii="宋体" w:hAnsi="宋体" w:eastAsia="宋体" w:cs="宋体"/>
          <w:b/>
          <w:szCs w:val="21"/>
          <w:highlight w:val="none"/>
        </w:rPr>
        <w:t>．响应文件如果出现计算或表达上的错误，修正错误的原则如下：</w:t>
      </w:r>
    </w:p>
    <w:p w14:paraId="3E74A874">
      <w:pPr>
        <w:tabs>
          <w:tab w:val="center" w:pos="5181"/>
        </w:tabs>
        <w:adjustRightInd w:val="0"/>
        <w:snapToGrid w:val="0"/>
        <w:spacing w:line="360" w:lineRule="auto"/>
        <w:ind w:firstLine="420" w:firstLineChars="200"/>
        <w:rPr>
          <w:rFonts w:ascii="宋体" w:hAnsi="宋体"/>
          <w:szCs w:val="21"/>
          <w:highlight w:val="none"/>
        </w:rPr>
      </w:pPr>
      <w:r>
        <w:rPr>
          <w:rFonts w:hint="eastAsia" w:ascii="宋体" w:hAnsi="宋体" w:eastAsia="宋体" w:cs="宋体"/>
          <w:szCs w:val="21"/>
          <w:highlight w:val="none"/>
        </w:rPr>
        <w:t>（1）公布第一次报价时，响应文件中报价一览表内容与响应文件中明细表内容不一致的，以报价一</w:t>
      </w:r>
      <w:r>
        <w:rPr>
          <w:rFonts w:ascii="宋体" w:hAnsi="宋体"/>
          <w:szCs w:val="21"/>
          <w:highlight w:val="none"/>
        </w:rPr>
        <w:t>览表为准。</w:t>
      </w:r>
    </w:p>
    <w:p w14:paraId="20F75E65">
      <w:pPr>
        <w:tabs>
          <w:tab w:val="center" w:pos="5181"/>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（2）</w:t>
      </w:r>
      <w:r>
        <w:rPr>
          <w:rFonts w:hint="eastAsia" w:ascii="宋体" w:hAnsi="宋体"/>
          <w:szCs w:val="21"/>
          <w:highlight w:val="none"/>
        </w:rPr>
        <w:t>响应文件</w:t>
      </w:r>
      <w:r>
        <w:rPr>
          <w:rFonts w:ascii="宋体" w:hAnsi="宋体"/>
          <w:szCs w:val="21"/>
          <w:highlight w:val="none"/>
        </w:rPr>
        <w:t>的大写金额和小写金额不一致的，以大写金额为准；</w:t>
      </w:r>
    </w:p>
    <w:p w14:paraId="3A41B5B2">
      <w:pPr>
        <w:tabs>
          <w:tab w:val="center" w:pos="5181"/>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（3）总价金额与按单价汇总金额不一致的，以单价金额计算结果为准；</w:t>
      </w:r>
    </w:p>
    <w:p w14:paraId="5DCCB5D2">
      <w:pPr>
        <w:tabs>
          <w:tab w:val="center" w:pos="5181"/>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（4）单价金额小数点有明显错位的，应以总价为准，并修改单价；</w:t>
      </w:r>
    </w:p>
    <w:p w14:paraId="058CDB9D">
      <w:pPr>
        <w:tabs>
          <w:tab w:val="center" w:pos="5181"/>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（5）对不同文字文本</w:t>
      </w:r>
      <w:r>
        <w:rPr>
          <w:rFonts w:hint="eastAsia" w:ascii="宋体" w:hAnsi="宋体"/>
          <w:szCs w:val="21"/>
          <w:highlight w:val="none"/>
        </w:rPr>
        <w:t>响应</w:t>
      </w:r>
      <w:r>
        <w:rPr>
          <w:rFonts w:ascii="宋体" w:hAnsi="宋体"/>
          <w:szCs w:val="21"/>
          <w:highlight w:val="none"/>
        </w:rPr>
        <w:t>文件的解释发生异议的，以中文文本为准。</w:t>
      </w:r>
    </w:p>
    <w:p w14:paraId="37B67183">
      <w:pPr>
        <w:tabs>
          <w:tab w:val="center" w:pos="5181"/>
        </w:tabs>
        <w:adjustRightInd w:val="0"/>
        <w:snapToGrid w:val="0"/>
        <w:spacing w:line="360" w:lineRule="auto"/>
        <w:ind w:firstLine="420" w:firstLineChars="200"/>
        <w:rPr>
          <w:rFonts w:ascii="宋体" w:hAnsi="宋体"/>
          <w:szCs w:val="21"/>
          <w:highlight w:val="none"/>
        </w:rPr>
      </w:pPr>
      <w:r>
        <w:rPr>
          <w:rFonts w:ascii="宋体" w:hAnsi="宋体"/>
          <w:szCs w:val="21"/>
          <w:highlight w:val="none"/>
        </w:rPr>
        <w:t>（6）按上述修正错误的原则及方法调整或修正</w:t>
      </w:r>
      <w:r>
        <w:rPr>
          <w:rFonts w:hint="eastAsia" w:ascii="宋体" w:hAnsi="宋体"/>
          <w:szCs w:val="21"/>
          <w:highlight w:val="none"/>
        </w:rPr>
        <w:t>响应</w:t>
      </w:r>
      <w:r>
        <w:rPr>
          <w:rFonts w:ascii="宋体" w:hAnsi="宋体"/>
          <w:szCs w:val="21"/>
          <w:highlight w:val="none"/>
        </w:rPr>
        <w:t>文件的报价，</w:t>
      </w:r>
      <w:r>
        <w:rPr>
          <w:rFonts w:hint="eastAsia" w:ascii="宋体" w:hAnsi="宋体"/>
          <w:szCs w:val="21"/>
          <w:highlight w:val="none"/>
        </w:rPr>
        <w:t>供应商</w:t>
      </w:r>
      <w:r>
        <w:rPr>
          <w:rFonts w:ascii="宋体" w:hAnsi="宋体"/>
          <w:szCs w:val="21"/>
          <w:highlight w:val="none"/>
        </w:rPr>
        <w:t>同意后，调整后的报价对</w:t>
      </w:r>
      <w:r>
        <w:rPr>
          <w:rFonts w:hint="eastAsia" w:ascii="宋体" w:hAnsi="宋体"/>
          <w:szCs w:val="21"/>
          <w:highlight w:val="none"/>
        </w:rPr>
        <w:t>供应商</w:t>
      </w:r>
      <w:r>
        <w:rPr>
          <w:rFonts w:ascii="宋体" w:hAnsi="宋体"/>
          <w:szCs w:val="21"/>
          <w:highlight w:val="none"/>
        </w:rPr>
        <w:t>起约束作用。</w:t>
      </w:r>
      <w:r>
        <w:rPr>
          <w:rFonts w:hint="eastAsia" w:ascii="宋体" w:hAnsi="宋体" w:eastAsia="宋体" w:cs="Times New Roman"/>
          <w:szCs w:val="21"/>
          <w:highlight w:val="none"/>
        </w:rPr>
        <w:t>★</w:t>
      </w:r>
      <w:r>
        <w:rPr>
          <w:rFonts w:ascii="宋体" w:hAnsi="宋体"/>
          <w:szCs w:val="21"/>
          <w:highlight w:val="none"/>
        </w:rPr>
        <w:t>如果</w:t>
      </w:r>
      <w:r>
        <w:rPr>
          <w:rFonts w:hint="eastAsia" w:ascii="宋体" w:hAnsi="宋体"/>
          <w:szCs w:val="21"/>
          <w:highlight w:val="none"/>
        </w:rPr>
        <w:t>供应商</w:t>
      </w:r>
      <w:r>
        <w:rPr>
          <w:rFonts w:ascii="宋体" w:hAnsi="宋体"/>
          <w:szCs w:val="21"/>
          <w:highlight w:val="none"/>
        </w:rPr>
        <w:t>不接受修正后的报价</w:t>
      </w:r>
      <w:r>
        <w:rPr>
          <w:rFonts w:hint="eastAsia" w:ascii="宋体" w:hAnsi="宋体"/>
          <w:szCs w:val="21"/>
          <w:highlight w:val="none"/>
          <w:lang w:val="en-US" w:eastAsia="zh-CN"/>
        </w:rPr>
        <w:t>或未在规定时间内</w:t>
      </w:r>
      <w:r>
        <w:rPr>
          <w:rFonts w:ascii="Times New Roman" w:hAnsi="Times New Roman"/>
          <w:highlight w:val="none"/>
        </w:rPr>
        <w:t>确认的</w:t>
      </w:r>
      <w:r>
        <w:rPr>
          <w:rFonts w:ascii="宋体" w:hAnsi="宋体"/>
          <w:szCs w:val="21"/>
          <w:highlight w:val="none"/>
        </w:rPr>
        <w:t>，</w:t>
      </w:r>
      <w:r>
        <w:rPr>
          <w:rFonts w:hint="eastAsia" w:ascii="宋体" w:hAnsi="宋体"/>
          <w:szCs w:val="21"/>
          <w:highlight w:val="none"/>
        </w:rPr>
        <w:t>视为未实质性响应竞争性磋商文件的要求</w:t>
      </w:r>
      <w:r>
        <w:rPr>
          <w:rFonts w:ascii="宋体" w:hAnsi="宋体"/>
          <w:szCs w:val="21"/>
          <w:highlight w:val="none"/>
        </w:rPr>
        <w:t>。</w:t>
      </w:r>
    </w:p>
    <w:p w14:paraId="7E65E8A7">
      <w:pPr>
        <w:adjustRightInd w:val="0"/>
        <w:spacing w:line="360" w:lineRule="auto"/>
        <w:rPr>
          <w:rFonts w:hint="eastAsia" w:ascii="宋体" w:hAnsi="宋体"/>
          <w:b/>
          <w:szCs w:val="21"/>
          <w:highlight w:val="none"/>
        </w:rPr>
      </w:pPr>
      <w:r>
        <w:rPr>
          <w:rFonts w:hint="eastAsia" w:ascii="宋体" w:hAnsi="宋体"/>
          <w:b/>
          <w:szCs w:val="21"/>
          <w:highlight w:val="none"/>
          <w:lang w:val="en-US" w:eastAsia="zh-CN"/>
        </w:rPr>
        <w:t>8</w:t>
      </w:r>
      <w:r>
        <w:rPr>
          <w:rFonts w:hint="eastAsia" w:ascii="宋体" w:hAnsi="宋体"/>
          <w:b/>
          <w:szCs w:val="21"/>
          <w:highlight w:val="none"/>
        </w:rPr>
        <w:t>．异常低价</w:t>
      </w:r>
      <w:r>
        <w:rPr>
          <w:rFonts w:hint="eastAsia" w:ascii="宋体" w:hAnsi="宋体"/>
          <w:b/>
          <w:szCs w:val="21"/>
          <w:highlight w:val="none"/>
          <w:lang w:val="en-US" w:eastAsia="zh-CN"/>
        </w:rPr>
        <w:t>审查程序</w:t>
      </w:r>
    </w:p>
    <w:p w14:paraId="167BCC22">
      <w:pPr>
        <w:tabs>
          <w:tab w:val="center" w:pos="5181"/>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w:t>
      </w:r>
      <w:r>
        <w:rPr>
          <w:rFonts w:hint="eastAsia" w:ascii="宋体" w:hAnsi="宋体" w:eastAsia="宋体" w:cs="Times New Roman"/>
          <w:szCs w:val="21"/>
          <w:highlight w:val="none"/>
          <w:lang w:val="en-US" w:eastAsia="zh-CN"/>
        </w:rPr>
        <w:t>磋商小组</w:t>
      </w:r>
      <w:r>
        <w:rPr>
          <w:rFonts w:hint="eastAsia" w:ascii="宋体" w:hAnsi="宋体" w:eastAsia="宋体" w:cs="Times New Roman"/>
          <w:szCs w:val="21"/>
          <w:highlight w:val="none"/>
        </w:rPr>
        <w:t>认为</w:t>
      </w:r>
      <w:r>
        <w:rPr>
          <w:rFonts w:hint="eastAsia" w:ascii="宋体" w:hAnsi="宋体" w:eastAsia="宋体" w:cs="Times New Roman"/>
          <w:szCs w:val="21"/>
          <w:highlight w:val="none"/>
          <w:lang w:val="en-US" w:eastAsia="zh-CN"/>
        </w:rPr>
        <w:t>供应商</w:t>
      </w:r>
      <w:r>
        <w:rPr>
          <w:rFonts w:hint="eastAsia" w:ascii="宋体" w:hAnsi="宋体" w:eastAsia="宋体" w:cs="Times New Roman"/>
          <w:szCs w:val="21"/>
          <w:highlight w:val="none"/>
        </w:rPr>
        <w:t>的</w:t>
      </w:r>
      <w:r>
        <w:rPr>
          <w:rFonts w:ascii="宋体" w:hAnsi="宋体" w:eastAsia="宋体" w:cs="宋体"/>
          <w:kern w:val="0"/>
          <w:sz w:val="21"/>
          <w:szCs w:val="21"/>
          <w:highlight w:val="none"/>
        </w:rPr>
        <w:t>最终报价</w:t>
      </w:r>
      <w:r>
        <w:rPr>
          <w:rFonts w:hint="eastAsia" w:ascii="宋体" w:hAnsi="宋体" w:eastAsia="宋体" w:cs="Times New Roman"/>
          <w:szCs w:val="21"/>
          <w:highlight w:val="none"/>
        </w:rPr>
        <w:t>明显低于其他通过符合性审查</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的</w:t>
      </w:r>
      <w:r>
        <w:rPr>
          <w:rFonts w:ascii="宋体" w:hAnsi="宋体" w:eastAsia="宋体" w:cs="宋体"/>
          <w:kern w:val="0"/>
          <w:sz w:val="21"/>
          <w:szCs w:val="21"/>
          <w:highlight w:val="none"/>
        </w:rPr>
        <w:t>最终报价</w:t>
      </w:r>
      <w:r>
        <w:rPr>
          <w:rFonts w:hint="eastAsia" w:ascii="宋体" w:hAnsi="宋体" w:eastAsia="宋体" w:cs="Times New Roman"/>
          <w:szCs w:val="21"/>
          <w:highlight w:val="none"/>
        </w:rPr>
        <w:t>，有可能影响产品质量或者不能诚信履约的，应当要求其在</w:t>
      </w:r>
      <w:r>
        <w:rPr>
          <w:rFonts w:hint="eastAsia" w:ascii="宋体" w:hAnsi="宋体" w:eastAsia="宋体" w:cs="Times New Roman"/>
          <w:szCs w:val="21"/>
          <w:highlight w:val="none"/>
          <w:lang w:val="en-US" w:eastAsia="zh-CN"/>
        </w:rPr>
        <w:t>评审</w:t>
      </w:r>
      <w:r>
        <w:rPr>
          <w:rFonts w:hint="eastAsia" w:ascii="宋体" w:hAnsi="宋体" w:eastAsia="宋体" w:cs="Times New Roman"/>
          <w:szCs w:val="21"/>
          <w:highlight w:val="none"/>
        </w:rPr>
        <w:t>现场合理的时间内提供书面说明，必要时提交相关证明材料；</w:t>
      </w: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不能证明其报价合理性的，</w:t>
      </w:r>
      <w:r>
        <w:rPr>
          <w:rFonts w:hint="eastAsia" w:ascii="宋体" w:hAnsi="宋体" w:eastAsia="宋体" w:cs="Times New Roman"/>
          <w:szCs w:val="21"/>
          <w:highlight w:val="none"/>
          <w:lang w:eastAsia="zh-CN"/>
        </w:rPr>
        <w:t>磋商小组</w:t>
      </w:r>
      <w:r>
        <w:rPr>
          <w:rFonts w:hint="eastAsia" w:ascii="宋体" w:hAnsi="宋体" w:eastAsia="宋体" w:cs="Times New Roman"/>
          <w:szCs w:val="21"/>
          <w:highlight w:val="none"/>
        </w:rPr>
        <w:t>应当将其</w:t>
      </w:r>
      <w:r>
        <w:rPr>
          <w:rFonts w:hint="eastAsia" w:ascii="宋体" w:hAnsi="宋体" w:eastAsia="宋体" w:cs="Times New Roman"/>
          <w:szCs w:val="21"/>
          <w:highlight w:val="none"/>
          <w:lang w:eastAsia="zh-CN"/>
        </w:rPr>
        <w:t>按无效响应文件处</w:t>
      </w:r>
      <w:r>
        <w:rPr>
          <w:rFonts w:hint="eastAsia" w:ascii="宋体" w:hAnsi="宋体" w:eastAsia="宋体" w:cs="Times New Roman"/>
          <w:szCs w:val="21"/>
          <w:highlight w:val="none"/>
        </w:rPr>
        <w:t>。</w:t>
      </w:r>
    </w:p>
    <w:p w14:paraId="174089F6">
      <w:pPr>
        <w:tabs>
          <w:tab w:val="center" w:pos="5181"/>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根据财政部《关于推动解决政府采购异常低价问题的通知》财库【2026】2号的规定，政府采购评审中出现下列情形之一的，</w:t>
      </w:r>
      <w:r>
        <w:rPr>
          <w:rFonts w:hint="eastAsia" w:ascii="宋体" w:hAnsi="宋体" w:eastAsia="宋体" w:cs="Times New Roman"/>
          <w:szCs w:val="21"/>
          <w:highlight w:val="none"/>
          <w:lang w:eastAsia="zh-CN"/>
        </w:rPr>
        <w:t>磋商小组</w:t>
      </w:r>
      <w:r>
        <w:rPr>
          <w:rFonts w:hint="eastAsia" w:ascii="宋体" w:hAnsi="宋体" w:eastAsia="宋体" w:cs="Times New Roman"/>
          <w:szCs w:val="21"/>
          <w:highlight w:val="none"/>
        </w:rPr>
        <w:t xml:space="preserve">应当启动异常低价投标（响应）审查程序： </w:t>
      </w:r>
    </w:p>
    <w:p w14:paraId="4C9DBF97">
      <w:pPr>
        <w:tabs>
          <w:tab w:val="center" w:pos="5181"/>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（1）投标（响应）报价低于全部通过符合性审查供应商投标（响应）报价平均值</w:t>
      </w:r>
      <w:r>
        <w:rPr>
          <w:rFonts w:hint="eastAsia" w:ascii="宋体" w:hAnsi="宋体" w:cs="Times New Roman"/>
          <w:szCs w:val="21"/>
          <w:highlight w:val="none"/>
          <w:lang w:val="en-US" w:eastAsia="zh-CN"/>
        </w:rPr>
        <w:t>65</w:t>
      </w:r>
      <w:r>
        <w:rPr>
          <w:rFonts w:hint="eastAsia" w:ascii="宋体" w:hAnsi="宋体" w:eastAsia="宋体" w:cs="Times New Roman"/>
          <w:szCs w:val="21"/>
          <w:highlight w:val="none"/>
        </w:rPr>
        <w:t>%的，即投标（响应）报价&lt;全部通过符合性审查供应商投标（响应）报价平均值×</w:t>
      </w:r>
      <w:r>
        <w:rPr>
          <w:rFonts w:hint="eastAsia" w:ascii="宋体" w:hAnsi="宋体" w:cs="Times New Roman"/>
          <w:szCs w:val="21"/>
          <w:highlight w:val="none"/>
          <w:lang w:val="en-US" w:eastAsia="zh-CN"/>
        </w:rPr>
        <w:t>65</w:t>
      </w:r>
      <w:r>
        <w:rPr>
          <w:rFonts w:hint="eastAsia" w:ascii="宋体" w:hAnsi="宋体" w:eastAsia="宋体" w:cs="Times New Roman"/>
          <w:szCs w:val="21"/>
          <w:highlight w:val="none"/>
        </w:rPr>
        <w:t xml:space="preserve">%； </w:t>
      </w:r>
    </w:p>
    <w:p w14:paraId="07142A9A">
      <w:pPr>
        <w:tabs>
          <w:tab w:val="center" w:pos="5181"/>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（2）投标（响应）报价低于通过符合性审查的次低报价供应商投标（响应）报价</w:t>
      </w:r>
      <w:r>
        <w:rPr>
          <w:rFonts w:hint="eastAsia" w:ascii="宋体" w:hAnsi="宋体" w:cs="Times New Roman"/>
          <w:szCs w:val="21"/>
          <w:highlight w:val="none"/>
          <w:lang w:val="en-US" w:eastAsia="zh-CN"/>
        </w:rPr>
        <w:t>65</w:t>
      </w:r>
      <w:r>
        <w:rPr>
          <w:rFonts w:hint="eastAsia" w:ascii="宋体" w:hAnsi="宋体" w:eastAsia="宋体" w:cs="Times New Roman"/>
          <w:szCs w:val="21"/>
          <w:highlight w:val="none"/>
        </w:rPr>
        <w:t>%的，即投标（响应）报价&lt;通过符合性审查的次低报价供应商投标（响应）报价×</w:t>
      </w:r>
      <w:r>
        <w:rPr>
          <w:rFonts w:hint="eastAsia" w:ascii="宋体" w:hAnsi="宋体" w:cs="Times New Roman"/>
          <w:szCs w:val="21"/>
          <w:highlight w:val="none"/>
          <w:lang w:val="en-US" w:eastAsia="zh-CN"/>
        </w:rPr>
        <w:t>65</w:t>
      </w:r>
      <w:r>
        <w:rPr>
          <w:rFonts w:hint="eastAsia" w:ascii="宋体" w:hAnsi="宋体" w:eastAsia="宋体" w:cs="Times New Roman"/>
          <w:szCs w:val="21"/>
          <w:highlight w:val="none"/>
        </w:rPr>
        <w:t xml:space="preserve">%； </w:t>
      </w:r>
    </w:p>
    <w:p w14:paraId="26B07150">
      <w:pPr>
        <w:tabs>
          <w:tab w:val="center" w:pos="5181"/>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（3）投标（响应）报价低于采购项目最高限价</w:t>
      </w:r>
      <w:r>
        <w:rPr>
          <w:rFonts w:hint="eastAsia" w:ascii="宋体" w:hAnsi="宋体" w:cs="Times New Roman"/>
          <w:szCs w:val="21"/>
          <w:highlight w:val="none"/>
          <w:lang w:val="en-US" w:eastAsia="zh-CN"/>
        </w:rPr>
        <w:t>65</w:t>
      </w:r>
      <w:r>
        <w:rPr>
          <w:rFonts w:hint="eastAsia" w:ascii="宋体" w:hAnsi="宋体" w:eastAsia="宋体" w:cs="Times New Roman"/>
          <w:szCs w:val="21"/>
          <w:highlight w:val="none"/>
        </w:rPr>
        <w:t>%的，即投标（响应）报价&lt;采购项目最高限价</w:t>
      </w:r>
      <w:r>
        <w:rPr>
          <w:rFonts w:hint="eastAsia" w:ascii="宋体" w:hAnsi="宋体" w:cs="Times New Roman"/>
          <w:szCs w:val="21"/>
          <w:highlight w:val="none"/>
          <w:lang w:val="en-US" w:eastAsia="zh-CN"/>
        </w:rPr>
        <w:t>65</w:t>
      </w:r>
      <w:r>
        <w:rPr>
          <w:rFonts w:hint="eastAsia" w:ascii="宋体" w:hAnsi="宋体" w:eastAsia="宋体" w:cs="Times New Roman"/>
          <w:szCs w:val="21"/>
          <w:highlight w:val="none"/>
        </w:rPr>
        <w:t xml:space="preserve">%； </w:t>
      </w:r>
    </w:p>
    <w:p w14:paraId="394871EE">
      <w:pPr>
        <w:tabs>
          <w:tab w:val="center" w:pos="5181"/>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rPr>
        <w:t>（4）</w:t>
      </w:r>
      <w:r>
        <w:rPr>
          <w:rFonts w:hint="eastAsia" w:ascii="宋体" w:hAnsi="宋体" w:eastAsia="宋体" w:cs="Times New Roman"/>
          <w:szCs w:val="21"/>
          <w:highlight w:val="none"/>
          <w:lang w:eastAsia="zh-CN"/>
        </w:rPr>
        <w:t>磋商小组</w:t>
      </w:r>
      <w:r>
        <w:rPr>
          <w:rFonts w:hint="eastAsia" w:ascii="宋体" w:hAnsi="宋体" w:eastAsia="宋体" w:cs="Times New Roman"/>
          <w:szCs w:val="21"/>
          <w:highlight w:val="none"/>
        </w:rPr>
        <w:t>基于专业判断，认为供应商报价过低，有可能影响产品质量或者不能诚信履约的其他情形。</w:t>
      </w:r>
    </w:p>
    <w:p w14:paraId="56EA598D">
      <w:pPr>
        <w:tabs>
          <w:tab w:val="center" w:pos="5181"/>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磋商小组</w:t>
      </w:r>
      <w:r>
        <w:rPr>
          <w:rFonts w:hint="eastAsia" w:ascii="宋体" w:hAnsi="宋体" w:eastAsia="宋体" w:cs="Times New Roman"/>
          <w:szCs w:val="21"/>
          <w:highlight w:val="none"/>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C492D44">
      <w:pPr>
        <w:tabs>
          <w:tab w:val="center" w:pos="5181"/>
        </w:tabs>
        <w:adjustRightInd w:val="0"/>
        <w:snapToGrid w:val="0"/>
        <w:spacing w:line="360" w:lineRule="auto"/>
        <w:ind w:firstLine="420" w:firstLineChars="200"/>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磋商小组</w:t>
      </w:r>
      <w:r>
        <w:rPr>
          <w:rFonts w:hint="eastAsia" w:ascii="宋体" w:hAnsi="宋体" w:eastAsia="宋体" w:cs="Times New Roman"/>
          <w:szCs w:val="21"/>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Times New Roman"/>
          <w:szCs w:val="21"/>
          <w:highlight w:val="none"/>
          <w:lang w:eastAsia="zh-CN"/>
        </w:rPr>
        <w:t>磋商小组</w:t>
      </w:r>
      <w:r>
        <w:rPr>
          <w:rFonts w:hint="eastAsia" w:ascii="宋体" w:hAnsi="宋体" w:eastAsia="宋体" w:cs="Times New Roman"/>
          <w:szCs w:val="21"/>
          <w:highlight w:val="none"/>
        </w:rPr>
        <w:t>应当将其作为无效投标（响应）处理。</w:t>
      </w:r>
    </w:p>
    <w:sectPr>
      <w:footerReference r:id="rId8" w:type="default"/>
      <w:pgSz w:w="11906" w:h="16838"/>
      <w:pgMar w:top="1440" w:right="1134" w:bottom="1270" w:left="1134" w:header="851" w:footer="992" w:gutter="0"/>
      <w:pgBorders>
        <w:top w:val="none" w:sz="0" w:space="0"/>
        <w:left w:val="none" w:sz="0" w:space="0"/>
        <w:bottom w:val="none" w:sz="0" w:space="0"/>
        <w:right w:val="none" w:sz="0" w:space="0"/>
      </w:pgBorders>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7173496-B4BB-44BC-849F-1F4CF987329D}"/>
  </w:font>
  <w:font w:name="Arial">
    <w:panose1 w:val="020B0604020202020204"/>
    <w:charset w:val="01"/>
    <w:family w:val="swiss"/>
    <w:pitch w:val="default"/>
    <w:sig w:usb0="E0002EFF" w:usb1="C000785B" w:usb2="00000009" w:usb3="00000000" w:csb0="400001FF" w:csb1="FFFF0000"/>
    <w:embedRegular r:id="rId2" w:fontKey="{85806706-8930-4901-B845-F1F2E4AB315F}"/>
  </w:font>
  <w:font w:name="黑体">
    <w:panose1 w:val="02010609060101010101"/>
    <w:charset w:val="86"/>
    <w:family w:val="auto"/>
    <w:pitch w:val="default"/>
    <w:sig w:usb0="800002BF" w:usb1="38CF7CFA" w:usb2="00000016" w:usb3="00000000" w:csb0="00040001" w:csb1="00000000"/>
    <w:embedRegular r:id="rId3" w:fontKey="{B84E83BA-2F36-4450-BC65-8E9CC7C86D31}"/>
  </w:font>
  <w:font w:name="Courier New">
    <w:panose1 w:val="02070309020205020404"/>
    <w:charset w:val="01"/>
    <w:family w:val="modern"/>
    <w:pitch w:val="default"/>
    <w:sig w:usb0="E0002EFF" w:usb1="C0007843" w:usb2="00000009" w:usb3="00000000" w:csb0="400001FF" w:csb1="FFFF0000"/>
    <w:embedRegular r:id="rId4" w:fontKey="{B7411549-6903-4EA7-885B-C28CFEC4E5C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577DC169-FB8B-449D-BEA3-E1D084E22FC8}"/>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ˎ̥">
    <w:altName w:val="Times New Roman"/>
    <w:panose1 w:val="00000000000000000000"/>
    <w:charset w:val="00"/>
    <w:family w:val="roman"/>
    <w:pitch w:val="default"/>
    <w:sig w:usb0="00000000" w:usb1="00000000" w:usb2="00000000" w:usb3="00000000" w:csb0="00040001" w:csb1="00000000"/>
  </w:font>
  <w:font w:name="创艺繁线体">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embedRegular r:id="rId6" w:fontKey="{B436BB0F-AD88-4F25-A5EE-8CCDB6E90F38}"/>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_x000B__x000C_">
    <w:altName w:val="Times New Roman"/>
    <w:panose1 w:val="00000000000000000000"/>
    <w:charset w:val="01"/>
    <w:family w:val="roma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embedRegular r:id="rId7" w:fontKey="{B31AE4CB-04F1-494E-BE62-B29FC880E87C}"/>
  </w:font>
  <w:font w:name="仿宋">
    <w:panose1 w:val="02010609060101010101"/>
    <w:charset w:val="86"/>
    <w:family w:val="auto"/>
    <w:pitch w:val="default"/>
    <w:sig w:usb0="800002BF" w:usb1="38CF7CFA" w:usb2="00000016" w:usb3="00000000" w:csb0="00040001" w:csb1="00000000"/>
    <w:embedRegular r:id="rId8" w:fontKey="{12632746-1647-4FBE-A767-B6648E657161}"/>
  </w:font>
  <w:font w:name="方正小标宋_GBK">
    <w:panose1 w:val="03000509000000000000"/>
    <w:charset w:val="86"/>
    <w:family w:val="script"/>
    <w:pitch w:val="default"/>
    <w:sig w:usb0="00000001" w:usb1="080E0000" w:usb2="00000000" w:usb3="00000000" w:csb0="00040000" w:csb1="00000000"/>
    <w:embedRegular r:id="rId9" w:fontKey="{C666F0E3-4243-4214-9519-C195FEAC1B04}"/>
  </w:font>
  <w:font w:name="等线">
    <w:panose1 w:val="02010600030101010101"/>
    <w:charset w:val="86"/>
    <w:family w:val="auto"/>
    <w:pitch w:val="default"/>
    <w:sig w:usb0="A00002BF" w:usb1="38CF7CFA" w:usb2="00000016" w:usb3="00000000" w:csb0="0004000F" w:csb1="00000000"/>
    <w:embedRegular r:id="rId10" w:fontKey="{16E7AFCC-25F9-4E4C-82ED-E135F84839E9}"/>
  </w:font>
  <w:font w:name="Segoe UI Symbol">
    <w:panose1 w:val="020B0502040204020203"/>
    <w:charset w:val="00"/>
    <w:family w:val="swiss"/>
    <w:pitch w:val="default"/>
    <w:sig w:usb0="800001E3" w:usb1="1200FFEF" w:usb2="00040000" w:usb3="04000000" w:csb0="00000001" w:csb1="40000000"/>
    <w:embedRegular r:id="rId11" w:fontKey="{7FE67A6F-BB10-4D2D-A4DC-273D8E72CCAC}"/>
  </w:font>
  <w:font w:name="楷体">
    <w:panose1 w:val="02010609060101010101"/>
    <w:charset w:val="86"/>
    <w:family w:val="auto"/>
    <w:pitch w:val="default"/>
    <w:sig w:usb0="800002BF" w:usb1="38CF7CFA" w:usb2="00000016" w:usb3="00000000" w:csb0="00040001" w:csb1="00000000"/>
  </w:font>
  <w:font w:name="WPSEMBED1">
    <w:panose1 w:val="02010600040101010101"/>
    <w:charset w:val="86"/>
    <w:family w:val="auto"/>
    <w:pitch w:val="default"/>
    <w:sig w:usb0="00000287" w:usb1="080F0000" w:usb2="00000000" w:usb3="00000000" w:csb0="0004009F" w:csb1="DFD70000"/>
  </w:font>
  <w:font w:name="WPSEMBED2">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A7C24">
    <w:pPr>
      <w:pStyle w:val="28"/>
      <w:ind w:firstLine="360"/>
      <w:rPr>
        <w:rStyle w:val="45"/>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B19697">
                          <w:pPr>
                            <w:pStyle w:val="28"/>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B19697">
                    <w:pPr>
                      <w:pStyle w:val="28"/>
                    </w:pPr>
                    <w:r>
                      <w:fldChar w:fldCharType="begin"/>
                    </w:r>
                    <w:r>
                      <w:instrText xml:space="preserve"> PAGE  \* MERGEFORMAT </w:instrText>
                    </w:r>
                    <w:r>
                      <w:fldChar w:fldCharType="separate"/>
                    </w:r>
                    <w:r>
                      <w:t>I</w:t>
                    </w:r>
                    <w:r>
                      <w:fldChar w:fldCharType="end"/>
                    </w:r>
                  </w:p>
                </w:txbxContent>
              </v:textbox>
            </v:shape>
          </w:pict>
        </mc:Fallback>
      </mc:AlternateContent>
    </w:r>
  </w:p>
  <w:p w14:paraId="280804C1">
    <w:pPr>
      <w:pStyle w:val="28"/>
      <w:jc w:val="both"/>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AA0F7">
    <w:pPr>
      <w:pStyle w:val="28"/>
      <w:framePr w:wrap="around" w:vAnchor="text" w:hAnchor="margin" w:xAlign="center" w:y="1"/>
      <w:ind w:firstLine="360"/>
      <w:rPr>
        <w:rStyle w:val="45"/>
      </w:rPr>
    </w:pPr>
    <w:r>
      <w:fldChar w:fldCharType="begin"/>
    </w:r>
    <w:r>
      <w:rPr>
        <w:rStyle w:val="45"/>
      </w:rPr>
      <w:instrText xml:space="preserve">PAGE  </w:instrText>
    </w:r>
    <w:r>
      <w:fldChar w:fldCharType="separate"/>
    </w:r>
    <w:r>
      <w:fldChar w:fldCharType="end"/>
    </w:r>
  </w:p>
  <w:p w14:paraId="77B56EF3">
    <w:pPr>
      <w:pStyle w:val="2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1A279">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09B13">
    <w:pPr>
      <w:pStyle w:val="28"/>
      <w:ind w:firstLine="360"/>
      <w:rPr>
        <w:rStyle w:val="45"/>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29D4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A829D4C">
                    <w:pPr>
                      <w:pStyle w:val="28"/>
                    </w:pPr>
                    <w:r>
                      <w:fldChar w:fldCharType="begin"/>
                    </w:r>
                    <w:r>
                      <w:instrText xml:space="preserve"> PAGE  \* MERGEFORMAT </w:instrText>
                    </w:r>
                    <w:r>
                      <w:fldChar w:fldCharType="separate"/>
                    </w:r>
                    <w:r>
                      <w:t>1</w:t>
                    </w:r>
                    <w:r>
                      <w:fldChar w:fldCharType="end"/>
                    </w:r>
                  </w:p>
                </w:txbxContent>
              </v:textbox>
            </v:shape>
          </w:pict>
        </mc:Fallback>
      </mc:AlternateContent>
    </w:r>
  </w:p>
  <w:p w14:paraId="3732C4E5">
    <w:pPr>
      <w:pStyle w:val="28"/>
      <w:jc w:val="both"/>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10769">
    <w:pPr>
      <w:pStyle w:val="29"/>
      <w:pBdr>
        <w:bottom w:val="none" w:color="auto" w:sz="0" w:space="1"/>
      </w:pBdr>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A7C18">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87E828"/>
    <w:multiLevelType w:val="singleLevel"/>
    <w:tmpl w:val="F087E828"/>
    <w:lvl w:ilvl="0" w:tentative="0">
      <w:start w:val="5"/>
      <w:numFmt w:val="chineseCounting"/>
      <w:suff w:val="space"/>
      <w:lvlText w:val="第%1章"/>
      <w:lvlJc w:val="left"/>
      <w:rPr>
        <w:rFonts w:hint="eastAsia"/>
      </w:rPr>
    </w:lvl>
  </w:abstractNum>
  <w:abstractNum w:abstractNumId="1">
    <w:nsid w:val="0000000A"/>
    <w:multiLevelType w:val="singleLevel"/>
    <w:tmpl w:val="0000000A"/>
    <w:lvl w:ilvl="0" w:tentative="0">
      <w:start w:val="1"/>
      <w:numFmt w:val="bullet"/>
      <w:pStyle w:val="152"/>
      <w:lvlText w:val=""/>
      <w:lvlJc w:val="left"/>
      <w:pPr>
        <w:tabs>
          <w:tab w:val="left" w:pos="360"/>
        </w:tabs>
        <w:ind w:left="360" w:hanging="360"/>
      </w:pPr>
      <w:rPr>
        <w:rFonts w:hint="default" w:ascii="Wingdings" w:hAnsi="Wingdings"/>
      </w:rPr>
    </w:lvl>
  </w:abstractNum>
  <w:abstractNum w:abstractNumId="2">
    <w:nsid w:val="0000000B"/>
    <w:multiLevelType w:val="singleLevel"/>
    <w:tmpl w:val="0000000B"/>
    <w:lvl w:ilvl="0" w:tentative="0">
      <w:start w:val="1"/>
      <w:numFmt w:val="bullet"/>
      <w:pStyle w:val="67"/>
      <w:lvlText w:val=""/>
      <w:lvlJc w:val="left"/>
      <w:pPr>
        <w:tabs>
          <w:tab w:val="left" w:pos="1620"/>
        </w:tabs>
        <w:ind w:left="1620" w:hanging="360"/>
      </w:pPr>
      <w:rPr>
        <w:rFonts w:hint="default" w:ascii="Wingdings" w:hAnsi="Wingdings"/>
      </w:rPr>
    </w:lvl>
  </w:abstractNum>
  <w:abstractNum w:abstractNumId="3">
    <w:nsid w:val="0000000C"/>
    <w:multiLevelType w:val="multilevel"/>
    <w:tmpl w:val="0000000C"/>
    <w:lvl w:ilvl="0" w:tentative="0">
      <w:start w:val="4"/>
      <w:numFmt w:val="taiwaneseCountingThousand"/>
      <w:lvlText w:val="%1、"/>
      <w:lvlJc w:val="left"/>
      <w:pPr>
        <w:tabs>
          <w:tab w:val="left" w:pos="720"/>
        </w:tabs>
        <w:ind w:left="720" w:hanging="720"/>
      </w:pPr>
      <w:rPr>
        <w:rFonts w:hint="eastAsia"/>
      </w:rPr>
    </w:lvl>
    <w:lvl w:ilvl="1" w:tentative="0">
      <w:start w:val="1"/>
      <w:numFmt w:val="upperLetter"/>
      <w:pStyle w:val="5"/>
      <w:lvlText w:val="%2、"/>
      <w:lvlJc w:val="left"/>
      <w:pPr>
        <w:tabs>
          <w:tab w:val="left" w:pos="1353"/>
        </w:tabs>
        <w:ind w:left="1353" w:hanging="360"/>
      </w:pPr>
      <w:rPr>
        <w:rFonts w:hint="eastAsia" w:ascii="Times New Roman" w:hAnsi="Times New Roman" w:eastAsia="宋体"/>
        <w:sz w:val="21"/>
      </w:r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abstractNum w:abstractNumId="4">
    <w:nsid w:val="3E334E3B"/>
    <w:multiLevelType w:val="singleLevel"/>
    <w:tmpl w:val="3E334E3B"/>
    <w:lvl w:ilvl="0" w:tentative="0">
      <w:start w:val="2"/>
      <w:numFmt w:val="chineseCounting"/>
      <w:suff w:val="nothing"/>
      <w:lvlText w:val="%1、"/>
      <w:lvlJc w:val="left"/>
      <w:rPr>
        <w:rFonts w:hint="eastAsia"/>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iMmQxYzJiOGU1MzYzNDRmZjZhN2Q0YjEyNWIxZjUifQ=="/>
    <w:docVar w:name="KSO_WPS_MARK_KEY" w:val="63677489-e234-4839-9771-fc11fd608713"/>
  </w:docVars>
  <w:rsids>
    <w:rsidRoot w:val="00172A27"/>
    <w:rsid w:val="0000131E"/>
    <w:rsid w:val="00002809"/>
    <w:rsid w:val="000028CC"/>
    <w:rsid w:val="00002A15"/>
    <w:rsid w:val="00005419"/>
    <w:rsid w:val="000054EA"/>
    <w:rsid w:val="00011232"/>
    <w:rsid w:val="00011457"/>
    <w:rsid w:val="000119EF"/>
    <w:rsid w:val="00011C81"/>
    <w:rsid w:val="00012C19"/>
    <w:rsid w:val="0001324B"/>
    <w:rsid w:val="00014CA4"/>
    <w:rsid w:val="00016D03"/>
    <w:rsid w:val="00017568"/>
    <w:rsid w:val="00017A5B"/>
    <w:rsid w:val="00020AA2"/>
    <w:rsid w:val="000211D8"/>
    <w:rsid w:val="000219C8"/>
    <w:rsid w:val="00022270"/>
    <w:rsid w:val="00022D8E"/>
    <w:rsid w:val="00023BB3"/>
    <w:rsid w:val="000243F2"/>
    <w:rsid w:val="000273F3"/>
    <w:rsid w:val="000275ED"/>
    <w:rsid w:val="0003047F"/>
    <w:rsid w:val="00032C2E"/>
    <w:rsid w:val="00034315"/>
    <w:rsid w:val="00036A36"/>
    <w:rsid w:val="000370C9"/>
    <w:rsid w:val="00037497"/>
    <w:rsid w:val="0003796F"/>
    <w:rsid w:val="00037E15"/>
    <w:rsid w:val="0004039C"/>
    <w:rsid w:val="0004153F"/>
    <w:rsid w:val="00045415"/>
    <w:rsid w:val="000460AF"/>
    <w:rsid w:val="000461CD"/>
    <w:rsid w:val="0004642C"/>
    <w:rsid w:val="00046B58"/>
    <w:rsid w:val="00047454"/>
    <w:rsid w:val="0005151A"/>
    <w:rsid w:val="00051D74"/>
    <w:rsid w:val="00051F63"/>
    <w:rsid w:val="00053A00"/>
    <w:rsid w:val="00054D10"/>
    <w:rsid w:val="00054F91"/>
    <w:rsid w:val="000556C0"/>
    <w:rsid w:val="00055D59"/>
    <w:rsid w:val="00056653"/>
    <w:rsid w:val="00056A1C"/>
    <w:rsid w:val="00056F76"/>
    <w:rsid w:val="00062147"/>
    <w:rsid w:val="000633BF"/>
    <w:rsid w:val="00063D08"/>
    <w:rsid w:val="00064F98"/>
    <w:rsid w:val="00065328"/>
    <w:rsid w:val="00066370"/>
    <w:rsid w:val="00066755"/>
    <w:rsid w:val="000668E3"/>
    <w:rsid w:val="00067369"/>
    <w:rsid w:val="00067E6B"/>
    <w:rsid w:val="0007101C"/>
    <w:rsid w:val="0007140F"/>
    <w:rsid w:val="000719A2"/>
    <w:rsid w:val="00071AB3"/>
    <w:rsid w:val="0007296F"/>
    <w:rsid w:val="0007441A"/>
    <w:rsid w:val="0007722E"/>
    <w:rsid w:val="000774F3"/>
    <w:rsid w:val="0008175B"/>
    <w:rsid w:val="00081AA9"/>
    <w:rsid w:val="00082331"/>
    <w:rsid w:val="0008238A"/>
    <w:rsid w:val="00082BCE"/>
    <w:rsid w:val="000838EB"/>
    <w:rsid w:val="00084295"/>
    <w:rsid w:val="000843E7"/>
    <w:rsid w:val="00085BBA"/>
    <w:rsid w:val="0008713A"/>
    <w:rsid w:val="000915E0"/>
    <w:rsid w:val="00091D6B"/>
    <w:rsid w:val="00092674"/>
    <w:rsid w:val="00092FBD"/>
    <w:rsid w:val="0009331F"/>
    <w:rsid w:val="00095B25"/>
    <w:rsid w:val="00095C01"/>
    <w:rsid w:val="000976F3"/>
    <w:rsid w:val="00097964"/>
    <w:rsid w:val="000A26FF"/>
    <w:rsid w:val="000A3028"/>
    <w:rsid w:val="000A36E1"/>
    <w:rsid w:val="000A477D"/>
    <w:rsid w:val="000A4A11"/>
    <w:rsid w:val="000A7B96"/>
    <w:rsid w:val="000B27F0"/>
    <w:rsid w:val="000B3BA4"/>
    <w:rsid w:val="000B469E"/>
    <w:rsid w:val="000B5FC6"/>
    <w:rsid w:val="000B607D"/>
    <w:rsid w:val="000B627E"/>
    <w:rsid w:val="000B76E6"/>
    <w:rsid w:val="000C105A"/>
    <w:rsid w:val="000C2210"/>
    <w:rsid w:val="000C22F0"/>
    <w:rsid w:val="000C349E"/>
    <w:rsid w:val="000C37C6"/>
    <w:rsid w:val="000C47F9"/>
    <w:rsid w:val="000C4F1B"/>
    <w:rsid w:val="000C74E0"/>
    <w:rsid w:val="000D09F0"/>
    <w:rsid w:val="000D427E"/>
    <w:rsid w:val="000D4CAC"/>
    <w:rsid w:val="000D52DB"/>
    <w:rsid w:val="000E4804"/>
    <w:rsid w:val="000E4912"/>
    <w:rsid w:val="000E5459"/>
    <w:rsid w:val="000E5E61"/>
    <w:rsid w:val="000E732A"/>
    <w:rsid w:val="000F098F"/>
    <w:rsid w:val="000F17EB"/>
    <w:rsid w:val="000F1F1C"/>
    <w:rsid w:val="000F375E"/>
    <w:rsid w:val="000F481E"/>
    <w:rsid w:val="000F551D"/>
    <w:rsid w:val="000F63E9"/>
    <w:rsid w:val="00100F1E"/>
    <w:rsid w:val="0010232B"/>
    <w:rsid w:val="00103713"/>
    <w:rsid w:val="00105585"/>
    <w:rsid w:val="00106728"/>
    <w:rsid w:val="00106C9C"/>
    <w:rsid w:val="00106FAB"/>
    <w:rsid w:val="0010746E"/>
    <w:rsid w:val="00107CF9"/>
    <w:rsid w:val="0011079A"/>
    <w:rsid w:val="00110F1A"/>
    <w:rsid w:val="00111459"/>
    <w:rsid w:val="0011278C"/>
    <w:rsid w:val="00114CCF"/>
    <w:rsid w:val="001156FA"/>
    <w:rsid w:val="001169DD"/>
    <w:rsid w:val="00116D18"/>
    <w:rsid w:val="00117D91"/>
    <w:rsid w:val="00120C88"/>
    <w:rsid w:val="001212E9"/>
    <w:rsid w:val="00124552"/>
    <w:rsid w:val="0012466E"/>
    <w:rsid w:val="00126708"/>
    <w:rsid w:val="0013017F"/>
    <w:rsid w:val="00130250"/>
    <w:rsid w:val="0013063F"/>
    <w:rsid w:val="00132FA8"/>
    <w:rsid w:val="00137016"/>
    <w:rsid w:val="0014096F"/>
    <w:rsid w:val="00143D80"/>
    <w:rsid w:val="001461B5"/>
    <w:rsid w:val="0014782A"/>
    <w:rsid w:val="0015022D"/>
    <w:rsid w:val="00151E81"/>
    <w:rsid w:val="00152EC3"/>
    <w:rsid w:val="00157B28"/>
    <w:rsid w:val="001606EB"/>
    <w:rsid w:val="00160AA0"/>
    <w:rsid w:val="00160AAF"/>
    <w:rsid w:val="00161D66"/>
    <w:rsid w:val="001624CA"/>
    <w:rsid w:val="00162A98"/>
    <w:rsid w:val="00164138"/>
    <w:rsid w:val="00164773"/>
    <w:rsid w:val="0016516D"/>
    <w:rsid w:val="0016581A"/>
    <w:rsid w:val="00165E10"/>
    <w:rsid w:val="00166F19"/>
    <w:rsid w:val="001675F3"/>
    <w:rsid w:val="00167CC5"/>
    <w:rsid w:val="0017154E"/>
    <w:rsid w:val="00171F48"/>
    <w:rsid w:val="001731F4"/>
    <w:rsid w:val="0017394D"/>
    <w:rsid w:val="0017520D"/>
    <w:rsid w:val="001756A5"/>
    <w:rsid w:val="00175F32"/>
    <w:rsid w:val="001772FB"/>
    <w:rsid w:val="0017739C"/>
    <w:rsid w:val="001800B4"/>
    <w:rsid w:val="00180954"/>
    <w:rsid w:val="00180FE4"/>
    <w:rsid w:val="001817D0"/>
    <w:rsid w:val="00182F27"/>
    <w:rsid w:val="00183872"/>
    <w:rsid w:val="001859DA"/>
    <w:rsid w:val="00187333"/>
    <w:rsid w:val="00190CC2"/>
    <w:rsid w:val="0019194B"/>
    <w:rsid w:val="00193BF6"/>
    <w:rsid w:val="00194109"/>
    <w:rsid w:val="00196864"/>
    <w:rsid w:val="001969CC"/>
    <w:rsid w:val="001A232A"/>
    <w:rsid w:val="001A277B"/>
    <w:rsid w:val="001A48EA"/>
    <w:rsid w:val="001A503D"/>
    <w:rsid w:val="001A7D2E"/>
    <w:rsid w:val="001B0C10"/>
    <w:rsid w:val="001B1B7D"/>
    <w:rsid w:val="001B1D23"/>
    <w:rsid w:val="001C0C1E"/>
    <w:rsid w:val="001C1F00"/>
    <w:rsid w:val="001C2AC8"/>
    <w:rsid w:val="001C50D1"/>
    <w:rsid w:val="001C61B7"/>
    <w:rsid w:val="001D02A7"/>
    <w:rsid w:val="001D10A6"/>
    <w:rsid w:val="001D12D3"/>
    <w:rsid w:val="001D2BD9"/>
    <w:rsid w:val="001D2D91"/>
    <w:rsid w:val="001D32F6"/>
    <w:rsid w:val="001D3E6A"/>
    <w:rsid w:val="001D4C04"/>
    <w:rsid w:val="001D523D"/>
    <w:rsid w:val="001D5DBD"/>
    <w:rsid w:val="001D60C0"/>
    <w:rsid w:val="001D6913"/>
    <w:rsid w:val="001E11A1"/>
    <w:rsid w:val="001E22D3"/>
    <w:rsid w:val="001E5AF1"/>
    <w:rsid w:val="001E5DD1"/>
    <w:rsid w:val="001F0D34"/>
    <w:rsid w:val="001F19ED"/>
    <w:rsid w:val="001F304C"/>
    <w:rsid w:val="001F4699"/>
    <w:rsid w:val="001F5360"/>
    <w:rsid w:val="001F62F7"/>
    <w:rsid w:val="001F7058"/>
    <w:rsid w:val="00202289"/>
    <w:rsid w:val="00202582"/>
    <w:rsid w:val="0020317B"/>
    <w:rsid w:val="00203FD8"/>
    <w:rsid w:val="0021005D"/>
    <w:rsid w:val="002101B9"/>
    <w:rsid w:val="002105BD"/>
    <w:rsid w:val="00210E1F"/>
    <w:rsid w:val="00211765"/>
    <w:rsid w:val="0021199C"/>
    <w:rsid w:val="002207A4"/>
    <w:rsid w:val="002208B2"/>
    <w:rsid w:val="00220DA0"/>
    <w:rsid w:val="00221EA9"/>
    <w:rsid w:val="00223BBE"/>
    <w:rsid w:val="002244AD"/>
    <w:rsid w:val="00224786"/>
    <w:rsid w:val="00224D28"/>
    <w:rsid w:val="00225A49"/>
    <w:rsid w:val="00226084"/>
    <w:rsid w:val="00226CA9"/>
    <w:rsid w:val="00227CE4"/>
    <w:rsid w:val="00227D69"/>
    <w:rsid w:val="00227EC6"/>
    <w:rsid w:val="00231B83"/>
    <w:rsid w:val="002320F4"/>
    <w:rsid w:val="0023375E"/>
    <w:rsid w:val="002345BF"/>
    <w:rsid w:val="00234682"/>
    <w:rsid w:val="00235132"/>
    <w:rsid w:val="00236E83"/>
    <w:rsid w:val="00237CA1"/>
    <w:rsid w:val="00240794"/>
    <w:rsid w:val="0024125A"/>
    <w:rsid w:val="00244101"/>
    <w:rsid w:val="0024518F"/>
    <w:rsid w:val="00246545"/>
    <w:rsid w:val="00247124"/>
    <w:rsid w:val="00247143"/>
    <w:rsid w:val="002479A7"/>
    <w:rsid w:val="00251672"/>
    <w:rsid w:val="00251D3B"/>
    <w:rsid w:val="00253519"/>
    <w:rsid w:val="00254AC6"/>
    <w:rsid w:val="002552A1"/>
    <w:rsid w:val="00255583"/>
    <w:rsid w:val="002565D1"/>
    <w:rsid w:val="00260D04"/>
    <w:rsid w:val="00260EA2"/>
    <w:rsid w:val="002613BF"/>
    <w:rsid w:val="002649E8"/>
    <w:rsid w:val="00265C75"/>
    <w:rsid w:val="00265D99"/>
    <w:rsid w:val="00266CA5"/>
    <w:rsid w:val="00271428"/>
    <w:rsid w:val="0027282B"/>
    <w:rsid w:val="00273389"/>
    <w:rsid w:val="00273685"/>
    <w:rsid w:val="00273E86"/>
    <w:rsid w:val="00275572"/>
    <w:rsid w:val="00275DEF"/>
    <w:rsid w:val="00276C14"/>
    <w:rsid w:val="002837A5"/>
    <w:rsid w:val="00284A5E"/>
    <w:rsid w:val="00285772"/>
    <w:rsid w:val="00286A54"/>
    <w:rsid w:val="0029022D"/>
    <w:rsid w:val="00292EDE"/>
    <w:rsid w:val="00293288"/>
    <w:rsid w:val="00293784"/>
    <w:rsid w:val="00293B87"/>
    <w:rsid w:val="00294A06"/>
    <w:rsid w:val="00294EAF"/>
    <w:rsid w:val="002977D1"/>
    <w:rsid w:val="002A0CC4"/>
    <w:rsid w:val="002A2ABB"/>
    <w:rsid w:val="002A3341"/>
    <w:rsid w:val="002A4260"/>
    <w:rsid w:val="002A5B4D"/>
    <w:rsid w:val="002B0376"/>
    <w:rsid w:val="002B0639"/>
    <w:rsid w:val="002B0C14"/>
    <w:rsid w:val="002B24A2"/>
    <w:rsid w:val="002B2A24"/>
    <w:rsid w:val="002B41D7"/>
    <w:rsid w:val="002B5134"/>
    <w:rsid w:val="002B5A9D"/>
    <w:rsid w:val="002B7AC1"/>
    <w:rsid w:val="002B7AD9"/>
    <w:rsid w:val="002C04C2"/>
    <w:rsid w:val="002C1257"/>
    <w:rsid w:val="002C29DF"/>
    <w:rsid w:val="002C2DD7"/>
    <w:rsid w:val="002C336C"/>
    <w:rsid w:val="002C4E42"/>
    <w:rsid w:val="002C5327"/>
    <w:rsid w:val="002C59EC"/>
    <w:rsid w:val="002C62D0"/>
    <w:rsid w:val="002C728D"/>
    <w:rsid w:val="002D16A0"/>
    <w:rsid w:val="002D42CB"/>
    <w:rsid w:val="002D5E3E"/>
    <w:rsid w:val="002D7E2E"/>
    <w:rsid w:val="002E0C0D"/>
    <w:rsid w:val="002E15CE"/>
    <w:rsid w:val="002E322A"/>
    <w:rsid w:val="002E3660"/>
    <w:rsid w:val="002E548A"/>
    <w:rsid w:val="002E5B1D"/>
    <w:rsid w:val="002E6CC9"/>
    <w:rsid w:val="002E6E17"/>
    <w:rsid w:val="002E765C"/>
    <w:rsid w:val="002F1590"/>
    <w:rsid w:val="002F24B2"/>
    <w:rsid w:val="002F2AAF"/>
    <w:rsid w:val="002F4C44"/>
    <w:rsid w:val="002F56F4"/>
    <w:rsid w:val="00300D33"/>
    <w:rsid w:val="0030185E"/>
    <w:rsid w:val="00301A14"/>
    <w:rsid w:val="00304546"/>
    <w:rsid w:val="00305BE7"/>
    <w:rsid w:val="003108F8"/>
    <w:rsid w:val="0031162C"/>
    <w:rsid w:val="003119BC"/>
    <w:rsid w:val="00313404"/>
    <w:rsid w:val="00314833"/>
    <w:rsid w:val="00314BEB"/>
    <w:rsid w:val="003162D5"/>
    <w:rsid w:val="003163AD"/>
    <w:rsid w:val="003170BE"/>
    <w:rsid w:val="00317AC8"/>
    <w:rsid w:val="00320521"/>
    <w:rsid w:val="00320988"/>
    <w:rsid w:val="00323026"/>
    <w:rsid w:val="00323781"/>
    <w:rsid w:val="00323B59"/>
    <w:rsid w:val="00324731"/>
    <w:rsid w:val="003251F6"/>
    <w:rsid w:val="00325DCF"/>
    <w:rsid w:val="003276F4"/>
    <w:rsid w:val="003303C5"/>
    <w:rsid w:val="00330AF6"/>
    <w:rsid w:val="003334D7"/>
    <w:rsid w:val="00333615"/>
    <w:rsid w:val="003355DC"/>
    <w:rsid w:val="00335C55"/>
    <w:rsid w:val="0033697C"/>
    <w:rsid w:val="003373AD"/>
    <w:rsid w:val="00337AD3"/>
    <w:rsid w:val="0034086E"/>
    <w:rsid w:val="00340912"/>
    <w:rsid w:val="0034100D"/>
    <w:rsid w:val="00341614"/>
    <w:rsid w:val="00342842"/>
    <w:rsid w:val="003442A5"/>
    <w:rsid w:val="00346BE5"/>
    <w:rsid w:val="00347CFC"/>
    <w:rsid w:val="00350977"/>
    <w:rsid w:val="0035464D"/>
    <w:rsid w:val="00354993"/>
    <w:rsid w:val="003557C9"/>
    <w:rsid w:val="00356C17"/>
    <w:rsid w:val="00364B16"/>
    <w:rsid w:val="0036657D"/>
    <w:rsid w:val="00367787"/>
    <w:rsid w:val="0037004A"/>
    <w:rsid w:val="003757AE"/>
    <w:rsid w:val="003769E1"/>
    <w:rsid w:val="003772BC"/>
    <w:rsid w:val="003775D2"/>
    <w:rsid w:val="0038482C"/>
    <w:rsid w:val="00386630"/>
    <w:rsid w:val="003867EF"/>
    <w:rsid w:val="00386878"/>
    <w:rsid w:val="00386F08"/>
    <w:rsid w:val="00394A39"/>
    <w:rsid w:val="003955CE"/>
    <w:rsid w:val="00396979"/>
    <w:rsid w:val="00397A1B"/>
    <w:rsid w:val="003A01E2"/>
    <w:rsid w:val="003A2216"/>
    <w:rsid w:val="003A233D"/>
    <w:rsid w:val="003A2906"/>
    <w:rsid w:val="003A2A68"/>
    <w:rsid w:val="003A60C1"/>
    <w:rsid w:val="003A6E76"/>
    <w:rsid w:val="003B1637"/>
    <w:rsid w:val="003B19D8"/>
    <w:rsid w:val="003B21A2"/>
    <w:rsid w:val="003B2C0B"/>
    <w:rsid w:val="003B3181"/>
    <w:rsid w:val="003B3B06"/>
    <w:rsid w:val="003B3BF2"/>
    <w:rsid w:val="003B5F77"/>
    <w:rsid w:val="003B6FD3"/>
    <w:rsid w:val="003C01E7"/>
    <w:rsid w:val="003C26F6"/>
    <w:rsid w:val="003C6D5D"/>
    <w:rsid w:val="003C74B6"/>
    <w:rsid w:val="003C7D3C"/>
    <w:rsid w:val="003D18E6"/>
    <w:rsid w:val="003D7C7B"/>
    <w:rsid w:val="003E0FEC"/>
    <w:rsid w:val="003E2491"/>
    <w:rsid w:val="003E2B23"/>
    <w:rsid w:val="003E3816"/>
    <w:rsid w:val="003E47F2"/>
    <w:rsid w:val="003E49C5"/>
    <w:rsid w:val="003E5C5D"/>
    <w:rsid w:val="003E5E0E"/>
    <w:rsid w:val="003F0884"/>
    <w:rsid w:val="003F18A4"/>
    <w:rsid w:val="003F1DDA"/>
    <w:rsid w:val="003F2369"/>
    <w:rsid w:val="003F3069"/>
    <w:rsid w:val="003F3B61"/>
    <w:rsid w:val="003F689F"/>
    <w:rsid w:val="003F743B"/>
    <w:rsid w:val="00400C65"/>
    <w:rsid w:val="00401FC0"/>
    <w:rsid w:val="00403AAF"/>
    <w:rsid w:val="00403CB5"/>
    <w:rsid w:val="004043D3"/>
    <w:rsid w:val="004044EF"/>
    <w:rsid w:val="00405466"/>
    <w:rsid w:val="00407292"/>
    <w:rsid w:val="00407347"/>
    <w:rsid w:val="00411060"/>
    <w:rsid w:val="004134E4"/>
    <w:rsid w:val="00414DCA"/>
    <w:rsid w:val="00414F6A"/>
    <w:rsid w:val="0041759D"/>
    <w:rsid w:val="00417837"/>
    <w:rsid w:val="00417BA0"/>
    <w:rsid w:val="0042069F"/>
    <w:rsid w:val="00423819"/>
    <w:rsid w:val="00423E75"/>
    <w:rsid w:val="00424A79"/>
    <w:rsid w:val="00424CC1"/>
    <w:rsid w:val="0042707F"/>
    <w:rsid w:val="00430289"/>
    <w:rsid w:val="00434C04"/>
    <w:rsid w:val="00435288"/>
    <w:rsid w:val="00435300"/>
    <w:rsid w:val="00436EBA"/>
    <w:rsid w:val="00440675"/>
    <w:rsid w:val="00440C79"/>
    <w:rsid w:val="004418DA"/>
    <w:rsid w:val="00442698"/>
    <w:rsid w:val="00442979"/>
    <w:rsid w:val="00443417"/>
    <w:rsid w:val="004478D7"/>
    <w:rsid w:val="00451883"/>
    <w:rsid w:val="00452488"/>
    <w:rsid w:val="00452731"/>
    <w:rsid w:val="0045447E"/>
    <w:rsid w:val="00454C6E"/>
    <w:rsid w:val="00454C7E"/>
    <w:rsid w:val="00454FF7"/>
    <w:rsid w:val="004615E0"/>
    <w:rsid w:val="004643BA"/>
    <w:rsid w:val="004646E6"/>
    <w:rsid w:val="00464810"/>
    <w:rsid w:val="004674D6"/>
    <w:rsid w:val="00467ABB"/>
    <w:rsid w:val="00472523"/>
    <w:rsid w:val="00472977"/>
    <w:rsid w:val="00475272"/>
    <w:rsid w:val="004761D9"/>
    <w:rsid w:val="00476937"/>
    <w:rsid w:val="00477EAD"/>
    <w:rsid w:val="0048136D"/>
    <w:rsid w:val="00481D07"/>
    <w:rsid w:val="00481D3E"/>
    <w:rsid w:val="004845EE"/>
    <w:rsid w:val="00484BF2"/>
    <w:rsid w:val="00487465"/>
    <w:rsid w:val="004875A3"/>
    <w:rsid w:val="00487ADA"/>
    <w:rsid w:val="0049293B"/>
    <w:rsid w:val="00492D7F"/>
    <w:rsid w:val="00494D58"/>
    <w:rsid w:val="00495A02"/>
    <w:rsid w:val="00495A2F"/>
    <w:rsid w:val="00495E2F"/>
    <w:rsid w:val="00497245"/>
    <w:rsid w:val="0049789D"/>
    <w:rsid w:val="004A07DF"/>
    <w:rsid w:val="004A0A7F"/>
    <w:rsid w:val="004A106E"/>
    <w:rsid w:val="004A1FCA"/>
    <w:rsid w:val="004A2CB3"/>
    <w:rsid w:val="004A31C3"/>
    <w:rsid w:val="004A3748"/>
    <w:rsid w:val="004A412B"/>
    <w:rsid w:val="004B0389"/>
    <w:rsid w:val="004B2098"/>
    <w:rsid w:val="004B235D"/>
    <w:rsid w:val="004B2F6E"/>
    <w:rsid w:val="004B3F1B"/>
    <w:rsid w:val="004B42E5"/>
    <w:rsid w:val="004B5F0A"/>
    <w:rsid w:val="004B6174"/>
    <w:rsid w:val="004B6E0B"/>
    <w:rsid w:val="004B79C2"/>
    <w:rsid w:val="004C0573"/>
    <w:rsid w:val="004C164A"/>
    <w:rsid w:val="004C3FDB"/>
    <w:rsid w:val="004C4855"/>
    <w:rsid w:val="004C5A9A"/>
    <w:rsid w:val="004D09BD"/>
    <w:rsid w:val="004D09C0"/>
    <w:rsid w:val="004D3BAD"/>
    <w:rsid w:val="004D57CC"/>
    <w:rsid w:val="004D6BAD"/>
    <w:rsid w:val="004E0821"/>
    <w:rsid w:val="004E316D"/>
    <w:rsid w:val="004E380D"/>
    <w:rsid w:val="004E6342"/>
    <w:rsid w:val="004E705E"/>
    <w:rsid w:val="004E7C8C"/>
    <w:rsid w:val="004F02C5"/>
    <w:rsid w:val="004F1D5A"/>
    <w:rsid w:val="004F362E"/>
    <w:rsid w:val="004F3788"/>
    <w:rsid w:val="004F5BBF"/>
    <w:rsid w:val="00500DC4"/>
    <w:rsid w:val="005015D4"/>
    <w:rsid w:val="00504A10"/>
    <w:rsid w:val="00506C42"/>
    <w:rsid w:val="005072F8"/>
    <w:rsid w:val="0050755B"/>
    <w:rsid w:val="00507A04"/>
    <w:rsid w:val="005102F9"/>
    <w:rsid w:val="005106B2"/>
    <w:rsid w:val="005123F1"/>
    <w:rsid w:val="00512D0B"/>
    <w:rsid w:val="0051322A"/>
    <w:rsid w:val="00514CB4"/>
    <w:rsid w:val="005172D6"/>
    <w:rsid w:val="005214B4"/>
    <w:rsid w:val="00522594"/>
    <w:rsid w:val="00522D16"/>
    <w:rsid w:val="0052338A"/>
    <w:rsid w:val="00524C5B"/>
    <w:rsid w:val="00524D97"/>
    <w:rsid w:val="00524E20"/>
    <w:rsid w:val="005254DF"/>
    <w:rsid w:val="00525A1F"/>
    <w:rsid w:val="00526064"/>
    <w:rsid w:val="00527686"/>
    <w:rsid w:val="00530FCC"/>
    <w:rsid w:val="00531055"/>
    <w:rsid w:val="00531BF4"/>
    <w:rsid w:val="0053274B"/>
    <w:rsid w:val="00532A9E"/>
    <w:rsid w:val="00533B4B"/>
    <w:rsid w:val="005347F1"/>
    <w:rsid w:val="0053505E"/>
    <w:rsid w:val="00535759"/>
    <w:rsid w:val="00535FD5"/>
    <w:rsid w:val="00537C21"/>
    <w:rsid w:val="00537D6D"/>
    <w:rsid w:val="00541A92"/>
    <w:rsid w:val="00541D77"/>
    <w:rsid w:val="0054443E"/>
    <w:rsid w:val="00545018"/>
    <w:rsid w:val="005466AE"/>
    <w:rsid w:val="00546F41"/>
    <w:rsid w:val="00552B60"/>
    <w:rsid w:val="00553435"/>
    <w:rsid w:val="0055539D"/>
    <w:rsid w:val="00555D33"/>
    <w:rsid w:val="00556B35"/>
    <w:rsid w:val="00556D7D"/>
    <w:rsid w:val="0056017C"/>
    <w:rsid w:val="00560234"/>
    <w:rsid w:val="0056088E"/>
    <w:rsid w:val="00561CC1"/>
    <w:rsid w:val="005660F8"/>
    <w:rsid w:val="00570E28"/>
    <w:rsid w:val="005720A7"/>
    <w:rsid w:val="00572E72"/>
    <w:rsid w:val="005731A4"/>
    <w:rsid w:val="00575A74"/>
    <w:rsid w:val="00575B80"/>
    <w:rsid w:val="00576084"/>
    <w:rsid w:val="00580DA7"/>
    <w:rsid w:val="00581E4E"/>
    <w:rsid w:val="00581E51"/>
    <w:rsid w:val="0058460E"/>
    <w:rsid w:val="00584C0C"/>
    <w:rsid w:val="005875D6"/>
    <w:rsid w:val="00587A20"/>
    <w:rsid w:val="00587D40"/>
    <w:rsid w:val="00587E29"/>
    <w:rsid w:val="00591FAC"/>
    <w:rsid w:val="00595128"/>
    <w:rsid w:val="005960F7"/>
    <w:rsid w:val="00597898"/>
    <w:rsid w:val="005A06C9"/>
    <w:rsid w:val="005A1408"/>
    <w:rsid w:val="005A18EF"/>
    <w:rsid w:val="005A5D4A"/>
    <w:rsid w:val="005A763E"/>
    <w:rsid w:val="005A790A"/>
    <w:rsid w:val="005B2078"/>
    <w:rsid w:val="005B21EE"/>
    <w:rsid w:val="005B3FD0"/>
    <w:rsid w:val="005B43B7"/>
    <w:rsid w:val="005B51F8"/>
    <w:rsid w:val="005C2409"/>
    <w:rsid w:val="005C4E07"/>
    <w:rsid w:val="005C4F78"/>
    <w:rsid w:val="005C5A09"/>
    <w:rsid w:val="005C6A45"/>
    <w:rsid w:val="005C6CF5"/>
    <w:rsid w:val="005C6EA0"/>
    <w:rsid w:val="005C78BC"/>
    <w:rsid w:val="005D1863"/>
    <w:rsid w:val="005D3D41"/>
    <w:rsid w:val="005D3E2F"/>
    <w:rsid w:val="005D3EF9"/>
    <w:rsid w:val="005E0F15"/>
    <w:rsid w:val="005E1628"/>
    <w:rsid w:val="005E1899"/>
    <w:rsid w:val="005E299E"/>
    <w:rsid w:val="005E6844"/>
    <w:rsid w:val="005E7BCA"/>
    <w:rsid w:val="005E7DA9"/>
    <w:rsid w:val="005F3080"/>
    <w:rsid w:val="005F3F27"/>
    <w:rsid w:val="005F42B8"/>
    <w:rsid w:val="005F4968"/>
    <w:rsid w:val="005F502B"/>
    <w:rsid w:val="005F537B"/>
    <w:rsid w:val="005F7497"/>
    <w:rsid w:val="006002DA"/>
    <w:rsid w:val="006017F0"/>
    <w:rsid w:val="00601864"/>
    <w:rsid w:val="0060332C"/>
    <w:rsid w:val="0060341F"/>
    <w:rsid w:val="00603C5C"/>
    <w:rsid w:val="0060431F"/>
    <w:rsid w:val="006069BA"/>
    <w:rsid w:val="00607A81"/>
    <w:rsid w:val="00607ABC"/>
    <w:rsid w:val="00610FBA"/>
    <w:rsid w:val="00611127"/>
    <w:rsid w:val="0061344B"/>
    <w:rsid w:val="00613AAA"/>
    <w:rsid w:val="00617BE9"/>
    <w:rsid w:val="00617C99"/>
    <w:rsid w:val="00620240"/>
    <w:rsid w:val="00623277"/>
    <w:rsid w:val="00623FC1"/>
    <w:rsid w:val="00625991"/>
    <w:rsid w:val="006307E4"/>
    <w:rsid w:val="00630F83"/>
    <w:rsid w:val="00633316"/>
    <w:rsid w:val="006337F1"/>
    <w:rsid w:val="00635537"/>
    <w:rsid w:val="00635876"/>
    <w:rsid w:val="00635E1E"/>
    <w:rsid w:val="0063658F"/>
    <w:rsid w:val="00637205"/>
    <w:rsid w:val="00637E00"/>
    <w:rsid w:val="00637E6B"/>
    <w:rsid w:val="006400BA"/>
    <w:rsid w:val="006401EA"/>
    <w:rsid w:val="00644E02"/>
    <w:rsid w:val="0064692F"/>
    <w:rsid w:val="00646CA0"/>
    <w:rsid w:val="0064720A"/>
    <w:rsid w:val="00647232"/>
    <w:rsid w:val="0064767C"/>
    <w:rsid w:val="00647A8E"/>
    <w:rsid w:val="00650331"/>
    <w:rsid w:val="00651F14"/>
    <w:rsid w:val="00652E0C"/>
    <w:rsid w:val="00662711"/>
    <w:rsid w:val="00662E56"/>
    <w:rsid w:val="00663411"/>
    <w:rsid w:val="0066475C"/>
    <w:rsid w:val="006677CF"/>
    <w:rsid w:val="00671B2A"/>
    <w:rsid w:val="0067244F"/>
    <w:rsid w:val="00672AC7"/>
    <w:rsid w:val="006779DA"/>
    <w:rsid w:val="006805EF"/>
    <w:rsid w:val="006812AA"/>
    <w:rsid w:val="006814C9"/>
    <w:rsid w:val="00682006"/>
    <w:rsid w:val="00684B69"/>
    <w:rsid w:val="0068598F"/>
    <w:rsid w:val="00685BB4"/>
    <w:rsid w:val="006902C6"/>
    <w:rsid w:val="006905DB"/>
    <w:rsid w:val="00690BF3"/>
    <w:rsid w:val="0069313D"/>
    <w:rsid w:val="0069317E"/>
    <w:rsid w:val="0069331B"/>
    <w:rsid w:val="00693888"/>
    <w:rsid w:val="00694B14"/>
    <w:rsid w:val="00695882"/>
    <w:rsid w:val="00695F3B"/>
    <w:rsid w:val="00696CBA"/>
    <w:rsid w:val="006A084E"/>
    <w:rsid w:val="006A1ACD"/>
    <w:rsid w:val="006A2F4D"/>
    <w:rsid w:val="006A4432"/>
    <w:rsid w:val="006A677A"/>
    <w:rsid w:val="006B0552"/>
    <w:rsid w:val="006B14D4"/>
    <w:rsid w:val="006B23F6"/>
    <w:rsid w:val="006B2AD6"/>
    <w:rsid w:val="006B2D90"/>
    <w:rsid w:val="006B46EA"/>
    <w:rsid w:val="006B4FF5"/>
    <w:rsid w:val="006B748C"/>
    <w:rsid w:val="006C0F87"/>
    <w:rsid w:val="006C1C07"/>
    <w:rsid w:val="006C222A"/>
    <w:rsid w:val="006C301A"/>
    <w:rsid w:val="006C32EB"/>
    <w:rsid w:val="006C5D8D"/>
    <w:rsid w:val="006C67B5"/>
    <w:rsid w:val="006D11A6"/>
    <w:rsid w:val="006D1B97"/>
    <w:rsid w:val="006D348E"/>
    <w:rsid w:val="006D3AFF"/>
    <w:rsid w:val="006D42ED"/>
    <w:rsid w:val="006D440F"/>
    <w:rsid w:val="006D6D7E"/>
    <w:rsid w:val="006E036B"/>
    <w:rsid w:val="006E0FDD"/>
    <w:rsid w:val="006E25FD"/>
    <w:rsid w:val="006E4613"/>
    <w:rsid w:val="006E5AAD"/>
    <w:rsid w:val="006E5FD9"/>
    <w:rsid w:val="006E6EFD"/>
    <w:rsid w:val="006E7A1D"/>
    <w:rsid w:val="006E7E19"/>
    <w:rsid w:val="006F04D2"/>
    <w:rsid w:val="006F126D"/>
    <w:rsid w:val="006F2831"/>
    <w:rsid w:val="006F35F1"/>
    <w:rsid w:val="006F6CDA"/>
    <w:rsid w:val="00700271"/>
    <w:rsid w:val="00700441"/>
    <w:rsid w:val="00703108"/>
    <w:rsid w:val="007035AF"/>
    <w:rsid w:val="00704793"/>
    <w:rsid w:val="00704A67"/>
    <w:rsid w:val="00705002"/>
    <w:rsid w:val="00705E8F"/>
    <w:rsid w:val="0070738C"/>
    <w:rsid w:val="0071139D"/>
    <w:rsid w:val="007137EE"/>
    <w:rsid w:val="00713BF3"/>
    <w:rsid w:val="00714923"/>
    <w:rsid w:val="00714A8C"/>
    <w:rsid w:val="00715FEB"/>
    <w:rsid w:val="00717041"/>
    <w:rsid w:val="007208DB"/>
    <w:rsid w:val="00720939"/>
    <w:rsid w:val="007219AE"/>
    <w:rsid w:val="00724171"/>
    <w:rsid w:val="00725DA1"/>
    <w:rsid w:val="007300F0"/>
    <w:rsid w:val="00730332"/>
    <w:rsid w:val="00730743"/>
    <w:rsid w:val="00733743"/>
    <w:rsid w:val="00734466"/>
    <w:rsid w:val="00734CC3"/>
    <w:rsid w:val="00736876"/>
    <w:rsid w:val="007377E7"/>
    <w:rsid w:val="00737E80"/>
    <w:rsid w:val="00742448"/>
    <w:rsid w:val="0074408B"/>
    <w:rsid w:val="00745322"/>
    <w:rsid w:val="00747711"/>
    <w:rsid w:val="007515B7"/>
    <w:rsid w:val="0075295D"/>
    <w:rsid w:val="00753905"/>
    <w:rsid w:val="00754EA9"/>
    <w:rsid w:val="00756C66"/>
    <w:rsid w:val="00757862"/>
    <w:rsid w:val="00762B42"/>
    <w:rsid w:val="00763525"/>
    <w:rsid w:val="00763AF2"/>
    <w:rsid w:val="007645E6"/>
    <w:rsid w:val="007659F4"/>
    <w:rsid w:val="00765ABB"/>
    <w:rsid w:val="007749CB"/>
    <w:rsid w:val="00774AA9"/>
    <w:rsid w:val="0077732A"/>
    <w:rsid w:val="00780080"/>
    <w:rsid w:val="007804C7"/>
    <w:rsid w:val="00781EA5"/>
    <w:rsid w:val="00783911"/>
    <w:rsid w:val="007866DF"/>
    <w:rsid w:val="00790999"/>
    <w:rsid w:val="00791C19"/>
    <w:rsid w:val="00794F57"/>
    <w:rsid w:val="007960B2"/>
    <w:rsid w:val="007974A0"/>
    <w:rsid w:val="00797B88"/>
    <w:rsid w:val="00797E3C"/>
    <w:rsid w:val="007A0F07"/>
    <w:rsid w:val="007A26DA"/>
    <w:rsid w:val="007A2F8C"/>
    <w:rsid w:val="007A3DED"/>
    <w:rsid w:val="007A5857"/>
    <w:rsid w:val="007A6A97"/>
    <w:rsid w:val="007A7D96"/>
    <w:rsid w:val="007B13DB"/>
    <w:rsid w:val="007B352C"/>
    <w:rsid w:val="007B4C0A"/>
    <w:rsid w:val="007B62DF"/>
    <w:rsid w:val="007C18D9"/>
    <w:rsid w:val="007C56A6"/>
    <w:rsid w:val="007C57B9"/>
    <w:rsid w:val="007C5AFC"/>
    <w:rsid w:val="007C7D52"/>
    <w:rsid w:val="007D0F40"/>
    <w:rsid w:val="007D20F5"/>
    <w:rsid w:val="007D4131"/>
    <w:rsid w:val="007D4829"/>
    <w:rsid w:val="007D53FB"/>
    <w:rsid w:val="007D5843"/>
    <w:rsid w:val="007D7472"/>
    <w:rsid w:val="007E11E1"/>
    <w:rsid w:val="007E198C"/>
    <w:rsid w:val="007E36C6"/>
    <w:rsid w:val="007E37DC"/>
    <w:rsid w:val="007E38CD"/>
    <w:rsid w:val="007E58CE"/>
    <w:rsid w:val="007E6445"/>
    <w:rsid w:val="007E65CD"/>
    <w:rsid w:val="007F132A"/>
    <w:rsid w:val="007F19B5"/>
    <w:rsid w:val="007F1E0D"/>
    <w:rsid w:val="007F1FF6"/>
    <w:rsid w:val="007F27E5"/>
    <w:rsid w:val="007F4776"/>
    <w:rsid w:val="00804786"/>
    <w:rsid w:val="00805474"/>
    <w:rsid w:val="008055D2"/>
    <w:rsid w:val="008056DE"/>
    <w:rsid w:val="008065AB"/>
    <w:rsid w:val="00807424"/>
    <w:rsid w:val="0081028F"/>
    <w:rsid w:val="008102C5"/>
    <w:rsid w:val="00810CA3"/>
    <w:rsid w:val="0081187D"/>
    <w:rsid w:val="00811A19"/>
    <w:rsid w:val="00815338"/>
    <w:rsid w:val="0081650D"/>
    <w:rsid w:val="00817BAF"/>
    <w:rsid w:val="00817E00"/>
    <w:rsid w:val="00820BB7"/>
    <w:rsid w:val="00822381"/>
    <w:rsid w:val="00823142"/>
    <w:rsid w:val="0082500C"/>
    <w:rsid w:val="00827514"/>
    <w:rsid w:val="008306B6"/>
    <w:rsid w:val="00830C64"/>
    <w:rsid w:val="0083315A"/>
    <w:rsid w:val="00834BDE"/>
    <w:rsid w:val="00834DDC"/>
    <w:rsid w:val="00840C71"/>
    <w:rsid w:val="00840F0A"/>
    <w:rsid w:val="00843AF7"/>
    <w:rsid w:val="00845373"/>
    <w:rsid w:val="008455B2"/>
    <w:rsid w:val="00845CCA"/>
    <w:rsid w:val="00845E0E"/>
    <w:rsid w:val="00850801"/>
    <w:rsid w:val="008508C9"/>
    <w:rsid w:val="00851675"/>
    <w:rsid w:val="008521E0"/>
    <w:rsid w:val="0085458F"/>
    <w:rsid w:val="00855675"/>
    <w:rsid w:val="00856B34"/>
    <w:rsid w:val="0085762E"/>
    <w:rsid w:val="00857634"/>
    <w:rsid w:val="00860647"/>
    <w:rsid w:val="00860688"/>
    <w:rsid w:val="008618D7"/>
    <w:rsid w:val="00865331"/>
    <w:rsid w:val="00870137"/>
    <w:rsid w:val="00874BAD"/>
    <w:rsid w:val="00876971"/>
    <w:rsid w:val="008816B5"/>
    <w:rsid w:val="00881DC5"/>
    <w:rsid w:val="0088518B"/>
    <w:rsid w:val="0088561B"/>
    <w:rsid w:val="008861FD"/>
    <w:rsid w:val="008862E8"/>
    <w:rsid w:val="008864F3"/>
    <w:rsid w:val="00886685"/>
    <w:rsid w:val="0089081A"/>
    <w:rsid w:val="0089150C"/>
    <w:rsid w:val="008925AF"/>
    <w:rsid w:val="008A070C"/>
    <w:rsid w:val="008A1602"/>
    <w:rsid w:val="008A1B70"/>
    <w:rsid w:val="008A1F5F"/>
    <w:rsid w:val="008A2B56"/>
    <w:rsid w:val="008A2FCD"/>
    <w:rsid w:val="008A4002"/>
    <w:rsid w:val="008A4023"/>
    <w:rsid w:val="008A45AA"/>
    <w:rsid w:val="008A45BB"/>
    <w:rsid w:val="008A46A8"/>
    <w:rsid w:val="008A5CA9"/>
    <w:rsid w:val="008A70EB"/>
    <w:rsid w:val="008B0E62"/>
    <w:rsid w:val="008B56C5"/>
    <w:rsid w:val="008B7A17"/>
    <w:rsid w:val="008C0D37"/>
    <w:rsid w:val="008C1280"/>
    <w:rsid w:val="008C1AE9"/>
    <w:rsid w:val="008C1DDF"/>
    <w:rsid w:val="008C2ECF"/>
    <w:rsid w:val="008C344A"/>
    <w:rsid w:val="008D0093"/>
    <w:rsid w:val="008D0317"/>
    <w:rsid w:val="008D0665"/>
    <w:rsid w:val="008D2C90"/>
    <w:rsid w:val="008D41D9"/>
    <w:rsid w:val="008D5068"/>
    <w:rsid w:val="008D56C0"/>
    <w:rsid w:val="008D57EF"/>
    <w:rsid w:val="008D6EEE"/>
    <w:rsid w:val="008D7224"/>
    <w:rsid w:val="008E08EF"/>
    <w:rsid w:val="008E1049"/>
    <w:rsid w:val="008E2962"/>
    <w:rsid w:val="008E35EA"/>
    <w:rsid w:val="008E366C"/>
    <w:rsid w:val="008E3AC4"/>
    <w:rsid w:val="008E521A"/>
    <w:rsid w:val="008E5704"/>
    <w:rsid w:val="008E58BE"/>
    <w:rsid w:val="008E5AC8"/>
    <w:rsid w:val="008E666D"/>
    <w:rsid w:val="008E6E5B"/>
    <w:rsid w:val="008E7174"/>
    <w:rsid w:val="008F016B"/>
    <w:rsid w:val="008F2009"/>
    <w:rsid w:val="008F3A2D"/>
    <w:rsid w:val="008F45C6"/>
    <w:rsid w:val="008F72D4"/>
    <w:rsid w:val="008F7931"/>
    <w:rsid w:val="00900180"/>
    <w:rsid w:val="00902697"/>
    <w:rsid w:val="009048B2"/>
    <w:rsid w:val="00905887"/>
    <w:rsid w:val="009058C1"/>
    <w:rsid w:val="00905B32"/>
    <w:rsid w:val="009068B0"/>
    <w:rsid w:val="00907C65"/>
    <w:rsid w:val="009106BD"/>
    <w:rsid w:val="00913A20"/>
    <w:rsid w:val="00914D6A"/>
    <w:rsid w:val="0091594E"/>
    <w:rsid w:val="00916F00"/>
    <w:rsid w:val="00920365"/>
    <w:rsid w:val="00922534"/>
    <w:rsid w:val="009226A8"/>
    <w:rsid w:val="00923097"/>
    <w:rsid w:val="009240E8"/>
    <w:rsid w:val="00925ACB"/>
    <w:rsid w:val="009260E1"/>
    <w:rsid w:val="00926891"/>
    <w:rsid w:val="00926DAC"/>
    <w:rsid w:val="0092762E"/>
    <w:rsid w:val="00930A6B"/>
    <w:rsid w:val="00931615"/>
    <w:rsid w:val="00931DF2"/>
    <w:rsid w:val="00933EE1"/>
    <w:rsid w:val="0093570A"/>
    <w:rsid w:val="00936302"/>
    <w:rsid w:val="00941D37"/>
    <w:rsid w:val="00942943"/>
    <w:rsid w:val="009431B3"/>
    <w:rsid w:val="00945C87"/>
    <w:rsid w:val="00946FC1"/>
    <w:rsid w:val="00950813"/>
    <w:rsid w:val="00953654"/>
    <w:rsid w:val="0095392D"/>
    <w:rsid w:val="009542ED"/>
    <w:rsid w:val="00954AF4"/>
    <w:rsid w:val="00955BBD"/>
    <w:rsid w:val="0095652E"/>
    <w:rsid w:val="00957C09"/>
    <w:rsid w:val="00964AAD"/>
    <w:rsid w:val="00964B4B"/>
    <w:rsid w:val="0096599C"/>
    <w:rsid w:val="009666E2"/>
    <w:rsid w:val="00967B3E"/>
    <w:rsid w:val="009700E4"/>
    <w:rsid w:val="00970A01"/>
    <w:rsid w:val="009748BC"/>
    <w:rsid w:val="0097565A"/>
    <w:rsid w:val="0097643F"/>
    <w:rsid w:val="0097665C"/>
    <w:rsid w:val="00977EA6"/>
    <w:rsid w:val="0098078B"/>
    <w:rsid w:val="00983DDB"/>
    <w:rsid w:val="00993BF8"/>
    <w:rsid w:val="009961EB"/>
    <w:rsid w:val="009A11DE"/>
    <w:rsid w:val="009A3207"/>
    <w:rsid w:val="009A33FF"/>
    <w:rsid w:val="009A472F"/>
    <w:rsid w:val="009A6CD2"/>
    <w:rsid w:val="009B0162"/>
    <w:rsid w:val="009B081B"/>
    <w:rsid w:val="009B10C5"/>
    <w:rsid w:val="009B11D8"/>
    <w:rsid w:val="009B1355"/>
    <w:rsid w:val="009B240E"/>
    <w:rsid w:val="009B292C"/>
    <w:rsid w:val="009B3E66"/>
    <w:rsid w:val="009B3FE8"/>
    <w:rsid w:val="009B65CE"/>
    <w:rsid w:val="009C0786"/>
    <w:rsid w:val="009C4D5F"/>
    <w:rsid w:val="009C5239"/>
    <w:rsid w:val="009C7708"/>
    <w:rsid w:val="009C7DD5"/>
    <w:rsid w:val="009D391F"/>
    <w:rsid w:val="009E34AC"/>
    <w:rsid w:val="009E4875"/>
    <w:rsid w:val="009E5981"/>
    <w:rsid w:val="009E7547"/>
    <w:rsid w:val="009F038A"/>
    <w:rsid w:val="009F0A7F"/>
    <w:rsid w:val="009F206E"/>
    <w:rsid w:val="009F23A7"/>
    <w:rsid w:val="009F36F8"/>
    <w:rsid w:val="009F600D"/>
    <w:rsid w:val="009F6B56"/>
    <w:rsid w:val="009F76C5"/>
    <w:rsid w:val="00A0042A"/>
    <w:rsid w:val="00A031C7"/>
    <w:rsid w:val="00A04306"/>
    <w:rsid w:val="00A0446B"/>
    <w:rsid w:val="00A04B52"/>
    <w:rsid w:val="00A050C9"/>
    <w:rsid w:val="00A05B42"/>
    <w:rsid w:val="00A07763"/>
    <w:rsid w:val="00A07BF3"/>
    <w:rsid w:val="00A07C71"/>
    <w:rsid w:val="00A10158"/>
    <w:rsid w:val="00A112CE"/>
    <w:rsid w:val="00A11631"/>
    <w:rsid w:val="00A13763"/>
    <w:rsid w:val="00A13D41"/>
    <w:rsid w:val="00A16320"/>
    <w:rsid w:val="00A174CC"/>
    <w:rsid w:val="00A2052F"/>
    <w:rsid w:val="00A21174"/>
    <w:rsid w:val="00A21C86"/>
    <w:rsid w:val="00A21D8F"/>
    <w:rsid w:val="00A238B9"/>
    <w:rsid w:val="00A2482B"/>
    <w:rsid w:val="00A3161C"/>
    <w:rsid w:val="00A32A07"/>
    <w:rsid w:val="00A32C21"/>
    <w:rsid w:val="00A36185"/>
    <w:rsid w:val="00A363A1"/>
    <w:rsid w:val="00A3790B"/>
    <w:rsid w:val="00A41084"/>
    <w:rsid w:val="00A415A5"/>
    <w:rsid w:val="00A417C5"/>
    <w:rsid w:val="00A429DB"/>
    <w:rsid w:val="00A46310"/>
    <w:rsid w:val="00A47EB1"/>
    <w:rsid w:val="00A5030F"/>
    <w:rsid w:val="00A5376A"/>
    <w:rsid w:val="00A54647"/>
    <w:rsid w:val="00A55734"/>
    <w:rsid w:val="00A55C5D"/>
    <w:rsid w:val="00A568A1"/>
    <w:rsid w:val="00A61215"/>
    <w:rsid w:val="00A6123B"/>
    <w:rsid w:val="00A62F94"/>
    <w:rsid w:val="00A638B9"/>
    <w:rsid w:val="00A63ACC"/>
    <w:rsid w:val="00A65914"/>
    <w:rsid w:val="00A70CD3"/>
    <w:rsid w:val="00A71144"/>
    <w:rsid w:val="00A725CD"/>
    <w:rsid w:val="00A73808"/>
    <w:rsid w:val="00A745A4"/>
    <w:rsid w:val="00A74ACE"/>
    <w:rsid w:val="00A778C0"/>
    <w:rsid w:val="00A8138A"/>
    <w:rsid w:val="00A813D4"/>
    <w:rsid w:val="00A833FF"/>
    <w:rsid w:val="00A836CF"/>
    <w:rsid w:val="00A83A54"/>
    <w:rsid w:val="00A860AD"/>
    <w:rsid w:val="00A874B7"/>
    <w:rsid w:val="00A87F96"/>
    <w:rsid w:val="00A91335"/>
    <w:rsid w:val="00A91AE4"/>
    <w:rsid w:val="00A91EB6"/>
    <w:rsid w:val="00A920AA"/>
    <w:rsid w:val="00A925FE"/>
    <w:rsid w:val="00A961CA"/>
    <w:rsid w:val="00AA1470"/>
    <w:rsid w:val="00AA1D42"/>
    <w:rsid w:val="00AA2864"/>
    <w:rsid w:val="00AA4100"/>
    <w:rsid w:val="00AA4F1D"/>
    <w:rsid w:val="00AA61D2"/>
    <w:rsid w:val="00AA7182"/>
    <w:rsid w:val="00AA7A11"/>
    <w:rsid w:val="00AA7B90"/>
    <w:rsid w:val="00AB038C"/>
    <w:rsid w:val="00AB05A0"/>
    <w:rsid w:val="00AB0675"/>
    <w:rsid w:val="00AB6195"/>
    <w:rsid w:val="00AB653C"/>
    <w:rsid w:val="00AC0A12"/>
    <w:rsid w:val="00AC3884"/>
    <w:rsid w:val="00AC4296"/>
    <w:rsid w:val="00AC4FD7"/>
    <w:rsid w:val="00AC5299"/>
    <w:rsid w:val="00AC73BB"/>
    <w:rsid w:val="00AC7930"/>
    <w:rsid w:val="00AC7A39"/>
    <w:rsid w:val="00AD0D1D"/>
    <w:rsid w:val="00AD2241"/>
    <w:rsid w:val="00AE2EB7"/>
    <w:rsid w:val="00AE31AB"/>
    <w:rsid w:val="00AF0271"/>
    <w:rsid w:val="00AF0510"/>
    <w:rsid w:val="00AF13E1"/>
    <w:rsid w:val="00AF14C9"/>
    <w:rsid w:val="00AF1E6E"/>
    <w:rsid w:val="00AF3B3E"/>
    <w:rsid w:val="00AF4A29"/>
    <w:rsid w:val="00AF5D01"/>
    <w:rsid w:val="00B012B7"/>
    <w:rsid w:val="00B03E48"/>
    <w:rsid w:val="00B0508C"/>
    <w:rsid w:val="00B07D0E"/>
    <w:rsid w:val="00B11237"/>
    <w:rsid w:val="00B11838"/>
    <w:rsid w:val="00B13E97"/>
    <w:rsid w:val="00B14067"/>
    <w:rsid w:val="00B14580"/>
    <w:rsid w:val="00B14BA9"/>
    <w:rsid w:val="00B1543B"/>
    <w:rsid w:val="00B2127C"/>
    <w:rsid w:val="00B21646"/>
    <w:rsid w:val="00B262A8"/>
    <w:rsid w:val="00B26C31"/>
    <w:rsid w:val="00B308F3"/>
    <w:rsid w:val="00B30F82"/>
    <w:rsid w:val="00B31C8D"/>
    <w:rsid w:val="00B3260C"/>
    <w:rsid w:val="00B34EFE"/>
    <w:rsid w:val="00B361F5"/>
    <w:rsid w:val="00B37BC1"/>
    <w:rsid w:val="00B40B11"/>
    <w:rsid w:val="00B41530"/>
    <w:rsid w:val="00B42384"/>
    <w:rsid w:val="00B4357C"/>
    <w:rsid w:val="00B43C81"/>
    <w:rsid w:val="00B472CF"/>
    <w:rsid w:val="00B4799D"/>
    <w:rsid w:val="00B50AC2"/>
    <w:rsid w:val="00B5275B"/>
    <w:rsid w:val="00B533C8"/>
    <w:rsid w:val="00B53B57"/>
    <w:rsid w:val="00B54C22"/>
    <w:rsid w:val="00B56C2B"/>
    <w:rsid w:val="00B606AD"/>
    <w:rsid w:val="00B60784"/>
    <w:rsid w:val="00B609B4"/>
    <w:rsid w:val="00B62BDD"/>
    <w:rsid w:val="00B66CD3"/>
    <w:rsid w:val="00B66FDC"/>
    <w:rsid w:val="00B7016B"/>
    <w:rsid w:val="00B71818"/>
    <w:rsid w:val="00B722D5"/>
    <w:rsid w:val="00B7263A"/>
    <w:rsid w:val="00B729D8"/>
    <w:rsid w:val="00B734D3"/>
    <w:rsid w:val="00B7360C"/>
    <w:rsid w:val="00B73823"/>
    <w:rsid w:val="00B7450A"/>
    <w:rsid w:val="00B74AB3"/>
    <w:rsid w:val="00B753CD"/>
    <w:rsid w:val="00B75F2B"/>
    <w:rsid w:val="00B76949"/>
    <w:rsid w:val="00B76E3E"/>
    <w:rsid w:val="00B76F6A"/>
    <w:rsid w:val="00B80127"/>
    <w:rsid w:val="00B80A7E"/>
    <w:rsid w:val="00B8103D"/>
    <w:rsid w:val="00B81B7C"/>
    <w:rsid w:val="00B81F7C"/>
    <w:rsid w:val="00B83A19"/>
    <w:rsid w:val="00B83C5C"/>
    <w:rsid w:val="00B84F85"/>
    <w:rsid w:val="00B8504A"/>
    <w:rsid w:val="00B87052"/>
    <w:rsid w:val="00B9328A"/>
    <w:rsid w:val="00B936D0"/>
    <w:rsid w:val="00B94104"/>
    <w:rsid w:val="00B95668"/>
    <w:rsid w:val="00B9750E"/>
    <w:rsid w:val="00B97BB8"/>
    <w:rsid w:val="00BA17BC"/>
    <w:rsid w:val="00BA1C23"/>
    <w:rsid w:val="00BA3D4E"/>
    <w:rsid w:val="00BA56C2"/>
    <w:rsid w:val="00BA681F"/>
    <w:rsid w:val="00BA7770"/>
    <w:rsid w:val="00BA7AD5"/>
    <w:rsid w:val="00BB0705"/>
    <w:rsid w:val="00BB09B0"/>
    <w:rsid w:val="00BB1E2E"/>
    <w:rsid w:val="00BB27A6"/>
    <w:rsid w:val="00BB5E54"/>
    <w:rsid w:val="00BB5EF3"/>
    <w:rsid w:val="00BC0BB3"/>
    <w:rsid w:val="00BC3B7E"/>
    <w:rsid w:val="00BC3EB9"/>
    <w:rsid w:val="00BC490B"/>
    <w:rsid w:val="00BC56DE"/>
    <w:rsid w:val="00BC628F"/>
    <w:rsid w:val="00BC63D7"/>
    <w:rsid w:val="00BD0931"/>
    <w:rsid w:val="00BD12E1"/>
    <w:rsid w:val="00BD1497"/>
    <w:rsid w:val="00BD25BE"/>
    <w:rsid w:val="00BD4AC0"/>
    <w:rsid w:val="00BD4CE3"/>
    <w:rsid w:val="00BD4F04"/>
    <w:rsid w:val="00BE10EA"/>
    <w:rsid w:val="00BE1675"/>
    <w:rsid w:val="00BE1885"/>
    <w:rsid w:val="00BE1F15"/>
    <w:rsid w:val="00BE2292"/>
    <w:rsid w:val="00BE274C"/>
    <w:rsid w:val="00BE4D20"/>
    <w:rsid w:val="00BE5157"/>
    <w:rsid w:val="00BE5904"/>
    <w:rsid w:val="00BE5A1C"/>
    <w:rsid w:val="00BE5E38"/>
    <w:rsid w:val="00BE63CD"/>
    <w:rsid w:val="00BF1590"/>
    <w:rsid w:val="00BF745C"/>
    <w:rsid w:val="00BF7BB8"/>
    <w:rsid w:val="00BF7D65"/>
    <w:rsid w:val="00C00018"/>
    <w:rsid w:val="00C007AD"/>
    <w:rsid w:val="00C036E8"/>
    <w:rsid w:val="00C062B2"/>
    <w:rsid w:val="00C0634A"/>
    <w:rsid w:val="00C07C2D"/>
    <w:rsid w:val="00C07FE1"/>
    <w:rsid w:val="00C1013C"/>
    <w:rsid w:val="00C10B9D"/>
    <w:rsid w:val="00C11EC3"/>
    <w:rsid w:val="00C12108"/>
    <w:rsid w:val="00C14ADA"/>
    <w:rsid w:val="00C14CED"/>
    <w:rsid w:val="00C175A0"/>
    <w:rsid w:val="00C208F2"/>
    <w:rsid w:val="00C21AF4"/>
    <w:rsid w:val="00C2245D"/>
    <w:rsid w:val="00C2398A"/>
    <w:rsid w:val="00C24773"/>
    <w:rsid w:val="00C25A67"/>
    <w:rsid w:val="00C26530"/>
    <w:rsid w:val="00C30BB4"/>
    <w:rsid w:val="00C31F61"/>
    <w:rsid w:val="00C33CFE"/>
    <w:rsid w:val="00C33E37"/>
    <w:rsid w:val="00C34E6C"/>
    <w:rsid w:val="00C360A4"/>
    <w:rsid w:val="00C376B6"/>
    <w:rsid w:val="00C40FD1"/>
    <w:rsid w:val="00C42C93"/>
    <w:rsid w:val="00C45741"/>
    <w:rsid w:val="00C464CF"/>
    <w:rsid w:val="00C514E3"/>
    <w:rsid w:val="00C517ED"/>
    <w:rsid w:val="00C5262B"/>
    <w:rsid w:val="00C53D96"/>
    <w:rsid w:val="00C545AF"/>
    <w:rsid w:val="00C57A3E"/>
    <w:rsid w:val="00C620FE"/>
    <w:rsid w:val="00C63897"/>
    <w:rsid w:val="00C6507C"/>
    <w:rsid w:val="00C6515B"/>
    <w:rsid w:val="00C6547D"/>
    <w:rsid w:val="00C66881"/>
    <w:rsid w:val="00C716F1"/>
    <w:rsid w:val="00C72F1D"/>
    <w:rsid w:val="00C7314B"/>
    <w:rsid w:val="00C7337D"/>
    <w:rsid w:val="00C73E1B"/>
    <w:rsid w:val="00C813CD"/>
    <w:rsid w:val="00C82919"/>
    <w:rsid w:val="00C82F34"/>
    <w:rsid w:val="00C85396"/>
    <w:rsid w:val="00C85C7D"/>
    <w:rsid w:val="00C86556"/>
    <w:rsid w:val="00C903B8"/>
    <w:rsid w:val="00C90D1C"/>
    <w:rsid w:val="00C90F53"/>
    <w:rsid w:val="00C91FAC"/>
    <w:rsid w:val="00C92BB6"/>
    <w:rsid w:val="00C92FAF"/>
    <w:rsid w:val="00C93333"/>
    <w:rsid w:val="00C9429B"/>
    <w:rsid w:val="00C95567"/>
    <w:rsid w:val="00C957E5"/>
    <w:rsid w:val="00C957EE"/>
    <w:rsid w:val="00C95E7F"/>
    <w:rsid w:val="00C9746A"/>
    <w:rsid w:val="00C97C5C"/>
    <w:rsid w:val="00CA083B"/>
    <w:rsid w:val="00CA2210"/>
    <w:rsid w:val="00CA2EE4"/>
    <w:rsid w:val="00CA3DBF"/>
    <w:rsid w:val="00CA41A3"/>
    <w:rsid w:val="00CB0315"/>
    <w:rsid w:val="00CB182E"/>
    <w:rsid w:val="00CB1F08"/>
    <w:rsid w:val="00CB262B"/>
    <w:rsid w:val="00CB2685"/>
    <w:rsid w:val="00CB321D"/>
    <w:rsid w:val="00CB349E"/>
    <w:rsid w:val="00CB5231"/>
    <w:rsid w:val="00CB624E"/>
    <w:rsid w:val="00CB759E"/>
    <w:rsid w:val="00CC1E7E"/>
    <w:rsid w:val="00CC289D"/>
    <w:rsid w:val="00CC32F4"/>
    <w:rsid w:val="00CC3824"/>
    <w:rsid w:val="00CC504C"/>
    <w:rsid w:val="00CD2E2D"/>
    <w:rsid w:val="00CD44F1"/>
    <w:rsid w:val="00CD501D"/>
    <w:rsid w:val="00CE1806"/>
    <w:rsid w:val="00CE1D28"/>
    <w:rsid w:val="00CE4DEF"/>
    <w:rsid w:val="00CE4F2A"/>
    <w:rsid w:val="00CE6D61"/>
    <w:rsid w:val="00CE707B"/>
    <w:rsid w:val="00CE75DB"/>
    <w:rsid w:val="00CF00BA"/>
    <w:rsid w:val="00CF160B"/>
    <w:rsid w:val="00CF1E77"/>
    <w:rsid w:val="00CF3722"/>
    <w:rsid w:val="00CF3D16"/>
    <w:rsid w:val="00CF4385"/>
    <w:rsid w:val="00CF6802"/>
    <w:rsid w:val="00CF6BD2"/>
    <w:rsid w:val="00CF7DD7"/>
    <w:rsid w:val="00D025FC"/>
    <w:rsid w:val="00D034CA"/>
    <w:rsid w:val="00D03F17"/>
    <w:rsid w:val="00D047E1"/>
    <w:rsid w:val="00D055D0"/>
    <w:rsid w:val="00D10068"/>
    <w:rsid w:val="00D10C53"/>
    <w:rsid w:val="00D11E6B"/>
    <w:rsid w:val="00D12CEA"/>
    <w:rsid w:val="00D12F27"/>
    <w:rsid w:val="00D15908"/>
    <w:rsid w:val="00D16394"/>
    <w:rsid w:val="00D213DD"/>
    <w:rsid w:val="00D23DE9"/>
    <w:rsid w:val="00D26E96"/>
    <w:rsid w:val="00D31CDE"/>
    <w:rsid w:val="00D32E87"/>
    <w:rsid w:val="00D3434B"/>
    <w:rsid w:val="00D424D1"/>
    <w:rsid w:val="00D45702"/>
    <w:rsid w:val="00D45BF7"/>
    <w:rsid w:val="00D45C14"/>
    <w:rsid w:val="00D45DC4"/>
    <w:rsid w:val="00D46680"/>
    <w:rsid w:val="00D4718D"/>
    <w:rsid w:val="00D47351"/>
    <w:rsid w:val="00D503F4"/>
    <w:rsid w:val="00D533DB"/>
    <w:rsid w:val="00D5451C"/>
    <w:rsid w:val="00D55237"/>
    <w:rsid w:val="00D559D7"/>
    <w:rsid w:val="00D55B24"/>
    <w:rsid w:val="00D57E00"/>
    <w:rsid w:val="00D6083B"/>
    <w:rsid w:val="00D61B45"/>
    <w:rsid w:val="00D64ADE"/>
    <w:rsid w:val="00D64E57"/>
    <w:rsid w:val="00D675DB"/>
    <w:rsid w:val="00D71B99"/>
    <w:rsid w:val="00D71E4D"/>
    <w:rsid w:val="00D722D1"/>
    <w:rsid w:val="00D72DA8"/>
    <w:rsid w:val="00D742D4"/>
    <w:rsid w:val="00D757A5"/>
    <w:rsid w:val="00D82CF1"/>
    <w:rsid w:val="00D84BF6"/>
    <w:rsid w:val="00D8632A"/>
    <w:rsid w:val="00D9380C"/>
    <w:rsid w:val="00D93CAA"/>
    <w:rsid w:val="00DA06D6"/>
    <w:rsid w:val="00DA1CCB"/>
    <w:rsid w:val="00DA29FF"/>
    <w:rsid w:val="00DA3475"/>
    <w:rsid w:val="00DA4180"/>
    <w:rsid w:val="00DA535A"/>
    <w:rsid w:val="00DA555C"/>
    <w:rsid w:val="00DA5D55"/>
    <w:rsid w:val="00DA73AC"/>
    <w:rsid w:val="00DB0BED"/>
    <w:rsid w:val="00DB21DB"/>
    <w:rsid w:val="00DB3D06"/>
    <w:rsid w:val="00DB40F7"/>
    <w:rsid w:val="00DB418B"/>
    <w:rsid w:val="00DB4D20"/>
    <w:rsid w:val="00DB6C27"/>
    <w:rsid w:val="00DB7E5B"/>
    <w:rsid w:val="00DC02EA"/>
    <w:rsid w:val="00DC1EFE"/>
    <w:rsid w:val="00DC362F"/>
    <w:rsid w:val="00DC39E3"/>
    <w:rsid w:val="00DC4E96"/>
    <w:rsid w:val="00DC6EAB"/>
    <w:rsid w:val="00DD007C"/>
    <w:rsid w:val="00DD0AD0"/>
    <w:rsid w:val="00DD2814"/>
    <w:rsid w:val="00DD4CD1"/>
    <w:rsid w:val="00DD792A"/>
    <w:rsid w:val="00DE1E38"/>
    <w:rsid w:val="00DE2294"/>
    <w:rsid w:val="00DE38ED"/>
    <w:rsid w:val="00DE3D7B"/>
    <w:rsid w:val="00DE4B1D"/>
    <w:rsid w:val="00DE7870"/>
    <w:rsid w:val="00DF0473"/>
    <w:rsid w:val="00DF1E16"/>
    <w:rsid w:val="00DF2605"/>
    <w:rsid w:val="00DF3B1D"/>
    <w:rsid w:val="00DF4C64"/>
    <w:rsid w:val="00DF5994"/>
    <w:rsid w:val="00DF770B"/>
    <w:rsid w:val="00E00C74"/>
    <w:rsid w:val="00E01C0D"/>
    <w:rsid w:val="00E02787"/>
    <w:rsid w:val="00E0445B"/>
    <w:rsid w:val="00E047C8"/>
    <w:rsid w:val="00E05FE3"/>
    <w:rsid w:val="00E07B16"/>
    <w:rsid w:val="00E101CE"/>
    <w:rsid w:val="00E101E5"/>
    <w:rsid w:val="00E11842"/>
    <w:rsid w:val="00E12171"/>
    <w:rsid w:val="00E12402"/>
    <w:rsid w:val="00E167B8"/>
    <w:rsid w:val="00E20392"/>
    <w:rsid w:val="00E23614"/>
    <w:rsid w:val="00E25022"/>
    <w:rsid w:val="00E25C50"/>
    <w:rsid w:val="00E25D8B"/>
    <w:rsid w:val="00E2681E"/>
    <w:rsid w:val="00E26BC0"/>
    <w:rsid w:val="00E26DDF"/>
    <w:rsid w:val="00E276C1"/>
    <w:rsid w:val="00E27F1B"/>
    <w:rsid w:val="00E30CF6"/>
    <w:rsid w:val="00E414FC"/>
    <w:rsid w:val="00E41F80"/>
    <w:rsid w:val="00E42A0E"/>
    <w:rsid w:val="00E42A28"/>
    <w:rsid w:val="00E43603"/>
    <w:rsid w:val="00E4422F"/>
    <w:rsid w:val="00E44A8B"/>
    <w:rsid w:val="00E466BC"/>
    <w:rsid w:val="00E52914"/>
    <w:rsid w:val="00E52D03"/>
    <w:rsid w:val="00E53650"/>
    <w:rsid w:val="00E536D2"/>
    <w:rsid w:val="00E53FE3"/>
    <w:rsid w:val="00E56F2D"/>
    <w:rsid w:val="00E57803"/>
    <w:rsid w:val="00E578C5"/>
    <w:rsid w:val="00E619C5"/>
    <w:rsid w:val="00E6417C"/>
    <w:rsid w:val="00E64B25"/>
    <w:rsid w:val="00E66501"/>
    <w:rsid w:val="00E67665"/>
    <w:rsid w:val="00E67B85"/>
    <w:rsid w:val="00E7035F"/>
    <w:rsid w:val="00E73A40"/>
    <w:rsid w:val="00E73C11"/>
    <w:rsid w:val="00E7456F"/>
    <w:rsid w:val="00E75A97"/>
    <w:rsid w:val="00E77C52"/>
    <w:rsid w:val="00E81326"/>
    <w:rsid w:val="00E81B8A"/>
    <w:rsid w:val="00E84FB1"/>
    <w:rsid w:val="00E8536C"/>
    <w:rsid w:val="00E869C7"/>
    <w:rsid w:val="00E8751A"/>
    <w:rsid w:val="00E878FC"/>
    <w:rsid w:val="00E90347"/>
    <w:rsid w:val="00E9182A"/>
    <w:rsid w:val="00E93353"/>
    <w:rsid w:val="00E936EC"/>
    <w:rsid w:val="00E9566D"/>
    <w:rsid w:val="00E95F5B"/>
    <w:rsid w:val="00E97368"/>
    <w:rsid w:val="00EA465A"/>
    <w:rsid w:val="00EA7B83"/>
    <w:rsid w:val="00EA7D1A"/>
    <w:rsid w:val="00EB18A8"/>
    <w:rsid w:val="00EB3B35"/>
    <w:rsid w:val="00EB3E24"/>
    <w:rsid w:val="00EB3E4B"/>
    <w:rsid w:val="00EB478A"/>
    <w:rsid w:val="00EB57BD"/>
    <w:rsid w:val="00EB590E"/>
    <w:rsid w:val="00EC091A"/>
    <w:rsid w:val="00EC2EB8"/>
    <w:rsid w:val="00EC6C22"/>
    <w:rsid w:val="00EC78D4"/>
    <w:rsid w:val="00ED0D6F"/>
    <w:rsid w:val="00ED2D64"/>
    <w:rsid w:val="00ED3663"/>
    <w:rsid w:val="00ED52F0"/>
    <w:rsid w:val="00ED5A33"/>
    <w:rsid w:val="00ED7E04"/>
    <w:rsid w:val="00EE0387"/>
    <w:rsid w:val="00EE06BC"/>
    <w:rsid w:val="00EE1FC1"/>
    <w:rsid w:val="00EE2429"/>
    <w:rsid w:val="00EE357A"/>
    <w:rsid w:val="00EE498A"/>
    <w:rsid w:val="00EE4996"/>
    <w:rsid w:val="00EE4D22"/>
    <w:rsid w:val="00EE6481"/>
    <w:rsid w:val="00EE67CC"/>
    <w:rsid w:val="00EE6ED6"/>
    <w:rsid w:val="00EE7D74"/>
    <w:rsid w:val="00EF0136"/>
    <w:rsid w:val="00EF042B"/>
    <w:rsid w:val="00EF0975"/>
    <w:rsid w:val="00EF131A"/>
    <w:rsid w:val="00EF1BFA"/>
    <w:rsid w:val="00EF288D"/>
    <w:rsid w:val="00EF35F3"/>
    <w:rsid w:val="00EF3F47"/>
    <w:rsid w:val="00EF4A0F"/>
    <w:rsid w:val="00EF503F"/>
    <w:rsid w:val="00EF56BD"/>
    <w:rsid w:val="00F014F6"/>
    <w:rsid w:val="00F0413A"/>
    <w:rsid w:val="00F042CD"/>
    <w:rsid w:val="00F0754F"/>
    <w:rsid w:val="00F10AF0"/>
    <w:rsid w:val="00F11864"/>
    <w:rsid w:val="00F11D1A"/>
    <w:rsid w:val="00F13C21"/>
    <w:rsid w:val="00F13FAE"/>
    <w:rsid w:val="00F157E9"/>
    <w:rsid w:val="00F15E41"/>
    <w:rsid w:val="00F16819"/>
    <w:rsid w:val="00F21AE4"/>
    <w:rsid w:val="00F22109"/>
    <w:rsid w:val="00F2333A"/>
    <w:rsid w:val="00F25F89"/>
    <w:rsid w:val="00F26169"/>
    <w:rsid w:val="00F30A64"/>
    <w:rsid w:val="00F31EE9"/>
    <w:rsid w:val="00F40F69"/>
    <w:rsid w:val="00F44372"/>
    <w:rsid w:val="00F46607"/>
    <w:rsid w:val="00F47FAF"/>
    <w:rsid w:val="00F53181"/>
    <w:rsid w:val="00F534FF"/>
    <w:rsid w:val="00F53736"/>
    <w:rsid w:val="00F6256E"/>
    <w:rsid w:val="00F64138"/>
    <w:rsid w:val="00F64400"/>
    <w:rsid w:val="00F6576D"/>
    <w:rsid w:val="00F66676"/>
    <w:rsid w:val="00F66916"/>
    <w:rsid w:val="00F669DE"/>
    <w:rsid w:val="00F700BB"/>
    <w:rsid w:val="00F701C8"/>
    <w:rsid w:val="00F70BEE"/>
    <w:rsid w:val="00F71F54"/>
    <w:rsid w:val="00F72CBB"/>
    <w:rsid w:val="00F737F7"/>
    <w:rsid w:val="00F74124"/>
    <w:rsid w:val="00F74894"/>
    <w:rsid w:val="00F75402"/>
    <w:rsid w:val="00F75B37"/>
    <w:rsid w:val="00F7625C"/>
    <w:rsid w:val="00F81460"/>
    <w:rsid w:val="00F85723"/>
    <w:rsid w:val="00F863AF"/>
    <w:rsid w:val="00F86AF7"/>
    <w:rsid w:val="00F90074"/>
    <w:rsid w:val="00F904DE"/>
    <w:rsid w:val="00F9229B"/>
    <w:rsid w:val="00F92A0B"/>
    <w:rsid w:val="00F93664"/>
    <w:rsid w:val="00F93ED4"/>
    <w:rsid w:val="00F940C2"/>
    <w:rsid w:val="00F9425A"/>
    <w:rsid w:val="00F96972"/>
    <w:rsid w:val="00F96F77"/>
    <w:rsid w:val="00FA2337"/>
    <w:rsid w:val="00FA3C53"/>
    <w:rsid w:val="00FA592B"/>
    <w:rsid w:val="00FA634E"/>
    <w:rsid w:val="00FA73B2"/>
    <w:rsid w:val="00FB0C57"/>
    <w:rsid w:val="00FB0F28"/>
    <w:rsid w:val="00FB127F"/>
    <w:rsid w:val="00FB254D"/>
    <w:rsid w:val="00FB2D6F"/>
    <w:rsid w:val="00FB2EDF"/>
    <w:rsid w:val="00FB31BD"/>
    <w:rsid w:val="00FB3F75"/>
    <w:rsid w:val="00FC021C"/>
    <w:rsid w:val="00FC1ACC"/>
    <w:rsid w:val="00FC1F03"/>
    <w:rsid w:val="00FC2A24"/>
    <w:rsid w:val="00FC6A89"/>
    <w:rsid w:val="00FC7523"/>
    <w:rsid w:val="00FD08ED"/>
    <w:rsid w:val="00FD1752"/>
    <w:rsid w:val="00FD1BC8"/>
    <w:rsid w:val="00FD1C57"/>
    <w:rsid w:val="00FD47B3"/>
    <w:rsid w:val="00FD7D1A"/>
    <w:rsid w:val="00FE04E2"/>
    <w:rsid w:val="00FE2A39"/>
    <w:rsid w:val="00FE4170"/>
    <w:rsid w:val="00FE46BD"/>
    <w:rsid w:val="00FE57E9"/>
    <w:rsid w:val="00FE6CAB"/>
    <w:rsid w:val="00FE7075"/>
    <w:rsid w:val="00FE7A89"/>
    <w:rsid w:val="00FF07D6"/>
    <w:rsid w:val="00FF0AA8"/>
    <w:rsid w:val="00FF1072"/>
    <w:rsid w:val="00FF19CD"/>
    <w:rsid w:val="00FF2B0B"/>
    <w:rsid w:val="00FF2D02"/>
    <w:rsid w:val="00FF432A"/>
    <w:rsid w:val="00FF5258"/>
    <w:rsid w:val="01912692"/>
    <w:rsid w:val="01B271BD"/>
    <w:rsid w:val="023A4796"/>
    <w:rsid w:val="04866E38"/>
    <w:rsid w:val="05660802"/>
    <w:rsid w:val="05AE4733"/>
    <w:rsid w:val="062F6A41"/>
    <w:rsid w:val="06B523A0"/>
    <w:rsid w:val="076D5A73"/>
    <w:rsid w:val="07DC6657"/>
    <w:rsid w:val="08E77DFD"/>
    <w:rsid w:val="0B230465"/>
    <w:rsid w:val="0D0F28B1"/>
    <w:rsid w:val="0D366D72"/>
    <w:rsid w:val="0DCD757F"/>
    <w:rsid w:val="0E1E7B70"/>
    <w:rsid w:val="0E794E97"/>
    <w:rsid w:val="0EE96E55"/>
    <w:rsid w:val="10414388"/>
    <w:rsid w:val="10482137"/>
    <w:rsid w:val="113423C4"/>
    <w:rsid w:val="1139182F"/>
    <w:rsid w:val="123E379E"/>
    <w:rsid w:val="135D6151"/>
    <w:rsid w:val="13A740BB"/>
    <w:rsid w:val="144C4645"/>
    <w:rsid w:val="14F7697C"/>
    <w:rsid w:val="15285A6F"/>
    <w:rsid w:val="1578365F"/>
    <w:rsid w:val="161B58D5"/>
    <w:rsid w:val="16283BD8"/>
    <w:rsid w:val="17374D3B"/>
    <w:rsid w:val="196C19F2"/>
    <w:rsid w:val="19B9392D"/>
    <w:rsid w:val="19D36A33"/>
    <w:rsid w:val="1A7B7575"/>
    <w:rsid w:val="1B976E2D"/>
    <w:rsid w:val="1CB05356"/>
    <w:rsid w:val="1CD54EF9"/>
    <w:rsid w:val="1D7C0366"/>
    <w:rsid w:val="1EAA3F47"/>
    <w:rsid w:val="1EBA3968"/>
    <w:rsid w:val="216231FD"/>
    <w:rsid w:val="225A527D"/>
    <w:rsid w:val="238735C1"/>
    <w:rsid w:val="24744DFB"/>
    <w:rsid w:val="25493224"/>
    <w:rsid w:val="261D2759"/>
    <w:rsid w:val="26DB5EC3"/>
    <w:rsid w:val="27A66C83"/>
    <w:rsid w:val="27D17500"/>
    <w:rsid w:val="27E521FA"/>
    <w:rsid w:val="29117C13"/>
    <w:rsid w:val="29876721"/>
    <w:rsid w:val="2C5704AE"/>
    <w:rsid w:val="2EDF26F1"/>
    <w:rsid w:val="2F10378C"/>
    <w:rsid w:val="31352608"/>
    <w:rsid w:val="318E788B"/>
    <w:rsid w:val="31D76D98"/>
    <w:rsid w:val="3263453A"/>
    <w:rsid w:val="338D4DAE"/>
    <w:rsid w:val="33E0659F"/>
    <w:rsid w:val="353272C7"/>
    <w:rsid w:val="354932AC"/>
    <w:rsid w:val="35650BE2"/>
    <w:rsid w:val="35FF348B"/>
    <w:rsid w:val="368B2E37"/>
    <w:rsid w:val="36AC38FB"/>
    <w:rsid w:val="36C606FF"/>
    <w:rsid w:val="37A80354"/>
    <w:rsid w:val="38FD56BB"/>
    <w:rsid w:val="3A347BA7"/>
    <w:rsid w:val="3B231C97"/>
    <w:rsid w:val="3B9F2131"/>
    <w:rsid w:val="3BA00460"/>
    <w:rsid w:val="3BB01CE7"/>
    <w:rsid w:val="3BD951BD"/>
    <w:rsid w:val="3CC05722"/>
    <w:rsid w:val="3DB32B42"/>
    <w:rsid w:val="3E4A3A04"/>
    <w:rsid w:val="3F180C87"/>
    <w:rsid w:val="3F38419B"/>
    <w:rsid w:val="3FC24171"/>
    <w:rsid w:val="406D7721"/>
    <w:rsid w:val="41C81117"/>
    <w:rsid w:val="42C33299"/>
    <w:rsid w:val="43E273DC"/>
    <w:rsid w:val="46095F4E"/>
    <w:rsid w:val="46774963"/>
    <w:rsid w:val="47C50090"/>
    <w:rsid w:val="48415F8F"/>
    <w:rsid w:val="486F5124"/>
    <w:rsid w:val="4AB42587"/>
    <w:rsid w:val="4AB77DBA"/>
    <w:rsid w:val="4BE76BBB"/>
    <w:rsid w:val="4BFB2549"/>
    <w:rsid w:val="4D7C536D"/>
    <w:rsid w:val="4D8A1FE5"/>
    <w:rsid w:val="4D9027DD"/>
    <w:rsid w:val="4E3643BC"/>
    <w:rsid w:val="4EE94FEB"/>
    <w:rsid w:val="4F225EE7"/>
    <w:rsid w:val="4FC52068"/>
    <w:rsid w:val="500171EB"/>
    <w:rsid w:val="506219D6"/>
    <w:rsid w:val="50B6640A"/>
    <w:rsid w:val="518717DA"/>
    <w:rsid w:val="52F537F4"/>
    <w:rsid w:val="53817784"/>
    <w:rsid w:val="53FA1B33"/>
    <w:rsid w:val="546E1523"/>
    <w:rsid w:val="54741536"/>
    <w:rsid w:val="54D51772"/>
    <w:rsid w:val="552E4E49"/>
    <w:rsid w:val="562804E5"/>
    <w:rsid w:val="56430977"/>
    <w:rsid w:val="565B22C4"/>
    <w:rsid w:val="56E77B1E"/>
    <w:rsid w:val="57703E0E"/>
    <w:rsid w:val="57F66FA0"/>
    <w:rsid w:val="580F5357"/>
    <w:rsid w:val="595079D6"/>
    <w:rsid w:val="59772269"/>
    <w:rsid w:val="599E07D1"/>
    <w:rsid w:val="5BED0AF9"/>
    <w:rsid w:val="5D5D54E4"/>
    <w:rsid w:val="5DA93005"/>
    <w:rsid w:val="5E355645"/>
    <w:rsid w:val="5E59103C"/>
    <w:rsid w:val="5F4833F3"/>
    <w:rsid w:val="6028316A"/>
    <w:rsid w:val="607C5DF3"/>
    <w:rsid w:val="60FA7157"/>
    <w:rsid w:val="611E4CE6"/>
    <w:rsid w:val="61477910"/>
    <w:rsid w:val="61853415"/>
    <w:rsid w:val="628F33CA"/>
    <w:rsid w:val="629270AE"/>
    <w:rsid w:val="63E94CAF"/>
    <w:rsid w:val="65433525"/>
    <w:rsid w:val="668005C9"/>
    <w:rsid w:val="6A23521E"/>
    <w:rsid w:val="6A52507D"/>
    <w:rsid w:val="6BCE0579"/>
    <w:rsid w:val="6C562A9B"/>
    <w:rsid w:val="6CC820F7"/>
    <w:rsid w:val="6E2800ED"/>
    <w:rsid w:val="6E3B3977"/>
    <w:rsid w:val="6EAD4734"/>
    <w:rsid w:val="6F4F51FD"/>
    <w:rsid w:val="717F36D2"/>
    <w:rsid w:val="72C45ECC"/>
    <w:rsid w:val="73774F46"/>
    <w:rsid w:val="74EB4D2A"/>
    <w:rsid w:val="75486351"/>
    <w:rsid w:val="765F123F"/>
    <w:rsid w:val="769F08A3"/>
    <w:rsid w:val="780829DD"/>
    <w:rsid w:val="78193E48"/>
    <w:rsid w:val="78956D92"/>
    <w:rsid w:val="78FD797A"/>
    <w:rsid w:val="79274B91"/>
    <w:rsid w:val="79295E21"/>
    <w:rsid w:val="7AEB21A7"/>
    <w:rsid w:val="7B6018A2"/>
    <w:rsid w:val="7B9233FA"/>
    <w:rsid w:val="7C4C1CB9"/>
    <w:rsid w:val="7CA8619F"/>
    <w:rsid w:val="7E5B31DA"/>
    <w:rsid w:val="7EC47DA0"/>
    <w:rsid w:val="7F0711A7"/>
    <w:rsid w:val="7F6851CA"/>
    <w:rsid w:val="7F83791F"/>
    <w:rsid w:val="7FF472C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1"/>
    <w:qFormat/>
    <w:uiPriority w:val="0"/>
    <w:pPr>
      <w:keepNext/>
      <w:autoSpaceDE w:val="0"/>
      <w:autoSpaceDN w:val="0"/>
      <w:adjustRightInd w:val="0"/>
      <w:jc w:val="center"/>
      <w:outlineLvl w:val="0"/>
    </w:pPr>
    <w:rPr>
      <w:rFonts w:ascii="宋体"/>
      <w:color w:val="000000"/>
      <w:sz w:val="28"/>
    </w:rPr>
  </w:style>
  <w:style w:type="paragraph" w:styleId="3">
    <w:name w:val="heading 2"/>
    <w:basedOn w:val="1"/>
    <w:next w:val="1"/>
    <w:link w:val="52"/>
    <w:qFormat/>
    <w:uiPriority w:val="0"/>
    <w:pPr>
      <w:keepNext/>
      <w:keepLines/>
      <w:spacing w:before="260" w:beforeLines="0" w:after="260" w:afterLines="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beforeLines="0" w:after="260" w:afterLines="0" w:line="413" w:lineRule="auto"/>
      <w:outlineLvl w:val="2"/>
    </w:pPr>
    <w:rPr>
      <w:b/>
      <w:bCs/>
      <w:sz w:val="32"/>
      <w:szCs w:val="32"/>
    </w:rPr>
  </w:style>
  <w:style w:type="paragraph" w:styleId="5">
    <w:name w:val="heading 4"/>
    <w:basedOn w:val="1"/>
    <w:next w:val="1"/>
    <w:qFormat/>
    <w:uiPriority w:val="0"/>
    <w:pPr>
      <w:keepNext/>
      <w:numPr>
        <w:ilvl w:val="1"/>
        <w:numId w:val="1"/>
      </w:numPr>
      <w:tabs>
        <w:tab w:val="left" w:pos="840"/>
      </w:tabs>
      <w:outlineLvl w:val="3"/>
    </w:pPr>
    <w:rPr>
      <w:rFonts w:ascii="华文中宋" w:hAnsi="华文中宋" w:eastAsia="华文中宋"/>
      <w:b/>
      <w:bCs/>
      <w:sz w:val="28"/>
    </w:rPr>
  </w:style>
  <w:style w:type="paragraph" w:styleId="6">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7">
    <w:name w:val="heading 6"/>
    <w:basedOn w:val="1"/>
    <w:qFormat/>
    <w:uiPriority w:val="0"/>
    <w:pPr>
      <w:ind w:left="40" w:firstLine="680"/>
      <w:outlineLvl w:val="5"/>
    </w:pPr>
    <w:rPr>
      <w:sz w:val="28"/>
    </w:rPr>
  </w:style>
  <w:style w:type="character" w:default="1" w:styleId="43">
    <w:name w:val="Default Paragraph Font"/>
    <w:qFormat/>
    <w:uiPriority w:val="0"/>
  </w:style>
  <w:style w:type="table" w:default="1" w:styleId="41">
    <w:name w:val="Normal Table"/>
    <w:semiHidden/>
    <w:qFormat/>
    <w:uiPriority w:val="0"/>
    <w:tblPr>
      <w:tblCellMar>
        <w:top w:w="0" w:type="dxa"/>
        <w:left w:w="108" w:type="dxa"/>
        <w:bottom w:w="0" w:type="dxa"/>
        <w:right w:w="108" w:type="dxa"/>
      </w:tblCellMar>
    </w:tblPr>
  </w:style>
  <w:style w:type="paragraph" w:styleId="8">
    <w:name w:val="List 3"/>
    <w:basedOn w:val="1"/>
    <w:qFormat/>
    <w:uiPriority w:val="0"/>
    <w:pPr>
      <w:adjustRightInd w:val="0"/>
      <w:spacing w:line="312" w:lineRule="atLeast"/>
      <w:ind w:left="1260" w:hanging="420"/>
      <w:textAlignment w:val="baseline"/>
    </w:pPr>
    <w:rPr>
      <w:kern w:val="0"/>
    </w:rPr>
  </w:style>
  <w:style w:type="paragraph" w:styleId="9">
    <w:name w:val="toc 7"/>
    <w:basedOn w:val="1"/>
    <w:next w:val="1"/>
    <w:semiHidden/>
    <w:qFormat/>
    <w:uiPriority w:val="0"/>
    <w:pPr>
      <w:spacing w:line="440" w:lineRule="exact"/>
      <w:ind w:left="1050" w:firstLine="200" w:firstLineChars="200"/>
      <w:jc w:val="left"/>
    </w:pPr>
    <w:rPr>
      <w:sz w:val="20"/>
    </w:rPr>
  </w:style>
  <w:style w:type="paragraph" w:styleId="10">
    <w:name w:val="List Bullet 4"/>
    <w:basedOn w:val="1"/>
    <w:qFormat/>
    <w:uiPriority w:val="0"/>
    <w:pPr>
      <w:tabs>
        <w:tab w:val="left" w:pos="375"/>
      </w:tabs>
      <w:ind w:left="375" w:hanging="375"/>
    </w:pPr>
  </w:style>
  <w:style w:type="paragraph" w:styleId="11">
    <w:name w:val="Normal Indent"/>
    <w:basedOn w:val="1"/>
    <w:link w:val="53"/>
    <w:qFormat/>
    <w:uiPriority w:val="0"/>
    <w:pPr>
      <w:ind w:firstLine="420" w:firstLineChars="200"/>
    </w:pPr>
  </w:style>
  <w:style w:type="paragraph" w:styleId="12">
    <w:name w:val="List Bullet"/>
    <w:basedOn w:val="1"/>
    <w:qFormat/>
    <w:uiPriority w:val="0"/>
    <w:pPr>
      <w:tabs>
        <w:tab w:val="left" w:pos="1284"/>
      </w:tabs>
      <w:ind w:left="1284" w:hanging="720"/>
    </w:pPr>
  </w:style>
  <w:style w:type="paragraph" w:styleId="13">
    <w:name w:val="Document Map"/>
    <w:basedOn w:val="1"/>
    <w:qFormat/>
    <w:uiPriority w:val="0"/>
    <w:pPr>
      <w:shd w:val="clear" w:color="auto" w:fill="000080"/>
    </w:pPr>
  </w:style>
  <w:style w:type="paragraph" w:styleId="14">
    <w:name w:val="annotation text"/>
    <w:basedOn w:val="1"/>
    <w:qFormat/>
    <w:uiPriority w:val="0"/>
    <w:pPr>
      <w:jc w:val="left"/>
    </w:pPr>
    <w:rPr>
      <w:szCs w:val="24"/>
    </w:rPr>
  </w:style>
  <w:style w:type="paragraph" w:styleId="15">
    <w:name w:val="Body Text 3"/>
    <w:basedOn w:val="1"/>
    <w:qFormat/>
    <w:uiPriority w:val="0"/>
    <w:pPr>
      <w:spacing w:after="120" w:afterLines="0"/>
    </w:pPr>
    <w:rPr>
      <w:sz w:val="16"/>
      <w:szCs w:val="16"/>
    </w:rPr>
  </w:style>
  <w:style w:type="paragraph" w:styleId="16">
    <w:name w:val="Body Text"/>
    <w:basedOn w:val="1"/>
    <w:next w:val="1"/>
    <w:link w:val="54"/>
    <w:qFormat/>
    <w:uiPriority w:val="0"/>
    <w:pPr>
      <w:spacing w:after="120" w:afterLines="0"/>
    </w:pPr>
    <w:rPr>
      <w:szCs w:val="24"/>
    </w:rPr>
  </w:style>
  <w:style w:type="paragraph" w:styleId="17">
    <w:name w:val="Body Text Indent"/>
    <w:basedOn w:val="1"/>
    <w:next w:val="18"/>
    <w:link w:val="55"/>
    <w:qFormat/>
    <w:uiPriority w:val="0"/>
    <w:pPr>
      <w:ind w:firstLine="540"/>
    </w:pPr>
    <w:rPr>
      <w:sz w:val="28"/>
    </w:rPr>
  </w:style>
  <w:style w:type="paragraph" w:styleId="18">
    <w:name w:val="Body Text First Indent 2"/>
    <w:basedOn w:val="17"/>
    <w:next w:val="1"/>
    <w:qFormat/>
    <w:uiPriority w:val="0"/>
    <w:pPr>
      <w:ind w:left="0" w:leftChars="0" w:firstLine="420"/>
    </w:pPr>
    <w:rPr>
      <w:rFonts w:ascii="宋体"/>
      <w:sz w:val="24"/>
    </w:rPr>
  </w:style>
  <w:style w:type="paragraph" w:styleId="19">
    <w:name w:val="Block Text"/>
    <w:basedOn w:val="1"/>
    <w:qFormat/>
    <w:uiPriority w:val="0"/>
    <w:pPr>
      <w:widowControl/>
      <w:spacing w:after="120"/>
      <w:ind w:left="1440" w:leftChars="700" w:right="1440" w:rightChars="700"/>
      <w:jc w:val="left"/>
    </w:pPr>
    <w:rPr>
      <w:kern w:val="0"/>
      <w:sz w:val="20"/>
    </w:rPr>
  </w:style>
  <w:style w:type="paragraph" w:styleId="20">
    <w:name w:val="List Bullet 2"/>
    <w:basedOn w:val="1"/>
    <w:qFormat/>
    <w:uiPriority w:val="0"/>
    <w:pPr>
      <w:tabs>
        <w:tab w:val="left" w:pos="1265"/>
      </w:tabs>
      <w:ind w:left="1265" w:hanging="705"/>
    </w:pPr>
  </w:style>
  <w:style w:type="paragraph" w:styleId="21">
    <w:name w:val="toc 5"/>
    <w:basedOn w:val="1"/>
    <w:next w:val="1"/>
    <w:semiHidden/>
    <w:qFormat/>
    <w:uiPriority w:val="0"/>
    <w:pPr>
      <w:spacing w:line="440" w:lineRule="exact"/>
      <w:ind w:left="630" w:firstLine="200" w:firstLineChars="200"/>
      <w:jc w:val="left"/>
    </w:pPr>
    <w:rPr>
      <w:sz w:val="20"/>
    </w:rPr>
  </w:style>
  <w:style w:type="paragraph" w:styleId="22">
    <w:name w:val="toc 3"/>
    <w:basedOn w:val="1"/>
    <w:next w:val="1"/>
    <w:qFormat/>
    <w:uiPriority w:val="39"/>
    <w:pPr>
      <w:spacing w:line="440" w:lineRule="exact"/>
      <w:ind w:firstLine="400" w:firstLineChars="400"/>
      <w:jc w:val="left"/>
    </w:pPr>
    <w:rPr>
      <w:rFonts w:eastAsia="黑体"/>
    </w:rPr>
  </w:style>
  <w:style w:type="paragraph" w:styleId="23">
    <w:name w:val="Plain Text"/>
    <w:basedOn w:val="1"/>
    <w:link w:val="56"/>
    <w:qFormat/>
    <w:uiPriority w:val="0"/>
    <w:rPr>
      <w:rFonts w:ascii="宋体" w:hAnsi="Courier New"/>
    </w:rPr>
  </w:style>
  <w:style w:type="paragraph" w:styleId="24">
    <w:name w:val="toc 8"/>
    <w:basedOn w:val="1"/>
    <w:next w:val="1"/>
    <w:semiHidden/>
    <w:qFormat/>
    <w:uiPriority w:val="0"/>
    <w:pPr>
      <w:spacing w:line="440" w:lineRule="exact"/>
      <w:ind w:left="1260" w:firstLine="200" w:firstLineChars="200"/>
      <w:jc w:val="left"/>
    </w:pPr>
    <w:rPr>
      <w:sz w:val="20"/>
    </w:rPr>
  </w:style>
  <w:style w:type="paragraph" w:styleId="25">
    <w:name w:val="Date"/>
    <w:basedOn w:val="1"/>
    <w:next w:val="1"/>
    <w:qFormat/>
    <w:uiPriority w:val="0"/>
    <w:pPr>
      <w:ind w:left="100" w:leftChars="2500"/>
    </w:pPr>
  </w:style>
  <w:style w:type="paragraph" w:styleId="26">
    <w:name w:val="Body Text Indent 2"/>
    <w:basedOn w:val="1"/>
    <w:qFormat/>
    <w:uiPriority w:val="0"/>
    <w:pPr>
      <w:adjustRightInd w:val="0"/>
      <w:snapToGrid w:val="0"/>
      <w:spacing w:line="300" w:lineRule="auto"/>
      <w:ind w:firstLine="630" w:firstLineChars="300"/>
    </w:pPr>
    <w:rPr>
      <w:snapToGrid w:val="0"/>
      <w:kern w:val="0"/>
      <w:szCs w:val="24"/>
    </w:rPr>
  </w:style>
  <w:style w:type="paragraph" w:styleId="27">
    <w:name w:val="Balloon Text"/>
    <w:basedOn w:val="1"/>
    <w:qFormat/>
    <w:uiPriority w:val="0"/>
    <w:rPr>
      <w:sz w:val="18"/>
      <w:szCs w:val="18"/>
    </w:rPr>
  </w:style>
  <w:style w:type="paragraph" w:styleId="28">
    <w:name w:val="footer"/>
    <w:basedOn w:val="1"/>
    <w:link w:val="57"/>
    <w:qFormat/>
    <w:uiPriority w:val="0"/>
    <w:pPr>
      <w:tabs>
        <w:tab w:val="center" w:pos="4153"/>
        <w:tab w:val="right" w:pos="8306"/>
      </w:tabs>
      <w:snapToGrid w:val="0"/>
      <w:jc w:val="left"/>
    </w:pPr>
    <w:rPr>
      <w:sz w:val="18"/>
      <w:szCs w:val="18"/>
    </w:rPr>
  </w:style>
  <w:style w:type="paragraph" w:styleId="29">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rPr>
      <w:b/>
      <w:kern w:val="0"/>
      <w:sz w:val="24"/>
      <w:szCs w:val="32"/>
    </w:rPr>
  </w:style>
  <w:style w:type="paragraph" w:styleId="31">
    <w:name w:val="toc 4"/>
    <w:basedOn w:val="1"/>
    <w:next w:val="1"/>
    <w:semiHidden/>
    <w:qFormat/>
    <w:uiPriority w:val="0"/>
    <w:pPr>
      <w:spacing w:line="440" w:lineRule="exact"/>
      <w:ind w:left="420" w:firstLine="200" w:firstLineChars="200"/>
      <w:jc w:val="left"/>
    </w:pPr>
    <w:rPr>
      <w:sz w:val="20"/>
    </w:rPr>
  </w:style>
  <w:style w:type="paragraph" w:styleId="32">
    <w:name w:val="toc 6"/>
    <w:basedOn w:val="1"/>
    <w:next w:val="1"/>
    <w:semiHidden/>
    <w:qFormat/>
    <w:uiPriority w:val="0"/>
    <w:pPr>
      <w:spacing w:line="440" w:lineRule="exact"/>
      <w:ind w:left="840" w:firstLine="200" w:firstLineChars="200"/>
      <w:jc w:val="left"/>
    </w:pPr>
    <w:rPr>
      <w:sz w:val="20"/>
    </w:rPr>
  </w:style>
  <w:style w:type="paragraph" w:styleId="33">
    <w:name w:val="Body Text Indent 3"/>
    <w:basedOn w:val="1"/>
    <w:qFormat/>
    <w:uiPriority w:val="0"/>
    <w:pPr>
      <w:spacing w:line="360" w:lineRule="auto"/>
      <w:ind w:firstLine="570"/>
    </w:pPr>
    <w:rPr>
      <w:rFonts w:ascii="宋体"/>
      <w:sz w:val="28"/>
    </w:rPr>
  </w:style>
  <w:style w:type="paragraph" w:styleId="34">
    <w:name w:val="toc 2"/>
    <w:basedOn w:val="1"/>
    <w:next w:val="1"/>
    <w:qFormat/>
    <w:uiPriority w:val="39"/>
    <w:pPr>
      <w:ind w:left="420" w:leftChars="200"/>
    </w:pPr>
  </w:style>
  <w:style w:type="paragraph" w:styleId="35">
    <w:name w:val="toc 9"/>
    <w:basedOn w:val="1"/>
    <w:next w:val="1"/>
    <w:semiHidden/>
    <w:qFormat/>
    <w:uiPriority w:val="0"/>
    <w:pPr>
      <w:spacing w:line="440" w:lineRule="exact"/>
      <w:ind w:left="1470" w:firstLine="200" w:firstLineChars="200"/>
      <w:jc w:val="left"/>
    </w:pPr>
    <w:rPr>
      <w:sz w:val="20"/>
    </w:rPr>
  </w:style>
  <w:style w:type="paragraph" w:styleId="36">
    <w:name w:val="Body Text 2"/>
    <w:basedOn w:val="1"/>
    <w:qFormat/>
    <w:uiPriority w:val="0"/>
    <w:pPr>
      <w:spacing w:after="120" w:afterLines="0" w:line="480" w:lineRule="auto"/>
    </w:pPr>
    <w:rPr>
      <w:szCs w:val="24"/>
    </w:r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Arial Unicode MS" w:hAnsi="Arial Unicode MS" w:eastAsia="Arial Unicode MS" w:cs="Arial Unicode MS"/>
      <w:color w:val="000000"/>
      <w:kern w:val="0"/>
      <w:sz w:val="20"/>
    </w:rPr>
  </w:style>
  <w:style w:type="paragraph" w:styleId="38">
    <w:name w:val="Normal (Web)"/>
    <w:basedOn w:val="1"/>
    <w:qFormat/>
    <w:uiPriority w:val="0"/>
    <w:rPr>
      <w:sz w:val="24"/>
      <w:szCs w:val="24"/>
    </w:rPr>
  </w:style>
  <w:style w:type="paragraph" w:styleId="39">
    <w:name w:val="annotation subject"/>
    <w:basedOn w:val="14"/>
    <w:next w:val="1"/>
    <w:qFormat/>
    <w:uiPriority w:val="0"/>
    <w:rPr>
      <w:b/>
      <w:bCs/>
    </w:rPr>
  </w:style>
  <w:style w:type="paragraph" w:styleId="40">
    <w:name w:val="Body Text First Indent"/>
    <w:basedOn w:val="16"/>
    <w:next w:val="1"/>
    <w:qFormat/>
    <w:uiPriority w:val="0"/>
    <w:pPr>
      <w:ind w:firstLine="420" w:firstLineChars="100"/>
    </w:pPr>
    <w:rPr>
      <w:szCs w:val="20"/>
    </w:rPr>
  </w:style>
  <w:style w:type="table" w:styleId="42">
    <w:name w:val="Table Grid"/>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b/>
      <w:bCs/>
    </w:rPr>
  </w:style>
  <w:style w:type="character" w:styleId="45">
    <w:name w:val="page number"/>
    <w:qFormat/>
    <w:uiPriority w:val="0"/>
  </w:style>
  <w:style w:type="character" w:styleId="46">
    <w:name w:val="FollowedHyperlink"/>
    <w:basedOn w:val="43"/>
    <w:qFormat/>
    <w:uiPriority w:val="0"/>
    <w:rPr>
      <w:color w:val="333333"/>
      <w:u w:val="none"/>
    </w:rPr>
  </w:style>
  <w:style w:type="character" w:styleId="47">
    <w:name w:val="Emphasis"/>
    <w:qFormat/>
    <w:uiPriority w:val="0"/>
    <w:rPr>
      <w:i/>
      <w:iCs/>
    </w:rPr>
  </w:style>
  <w:style w:type="character" w:styleId="48">
    <w:name w:val="Hyperlink"/>
    <w:basedOn w:val="43"/>
    <w:qFormat/>
    <w:uiPriority w:val="99"/>
    <w:rPr>
      <w:color w:val="333333"/>
      <w:u w:val="none"/>
    </w:rPr>
  </w:style>
  <w:style w:type="character" w:styleId="49">
    <w:name w:val="annotation reference"/>
    <w:qFormat/>
    <w:uiPriority w:val="0"/>
    <w:rPr>
      <w:sz w:val="21"/>
      <w:szCs w:val="21"/>
    </w:rPr>
  </w:style>
  <w:style w:type="character" w:styleId="50">
    <w:name w:val="HTML Sample"/>
    <w:basedOn w:val="43"/>
    <w:qFormat/>
    <w:uiPriority w:val="0"/>
    <w:rPr>
      <w:rFonts w:ascii="Courier New" w:hAnsi="Courier New"/>
    </w:rPr>
  </w:style>
  <w:style w:type="character" w:customStyle="1" w:styleId="51">
    <w:name w:val="标题 1 字符"/>
    <w:link w:val="2"/>
    <w:qFormat/>
    <w:uiPriority w:val="0"/>
    <w:rPr>
      <w:rFonts w:ascii="宋体" w:eastAsia="宋体"/>
      <w:color w:val="000000"/>
      <w:kern w:val="2"/>
      <w:sz w:val="28"/>
      <w:lang w:val="en-US" w:eastAsia="zh-CN" w:bidi="ar-SA"/>
    </w:rPr>
  </w:style>
  <w:style w:type="character" w:customStyle="1" w:styleId="52">
    <w:name w:val="标题 2 字符1"/>
    <w:link w:val="3"/>
    <w:qFormat/>
    <w:uiPriority w:val="0"/>
    <w:rPr>
      <w:rFonts w:ascii="Arial" w:hAnsi="Arial" w:eastAsia="黑体"/>
      <w:b/>
      <w:kern w:val="2"/>
      <w:sz w:val="32"/>
    </w:rPr>
  </w:style>
  <w:style w:type="character" w:customStyle="1" w:styleId="53">
    <w:name w:val="正文缩进 字符"/>
    <w:link w:val="11"/>
    <w:qFormat/>
    <w:uiPriority w:val="0"/>
    <w:rPr>
      <w:kern w:val="2"/>
      <w:sz w:val="21"/>
    </w:rPr>
  </w:style>
  <w:style w:type="character" w:customStyle="1" w:styleId="54">
    <w:name w:val="正文文本 字符"/>
    <w:link w:val="16"/>
    <w:qFormat/>
    <w:uiPriority w:val="0"/>
    <w:rPr>
      <w:rFonts w:eastAsia="宋体"/>
      <w:kern w:val="2"/>
      <w:sz w:val="21"/>
      <w:szCs w:val="24"/>
      <w:lang w:val="en-US" w:eastAsia="zh-CN" w:bidi="ar-SA"/>
    </w:rPr>
  </w:style>
  <w:style w:type="character" w:customStyle="1" w:styleId="55">
    <w:name w:val="正文文本缩进 字符"/>
    <w:link w:val="17"/>
    <w:qFormat/>
    <w:uiPriority w:val="0"/>
    <w:rPr>
      <w:rFonts w:eastAsia="宋体"/>
      <w:kern w:val="2"/>
      <w:sz w:val="28"/>
      <w:lang w:val="en-US" w:eastAsia="zh-CN" w:bidi="ar-SA"/>
    </w:rPr>
  </w:style>
  <w:style w:type="character" w:customStyle="1" w:styleId="56">
    <w:name w:val="纯文本 字符2"/>
    <w:link w:val="23"/>
    <w:qFormat/>
    <w:uiPriority w:val="0"/>
    <w:rPr>
      <w:rFonts w:ascii="宋体" w:hAnsi="Courier New" w:eastAsia="宋体"/>
      <w:kern w:val="2"/>
      <w:sz w:val="21"/>
      <w:lang w:val="en-US" w:eastAsia="zh-CN" w:bidi="ar-SA"/>
    </w:rPr>
  </w:style>
  <w:style w:type="character" w:customStyle="1" w:styleId="57">
    <w:name w:val="页脚 字符"/>
    <w:link w:val="28"/>
    <w:qFormat/>
    <w:uiPriority w:val="0"/>
    <w:rPr>
      <w:rFonts w:eastAsia="宋体"/>
      <w:kern w:val="2"/>
      <w:sz w:val="18"/>
      <w:szCs w:val="18"/>
      <w:lang w:val="en-US" w:eastAsia="zh-CN" w:bidi="ar-SA"/>
    </w:rPr>
  </w:style>
  <w:style w:type="character" w:customStyle="1" w:styleId="58">
    <w:name w:val="页眉 字符"/>
    <w:link w:val="29"/>
    <w:qFormat/>
    <w:uiPriority w:val="0"/>
    <w:rPr>
      <w:rFonts w:eastAsia="宋体"/>
      <w:kern w:val="2"/>
      <w:sz w:val="18"/>
      <w:szCs w:val="18"/>
      <w:lang w:val="en-US" w:eastAsia="zh-CN" w:bidi="ar-SA"/>
    </w:rPr>
  </w:style>
  <w:style w:type="paragraph" w:customStyle="1" w:styleId="5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60">
    <w:name w:val="正文首行缩进 21"/>
    <w:basedOn w:val="1"/>
    <w:qFormat/>
    <w:uiPriority w:val="0"/>
    <w:pPr>
      <w:spacing w:after="120"/>
      <w:ind w:left="420" w:leftChars="200" w:firstLine="420" w:firstLineChars="200"/>
    </w:pPr>
    <w:rPr>
      <w:rFonts w:ascii="Calibri" w:hAnsi="Calibri" w:eastAsia="宋体" w:cs="Calibri"/>
      <w:kern w:val="0"/>
      <w:sz w:val="28"/>
      <w:szCs w:val="21"/>
    </w:rPr>
  </w:style>
  <w:style w:type="paragraph" w:customStyle="1" w:styleId="61">
    <w:name w:val="Normal_3"/>
    <w:next w:val="23"/>
    <w:qFormat/>
    <w:uiPriority w:val="0"/>
    <w:pPr>
      <w:widowControl w:val="0"/>
      <w:jc w:val="both"/>
    </w:pPr>
    <w:rPr>
      <w:rFonts w:ascii="Calibri" w:hAnsi="Calibri" w:eastAsia="宋体" w:cs="Times New Roman"/>
      <w:lang w:val="en-US" w:eastAsia="zh-CN" w:bidi="ar-SA"/>
    </w:rPr>
  </w:style>
  <w:style w:type="paragraph" w:customStyle="1" w:styleId="62">
    <w:name w:val="Normal_2"/>
    <w:next w:val="16"/>
    <w:qFormat/>
    <w:uiPriority w:val="0"/>
    <w:pPr>
      <w:widowControl w:val="0"/>
      <w:jc w:val="both"/>
    </w:pPr>
    <w:rPr>
      <w:rFonts w:ascii="Calibri" w:hAnsi="Calibri" w:eastAsia="宋体" w:cs="Times New Roman"/>
      <w:lang w:val="en-US" w:eastAsia="zh-CN" w:bidi="ar-SA"/>
    </w:rPr>
  </w:style>
  <w:style w:type="character" w:customStyle="1" w:styleId="63">
    <w:name w:val="unnamed21"/>
    <w:qFormat/>
    <w:uiPriority w:val="0"/>
  </w:style>
  <w:style w:type="character" w:customStyle="1" w:styleId="64">
    <w:name w:val="正文文本 Char Char"/>
    <w:qFormat/>
    <w:uiPriority w:val="0"/>
    <w:rPr>
      <w:rFonts w:eastAsia="宋体"/>
      <w:kern w:val="2"/>
      <w:sz w:val="24"/>
      <w:lang w:val="en-US" w:eastAsia="zh-CN" w:bidi="ar-SA"/>
    </w:rPr>
  </w:style>
  <w:style w:type="character" w:customStyle="1" w:styleId="65">
    <w:name w:val="未处理的提及"/>
    <w:unhideWhenUsed/>
    <w:qFormat/>
    <w:uiPriority w:val="99"/>
    <w:rPr>
      <w:color w:val="808080"/>
      <w:shd w:val="clear" w:color="auto" w:fill="E6E6E6"/>
    </w:rPr>
  </w:style>
  <w:style w:type="character" w:customStyle="1" w:styleId="66">
    <w:name w:val="样式1 Char"/>
    <w:link w:val="67"/>
    <w:qFormat/>
    <w:uiPriority w:val="0"/>
    <w:rPr>
      <w:rFonts w:ascii="宋体" w:eastAsia="宋体"/>
      <w:kern w:val="2"/>
      <w:sz w:val="28"/>
      <w:szCs w:val="18"/>
      <w:lang w:val="en-US" w:eastAsia="zh-CN" w:bidi="ar-SA"/>
    </w:rPr>
  </w:style>
  <w:style w:type="paragraph" w:customStyle="1" w:styleId="67">
    <w:name w:val="样式1"/>
    <w:basedOn w:val="1"/>
    <w:link w:val="66"/>
    <w:qFormat/>
    <w:uiPriority w:val="0"/>
    <w:pPr>
      <w:numPr>
        <w:ilvl w:val="0"/>
        <w:numId w:val="2"/>
      </w:numPr>
      <w:tabs>
        <w:tab w:val="clear" w:pos="1620"/>
      </w:tabs>
      <w:autoSpaceDE w:val="0"/>
      <w:autoSpaceDN w:val="0"/>
      <w:adjustRightInd w:val="0"/>
      <w:spacing w:line="440" w:lineRule="atLeast"/>
      <w:ind w:left="0" w:firstLine="601"/>
      <w:textAlignment w:val="baseline"/>
    </w:pPr>
    <w:rPr>
      <w:rFonts w:ascii="宋体"/>
      <w:sz w:val="28"/>
      <w:szCs w:val="18"/>
    </w:rPr>
  </w:style>
  <w:style w:type="character" w:customStyle="1" w:styleId="68">
    <w:name w:val="contents1"/>
    <w:qFormat/>
    <w:uiPriority w:val="0"/>
    <w:rPr>
      <w:rFonts w:hint="default" w:ascii="Times New Roman" w:hAnsi="Times New Roman" w:cs="Times New Roman"/>
      <w:sz w:val="23"/>
      <w:szCs w:val="23"/>
    </w:rPr>
  </w:style>
  <w:style w:type="character" w:customStyle="1" w:styleId="69">
    <w:name w:val="标题 2 字符"/>
    <w:qFormat/>
    <w:uiPriority w:val="0"/>
    <w:rPr>
      <w:rFonts w:ascii="Arial" w:hAnsi="Arial" w:eastAsia="黑体"/>
      <w:b/>
      <w:kern w:val="2"/>
      <w:sz w:val="32"/>
    </w:rPr>
  </w:style>
  <w:style w:type="character" w:customStyle="1" w:styleId="70">
    <w:name w:val="grame"/>
    <w:qFormat/>
    <w:uiPriority w:val="0"/>
  </w:style>
  <w:style w:type="character" w:customStyle="1" w:styleId="71">
    <w:name w:val="black1"/>
    <w:qFormat/>
    <w:uiPriority w:val="0"/>
    <w:rPr>
      <w:rFonts w:hint="default" w:ascii="ˎ̥" w:hAnsi="ˎ̥"/>
      <w:color w:val="333333"/>
      <w:sz w:val="18"/>
      <w:szCs w:val="18"/>
      <w:u w:val="none"/>
    </w:rPr>
  </w:style>
  <w:style w:type="character" w:customStyle="1" w:styleId="72">
    <w:name w:val="纯文本 字符"/>
    <w:qFormat/>
    <w:uiPriority w:val="0"/>
    <w:rPr>
      <w:rFonts w:ascii="宋体" w:hAnsi="Courier New" w:eastAsia="宋体"/>
      <w:kern w:val="2"/>
      <w:sz w:val="21"/>
      <w:lang w:val="en-US" w:eastAsia="zh-CN" w:bidi="ar-SA"/>
    </w:rPr>
  </w:style>
  <w:style w:type="character" w:customStyle="1" w:styleId="73">
    <w:name w:val="普通文字 Char1"/>
    <w:qFormat/>
    <w:uiPriority w:val="0"/>
    <w:rPr>
      <w:rFonts w:ascii="宋体" w:hAnsi="Courier New"/>
    </w:rPr>
  </w:style>
  <w:style w:type="character" w:customStyle="1" w:styleId="74">
    <w:name w:val=" Char1"/>
    <w:qFormat/>
    <w:uiPriority w:val="0"/>
    <w:rPr>
      <w:rFonts w:ascii="宋体" w:hAnsi="Courier New" w:eastAsia="宋体"/>
      <w:kern w:val="2"/>
      <w:sz w:val="21"/>
      <w:lang w:val="en-US" w:eastAsia="zh-CN" w:bidi="ar-SA"/>
    </w:rPr>
  </w:style>
  <w:style w:type="character" w:customStyle="1" w:styleId="75">
    <w:name w:val="纯文本 字符1"/>
    <w:qFormat/>
    <w:uiPriority w:val="0"/>
    <w:rPr>
      <w:rFonts w:ascii="宋体" w:hAnsi="Courier New" w:eastAsia="宋体"/>
      <w:kern w:val="2"/>
      <w:sz w:val="21"/>
      <w:lang w:val="en-US" w:eastAsia="zh-CN" w:bidi="ar-SA"/>
    </w:rPr>
  </w:style>
  <w:style w:type="character" w:customStyle="1" w:styleId="76">
    <w:name w:val="HTML Markup"/>
    <w:qFormat/>
    <w:uiPriority w:val="0"/>
    <w:rPr>
      <w:vanish/>
      <w:color w:val="FF0000"/>
    </w:rPr>
  </w:style>
  <w:style w:type="paragraph" w:customStyle="1" w:styleId="77">
    <w:name w:val="text1"/>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78">
    <w:name w:val="font9"/>
    <w:basedOn w:val="1"/>
    <w:qFormat/>
    <w:uiPriority w:val="0"/>
    <w:pPr>
      <w:widowControl/>
      <w:spacing w:before="100" w:beforeLines="0" w:beforeAutospacing="1" w:after="100" w:afterLines="0" w:afterAutospacing="1"/>
      <w:jc w:val="left"/>
    </w:pPr>
    <w:rPr>
      <w:rFonts w:hint="eastAsia" w:ascii="宋体" w:hAnsi="宋体" w:cs="Arial Unicode MS"/>
      <w:color w:val="000000"/>
      <w:kern w:val="0"/>
      <w:sz w:val="24"/>
      <w:szCs w:val="24"/>
    </w:rPr>
  </w:style>
  <w:style w:type="paragraph" w:customStyle="1" w:styleId="79">
    <w:name w:val="xl68"/>
    <w:basedOn w:val="1"/>
    <w:qFormat/>
    <w:uiPriority w:val="0"/>
    <w:pPr>
      <w:widowControl/>
      <w:pBdr>
        <w:bottom w:val="single" w:color="auto" w:sz="8" w:space="0"/>
      </w:pBdr>
      <w:spacing w:before="100" w:beforeLines="0" w:beforeAutospacing="1" w:after="100" w:afterLines="0" w:afterAutospacing="1"/>
      <w:jc w:val="left"/>
      <w:textAlignment w:val="center"/>
    </w:pPr>
    <w:rPr>
      <w:b/>
      <w:bCs/>
      <w:kern w:val="0"/>
      <w:sz w:val="36"/>
      <w:szCs w:val="36"/>
    </w:rPr>
  </w:style>
  <w:style w:type="paragraph" w:customStyle="1" w:styleId="80">
    <w:name w:val="xl79"/>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Lines="0" w:beforeAutospacing="1" w:after="100" w:afterLines="0" w:afterAutospacing="1"/>
      <w:jc w:val="left"/>
      <w:textAlignment w:val="center"/>
    </w:pPr>
    <w:rPr>
      <w:rFonts w:hint="eastAsia" w:ascii="创艺繁线体" w:hAnsi="宋体" w:eastAsia="创艺繁线体"/>
      <w:kern w:val="0"/>
      <w:sz w:val="24"/>
      <w:szCs w:val="24"/>
    </w:rPr>
  </w:style>
  <w:style w:type="paragraph" w:customStyle="1" w:styleId="81">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82">
    <w:name w:val="font7"/>
    <w:basedOn w:val="1"/>
    <w:qFormat/>
    <w:uiPriority w:val="0"/>
    <w:pPr>
      <w:widowControl/>
      <w:spacing w:before="100" w:beforeLines="0" w:beforeAutospacing="1" w:after="100" w:afterLines="0" w:afterAutospacing="1"/>
      <w:jc w:val="left"/>
    </w:pPr>
    <w:rPr>
      <w:rFonts w:eastAsia="Arial Unicode MS"/>
      <w:kern w:val="0"/>
      <w:sz w:val="24"/>
      <w:szCs w:val="24"/>
    </w:rPr>
  </w:style>
  <w:style w:type="paragraph" w:customStyle="1" w:styleId="83">
    <w:name w:val="xl47"/>
    <w:basedOn w:val="1"/>
    <w:qFormat/>
    <w:uiPriority w:val="0"/>
    <w:pPr>
      <w:widowControl/>
      <w:spacing w:before="100" w:beforeLines="0" w:beforeAutospacing="1" w:after="100" w:afterLines="0" w:afterAutospacing="1"/>
      <w:jc w:val="center"/>
      <w:textAlignment w:val="center"/>
    </w:pPr>
    <w:rPr>
      <w:rFonts w:ascii="Arial Unicode MS" w:hAnsi="Arial Unicode MS" w:eastAsia="Arial Unicode MS" w:cs="Arial Unicode MS"/>
      <w:b/>
      <w:bCs/>
      <w:kern w:val="0"/>
      <w:sz w:val="40"/>
      <w:szCs w:val="40"/>
    </w:rPr>
  </w:style>
  <w:style w:type="paragraph" w:customStyle="1" w:styleId="84">
    <w:name w:val="Char Char Char1 Char Char Char Char Char Char Char Char Char Char Char Char Char"/>
    <w:basedOn w:val="13"/>
    <w:qFormat/>
    <w:uiPriority w:val="0"/>
    <w:rPr>
      <w:shd w:val="clear" w:color="auto" w:fill="000080"/>
    </w:rPr>
  </w:style>
  <w:style w:type="paragraph" w:customStyle="1" w:styleId="85">
    <w:name w:val="font0"/>
    <w:basedOn w:val="1"/>
    <w:qFormat/>
    <w:uiPriority w:val="0"/>
    <w:pPr>
      <w:widowControl/>
      <w:spacing w:before="100" w:beforeLines="0" w:beforeAutospacing="1" w:after="100" w:afterLines="0" w:afterAutospacing="1"/>
      <w:jc w:val="left"/>
    </w:pPr>
    <w:rPr>
      <w:rFonts w:hint="eastAsia" w:ascii="宋体" w:hAnsi="宋体" w:cs="Arial Unicode MS"/>
      <w:kern w:val="0"/>
      <w:sz w:val="24"/>
      <w:szCs w:val="24"/>
    </w:rPr>
  </w:style>
  <w:style w:type="paragraph" w:customStyle="1" w:styleId="86">
    <w:name w:val="Plain Text"/>
    <w:basedOn w:val="1"/>
    <w:qFormat/>
    <w:uiPriority w:val="0"/>
    <w:pPr>
      <w:adjustRightInd w:val="0"/>
      <w:textAlignment w:val="baseline"/>
    </w:pPr>
    <w:rPr>
      <w:rFonts w:ascii="宋体" w:hAnsi="Courier New"/>
    </w:rPr>
  </w:style>
  <w:style w:type="paragraph" w:customStyle="1" w:styleId="87">
    <w:name w:val=" Char Char Char Char Char Char Char"/>
    <w:basedOn w:val="1"/>
    <w:qFormat/>
    <w:uiPriority w:val="0"/>
    <w:pPr>
      <w:widowControl/>
      <w:tabs>
        <w:tab w:val="left" w:pos="360"/>
      </w:tabs>
      <w:snapToGrid w:val="0"/>
      <w:spacing w:after="160" w:afterLines="0" w:line="360" w:lineRule="auto"/>
      <w:ind w:firstLine="200" w:firstLineChars="200"/>
      <w:jc w:val="left"/>
    </w:pPr>
    <w:rPr>
      <w:kern w:val="0"/>
      <w:sz w:val="24"/>
      <w:szCs w:val="24"/>
      <w:lang w:eastAsia="en-US"/>
    </w:rPr>
  </w:style>
  <w:style w:type="paragraph" w:customStyle="1" w:styleId="88">
    <w:name w:val="xl62"/>
    <w:basedOn w:val="1"/>
    <w:qFormat/>
    <w:uiPriority w:val="0"/>
    <w:pPr>
      <w:widowControl/>
      <w:pBdr>
        <w:top w:val="single" w:color="auto" w:sz="4" w:space="0"/>
        <w:left w:val="single" w:color="auto" w:sz="4" w:space="0"/>
        <w:bottom w:val="single" w:color="auto" w:sz="4" w:space="0"/>
        <w:right w:val="single" w:color="auto" w:sz="8" w:space="0"/>
      </w:pBdr>
      <w:spacing w:before="100" w:beforeLines="0" w:beforeAutospacing="1" w:after="100" w:afterLines="0" w:afterAutospacing="1"/>
      <w:jc w:val="center"/>
      <w:textAlignment w:val="center"/>
    </w:pPr>
    <w:rPr>
      <w:rFonts w:ascii="宋体" w:hAnsi="宋体"/>
      <w:kern w:val="0"/>
      <w:sz w:val="24"/>
      <w:szCs w:val="24"/>
    </w:rPr>
  </w:style>
  <w:style w:type="paragraph" w:customStyle="1" w:styleId="89">
    <w:name w:val="px16"/>
    <w:basedOn w:val="1"/>
    <w:qFormat/>
    <w:uiPriority w:val="0"/>
    <w:pPr>
      <w:widowControl/>
      <w:spacing w:before="100" w:beforeLines="0" w:beforeAutospacing="1" w:after="100" w:afterLines="0" w:afterAutospacing="1" w:line="360" w:lineRule="auto"/>
      <w:jc w:val="left"/>
    </w:pPr>
    <w:rPr>
      <w:rFonts w:ascii="宋体" w:hAnsi="宋体"/>
      <w:kern w:val="0"/>
      <w:sz w:val="24"/>
      <w:szCs w:val="24"/>
    </w:rPr>
  </w:style>
  <w:style w:type="paragraph" w:customStyle="1" w:styleId="90">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textAlignment w:val="center"/>
    </w:pPr>
    <w:rPr>
      <w:rFonts w:eastAsia="Arial Unicode MS"/>
      <w:kern w:val="0"/>
      <w:sz w:val="24"/>
      <w:szCs w:val="24"/>
    </w:rPr>
  </w:style>
  <w:style w:type="paragraph" w:customStyle="1" w:styleId="91">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9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Unicode MS" w:hAnsi="Arial Unicode MS" w:eastAsia="Arial Unicode MS" w:cs="Arial Unicode MS"/>
      <w:kern w:val="0"/>
      <w:sz w:val="24"/>
      <w:szCs w:val="24"/>
    </w:rPr>
  </w:style>
  <w:style w:type="paragraph" w:customStyle="1" w:styleId="93">
    <w:name w:val="xl50"/>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left"/>
      <w:textAlignment w:val="center"/>
    </w:pPr>
    <w:rPr>
      <w:kern w:val="0"/>
      <w:sz w:val="24"/>
      <w:szCs w:val="24"/>
    </w:rPr>
  </w:style>
  <w:style w:type="paragraph" w:customStyle="1" w:styleId="94">
    <w:name w:val="xl85"/>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Lines="0" w:beforeAutospacing="1" w:after="100" w:afterLines="0" w:afterAutospacing="1"/>
      <w:jc w:val="left"/>
      <w:textAlignment w:val="center"/>
    </w:pPr>
    <w:rPr>
      <w:rFonts w:ascii="宋体" w:hAnsi="宋体"/>
      <w:kern w:val="0"/>
      <w:sz w:val="24"/>
      <w:szCs w:val="24"/>
    </w:rPr>
  </w:style>
  <w:style w:type="paragraph" w:customStyle="1" w:styleId="9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Arial Unicode MS" w:hAnsi="Arial Unicode MS" w:eastAsia="Arial Unicode MS" w:cs="Arial Unicode MS"/>
      <w:kern w:val="0"/>
      <w:sz w:val="24"/>
      <w:szCs w:val="24"/>
    </w:rPr>
  </w:style>
  <w:style w:type="paragraph" w:customStyle="1" w:styleId="96">
    <w:name w:val=" Char"/>
    <w:basedOn w:val="1"/>
    <w:qFormat/>
    <w:uiPriority w:val="0"/>
    <w:pPr>
      <w:widowControl/>
      <w:spacing w:after="160" w:afterLines="0" w:line="240" w:lineRule="exact"/>
      <w:jc w:val="left"/>
    </w:pPr>
    <w:rPr>
      <w:rFonts w:ascii="Verdana" w:hAnsi="Verdana" w:eastAsia="楷体_GB2312"/>
      <w:b/>
      <w:i/>
      <w:iCs/>
      <w:color w:val="000000"/>
      <w:kern w:val="0"/>
      <w:sz w:val="20"/>
      <w:lang w:eastAsia="en-US"/>
    </w:rPr>
  </w:style>
  <w:style w:type="paragraph" w:customStyle="1" w:styleId="97">
    <w:name w:val="font8"/>
    <w:basedOn w:val="1"/>
    <w:qFormat/>
    <w:uiPriority w:val="0"/>
    <w:pPr>
      <w:widowControl/>
      <w:spacing w:before="100" w:beforeLines="0" w:beforeAutospacing="1" w:after="100" w:afterLines="0" w:afterAutospacing="1"/>
      <w:jc w:val="left"/>
    </w:pPr>
    <w:rPr>
      <w:rFonts w:hint="eastAsia" w:ascii="宋体" w:hAnsi="宋体" w:cs="Arial Unicode MS"/>
      <w:color w:val="FF0000"/>
      <w:kern w:val="0"/>
      <w:sz w:val="24"/>
      <w:szCs w:val="24"/>
    </w:rPr>
  </w:style>
  <w:style w:type="paragraph" w:customStyle="1" w:styleId="98">
    <w:name w:val=" Char Char Char"/>
    <w:basedOn w:val="1"/>
    <w:qFormat/>
    <w:uiPriority w:val="0"/>
    <w:rPr>
      <w:rFonts w:ascii="Tahoma" w:hAnsi="Tahoma"/>
      <w:sz w:val="24"/>
    </w:rPr>
  </w:style>
  <w:style w:type="paragraph" w:customStyle="1" w:styleId="99">
    <w:name w:val="xl66"/>
    <w:basedOn w:val="1"/>
    <w:qFormat/>
    <w:uiPriority w:val="0"/>
    <w:pPr>
      <w:widowControl/>
      <w:pBdr>
        <w:top w:val="single" w:color="auto" w:sz="4" w:space="0"/>
        <w:left w:val="single" w:color="auto" w:sz="4" w:space="0"/>
        <w:bottom w:val="single" w:color="auto" w:sz="8" w:space="0"/>
        <w:right w:val="single" w:color="auto" w:sz="8" w:space="0"/>
      </w:pBdr>
      <w:spacing w:before="100" w:beforeLines="0" w:beforeAutospacing="1" w:after="100" w:afterLines="0" w:afterAutospacing="1"/>
      <w:jc w:val="right"/>
      <w:textAlignment w:val="center"/>
    </w:pPr>
    <w:rPr>
      <w:rFonts w:ascii="宋体" w:hAnsi="宋体"/>
      <w:b/>
      <w:bCs/>
      <w:kern w:val="0"/>
      <w:sz w:val="24"/>
      <w:szCs w:val="24"/>
    </w:rPr>
  </w:style>
  <w:style w:type="paragraph" w:customStyle="1" w:styleId="10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kern w:val="0"/>
      <w:sz w:val="24"/>
      <w:szCs w:val="24"/>
    </w:rPr>
  </w:style>
  <w:style w:type="paragraph" w:customStyle="1" w:styleId="10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Unicode MS" w:hAnsi="Arial Unicode MS" w:eastAsia="Arial Unicode MS" w:cs="Arial Unicode MS"/>
      <w:kern w:val="0"/>
      <w:sz w:val="24"/>
      <w:szCs w:val="24"/>
    </w:rPr>
  </w:style>
  <w:style w:type="paragraph" w:customStyle="1" w:styleId="102">
    <w:name w:val="xl86"/>
    <w:basedOn w:val="1"/>
    <w:qFormat/>
    <w:uiPriority w:val="0"/>
    <w:pPr>
      <w:widowControl/>
      <w:pBdr>
        <w:top w:val="single" w:color="auto" w:sz="4" w:space="0"/>
        <w:left w:val="single" w:color="auto" w:sz="4" w:space="0"/>
        <w:bottom w:val="single" w:color="auto" w:sz="8" w:space="0"/>
        <w:right w:val="single" w:color="auto" w:sz="4" w:space="0"/>
      </w:pBdr>
      <w:spacing w:before="100" w:beforeLines="0" w:beforeAutospacing="1" w:after="100" w:afterLines="0" w:afterAutospacing="1"/>
      <w:jc w:val="center"/>
      <w:textAlignment w:val="center"/>
    </w:pPr>
    <w:rPr>
      <w:rFonts w:ascii="宋体" w:hAnsi="宋体"/>
      <w:kern w:val="0"/>
      <w:sz w:val="24"/>
      <w:szCs w:val="24"/>
    </w:rPr>
  </w:style>
  <w:style w:type="paragraph" w:customStyle="1" w:styleId="103">
    <w:name w:val="xl70"/>
    <w:basedOn w:val="1"/>
    <w:qFormat/>
    <w:uiPriority w:val="0"/>
    <w:pPr>
      <w:widowControl/>
      <w:pBdr>
        <w:top w:val="single" w:color="auto" w:sz="8" w:space="0"/>
        <w:left w:val="single" w:color="auto" w:sz="4" w:space="0"/>
        <w:right w:val="single" w:color="auto" w:sz="4" w:space="0"/>
      </w:pBdr>
      <w:spacing w:before="100" w:beforeLines="0" w:beforeAutospacing="1" w:after="100" w:afterLines="0" w:afterAutospacing="1"/>
      <w:jc w:val="left"/>
      <w:textAlignment w:val="center"/>
    </w:pPr>
    <w:rPr>
      <w:rFonts w:ascii="宋体" w:hAnsi="宋体"/>
      <w:kern w:val="0"/>
      <w:sz w:val="24"/>
      <w:szCs w:val="24"/>
    </w:rPr>
  </w:style>
  <w:style w:type="paragraph" w:customStyle="1" w:styleId="104">
    <w:name w:val="xl73"/>
    <w:basedOn w:val="1"/>
    <w:qFormat/>
    <w:uiPriority w:val="0"/>
    <w:pPr>
      <w:widowControl/>
      <w:pBdr>
        <w:top w:val="single" w:color="auto" w:sz="8"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szCs w:val="24"/>
    </w:rPr>
  </w:style>
  <w:style w:type="paragraph" w:customStyle="1" w:styleId="105">
    <w:name w:val="_Style 104"/>
    <w:basedOn w:val="2"/>
    <w:next w:val="1"/>
    <w:qFormat/>
    <w:uiPriority w:val="39"/>
    <w:pPr>
      <w:keepLines/>
      <w:widowControl/>
      <w:autoSpaceDE/>
      <w:autoSpaceDN/>
      <w:adjustRightInd/>
      <w:spacing w:before="480" w:line="276" w:lineRule="auto"/>
      <w:jc w:val="left"/>
      <w:outlineLvl w:val="9"/>
    </w:pPr>
    <w:rPr>
      <w:rFonts w:ascii="Cambria" w:hAnsi="Cambria" w:eastAsia="宋体" w:cs="Times New Roman"/>
      <w:b/>
      <w:bCs/>
      <w:color w:val="365F91"/>
      <w:kern w:val="0"/>
      <w:szCs w:val="28"/>
    </w:rPr>
  </w:style>
  <w:style w:type="paragraph" w:customStyle="1" w:styleId="106">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eastAsia="Arial Unicode MS"/>
      <w:color w:val="FF0000"/>
      <w:kern w:val="0"/>
      <w:sz w:val="24"/>
      <w:szCs w:val="24"/>
    </w:rPr>
  </w:style>
  <w:style w:type="paragraph" w:customStyle="1" w:styleId="107">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rFonts w:ascii="宋体" w:hAnsi="宋体"/>
      <w:kern w:val="0"/>
      <w:sz w:val="24"/>
      <w:szCs w:val="24"/>
    </w:rPr>
  </w:style>
  <w:style w:type="paragraph" w:customStyle="1" w:styleId="10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Unicode MS" w:hAnsi="Arial Unicode MS" w:eastAsia="Arial Unicode MS" w:cs="Arial Unicode MS"/>
      <w:kern w:val="0"/>
      <w:sz w:val="24"/>
      <w:szCs w:val="24"/>
    </w:rPr>
  </w:style>
  <w:style w:type="paragraph" w:customStyle="1" w:styleId="109">
    <w:name w:val="xl82"/>
    <w:basedOn w:val="1"/>
    <w:qFormat/>
    <w:uiPriority w:val="0"/>
    <w:pPr>
      <w:widowControl/>
      <w:pBdr>
        <w:top w:val="single" w:color="auto" w:sz="4" w:space="0"/>
        <w:left w:val="single" w:color="auto" w:sz="8" w:space="0"/>
        <w:bottom w:val="single" w:color="auto" w:sz="4" w:space="0"/>
        <w:right w:val="single" w:color="auto" w:sz="4" w:space="0"/>
      </w:pBdr>
      <w:shd w:val="clear" w:color="auto" w:fill="C0C0C0"/>
      <w:spacing w:before="100" w:beforeLines="0" w:beforeAutospacing="1" w:after="100" w:afterLines="0" w:afterAutospacing="1"/>
      <w:jc w:val="left"/>
      <w:textAlignment w:val="center"/>
    </w:pPr>
    <w:rPr>
      <w:rFonts w:ascii="宋体" w:hAnsi="宋体"/>
      <w:color w:val="000000"/>
      <w:kern w:val="0"/>
      <w:sz w:val="24"/>
      <w:szCs w:val="24"/>
    </w:rPr>
  </w:style>
  <w:style w:type="paragraph" w:customStyle="1" w:styleId="110">
    <w:name w:val="Char Char Char Char"/>
    <w:basedOn w:val="1"/>
    <w:qFormat/>
    <w:uiPriority w:val="0"/>
    <w:pPr>
      <w:widowControl/>
      <w:spacing w:after="160" w:afterLines="0" w:line="240" w:lineRule="exact"/>
      <w:jc w:val="left"/>
    </w:pPr>
  </w:style>
  <w:style w:type="paragraph" w:customStyle="1" w:styleId="111">
    <w:name w:val=" Char2 Char Char Char Char Char Char"/>
    <w:basedOn w:val="13"/>
    <w:qFormat/>
    <w:uiPriority w:val="0"/>
    <w:rPr>
      <w:rFonts w:ascii="Tahoma" w:hAnsi="Tahoma"/>
      <w:sz w:val="24"/>
      <w:szCs w:val="24"/>
    </w:rPr>
  </w:style>
  <w:style w:type="paragraph" w:customStyle="1" w:styleId="112">
    <w:name w:val=" Char Char1"/>
    <w:basedOn w:val="1"/>
    <w:qFormat/>
    <w:uiPriority w:val="0"/>
    <w:pPr>
      <w:widowControl/>
      <w:spacing w:after="160" w:afterLines="0" w:line="240" w:lineRule="exact"/>
      <w:jc w:val="left"/>
    </w:pPr>
    <w:rPr>
      <w:rFonts w:ascii="Verdana" w:hAnsi="Verdana" w:eastAsia="楷体_GB2312"/>
      <w:b/>
      <w:i/>
      <w:iCs/>
      <w:color w:val="000000"/>
      <w:kern w:val="0"/>
      <w:sz w:val="20"/>
      <w:lang w:eastAsia="en-US"/>
    </w:rPr>
  </w:style>
  <w:style w:type="paragraph" w:customStyle="1" w:styleId="113">
    <w:name w:val="xl69"/>
    <w:basedOn w:val="1"/>
    <w:qFormat/>
    <w:uiPriority w:val="0"/>
    <w:pPr>
      <w:widowControl/>
      <w:pBdr>
        <w:top w:val="single" w:color="auto" w:sz="8" w:space="0"/>
        <w:left w:val="single" w:color="auto" w:sz="8" w:space="0"/>
        <w:right w:val="single" w:color="auto" w:sz="4" w:space="0"/>
      </w:pBdr>
      <w:spacing w:before="100" w:beforeLines="0" w:beforeAutospacing="1" w:after="100" w:afterLines="0" w:afterAutospacing="1"/>
      <w:jc w:val="center"/>
      <w:textAlignment w:val="center"/>
    </w:pPr>
    <w:rPr>
      <w:kern w:val="0"/>
      <w:sz w:val="24"/>
      <w:szCs w:val="24"/>
    </w:rPr>
  </w:style>
  <w:style w:type="paragraph" w:customStyle="1" w:styleId="114">
    <w:name w:val="xl84"/>
    <w:basedOn w:val="1"/>
    <w:qFormat/>
    <w:uiPriority w:val="0"/>
    <w:pPr>
      <w:widowControl/>
      <w:pBdr>
        <w:top w:val="single" w:color="auto" w:sz="4" w:space="0"/>
        <w:left w:val="single" w:color="auto" w:sz="4" w:space="0"/>
        <w:bottom w:val="single" w:color="auto" w:sz="4" w:space="0"/>
        <w:right w:val="single" w:color="auto" w:sz="8" w:space="0"/>
      </w:pBdr>
      <w:shd w:val="clear" w:color="auto" w:fill="C0C0C0"/>
      <w:spacing w:before="100" w:beforeLines="0" w:beforeAutospacing="1" w:after="100" w:afterLines="0" w:afterAutospacing="1"/>
      <w:jc w:val="left"/>
      <w:textAlignment w:val="center"/>
    </w:pPr>
    <w:rPr>
      <w:rFonts w:ascii="宋体" w:hAnsi="宋体"/>
      <w:kern w:val="0"/>
      <w:sz w:val="24"/>
      <w:szCs w:val="24"/>
    </w:rPr>
  </w:style>
  <w:style w:type="paragraph" w:customStyle="1" w:styleId="115">
    <w:name w:val="xl57"/>
    <w:basedOn w:val="1"/>
    <w:qFormat/>
    <w:uiPriority w:val="0"/>
    <w:pPr>
      <w:widowControl/>
      <w:pBdr>
        <w:top w:val="single" w:color="auto" w:sz="4" w:space="0"/>
        <w:left w:val="single" w:color="auto" w:sz="4" w:space="0"/>
        <w:bottom w:val="single" w:color="auto" w:sz="4" w:space="0"/>
        <w:right w:val="single" w:color="auto" w:sz="8"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11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117">
    <w:name w:val="标题1"/>
    <w:basedOn w:val="2"/>
    <w:qFormat/>
    <w:uiPriority w:val="0"/>
    <w:pPr>
      <w:keepLines/>
      <w:autoSpaceDE/>
      <w:autoSpaceDN/>
      <w:adjustRightInd/>
      <w:spacing w:before="100" w:beforeLines="0" w:beforeAutospacing="1" w:after="100" w:afterLines="0" w:afterAutospacing="1" w:line="0" w:lineRule="atLeast"/>
    </w:pPr>
    <w:rPr>
      <w:rFonts w:ascii="Times New Roman"/>
      <w:b/>
      <w:bCs/>
      <w:sz w:val="30"/>
      <w:szCs w:val="30"/>
    </w:rPr>
  </w:style>
  <w:style w:type="paragraph" w:customStyle="1" w:styleId="11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eastAsia="Arial Unicode MS"/>
      <w:kern w:val="0"/>
      <w:sz w:val="24"/>
      <w:szCs w:val="24"/>
    </w:rPr>
  </w:style>
  <w:style w:type="paragraph" w:customStyle="1" w:styleId="11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Unicode MS" w:hAnsi="Arial Unicode MS" w:eastAsia="Arial Unicode MS" w:cs="Arial Unicode MS"/>
      <w:kern w:val="0"/>
      <w:sz w:val="24"/>
      <w:szCs w:val="24"/>
    </w:rPr>
  </w:style>
  <w:style w:type="paragraph" w:customStyle="1" w:styleId="120">
    <w:name w:val=" 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12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Cs w:val="21"/>
    </w:rPr>
  </w:style>
  <w:style w:type="paragraph" w:customStyle="1" w:styleId="12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Arial Unicode MS" w:hAnsi="Arial Unicode MS" w:eastAsia="Arial Unicode MS" w:cs="Arial Unicode MS"/>
      <w:kern w:val="0"/>
      <w:sz w:val="24"/>
      <w:szCs w:val="24"/>
    </w:rPr>
  </w:style>
  <w:style w:type="paragraph" w:customStyle="1" w:styleId="123">
    <w:name w:val="xl8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left"/>
      <w:textAlignment w:val="center"/>
    </w:pPr>
    <w:rPr>
      <w:rFonts w:ascii="宋体" w:hAnsi="宋体"/>
      <w:kern w:val="0"/>
      <w:sz w:val="24"/>
      <w:szCs w:val="24"/>
    </w:rPr>
  </w:style>
  <w:style w:type="paragraph" w:customStyle="1" w:styleId="124">
    <w:name w:val="xl77"/>
    <w:basedOn w:val="1"/>
    <w:qFormat/>
    <w:uiPriority w:val="0"/>
    <w:pPr>
      <w:widowControl/>
      <w:pBdr>
        <w:top w:val="single" w:color="auto" w:sz="8"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b/>
      <w:bCs/>
      <w:i/>
      <w:iCs/>
      <w:kern w:val="0"/>
      <w:sz w:val="24"/>
      <w:szCs w:val="24"/>
    </w:rPr>
  </w:style>
  <w:style w:type="paragraph" w:customStyle="1" w:styleId="12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eastAsia="Arial Unicode MS"/>
      <w:kern w:val="0"/>
      <w:sz w:val="24"/>
      <w:szCs w:val="24"/>
    </w:rPr>
  </w:style>
  <w:style w:type="paragraph" w:customStyle="1" w:styleId="126">
    <w:name w:val="xl87"/>
    <w:basedOn w:val="1"/>
    <w:qFormat/>
    <w:uiPriority w:val="0"/>
    <w:pPr>
      <w:widowControl/>
      <w:pBdr>
        <w:top w:val="single" w:color="auto" w:sz="4" w:space="0"/>
        <w:left w:val="single" w:color="auto" w:sz="4" w:space="0"/>
        <w:bottom w:val="single" w:color="auto" w:sz="8" w:space="0"/>
        <w:right w:val="single" w:color="auto" w:sz="4"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Unicode MS" w:hAnsi="Arial Unicode MS" w:eastAsia="Arial Unicode MS" w:cs="Arial Unicode MS"/>
      <w:color w:val="FF0000"/>
      <w:kern w:val="0"/>
      <w:sz w:val="24"/>
      <w:szCs w:val="24"/>
    </w:rPr>
  </w:style>
  <w:style w:type="paragraph" w:customStyle="1" w:styleId="128">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129">
    <w:name w:val="Char Char Char Char Char Char Char Char Char Char Char Char Char Char Char Char Char Char"/>
    <w:basedOn w:val="1"/>
    <w:qFormat/>
    <w:uiPriority w:val="0"/>
    <w:pPr>
      <w:widowControl/>
      <w:spacing w:after="160" w:afterLines="0" w:line="240" w:lineRule="exact"/>
      <w:jc w:val="left"/>
    </w:pPr>
    <w:rPr>
      <w:rFonts w:ascii="Verdana" w:hAnsi="Verdana" w:eastAsia="仿宋_GB2312" w:cs="Verdana"/>
      <w:kern w:val="0"/>
      <w:sz w:val="24"/>
      <w:szCs w:val="24"/>
      <w:lang w:eastAsia="en-US"/>
    </w:rPr>
  </w:style>
  <w:style w:type="paragraph" w:customStyle="1" w:styleId="130">
    <w:name w:val="xl74"/>
    <w:basedOn w:val="1"/>
    <w:qFormat/>
    <w:uiPriority w:val="0"/>
    <w:pPr>
      <w:widowControl/>
      <w:pBdr>
        <w:top w:val="single" w:color="auto" w:sz="8"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131">
    <w:name w:val="xl78"/>
    <w:basedOn w:val="1"/>
    <w:qFormat/>
    <w:uiPriority w:val="0"/>
    <w:pPr>
      <w:widowControl/>
      <w:pBdr>
        <w:top w:val="single" w:color="auto" w:sz="8" w:space="0"/>
        <w:left w:val="single" w:color="auto" w:sz="4" w:space="0"/>
        <w:bottom w:val="single" w:color="auto" w:sz="4" w:space="0"/>
        <w:right w:val="single" w:color="auto" w:sz="8" w:space="0"/>
      </w:pBdr>
      <w:spacing w:before="100" w:beforeLines="0" w:beforeAutospacing="1" w:after="100" w:afterLines="0" w:afterAutospacing="1"/>
      <w:jc w:val="left"/>
      <w:textAlignment w:val="center"/>
    </w:pPr>
    <w:rPr>
      <w:b/>
      <w:bCs/>
      <w:i/>
      <w:iCs/>
      <w:kern w:val="0"/>
      <w:sz w:val="24"/>
      <w:szCs w:val="24"/>
    </w:rPr>
  </w:style>
  <w:style w:type="paragraph" w:customStyle="1" w:styleId="132">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133">
    <w:name w:val="xl71"/>
    <w:basedOn w:val="1"/>
    <w:qFormat/>
    <w:uiPriority w:val="0"/>
    <w:pPr>
      <w:widowControl/>
      <w:pBdr>
        <w:top w:val="single" w:color="auto" w:sz="8" w:space="0"/>
        <w:left w:val="single" w:color="auto" w:sz="4" w:space="0"/>
        <w:right w:val="single" w:color="auto" w:sz="4" w:space="0"/>
      </w:pBdr>
      <w:spacing w:before="100" w:beforeLines="0" w:beforeAutospacing="1" w:after="100" w:afterLines="0" w:afterAutospacing="1"/>
      <w:jc w:val="left"/>
      <w:textAlignment w:val="center"/>
    </w:pPr>
    <w:rPr>
      <w:kern w:val="0"/>
      <w:sz w:val="24"/>
      <w:szCs w:val="24"/>
    </w:rPr>
  </w:style>
  <w:style w:type="paragraph" w:customStyle="1" w:styleId="13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Arial Unicode MS" w:hAnsi="Arial Unicode MS" w:eastAsia="Arial Unicode MS" w:cs="Arial Unicode MS"/>
      <w:kern w:val="0"/>
      <w:sz w:val="24"/>
      <w:szCs w:val="24"/>
    </w:rPr>
  </w:style>
  <w:style w:type="paragraph" w:customStyle="1" w:styleId="135">
    <w:name w:val="目录文字"/>
    <w:basedOn w:val="1"/>
    <w:qFormat/>
    <w:uiPriority w:val="0"/>
    <w:pPr>
      <w:widowControl/>
      <w:spacing w:line="480" w:lineRule="auto"/>
      <w:jc w:val="left"/>
    </w:pPr>
    <w:rPr>
      <w:rFonts w:ascii="宋体" w:hAnsi="宋体"/>
      <w:kern w:val="0"/>
      <w:sz w:val="24"/>
    </w:rPr>
  </w:style>
  <w:style w:type="paragraph" w:customStyle="1" w:styleId="136">
    <w:name w:val="Table Heading"/>
    <w:basedOn w:val="1"/>
    <w:qFormat/>
    <w:uiPriority w:val="0"/>
    <w:pPr>
      <w:widowControl/>
      <w:jc w:val="center"/>
    </w:pPr>
    <w:rPr>
      <w:rFonts w:ascii="Arial" w:hAnsi="Arial"/>
      <w:b/>
      <w:kern w:val="0"/>
      <w:sz w:val="18"/>
    </w:rPr>
  </w:style>
  <w:style w:type="paragraph" w:customStyle="1" w:styleId="137">
    <w:name w:val="xl64"/>
    <w:basedOn w:val="1"/>
    <w:qFormat/>
    <w:uiPriority w:val="0"/>
    <w:pPr>
      <w:widowControl/>
      <w:pBdr>
        <w:top w:val="single" w:color="auto" w:sz="4" w:space="0"/>
        <w:left w:val="single" w:color="auto" w:sz="4" w:space="0"/>
        <w:bottom w:val="single" w:color="auto" w:sz="8" w:space="0"/>
        <w:right w:val="single" w:color="auto" w:sz="4" w:space="0"/>
      </w:pBdr>
      <w:spacing w:before="100" w:beforeLines="0" w:beforeAutospacing="1" w:after="100" w:afterLines="0" w:afterAutospacing="1"/>
      <w:jc w:val="left"/>
      <w:textAlignment w:val="center"/>
    </w:pPr>
    <w:rPr>
      <w:kern w:val="0"/>
      <w:sz w:val="24"/>
      <w:szCs w:val="24"/>
    </w:rPr>
  </w:style>
  <w:style w:type="paragraph" w:customStyle="1" w:styleId="138">
    <w:name w:val="xl52"/>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left"/>
      <w:textAlignment w:val="center"/>
    </w:pPr>
    <w:rPr>
      <w:rFonts w:ascii="宋体" w:hAnsi="宋体"/>
      <w:kern w:val="0"/>
      <w:sz w:val="24"/>
      <w:szCs w:val="24"/>
    </w:rPr>
  </w:style>
  <w:style w:type="paragraph" w:customStyle="1" w:styleId="139">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eastAsia="Arial Unicode MS"/>
      <w:color w:val="FF0000"/>
      <w:kern w:val="0"/>
      <w:sz w:val="24"/>
      <w:szCs w:val="24"/>
    </w:rPr>
  </w:style>
  <w:style w:type="paragraph" w:customStyle="1" w:styleId="140">
    <w:name w:val="1"/>
    <w:basedOn w:val="1"/>
    <w:next w:val="23"/>
    <w:qFormat/>
    <w:uiPriority w:val="0"/>
    <w:rPr>
      <w:rFonts w:ascii="宋体" w:hAnsi="Courier New"/>
    </w:rPr>
  </w:style>
  <w:style w:type="paragraph" w:customStyle="1" w:styleId="14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Arial Unicode MS" w:hAnsi="Arial Unicode MS" w:eastAsia="Arial Unicode MS" w:cs="Arial Unicode MS"/>
      <w:b/>
      <w:bCs/>
      <w:kern w:val="0"/>
      <w:sz w:val="24"/>
      <w:szCs w:val="24"/>
    </w:rPr>
  </w:style>
  <w:style w:type="paragraph" w:customStyle="1" w:styleId="14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Arial Unicode MS" w:hAnsi="Arial Unicode MS" w:eastAsia="Arial Unicode MS" w:cs="Arial Unicode MS"/>
      <w:kern w:val="0"/>
      <w:sz w:val="24"/>
      <w:szCs w:val="24"/>
    </w:rPr>
  </w:style>
  <w:style w:type="paragraph" w:customStyle="1" w:styleId="143">
    <w:name w:val="xl51"/>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kern w:val="0"/>
      <w:sz w:val="24"/>
      <w:szCs w:val="24"/>
    </w:rPr>
  </w:style>
  <w:style w:type="paragraph" w:customStyle="1" w:styleId="144">
    <w:name w:val="xl54"/>
    <w:basedOn w:val="1"/>
    <w:qFormat/>
    <w:uiPriority w:val="0"/>
    <w:pPr>
      <w:widowControl/>
      <w:pBdr>
        <w:top w:val="single" w:color="auto" w:sz="4" w:space="0"/>
        <w:left w:val="single" w:color="auto" w:sz="4" w:space="0"/>
        <w:bottom w:val="single" w:color="auto" w:sz="4" w:space="0"/>
        <w:right w:val="single" w:color="auto" w:sz="8" w:space="0"/>
      </w:pBdr>
      <w:spacing w:before="100" w:beforeLines="0" w:beforeAutospacing="1" w:after="100" w:afterLines="0" w:afterAutospacing="1"/>
      <w:jc w:val="right"/>
      <w:textAlignment w:val="center"/>
    </w:pPr>
    <w:rPr>
      <w:rFonts w:ascii="宋体" w:hAnsi="宋体"/>
      <w:color w:val="000000"/>
      <w:kern w:val="0"/>
      <w:sz w:val="24"/>
      <w:szCs w:val="24"/>
    </w:rPr>
  </w:style>
  <w:style w:type="paragraph" w:customStyle="1" w:styleId="145">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Arial Unicode MS" w:hAnsi="Arial Unicode MS" w:eastAsia="Arial Unicode MS" w:cs="Arial Unicode MS"/>
      <w:kern w:val="0"/>
      <w:sz w:val="24"/>
      <w:szCs w:val="24"/>
    </w:rPr>
  </w:style>
  <w:style w:type="paragraph" w:customStyle="1" w:styleId="146">
    <w:name w:val="xl67"/>
    <w:basedOn w:val="1"/>
    <w:qFormat/>
    <w:uiPriority w:val="0"/>
    <w:pPr>
      <w:widowControl/>
      <w:pBdr>
        <w:bottom w:val="single" w:color="auto" w:sz="8" w:space="0"/>
      </w:pBdr>
      <w:spacing w:before="100" w:beforeLines="0" w:beforeAutospacing="1" w:after="100" w:afterLines="0" w:afterAutospacing="1"/>
      <w:jc w:val="left"/>
      <w:textAlignment w:val="center"/>
    </w:pPr>
    <w:rPr>
      <w:rFonts w:ascii="宋体" w:hAnsi="宋体"/>
      <w:b/>
      <w:bCs/>
      <w:kern w:val="0"/>
      <w:sz w:val="40"/>
      <w:szCs w:val="40"/>
    </w:rPr>
  </w:style>
  <w:style w:type="paragraph" w:customStyle="1" w:styleId="147">
    <w:name w:val="小标题"/>
    <w:basedOn w:val="1"/>
    <w:qFormat/>
    <w:uiPriority w:val="0"/>
    <w:pPr>
      <w:tabs>
        <w:tab w:val="left" w:pos="1404"/>
      </w:tabs>
      <w:ind w:left="1404" w:hanging="420"/>
    </w:pPr>
    <w:rPr>
      <w:szCs w:val="24"/>
    </w:rPr>
  </w:style>
  <w:style w:type="paragraph" w:customStyle="1" w:styleId="148">
    <w:name w:val="font10"/>
    <w:basedOn w:val="1"/>
    <w:qFormat/>
    <w:uiPriority w:val="0"/>
    <w:pPr>
      <w:widowControl/>
      <w:spacing w:before="100" w:beforeLines="0" w:beforeAutospacing="1" w:after="100" w:afterLines="0" w:afterAutospacing="1"/>
      <w:jc w:val="left"/>
    </w:pPr>
    <w:rPr>
      <w:rFonts w:hint="eastAsia" w:ascii="宋体" w:hAnsi="宋体"/>
      <w:b/>
      <w:bCs/>
      <w:color w:val="000000"/>
      <w:kern w:val="0"/>
      <w:sz w:val="18"/>
      <w:szCs w:val="18"/>
    </w:rPr>
  </w:style>
  <w:style w:type="paragraph" w:customStyle="1" w:styleId="149">
    <w:name w:val=" Char Char Char Char Char Char1 Char"/>
    <w:basedOn w:val="1"/>
    <w:qFormat/>
    <w:uiPriority w:val="0"/>
    <w:pPr>
      <w:widowControl/>
      <w:spacing w:after="160" w:afterLines="0" w:line="240" w:lineRule="exact"/>
      <w:jc w:val="left"/>
    </w:pPr>
    <w:rPr>
      <w:rFonts w:ascii="宋体" w:hAnsi="宋体"/>
      <w:kern w:val="0"/>
      <w:sz w:val="24"/>
      <w:lang w:eastAsia="en-US"/>
    </w:rPr>
  </w:style>
  <w:style w:type="paragraph" w:customStyle="1" w:styleId="150">
    <w:name w:val="xl55"/>
    <w:basedOn w:val="1"/>
    <w:qFormat/>
    <w:uiPriority w:val="0"/>
    <w:pPr>
      <w:widowControl/>
      <w:pBdr>
        <w:top w:val="single" w:color="auto" w:sz="4" w:space="0"/>
        <w:left w:val="single" w:color="auto" w:sz="4" w:space="0"/>
        <w:bottom w:val="single" w:color="auto" w:sz="4" w:space="0"/>
        <w:right w:val="single" w:color="auto" w:sz="8" w:space="0"/>
      </w:pBdr>
      <w:spacing w:before="100" w:beforeLines="0" w:beforeAutospacing="1" w:after="100" w:afterLines="0" w:afterAutospacing="1"/>
      <w:jc w:val="right"/>
      <w:textAlignment w:val="center"/>
    </w:pPr>
    <w:rPr>
      <w:rFonts w:ascii="宋体" w:hAnsi="宋体"/>
      <w:color w:val="000000"/>
      <w:kern w:val="0"/>
      <w:sz w:val="24"/>
      <w:szCs w:val="24"/>
    </w:rPr>
  </w:style>
  <w:style w:type="paragraph" w:customStyle="1" w:styleId="151">
    <w:name w:val="xl65"/>
    <w:basedOn w:val="1"/>
    <w:qFormat/>
    <w:uiPriority w:val="0"/>
    <w:pPr>
      <w:widowControl/>
      <w:pBdr>
        <w:top w:val="single" w:color="auto" w:sz="4" w:space="0"/>
        <w:left w:val="single" w:color="auto" w:sz="4" w:space="0"/>
        <w:bottom w:val="single" w:color="auto" w:sz="8" w:space="0"/>
        <w:right w:val="single" w:color="auto" w:sz="4" w:space="0"/>
      </w:pBdr>
      <w:spacing w:before="100" w:beforeLines="0" w:beforeAutospacing="1" w:after="100" w:afterLines="0" w:afterAutospacing="1"/>
      <w:jc w:val="center"/>
      <w:textAlignment w:val="center"/>
    </w:pPr>
    <w:rPr>
      <w:rFonts w:ascii="宋体" w:hAnsi="宋体"/>
      <w:b/>
      <w:bCs/>
      <w:kern w:val="0"/>
      <w:sz w:val="24"/>
      <w:szCs w:val="24"/>
    </w:rPr>
  </w:style>
  <w:style w:type="paragraph" w:customStyle="1" w:styleId="152">
    <w:name w:val="正文 2"/>
    <w:basedOn w:val="1"/>
    <w:qFormat/>
    <w:uiPriority w:val="0"/>
    <w:pPr>
      <w:numPr>
        <w:ilvl w:val="0"/>
        <w:numId w:val="3"/>
      </w:numPr>
      <w:tabs>
        <w:tab w:val="clear" w:pos="360"/>
      </w:tabs>
      <w:autoSpaceDE w:val="0"/>
      <w:autoSpaceDN w:val="0"/>
      <w:adjustRightInd w:val="0"/>
      <w:snapToGrid w:val="0"/>
      <w:spacing w:before="80" w:after="40" w:line="360" w:lineRule="auto"/>
      <w:ind w:left="1134" w:firstLine="0"/>
      <w:jc w:val="left"/>
    </w:pPr>
    <w:rPr>
      <w:kern w:val="0"/>
      <w:sz w:val="24"/>
    </w:rPr>
  </w:style>
  <w:style w:type="paragraph" w:customStyle="1" w:styleId="153">
    <w:name w:val="我的正文"/>
    <w:basedOn w:val="1"/>
    <w:qFormat/>
    <w:uiPriority w:val="0"/>
    <w:pPr>
      <w:spacing w:line="360" w:lineRule="auto"/>
      <w:ind w:firstLine="200" w:firstLineChars="200"/>
    </w:pPr>
    <w:rPr>
      <w:sz w:val="24"/>
      <w:szCs w:val="24"/>
    </w:rPr>
  </w:style>
  <w:style w:type="paragraph" w:customStyle="1" w:styleId="154">
    <w:name w:val="font6"/>
    <w:basedOn w:val="1"/>
    <w:qFormat/>
    <w:uiPriority w:val="0"/>
    <w:pPr>
      <w:widowControl/>
      <w:spacing w:before="100" w:beforeLines="0" w:beforeAutospacing="1" w:after="100" w:afterLines="0" w:afterAutospacing="1"/>
      <w:jc w:val="left"/>
    </w:pPr>
    <w:rPr>
      <w:rFonts w:hint="eastAsia" w:ascii="宋体" w:hAnsi="宋体" w:cs="Arial Unicode MS"/>
      <w:kern w:val="0"/>
      <w:sz w:val="18"/>
      <w:szCs w:val="18"/>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eastAsia="Arial Unicode MS"/>
      <w:kern w:val="0"/>
      <w:sz w:val="24"/>
      <w:szCs w:val="24"/>
    </w:rPr>
  </w:style>
  <w:style w:type="paragraph" w:customStyle="1" w:styleId="1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b/>
      <w:bCs/>
      <w:i/>
      <w:iCs/>
      <w:kern w:val="0"/>
      <w:szCs w:val="21"/>
    </w:rPr>
  </w:style>
  <w:style w:type="paragraph" w:customStyle="1" w:styleId="157">
    <w:name w:val="xl88"/>
    <w:basedOn w:val="1"/>
    <w:qFormat/>
    <w:uiPriority w:val="0"/>
    <w:pPr>
      <w:widowControl/>
      <w:pBdr>
        <w:top w:val="single" w:color="auto" w:sz="4" w:space="0"/>
        <w:left w:val="single" w:color="auto" w:sz="4" w:space="0"/>
        <w:bottom w:val="single" w:color="auto" w:sz="8" w:space="0"/>
        <w:right w:val="single" w:color="auto" w:sz="8"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158">
    <w:name w:val="Definition Term"/>
    <w:basedOn w:val="1"/>
    <w:next w:val="1"/>
    <w:qFormat/>
    <w:uiPriority w:val="0"/>
    <w:pPr>
      <w:autoSpaceDE w:val="0"/>
      <w:autoSpaceDN w:val="0"/>
      <w:adjustRightInd w:val="0"/>
      <w:jc w:val="left"/>
    </w:pPr>
    <w:rPr>
      <w:kern w:val="0"/>
      <w:sz w:val="24"/>
    </w:rPr>
  </w:style>
  <w:style w:type="paragraph" w:customStyle="1" w:styleId="159">
    <w:name w:val="xl75"/>
    <w:basedOn w:val="1"/>
    <w:qFormat/>
    <w:uiPriority w:val="0"/>
    <w:pPr>
      <w:widowControl/>
      <w:pBdr>
        <w:top w:val="single" w:color="auto" w:sz="8" w:space="0"/>
        <w:left w:val="single" w:color="auto" w:sz="4" w:space="0"/>
        <w:bottom w:val="single" w:color="auto" w:sz="4" w:space="0"/>
        <w:right w:val="single" w:color="auto" w:sz="8"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16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Arial Unicode MS" w:hAnsi="Arial Unicode MS" w:eastAsia="Arial Unicode MS" w:cs="Arial Unicode MS"/>
      <w:b/>
      <w:bCs/>
      <w:kern w:val="0"/>
      <w:sz w:val="24"/>
      <w:szCs w:val="24"/>
    </w:rPr>
  </w:style>
  <w:style w:type="paragraph" w:customStyle="1" w:styleId="161">
    <w:name w:val="xl72"/>
    <w:basedOn w:val="1"/>
    <w:qFormat/>
    <w:uiPriority w:val="0"/>
    <w:pPr>
      <w:widowControl/>
      <w:pBdr>
        <w:top w:val="single" w:color="auto" w:sz="8" w:space="0"/>
        <w:left w:val="single" w:color="auto" w:sz="4" w:space="0"/>
        <w:right w:val="single" w:color="auto" w:sz="4" w:space="0"/>
      </w:pBdr>
      <w:spacing w:before="100" w:beforeLines="0" w:beforeAutospacing="1" w:after="100" w:afterLines="0" w:afterAutospacing="1"/>
      <w:jc w:val="center"/>
      <w:textAlignment w:val="center"/>
    </w:pPr>
    <w:rPr>
      <w:kern w:val="0"/>
      <w:sz w:val="24"/>
      <w:szCs w:val="24"/>
    </w:rPr>
  </w:style>
  <w:style w:type="paragraph" w:customStyle="1" w:styleId="16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ascii="Arial Unicode MS" w:hAnsi="Arial Unicode MS" w:eastAsia="Arial Unicode MS" w:cs="Arial Unicode MS"/>
      <w:kern w:val="0"/>
      <w:sz w:val="24"/>
      <w:szCs w:val="24"/>
    </w:rPr>
  </w:style>
  <w:style w:type="paragraph" w:customStyle="1" w:styleId="16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right"/>
      <w:textAlignment w:val="center"/>
    </w:pPr>
    <w:rPr>
      <w:rFonts w:eastAsia="Arial Unicode MS"/>
      <w:kern w:val="0"/>
      <w:sz w:val="24"/>
      <w:szCs w:val="24"/>
    </w:rPr>
  </w:style>
  <w:style w:type="paragraph" w:customStyle="1" w:styleId="164">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4"/>
      <w:szCs w:val="24"/>
    </w:rPr>
  </w:style>
  <w:style w:type="paragraph" w:customStyle="1" w:styleId="165">
    <w:name w:val="p9"/>
    <w:basedOn w:val="1"/>
    <w:qFormat/>
    <w:uiPriority w:val="0"/>
    <w:pPr>
      <w:widowControl/>
      <w:spacing w:before="100" w:beforeLines="0" w:beforeAutospacing="1" w:after="100" w:afterLines="0" w:afterAutospacing="1"/>
      <w:jc w:val="left"/>
    </w:pPr>
    <w:rPr>
      <w:rFonts w:ascii="_x000B__x000C_" w:hAnsi="_x000B__x000C_" w:eastAsia="Arial Unicode MS" w:cs="Arial Unicode MS"/>
      <w:color w:val="000000"/>
      <w:kern w:val="0"/>
      <w:sz w:val="18"/>
      <w:szCs w:val="18"/>
    </w:rPr>
  </w:style>
  <w:style w:type="paragraph" w:customStyle="1" w:styleId="166">
    <w:name w:val="xl23"/>
    <w:next w:val="92"/>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67">
    <w:name w:val="xl81"/>
    <w:basedOn w:val="1"/>
    <w:qFormat/>
    <w:uiPriority w:val="0"/>
    <w:pPr>
      <w:widowControl/>
      <w:pBdr>
        <w:top w:val="single" w:color="auto" w:sz="4" w:space="0"/>
        <w:left w:val="single" w:color="auto" w:sz="4" w:space="0"/>
        <w:bottom w:val="single" w:color="auto" w:sz="4" w:space="0"/>
        <w:right w:val="single" w:color="auto" w:sz="8" w:space="0"/>
      </w:pBdr>
      <w:spacing w:before="100" w:beforeLines="0" w:beforeAutospacing="1" w:after="100" w:afterLines="0" w:afterAutospacing="1"/>
      <w:jc w:val="left"/>
      <w:textAlignment w:val="center"/>
    </w:pPr>
    <w:rPr>
      <w:rFonts w:ascii="宋体" w:hAnsi="宋体"/>
      <w:kern w:val="0"/>
      <w:sz w:val="24"/>
      <w:szCs w:val="24"/>
    </w:rPr>
  </w:style>
  <w:style w:type="paragraph" w:customStyle="1" w:styleId="168">
    <w:name w:val=" Char13"/>
    <w:basedOn w:val="1"/>
    <w:qFormat/>
    <w:uiPriority w:val="0"/>
    <w:rPr>
      <w:szCs w:val="24"/>
    </w:rPr>
  </w:style>
  <w:style w:type="paragraph" w:customStyle="1" w:styleId="169">
    <w:name w:val=" Char6"/>
    <w:basedOn w:val="1"/>
    <w:qFormat/>
    <w:uiPriority w:val="0"/>
    <w:pPr>
      <w:tabs>
        <w:tab w:val="left" w:pos="794"/>
        <w:tab w:val="left" w:pos="1191"/>
        <w:tab w:val="left" w:pos="1588"/>
        <w:tab w:val="left" w:pos="1985"/>
      </w:tabs>
      <w:autoSpaceDE w:val="0"/>
      <w:autoSpaceDN w:val="0"/>
      <w:adjustRightInd w:val="0"/>
      <w:spacing w:before="136" w:beforeLines="0"/>
    </w:pPr>
    <w:rPr>
      <w:rFonts w:ascii="Tahoma" w:hAnsi="Tahoma"/>
      <w:kern w:val="0"/>
      <w:sz w:val="24"/>
      <w:lang w:val="en-GB"/>
    </w:rPr>
  </w:style>
  <w:style w:type="paragraph" w:customStyle="1" w:styleId="170">
    <w:name w:val="xl48"/>
    <w:basedOn w:val="1"/>
    <w:qFormat/>
    <w:uiPriority w:val="0"/>
    <w:pPr>
      <w:widowControl/>
      <w:pBdr>
        <w:bottom w:val="single" w:color="auto" w:sz="4" w:space="0"/>
      </w:pBdr>
      <w:spacing w:before="100" w:beforeLines="0" w:beforeAutospacing="1" w:after="100" w:afterLines="0" w:afterAutospacing="1"/>
      <w:jc w:val="center"/>
      <w:textAlignment w:val="center"/>
    </w:pPr>
    <w:rPr>
      <w:rFonts w:eastAsia="Arial Unicode MS"/>
      <w:kern w:val="0"/>
      <w:sz w:val="24"/>
      <w:szCs w:val="24"/>
    </w:rPr>
  </w:style>
  <w:style w:type="paragraph" w:customStyle="1" w:styleId="171">
    <w:name w:val="xl76"/>
    <w:basedOn w:val="1"/>
    <w:qFormat/>
    <w:uiPriority w:val="0"/>
    <w:pPr>
      <w:widowControl/>
      <w:pBdr>
        <w:top w:val="single" w:color="auto" w:sz="8" w:space="0"/>
        <w:left w:val="single" w:color="auto" w:sz="8" w:space="0"/>
        <w:bottom w:val="single" w:color="auto" w:sz="4" w:space="0"/>
        <w:right w:val="single" w:color="auto" w:sz="4" w:space="0"/>
      </w:pBdr>
      <w:spacing w:before="100" w:beforeLines="0" w:beforeAutospacing="1" w:after="100" w:afterLines="0" w:afterAutospacing="1"/>
      <w:jc w:val="left"/>
      <w:textAlignment w:val="center"/>
    </w:pPr>
    <w:rPr>
      <w:rFonts w:ascii="宋体" w:hAnsi="宋体"/>
      <w:b/>
      <w:bCs/>
      <w:i/>
      <w:iCs/>
      <w:kern w:val="0"/>
      <w:sz w:val="28"/>
      <w:szCs w:val="28"/>
    </w:rPr>
  </w:style>
  <w:style w:type="paragraph" w:customStyle="1" w:styleId="172">
    <w:name w:val="xl56"/>
    <w:basedOn w:val="1"/>
    <w:qFormat/>
    <w:uiPriority w:val="0"/>
    <w:pPr>
      <w:widowControl/>
      <w:pBdr>
        <w:top w:val="single" w:color="auto" w:sz="4" w:space="0"/>
        <w:left w:val="single" w:color="auto" w:sz="4" w:space="0"/>
        <w:bottom w:val="single" w:color="auto" w:sz="4" w:space="0"/>
        <w:right w:val="single" w:color="auto" w:sz="8" w:space="0"/>
      </w:pBdr>
      <w:spacing w:before="100" w:beforeLines="0" w:beforeAutospacing="1" w:after="100" w:afterLines="0" w:afterAutospacing="1"/>
      <w:jc w:val="right"/>
      <w:textAlignment w:val="center"/>
    </w:pPr>
    <w:rPr>
      <w:rFonts w:ascii="宋体" w:hAnsi="宋体"/>
      <w:kern w:val="0"/>
      <w:sz w:val="24"/>
      <w:szCs w:val="24"/>
    </w:rPr>
  </w:style>
  <w:style w:type="paragraph" w:customStyle="1" w:styleId="173">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rPr>
  </w:style>
  <w:style w:type="paragraph" w:customStyle="1" w:styleId="174">
    <w:name w:val="xl49"/>
    <w:basedOn w:val="1"/>
    <w:qFormat/>
    <w:uiPriority w:val="0"/>
    <w:pPr>
      <w:widowControl/>
      <w:pBdr>
        <w:top w:val="single" w:color="auto" w:sz="4" w:space="0"/>
        <w:left w:val="single" w:color="auto" w:sz="8" w:space="0"/>
        <w:right w:val="single" w:color="auto" w:sz="4" w:space="0"/>
      </w:pBdr>
      <w:spacing w:before="100" w:beforeLines="0" w:beforeAutospacing="1" w:after="100" w:afterLines="0" w:afterAutospacing="1"/>
      <w:jc w:val="center"/>
      <w:textAlignment w:val="center"/>
    </w:pPr>
    <w:rPr>
      <w:kern w:val="0"/>
      <w:sz w:val="24"/>
      <w:szCs w:val="24"/>
    </w:rPr>
  </w:style>
  <w:style w:type="paragraph" w:customStyle="1" w:styleId="17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textAlignment w:val="center"/>
    </w:pPr>
    <w:rPr>
      <w:rFonts w:ascii="Arial Unicode MS" w:hAnsi="Arial Unicode MS" w:eastAsia="Arial Unicode MS" w:cs="Arial Unicode MS"/>
      <w:color w:val="000000"/>
      <w:kern w:val="0"/>
      <w:sz w:val="24"/>
      <w:szCs w:val="24"/>
    </w:rPr>
  </w:style>
  <w:style w:type="paragraph" w:customStyle="1" w:styleId="176">
    <w:name w:val="font5"/>
    <w:basedOn w:val="1"/>
    <w:qFormat/>
    <w:uiPriority w:val="0"/>
    <w:pPr>
      <w:widowControl/>
      <w:spacing w:before="100" w:beforeLines="0" w:beforeAutospacing="1" w:after="100" w:afterLines="0" w:afterAutospacing="1"/>
      <w:jc w:val="left"/>
    </w:pPr>
    <w:rPr>
      <w:rFonts w:hint="eastAsia" w:ascii="宋体" w:hAnsi="宋体" w:cs="Arial Unicode MS"/>
      <w:kern w:val="0"/>
      <w:sz w:val="24"/>
      <w:szCs w:val="24"/>
    </w:rPr>
  </w:style>
  <w:style w:type="paragraph" w:styleId="177">
    <w:name w:val="List Paragraph"/>
    <w:basedOn w:val="1"/>
    <w:qFormat/>
    <w:uiPriority w:val="99"/>
    <w:pPr>
      <w:ind w:firstLine="420" w:firstLineChars="200"/>
    </w:pPr>
  </w:style>
  <w:style w:type="paragraph" w:customStyle="1" w:styleId="178">
    <w:name w:val="表格"/>
    <w:basedOn w:val="1"/>
    <w:qFormat/>
    <w:uiPriority w:val="0"/>
    <w:pPr>
      <w:jc w:val="center"/>
      <w:textAlignment w:val="center"/>
    </w:pPr>
    <w:rPr>
      <w:rFonts w:ascii="华文细黑" w:hAnsi="华文细黑"/>
      <w:kern w:val="0"/>
      <w:szCs w:val="20"/>
    </w:rPr>
  </w:style>
  <w:style w:type="character" w:customStyle="1" w:styleId="179">
    <w:name w:val="font21"/>
    <w:basedOn w:val="43"/>
    <w:qFormat/>
    <w:uiPriority w:val="0"/>
    <w:rPr>
      <w:rFonts w:hint="eastAsia" w:ascii="宋体" w:hAnsi="宋体" w:eastAsia="宋体" w:cs="宋体"/>
      <w:color w:val="FF0000"/>
      <w:sz w:val="24"/>
      <w:szCs w:val="24"/>
      <w:u w:val="none"/>
    </w:rPr>
  </w:style>
  <w:style w:type="character" w:customStyle="1" w:styleId="180">
    <w:name w:val="font11"/>
    <w:basedOn w:val="43"/>
    <w:qFormat/>
    <w:uiPriority w:val="0"/>
    <w:rPr>
      <w:rFonts w:hint="eastAsia" w:ascii="宋体" w:hAnsi="宋体" w:eastAsia="宋体" w:cs="宋体"/>
      <w:color w:val="000000"/>
      <w:sz w:val="24"/>
      <w:szCs w:val="24"/>
      <w:u w:val="none"/>
    </w:rPr>
  </w:style>
  <w:style w:type="character" w:customStyle="1" w:styleId="181">
    <w:name w:val="font31"/>
    <w:basedOn w:val="43"/>
    <w:qFormat/>
    <w:uiPriority w:val="0"/>
    <w:rPr>
      <w:rFonts w:hint="eastAsia" w:ascii="宋体" w:hAnsi="宋体" w:eastAsia="宋体" w:cs="宋体"/>
      <w:color w:val="FF0000"/>
      <w:sz w:val="24"/>
      <w:szCs w:val="24"/>
      <w:u w:val="none"/>
    </w:rPr>
  </w:style>
  <w:style w:type="paragraph" w:customStyle="1" w:styleId="182">
    <w:name w:val="Normal_0_0_0_0"/>
    <w:qFormat/>
    <w:uiPriority w:val="0"/>
    <w:pPr>
      <w:widowControl w:val="0"/>
      <w:jc w:val="both"/>
    </w:pPr>
    <w:rPr>
      <w:rFonts w:ascii="Times New Roman" w:hAnsi="Times New Roman" w:eastAsia="宋体" w:cs="Times New Roman"/>
      <w:szCs w:val="21"/>
      <w:lang w:val="en-US" w:eastAsia="zh-CN" w:bidi="ar-SA"/>
    </w:rPr>
  </w:style>
  <w:style w:type="paragraph" w:customStyle="1" w:styleId="183">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4">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185">
    <w:name w:val="Normal_1"/>
    <w:qFormat/>
    <w:uiPriority w:val="0"/>
    <w:pPr>
      <w:widowControl w:val="0"/>
      <w:jc w:val="both"/>
    </w:pPr>
    <w:rPr>
      <w:rFonts w:ascii="Calibri" w:hAnsi="Calibri" w:eastAsia="宋体" w:cs="Times New Roman"/>
      <w:lang w:val="en-US" w:eastAsia="zh-CN" w:bidi="ar-SA"/>
    </w:rPr>
  </w:style>
  <w:style w:type="paragraph" w:customStyle="1" w:styleId="186">
    <w:name w:val="Table Text"/>
    <w:basedOn w:val="1"/>
    <w:semiHidden/>
    <w:qFormat/>
    <w:uiPriority w:val="0"/>
    <w:rPr>
      <w:rFonts w:ascii="Arial" w:hAnsi="Arial" w:eastAsia="Arial" w:cs="Arial"/>
      <w:sz w:val="21"/>
      <w:szCs w:val="21"/>
      <w:lang w:val="en-US" w:eastAsia="en-US" w:bidi="ar-SA"/>
    </w:rPr>
  </w:style>
  <w:style w:type="table" w:customStyle="1" w:styleId="187">
    <w:name w:val="Table Normal"/>
    <w:unhideWhenUsed/>
    <w:qFormat/>
    <w:uiPriority w:val="0"/>
    <w:tblPr>
      <w:tblCellMar>
        <w:top w:w="0" w:type="dxa"/>
        <w:left w:w="0" w:type="dxa"/>
        <w:bottom w:w="0" w:type="dxa"/>
        <w:right w:w="0" w:type="dxa"/>
      </w:tblCellMar>
    </w:tblPr>
  </w:style>
  <w:style w:type="paragraph" w:customStyle="1" w:styleId="188">
    <w:name w:val="纯文本1"/>
    <w:basedOn w:val="1"/>
    <w:qFormat/>
    <w:uiPriority w:val="0"/>
    <w:rPr>
      <w:rFonts w:ascii="宋体" w:hAnsi="Courier New" w:eastAsia="宋体" w:cs="Times New Roman"/>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105</Pages>
  <Words>4749</Words>
  <Characters>5544</Characters>
  <Lines>343</Lines>
  <Paragraphs>96</Paragraphs>
  <TotalTime>1</TotalTime>
  <ScaleCrop>false</ScaleCrop>
  <LinksUpToDate>false</LinksUpToDate>
  <CharactersWithSpaces>5649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2023-08-03T06:39:00Z</dcterms:created>
  <dc:creator>lenovo</dc:creator>
  <cp:lastModifiedBy>樂</cp:lastModifiedBy>
  <cp:lastPrinted>2026-07-22T05:39:00Z</cp:lastPrinted>
  <dcterms:modified xsi:type="dcterms:W3CDTF">2026-10-08T02:53:30Z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563E0BC5CE5742F8AB01FADAE79AF16A_13</vt:lpwstr>
  </property>
  <property fmtid="{D5CDD505-2E9C-101B-9397-08002B2CF9AE}" pid="4" name="KSOTemplateDocerSaveRecord">
    <vt:lpwstr>eyJoZGlkIjoiZjNlMDI3YWFlNDIyNzcyODJlOWQxYTYyNTA2NWU4MWUiLCJ1c2VySWQiOiI4MzQ2NjQ1In0=</vt:lpwstr>
  </property>
</Properties>
</file>