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ageBreakBefore w:val="0"/>
        <w:widowControl w:val="0"/>
        <w:wordWrap/>
        <w:overflowPunct/>
        <w:topLinePunct w:val="0"/>
        <w:bidi w:val="0"/>
        <w:spacing w:line="242" w:lineRule="auto"/>
        <w:jc w:val="center"/>
        <w:rPr>
          <w:rFonts w:ascii="仿宋" w:hAnsi="仿宋" w:eastAsia="仿宋"/>
          <w:b/>
          <w:color w:val="auto"/>
          <w:sz w:val="52"/>
          <w:highlight w:val="none"/>
        </w:rPr>
      </w:pPr>
    </w:p>
    <w:p>
      <w:pPr>
        <w:pageBreakBefore w:val="0"/>
        <w:widowControl w:val="0"/>
        <w:wordWrap/>
        <w:overflowPunct/>
        <w:topLinePunct w:val="0"/>
        <w:bidi w:val="0"/>
        <w:spacing w:line="242" w:lineRule="auto"/>
        <w:jc w:val="center"/>
        <w:rPr>
          <w:rFonts w:hint="eastAsia" w:ascii="仿宋" w:hAnsi="仿宋" w:eastAsia="仿宋" w:cs="仿宋"/>
          <w:color w:val="auto"/>
          <w:highlight w:val="none"/>
          <w:lang w:eastAsia="zh-CN"/>
        </w:rPr>
      </w:pPr>
      <w:r>
        <w:rPr>
          <w:rFonts w:ascii="仿宋" w:hAnsi="仿宋" w:eastAsia="仿宋"/>
          <w:b/>
          <w:color w:val="auto"/>
          <w:sz w:val="52"/>
          <w:highlight w:val="none"/>
        </w:rPr>
        <w:drawing>
          <wp:inline distT="0" distB="0" distL="114300" distR="114300">
            <wp:extent cx="1258570" cy="1506220"/>
            <wp:effectExtent l="0" t="0" r="6350"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7"/>
                    <a:stretch>
                      <a:fillRect/>
                    </a:stretch>
                  </pic:blipFill>
                  <pic:spPr>
                    <a:xfrm>
                      <a:off x="0" y="0"/>
                      <a:ext cx="1258570" cy="1506220"/>
                    </a:xfrm>
                    <a:prstGeom prst="rect">
                      <a:avLst/>
                    </a:prstGeom>
                    <a:noFill/>
                    <a:ln>
                      <a:noFill/>
                    </a:ln>
                  </pic:spPr>
                </pic:pic>
              </a:graphicData>
            </a:graphic>
          </wp:inline>
        </w:drawing>
      </w:r>
    </w:p>
    <w:p>
      <w:pPr>
        <w:pageBreakBefore w:val="0"/>
        <w:widowControl w:val="0"/>
        <w:wordWrap/>
        <w:overflowPunct/>
        <w:topLinePunct w:val="0"/>
        <w:bidi w:val="0"/>
        <w:spacing w:line="242" w:lineRule="auto"/>
        <w:rPr>
          <w:rFonts w:hint="eastAsia" w:ascii="仿宋" w:hAnsi="仿宋" w:eastAsia="仿宋" w:cs="仿宋"/>
          <w:color w:val="auto"/>
          <w:highlight w:val="none"/>
        </w:rPr>
      </w:pPr>
    </w:p>
    <w:p>
      <w:pPr>
        <w:pageBreakBefore w:val="0"/>
        <w:widowControl w:val="0"/>
        <w:wordWrap/>
        <w:overflowPunct/>
        <w:topLinePunct w:val="0"/>
        <w:bidi w:val="0"/>
        <w:spacing w:line="243" w:lineRule="auto"/>
        <w:jc w:val="center"/>
        <w:rPr>
          <w:rFonts w:hint="eastAsia" w:ascii="仿宋" w:hAnsi="仿宋" w:eastAsia="仿宋" w:cs="仿宋"/>
          <w:color w:val="auto"/>
          <w:highlight w:val="none"/>
        </w:rPr>
      </w:pPr>
      <w:r>
        <w:rPr>
          <w:rFonts w:ascii="仿宋" w:hAnsi="仿宋" w:eastAsia="仿宋"/>
          <w:color w:val="auto"/>
          <w:highlight w:val="none"/>
        </w:rPr>
        <w:pict>
          <v:shape id="_x0000_i1025" o:spt="136" type="#_x0000_t136" style="height:140.75pt;width:356.95pt;" fillcolor="#000000" filled="t" stroked="f" coordsize="21600,21600" adj="10800">
            <v:path/>
            <v:fill on="t" color2="#FFFFFF" focussize="0,0"/>
            <v:stroke on="f"/>
            <v:imagedata o:title=""/>
            <o:lock v:ext="edit" aspectratio="f"/>
            <v:textpath on="t" fitshape="t" fitpath="t" trim="t" xscale="f" string="政府采购&#10;公开招标文件&#10;" style="font-family:华文楷体;font-size:48pt;font-weight:bold;v-text-align:center;v-text-spacing:58985f;"/>
            <v:shadow on="t" obscured="f" color="#C0C0C0" opacity="65536f" offset="3pt,2pt" offset2="0pt,0pt" origin="0f,0f" matrix="65536f,0f,0f,65536f,0,0"/>
            <w10:wrap type="none"/>
            <w10:anchorlock/>
          </v:shape>
        </w:pict>
      </w:r>
    </w:p>
    <w:p>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pPr>
        <w:spacing w:line="800" w:lineRule="exact"/>
        <w:ind w:firstLine="0" w:firstLineChars="0"/>
        <w:rPr>
          <w:rFonts w:hint="eastAsia" w:ascii="仿宋" w:hAnsi="仿宋" w:eastAsia="仿宋"/>
          <w:color w:val="auto"/>
          <w:sz w:val="52"/>
          <w:szCs w:val="52"/>
          <w:highlight w:val="none"/>
        </w:rPr>
      </w:pPr>
      <w:r>
        <w:rPr>
          <w:rFonts w:hint="eastAsia" w:ascii="仿宋" w:hAnsi="仿宋" w:eastAsia="仿宋"/>
          <w:b/>
          <w:bCs/>
          <w:color w:val="auto"/>
          <w:sz w:val="52"/>
          <w:szCs w:val="52"/>
          <w:highlight w:val="none"/>
        </w:rPr>
        <w:t>项目名称：</w:t>
      </w:r>
      <w:r>
        <w:rPr>
          <w:rFonts w:hint="eastAsia" w:ascii="仿宋" w:hAnsi="仿宋" w:eastAsia="仿宋"/>
          <w:color w:val="auto"/>
          <w:sz w:val="52"/>
          <w:szCs w:val="52"/>
          <w:highlight w:val="none"/>
        </w:rPr>
        <w:t>江西省消防救援总队自然灾害应急能力提升工程装备配备项目（车辆类）</w:t>
      </w:r>
    </w:p>
    <w:p>
      <w:pPr>
        <w:pStyle w:val="15"/>
        <w:pageBreakBefore w:val="0"/>
        <w:widowControl w:val="0"/>
        <w:wordWrap/>
        <w:overflowPunct/>
        <w:topLinePunct w:val="0"/>
        <w:bidi w:val="0"/>
        <w:ind w:left="0" w:leftChars="0" w:firstLine="0" w:firstLineChars="0"/>
        <w:rPr>
          <w:rFonts w:hint="eastAsia" w:ascii="仿宋" w:hAnsi="仿宋" w:eastAsia="仿宋" w:cs="仿宋"/>
          <w:color w:val="auto"/>
          <w:highlight w:val="none"/>
          <w:lang w:eastAsia="zh-CN"/>
        </w:rPr>
      </w:pPr>
      <w:r>
        <w:rPr>
          <w:rFonts w:hint="eastAsia" w:ascii="仿宋" w:hAnsi="仿宋" w:eastAsia="仿宋"/>
          <w:b/>
          <w:bCs/>
          <w:color w:val="auto"/>
          <w:sz w:val="52"/>
          <w:highlight w:val="none"/>
        </w:rPr>
        <w:t>项目编号：</w:t>
      </w:r>
      <w:r>
        <w:rPr>
          <w:rFonts w:hint="eastAsia" w:ascii="仿宋" w:hAnsi="仿宋" w:eastAsia="仿宋"/>
          <w:color w:val="auto"/>
          <w:sz w:val="52"/>
          <w:highlight w:val="none"/>
          <w:lang w:eastAsia="zh-CN"/>
        </w:rPr>
        <w:t>HSH2024ZG015</w:t>
      </w:r>
    </w:p>
    <w:p>
      <w:pPr>
        <w:spacing w:line="800" w:lineRule="exact"/>
        <w:jc w:val="left"/>
        <w:rPr>
          <w:rFonts w:hint="default" w:ascii="仿宋" w:hAnsi="仿宋" w:eastAsia="仿宋"/>
          <w:color w:val="auto"/>
          <w:sz w:val="52"/>
          <w:szCs w:val="52"/>
          <w:highlight w:val="none"/>
          <w:lang w:val="en-US" w:eastAsia="zh-CN"/>
        </w:rPr>
      </w:pPr>
      <w:r>
        <w:rPr>
          <w:rFonts w:hint="eastAsia" w:ascii="仿宋" w:hAnsi="仿宋" w:eastAsia="仿宋"/>
          <w:b/>
          <w:color w:val="auto"/>
          <w:sz w:val="52"/>
          <w:szCs w:val="52"/>
          <w:highlight w:val="none"/>
          <w:lang w:val="en-US" w:eastAsia="zh-CN"/>
        </w:rPr>
        <w:t xml:space="preserve">包    </w:t>
      </w:r>
      <w:r>
        <w:rPr>
          <w:rFonts w:hint="eastAsia" w:ascii="仿宋" w:hAnsi="仿宋" w:eastAsia="仿宋"/>
          <w:b/>
          <w:color w:val="auto"/>
          <w:sz w:val="52"/>
          <w:szCs w:val="52"/>
          <w:highlight w:val="none"/>
        </w:rPr>
        <w:t>号：</w:t>
      </w:r>
      <w:r>
        <w:rPr>
          <w:rFonts w:hint="eastAsia" w:ascii="仿宋" w:hAnsi="仿宋" w:eastAsia="仿宋"/>
          <w:color w:val="auto"/>
          <w:sz w:val="52"/>
          <w:szCs w:val="52"/>
          <w:highlight w:val="none"/>
          <w:lang w:val="en-US" w:eastAsia="zh-CN"/>
        </w:rPr>
        <w:t>01包-22包</w:t>
      </w:r>
    </w:p>
    <w:p>
      <w:pPr>
        <w:pStyle w:val="15"/>
        <w:pageBreakBefore w:val="0"/>
        <w:widowControl w:val="0"/>
        <w:wordWrap/>
        <w:overflowPunct/>
        <w:topLinePunct w:val="0"/>
        <w:bidi w:val="0"/>
        <w:rPr>
          <w:rFonts w:hint="eastAsia" w:ascii="仿宋" w:hAnsi="仿宋" w:eastAsia="仿宋" w:cs="仿宋"/>
          <w:color w:val="auto"/>
          <w:highlight w:val="none"/>
          <w:lang w:eastAsia="zh-CN"/>
        </w:rPr>
      </w:pPr>
    </w:p>
    <w:p>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pPr>
        <w:pageBreakBefore w:val="0"/>
        <w:widowControl w:val="0"/>
        <w:wordWrap/>
        <w:overflowPunct/>
        <w:topLinePunct w:val="0"/>
        <w:bidi w:val="0"/>
        <w:spacing w:line="246" w:lineRule="auto"/>
        <w:rPr>
          <w:rFonts w:hint="eastAsia" w:ascii="仿宋" w:hAnsi="仿宋" w:eastAsia="仿宋" w:cs="仿宋"/>
          <w:color w:val="auto"/>
          <w:highlight w:val="none"/>
          <w:lang w:eastAsia="zh-CN"/>
        </w:rPr>
      </w:pPr>
    </w:p>
    <w:p>
      <w:pPr>
        <w:pageBreakBefore w:val="0"/>
        <w:widowControl w:val="0"/>
        <w:wordWrap/>
        <w:overflowPunct/>
        <w:topLinePunct w:val="0"/>
        <w:bidi w:val="0"/>
        <w:spacing w:line="247" w:lineRule="auto"/>
        <w:rPr>
          <w:rFonts w:hint="eastAsia" w:ascii="仿宋" w:hAnsi="仿宋" w:eastAsia="仿宋" w:cs="仿宋"/>
          <w:color w:val="auto"/>
          <w:highlight w:val="none"/>
          <w:lang w:eastAsia="zh-CN"/>
        </w:rPr>
      </w:pPr>
    </w:p>
    <w:p>
      <w:pPr>
        <w:spacing w:before="114" w:beforeLines="30" w:after="114" w:afterLines="30"/>
        <w:jc w:val="left"/>
        <w:rPr>
          <w:rFonts w:ascii="仿宋" w:hAnsi="仿宋" w:eastAsia="仿宋"/>
          <w:color w:val="auto"/>
          <w:sz w:val="36"/>
          <w:szCs w:val="36"/>
          <w:highlight w:val="none"/>
        </w:rPr>
      </w:pPr>
      <w:r>
        <w:rPr>
          <w:rFonts w:hint="eastAsia" w:ascii="仿宋" w:hAnsi="仿宋" w:eastAsia="仿宋"/>
          <w:b/>
          <w:color w:val="auto"/>
          <w:sz w:val="36"/>
          <w:szCs w:val="36"/>
          <w:highlight w:val="none"/>
        </w:rPr>
        <w:t>采购代理机构：</w:t>
      </w:r>
      <w:r>
        <w:rPr>
          <w:rFonts w:hint="eastAsia" w:ascii="仿宋" w:hAnsi="仿宋" w:eastAsia="仿宋"/>
          <w:color w:val="auto"/>
          <w:sz w:val="36"/>
          <w:szCs w:val="36"/>
          <w:highlight w:val="none"/>
        </w:rPr>
        <w:t>江西合胜合招标咨询有限公司</w:t>
      </w:r>
    </w:p>
    <w:p>
      <w:pPr>
        <w:keepNext w:val="0"/>
        <w:keepLines w:val="0"/>
        <w:pageBreakBefore w:val="0"/>
        <w:widowControl/>
        <w:kinsoku w:val="0"/>
        <w:wordWrap/>
        <w:overflowPunct/>
        <w:topLinePunct w:val="0"/>
        <w:autoSpaceDE w:val="0"/>
        <w:autoSpaceDN w:val="0"/>
        <w:bidi w:val="0"/>
        <w:adjustRightInd w:val="0"/>
        <w:snapToGrid w:val="0"/>
        <w:spacing w:before="114" w:beforeLines="30" w:after="114" w:afterLines="30"/>
        <w:ind w:firstLine="0" w:firstLineChars="0"/>
        <w:jc w:val="both"/>
        <w:textAlignment w:val="baseline"/>
        <w:rPr>
          <w:rFonts w:ascii="仿宋" w:hAnsi="仿宋" w:eastAsia="仿宋"/>
          <w:color w:val="auto"/>
          <w:sz w:val="36"/>
          <w:szCs w:val="36"/>
          <w:highlight w:val="none"/>
        </w:rPr>
      </w:pPr>
      <w:r>
        <w:rPr>
          <w:rFonts w:hint="eastAsia" w:ascii="仿宋" w:hAnsi="仿宋" w:eastAsia="仿宋"/>
          <w:b/>
          <w:color w:val="auto"/>
          <w:sz w:val="36"/>
          <w:szCs w:val="36"/>
          <w:highlight w:val="none"/>
        </w:rPr>
        <w:t xml:space="preserve">日  </w:t>
      </w:r>
      <w:r>
        <w:rPr>
          <w:rFonts w:hint="eastAsia" w:ascii="仿宋" w:hAnsi="仿宋" w:eastAsia="仿宋"/>
          <w:b/>
          <w:color w:val="auto"/>
          <w:sz w:val="36"/>
          <w:szCs w:val="36"/>
          <w:highlight w:val="none"/>
          <w:lang w:val="en-US" w:eastAsia="zh-CN"/>
        </w:rPr>
        <w:t xml:space="preserve">     </w:t>
      </w:r>
      <w:r>
        <w:rPr>
          <w:rFonts w:hint="eastAsia" w:ascii="仿宋" w:hAnsi="仿宋" w:eastAsia="仿宋"/>
          <w:b/>
          <w:color w:val="auto"/>
          <w:sz w:val="36"/>
          <w:szCs w:val="36"/>
          <w:highlight w:val="none"/>
        </w:rPr>
        <w:t xml:space="preserve"> 期：</w:t>
      </w:r>
      <w:r>
        <w:rPr>
          <w:rFonts w:hint="eastAsia" w:ascii="仿宋" w:hAnsi="仿宋" w:eastAsia="仿宋"/>
          <w:color w:val="auto"/>
          <w:sz w:val="36"/>
          <w:szCs w:val="36"/>
          <w:highlight w:val="none"/>
        </w:rPr>
        <w:t>二○二</w:t>
      </w:r>
      <w:r>
        <w:rPr>
          <w:rFonts w:hint="eastAsia" w:ascii="仿宋" w:hAnsi="仿宋" w:eastAsia="仿宋"/>
          <w:color w:val="auto"/>
          <w:sz w:val="36"/>
          <w:szCs w:val="36"/>
          <w:highlight w:val="none"/>
          <w:lang w:val="en-US" w:eastAsia="zh-CN"/>
        </w:rPr>
        <w:t>四</w:t>
      </w:r>
      <w:r>
        <w:rPr>
          <w:rFonts w:hint="eastAsia" w:ascii="仿宋" w:hAnsi="仿宋" w:eastAsia="仿宋"/>
          <w:color w:val="auto"/>
          <w:sz w:val="36"/>
          <w:szCs w:val="36"/>
          <w:highlight w:val="none"/>
        </w:rPr>
        <w:t>年</w:t>
      </w:r>
      <w:r>
        <w:rPr>
          <w:rFonts w:hint="eastAsia" w:ascii="仿宋" w:hAnsi="仿宋" w:eastAsia="仿宋"/>
          <w:color w:val="auto"/>
          <w:sz w:val="36"/>
          <w:szCs w:val="36"/>
          <w:highlight w:val="none"/>
          <w:lang w:val="en-US" w:eastAsia="zh-CN"/>
        </w:rPr>
        <w:t>三</w:t>
      </w:r>
      <w:r>
        <w:rPr>
          <w:rFonts w:hint="eastAsia" w:ascii="仿宋" w:hAnsi="仿宋" w:eastAsia="仿宋"/>
          <w:color w:val="auto"/>
          <w:sz w:val="36"/>
          <w:szCs w:val="36"/>
          <w:highlight w:val="none"/>
        </w:rPr>
        <w:t>月</w:t>
      </w:r>
    </w:p>
    <w:p>
      <w:pPr>
        <w:spacing w:line="480" w:lineRule="auto"/>
        <w:jc w:val="center"/>
        <w:rPr>
          <w:rFonts w:eastAsia="仿宋"/>
          <w:b/>
          <w:color w:val="auto"/>
          <w:sz w:val="36"/>
          <w:highlight w:val="none"/>
        </w:rPr>
      </w:pPr>
    </w:p>
    <w:p>
      <w:pPr>
        <w:spacing w:line="480" w:lineRule="auto"/>
        <w:jc w:val="center"/>
        <w:rPr>
          <w:rFonts w:eastAsia="仿宋"/>
          <w:b/>
          <w:color w:val="auto"/>
          <w:sz w:val="36"/>
          <w:highlight w:val="none"/>
        </w:rPr>
        <w:sectPr>
          <w:headerReference r:id="rId3" w:type="first"/>
          <w:footerReference r:id="rId5" w:type="first"/>
          <w:footerReference r:id="rId4" w:type="default"/>
          <w:pgSz w:w="11906" w:h="16838"/>
          <w:pgMar w:top="1247" w:right="1417" w:bottom="1702" w:left="1417" w:header="851" w:footer="992" w:gutter="0"/>
          <w:pgNumType w:fmt="decimal" w:start="1"/>
          <w:cols w:space="720" w:num="1"/>
          <w:docGrid w:linePitch="312" w:charSpace="0"/>
        </w:sectPr>
      </w:pPr>
    </w:p>
    <w:p>
      <w:pPr>
        <w:adjustRightInd w:val="0"/>
        <w:snapToGrid w:val="0"/>
        <w:jc w:val="center"/>
        <w:rPr>
          <w:rFonts w:eastAsia="仿宋"/>
          <w:bCs/>
          <w:color w:val="auto"/>
          <w:sz w:val="44"/>
          <w:szCs w:val="44"/>
          <w:highlight w:val="none"/>
        </w:rPr>
      </w:pPr>
      <w:r>
        <w:rPr>
          <w:rFonts w:hAnsi="仿宋" w:eastAsia="仿宋"/>
          <w:bCs/>
          <w:color w:val="auto"/>
          <w:sz w:val="44"/>
          <w:szCs w:val="44"/>
          <w:highlight w:val="none"/>
        </w:rPr>
        <w:t>目录</w:t>
      </w:r>
    </w:p>
    <w:p>
      <w:pPr>
        <w:pStyle w:val="27"/>
        <w:tabs>
          <w:tab w:val="right" w:leader="dot" w:pos="9072"/>
        </w:tabs>
      </w:pPr>
      <w:r>
        <w:rPr>
          <w:rFonts w:ascii="Times New Roman" w:hAnsi="Times New Roman" w:eastAsiaTheme="minorEastAsia"/>
          <w:b w:val="0"/>
          <w:bCs/>
          <w:i w:val="0"/>
          <w:iCs w:val="0"/>
          <w:color w:val="auto"/>
          <w:sz w:val="21"/>
          <w:szCs w:val="21"/>
          <w:highlight w:val="none"/>
        </w:rPr>
        <w:fldChar w:fldCharType="begin"/>
      </w:r>
      <w:r>
        <w:rPr>
          <w:rFonts w:ascii="Times New Roman" w:hAnsi="Times New Roman" w:eastAsiaTheme="minorEastAsia"/>
          <w:b w:val="0"/>
          <w:bCs/>
          <w:i w:val="0"/>
          <w:iCs w:val="0"/>
          <w:color w:val="auto"/>
          <w:sz w:val="21"/>
          <w:szCs w:val="21"/>
          <w:highlight w:val="none"/>
        </w:rPr>
        <w:instrText xml:space="preserve"> TOC \o "1-2" \h \z \u </w:instrText>
      </w:r>
      <w:r>
        <w:rPr>
          <w:rFonts w:ascii="Times New Roman" w:hAnsi="Times New Roman" w:eastAsiaTheme="minorEastAsia"/>
          <w:b w:val="0"/>
          <w:bCs/>
          <w:i w:val="0"/>
          <w:iCs w:val="0"/>
          <w:color w:val="auto"/>
          <w:sz w:val="21"/>
          <w:szCs w:val="21"/>
          <w:highlight w:val="none"/>
        </w:rPr>
        <w:fldChar w:fldCharType="separate"/>
      </w: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_Toc32096 </w:instrText>
      </w:r>
      <w:r>
        <w:rPr>
          <w:rFonts w:ascii="Times New Roman" w:hAnsi="Times New Roman" w:eastAsiaTheme="minorEastAsia"/>
          <w:bCs/>
          <w:i w:val="0"/>
          <w:iCs w:val="0"/>
          <w:szCs w:val="21"/>
          <w:highlight w:val="none"/>
        </w:rPr>
        <w:fldChar w:fldCharType="separate"/>
      </w:r>
      <w:r>
        <w:rPr>
          <w:rFonts w:ascii="Times New Roman" w:hAnsi="仿宋" w:eastAsia="仿宋"/>
          <w:highlight w:val="none"/>
        </w:rPr>
        <w:t>第一章</w:t>
      </w:r>
      <w:r>
        <w:rPr>
          <w:rFonts w:hint="eastAsia" w:ascii="Times New Roman" w:hAnsi="仿宋" w:eastAsia="仿宋"/>
          <w:highlight w:val="none"/>
          <w:lang w:val="en-US" w:eastAsia="zh-CN"/>
        </w:rPr>
        <w:t xml:space="preserve"> </w:t>
      </w:r>
      <w:r>
        <w:rPr>
          <w:rFonts w:ascii="Times New Roman" w:hAnsi="仿宋" w:eastAsia="仿宋"/>
          <w:highlight w:val="none"/>
        </w:rPr>
        <w:t>投标邀请</w:t>
      </w:r>
      <w:r>
        <w:tab/>
      </w:r>
      <w:r>
        <w:fldChar w:fldCharType="begin"/>
      </w:r>
      <w:r>
        <w:instrText xml:space="preserve"> PAGEREF _Toc32096 \h </w:instrText>
      </w:r>
      <w:r>
        <w:fldChar w:fldCharType="separate"/>
      </w:r>
      <w:r>
        <w:t>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_Toc23944 </w:instrText>
      </w:r>
      <w:r>
        <w:rPr>
          <w:rFonts w:ascii="Times New Roman" w:hAnsi="Times New Roman" w:eastAsiaTheme="minorEastAsia"/>
          <w:bCs/>
          <w:i w:val="0"/>
          <w:iCs w:val="0"/>
          <w:szCs w:val="21"/>
          <w:highlight w:val="none"/>
        </w:rPr>
        <w:fldChar w:fldCharType="separate"/>
      </w:r>
      <w:r>
        <w:rPr>
          <w:rFonts w:ascii="Times New Roman" w:hAnsi="仿宋" w:eastAsia="仿宋"/>
          <w:bCs w:val="0"/>
          <w:szCs w:val="24"/>
          <w:highlight w:val="none"/>
        </w:rPr>
        <w:t>一、项目基本情况</w:t>
      </w:r>
      <w:r>
        <w:tab/>
      </w:r>
      <w:r>
        <w:fldChar w:fldCharType="begin"/>
      </w:r>
      <w:r>
        <w:instrText xml:space="preserve"> PAGEREF _Toc23944 \h </w:instrText>
      </w:r>
      <w:r>
        <w:fldChar w:fldCharType="separate"/>
      </w:r>
      <w:r>
        <w:t>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_Toc22199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二、投标人的资格要求</w:t>
      </w:r>
      <w:r>
        <w:tab/>
      </w:r>
      <w:r>
        <w:fldChar w:fldCharType="begin"/>
      </w:r>
      <w:r>
        <w:instrText xml:space="preserve"> PAGEREF _Toc22199 \h </w:instrText>
      </w:r>
      <w:r>
        <w:fldChar w:fldCharType="separate"/>
      </w:r>
      <w:r>
        <w:t>6</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_Toc17696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三、获取招标文件</w:t>
      </w:r>
      <w:r>
        <w:tab/>
      </w:r>
      <w:r>
        <w:fldChar w:fldCharType="begin"/>
      </w:r>
      <w:r>
        <w:instrText xml:space="preserve"> PAGEREF _Toc17696 \h </w:instrText>
      </w:r>
      <w:r>
        <w:fldChar w:fldCharType="separate"/>
      </w:r>
      <w:r>
        <w:t>7</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_Toc14161 </w:instrText>
      </w:r>
      <w:r>
        <w:rPr>
          <w:rFonts w:ascii="Times New Roman" w:hAnsi="Times New Roman" w:eastAsiaTheme="minorEastAsia"/>
          <w:bCs/>
          <w:i w:val="0"/>
          <w:iCs w:val="0"/>
          <w:szCs w:val="21"/>
          <w:highlight w:val="none"/>
        </w:rPr>
        <w:fldChar w:fldCharType="separate"/>
      </w:r>
      <w:r>
        <w:rPr>
          <w:rFonts w:hint="eastAsia" w:ascii="Times New Roman" w:hAnsi="Times New Roman" w:eastAsia="仿宋"/>
          <w:bCs w:val="0"/>
          <w:szCs w:val="24"/>
          <w:highlight w:val="none"/>
          <w:lang w:val="en-US" w:eastAsia="zh-CN"/>
        </w:rPr>
        <w:t>四、</w:t>
      </w:r>
      <w:r>
        <w:rPr>
          <w:rFonts w:ascii="Times New Roman" w:hAnsi="Times New Roman" w:eastAsia="仿宋"/>
          <w:bCs w:val="0"/>
          <w:szCs w:val="24"/>
          <w:highlight w:val="none"/>
        </w:rPr>
        <w:t>提交投标文件截止时间、开标时间和</w:t>
      </w:r>
      <w:r>
        <w:rPr>
          <w:rFonts w:hint="eastAsia" w:ascii="Times New Roman" w:hAnsi="Times New Roman" w:eastAsia="仿宋"/>
          <w:bCs w:val="0"/>
          <w:szCs w:val="24"/>
          <w:highlight w:val="none"/>
          <w:lang w:val="en-US" w:eastAsia="zh-CN"/>
        </w:rPr>
        <w:t>开标</w:t>
      </w:r>
      <w:r>
        <w:rPr>
          <w:rFonts w:ascii="Times New Roman" w:hAnsi="Times New Roman" w:eastAsia="仿宋"/>
          <w:bCs w:val="0"/>
          <w:szCs w:val="24"/>
          <w:highlight w:val="none"/>
        </w:rPr>
        <w:t>地点</w:t>
      </w:r>
      <w:r>
        <w:tab/>
      </w:r>
      <w:r>
        <w:fldChar w:fldCharType="begin"/>
      </w:r>
      <w:r>
        <w:instrText xml:space="preserve"> PAGEREF _Toc14161 \h </w:instrText>
      </w:r>
      <w:r>
        <w:fldChar w:fldCharType="separate"/>
      </w:r>
      <w:r>
        <w:t>8</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_Toc20097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五、公告期限</w:t>
      </w:r>
      <w:r>
        <w:tab/>
      </w:r>
      <w:r>
        <w:fldChar w:fldCharType="begin"/>
      </w:r>
      <w:r>
        <w:instrText xml:space="preserve"> PAGEREF _Toc20097 \h </w:instrText>
      </w:r>
      <w:r>
        <w:fldChar w:fldCharType="separate"/>
      </w:r>
      <w:r>
        <w:t>8</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_Toc983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六、其他补充事宜</w:t>
      </w:r>
      <w:r>
        <w:tab/>
      </w:r>
      <w:r>
        <w:fldChar w:fldCharType="begin"/>
      </w:r>
      <w:r>
        <w:instrText xml:space="preserve"> PAGEREF _Toc983 \h </w:instrText>
      </w:r>
      <w:r>
        <w:fldChar w:fldCharType="separate"/>
      </w:r>
      <w:r>
        <w:t>9</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_Toc26258 </w:instrText>
      </w:r>
      <w:r>
        <w:rPr>
          <w:rFonts w:ascii="Times New Roman" w:hAnsi="Times New Roman" w:eastAsiaTheme="minorEastAsia"/>
          <w:bCs/>
          <w:i w:val="0"/>
          <w:iCs w:val="0"/>
          <w:szCs w:val="21"/>
          <w:highlight w:val="none"/>
        </w:rPr>
        <w:fldChar w:fldCharType="separate"/>
      </w:r>
      <w:r>
        <w:rPr>
          <w:rFonts w:ascii="Times New Roman" w:hAnsi="Times New Roman" w:eastAsia="仿宋"/>
          <w:bCs w:val="0"/>
          <w:szCs w:val="24"/>
          <w:highlight w:val="none"/>
        </w:rPr>
        <w:t>七、对本次招标提出询问，请按以下方式联系</w:t>
      </w:r>
      <w:r>
        <w:tab/>
      </w:r>
      <w:r>
        <w:fldChar w:fldCharType="begin"/>
      </w:r>
      <w:r>
        <w:instrText xml:space="preserve"> PAGEREF _Toc26258 \h </w:instrText>
      </w:r>
      <w:r>
        <w:fldChar w:fldCharType="separate"/>
      </w:r>
      <w:r>
        <w:t>9</w:t>
      </w:r>
      <w:r>
        <w:fldChar w:fldCharType="end"/>
      </w:r>
      <w:r>
        <w:rPr>
          <w:rFonts w:ascii="Times New Roman" w:hAnsi="Times New Roman" w:eastAsiaTheme="minorEastAsia"/>
          <w:bCs/>
          <w:i w:val="0"/>
          <w:iCs w:val="0"/>
          <w:color w:val="auto"/>
          <w:szCs w:val="21"/>
          <w:highlight w:val="none"/>
        </w:rPr>
        <w:fldChar w:fldCharType="end"/>
      </w:r>
    </w:p>
    <w:p>
      <w:pPr>
        <w:pStyle w:val="27"/>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_Toc7129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第二章 投标人须知</w:t>
      </w:r>
      <w:r>
        <w:tab/>
      </w:r>
      <w:r>
        <w:fldChar w:fldCharType="begin"/>
      </w:r>
      <w:r>
        <w:instrText xml:space="preserve"> PAGEREF _Toc7129 \h </w:instrText>
      </w:r>
      <w:r>
        <w:fldChar w:fldCharType="separate"/>
      </w:r>
      <w:r>
        <w:t>10</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_Toc29327 </w:instrText>
      </w:r>
      <w:r>
        <w:rPr>
          <w:rFonts w:ascii="Times New Roman" w:hAnsi="Times New Roman" w:eastAsiaTheme="minorEastAsia"/>
          <w:bCs/>
          <w:i w:val="0"/>
          <w:iCs w:val="0"/>
          <w:szCs w:val="21"/>
          <w:highlight w:val="none"/>
        </w:rPr>
        <w:fldChar w:fldCharType="separate"/>
      </w:r>
      <w:r>
        <w:rPr>
          <w:rFonts w:eastAsia="仿宋"/>
          <w:bCs/>
          <w:kern w:val="0"/>
          <w:highlight w:val="none"/>
        </w:rPr>
        <w:t>一、说明</w:t>
      </w:r>
      <w:r>
        <w:tab/>
      </w:r>
      <w:r>
        <w:fldChar w:fldCharType="begin"/>
      </w:r>
      <w:r>
        <w:instrText xml:space="preserve"> PAGEREF _Toc29327 \h </w:instrText>
      </w:r>
      <w:r>
        <w:fldChar w:fldCharType="separate"/>
      </w:r>
      <w:r>
        <w:t>16</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_Toc7677 </w:instrText>
      </w:r>
      <w:r>
        <w:rPr>
          <w:rFonts w:ascii="Times New Roman" w:hAnsi="Times New Roman" w:eastAsiaTheme="minorEastAsia"/>
          <w:bCs/>
          <w:i w:val="0"/>
          <w:iCs w:val="0"/>
          <w:szCs w:val="21"/>
          <w:highlight w:val="none"/>
        </w:rPr>
        <w:fldChar w:fldCharType="separate"/>
      </w:r>
      <w:r>
        <w:rPr>
          <w:rFonts w:eastAsia="仿宋"/>
          <w:bCs/>
          <w:kern w:val="0"/>
          <w:highlight w:val="none"/>
        </w:rPr>
        <w:t>二、招标文件</w:t>
      </w:r>
      <w:r>
        <w:tab/>
      </w:r>
      <w:r>
        <w:fldChar w:fldCharType="begin"/>
      </w:r>
      <w:r>
        <w:instrText xml:space="preserve"> PAGEREF _Toc7677 \h </w:instrText>
      </w:r>
      <w:r>
        <w:fldChar w:fldCharType="separate"/>
      </w:r>
      <w:r>
        <w:t>17</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_Toc4981 </w:instrText>
      </w:r>
      <w:r>
        <w:rPr>
          <w:rFonts w:ascii="Times New Roman" w:hAnsi="Times New Roman" w:eastAsiaTheme="minorEastAsia"/>
          <w:bCs/>
          <w:i w:val="0"/>
          <w:iCs w:val="0"/>
          <w:szCs w:val="21"/>
          <w:highlight w:val="none"/>
        </w:rPr>
        <w:fldChar w:fldCharType="separate"/>
      </w:r>
      <w:r>
        <w:rPr>
          <w:rFonts w:eastAsia="仿宋"/>
          <w:bCs/>
          <w:kern w:val="0"/>
          <w:highlight w:val="none"/>
        </w:rPr>
        <w:t>三、政府采购优惠政策</w:t>
      </w:r>
      <w:r>
        <w:tab/>
      </w:r>
      <w:r>
        <w:fldChar w:fldCharType="begin"/>
      </w:r>
      <w:r>
        <w:instrText xml:space="preserve"> PAGEREF _Toc4981 \h </w:instrText>
      </w:r>
      <w:r>
        <w:fldChar w:fldCharType="separate"/>
      </w:r>
      <w:r>
        <w:t>18</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_Toc30834 </w:instrText>
      </w:r>
      <w:r>
        <w:rPr>
          <w:rFonts w:ascii="Times New Roman" w:hAnsi="Times New Roman" w:eastAsiaTheme="minorEastAsia"/>
          <w:bCs/>
          <w:i w:val="0"/>
          <w:iCs w:val="0"/>
          <w:szCs w:val="21"/>
          <w:highlight w:val="none"/>
        </w:rPr>
        <w:fldChar w:fldCharType="separate"/>
      </w:r>
      <w:r>
        <w:rPr>
          <w:rFonts w:eastAsia="仿宋"/>
          <w:bCs/>
          <w:kern w:val="0"/>
          <w:highlight w:val="none"/>
        </w:rPr>
        <w:t>四、投标文件的编制</w:t>
      </w:r>
      <w:r>
        <w:tab/>
      </w:r>
      <w:r>
        <w:fldChar w:fldCharType="begin"/>
      </w:r>
      <w:r>
        <w:instrText xml:space="preserve"> PAGEREF _Toc30834 \h </w:instrText>
      </w:r>
      <w:r>
        <w:fldChar w:fldCharType="separate"/>
      </w:r>
      <w:r>
        <w:t>19</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_Toc13114 </w:instrText>
      </w:r>
      <w:r>
        <w:rPr>
          <w:rFonts w:ascii="Times New Roman" w:hAnsi="Times New Roman" w:eastAsiaTheme="minorEastAsia"/>
          <w:bCs/>
          <w:i w:val="0"/>
          <w:iCs w:val="0"/>
          <w:szCs w:val="21"/>
          <w:highlight w:val="none"/>
        </w:rPr>
        <w:fldChar w:fldCharType="separate"/>
      </w:r>
      <w:r>
        <w:rPr>
          <w:rFonts w:eastAsia="仿宋"/>
          <w:bCs/>
          <w:kern w:val="0"/>
          <w:highlight w:val="none"/>
        </w:rPr>
        <w:t>五、投标文件的递交</w:t>
      </w:r>
      <w:r>
        <w:tab/>
      </w:r>
      <w:r>
        <w:fldChar w:fldCharType="begin"/>
      </w:r>
      <w:r>
        <w:instrText xml:space="preserve"> PAGEREF _Toc13114 \h </w:instrText>
      </w:r>
      <w:r>
        <w:fldChar w:fldCharType="separate"/>
      </w:r>
      <w:r>
        <w:t>21</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_Toc22486 </w:instrText>
      </w:r>
      <w:r>
        <w:rPr>
          <w:rFonts w:ascii="Times New Roman" w:hAnsi="Times New Roman" w:eastAsiaTheme="minorEastAsia"/>
          <w:bCs/>
          <w:i w:val="0"/>
          <w:iCs w:val="0"/>
          <w:szCs w:val="21"/>
          <w:highlight w:val="none"/>
        </w:rPr>
        <w:fldChar w:fldCharType="separate"/>
      </w:r>
      <w:r>
        <w:rPr>
          <w:rFonts w:eastAsia="仿宋"/>
          <w:bCs/>
          <w:kern w:val="0"/>
          <w:highlight w:val="none"/>
        </w:rPr>
        <w:t>六、开标</w:t>
      </w:r>
      <w:r>
        <w:tab/>
      </w:r>
      <w:r>
        <w:fldChar w:fldCharType="begin"/>
      </w:r>
      <w:r>
        <w:instrText xml:space="preserve"> PAGEREF _Toc22486 \h </w:instrText>
      </w:r>
      <w:r>
        <w:fldChar w:fldCharType="separate"/>
      </w:r>
      <w:r>
        <w:t>22</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_Toc29849 </w:instrText>
      </w:r>
      <w:r>
        <w:rPr>
          <w:rFonts w:ascii="Times New Roman" w:hAnsi="Times New Roman" w:eastAsiaTheme="minorEastAsia"/>
          <w:bCs/>
          <w:i w:val="0"/>
          <w:iCs w:val="0"/>
          <w:szCs w:val="21"/>
          <w:highlight w:val="none"/>
        </w:rPr>
        <w:fldChar w:fldCharType="separate"/>
      </w:r>
      <w:r>
        <w:rPr>
          <w:rFonts w:eastAsia="仿宋"/>
          <w:bCs/>
          <w:kern w:val="0"/>
          <w:highlight w:val="none"/>
        </w:rPr>
        <w:t>七、评审原则及程序</w:t>
      </w:r>
      <w:r>
        <w:tab/>
      </w:r>
      <w:r>
        <w:fldChar w:fldCharType="begin"/>
      </w:r>
      <w:r>
        <w:instrText xml:space="preserve"> PAGEREF _Toc29849 \h </w:instrText>
      </w:r>
      <w:r>
        <w:fldChar w:fldCharType="separate"/>
      </w:r>
      <w:r>
        <w:t>22</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_Toc8768 </w:instrText>
      </w:r>
      <w:r>
        <w:rPr>
          <w:rFonts w:ascii="Times New Roman" w:hAnsi="Times New Roman" w:eastAsiaTheme="minorEastAsia"/>
          <w:bCs/>
          <w:i w:val="0"/>
          <w:iCs w:val="0"/>
          <w:szCs w:val="21"/>
          <w:highlight w:val="none"/>
        </w:rPr>
        <w:fldChar w:fldCharType="separate"/>
      </w:r>
      <w:r>
        <w:rPr>
          <w:rFonts w:eastAsia="仿宋"/>
          <w:bCs/>
          <w:kern w:val="0"/>
          <w:highlight w:val="none"/>
        </w:rPr>
        <w:t>八、中标人的确定</w:t>
      </w:r>
      <w:r>
        <w:tab/>
      </w:r>
      <w:r>
        <w:fldChar w:fldCharType="begin"/>
      </w:r>
      <w:r>
        <w:instrText xml:space="preserve"> PAGEREF _Toc8768 \h </w:instrText>
      </w:r>
      <w:r>
        <w:fldChar w:fldCharType="separate"/>
      </w:r>
      <w:r>
        <w:t>24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_Toc25192 </w:instrText>
      </w:r>
      <w:r>
        <w:rPr>
          <w:rFonts w:ascii="Times New Roman" w:hAnsi="Times New Roman" w:eastAsiaTheme="minorEastAsia"/>
          <w:bCs/>
          <w:i w:val="0"/>
          <w:iCs w:val="0"/>
          <w:szCs w:val="21"/>
          <w:highlight w:val="none"/>
        </w:rPr>
        <w:fldChar w:fldCharType="separate"/>
      </w:r>
      <w:r>
        <w:rPr>
          <w:rFonts w:eastAsia="仿宋"/>
          <w:bCs/>
          <w:kern w:val="0"/>
          <w:highlight w:val="none"/>
        </w:rPr>
        <w:t>九、中标结果公告</w:t>
      </w:r>
      <w:r>
        <w:tab/>
      </w:r>
      <w:r>
        <w:fldChar w:fldCharType="begin"/>
      </w:r>
      <w:r>
        <w:instrText xml:space="preserve"> PAGEREF _Toc25192 \h </w:instrText>
      </w:r>
      <w:r>
        <w:fldChar w:fldCharType="separate"/>
      </w:r>
      <w:r>
        <w:t>24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_Toc1990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十、中标通知</w:t>
      </w:r>
      <w:r>
        <w:tab/>
      </w:r>
      <w:r>
        <w:fldChar w:fldCharType="begin"/>
      </w:r>
      <w:r>
        <w:instrText xml:space="preserve"> PAGEREF _Toc1990 \h </w:instrText>
      </w:r>
      <w:r>
        <w:fldChar w:fldCharType="separate"/>
      </w:r>
      <w:r>
        <w:t>24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_Toc25246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十一、签订合同</w:t>
      </w:r>
      <w:r>
        <w:tab/>
      </w:r>
      <w:r>
        <w:fldChar w:fldCharType="begin"/>
      </w:r>
      <w:r>
        <w:instrText xml:space="preserve"> PAGEREF _Toc25246 \h </w:instrText>
      </w:r>
      <w:r>
        <w:fldChar w:fldCharType="separate"/>
      </w:r>
      <w:r>
        <w:t>25</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_Toc15342 </w:instrText>
      </w:r>
      <w:r>
        <w:rPr>
          <w:rFonts w:ascii="Times New Roman" w:hAnsi="Times New Roman" w:eastAsiaTheme="minorEastAsia"/>
          <w:bCs/>
          <w:i w:val="0"/>
          <w:iCs w:val="0"/>
          <w:szCs w:val="21"/>
          <w:highlight w:val="none"/>
        </w:rPr>
        <w:fldChar w:fldCharType="separate"/>
      </w:r>
      <w:r>
        <w:rPr>
          <w:rFonts w:eastAsia="仿宋"/>
          <w:bCs/>
          <w:kern w:val="0"/>
          <w:highlight w:val="none"/>
        </w:rPr>
        <w:t>十二、询问、质疑和投诉</w:t>
      </w:r>
      <w:r>
        <w:tab/>
      </w:r>
      <w:r>
        <w:fldChar w:fldCharType="begin"/>
      </w:r>
      <w:r>
        <w:instrText xml:space="preserve"> PAGEREF _Toc15342 \h </w:instrText>
      </w:r>
      <w:r>
        <w:fldChar w:fldCharType="separate"/>
      </w:r>
      <w:r>
        <w:t>25</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_Toc21096 </w:instrText>
      </w:r>
      <w:r>
        <w:rPr>
          <w:rFonts w:ascii="Times New Roman" w:hAnsi="Times New Roman" w:eastAsiaTheme="minorEastAsia"/>
          <w:bCs/>
          <w:i w:val="0"/>
          <w:iCs w:val="0"/>
          <w:szCs w:val="21"/>
          <w:highlight w:val="none"/>
        </w:rPr>
        <w:fldChar w:fldCharType="separate"/>
      </w:r>
      <w:r>
        <w:rPr>
          <w:rFonts w:eastAsia="仿宋"/>
          <w:bCs/>
          <w:kern w:val="0"/>
          <w:highlight w:val="none"/>
        </w:rPr>
        <w:t>十三、其他事项</w:t>
      </w:r>
      <w:r>
        <w:tab/>
      </w:r>
      <w:r>
        <w:fldChar w:fldCharType="begin"/>
      </w:r>
      <w:r>
        <w:instrText xml:space="preserve"> PAGEREF _Toc21096 \h </w:instrText>
      </w:r>
      <w:r>
        <w:fldChar w:fldCharType="separate"/>
      </w:r>
      <w:r>
        <w:t>26</w:t>
      </w:r>
      <w:r>
        <w:fldChar w:fldCharType="end"/>
      </w:r>
      <w:r>
        <w:rPr>
          <w:rFonts w:ascii="Times New Roman" w:hAnsi="Times New Roman" w:eastAsiaTheme="minorEastAsia"/>
          <w:bCs/>
          <w:i w:val="0"/>
          <w:iCs w:val="0"/>
          <w:color w:val="auto"/>
          <w:szCs w:val="21"/>
          <w:highlight w:val="none"/>
        </w:rPr>
        <w:fldChar w:fldCharType="end"/>
      </w:r>
    </w:p>
    <w:p>
      <w:pPr>
        <w:pStyle w:val="27"/>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_Toc18411 </w:instrText>
      </w:r>
      <w:r>
        <w:rPr>
          <w:rFonts w:ascii="Times New Roman" w:hAnsi="Times New Roman" w:eastAsiaTheme="minorEastAsia"/>
          <w:bCs/>
          <w:i w:val="0"/>
          <w:iCs w:val="0"/>
          <w:szCs w:val="21"/>
          <w:highlight w:val="none"/>
        </w:rPr>
        <w:fldChar w:fldCharType="separate"/>
      </w:r>
      <w:r>
        <w:rPr>
          <w:rFonts w:ascii="Times New Roman" w:eastAsia="仿宋"/>
          <w:bCs/>
          <w:kern w:val="44"/>
          <w:szCs w:val="44"/>
          <w:highlight w:val="none"/>
        </w:rPr>
        <w:t>第三章 合同文本</w:t>
      </w:r>
      <w:r>
        <w:tab/>
      </w:r>
      <w:r>
        <w:fldChar w:fldCharType="begin"/>
      </w:r>
      <w:r>
        <w:instrText xml:space="preserve"> PAGEREF _Toc18411 \h </w:instrText>
      </w:r>
      <w:r>
        <w:fldChar w:fldCharType="separate"/>
      </w:r>
      <w:r>
        <w:t>28</w:t>
      </w:r>
      <w:r>
        <w:fldChar w:fldCharType="end"/>
      </w:r>
      <w:r>
        <w:rPr>
          <w:rFonts w:ascii="Times New Roman" w:hAnsi="Times New Roman" w:eastAsiaTheme="minorEastAsia"/>
          <w:bCs/>
          <w:i w:val="0"/>
          <w:iCs w:val="0"/>
          <w:color w:val="auto"/>
          <w:szCs w:val="21"/>
          <w:highlight w:val="none"/>
        </w:rPr>
        <w:fldChar w:fldCharType="end"/>
      </w:r>
    </w:p>
    <w:p>
      <w:pPr>
        <w:pStyle w:val="27"/>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_Toc7166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第四章 投标文件格式</w:t>
      </w:r>
      <w:r>
        <w:tab/>
      </w:r>
      <w:r>
        <w:fldChar w:fldCharType="begin"/>
      </w:r>
      <w:r>
        <w:instrText xml:space="preserve"> PAGEREF _Toc7166 \h </w:instrText>
      </w:r>
      <w:r>
        <w:fldChar w:fldCharType="separate"/>
      </w:r>
      <w:r>
        <w:t>41</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_Toc9119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一、投标书</w:t>
      </w:r>
      <w:r>
        <w:tab/>
      </w:r>
      <w:r>
        <w:fldChar w:fldCharType="begin"/>
      </w:r>
      <w:r>
        <w:instrText xml:space="preserve"> PAGEREF _Toc9119 \h </w:instrText>
      </w:r>
      <w:r>
        <w:fldChar w:fldCharType="separate"/>
      </w:r>
      <w:r>
        <w:t>41</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_Toc23581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二、开标一览表</w:t>
      </w:r>
      <w:r>
        <w:tab/>
      </w:r>
      <w:r>
        <w:fldChar w:fldCharType="begin"/>
      </w:r>
      <w:r>
        <w:instrText xml:space="preserve"> PAGEREF _Toc23581 \h </w:instrText>
      </w:r>
      <w:r>
        <w:fldChar w:fldCharType="separate"/>
      </w:r>
      <w:r>
        <w:t>42</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_Toc29614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三、开标一览表明细</w:t>
      </w:r>
      <w:r>
        <w:tab/>
      </w:r>
      <w:r>
        <w:fldChar w:fldCharType="begin"/>
      </w:r>
      <w:r>
        <w:instrText xml:space="preserve"> PAGEREF _Toc29614 \h </w:instrText>
      </w:r>
      <w:r>
        <w:fldChar w:fldCharType="separate"/>
      </w:r>
      <w:r>
        <w:t>43</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_Toc7246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四、技术条款响应表</w:t>
      </w:r>
      <w:r>
        <w:tab/>
      </w:r>
      <w:r>
        <w:fldChar w:fldCharType="begin"/>
      </w:r>
      <w:r>
        <w:instrText xml:space="preserve"> PAGEREF _Toc7246 \h </w:instrText>
      </w:r>
      <w:r>
        <w:fldChar w:fldCharType="separate"/>
      </w:r>
      <w:r>
        <w:t>44</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_Toc32040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五、商务条款响应表</w:t>
      </w:r>
      <w:r>
        <w:tab/>
      </w:r>
      <w:r>
        <w:fldChar w:fldCharType="begin"/>
      </w:r>
      <w:r>
        <w:instrText xml:space="preserve"> PAGEREF _Toc32040 \h </w:instrText>
      </w:r>
      <w:r>
        <w:fldChar w:fldCharType="separate"/>
      </w:r>
      <w:r>
        <w:t>45</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_Toc4191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六、关于资格的声明函</w:t>
      </w:r>
      <w:r>
        <w:tab/>
      </w:r>
      <w:r>
        <w:fldChar w:fldCharType="begin"/>
      </w:r>
      <w:r>
        <w:instrText xml:space="preserve"> PAGEREF _Toc4191 \h </w:instrText>
      </w:r>
      <w:r>
        <w:fldChar w:fldCharType="separate"/>
      </w:r>
      <w:r>
        <w:t>46</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_Toc9112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七、法定代表人授权书</w:t>
      </w:r>
      <w:r>
        <w:tab/>
      </w:r>
      <w:r>
        <w:fldChar w:fldCharType="begin"/>
      </w:r>
      <w:r>
        <w:instrText xml:space="preserve"> PAGEREF _Toc9112 \h </w:instrText>
      </w:r>
      <w:r>
        <w:fldChar w:fldCharType="separate"/>
      </w:r>
      <w:r>
        <w:t>47</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_Toc30912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八、资格证明文件</w:t>
      </w:r>
      <w:r>
        <w:tab/>
      </w:r>
      <w:r>
        <w:fldChar w:fldCharType="begin"/>
      </w:r>
      <w:r>
        <w:instrText xml:space="preserve"> PAGEREF _Toc30912 \h </w:instrText>
      </w:r>
      <w:r>
        <w:fldChar w:fldCharType="separate"/>
      </w:r>
      <w:r>
        <w:t>48</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_Toc11388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九、提供投标保证金的证明材料</w:t>
      </w:r>
      <w:r>
        <w:tab/>
      </w:r>
      <w:r>
        <w:fldChar w:fldCharType="begin"/>
      </w:r>
      <w:r>
        <w:instrText xml:space="preserve"> PAGEREF _Toc11388 \h </w:instrText>
      </w:r>
      <w:r>
        <w:fldChar w:fldCharType="separate"/>
      </w:r>
      <w:r>
        <w:t>50</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_Toc6302 </w:instrText>
      </w:r>
      <w:r>
        <w:rPr>
          <w:rFonts w:ascii="Times New Roman" w:hAnsi="Times New Roman" w:eastAsiaTheme="minorEastAsia"/>
          <w:bCs/>
          <w:i w:val="0"/>
          <w:iCs w:val="0"/>
          <w:szCs w:val="21"/>
          <w:highlight w:val="none"/>
        </w:rPr>
        <w:fldChar w:fldCharType="separate"/>
      </w:r>
      <w:r>
        <w:rPr>
          <w:rFonts w:eastAsia="仿宋"/>
          <w:bCs/>
          <w:snapToGrid w:val="0"/>
          <w:kern w:val="0"/>
          <w:szCs w:val="28"/>
          <w:highlight w:val="none"/>
        </w:rPr>
        <w:t>十、投标货物技术文件及其他材料</w:t>
      </w:r>
      <w:r>
        <w:tab/>
      </w:r>
      <w:r>
        <w:fldChar w:fldCharType="begin"/>
      </w:r>
      <w:r>
        <w:instrText xml:space="preserve"> PAGEREF _Toc6302 \h </w:instrText>
      </w:r>
      <w:r>
        <w:fldChar w:fldCharType="separate"/>
      </w:r>
      <w:r>
        <w:t>50</w:t>
      </w:r>
      <w:r>
        <w:fldChar w:fldCharType="end"/>
      </w:r>
      <w:r>
        <w:rPr>
          <w:rFonts w:ascii="Times New Roman" w:hAnsi="Times New Roman" w:eastAsiaTheme="minorEastAsia"/>
          <w:bCs/>
          <w:i w:val="0"/>
          <w:iCs w:val="0"/>
          <w:color w:val="auto"/>
          <w:szCs w:val="21"/>
          <w:highlight w:val="none"/>
        </w:rPr>
        <w:fldChar w:fldCharType="end"/>
      </w:r>
    </w:p>
    <w:p>
      <w:pPr>
        <w:pStyle w:val="27"/>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_Toc7016 </w:instrText>
      </w:r>
      <w:r>
        <w:rPr>
          <w:rFonts w:ascii="Times New Roman" w:hAnsi="Times New Roman" w:eastAsiaTheme="minorEastAsia"/>
          <w:bCs/>
          <w:i w:val="0"/>
          <w:iCs w:val="0"/>
          <w:szCs w:val="21"/>
          <w:highlight w:val="none"/>
        </w:rPr>
        <w:fldChar w:fldCharType="separate"/>
      </w:r>
      <w:r>
        <w:rPr>
          <w:rFonts w:hint="eastAsia" w:ascii="Times New Roman" w:eastAsia="仿宋"/>
          <w:highlight w:val="none"/>
        </w:rPr>
        <w:t>第五章　货物需求表及采购需求</w:t>
      </w:r>
      <w:r>
        <w:tab/>
      </w:r>
      <w:r>
        <w:fldChar w:fldCharType="begin"/>
      </w:r>
      <w:r>
        <w:instrText xml:space="preserve"> PAGEREF _Toc7016 \h </w:instrText>
      </w:r>
      <w:r>
        <w:fldChar w:fldCharType="separate"/>
      </w:r>
      <w:r>
        <w:t>59</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_Toc26093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一、货物需求表</w:t>
      </w:r>
      <w:r>
        <w:tab/>
      </w:r>
      <w:r>
        <w:fldChar w:fldCharType="begin"/>
      </w:r>
      <w:r>
        <w:instrText xml:space="preserve"> PAGEREF _Toc26093 \h </w:instrText>
      </w:r>
      <w:r>
        <w:fldChar w:fldCharType="separate"/>
      </w:r>
      <w:r>
        <w:t>59</w:t>
      </w:r>
      <w:r>
        <w:fldChar w:fldCharType="end"/>
      </w:r>
      <w:r>
        <w:rPr>
          <w:rFonts w:ascii="Times New Roman" w:hAnsi="Times New Roman" w:eastAsiaTheme="minorEastAsia"/>
          <w:bCs/>
          <w:i w:val="0"/>
          <w:iCs w:val="0"/>
          <w:color w:val="auto"/>
          <w:szCs w:val="21"/>
          <w:highlight w:val="none"/>
        </w:rPr>
        <w:fldChar w:fldCharType="end"/>
      </w:r>
    </w:p>
    <w:p>
      <w:pPr>
        <w:pStyle w:val="33"/>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_Toc21607 </w:instrText>
      </w:r>
      <w:r>
        <w:rPr>
          <w:rFonts w:ascii="Times New Roman" w:hAnsi="Times New Roman" w:eastAsiaTheme="minorEastAsia"/>
          <w:bCs/>
          <w:i w:val="0"/>
          <w:iCs w:val="0"/>
          <w:szCs w:val="21"/>
          <w:highlight w:val="none"/>
        </w:rPr>
        <w:fldChar w:fldCharType="separate"/>
      </w:r>
      <w:r>
        <w:rPr>
          <w:rFonts w:ascii="Times New Roman" w:hAnsi="Times New Roman" w:eastAsia="仿宋"/>
          <w:highlight w:val="none"/>
        </w:rPr>
        <w:t>二、采购需求</w:t>
      </w:r>
      <w:r>
        <w:tab/>
      </w:r>
      <w:r>
        <w:fldChar w:fldCharType="begin"/>
      </w:r>
      <w:r>
        <w:instrText xml:space="preserve"> PAGEREF _Toc21607 \h </w:instrText>
      </w:r>
      <w:r>
        <w:fldChar w:fldCharType="separate"/>
      </w:r>
      <w:r>
        <w:t>61</w:t>
      </w:r>
      <w:r>
        <w:fldChar w:fldCharType="end"/>
      </w:r>
      <w:r>
        <w:rPr>
          <w:rFonts w:ascii="Times New Roman" w:hAnsi="Times New Roman" w:eastAsiaTheme="minorEastAsia"/>
          <w:bCs/>
          <w:i w:val="0"/>
          <w:iCs w:val="0"/>
          <w:color w:val="auto"/>
          <w:szCs w:val="21"/>
          <w:highlight w:val="none"/>
        </w:rPr>
        <w:fldChar w:fldCharType="end"/>
      </w:r>
    </w:p>
    <w:p>
      <w:pPr>
        <w:pStyle w:val="27"/>
        <w:tabs>
          <w:tab w:val="right" w:leader="dot" w:pos="9072"/>
        </w:tabs>
      </w:pPr>
      <w:r>
        <w:rPr>
          <w:rFonts w:ascii="Times New Roman" w:hAnsi="Times New Roman" w:eastAsiaTheme="minorEastAsia"/>
          <w:bCs/>
          <w:i w:val="0"/>
          <w:iCs w:val="0"/>
          <w:color w:val="auto"/>
          <w:szCs w:val="21"/>
          <w:highlight w:val="none"/>
        </w:rPr>
        <w:fldChar w:fldCharType="begin"/>
      </w:r>
      <w:r>
        <w:rPr>
          <w:rFonts w:ascii="Times New Roman" w:hAnsi="Times New Roman" w:eastAsiaTheme="minorEastAsia"/>
          <w:bCs/>
          <w:i w:val="0"/>
          <w:iCs w:val="0"/>
          <w:szCs w:val="21"/>
          <w:highlight w:val="none"/>
        </w:rPr>
        <w:instrText xml:space="preserve"> HYPERLINK \l _Toc2760 </w:instrText>
      </w:r>
      <w:r>
        <w:rPr>
          <w:rFonts w:ascii="Times New Roman" w:hAnsi="Times New Roman" w:eastAsiaTheme="minorEastAsia"/>
          <w:bCs/>
          <w:i w:val="0"/>
          <w:iCs w:val="0"/>
          <w:szCs w:val="21"/>
          <w:highlight w:val="none"/>
        </w:rPr>
        <w:fldChar w:fldCharType="separate"/>
      </w:r>
      <w:r>
        <w:rPr>
          <w:rFonts w:ascii="Times New Roman" w:eastAsia="仿宋"/>
          <w:highlight w:val="none"/>
        </w:rPr>
        <w:t>第六章  评标标准</w:t>
      </w:r>
      <w:r>
        <w:tab/>
      </w:r>
      <w:r>
        <w:fldChar w:fldCharType="begin"/>
      </w:r>
      <w:r>
        <w:instrText xml:space="preserve"> PAGEREF _Toc2760 \h </w:instrText>
      </w:r>
      <w:r>
        <w:fldChar w:fldCharType="separate"/>
      </w:r>
      <w:r>
        <w:t>166</w:t>
      </w:r>
      <w:r>
        <w:fldChar w:fldCharType="end"/>
      </w:r>
      <w:r>
        <w:rPr>
          <w:rFonts w:ascii="Times New Roman" w:hAnsi="Times New Roman" w:eastAsiaTheme="minorEastAsia"/>
          <w:bCs/>
          <w:i w:val="0"/>
          <w:iCs w:val="0"/>
          <w:color w:val="auto"/>
          <w:szCs w:val="21"/>
          <w:highlight w:val="none"/>
        </w:rPr>
        <w:fldChar w:fldCharType="end"/>
      </w:r>
    </w:p>
    <w:p>
      <w:pPr>
        <w:pStyle w:val="19"/>
        <w:spacing w:line="240" w:lineRule="atLeast"/>
        <w:ind w:left="0"/>
        <w:rPr>
          <w:rStyle w:val="48"/>
          <w:rFonts w:ascii="Times New Roman" w:hAnsi="Times New Roman" w:eastAsiaTheme="minorEastAsia"/>
          <w:b/>
          <w:bCs/>
          <w:color w:val="auto"/>
          <w:szCs w:val="21"/>
          <w:highlight w:val="none"/>
        </w:rPr>
      </w:pPr>
      <w:r>
        <w:rPr>
          <w:rFonts w:ascii="Times New Roman" w:hAnsi="Times New Roman" w:eastAsiaTheme="minorEastAsia"/>
          <w:bCs/>
          <w:i w:val="0"/>
          <w:iCs w:val="0"/>
          <w:color w:val="auto"/>
          <w:szCs w:val="21"/>
          <w:highlight w:val="none"/>
        </w:rPr>
        <w:fldChar w:fldCharType="end"/>
      </w:r>
    </w:p>
    <w:p>
      <w:pPr>
        <w:adjustRightInd w:val="0"/>
        <w:snapToGrid w:val="0"/>
        <w:ind w:firstLine="1897" w:firstLineChars="900"/>
        <w:rPr>
          <w:rFonts w:eastAsia="仿宋"/>
          <w:b/>
          <w:bCs/>
          <w:i/>
          <w:color w:val="auto"/>
          <w:szCs w:val="21"/>
          <w:highlight w:val="none"/>
        </w:rPr>
      </w:pPr>
    </w:p>
    <w:p>
      <w:pPr>
        <w:adjustRightInd w:val="0"/>
        <w:snapToGrid w:val="0"/>
        <w:spacing w:line="460" w:lineRule="exact"/>
        <w:ind w:left="-2" w:firstLine="538"/>
        <w:jc w:val="center"/>
        <w:rPr>
          <w:rFonts w:eastAsia="仿宋"/>
          <w:bCs/>
          <w:color w:val="auto"/>
          <w:sz w:val="28"/>
          <w:szCs w:val="28"/>
          <w:highlight w:val="none"/>
        </w:rPr>
        <w:sectPr>
          <w:footerReference r:id="rId6" w:type="default"/>
          <w:pgSz w:w="11906" w:h="16838"/>
          <w:pgMar w:top="1247" w:right="1417" w:bottom="1702" w:left="1417" w:header="851" w:footer="992" w:gutter="0"/>
          <w:pgNumType w:fmt="decimal"/>
          <w:cols w:space="720" w:num="1"/>
          <w:docGrid w:linePitch="312" w:charSpace="0"/>
        </w:sectPr>
      </w:pPr>
    </w:p>
    <w:p>
      <w:pPr>
        <w:pStyle w:val="3"/>
        <w:spacing w:before="240" w:after="240"/>
        <w:jc w:val="center"/>
        <w:rPr>
          <w:rFonts w:ascii="Times New Roman" w:eastAsia="仿宋"/>
          <w:b/>
          <w:color w:val="auto"/>
          <w:sz w:val="40"/>
          <w:highlight w:val="none"/>
        </w:rPr>
      </w:pPr>
      <w:bookmarkStart w:id="0" w:name="_Toc17171"/>
      <w:bookmarkStart w:id="1" w:name="_Toc31707"/>
      <w:bookmarkStart w:id="2" w:name="_Toc21625404"/>
      <w:bookmarkStart w:id="3" w:name="_Toc21625302"/>
      <w:bookmarkStart w:id="4" w:name="_Toc32096"/>
      <w:bookmarkStart w:id="5" w:name="_Toc21625215"/>
      <w:bookmarkStart w:id="6" w:name="_Toc18651"/>
      <w:bookmarkStart w:id="7" w:name="_Toc10152"/>
      <w:bookmarkStart w:id="8" w:name="_Toc377117004"/>
      <w:bookmarkStart w:id="9" w:name="_Toc281381163"/>
      <w:r>
        <w:rPr>
          <w:rFonts w:ascii="Times New Roman" w:hAnsi="仿宋" w:eastAsia="仿宋"/>
          <w:b/>
          <w:color w:val="auto"/>
          <w:sz w:val="40"/>
          <w:highlight w:val="none"/>
        </w:rPr>
        <w:t>第一章</w:t>
      </w:r>
      <w:r>
        <w:rPr>
          <w:rFonts w:hint="eastAsia" w:ascii="Times New Roman" w:hAnsi="仿宋" w:eastAsia="仿宋"/>
          <w:b/>
          <w:color w:val="auto"/>
          <w:sz w:val="40"/>
          <w:highlight w:val="none"/>
          <w:lang w:val="en-US" w:eastAsia="zh-CN"/>
        </w:rPr>
        <w:t xml:space="preserve"> </w:t>
      </w:r>
      <w:r>
        <w:rPr>
          <w:rFonts w:ascii="Times New Roman" w:hAnsi="仿宋" w:eastAsia="仿宋"/>
          <w:b/>
          <w:color w:val="auto"/>
          <w:sz w:val="40"/>
          <w:highlight w:val="none"/>
        </w:rPr>
        <w:t>投标邀请</w:t>
      </w:r>
      <w:bookmarkEnd w:id="0"/>
      <w:bookmarkEnd w:id="1"/>
      <w:bookmarkEnd w:id="2"/>
      <w:bookmarkEnd w:id="3"/>
      <w:bookmarkEnd w:id="4"/>
      <w:bookmarkEnd w:id="5"/>
      <w:bookmarkEnd w:id="6"/>
      <w:bookmarkEnd w:id="7"/>
      <w:bookmarkEnd w:id="8"/>
    </w:p>
    <w:p>
      <w:pPr>
        <w:pBdr>
          <w:top w:val="single" w:color="auto" w:sz="4" w:space="1"/>
          <w:left w:val="single" w:color="auto" w:sz="4" w:space="4"/>
          <w:bottom w:val="single" w:color="auto" w:sz="4" w:space="1"/>
          <w:right w:val="single" w:color="auto" w:sz="4" w:space="4"/>
        </w:pBdr>
        <w:spacing w:line="500" w:lineRule="atLeast"/>
        <w:ind w:firstLine="480" w:firstLineChars="200"/>
        <w:rPr>
          <w:rFonts w:eastAsia="仿宋"/>
          <w:color w:val="auto"/>
          <w:sz w:val="24"/>
          <w:szCs w:val="24"/>
          <w:highlight w:val="none"/>
        </w:rPr>
      </w:pPr>
      <w:r>
        <w:rPr>
          <w:rFonts w:hAnsi="仿宋" w:eastAsia="仿宋"/>
          <w:color w:val="auto"/>
          <w:sz w:val="24"/>
          <w:szCs w:val="24"/>
          <w:highlight w:val="none"/>
        </w:rPr>
        <w:t>项目概况</w:t>
      </w:r>
    </w:p>
    <w:p>
      <w:pPr>
        <w:pBdr>
          <w:top w:val="single" w:color="auto" w:sz="4" w:space="1"/>
          <w:left w:val="single" w:color="auto" w:sz="4" w:space="4"/>
          <w:bottom w:val="single" w:color="auto" w:sz="4" w:space="1"/>
          <w:right w:val="single" w:color="auto" w:sz="4" w:space="4"/>
        </w:pBdr>
        <w:spacing w:line="500" w:lineRule="atLeast"/>
        <w:ind w:firstLine="482" w:firstLineChars="200"/>
        <w:rPr>
          <w:rFonts w:eastAsia="仿宋"/>
          <w:color w:val="auto"/>
          <w:sz w:val="24"/>
          <w:szCs w:val="24"/>
          <w:highlight w:val="none"/>
        </w:rPr>
      </w:pPr>
      <w:bookmarkStart w:id="10" w:name="_Toc35393621"/>
      <w:bookmarkStart w:id="11" w:name="_Toc28359002"/>
      <w:bookmarkStart w:id="12" w:name="_Toc35393790"/>
      <w:bookmarkStart w:id="13" w:name="_Toc28359079"/>
      <w:bookmarkStart w:id="14" w:name="_Hlk24379207"/>
      <w:r>
        <w:rPr>
          <w:rFonts w:hint="eastAsia" w:ascii="仿宋" w:hAnsi="仿宋" w:eastAsia="仿宋" w:cs="仿宋"/>
          <w:b/>
          <w:bCs/>
          <w:color w:val="auto"/>
          <w:kern w:val="0"/>
          <w:sz w:val="24"/>
          <w:szCs w:val="24"/>
          <w:highlight w:val="none"/>
          <w:u w:val="single"/>
          <w:shd w:val="clear" w:color="auto" w:fill="FFFFFF"/>
          <w:lang w:val="en-US" w:eastAsia="zh-CN"/>
        </w:rPr>
        <w:t>江西省消防救援总队自然灾害应急能力提升工程装备配备项目（车辆类）</w:t>
      </w:r>
      <w:r>
        <w:rPr>
          <w:rFonts w:hint="eastAsia" w:ascii="仿宋" w:hAnsi="仿宋" w:eastAsia="仿宋"/>
          <w:b/>
          <w:bCs/>
          <w:color w:val="auto"/>
          <w:sz w:val="24"/>
          <w:highlight w:val="none"/>
          <w:lang w:eastAsia="zh-CN"/>
        </w:rPr>
        <w:t>（</w:t>
      </w:r>
      <w:r>
        <w:rPr>
          <w:rFonts w:hint="eastAsia" w:ascii="仿宋" w:hAnsi="仿宋" w:eastAsia="仿宋"/>
          <w:b/>
          <w:bCs/>
          <w:color w:val="auto"/>
          <w:sz w:val="24"/>
          <w:highlight w:val="none"/>
          <w:lang w:val="en-US" w:eastAsia="zh-CN"/>
        </w:rPr>
        <w:t>项目</w:t>
      </w:r>
      <w:r>
        <w:rPr>
          <w:rFonts w:hint="eastAsia" w:ascii="仿宋" w:hAnsi="仿宋" w:eastAsia="仿宋"/>
          <w:b/>
          <w:bCs/>
          <w:color w:val="auto"/>
          <w:sz w:val="24"/>
          <w:highlight w:val="none"/>
        </w:rPr>
        <w:t>编号：</w:t>
      </w:r>
      <w:r>
        <w:rPr>
          <w:rFonts w:hint="eastAsia" w:ascii="仿宋" w:hAnsi="仿宋" w:eastAsia="仿宋"/>
          <w:b/>
          <w:bCs/>
          <w:color w:val="auto"/>
          <w:sz w:val="24"/>
          <w:highlight w:val="none"/>
          <w:lang w:eastAsia="zh-CN"/>
        </w:rPr>
        <w:t>HSH2024ZG015）</w:t>
      </w:r>
      <w:r>
        <w:rPr>
          <w:rFonts w:hint="eastAsia" w:ascii="仿宋" w:hAnsi="仿宋" w:eastAsia="仿宋" w:cs="仿宋"/>
          <w:color w:val="auto"/>
          <w:kern w:val="0"/>
          <w:sz w:val="24"/>
          <w:szCs w:val="24"/>
          <w:highlight w:val="none"/>
          <w:shd w:val="clear" w:color="auto" w:fill="FFFFFF"/>
        </w:rPr>
        <w:t>的</w:t>
      </w:r>
      <w:r>
        <w:rPr>
          <w:rFonts w:hint="eastAsia" w:ascii="仿宋" w:hAnsi="仿宋" w:eastAsia="仿宋" w:cs="仿宋"/>
          <w:color w:val="auto"/>
          <w:kern w:val="0"/>
          <w:sz w:val="24"/>
          <w:szCs w:val="24"/>
          <w:highlight w:val="none"/>
        </w:rPr>
        <w:t>潜在投标人应在</w:t>
      </w:r>
      <w:r>
        <w:rPr>
          <w:rFonts w:hint="eastAsia" w:ascii="仿宋" w:hAnsi="仿宋" w:eastAsia="仿宋"/>
          <w:color w:val="auto"/>
          <w:sz w:val="24"/>
          <w:highlight w:val="none"/>
          <w:lang w:val="en-US" w:eastAsia="zh-CN"/>
        </w:rPr>
        <w:t>江西合胜合招标咨询有限公司现场或线上</w:t>
      </w:r>
      <w:r>
        <w:rPr>
          <w:rFonts w:hint="eastAsia" w:ascii="仿宋" w:hAnsi="仿宋" w:eastAsia="仿宋" w:cs="仿宋"/>
          <w:color w:val="auto"/>
          <w:kern w:val="0"/>
          <w:sz w:val="24"/>
          <w:szCs w:val="24"/>
          <w:highlight w:val="none"/>
        </w:rPr>
        <w:t>获取招标文件。</w:t>
      </w:r>
    </w:p>
    <w:p>
      <w:pPr>
        <w:pStyle w:val="2"/>
        <w:spacing w:before="0" w:after="0" w:line="500" w:lineRule="atLeast"/>
        <w:rPr>
          <w:rFonts w:ascii="Times New Roman" w:hAnsi="Times New Roman" w:eastAsia="仿宋"/>
          <w:b/>
          <w:bCs w:val="0"/>
          <w:color w:val="auto"/>
          <w:sz w:val="24"/>
          <w:szCs w:val="24"/>
          <w:highlight w:val="none"/>
        </w:rPr>
      </w:pPr>
      <w:bookmarkStart w:id="15" w:name="_Toc23944"/>
      <w:bookmarkStart w:id="16" w:name="_Toc16042"/>
      <w:bookmarkStart w:id="17" w:name="_Toc29734"/>
      <w:bookmarkStart w:id="18" w:name="_Toc17777"/>
      <w:bookmarkStart w:id="19" w:name="_Toc5291"/>
      <w:r>
        <w:rPr>
          <w:rFonts w:ascii="Times New Roman" w:hAnsi="仿宋" w:eastAsia="仿宋"/>
          <w:b/>
          <w:bCs w:val="0"/>
          <w:color w:val="auto"/>
          <w:sz w:val="24"/>
          <w:szCs w:val="24"/>
          <w:highlight w:val="none"/>
        </w:rPr>
        <w:t>一、项目基本情况</w:t>
      </w:r>
      <w:bookmarkEnd w:id="10"/>
      <w:bookmarkEnd w:id="11"/>
      <w:bookmarkEnd w:id="12"/>
      <w:bookmarkEnd w:id="13"/>
      <w:bookmarkEnd w:id="15"/>
      <w:bookmarkEnd w:id="16"/>
      <w:bookmarkEnd w:id="17"/>
      <w:bookmarkEnd w:id="18"/>
      <w:bookmarkEnd w:id="19"/>
    </w:p>
    <w:p>
      <w:pPr>
        <w:spacing w:line="500" w:lineRule="atLeast"/>
        <w:ind w:firstLine="482" w:firstLineChars="200"/>
        <w:rPr>
          <w:rFonts w:hint="eastAsia" w:eastAsia="仿宋"/>
          <w:color w:val="auto"/>
          <w:sz w:val="24"/>
          <w:szCs w:val="24"/>
          <w:highlight w:val="none"/>
          <w:lang w:eastAsia="zh-CN"/>
        </w:rPr>
      </w:pPr>
      <w:r>
        <w:rPr>
          <w:rFonts w:hAnsi="仿宋" w:eastAsia="仿宋"/>
          <w:b/>
          <w:bCs/>
          <w:iCs/>
          <w:color w:val="auto"/>
          <w:sz w:val="24"/>
          <w:szCs w:val="24"/>
          <w:highlight w:val="none"/>
        </w:rPr>
        <w:t>项目编号：</w:t>
      </w:r>
      <w:r>
        <w:rPr>
          <w:rFonts w:hint="eastAsia" w:eastAsia="仿宋"/>
          <w:color w:val="auto"/>
          <w:sz w:val="24"/>
          <w:szCs w:val="24"/>
          <w:highlight w:val="none"/>
          <w:lang w:eastAsia="zh-CN"/>
        </w:rPr>
        <w:t>HSH2024ZG015</w:t>
      </w:r>
    </w:p>
    <w:p>
      <w:pPr>
        <w:spacing w:line="500" w:lineRule="atLeast"/>
        <w:ind w:left="479" w:leftChars="228"/>
        <w:rPr>
          <w:rFonts w:hint="eastAsia" w:eastAsia="仿宋"/>
          <w:color w:val="auto"/>
          <w:sz w:val="24"/>
          <w:szCs w:val="24"/>
          <w:highlight w:val="none"/>
          <w:lang w:eastAsia="zh-CN"/>
        </w:rPr>
      </w:pPr>
      <w:r>
        <w:rPr>
          <w:rFonts w:hAnsi="仿宋" w:eastAsia="仿宋"/>
          <w:b/>
          <w:bCs/>
          <w:color w:val="auto"/>
          <w:sz w:val="24"/>
          <w:szCs w:val="24"/>
          <w:highlight w:val="none"/>
        </w:rPr>
        <w:t>项目</w:t>
      </w:r>
      <w:r>
        <w:rPr>
          <w:rFonts w:hAnsi="仿宋" w:eastAsia="仿宋"/>
          <w:b/>
          <w:bCs/>
          <w:iCs/>
          <w:color w:val="auto"/>
          <w:sz w:val="24"/>
          <w:szCs w:val="24"/>
          <w:highlight w:val="none"/>
        </w:rPr>
        <w:t>名</w:t>
      </w:r>
      <w:r>
        <w:rPr>
          <w:rFonts w:hAnsi="仿宋" w:eastAsia="仿宋"/>
          <w:b/>
          <w:bCs/>
          <w:color w:val="auto"/>
          <w:sz w:val="24"/>
          <w:szCs w:val="24"/>
          <w:highlight w:val="none"/>
        </w:rPr>
        <w:t>称：</w:t>
      </w:r>
      <w:r>
        <w:rPr>
          <w:rFonts w:hint="eastAsia" w:hAnsi="仿宋" w:eastAsia="仿宋"/>
          <w:color w:val="auto"/>
          <w:sz w:val="24"/>
          <w:szCs w:val="24"/>
          <w:highlight w:val="none"/>
          <w:lang w:eastAsia="zh-CN"/>
        </w:rPr>
        <w:t>江西省消防救援总队自然灾害应急能力提升工程装备配备项目（车辆类）</w:t>
      </w:r>
    </w:p>
    <w:p>
      <w:pPr>
        <w:spacing w:line="500" w:lineRule="atLeast"/>
        <w:ind w:firstLine="482" w:firstLineChars="200"/>
        <w:rPr>
          <w:rFonts w:eastAsia="仿宋"/>
          <w:iCs/>
          <w:color w:val="auto"/>
          <w:sz w:val="24"/>
          <w:szCs w:val="24"/>
          <w:highlight w:val="none"/>
        </w:rPr>
      </w:pPr>
      <w:r>
        <w:rPr>
          <w:rFonts w:hAnsi="仿宋" w:eastAsia="仿宋"/>
          <w:b/>
          <w:bCs/>
          <w:iCs/>
          <w:color w:val="auto"/>
          <w:sz w:val="24"/>
          <w:szCs w:val="24"/>
          <w:highlight w:val="none"/>
        </w:rPr>
        <w:t>采购方式：</w:t>
      </w:r>
      <w:r>
        <w:rPr>
          <w:rFonts w:hAnsi="仿宋" w:eastAsia="仿宋"/>
          <w:iCs/>
          <w:color w:val="auto"/>
          <w:sz w:val="24"/>
          <w:szCs w:val="24"/>
          <w:highlight w:val="none"/>
        </w:rPr>
        <w:t>公开招标</w:t>
      </w:r>
    </w:p>
    <w:bookmarkEnd w:id="14"/>
    <w:p>
      <w:pPr>
        <w:spacing w:line="500" w:lineRule="atLeast"/>
        <w:ind w:firstLine="482" w:firstLineChars="200"/>
        <w:rPr>
          <w:rFonts w:hint="default" w:eastAsia="仿宋"/>
          <w:iCs/>
          <w:color w:val="auto"/>
          <w:sz w:val="24"/>
          <w:szCs w:val="24"/>
          <w:highlight w:val="none"/>
          <w:lang w:val="en-US" w:eastAsia="zh-CN"/>
        </w:rPr>
      </w:pPr>
      <w:r>
        <w:rPr>
          <w:rFonts w:hAnsi="仿宋" w:eastAsia="仿宋"/>
          <w:b/>
          <w:bCs/>
          <w:iCs/>
          <w:color w:val="auto"/>
          <w:sz w:val="24"/>
          <w:szCs w:val="24"/>
          <w:highlight w:val="none"/>
        </w:rPr>
        <w:t>预算金额：</w:t>
      </w:r>
      <w:r>
        <w:rPr>
          <w:rFonts w:hint="eastAsia" w:hAnsi="仿宋" w:eastAsia="仿宋"/>
          <w:iCs/>
          <w:color w:val="auto"/>
          <w:sz w:val="24"/>
          <w:szCs w:val="24"/>
          <w:highlight w:val="none"/>
          <w:lang w:val="en-US" w:eastAsia="zh-CN"/>
        </w:rPr>
        <w:t>117285000.00</w:t>
      </w:r>
      <w:r>
        <w:rPr>
          <w:rFonts w:hAnsi="仿宋" w:eastAsia="仿宋"/>
          <w:iCs/>
          <w:color w:val="auto"/>
          <w:sz w:val="24"/>
          <w:szCs w:val="24"/>
          <w:highlight w:val="none"/>
        </w:rPr>
        <w:t>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1包预算：</w:t>
      </w:r>
      <w:r>
        <w:rPr>
          <w:rFonts w:hint="eastAsia" w:ascii="仿宋" w:hAnsi="仿宋" w:eastAsia="仿宋" w:cs="宋体"/>
          <w:color w:val="auto"/>
          <w:sz w:val="24"/>
          <w:szCs w:val="24"/>
          <w:highlight w:val="none"/>
          <w:lang w:val="en-US" w:eastAsia="zh-CN"/>
        </w:rPr>
        <w:t>72</w:t>
      </w:r>
      <w:r>
        <w:rPr>
          <w:rFonts w:hint="eastAsia" w:ascii="仿宋" w:hAnsi="仿宋" w:eastAsia="仿宋" w:cs="宋体"/>
          <w:color w:val="auto"/>
          <w:sz w:val="24"/>
          <w:szCs w:val="24"/>
          <w:highlight w:val="none"/>
        </w:rPr>
        <w:t>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2包预算：</w:t>
      </w:r>
      <w:r>
        <w:rPr>
          <w:rFonts w:hint="eastAsia" w:ascii="仿宋" w:hAnsi="仿宋" w:eastAsia="仿宋" w:cs="宋体"/>
          <w:color w:val="auto"/>
          <w:sz w:val="24"/>
          <w:szCs w:val="24"/>
          <w:highlight w:val="none"/>
          <w:lang w:val="en-US" w:eastAsia="zh-CN"/>
        </w:rPr>
        <w:t>26</w:t>
      </w:r>
      <w:r>
        <w:rPr>
          <w:rFonts w:hint="eastAsia" w:ascii="仿宋" w:hAnsi="仿宋" w:eastAsia="仿宋" w:cs="宋体"/>
          <w:color w:val="auto"/>
          <w:sz w:val="24"/>
          <w:szCs w:val="24"/>
          <w:highlight w:val="none"/>
        </w:rPr>
        <w:t>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3包预算：5600000.00元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4包预算：1</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5包预算：4</w:t>
      </w:r>
      <w:r>
        <w:rPr>
          <w:rFonts w:hint="eastAsia" w:ascii="仿宋" w:hAnsi="仿宋" w:eastAsia="仿宋" w:cs="宋体"/>
          <w:color w:val="auto"/>
          <w:sz w:val="24"/>
          <w:szCs w:val="24"/>
          <w:highlight w:val="none"/>
          <w:lang w:val="en-US" w:eastAsia="zh-CN"/>
        </w:rPr>
        <w:t>80</w:t>
      </w:r>
      <w:r>
        <w:rPr>
          <w:rFonts w:hint="eastAsia" w:ascii="仿宋" w:hAnsi="仿宋" w:eastAsia="仿宋" w:cs="宋体"/>
          <w:color w:val="auto"/>
          <w:sz w:val="24"/>
          <w:szCs w:val="24"/>
          <w:highlight w:val="none"/>
        </w:rPr>
        <w:t>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6包预算：</w:t>
      </w:r>
      <w:r>
        <w:rPr>
          <w:rFonts w:hint="eastAsia" w:ascii="仿宋" w:hAnsi="仿宋" w:eastAsia="仿宋" w:cs="宋体"/>
          <w:color w:val="auto"/>
          <w:sz w:val="24"/>
          <w:szCs w:val="24"/>
          <w:highlight w:val="none"/>
          <w:lang w:val="en-US" w:eastAsia="zh-CN"/>
        </w:rPr>
        <w:t>450</w:t>
      </w:r>
      <w:r>
        <w:rPr>
          <w:rFonts w:hint="eastAsia" w:ascii="仿宋" w:hAnsi="仿宋" w:eastAsia="仿宋" w:cs="宋体"/>
          <w:color w:val="auto"/>
          <w:sz w:val="24"/>
          <w:szCs w:val="24"/>
          <w:highlight w:val="none"/>
        </w:rPr>
        <w:t>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7包预算：</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400000.00元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8包预算：</w:t>
      </w:r>
      <w:r>
        <w:rPr>
          <w:rFonts w:hint="eastAsia" w:ascii="仿宋" w:hAnsi="仿宋" w:eastAsia="仿宋" w:cs="宋体"/>
          <w:color w:val="auto"/>
          <w:sz w:val="24"/>
          <w:szCs w:val="24"/>
          <w:highlight w:val="none"/>
          <w:lang w:val="en-US" w:eastAsia="zh-CN"/>
        </w:rPr>
        <w:t>85</w:t>
      </w:r>
      <w:r>
        <w:rPr>
          <w:rFonts w:hint="eastAsia" w:ascii="仿宋" w:hAnsi="仿宋" w:eastAsia="仿宋" w:cs="宋体"/>
          <w:color w:val="auto"/>
          <w:sz w:val="24"/>
          <w:szCs w:val="24"/>
          <w:highlight w:val="none"/>
        </w:rPr>
        <w:t>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0</w:t>
      </w:r>
      <w:r>
        <w:rPr>
          <w:rFonts w:hint="eastAsia" w:ascii="仿宋" w:hAnsi="仿宋" w:eastAsia="仿宋" w:cs="宋体"/>
          <w:color w:val="auto"/>
          <w:sz w:val="24"/>
          <w:szCs w:val="24"/>
          <w:highlight w:val="none"/>
        </w:rPr>
        <w:t>9包预算：1</w:t>
      </w:r>
      <w:r>
        <w:rPr>
          <w:rFonts w:hint="eastAsia" w:ascii="仿宋" w:hAnsi="仿宋" w:eastAsia="仿宋" w:cs="宋体"/>
          <w:color w:val="auto"/>
          <w:sz w:val="24"/>
          <w:szCs w:val="24"/>
          <w:highlight w:val="none"/>
          <w:lang w:val="en-US" w:eastAsia="zh-CN"/>
        </w:rPr>
        <w:t>08</w:t>
      </w:r>
      <w:r>
        <w:rPr>
          <w:rFonts w:hint="eastAsia" w:ascii="仿宋" w:hAnsi="仿宋" w:eastAsia="仿宋" w:cs="宋体"/>
          <w:color w:val="auto"/>
          <w:sz w:val="24"/>
          <w:szCs w:val="24"/>
          <w:highlight w:val="none"/>
        </w:rPr>
        <w:t>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10包预算：2</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11包预算：13</w:t>
      </w:r>
      <w:r>
        <w:rPr>
          <w:rFonts w:hint="eastAsia" w:ascii="仿宋" w:hAnsi="仿宋" w:eastAsia="仿宋" w:cs="宋体"/>
          <w:color w:val="auto"/>
          <w:sz w:val="24"/>
          <w:szCs w:val="24"/>
          <w:highlight w:val="none"/>
          <w:lang w:val="en-US" w:eastAsia="zh-CN"/>
        </w:rPr>
        <w:t>20</w:t>
      </w:r>
      <w:r>
        <w:rPr>
          <w:rFonts w:hint="eastAsia" w:ascii="仿宋" w:hAnsi="仿宋" w:eastAsia="仿宋" w:cs="宋体"/>
          <w:color w:val="auto"/>
          <w:sz w:val="24"/>
          <w:szCs w:val="24"/>
          <w:highlight w:val="none"/>
        </w:rPr>
        <w:t>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12包预算：1200000.00元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13包预算：1180000.00元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14包预算：1</w:t>
      </w:r>
      <w:r>
        <w:rPr>
          <w:rFonts w:hint="eastAsia" w:ascii="仿宋" w:hAnsi="仿宋" w:eastAsia="仿宋" w:cs="宋体"/>
          <w:color w:val="auto"/>
          <w:sz w:val="24"/>
          <w:szCs w:val="24"/>
          <w:highlight w:val="none"/>
          <w:lang w:val="en-US" w:eastAsia="zh-CN"/>
        </w:rPr>
        <w:t>1</w:t>
      </w:r>
      <w:r>
        <w:rPr>
          <w:rFonts w:hint="eastAsia" w:ascii="仿宋" w:hAnsi="仿宋" w:eastAsia="仿宋" w:cs="宋体"/>
          <w:color w:val="auto"/>
          <w:sz w:val="24"/>
          <w:szCs w:val="24"/>
          <w:highlight w:val="none"/>
        </w:rPr>
        <w:t>50000.00元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15包预算：2</w:t>
      </w:r>
      <w:r>
        <w:rPr>
          <w:rFonts w:hint="eastAsia" w:ascii="仿宋" w:hAnsi="仿宋" w:eastAsia="仿宋" w:cs="宋体"/>
          <w:color w:val="auto"/>
          <w:sz w:val="24"/>
          <w:szCs w:val="24"/>
          <w:highlight w:val="none"/>
          <w:lang w:val="en-US" w:eastAsia="zh-CN"/>
        </w:rPr>
        <w:t>59</w:t>
      </w:r>
      <w:r>
        <w:rPr>
          <w:rFonts w:hint="eastAsia" w:ascii="仿宋" w:hAnsi="仿宋" w:eastAsia="仿宋" w:cs="宋体"/>
          <w:color w:val="auto"/>
          <w:sz w:val="24"/>
          <w:szCs w:val="24"/>
          <w:highlight w:val="none"/>
        </w:rPr>
        <w:t>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16包预算：900000.00元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17包预算：3</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18包预算：1</w:t>
      </w:r>
      <w:r>
        <w:rPr>
          <w:rFonts w:hint="eastAsia" w:ascii="仿宋" w:hAnsi="仿宋" w:eastAsia="仿宋" w:cs="宋体"/>
          <w:color w:val="auto"/>
          <w:sz w:val="24"/>
          <w:szCs w:val="24"/>
          <w:highlight w:val="none"/>
          <w:lang w:val="en-US" w:eastAsia="zh-CN"/>
        </w:rPr>
        <w:t>574</w:t>
      </w:r>
      <w:r>
        <w:rPr>
          <w:rFonts w:hint="eastAsia" w:ascii="仿宋" w:hAnsi="仿宋" w:eastAsia="仿宋" w:cs="宋体"/>
          <w:color w:val="auto"/>
          <w:sz w:val="24"/>
          <w:szCs w:val="24"/>
          <w:highlight w:val="none"/>
        </w:rPr>
        <w:t>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19包预算：7200000.00元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20包预算：4</w:t>
      </w:r>
      <w:r>
        <w:rPr>
          <w:rFonts w:hint="eastAsia" w:ascii="仿宋" w:hAnsi="仿宋" w:eastAsia="仿宋" w:cs="宋体"/>
          <w:color w:val="auto"/>
          <w:sz w:val="24"/>
          <w:szCs w:val="24"/>
          <w:highlight w:val="none"/>
          <w:lang w:val="en-US" w:eastAsia="zh-CN"/>
        </w:rPr>
        <w:t>1325</w:t>
      </w:r>
      <w:r>
        <w:rPr>
          <w:rFonts w:hint="eastAsia" w:ascii="仿宋" w:hAnsi="仿宋" w:eastAsia="仿宋" w:cs="宋体"/>
          <w:color w:val="auto"/>
          <w:sz w:val="24"/>
          <w:szCs w:val="24"/>
          <w:highlight w:val="none"/>
        </w:rPr>
        <w:t>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21包预算：7000000.00元</w:t>
      </w:r>
    </w:p>
    <w:p>
      <w:pPr>
        <w:pStyle w:val="70"/>
        <w:keepNext w:val="0"/>
        <w:keepLines w:val="0"/>
        <w:pageBreakBefore w:val="0"/>
        <w:tabs>
          <w:tab w:val="left" w:pos="567"/>
        </w:tabs>
        <w:kinsoku w:val="0"/>
        <w:wordWrap/>
        <w:overflowPunct/>
        <w:topLinePunct w:val="0"/>
        <w:autoSpaceDE w:val="0"/>
        <w:autoSpaceDN w:val="0"/>
        <w:bidi w:val="0"/>
        <w:adjustRightInd w:val="0"/>
        <w:snapToGrid w:val="0"/>
        <w:spacing w:line="440" w:lineRule="exac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22包预算：3</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00000.00元</w:t>
      </w:r>
    </w:p>
    <w:p>
      <w:pPr>
        <w:spacing w:line="500" w:lineRule="atLeast"/>
        <w:ind w:firstLine="480" w:firstLineChars="200"/>
        <w:rPr>
          <w:rFonts w:eastAsia="仿宋"/>
          <w:color w:val="auto"/>
          <w:highlight w:val="none"/>
        </w:rPr>
      </w:pPr>
      <w:r>
        <w:rPr>
          <w:rFonts w:hAnsi="仿宋" w:eastAsia="仿宋"/>
          <w:color w:val="auto"/>
          <w:sz w:val="24"/>
          <w:szCs w:val="24"/>
          <w:highlight w:val="none"/>
        </w:rPr>
        <w:t>采购需求：</w:t>
      </w:r>
    </w:p>
    <w:tbl>
      <w:tblPr>
        <w:tblStyle w:val="43"/>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7"/>
        <w:gridCol w:w="1908"/>
        <w:gridCol w:w="1486"/>
        <w:gridCol w:w="813"/>
        <w:gridCol w:w="747"/>
        <w:gridCol w:w="720"/>
        <w:gridCol w:w="1716"/>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包号</w:t>
            </w:r>
          </w:p>
        </w:tc>
        <w:tc>
          <w:tcPr>
            <w:tcW w:w="1908"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标的名称</w:t>
            </w:r>
          </w:p>
        </w:tc>
        <w:tc>
          <w:tcPr>
            <w:tcW w:w="1486"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主要规格</w:t>
            </w:r>
          </w:p>
        </w:tc>
        <w:tc>
          <w:tcPr>
            <w:tcW w:w="813"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单位</w:t>
            </w:r>
          </w:p>
        </w:tc>
        <w:tc>
          <w:tcPr>
            <w:tcW w:w="74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ascii="仿宋" w:hAnsi="仿宋" w:eastAsia="仿宋"/>
                <w:b/>
                <w:bCs/>
                <w:color w:val="auto"/>
                <w:sz w:val="24"/>
                <w:szCs w:val="24"/>
                <w:highlight w:val="none"/>
              </w:rPr>
              <w:t>数量</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szCs w:val="24"/>
                <w:highlight w:val="none"/>
              </w:rPr>
            </w:pPr>
            <w:r>
              <w:rPr>
                <w:rFonts w:hint="eastAsia" w:ascii="仿宋" w:hAnsi="仿宋" w:eastAsia="仿宋"/>
                <w:b/>
                <w:bCs/>
                <w:color w:val="auto"/>
                <w:sz w:val="24"/>
                <w:szCs w:val="24"/>
                <w:highlight w:val="none"/>
              </w:rPr>
              <w:t>产地</w:t>
            </w:r>
          </w:p>
        </w:tc>
        <w:tc>
          <w:tcPr>
            <w:tcW w:w="1716"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w:t>
            </w:r>
            <w:r>
              <w:rPr>
                <w:rFonts w:hint="eastAsia" w:ascii="仿宋" w:hAnsi="仿宋" w:eastAsia="仿宋"/>
                <w:b/>
                <w:bCs/>
                <w:color w:val="auto"/>
                <w:sz w:val="24"/>
                <w:szCs w:val="24"/>
                <w:highlight w:val="none"/>
                <w:lang w:val="en-US" w:eastAsia="zh-CN"/>
              </w:rPr>
              <w:t>单</w:t>
            </w:r>
            <w:r>
              <w:rPr>
                <w:rFonts w:hint="eastAsia" w:ascii="仿宋" w:hAnsi="仿宋" w:eastAsia="仿宋"/>
                <w:b/>
                <w:bCs/>
                <w:color w:val="auto"/>
                <w:sz w:val="24"/>
                <w:szCs w:val="24"/>
                <w:highlight w:val="none"/>
              </w:rPr>
              <w:t>价</w:t>
            </w:r>
          </w:p>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c>
          <w:tcPr>
            <w:tcW w:w="1746"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预算总价</w:t>
            </w:r>
          </w:p>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抢险救援消防车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8</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eastAsia" w:cs="Times New Roman"/>
                <w:i w:val="0"/>
                <w:iCs w:val="0"/>
                <w:color w:val="auto"/>
                <w:kern w:val="0"/>
                <w:sz w:val="24"/>
                <w:szCs w:val="24"/>
                <w:highlight w:val="none"/>
                <w:u w:val="none"/>
                <w:lang w:val="en-US" w:eastAsia="zh-CN" w:bidi="ar"/>
              </w:rPr>
              <w:t>9</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eastAsia" w:cs="Times New Roman"/>
                <w:i w:val="0"/>
                <w:iCs w:val="0"/>
                <w:color w:val="auto"/>
                <w:kern w:val="0"/>
                <w:sz w:val="24"/>
                <w:szCs w:val="24"/>
                <w:highlight w:val="none"/>
                <w:u w:val="none"/>
                <w:lang w:val="en-US" w:eastAsia="zh-CN" w:bidi="ar"/>
              </w:rPr>
              <w:t>72</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干粉消防车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30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eastAsia" w:cs="Times New Roman"/>
                <w:i w:val="0"/>
                <w:iCs w:val="0"/>
                <w:color w:val="auto"/>
                <w:kern w:val="0"/>
                <w:sz w:val="24"/>
                <w:szCs w:val="24"/>
                <w:highlight w:val="none"/>
                <w:u w:val="none"/>
                <w:lang w:val="en-US" w:eastAsia="zh-CN" w:bidi="ar"/>
              </w:rPr>
              <w:t>26</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3</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洗消消防车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国产底盘、热水锅炉罐≥2m³、预混罐≥0.5m³、残液回收罐≥0.5m³</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1400000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5600000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4</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破冰除雪车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6</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6</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5</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举高破拆消防车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国际知名品牌底盘，工作高度≥18m</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4</w:t>
            </w:r>
            <w:r>
              <w:rPr>
                <w:rFonts w:hint="eastAsia" w:cs="Times New Roman"/>
                <w:i w:val="0"/>
                <w:iCs w:val="0"/>
                <w:color w:val="auto"/>
                <w:kern w:val="0"/>
                <w:sz w:val="24"/>
                <w:szCs w:val="24"/>
                <w:highlight w:val="none"/>
                <w:u w:val="none"/>
                <w:lang w:val="en-US" w:eastAsia="zh-CN" w:bidi="ar"/>
              </w:rPr>
              <w:t>80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4</w:t>
            </w:r>
            <w:r>
              <w:rPr>
                <w:rFonts w:hint="eastAsia" w:cs="Times New Roman"/>
                <w:i w:val="0"/>
                <w:iCs w:val="0"/>
                <w:color w:val="auto"/>
                <w:kern w:val="0"/>
                <w:sz w:val="24"/>
                <w:szCs w:val="24"/>
                <w:highlight w:val="none"/>
                <w:u w:val="none"/>
                <w:lang w:val="en-US" w:eastAsia="zh-CN" w:bidi="ar"/>
              </w:rPr>
              <w:t>80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6</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A</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eastAsia" w:cs="Times New Roman"/>
                <w:i w:val="0"/>
                <w:iCs w:val="0"/>
                <w:color w:val="auto"/>
                <w:kern w:val="0"/>
                <w:sz w:val="24"/>
                <w:szCs w:val="24"/>
                <w:highlight w:val="none"/>
                <w:u w:val="none"/>
                <w:lang w:val="en-US" w:eastAsia="zh-CN" w:bidi="ar"/>
              </w:rPr>
              <w:t>450</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eastAsia" w:cs="Times New Roman"/>
                <w:i w:val="0"/>
                <w:iCs w:val="0"/>
                <w:color w:val="auto"/>
                <w:kern w:val="0"/>
                <w:sz w:val="24"/>
                <w:szCs w:val="24"/>
                <w:highlight w:val="none"/>
                <w:u w:val="none"/>
                <w:lang w:val="en-US" w:eastAsia="zh-CN" w:bidi="ar"/>
              </w:rPr>
              <w:t>450</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7</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B</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4</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1</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eastAsia" w:cs="Times New Roman"/>
                <w:i w:val="0"/>
                <w:iCs w:val="0"/>
                <w:color w:val="auto"/>
                <w:kern w:val="0"/>
                <w:sz w:val="24"/>
                <w:szCs w:val="24"/>
                <w:highlight w:val="none"/>
                <w:u w:val="none"/>
                <w:lang w:val="en-US" w:eastAsia="zh-CN" w:bidi="ar"/>
              </w:rPr>
              <w:t>4</w:t>
            </w:r>
            <w:r>
              <w:rPr>
                <w:rFonts w:hint="default" w:ascii="Times New Roman" w:hAnsi="Times New Roman" w:eastAsia="宋体" w:cs="Times New Roman"/>
                <w:i w:val="0"/>
                <w:iCs w:val="0"/>
                <w:color w:val="auto"/>
                <w:kern w:val="0"/>
                <w:sz w:val="24"/>
                <w:szCs w:val="24"/>
                <w:highlight w:val="none"/>
                <w:u w:val="none"/>
                <w:lang w:val="en-US" w:eastAsia="zh-CN" w:bidi="ar"/>
              </w:rPr>
              <w:t>400000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8</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冷藏车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eastAsia" w:cs="Times New Roman"/>
                <w:i w:val="0"/>
                <w:iCs w:val="0"/>
                <w:color w:val="auto"/>
                <w:kern w:val="0"/>
                <w:sz w:val="24"/>
                <w:szCs w:val="24"/>
                <w:highlight w:val="none"/>
                <w:u w:val="none"/>
                <w:lang w:val="en-US" w:eastAsia="zh-CN" w:bidi="ar"/>
              </w:rPr>
              <w:t>85</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eastAsia" w:cs="Times New Roman"/>
                <w:i w:val="0"/>
                <w:iCs w:val="0"/>
                <w:color w:val="auto"/>
                <w:kern w:val="0"/>
                <w:sz w:val="24"/>
                <w:szCs w:val="24"/>
                <w:highlight w:val="none"/>
                <w:u w:val="none"/>
                <w:lang w:val="en-US" w:eastAsia="zh-CN" w:bidi="ar"/>
              </w:rPr>
              <w:t>85</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9</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淋浴车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08</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08</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10</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盥洗车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10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2</w:t>
            </w:r>
            <w:r>
              <w:rPr>
                <w:rFonts w:hint="eastAsia" w:cs="Times New Roman"/>
                <w:i w:val="0"/>
                <w:iCs w:val="0"/>
                <w:color w:val="auto"/>
                <w:kern w:val="0"/>
                <w:sz w:val="24"/>
                <w:szCs w:val="24"/>
                <w:highlight w:val="none"/>
                <w:u w:val="none"/>
                <w:lang w:val="en-US" w:eastAsia="zh-CN" w:bidi="ar"/>
              </w:rPr>
              <w:t>2</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11</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被服洗涤车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13</w:t>
            </w:r>
            <w:r>
              <w:rPr>
                <w:rFonts w:hint="eastAsia" w:cs="Times New Roman"/>
                <w:i w:val="0"/>
                <w:iCs w:val="0"/>
                <w:color w:val="auto"/>
                <w:kern w:val="0"/>
                <w:sz w:val="24"/>
                <w:szCs w:val="24"/>
                <w:highlight w:val="none"/>
                <w:u w:val="none"/>
                <w:lang w:val="en-US" w:eastAsia="zh-CN" w:bidi="ar"/>
              </w:rPr>
              <w:t>20</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13</w:t>
            </w:r>
            <w:r>
              <w:rPr>
                <w:rFonts w:hint="eastAsia" w:cs="Times New Roman"/>
                <w:i w:val="0"/>
                <w:iCs w:val="0"/>
                <w:color w:val="auto"/>
                <w:kern w:val="0"/>
                <w:sz w:val="24"/>
                <w:szCs w:val="24"/>
                <w:highlight w:val="none"/>
                <w:u w:val="none"/>
                <w:lang w:val="en-US" w:eastAsia="zh-CN" w:bidi="ar"/>
              </w:rPr>
              <w:t>20</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12</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装备维修车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1200000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1200000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13</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Style w:val="79"/>
                <w:rFonts w:hint="eastAsia" w:ascii="仿宋" w:hAnsi="仿宋" w:eastAsia="仿宋" w:cs="仿宋"/>
                <w:color w:val="auto"/>
                <w:highlight w:val="none"/>
                <w:lang w:val="en-US" w:eastAsia="zh-CN" w:bidi="ar"/>
              </w:rPr>
              <w:t>水质净化车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ascii="仿宋" w:hAnsi="仿宋" w:eastAsia="仿宋" w:cs="宋体"/>
                <w:color w:val="auto"/>
                <w:sz w:val="24"/>
                <w:highlight w:val="none"/>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rPr>
            </w:pPr>
            <w:r>
              <w:rPr>
                <w:rFonts w:hint="default" w:ascii="Times New Roman" w:hAnsi="Times New Roman" w:eastAsia="宋体" w:cs="Times New Roman"/>
                <w:i w:val="0"/>
                <w:iCs w:val="0"/>
                <w:color w:val="auto"/>
                <w:kern w:val="0"/>
                <w:sz w:val="24"/>
                <w:szCs w:val="24"/>
                <w:highlight w:val="none"/>
                <w:u w:val="none"/>
                <w:lang w:val="en-US" w:eastAsia="zh-CN" w:bidi="ar"/>
              </w:rPr>
              <w:t>1180000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ascii="仿宋" w:hAnsi="仿宋" w:eastAsia="仿宋" w:cs="宋体"/>
                <w:color w:val="auto"/>
                <w:sz w:val="24"/>
                <w:highlight w:val="none"/>
              </w:rPr>
            </w:pPr>
            <w:r>
              <w:rPr>
                <w:rFonts w:hint="default" w:ascii="Times New Roman" w:hAnsi="Times New Roman" w:eastAsia="宋体" w:cs="Times New Roman"/>
                <w:i w:val="0"/>
                <w:iCs w:val="0"/>
                <w:color w:val="auto"/>
                <w:kern w:val="0"/>
                <w:sz w:val="24"/>
                <w:szCs w:val="24"/>
                <w:highlight w:val="none"/>
                <w:u w:val="none"/>
                <w:lang w:val="en-US" w:eastAsia="zh-CN" w:bidi="ar"/>
              </w:rPr>
              <w:t>1180000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14</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C</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1</w:t>
            </w:r>
            <w:r>
              <w:rPr>
                <w:rFonts w:hint="default" w:ascii="Times New Roman" w:hAnsi="Times New Roman" w:eastAsia="宋体" w:cs="Times New Roman"/>
                <w:i w:val="0"/>
                <w:iCs w:val="0"/>
                <w:color w:val="auto"/>
                <w:kern w:val="0"/>
                <w:sz w:val="24"/>
                <w:szCs w:val="24"/>
                <w:highlight w:val="none"/>
                <w:u w:val="none"/>
                <w:lang w:val="en-US" w:eastAsia="zh-CN" w:bidi="ar"/>
              </w:rPr>
              <w:t>50000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1</w:t>
            </w:r>
            <w:r>
              <w:rPr>
                <w:rFonts w:hint="default" w:ascii="Times New Roman" w:hAnsi="Times New Roman" w:eastAsia="宋体" w:cs="Times New Roman"/>
                <w:i w:val="0"/>
                <w:iCs w:val="0"/>
                <w:color w:val="auto"/>
                <w:kern w:val="0"/>
                <w:sz w:val="24"/>
                <w:szCs w:val="24"/>
                <w:highlight w:val="none"/>
                <w:u w:val="none"/>
                <w:lang w:val="en-US" w:eastAsia="zh-CN" w:bidi="ar"/>
              </w:rPr>
              <w:t>50000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15</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泡沫输转消防车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国际知名品牌底盘，载液量：≥22T</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r>
              <w:rPr>
                <w:rFonts w:hint="eastAsia" w:cs="Times New Roman"/>
                <w:i w:val="0"/>
                <w:iCs w:val="0"/>
                <w:color w:val="auto"/>
                <w:kern w:val="0"/>
                <w:sz w:val="24"/>
                <w:szCs w:val="24"/>
                <w:highlight w:val="none"/>
                <w:u w:val="none"/>
                <w:lang w:val="en-US" w:eastAsia="zh-CN" w:bidi="ar"/>
              </w:rPr>
              <w:t>59</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r>
              <w:rPr>
                <w:rFonts w:hint="eastAsia" w:cs="Times New Roman"/>
                <w:i w:val="0"/>
                <w:iCs w:val="0"/>
                <w:color w:val="auto"/>
                <w:kern w:val="0"/>
                <w:sz w:val="24"/>
                <w:szCs w:val="24"/>
                <w:highlight w:val="none"/>
                <w:u w:val="none"/>
                <w:lang w:val="en-US" w:eastAsia="zh-CN" w:bidi="ar"/>
              </w:rPr>
              <w:t>59</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16</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仿宋" w:hAnsi="仿宋" w:eastAsia="仿宋" w:cs="仿宋"/>
                <w:i w:val="0"/>
                <w:iCs w:val="0"/>
                <w:color w:val="auto"/>
                <w:kern w:val="0"/>
                <w:sz w:val="24"/>
                <w:szCs w:val="24"/>
                <w:highlight w:val="none"/>
                <w:u w:val="none"/>
                <w:lang w:val="en-US" w:eastAsia="zh-CN" w:bidi="ar"/>
              </w:rPr>
              <w:t>器材消防车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900000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17</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供气消防车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6</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3</w:t>
            </w:r>
            <w:r>
              <w:rPr>
                <w:rFonts w:hint="eastAsia" w:cs="Times New Roman"/>
                <w:i w:val="0"/>
                <w:iCs w:val="0"/>
                <w:color w:val="auto"/>
                <w:kern w:val="0"/>
                <w:sz w:val="24"/>
                <w:szCs w:val="24"/>
                <w:highlight w:val="none"/>
                <w:u w:val="none"/>
                <w:lang w:val="en-US" w:eastAsia="zh-CN" w:bidi="ar"/>
              </w:rPr>
              <w:t>2</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18</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远程供水系统</w:t>
            </w:r>
            <w:r>
              <w:rPr>
                <w:rFonts w:hint="eastAsia" w:ascii="仿宋" w:hAnsi="仿宋" w:eastAsia="仿宋" w:cs="仿宋"/>
                <w:i w:val="0"/>
                <w:iCs w:val="0"/>
                <w:color w:val="auto"/>
                <w:kern w:val="0"/>
                <w:sz w:val="24"/>
                <w:szCs w:val="24"/>
                <w:highlight w:val="none"/>
                <w:u w:val="none"/>
                <w:lang w:val="en-US" w:eastAsia="zh-CN" w:bidi="ar"/>
              </w:rPr>
              <w:t>A</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国际知名品牌底盘，供水距离≥3km</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套</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eastAsia" w:cs="Times New Roman"/>
                <w:i w:val="0"/>
                <w:iCs w:val="0"/>
                <w:color w:val="auto"/>
                <w:kern w:val="0"/>
                <w:sz w:val="24"/>
                <w:szCs w:val="24"/>
                <w:highlight w:val="none"/>
                <w:u w:val="none"/>
                <w:lang w:val="en-US" w:eastAsia="zh-CN" w:bidi="ar"/>
              </w:rPr>
              <w:t>787</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1</w:t>
            </w:r>
            <w:r>
              <w:rPr>
                <w:rFonts w:hint="eastAsia" w:cs="Times New Roman"/>
                <w:i w:val="0"/>
                <w:iCs w:val="0"/>
                <w:color w:val="auto"/>
                <w:kern w:val="0"/>
                <w:sz w:val="24"/>
                <w:szCs w:val="24"/>
                <w:highlight w:val="none"/>
                <w:u w:val="none"/>
                <w:lang w:val="en-US" w:eastAsia="zh-CN" w:bidi="ar"/>
              </w:rPr>
              <w:t>574</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19</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大型排涝车</w:t>
            </w:r>
            <w:r>
              <w:rPr>
                <w:rFonts w:hint="eastAsia" w:ascii="仿宋" w:hAnsi="仿宋" w:eastAsia="仿宋" w:cs="仿宋"/>
                <w:i w:val="0"/>
                <w:iCs w:val="0"/>
                <w:color w:val="auto"/>
                <w:kern w:val="0"/>
                <w:sz w:val="24"/>
                <w:szCs w:val="24"/>
                <w:highlight w:val="none"/>
                <w:u w:val="none"/>
                <w:lang w:val="en-US" w:eastAsia="zh-CN" w:bidi="ar"/>
              </w:rPr>
              <w:t>B</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sz w:val="24"/>
                <w:szCs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3</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2400000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sz w:val="24"/>
                <w:highlight w:val="none"/>
                <w:lang w:val="en-US" w:eastAsia="zh-CN"/>
              </w:rPr>
            </w:pPr>
            <w:r>
              <w:rPr>
                <w:rFonts w:hint="default" w:ascii="Times New Roman" w:hAnsi="Times New Roman" w:eastAsia="宋体" w:cs="Times New Roman"/>
                <w:i w:val="0"/>
                <w:iCs w:val="0"/>
                <w:color w:val="auto"/>
                <w:kern w:val="0"/>
                <w:sz w:val="24"/>
                <w:szCs w:val="24"/>
                <w:highlight w:val="none"/>
                <w:u w:val="none"/>
                <w:lang w:val="en-US" w:eastAsia="zh-CN" w:bidi="ar"/>
              </w:rPr>
              <w:t>7200000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20</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前突皮卡车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kern w:val="2"/>
                <w:sz w:val="24"/>
                <w:szCs w:val="24"/>
                <w:highlight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套</w:t>
            </w:r>
            <w:bookmarkStart w:id="436" w:name="_GoBack"/>
            <w:bookmarkEnd w:id="436"/>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宋体"/>
                <w:color w:val="auto"/>
                <w:kern w:val="2"/>
                <w:sz w:val="24"/>
                <w:szCs w:val="24"/>
                <w:highlight w:val="none"/>
                <w:lang w:val="en-US" w:eastAsia="zh-CN" w:bidi="ar-SA"/>
              </w:rPr>
            </w:pPr>
            <w:r>
              <w:rPr>
                <w:rFonts w:hint="default" w:ascii="Times New Roman" w:hAnsi="Times New Roman" w:eastAsia="宋体" w:cs="Times New Roman"/>
                <w:i w:val="0"/>
                <w:iCs w:val="0"/>
                <w:color w:val="auto"/>
                <w:kern w:val="0"/>
                <w:sz w:val="24"/>
                <w:szCs w:val="24"/>
                <w:highlight w:val="none"/>
                <w:u w:val="none"/>
                <w:lang w:val="en-US" w:eastAsia="zh-CN" w:bidi="ar"/>
              </w:rPr>
              <w:t>145</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kern w:val="2"/>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kern w:val="2"/>
                <w:sz w:val="24"/>
                <w:szCs w:val="22"/>
                <w:highlight w:val="none"/>
                <w:lang w:val="en-US" w:eastAsia="zh-CN" w:bidi="ar-SA"/>
              </w:rPr>
            </w:pPr>
            <w:r>
              <w:rPr>
                <w:rFonts w:hint="eastAsia" w:cs="Times New Roman"/>
                <w:i w:val="0"/>
                <w:iCs w:val="0"/>
                <w:color w:val="auto"/>
                <w:kern w:val="0"/>
                <w:sz w:val="24"/>
                <w:szCs w:val="24"/>
                <w:highlight w:val="none"/>
                <w:u w:val="none"/>
                <w:lang w:val="en-US" w:eastAsia="zh-CN" w:bidi="ar"/>
              </w:rPr>
              <w:t>285</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宋体"/>
                <w:color w:val="auto"/>
                <w:kern w:val="2"/>
                <w:sz w:val="24"/>
                <w:szCs w:val="22"/>
                <w:highlight w:val="none"/>
                <w:lang w:val="en-US" w:eastAsia="zh-CN" w:bidi="ar-SA"/>
              </w:rPr>
            </w:pPr>
            <w:r>
              <w:rPr>
                <w:rFonts w:hint="default" w:ascii="Times New Roman" w:hAnsi="Times New Roman" w:eastAsia="宋体" w:cs="Times New Roman"/>
                <w:i w:val="0"/>
                <w:iCs w:val="0"/>
                <w:color w:val="auto"/>
                <w:kern w:val="0"/>
                <w:sz w:val="24"/>
                <w:szCs w:val="24"/>
                <w:highlight w:val="none"/>
                <w:u w:val="none"/>
                <w:lang w:val="en-US" w:eastAsia="zh-CN" w:bidi="ar"/>
              </w:rPr>
              <w:t>4</w:t>
            </w:r>
            <w:r>
              <w:rPr>
                <w:rFonts w:hint="eastAsia" w:cs="Times New Roman"/>
                <w:i w:val="0"/>
                <w:iCs w:val="0"/>
                <w:color w:val="auto"/>
                <w:kern w:val="0"/>
                <w:sz w:val="24"/>
                <w:szCs w:val="24"/>
                <w:highlight w:val="none"/>
                <w:u w:val="none"/>
                <w:lang w:val="en-US" w:eastAsia="zh-CN" w:bidi="ar"/>
              </w:rPr>
              <w:t>1325</w:t>
            </w:r>
            <w:r>
              <w:rPr>
                <w:rFonts w:hint="default" w:ascii="Times New Roman" w:hAnsi="Times New Roman" w:eastAsia="宋体" w:cs="Times New Roman"/>
                <w:i w:val="0"/>
                <w:iCs w:val="0"/>
                <w:color w:val="auto"/>
                <w:kern w:val="0"/>
                <w:sz w:val="24"/>
                <w:szCs w:val="24"/>
                <w:highlight w:val="none"/>
                <w:u w:val="none"/>
                <w:lang w:val="en-US" w:eastAsia="zh-CN" w:bidi="ar"/>
              </w:rPr>
              <w:t>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21</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指挥通信车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国产客车底盘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2</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3500000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7000000</w:t>
            </w:r>
            <w:r>
              <w:rPr>
                <w:rFonts w:hint="eastAsia" w:ascii="Times New Roman" w:hAnsi="Times New Roman" w:cs="Times New Roman"/>
                <w:i w:val="0"/>
                <w:iCs w:val="0"/>
                <w:color w:val="auto"/>
                <w:kern w:val="0"/>
                <w:sz w:val="24"/>
                <w:szCs w:val="24"/>
                <w:highlight w:val="none"/>
                <w:u w:val="none"/>
                <w:lang w:val="en-US" w:eastAsia="zh-CN" w:bidi="ar"/>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jc w:val="center"/>
        </w:trPr>
        <w:tc>
          <w:tcPr>
            <w:tcW w:w="757"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22</w:t>
            </w:r>
          </w:p>
        </w:tc>
        <w:tc>
          <w:tcPr>
            <w:tcW w:w="1908"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2"/>
                <w:sz w:val="24"/>
                <w:szCs w:val="24"/>
                <w:highlight w:val="none"/>
                <w:u w:val="none"/>
                <w:lang w:val="en-US" w:eastAsia="zh-CN" w:bidi="ar-SA"/>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指挥方舱车</w:t>
            </w:r>
          </w:p>
        </w:tc>
        <w:tc>
          <w:tcPr>
            <w:tcW w:w="148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i w:val="0"/>
                <w:iCs w:val="0"/>
                <w:color w:val="auto"/>
                <w:kern w:val="0"/>
                <w:sz w:val="24"/>
                <w:szCs w:val="24"/>
                <w:highlight w:val="none"/>
                <w:u w:val="none"/>
                <w:lang w:val="en-US" w:eastAsia="zh-CN" w:bidi="ar"/>
              </w:rPr>
            </w:pPr>
            <w:r>
              <w:rPr>
                <w:rFonts w:hint="eastAsia" w:ascii="仿宋" w:hAnsi="仿宋" w:eastAsia="仿宋" w:cs="仿宋"/>
                <w:i w:val="0"/>
                <w:iCs w:val="0"/>
                <w:color w:val="auto"/>
                <w:kern w:val="0"/>
                <w:sz w:val="24"/>
                <w:szCs w:val="24"/>
                <w:highlight w:val="none"/>
                <w:u w:val="none"/>
                <w:lang w:val="en-US" w:eastAsia="zh-CN" w:bidi="ar"/>
              </w:rPr>
              <w:t>国产底盘</w:t>
            </w:r>
          </w:p>
        </w:tc>
        <w:tc>
          <w:tcPr>
            <w:tcW w:w="813"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方正仿宋_GBK" w:hAnsi="方正仿宋_GBK" w:eastAsia="方正仿宋_GBK" w:cs="方正仿宋_GBK"/>
                <w:i w:val="0"/>
                <w:iCs w:val="0"/>
                <w:color w:val="auto"/>
                <w:kern w:val="0"/>
                <w:sz w:val="24"/>
                <w:szCs w:val="24"/>
                <w:highlight w:val="none"/>
                <w:u w:val="none"/>
                <w:lang w:val="en-US" w:eastAsia="zh-CN" w:bidi="ar"/>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辆</w:t>
            </w:r>
          </w:p>
        </w:tc>
        <w:tc>
          <w:tcPr>
            <w:tcW w:w="747"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Times New Roman" w:hAnsi="Times New Roman" w:eastAsia="宋体" w:cs="Times New Roman"/>
                <w:i w:val="0"/>
                <w:iCs w:val="0"/>
                <w:color w:val="auto"/>
                <w:kern w:val="0"/>
                <w:sz w:val="24"/>
                <w:szCs w:val="24"/>
                <w:highlight w:val="none"/>
                <w:u w:val="none"/>
                <w:lang w:val="en-US" w:eastAsia="zh-CN" w:bidi="ar"/>
              </w:rPr>
            </w:pPr>
            <w:r>
              <w:rPr>
                <w:rFonts w:hint="eastAsia" w:ascii="Times New Roman" w:hAnsi="Times New Roman" w:cs="Times New Roman"/>
                <w:i w:val="0"/>
                <w:iCs w:val="0"/>
                <w:color w:val="auto"/>
                <w:kern w:val="0"/>
                <w:sz w:val="24"/>
                <w:szCs w:val="24"/>
                <w:highlight w:val="none"/>
                <w:u w:val="none"/>
                <w:lang w:val="en-US" w:eastAsia="zh-CN" w:bidi="ar"/>
              </w:rPr>
              <w:t>1</w:t>
            </w:r>
          </w:p>
        </w:tc>
        <w:tc>
          <w:tcPr>
            <w:tcW w:w="720" w:type="dxa"/>
            <w:noWrap w:val="0"/>
            <w:tcMar>
              <w:top w:w="0" w:type="dxa"/>
              <w:left w:w="108" w:type="dxa"/>
              <w:bottom w:w="0" w:type="dxa"/>
              <w:right w:w="108" w:type="dxa"/>
            </w:tcMar>
            <w:vAlign w:val="center"/>
          </w:tcPr>
          <w:p>
            <w:pPr>
              <w:keepNext w:val="0"/>
              <w:keepLines w:val="0"/>
              <w:pageBreakBefore w:val="0"/>
              <w:kinsoku/>
              <w:wordWrap/>
              <w:overflowPunct/>
              <w:topLinePunct w:val="0"/>
              <w:autoSpaceDE/>
              <w:autoSpaceDN/>
              <w:bidi w:val="0"/>
              <w:adjustRightInd/>
              <w:snapToGrid/>
              <w:spacing w:line="440" w:lineRule="exact"/>
              <w:jc w:val="center"/>
              <w:rPr>
                <w:rFonts w:hint="eastAsia" w:ascii="仿宋" w:hAnsi="仿宋" w:eastAsia="仿宋" w:cs="宋体"/>
                <w:bCs/>
                <w:color w:val="auto"/>
                <w:kern w:val="0"/>
                <w:sz w:val="24"/>
                <w:szCs w:val="22"/>
                <w:highlight w:val="none"/>
                <w:lang w:val="en-US" w:eastAsia="zh-CN" w:bidi="ar-SA"/>
              </w:rPr>
            </w:pPr>
            <w:r>
              <w:rPr>
                <w:rFonts w:hint="eastAsia" w:ascii="仿宋" w:hAnsi="仿宋" w:eastAsia="仿宋" w:cs="宋体"/>
                <w:bCs/>
                <w:color w:val="auto"/>
                <w:kern w:val="0"/>
                <w:sz w:val="24"/>
                <w:highlight w:val="none"/>
              </w:rPr>
              <w:t>国产</w:t>
            </w:r>
          </w:p>
        </w:tc>
        <w:tc>
          <w:tcPr>
            <w:tcW w:w="171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default" w:ascii="Times New Roman" w:hAnsi="Times New Roman" w:eastAsia="宋体" w:cs="Times New Roman"/>
                <w:i w:val="0"/>
                <w:iCs w:val="0"/>
                <w:color w:val="auto"/>
                <w:kern w:val="0"/>
                <w:sz w:val="24"/>
                <w:szCs w:val="24"/>
                <w:highlight w:val="none"/>
                <w:u w:val="none"/>
                <w:lang w:val="en-US" w:eastAsia="zh-CN" w:bidi="ar"/>
              </w:rPr>
              <w:t>3</w:t>
            </w:r>
            <w:r>
              <w:rPr>
                <w:rFonts w:hint="eastAsia" w:cs="Times New Roman"/>
                <w:i w:val="0"/>
                <w:iCs w:val="0"/>
                <w:color w:val="auto"/>
                <w:kern w:val="0"/>
                <w:sz w:val="24"/>
                <w:szCs w:val="24"/>
                <w:highlight w:val="none"/>
                <w:u w:val="none"/>
                <w:lang w:val="en-US" w:eastAsia="zh-CN" w:bidi="ar"/>
              </w:rPr>
              <w:t>7</w:t>
            </w:r>
            <w:r>
              <w:rPr>
                <w:rFonts w:hint="default" w:ascii="Times New Roman" w:hAnsi="Times New Roman" w:eastAsia="宋体" w:cs="Times New Roman"/>
                <w:i w:val="0"/>
                <w:iCs w:val="0"/>
                <w:color w:val="auto"/>
                <w:kern w:val="0"/>
                <w:sz w:val="24"/>
                <w:szCs w:val="24"/>
                <w:highlight w:val="none"/>
                <w:u w:val="none"/>
                <w:lang w:val="en-US" w:eastAsia="zh-CN" w:bidi="ar"/>
              </w:rPr>
              <w:t>00000</w:t>
            </w:r>
            <w:r>
              <w:rPr>
                <w:rFonts w:hint="eastAsia" w:ascii="Times New Roman" w:hAnsi="Times New Roman" w:cs="Times New Roman"/>
                <w:i w:val="0"/>
                <w:iCs w:val="0"/>
                <w:color w:val="auto"/>
                <w:kern w:val="0"/>
                <w:sz w:val="24"/>
                <w:szCs w:val="24"/>
                <w:highlight w:val="none"/>
                <w:u w:val="none"/>
                <w:lang w:val="en-US" w:eastAsia="zh-CN" w:bidi="ar"/>
              </w:rPr>
              <w:t>.00</w:t>
            </w:r>
          </w:p>
        </w:tc>
        <w:tc>
          <w:tcPr>
            <w:tcW w:w="1746" w:type="dxa"/>
            <w:noWrap w:val="0"/>
            <w:tcMar>
              <w:top w:w="0" w:type="dxa"/>
              <w:left w:w="108" w:type="dxa"/>
              <w:bottom w:w="0" w:type="dxa"/>
              <w:right w:w="108"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Times New Roman" w:hAnsi="Times New Roman" w:eastAsia="宋体" w:cs="Times New Roman"/>
                <w:i w:val="0"/>
                <w:iCs w:val="0"/>
                <w:color w:val="auto"/>
                <w:kern w:val="0"/>
                <w:sz w:val="24"/>
                <w:szCs w:val="24"/>
                <w:highlight w:val="none"/>
                <w:u w:val="none"/>
                <w:lang w:val="en-US" w:eastAsia="zh-CN" w:bidi="ar"/>
              </w:rPr>
            </w:pPr>
            <w:r>
              <w:rPr>
                <w:rFonts w:hint="eastAsia" w:ascii="Times New Roman" w:hAnsi="Times New Roman" w:cs="Times New Roman"/>
                <w:i w:val="0"/>
                <w:iCs w:val="0"/>
                <w:color w:val="auto"/>
                <w:kern w:val="0"/>
                <w:sz w:val="24"/>
                <w:szCs w:val="24"/>
                <w:highlight w:val="none"/>
                <w:u w:val="none"/>
                <w:lang w:val="en-US" w:eastAsia="zh-CN" w:bidi="ar"/>
              </w:rPr>
              <w:t>3</w:t>
            </w:r>
            <w:r>
              <w:rPr>
                <w:rFonts w:hint="eastAsia" w:cs="Times New Roman"/>
                <w:i w:val="0"/>
                <w:iCs w:val="0"/>
                <w:color w:val="auto"/>
                <w:kern w:val="0"/>
                <w:sz w:val="24"/>
                <w:szCs w:val="24"/>
                <w:highlight w:val="none"/>
                <w:u w:val="none"/>
                <w:lang w:val="en-US" w:eastAsia="zh-CN" w:bidi="ar"/>
              </w:rPr>
              <w:t>7</w:t>
            </w:r>
            <w:r>
              <w:rPr>
                <w:rFonts w:hint="eastAsia" w:ascii="Times New Roman" w:hAnsi="Times New Roman" w:cs="Times New Roman"/>
                <w:i w:val="0"/>
                <w:iCs w:val="0"/>
                <w:color w:val="auto"/>
                <w:kern w:val="0"/>
                <w:sz w:val="24"/>
                <w:szCs w:val="24"/>
                <w:highlight w:val="none"/>
                <w:u w:val="none"/>
                <w:lang w:val="en-US" w:eastAsia="zh-CN" w:bidi="ar"/>
              </w:rPr>
              <w:t>0</w:t>
            </w:r>
            <w:r>
              <w:rPr>
                <w:rFonts w:hint="default" w:ascii="Times New Roman" w:hAnsi="Times New Roman" w:eastAsia="宋体" w:cs="Times New Roman"/>
                <w:i w:val="0"/>
                <w:iCs w:val="0"/>
                <w:color w:val="auto"/>
                <w:kern w:val="0"/>
                <w:sz w:val="24"/>
                <w:szCs w:val="24"/>
                <w:highlight w:val="none"/>
                <w:u w:val="none"/>
                <w:lang w:val="en-US" w:eastAsia="zh-CN" w:bidi="ar"/>
              </w:rPr>
              <w:t>0000</w:t>
            </w:r>
            <w:r>
              <w:rPr>
                <w:rFonts w:hint="eastAsia" w:ascii="Times New Roman" w:hAnsi="Times New Roman" w:cs="Times New Roman"/>
                <w:i w:val="0"/>
                <w:iCs w:val="0"/>
                <w:color w:val="auto"/>
                <w:kern w:val="0"/>
                <w:sz w:val="24"/>
                <w:szCs w:val="24"/>
                <w:highlight w:val="none"/>
                <w:u w:val="none"/>
                <w:lang w:val="en-US" w:eastAsia="zh-CN" w:bidi="ar"/>
              </w:rPr>
              <w:t>.00</w:t>
            </w:r>
          </w:p>
        </w:tc>
      </w:tr>
    </w:tbl>
    <w:p>
      <w:pPr>
        <w:keepNext w:val="0"/>
        <w:keepLines w:val="0"/>
        <w:pageBreakBefore w:val="0"/>
        <w:widowControl w:val="0"/>
        <w:kinsoku w:val="0"/>
        <w:wordWrap/>
        <w:overflowPunct/>
        <w:topLinePunct w:val="0"/>
        <w:autoSpaceDE w:val="0"/>
        <w:autoSpaceDN w:val="0"/>
        <w:bidi w:val="0"/>
        <w:adjustRightInd w:val="0"/>
        <w:snapToGrid w:val="0"/>
        <w:spacing w:beforeAutospacing="0" w:line="440" w:lineRule="exact"/>
        <w:ind w:firstLine="480" w:firstLineChars="200"/>
        <w:textAlignment w:val="baseline"/>
        <w:rPr>
          <w:rFonts w:hint="eastAsia" w:ascii="仿宋" w:hAnsi="仿宋" w:eastAsia="仿宋" w:cs="仿宋"/>
          <w:b w:val="0"/>
          <w:bCs/>
          <w:color w:val="auto"/>
          <w:spacing w:val="-5"/>
          <w:sz w:val="24"/>
          <w:szCs w:val="24"/>
          <w:highlight w:val="none"/>
        </w:rPr>
      </w:pPr>
      <w:r>
        <w:rPr>
          <w:rFonts w:hint="eastAsia" w:ascii="仿宋" w:hAnsi="仿宋" w:eastAsia="仿宋" w:cs="仿宋"/>
          <w:b w:val="0"/>
          <w:bCs/>
          <w:color w:val="auto"/>
          <w:sz w:val="24"/>
          <w:highlight w:val="none"/>
        </w:rPr>
        <w:t>注：</w:t>
      </w:r>
      <w:r>
        <w:rPr>
          <w:rFonts w:hint="eastAsia" w:ascii="仿宋" w:hAnsi="仿宋" w:eastAsia="仿宋" w:cs="仿宋"/>
          <w:b w:val="0"/>
          <w:bCs/>
          <w:color w:val="auto"/>
          <w:sz w:val="24"/>
          <w:highlight w:val="none"/>
          <w:lang w:val="en-US" w:eastAsia="zh-CN"/>
        </w:rPr>
        <w:t>以上“产地”类型为</w:t>
      </w:r>
      <w:r>
        <w:rPr>
          <w:rFonts w:hint="eastAsia" w:ascii="仿宋" w:hAnsi="仿宋" w:eastAsia="仿宋" w:cs="仿宋"/>
          <w:b w:val="0"/>
          <w:bCs/>
          <w:color w:val="auto"/>
          <w:sz w:val="24"/>
          <w:highlight w:val="none"/>
        </w:rPr>
        <w:t>国产</w:t>
      </w:r>
      <w:r>
        <w:rPr>
          <w:rFonts w:hint="eastAsia" w:ascii="仿宋" w:hAnsi="仿宋" w:eastAsia="仿宋" w:cs="仿宋"/>
          <w:b w:val="0"/>
          <w:bCs/>
          <w:color w:val="auto"/>
          <w:sz w:val="24"/>
          <w:highlight w:val="none"/>
          <w:lang w:val="en-US" w:eastAsia="zh-CN"/>
        </w:rPr>
        <w:t>产品</w:t>
      </w:r>
      <w:r>
        <w:rPr>
          <w:rFonts w:hint="eastAsia" w:ascii="仿宋" w:hAnsi="仿宋" w:eastAsia="仿宋" w:cs="仿宋"/>
          <w:b w:val="0"/>
          <w:bCs/>
          <w:color w:val="auto"/>
          <w:sz w:val="24"/>
          <w:highlight w:val="none"/>
        </w:rPr>
        <w:t>，不允许提供进口产品参与采购活动。</w:t>
      </w:r>
    </w:p>
    <w:p>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合同履行期限：</w:t>
      </w:r>
      <w:r>
        <w:rPr>
          <w:rFonts w:hint="eastAsia" w:eastAsia="仿宋"/>
          <w:b w:val="0"/>
          <w:bCs w:val="0"/>
          <w:color w:val="auto"/>
          <w:sz w:val="24"/>
          <w:szCs w:val="24"/>
          <w:highlight w:val="none"/>
          <w:lang w:val="en-US" w:eastAsia="zh-CN"/>
        </w:rPr>
        <w:t>自合同签订生效之日起 5 个月（采用进口底盘的车辆交货期为 10个月）内必须将所投产品送到江西省消防救援总队指定地点（以采购人到货签收时间作为交货时间），验收合格后由中标人配送至各消防救援支队或消防救援大队指定地点。</w:t>
      </w:r>
    </w:p>
    <w:p>
      <w:pPr>
        <w:spacing w:line="500" w:lineRule="atLeast"/>
        <w:ind w:firstLine="482" w:firstLineChars="200"/>
        <w:rPr>
          <w:rFonts w:eastAsia="仿宋"/>
          <w:b/>
          <w:bCs/>
          <w:color w:val="auto"/>
          <w:sz w:val="24"/>
          <w:szCs w:val="24"/>
          <w:highlight w:val="none"/>
        </w:rPr>
      </w:pPr>
      <w:r>
        <w:rPr>
          <w:rFonts w:eastAsia="仿宋"/>
          <w:b/>
          <w:bCs/>
          <w:color w:val="auto"/>
          <w:sz w:val="24"/>
          <w:szCs w:val="24"/>
          <w:highlight w:val="none"/>
        </w:rPr>
        <w:t>本项目不接受联合体投标。</w:t>
      </w:r>
    </w:p>
    <w:p>
      <w:pPr>
        <w:pStyle w:val="2"/>
        <w:spacing w:before="0" w:after="0" w:line="500" w:lineRule="atLeast"/>
        <w:rPr>
          <w:rFonts w:ascii="Times New Roman" w:hAnsi="Times New Roman" w:eastAsia="仿宋"/>
          <w:b/>
          <w:bCs w:val="0"/>
          <w:color w:val="auto"/>
          <w:sz w:val="24"/>
          <w:szCs w:val="24"/>
          <w:highlight w:val="none"/>
        </w:rPr>
      </w:pPr>
      <w:bookmarkStart w:id="20" w:name="_Toc11142"/>
      <w:bookmarkStart w:id="21" w:name="_Toc35393622"/>
      <w:bookmarkStart w:id="22" w:name="_Toc35393791"/>
      <w:bookmarkStart w:id="23" w:name="_Toc28359003"/>
      <w:bookmarkStart w:id="24" w:name="_Toc28359080"/>
      <w:bookmarkStart w:id="25" w:name="_Toc22657"/>
      <w:bookmarkStart w:id="26" w:name="_Toc22199"/>
      <w:bookmarkStart w:id="27" w:name="_Toc27012"/>
      <w:bookmarkStart w:id="28" w:name="_Toc23321"/>
      <w:r>
        <w:rPr>
          <w:rFonts w:ascii="Times New Roman" w:hAnsi="Times New Roman" w:eastAsia="仿宋"/>
          <w:b/>
          <w:bCs w:val="0"/>
          <w:color w:val="auto"/>
          <w:sz w:val="24"/>
          <w:szCs w:val="24"/>
          <w:highlight w:val="none"/>
        </w:rPr>
        <w:t>二、投标人的资格要求</w:t>
      </w:r>
      <w:bookmarkEnd w:id="20"/>
      <w:bookmarkEnd w:id="21"/>
      <w:bookmarkEnd w:id="22"/>
      <w:bookmarkEnd w:id="23"/>
      <w:bookmarkEnd w:id="24"/>
      <w:bookmarkEnd w:id="25"/>
      <w:bookmarkEnd w:id="26"/>
      <w:bookmarkEnd w:id="27"/>
      <w:bookmarkEnd w:id="28"/>
    </w:p>
    <w:p>
      <w:pPr>
        <w:spacing w:line="500" w:lineRule="atLeast"/>
        <w:ind w:firstLine="482" w:firstLineChars="200"/>
        <w:rPr>
          <w:rFonts w:ascii="Times New Roman" w:hAnsi="仿宋" w:eastAsia="仿宋" w:cs="Times New Roman"/>
          <w:b/>
          <w:bCs/>
          <w:iCs/>
          <w:color w:val="auto"/>
          <w:sz w:val="24"/>
          <w:szCs w:val="24"/>
          <w:highlight w:val="none"/>
        </w:rPr>
      </w:pPr>
      <w:bookmarkStart w:id="29" w:name="_Toc35393792"/>
      <w:bookmarkStart w:id="30" w:name="_Toc35393623"/>
      <w:bookmarkStart w:id="31" w:name="_Toc28359004"/>
      <w:bookmarkStart w:id="32" w:name="_Toc28359081"/>
      <w:r>
        <w:rPr>
          <w:rFonts w:ascii="Times New Roman" w:hAnsi="仿宋" w:eastAsia="仿宋" w:cs="Times New Roman"/>
          <w:b/>
          <w:bCs/>
          <w:iCs/>
          <w:color w:val="auto"/>
          <w:sz w:val="24"/>
          <w:szCs w:val="24"/>
          <w:highlight w:val="none"/>
        </w:rPr>
        <w:t>1.满足《中华人民共和国政府采购法》第二十二条规定；</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（1）具有独立承担民事责任的能力；</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（2）具有良好的商业信誉和健全的财务会计制度；</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（3）具有履行合同所必需的设备和专业技术能力；</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（4）有依法缴纳税收和社会保障资金的良好记录；</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（5）参加政府采购活动前三年内,在经营活动中没有重大违法记录；</w:t>
      </w:r>
    </w:p>
    <w:p>
      <w:pPr>
        <w:spacing w:line="500" w:lineRule="atLeast"/>
        <w:ind w:firstLine="480" w:firstLineChars="200"/>
        <w:rPr>
          <w:rFonts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（6）法律、行政法规规定的其他条件。</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2.单位负责人为同一人或者存在直接控股、管理关系的不同投标人，不得参加同一合同项下的采购活动。为本采购项目提供整体设计、规范编制或者项目管理、监理、检测等服务的，不得参加本项目的政府采购活动。</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3.通过“信用中国”网站和中国政府采购网查询相关主体信用记录，被列入失信被执行人、重大税收违法失信主体、政府采购严重违法失信行为记录名单的投标人（处罚期限尚未届满的），不得参与本项目的政府采购活动。</w:t>
      </w:r>
    </w:p>
    <w:p>
      <w:pPr>
        <w:spacing w:line="500" w:lineRule="atLeast"/>
        <w:ind w:firstLine="482" w:firstLineChars="200"/>
        <w:rPr>
          <w:rFonts w:ascii="Times New Roman" w:hAnsi="仿宋" w:eastAsia="仿宋" w:cs="Times New Roman"/>
          <w:b/>
          <w:bCs/>
          <w:iCs/>
          <w:color w:val="auto"/>
          <w:sz w:val="24"/>
          <w:szCs w:val="24"/>
          <w:highlight w:val="none"/>
        </w:rPr>
      </w:pPr>
      <w:r>
        <w:rPr>
          <w:rFonts w:ascii="Times New Roman" w:hAnsi="仿宋" w:eastAsia="仿宋" w:cs="Times New Roman"/>
          <w:b/>
          <w:bCs/>
          <w:iCs/>
          <w:color w:val="auto"/>
          <w:sz w:val="24"/>
          <w:szCs w:val="24"/>
          <w:highlight w:val="none"/>
        </w:rPr>
        <w:t>4.落实政府采购政策需满足的资格要求：</w:t>
      </w:r>
    </w:p>
    <w:p>
      <w:pPr>
        <w:spacing w:line="500" w:lineRule="atLeast"/>
        <w:ind w:firstLine="480" w:firstLineChars="200"/>
        <w:rPr>
          <w:rFonts w:hint="eastAsia" w:ascii="Times New Roman" w:hAnsi="仿宋" w:eastAsia="仿宋" w:cs="Times New Roman"/>
          <w:iCs/>
          <w:color w:val="auto"/>
          <w:sz w:val="24"/>
          <w:szCs w:val="24"/>
          <w:highlight w:val="none"/>
        </w:rPr>
      </w:pPr>
      <w:r>
        <w:rPr>
          <w:rFonts w:ascii="Times New Roman" w:hAnsi="仿宋" w:eastAsia="仿宋" w:cs="Times New Roman"/>
          <w:iCs/>
          <w:color w:val="auto"/>
          <w:sz w:val="24"/>
          <w:szCs w:val="24"/>
          <w:highlight w:val="none"/>
        </w:rPr>
        <w:t>（1）</w:t>
      </w:r>
      <w:r>
        <w:rPr>
          <w:rFonts w:hint="eastAsia" w:ascii="Times New Roman" w:hAnsi="仿宋" w:eastAsia="仿宋" w:cs="Times New Roman"/>
          <w:iCs/>
          <w:color w:val="auto"/>
          <w:sz w:val="24"/>
          <w:szCs w:val="24"/>
          <w:highlight w:val="none"/>
        </w:rPr>
        <w:t>中小企业政策：</w:t>
      </w:r>
      <w:r>
        <w:rPr>
          <w:rFonts w:hint="eastAsia" w:ascii="Times New Roman" w:hAnsi="仿宋" w:eastAsia="仿宋" w:cs="Times New Roman"/>
          <w:b/>
          <w:bCs/>
          <w:iCs/>
          <w:color w:val="auto"/>
          <w:sz w:val="24"/>
          <w:szCs w:val="24"/>
          <w:highlight w:val="none"/>
        </w:rPr>
        <w:t>本项目不专门面向中小企业采购。</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（2）本项目落实促进中小企业发展、监狱企业扶持、政府采购节约能源政策、政府采购环境保护政策、残疾人就业等政府采购政策，具体详见招标文件。</w:t>
      </w:r>
    </w:p>
    <w:p>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ascii="Times New Roman" w:hAnsi="仿宋" w:eastAsia="仿宋" w:cs="Times New Roman"/>
          <w:b/>
          <w:bCs/>
          <w:iCs/>
          <w:color w:val="auto"/>
          <w:sz w:val="24"/>
          <w:szCs w:val="24"/>
          <w:highlight w:val="none"/>
        </w:rPr>
        <w:t>5.本项目的特定资格要求：</w:t>
      </w:r>
      <w:r>
        <w:rPr>
          <w:rFonts w:hint="eastAsia" w:ascii="Times New Roman" w:hAnsi="仿宋" w:eastAsia="仿宋" w:cs="Times New Roman"/>
          <w:iCs/>
          <w:color w:val="auto"/>
          <w:sz w:val="24"/>
          <w:szCs w:val="24"/>
          <w:highlight w:val="none"/>
          <w:lang w:val="en-US" w:eastAsia="zh-CN"/>
        </w:rPr>
        <w:t>无</w:t>
      </w:r>
    </w:p>
    <w:p>
      <w:pPr>
        <w:pStyle w:val="2"/>
        <w:spacing w:before="0" w:after="0" w:line="500" w:lineRule="atLeast"/>
        <w:rPr>
          <w:rFonts w:ascii="Times New Roman" w:hAnsi="Times New Roman" w:eastAsia="仿宋"/>
          <w:b/>
          <w:bCs w:val="0"/>
          <w:color w:val="auto"/>
          <w:sz w:val="24"/>
          <w:szCs w:val="24"/>
          <w:highlight w:val="none"/>
        </w:rPr>
      </w:pPr>
      <w:bookmarkStart w:id="33" w:name="_Toc12482"/>
      <w:bookmarkStart w:id="34" w:name="_Toc17696"/>
      <w:bookmarkStart w:id="35" w:name="_Toc12939"/>
      <w:bookmarkStart w:id="36" w:name="_Toc21386"/>
      <w:bookmarkStart w:id="37" w:name="_Toc13990"/>
      <w:r>
        <w:rPr>
          <w:rFonts w:ascii="Times New Roman" w:hAnsi="Times New Roman" w:eastAsia="仿宋"/>
          <w:b/>
          <w:bCs w:val="0"/>
          <w:color w:val="auto"/>
          <w:sz w:val="24"/>
          <w:szCs w:val="24"/>
          <w:highlight w:val="none"/>
        </w:rPr>
        <w:t>三、获取招标文件</w:t>
      </w:r>
      <w:bookmarkEnd w:id="29"/>
      <w:bookmarkEnd w:id="30"/>
      <w:bookmarkEnd w:id="31"/>
      <w:bookmarkEnd w:id="32"/>
      <w:bookmarkEnd w:id="33"/>
      <w:bookmarkEnd w:id="34"/>
      <w:bookmarkEnd w:id="35"/>
      <w:bookmarkEnd w:id="36"/>
      <w:bookmarkEnd w:id="37"/>
    </w:p>
    <w:p>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bookmarkStart w:id="38" w:name="_Toc28359005"/>
      <w:bookmarkStart w:id="39" w:name="_Toc28359082"/>
      <w:bookmarkStart w:id="40" w:name="_Toc25802"/>
      <w:bookmarkStart w:id="41" w:name="_Toc35393793"/>
      <w:bookmarkStart w:id="42" w:name="_Toc35393624"/>
      <w:r>
        <w:rPr>
          <w:rFonts w:hint="eastAsia" w:ascii="Times New Roman" w:hAnsi="仿宋" w:eastAsia="仿宋" w:cs="Times New Roman"/>
          <w:b/>
          <w:bCs/>
          <w:iCs/>
          <w:color w:val="auto"/>
          <w:sz w:val="24"/>
          <w:szCs w:val="24"/>
          <w:highlight w:val="none"/>
          <w:lang w:val="en-US" w:eastAsia="zh-CN"/>
        </w:rPr>
        <w:t>1.时间：</w:t>
      </w:r>
      <w:r>
        <w:rPr>
          <w:rFonts w:hint="eastAsia" w:ascii="Times New Roman" w:hAnsi="仿宋" w:eastAsia="仿宋" w:cs="Times New Roman"/>
          <w:iCs/>
          <w:color w:val="auto"/>
          <w:sz w:val="24"/>
          <w:szCs w:val="24"/>
          <w:highlight w:val="none"/>
          <w:lang w:val="en-US" w:eastAsia="zh-CN"/>
        </w:rPr>
        <w:t>2024年</w:t>
      </w:r>
      <w:r>
        <w:rPr>
          <w:rFonts w:hint="eastAsia" w:hAnsi="仿宋" w:eastAsia="仿宋" w:cs="Times New Roman"/>
          <w:iCs/>
          <w:color w:val="auto"/>
          <w:sz w:val="24"/>
          <w:szCs w:val="24"/>
          <w:highlight w:val="none"/>
          <w:lang w:val="en-US" w:eastAsia="zh-CN"/>
        </w:rPr>
        <w:t>04</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01</w:t>
      </w:r>
      <w:r>
        <w:rPr>
          <w:rFonts w:hint="eastAsia" w:ascii="Times New Roman" w:hAnsi="仿宋" w:eastAsia="仿宋" w:cs="Times New Roman"/>
          <w:iCs/>
          <w:color w:val="auto"/>
          <w:sz w:val="24"/>
          <w:szCs w:val="24"/>
          <w:highlight w:val="none"/>
          <w:lang w:val="en-US" w:eastAsia="zh-CN"/>
        </w:rPr>
        <w:t>日至2024年</w:t>
      </w:r>
      <w:r>
        <w:rPr>
          <w:rFonts w:hint="eastAsia" w:hAnsi="仿宋" w:eastAsia="仿宋" w:cs="Times New Roman"/>
          <w:iCs/>
          <w:color w:val="auto"/>
          <w:sz w:val="24"/>
          <w:szCs w:val="24"/>
          <w:highlight w:val="none"/>
          <w:lang w:val="en-US" w:eastAsia="zh-CN"/>
        </w:rPr>
        <w:t>04</w:t>
      </w:r>
      <w:r>
        <w:rPr>
          <w:rFonts w:hint="eastAsia" w:ascii="Times New Roman" w:hAnsi="仿宋" w:eastAsia="仿宋" w:cs="Times New Roman"/>
          <w:iCs/>
          <w:color w:val="auto"/>
          <w:sz w:val="24"/>
          <w:szCs w:val="24"/>
          <w:highlight w:val="none"/>
          <w:lang w:val="en-US" w:eastAsia="zh-CN"/>
        </w:rPr>
        <w:t>月</w:t>
      </w:r>
      <w:r>
        <w:rPr>
          <w:rFonts w:hint="eastAsia" w:hAnsi="仿宋" w:eastAsia="仿宋" w:cs="Times New Roman"/>
          <w:iCs/>
          <w:color w:val="auto"/>
          <w:sz w:val="24"/>
          <w:szCs w:val="24"/>
          <w:highlight w:val="none"/>
          <w:lang w:val="en-US" w:eastAsia="zh-CN"/>
        </w:rPr>
        <w:t>09</w:t>
      </w:r>
      <w:r>
        <w:rPr>
          <w:rFonts w:hint="eastAsia" w:ascii="Times New Roman" w:hAnsi="仿宋" w:eastAsia="仿宋" w:cs="Times New Roman"/>
          <w:iCs/>
          <w:color w:val="auto"/>
          <w:sz w:val="24"/>
          <w:szCs w:val="24"/>
          <w:highlight w:val="none"/>
          <w:lang w:val="en-US" w:eastAsia="zh-CN"/>
        </w:rPr>
        <w:t>日，</w:t>
      </w:r>
      <w:r>
        <w:rPr>
          <w:rFonts w:hint="eastAsia" w:ascii="仿宋" w:hAnsi="仿宋" w:eastAsia="仿宋" w:cs="仿宋"/>
          <w:color w:val="auto"/>
          <w:kern w:val="0"/>
          <w:sz w:val="24"/>
          <w:highlight w:val="none"/>
          <w:shd w:val="clear" w:color="auto" w:fill="FFFFFF"/>
        </w:rPr>
        <w:t>每天09点00分至12点00分，14点00分至17点00分</w:t>
      </w:r>
      <w:r>
        <w:rPr>
          <w:rFonts w:hint="eastAsia" w:ascii="Times New Roman" w:hAnsi="仿宋" w:eastAsia="仿宋" w:cs="Times New Roman"/>
          <w:iCs/>
          <w:color w:val="auto"/>
          <w:sz w:val="24"/>
          <w:szCs w:val="24"/>
          <w:highlight w:val="none"/>
          <w:lang w:val="en-US" w:eastAsia="zh-CN"/>
        </w:rPr>
        <w:t>（北京时间，法定节假日除外）</w:t>
      </w:r>
    </w:p>
    <w:p>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2.地点：</w:t>
      </w:r>
      <w:r>
        <w:rPr>
          <w:rFonts w:hint="eastAsia" w:ascii="Times New Roman" w:hAnsi="仿宋" w:eastAsia="仿宋" w:cs="Times New Roman"/>
          <w:iCs/>
          <w:color w:val="auto"/>
          <w:sz w:val="24"/>
          <w:szCs w:val="24"/>
          <w:highlight w:val="none"/>
          <w:lang w:val="en-US" w:eastAsia="zh-CN"/>
        </w:rPr>
        <w:t>江西合胜合招标咨询有限公司（江西省南昌市红谷滩区红谷北大道968号绿地外滩公馆写字楼19栋406室）</w:t>
      </w:r>
    </w:p>
    <w:p>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3.方式：</w:t>
      </w:r>
      <w:r>
        <w:rPr>
          <w:rFonts w:hint="eastAsia" w:ascii="Times New Roman" w:hAnsi="仿宋" w:eastAsia="仿宋" w:cs="Times New Roman"/>
          <w:iCs/>
          <w:color w:val="auto"/>
          <w:sz w:val="24"/>
          <w:szCs w:val="24"/>
          <w:highlight w:val="none"/>
          <w:lang w:val="en-US" w:eastAsia="zh-CN"/>
        </w:rPr>
        <w:t>现场或线上获取；</w:t>
      </w:r>
    </w:p>
    <w:p>
      <w:pPr>
        <w:spacing w:line="500" w:lineRule="atLeast"/>
        <w:ind w:firstLine="482"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4.售价：</w:t>
      </w:r>
      <w:r>
        <w:rPr>
          <w:rFonts w:hint="eastAsia" w:ascii="Times New Roman" w:hAnsi="仿宋" w:eastAsia="仿宋" w:cs="Times New Roman"/>
          <w:iCs/>
          <w:color w:val="auto"/>
          <w:sz w:val="24"/>
          <w:szCs w:val="24"/>
          <w:highlight w:val="none"/>
          <w:lang w:val="en-US" w:eastAsia="zh-CN"/>
        </w:rPr>
        <w:t>0元</w:t>
      </w:r>
    </w:p>
    <w:p>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5.获取招标文件时须提供以下资料：</w:t>
      </w:r>
    </w:p>
    <w:p>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（1）现场获取招标文件时供应商提供以下资料：</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①营业执照复印件并加盖公章留存；</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②法定代表人授权书或单位介绍信加盖公章原件、法定代表人身份证复印件及授权代表身份证正反面复印件（加盖公章留存）；</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pPr>
        <w:spacing w:line="500" w:lineRule="atLeast"/>
        <w:ind w:firstLine="482" w:firstLineChars="200"/>
        <w:rPr>
          <w:rFonts w:hint="eastAsia"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（2）线上获取招标文件时供应商提供以下资料：</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①营业执照复印件加盖公章的扫描件；</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②法定代表人授权书或单位介绍信原件、法定代表人身份证及授权代表身份证正反面复印件加盖公章的扫描件；</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③项目信息获取登记表；</w:t>
      </w:r>
    </w:p>
    <w:p>
      <w:pPr>
        <w:spacing w:line="500" w:lineRule="atLeast"/>
        <w:ind w:firstLine="480" w:firstLineChars="200"/>
        <w:rPr>
          <w:rFonts w:hint="eastAsia" w:ascii="Times New Roman" w:hAnsi="仿宋" w:eastAsia="仿宋" w:cs="Times New Roman"/>
          <w:iCs/>
          <w:color w:val="auto"/>
          <w:sz w:val="24"/>
          <w:szCs w:val="24"/>
          <w:highlight w:val="none"/>
          <w:lang w:val="en-US" w:eastAsia="zh-CN"/>
        </w:rPr>
      </w:pPr>
      <w:r>
        <w:rPr>
          <w:rFonts w:hint="eastAsia" w:ascii="Times New Roman" w:hAnsi="仿宋" w:eastAsia="仿宋" w:cs="Times New Roman"/>
          <w:iCs/>
          <w:color w:val="auto"/>
          <w:sz w:val="24"/>
          <w:szCs w:val="24"/>
          <w:highlight w:val="none"/>
          <w:lang w:val="en-US" w:eastAsia="zh-CN"/>
        </w:rPr>
        <w:t>④线上获取：请将以上相关报名资料发送至代理机构邮箱：jxhsh0791@163.com，代理机构收到报名邮件后通过电子邮件发送招标文件。</w:t>
      </w:r>
    </w:p>
    <w:p>
      <w:pPr>
        <w:spacing w:line="500" w:lineRule="atLeast"/>
        <w:ind w:firstLine="480" w:firstLineChars="200"/>
        <w:rPr>
          <w:rFonts w:hint="eastAsia" w:ascii="Times New Roman" w:hAnsi="仿宋" w:eastAsia="仿宋" w:cs="Times New Roman"/>
          <w:b w:val="0"/>
          <w:bCs w:val="0"/>
          <w:iCs/>
          <w:color w:val="auto"/>
          <w:sz w:val="24"/>
          <w:szCs w:val="24"/>
          <w:highlight w:val="none"/>
          <w:lang w:val="en-US" w:eastAsia="zh-CN"/>
        </w:rPr>
      </w:pPr>
      <w:r>
        <w:rPr>
          <w:rFonts w:hint="eastAsia" w:ascii="Times New Roman" w:hAnsi="仿宋" w:eastAsia="仿宋" w:cs="Times New Roman"/>
          <w:b w:val="0"/>
          <w:bCs w:val="0"/>
          <w:iCs/>
          <w:color w:val="auto"/>
          <w:sz w:val="24"/>
          <w:szCs w:val="24"/>
          <w:highlight w:val="none"/>
          <w:lang w:val="en-US" w:eastAsia="zh-CN"/>
        </w:rPr>
        <w:t>注：如未按上述要求导致获取招标文件不成功的后果，由投标人自行承担。</w:t>
      </w:r>
    </w:p>
    <w:p>
      <w:pPr>
        <w:spacing w:line="500" w:lineRule="atLeast"/>
        <w:ind w:firstLine="482" w:firstLineChars="200"/>
        <w:rPr>
          <w:rFonts w:hint="default" w:ascii="Times New Roman" w:hAnsi="仿宋" w:eastAsia="仿宋" w:cs="Times New Roman"/>
          <w:b/>
          <w:bCs/>
          <w:iCs/>
          <w:color w:val="auto"/>
          <w:sz w:val="24"/>
          <w:szCs w:val="24"/>
          <w:highlight w:val="none"/>
          <w:lang w:val="en-US" w:eastAsia="zh-CN"/>
        </w:rPr>
      </w:pPr>
      <w:r>
        <w:rPr>
          <w:rFonts w:hint="eastAsia" w:ascii="Times New Roman" w:hAnsi="仿宋" w:eastAsia="仿宋" w:cs="Times New Roman"/>
          <w:b/>
          <w:bCs/>
          <w:iCs/>
          <w:color w:val="auto"/>
          <w:sz w:val="24"/>
          <w:szCs w:val="24"/>
          <w:highlight w:val="none"/>
          <w:lang w:val="en-US" w:eastAsia="zh-CN"/>
        </w:rPr>
        <w:t>6.获取了招标文件不参加其中单个或多个包投标的单位，请在投标截止时间 3 日前以书面形式通知采购代理机构。</w:t>
      </w:r>
    </w:p>
    <w:p>
      <w:pPr>
        <w:pStyle w:val="2"/>
        <w:pageBreakBefore w:val="0"/>
        <w:widowControl w:val="0"/>
        <w:kinsoku/>
        <w:wordWrap/>
        <w:overflowPunct/>
        <w:topLinePunct w:val="0"/>
        <w:autoSpaceDE/>
        <w:autoSpaceDN/>
        <w:bidi w:val="0"/>
        <w:adjustRightInd/>
        <w:snapToGrid/>
        <w:spacing w:before="0" w:after="0" w:line="500" w:lineRule="atLeast"/>
        <w:textAlignment w:val="auto"/>
        <w:rPr>
          <w:rFonts w:eastAsia="仿宋"/>
          <w:b/>
          <w:bCs w:val="0"/>
          <w:color w:val="auto"/>
          <w:szCs w:val="24"/>
          <w:highlight w:val="none"/>
        </w:rPr>
      </w:pPr>
      <w:bookmarkStart w:id="43" w:name="_Toc14161"/>
      <w:r>
        <w:rPr>
          <w:rFonts w:hint="eastAsia" w:ascii="Times New Roman" w:hAnsi="Times New Roman" w:eastAsia="仿宋"/>
          <w:b/>
          <w:bCs w:val="0"/>
          <w:color w:val="auto"/>
          <w:sz w:val="24"/>
          <w:szCs w:val="24"/>
          <w:highlight w:val="none"/>
          <w:lang w:val="en-US" w:eastAsia="zh-CN"/>
        </w:rPr>
        <w:t>四、</w:t>
      </w:r>
      <w:r>
        <w:rPr>
          <w:rFonts w:ascii="Times New Roman" w:hAnsi="Times New Roman" w:eastAsia="仿宋"/>
          <w:b/>
          <w:bCs w:val="0"/>
          <w:color w:val="auto"/>
          <w:sz w:val="24"/>
          <w:szCs w:val="24"/>
          <w:highlight w:val="none"/>
        </w:rPr>
        <w:t>提交投标文件</w:t>
      </w:r>
      <w:bookmarkEnd w:id="38"/>
      <w:bookmarkEnd w:id="39"/>
      <w:r>
        <w:rPr>
          <w:rFonts w:ascii="Times New Roman" w:hAnsi="Times New Roman" w:eastAsia="仿宋"/>
          <w:b/>
          <w:bCs w:val="0"/>
          <w:color w:val="auto"/>
          <w:sz w:val="24"/>
          <w:szCs w:val="24"/>
          <w:highlight w:val="none"/>
        </w:rPr>
        <w:t>截止时间、开标时间和</w:t>
      </w:r>
      <w:r>
        <w:rPr>
          <w:rFonts w:hint="eastAsia" w:ascii="Times New Roman" w:hAnsi="Times New Roman" w:eastAsia="仿宋"/>
          <w:b/>
          <w:bCs w:val="0"/>
          <w:color w:val="auto"/>
          <w:sz w:val="24"/>
          <w:szCs w:val="24"/>
          <w:highlight w:val="none"/>
          <w:lang w:val="en-US" w:eastAsia="zh-CN"/>
        </w:rPr>
        <w:t>开标</w:t>
      </w:r>
      <w:r>
        <w:rPr>
          <w:rFonts w:ascii="Times New Roman" w:hAnsi="Times New Roman" w:eastAsia="仿宋"/>
          <w:b/>
          <w:bCs w:val="0"/>
          <w:color w:val="auto"/>
          <w:sz w:val="24"/>
          <w:szCs w:val="24"/>
          <w:highlight w:val="none"/>
        </w:rPr>
        <w:t>地点</w:t>
      </w:r>
      <w:bookmarkEnd w:id="40"/>
      <w:bookmarkEnd w:id="41"/>
      <w:bookmarkEnd w:id="42"/>
      <w:bookmarkEnd w:id="43"/>
    </w:p>
    <w:p>
      <w:pPr>
        <w:spacing w:line="500" w:lineRule="atLeast"/>
        <w:ind w:firstLine="480" w:firstLineChars="200"/>
        <w:rPr>
          <w:rFonts w:hint="eastAsia" w:eastAsia="仿宋"/>
          <w:color w:val="auto"/>
          <w:sz w:val="24"/>
          <w:szCs w:val="24"/>
          <w:highlight w:val="none"/>
          <w:lang w:val="en-US" w:eastAsia="zh-CN"/>
        </w:rPr>
      </w:pPr>
      <w:r>
        <w:rPr>
          <w:rFonts w:hint="eastAsia" w:eastAsia="仿宋"/>
          <w:color w:val="auto"/>
          <w:sz w:val="24"/>
          <w:szCs w:val="24"/>
          <w:highlight w:val="none"/>
          <w:lang w:val="en-US" w:eastAsia="zh-CN"/>
        </w:rPr>
        <w:t>01～08包</w:t>
      </w:r>
    </w:p>
    <w:p>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04</w:t>
      </w:r>
      <w:r>
        <w:rPr>
          <w:rFonts w:eastAsia="仿宋"/>
          <w:color w:val="auto"/>
          <w:sz w:val="24"/>
          <w:szCs w:val="24"/>
          <w:highlight w:val="none"/>
        </w:rPr>
        <w:t>月</w:t>
      </w:r>
      <w:r>
        <w:rPr>
          <w:rFonts w:hint="eastAsia" w:eastAsia="仿宋"/>
          <w:color w:val="auto"/>
          <w:sz w:val="24"/>
          <w:szCs w:val="24"/>
          <w:highlight w:val="none"/>
          <w:lang w:val="en-US" w:eastAsia="zh-CN"/>
        </w:rPr>
        <w:t>23</w:t>
      </w:r>
      <w:r>
        <w:rPr>
          <w:rFonts w:eastAsia="仿宋"/>
          <w:color w:val="auto"/>
          <w:sz w:val="24"/>
          <w:szCs w:val="24"/>
          <w:highlight w:val="none"/>
        </w:rPr>
        <w:t>日9点00分（北京时间）</w:t>
      </w:r>
    </w:p>
    <w:p>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地点</w:t>
      </w:r>
      <w:r>
        <w:rPr>
          <w:rFonts w:eastAsia="仿宋"/>
          <w:color w:val="auto"/>
          <w:sz w:val="24"/>
          <w:szCs w:val="24"/>
          <w:highlight w:val="none"/>
        </w:rPr>
        <w:t>：</w:t>
      </w:r>
      <w:bookmarkStart w:id="44" w:name="_Toc28359084"/>
      <w:bookmarkStart w:id="45" w:name="_Toc35393794"/>
      <w:bookmarkStart w:id="46" w:name="_Toc28359007"/>
      <w:bookmarkStart w:id="47" w:name="_Toc35393625"/>
      <w:r>
        <w:rPr>
          <w:rFonts w:hint="eastAsia" w:ascii="仿宋" w:hAnsi="仿宋" w:eastAsia="仿宋" w:cs="仿宋"/>
          <w:color w:val="auto"/>
          <w:spacing w:val="-5"/>
          <w:sz w:val="24"/>
          <w:szCs w:val="24"/>
          <w:highlight w:val="none"/>
          <w:lang w:val="en-US" w:eastAsia="zh-CN"/>
        </w:rPr>
        <w:t>江西合胜合招标咨询有限公司（江西省南昌市红谷滩区红谷北大道968号绿地外滩公馆写字楼19栋406室）。届时请投标人的法定代表人或经正式授权的代表携带授权书及身份证原件出席开标大会，签到时间以递交投标文件签到时间为准。</w:t>
      </w:r>
    </w:p>
    <w:p>
      <w:pPr>
        <w:spacing w:line="500" w:lineRule="atLeast"/>
        <w:ind w:firstLine="480" w:firstLineChars="200"/>
        <w:rPr>
          <w:rFonts w:hint="eastAsia" w:eastAsia="仿宋"/>
          <w:color w:val="auto"/>
          <w:sz w:val="24"/>
          <w:szCs w:val="24"/>
          <w:highlight w:val="none"/>
          <w:lang w:val="en-US" w:eastAsia="zh-CN"/>
        </w:rPr>
      </w:pPr>
      <w:bookmarkStart w:id="48" w:name="_Toc20597"/>
      <w:bookmarkStart w:id="49" w:name="_Toc17252"/>
      <w:bookmarkStart w:id="50" w:name="_Toc214"/>
      <w:r>
        <w:rPr>
          <w:rFonts w:hint="eastAsia" w:eastAsia="仿宋"/>
          <w:color w:val="auto"/>
          <w:sz w:val="24"/>
          <w:szCs w:val="24"/>
          <w:highlight w:val="none"/>
          <w:lang w:val="en-US" w:eastAsia="zh-CN"/>
        </w:rPr>
        <w:t>09～16包</w:t>
      </w:r>
    </w:p>
    <w:p>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04</w:t>
      </w:r>
      <w:r>
        <w:rPr>
          <w:rFonts w:eastAsia="仿宋"/>
          <w:color w:val="auto"/>
          <w:sz w:val="24"/>
          <w:szCs w:val="24"/>
          <w:highlight w:val="none"/>
        </w:rPr>
        <w:t>月</w:t>
      </w:r>
      <w:r>
        <w:rPr>
          <w:rFonts w:hint="eastAsia" w:eastAsia="仿宋"/>
          <w:color w:val="auto"/>
          <w:sz w:val="24"/>
          <w:szCs w:val="24"/>
          <w:highlight w:val="none"/>
          <w:lang w:val="en-US" w:eastAsia="zh-CN"/>
        </w:rPr>
        <w:t>25</w:t>
      </w:r>
      <w:r>
        <w:rPr>
          <w:rFonts w:eastAsia="仿宋"/>
          <w:color w:val="auto"/>
          <w:sz w:val="24"/>
          <w:szCs w:val="24"/>
          <w:highlight w:val="none"/>
        </w:rPr>
        <w:t>日9点00分（北京时间）</w:t>
      </w:r>
    </w:p>
    <w:p>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地点</w:t>
      </w:r>
      <w:r>
        <w:rPr>
          <w:rFonts w:eastAsia="仿宋"/>
          <w:color w:val="auto"/>
          <w:sz w:val="24"/>
          <w:szCs w:val="24"/>
          <w:highlight w:val="none"/>
        </w:rPr>
        <w:t>：</w:t>
      </w:r>
      <w:r>
        <w:rPr>
          <w:rFonts w:hint="eastAsia" w:ascii="仿宋" w:hAnsi="仿宋" w:eastAsia="仿宋" w:cs="仿宋"/>
          <w:color w:val="auto"/>
          <w:spacing w:val="-5"/>
          <w:sz w:val="24"/>
          <w:szCs w:val="24"/>
          <w:highlight w:val="none"/>
          <w:lang w:val="en-US" w:eastAsia="zh-CN"/>
        </w:rPr>
        <w:t>江西合胜合招标咨询有限公司（江西省南昌市红谷滩区红谷北大道968号绿地外滩公馆写字楼19栋406室）。届时请投标人的法定代表人或经正式授权的代表携带授权书及身份证原件出席开标大会，签到时间以递交投标文件签到时间为准。</w:t>
      </w:r>
    </w:p>
    <w:p>
      <w:pPr>
        <w:spacing w:line="500" w:lineRule="atLeast"/>
        <w:ind w:firstLine="480" w:firstLineChars="200"/>
        <w:rPr>
          <w:rFonts w:hint="eastAsia" w:eastAsia="仿宋"/>
          <w:color w:val="auto"/>
          <w:sz w:val="24"/>
          <w:szCs w:val="24"/>
          <w:highlight w:val="none"/>
          <w:lang w:val="en-US" w:eastAsia="zh-CN"/>
        </w:rPr>
      </w:pPr>
      <w:r>
        <w:rPr>
          <w:rFonts w:hint="eastAsia" w:eastAsia="仿宋"/>
          <w:color w:val="auto"/>
          <w:sz w:val="24"/>
          <w:szCs w:val="24"/>
          <w:highlight w:val="none"/>
          <w:lang w:val="en-US" w:eastAsia="zh-CN"/>
        </w:rPr>
        <w:t>17～22包</w:t>
      </w:r>
    </w:p>
    <w:p>
      <w:pPr>
        <w:spacing w:line="500" w:lineRule="atLeast"/>
        <w:ind w:firstLine="482" w:firstLineChars="200"/>
        <w:rPr>
          <w:rFonts w:eastAsia="仿宋"/>
          <w:color w:val="auto"/>
          <w:sz w:val="24"/>
          <w:szCs w:val="24"/>
          <w:highlight w:val="none"/>
        </w:rPr>
      </w:pPr>
      <w:r>
        <w:rPr>
          <w:rFonts w:hint="eastAsia" w:eastAsia="仿宋"/>
          <w:b/>
          <w:bCs/>
          <w:color w:val="auto"/>
          <w:sz w:val="24"/>
          <w:szCs w:val="24"/>
          <w:highlight w:val="none"/>
          <w:lang w:val="en-US" w:eastAsia="zh-CN"/>
        </w:rPr>
        <w:t>投标文件截止时间、开标时间</w:t>
      </w:r>
      <w:r>
        <w:rPr>
          <w:rFonts w:hint="eastAsia" w:eastAsia="仿宋"/>
          <w:color w:val="auto"/>
          <w:sz w:val="24"/>
          <w:szCs w:val="24"/>
          <w:highlight w:val="none"/>
          <w:lang w:val="en-US" w:eastAsia="zh-CN"/>
        </w:rPr>
        <w:t>：</w:t>
      </w:r>
      <w:r>
        <w:rPr>
          <w:rFonts w:eastAsia="仿宋"/>
          <w:color w:val="auto"/>
          <w:sz w:val="24"/>
          <w:szCs w:val="24"/>
          <w:highlight w:val="none"/>
        </w:rPr>
        <w:t>202</w:t>
      </w:r>
      <w:r>
        <w:rPr>
          <w:rFonts w:hint="eastAsia" w:eastAsia="仿宋"/>
          <w:color w:val="auto"/>
          <w:sz w:val="24"/>
          <w:szCs w:val="24"/>
          <w:highlight w:val="none"/>
          <w:lang w:val="en-US" w:eastAsia="zh-CN"/>
        </w:rPr>
        <w:t>4</w:t>
      </w:r>
      <w:r>
        <w:rPr>
          <w:rFonts w:eastAsia="仿宋"/>
          <w:color w:val="auto"/>
          <w:sz w:val="24"/>
          <w:szCs w:val="24"/>
          <w:highlight w:val="none"/>
        </w:rPr>
        <w:t>年</w:t>
      </w:r>
      <w:r>
        <w:rPr>
          <w:rFonts w:hint="eastAsia" w:eastAsia="仿宋"/>
          <w:color w:val="auto"/>
          <w:sz w:val="24"/>
          <w:szCs w:val="24"/>
          <w:highlight w:val="none"/>
          <w:lang w:val="en-US" w:eastAsia="zh-CN"/>
        </w:rPr>
        <w:t>04</w:t>
      </w:r>
      <w:r>
        <w:rPr>
          <w:rFonts w:eastAsia="仿宋"/>
          <w:color w:val="auto"/>
          <w:sz w:val="24"/>
          <w:szCs w:val="24"/>
          <w:highlight w:val="none"/>
        </w:rPr>
        <w:t>月</w:t>
      </w:r>
      <w:r>
        <w:rPr>
          <w:rFonts w:hint="eastAsia" w:eastAsia="仿宋"/>
          <w:color w:val="auto"/>
          <w:sz w:val="24"/>
          <w:szCs w:val="24"/>
          <w:highlight w:val="none"/>
          <w:lang w:val="en-US" w:eastAsia="zh-CN"/>
        </w:rPr>
        <w:t>26</w:t>
      </w:r>
      <w:r>
        <w:rPr>
          <w:rFonts w:eastAsia="仿宋"/>
          <w:color w:val="auto"/>
          <w:sz w:val="24"/>
          <w:szCs w:val="24"/>
          <w:highlight w:val="none"/>
        </w:rPr>
        <w:t>日9点00分（北京时间）</w:t>
      </w:r>
    </w:p>
    <w:p>
      <w:pPr>
        <w:spacing w:line="500" w:lineRule="atLeast"/>
        <w:ind w:firstLine="482" w:firstLineChars="200"/>
        <w:rPr>
          <w:rFonts w:eastAsia="仿宋"/>
          <w:color w:val="auto"/>
          <w:sz w:val="24"/>
          <w:szCs w:val="24"/>
          <w:highlight w:val="none"/>
        </w:rPr>
      </w:pPr>
      <w:r>
        <w:rPr>
          <w:rFonts w:eastAsia="仿宋"/>
          <w:b/>
          <w:bCs/>
          <w:color w:val="auto"/>
          <w:sz w:val="24"/>
          <w:szCs w:val="24"/>
          <w:highlight w:val="none"/>
        </w:rPr>
        <w:t>地点</w:t>
      </w:r>
      <w:r>
        <w:rPr>
          <w:rFonts w:eastAsia="仿宋"/>
          <w:color w:val="auto"/>
          <w:sz w:val="24"/>
          <w:szCs w:val="24"/>
          <w:highlight w:val="none"/>
        </w:rPr>
        <w:t>：</w:t>
      </w:r>
      <w:r>
        <w:rPr>
          <w:rFonts w:hint="eastAsia" w:ascii="仿宋" w:hAnsi="仿宋" w:eastAsia="仿宋" w:cs="仿宋"/>
          <w:color w:val="auto"/>
          <w:spacing w:val="-5"/>
          <w:sz w:val="24"/>
          <w:szCs w:val="24"/>
          <w:highlight w:val="none"/>
          <w:lang w:val="en-US" w:eastAsia="zh-CN"/>
        </w:rPr>
        <w:t>江西合胜合招标咨询有限公司（江西省南昌市红谷滩区红谷北大道968号绿地外滩公馆写字楼19栋406室）。届时请投标人的法定代表人或经正式授权的代表携带授权书及身份证原件出席开标大会，签到时间以递交投标文件签到时间为准。</w:t>
      </w:r>
    </w:p>
    <w:p>
      <w:pPr>
        <w:pStyle w:val="2"/>
        <w:spacing w:before="0" w:after="0" w:line="500" w:lineRule="atLeast"/>
        <w:rPr>
          <w:rFonts w:ascii="Times New Roman" w:hAnsi="Times New Roman" w:eastAsia="仿宋"/>
          <w:b/>
          <w:bCs w:val="0"/>
          <w:color w:val="auto"/>
          <w:sz w:val="24"/>
          <w:szCs w:val="24"/>
          <w:highlight w:val="none"/>
        </w:rPr>
      </w:pPr>
      <w:bookmarkStart w:id="51" w:name="_Toc536"/>
      <w:bookmarkStart w:id="52" w:name="_Toc20097"/>
      <w:r>
        <w:rPr>
          <w:rFonts w:ascii="Times New Roman" w:hAnsi="Times New Roman" w:eastAsia="仿宋"/>
          <w:b/>
          <w:bCs w:val="0"/>
          <w:color w:val="auto"/>
          <w:sz w:val="24"/>
          <w:szCs w:val="24"/>
          <w:highlight w:val="none"/>
        </w:rPr>
        <w:t>五、公告期限</w:t>
      </w:r>
      <w:bookmarkEnd w:id="44"/>
      <w:bookmarkEnd w:id="45"/>
      <w:bookmarkEnd w:id="46"/>
      <w:bookmarkEnd w:id="47"/>
      <w:bookmarkEnd w:id="48"/>
      <w:bookmarkEnd w:id="49"/>
      <w:bookmarkEnd w:id="50"/>
      <w:bookmarkEnd w:id="51"/>
      <w:bookmarkEnd w:id="52"/>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自本公告发布之日起5个工作日。</w:t>
      </w:r>
    </w:p>
    <w:p>
      <w:pPr>
        <w:pStyle w:val="2"/>
        <w:spacing w:before="0" w:after="0" w:line="500" w:lineRule="atLeast"/>
        <w:rPr>
          <w:rFonts w:ascii="Times New Roman" w:hAnsi="Times New Roman" w:eastAsia="仿宋"/>
          <w:b/>
          <w:bCs w:val="0"/>
          <w:color w:val="auto"/>
          <w:sz w:val="24"/>
          <w:szCs w:val="24"/>
          <w:highlight w:val="none"/>
        </w:rPr>
      </w:pPr>
      <w:bookmarkStart w:id="53" w:name="_Toc28333"/>
      <w:bookmarkStart w:id="54" w:name="_Toc35393626"/>
      <w:bookmarkStart w:id="55" w:name="_Toc35393795"/>
      <w:bookmarkStart w:id="56" w:name="_Toc24855"/>
      <w:bookmarkStart w:id="57" w:name="_Toc983"/>
      <w:bookmarkStart w:id="58" w:name="_Toc23719"/>
      <w:bookmarkStart w:id="59" w:name="_Toc7839"/>
      <w:r>
        <w:rPr>
          <w:rFonts w:ascii="Times New Roman" w:hAnsi="Times New Roman" w:eastAsia="仿宋"/>
          <w:b/>
          <w:bCs w:val="0"/>
          <w:color w:val="auto"/>
          <w:sz w:val="24"/>
          <w:szCs w:val="24"/>
          <w:highlight w:val="none"/>
        </w:rPr>
        <w:t>六、其他补充事宜</w:t>
      </w:r>
      <w:bookmarkEnd w:id="53"/>
      <w:bookmarkEnd w:id="54"/>
      <w:bookmarkEnd w:id="55"/>
      <w:bookmarkEnd w:id="56"/>
      <w:bookmarkEnd w:id="57"/>
      <w:bookmarkEnd w:id="58"/>
      <w:bookmarkEnd w:id="59"/>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bookmarkStart w:id="60" w:name="_Toc35393627"/>
      <w:bookmarkStart w:id="61" w:name="_Toc35393796"/>
      <w:bookmarkStart w:id="62" w:name="_Toc28359085"/>
      <w:bookmarkStart w:id="63" w:name="_Toc21359"/>
      <w:bookmarkStart w:id="64" w:name="_Toc22438"/>
      <w:bookmarkStart w:id="65" w:name="_Toc4454"/>
      <w:bookmarkStart w:id="66" w:name="_Toc26722"/>
      <w:bookmarkStart w:id="67" w:name="_Toc28359008"/>
      <w:r>
        <w:rPr>
          <w:rFonts w:hint="eastAsia" w:ascii="仿宋" w:hAnsi="仿宋" w:eastAsia="仿宋" w:cs="仿宋"/>
          <w:color w:val="auto"/>
          <w:spacing w:val="-1"/>
          <w:sz w:val="24"/>
          <w:szCs w:val="24"/>
          <w:highlight w:val="none"/>
          <w:lang w:val="en-US" w:eastAsia="zh-CN"/>
        </w:rPr>
        <w:t>1.</w:t>
      </w:r>
      <w:r>
        <w:rPr>
          <w:rFonts w:hint="eastAsia" w:ascii="仿宋" w:hAnsi="仿宋" w:eastAsia="仿宋" w:cs="仿宋"/>
          <w:snapToGrid w:val="0"/>
          <w:color w:val="auto"/>
          <w:spacing w:val="-1"/>
          <w:sz w:val="24"/>
          <w:szCs w:val="24"/>
          <w:highlight w:val="none"/>
          <w:lang w:val="en-US" w:eastAsia="zh-CN" w:bidi="ar-SA"/>
        </w:rPr>
        <w:t>投标保证金应于开标截止时间之前递交，缴纳方式、户名、开户行、账号及金额具体要求详见本项目招标文件。</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2.本项目采购代理服务费向中标人收取，具体缴纳方式及收费标准详见招标文件。</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440" w:lineRule="exact"/>
        <w:ind w:firstLine="476" w:firstLineChars="200"/>
        <w:textAlignment w:val="baseline"/>
        <w:rPr>
          <w:rFonts w:hint="eastAsia" w:ascii="仿宋" w:hAnsi="仿宋" w:eastAsia="仿宋" w:cs="仿宋"/>
          <w:snapToGrid w:val="0"/>
          <w:color w:val="auto"/>
          <w:spacing w:val="-1"/>
          <w:sz w:val="24"/>
          <w:szCs w:val="24"/>
          <w:highlight w:val="none"/>
          <w:lang w:val="en-US" w:eastAsia="zh-CN" w:bidi="ar-SA"/>
        </w:rPr>
      </w:pPr>
      <w:r>
        <w:rPr>
          <w:rFonts w:hint="eastAsia" w:ascii="仿宋" w:hAnsi="仿宋" w:eastAsia="仿宋" w:cs="仿宋"/>
          <w:snapToGrid w:val="0"/>
          <w:color w:val="auto"/>
          <w:spacing w:val="-1"/>
          <w:sz w:val="24"/>
          <w:szCs w:val="24"/>
          <w:highlight w:val="none"/>
          <w:lang w:val="en-US" w:eastAsia="zh-CN" w:bidi="ar-SA"/>
        </w:rPr>
        <w:t>3.落实的政府采购优惠政策及相关法律法规情况等：本项目将落实相关政府采购优惠政策。</w:t>
      </w:r>
    </w:p>
    <w:p>
      <w:pPr>
        <w:pStyle w:val="2"/>
        <w:spacing w:before="0" w:after="0" w:line="500" w:lineRule="atLeast"/>
        <w:rPr>
          <w:rFonts w:ascii="Times New Roman" w:hAnsi="Times New Roman" w:eastAsia="仿宋"/>
          <w:b/>
          <w:bCs w:val="0"/>
          <w:color w:val="auto"/>
          <w:sz w:val="24"/>
          <w:szCs w:val="24"/>
          <w:highlight w:val="none"/>
        </w:rPr>
      </w:pPr>
      <w:bookmarkStart w:id="68" w:name="_Toc26258"/>
      <w:r>
        <w:rPr>
          <w:rFonts w:ascii="Times New Roman" w:hAnsi="Times New Roman" w:eastAsia="仿宋"/>
          <w:b/>
          <w:bCs w:val="0"/>
          <w:color w:val="auto"/>
          <w:sz w:val="24"/>
          <w:szCs w:val="24"/>
          <w:highlight w:val="none"/>
        </w:rPr>
        <w:t>七、对本次招标提出询问，请按以下方式联系</w:t>
      </w:r>
      <w:bookmarkEnd w:id="60"/>
      <w:bookmarkEnd w:id="61"/>
      <w:bookmarkEnd w:id="62"/>
      <w:bookmarkEnd w:id="63"/>
      <w:bookmarkEnd w:id="64"/>
      <w:bookmarkEnd w:id="65"/>
      <w:bookmarkEnd w:id="66"/>
      <w:bookmarkEnd w:id="67"/>
      <w:bookmarkEnd w:id="68"/>
    </w:p>
    <w:p>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1.采购人信息</w:t>
      </w:r>
    </w:p>
    <w:p>
      <w:pPr>
        <w:spacing w:line="500" w:lineRule="atLeast"/>
        <w:ind w:firstLine="480" w:firstLineChars="200"/>
        <w:rPr>
          <w:rFonts w:eastAsia="仿宋"/>
          <w:bCs/>
          <w:color w:val="auto"/>
          <w:sz w:val="24"/>
          <w:szCs w:val="24"/>
          <w:highlight w:val="none"/>
        </w:rPr>
      </w:pPr>
      <w:r>
        <w:rPr>
          <w:rFonts w:eastAsia="仿宋"/>
          <w:color w:val="auto"/>
          <w:sz w:val="24"/>
          <w:szCs w:val="24"/>
          <w:highlight w:val="none"/>
        </w:rPr>
        <w:t>名称：</w:t>
      </w:r>
      <w:bookmarkStart w:id="69" w:name="_Toc28359009"/>
      <w:bookmarkStart w:id="70" w:name="_Toc28359086"/>
      <w:r>
        <w:rPr>
          <w:rFonts w:eastAsia="仿宋"/>
          <w:bCs/>
          <w:color w:val="auto"/>
          <w:sz w:val="24"/>
          <w:szCs w:val="24"/>
          <w:highlight w:val="none"/>
        </w:rPr>
        <w:t>江西省消防救援总队</w:t>
      </w:r>
    </w:p>
    <w:p>
      <w:pPr>
        <w:spacing w:line="500" w:lineRule="atLeast"/>
        <w:ind w:firstLine="480" w:firstLineChars="200"/>
        <w:rPr>
          <w:rFonts w:eastAsia="仿宋"/>
          <w:bCs/>
          <w:color w:val="auto"/>
          <w:sz w:val="24"/>
          <w:szCs w:val="24"/>
          <w:highlight w:val="none"/>
        </w:rPr>
      </w:pPr>
      <w:r>
        <w:rPr>
          <w:rFonts w:eastAsia="仿宋"/>
          <w:bCs/>
          <w:color w:val="auto"/>
          <w:sz w:val="24"/>
          <w:szCs w:val="24"/>
          <w:highlight w:val="none"/>
        </w:rPr>
        <w:t>地址：江西省南昌市西湖区洪城路966号</w:t>
      </w:r>
    </w:p>
    <w:p>
      <w:pPr>
        <w:spacing w:line="500" w:lineRule="atLeast"/>
        <w:ind w:firstLine="480" w:firstLineChars="200"/>
        <w:rPr>
          <w:rFonts w:eastAsia="仿宋"/>
          <w:color w:val="auto"/>
          <w:sz w:val="24"/>
          <w:szCs w:val="24"/>
          <w:highlight w:val="none"/>
        </w:rPr>
      </w:pPr>
      <w:r>
        <w:rPr>
          <w:rFonts w:eastAsia="仿宋"/>
          <w:bCs/>
          <w:color w:val="auto"/>
          <w:sz w:val="24"/>
          <w:szCs w:val="24"/>
          <w:highlight w:val="none"/>
        </w:rPr>
        <w:t>联系方式：0791-86558420</w:t>
      </w:r>
    </w:p>
    <w:p>
      <w:pPr>
        <w:spacing w:line="500" w:lineRule="atLeast"/>
        <w:ind w:left="300" w:hanging="300" w:hangingChars="125"/>
        <w:jc w:val="left"/>
        <w:rPr>
          <w:rFonts w:eastAsia="仿宋"/>
          <w:color w:val="auto"/>
          <w:sz w:val="24"/>
          <w:szCs w:val="24"/>
          <w:highlight w:val="none"/>
        </w:rPr>
      </w:pPr>
      <w:r>
        <w:rPr>
          <w:rFonts w:eastAsia="仿宋"/>
          <w:color w:val="auto"/>
          <w:sz w:val="24"/>
          <w:szCs w:val="24"/>
          <w:highlight w:val="none"/>
        </w:rPr>
        <w:t>2.采购代理机构信息</w:t>
      </w:r>
      <w:bookmarkEnd w:id="69"/>
      <w:bookmarkEnd w:id="70"/>
    </w:p>
    <w:p>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名称：</w:t>
      </w:r>
      <w:r>
        <w:rPr>
          <w:rFonts w:hint="eastAsia" w:eastAsia="仿宋"/>
          <w:color w:val="auto"/>
          <w:sz w:val="24"/>
          <w:szCs w:val="24"/>
          <w:highlight w:val="none"/>
          <w:lang w:eastAsia="zh-CN"/>
        </w:rPr>
        <w:t>江西合胜合招标咨询有限公司</w:t>
      </w:r>
    </w:p>
    <w:p>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地址：</w:t>
      </w:r>
      <w:r>
        <w:rPr>
          <w:rFonts w:hint="eastAsia" w:eastAsia="仿宋"/>
          <w:color w:val="auto"/>
          <w:sz w:val="24"/>
          <w:szCs w:val="24"/>
          <w:highlight w:val="none"/>
          <w:lang w:eastAsia="zh-CN"/>
        </w:rPr>
        <w:t>江西省南昌市红谷滩区红谷北大道968号绿地外滩公馆写字楼19栋406室</w:t>
      </w:r>
    </w:p>
    <w:p>
      <w:pPr>
        <w:spacing w:line="500" w:lineRule="atLeast"/>
        <w:ind w:firstLine="480" w:firstLineChars="200"/>
        <w:rPr>
          <w:rFonts w:hint="eastAsia" w:eastAsia="仿宋"/>
          <w:color w:val="auto"/>
          <w:sz w:val="24"/>
          <w:szCs w:val="24"/>
          <w:highlight w:val="none"/>
          <w:lang w:eastAsia="zh-CN"/>
        </w:rPr>
      </w:pPr>
      <w:bookmarkStart w:id="71" w:name="_Toc28359087"/>
      <w:bookmarkStart w:id="72" w:name="_Toc28359010"/>
      <w:r>
        <w:rPr>
          <w:rFonts w:eastAsia="仿宋"/>
          <w:color w:val="auto"/>
          <w:sz w:val="24"/>
          <w:szCs w:val="24"/>
          <w:highlight w:val="none"/>
        </w:rPr>
        <w:t>电子函件：</w:t>
      </w:r>
      <w:r>
        <w:rPr>
          <w:rFonts w:hint="eastAsia" w:eastAsia="仿宋"/>
          <w:color w:val="auto"/>
          <w:sz w:val="24"/>
          <w:szCs w:val="24"/>
          <w:highlight w:val="none"/>
          <w:lang w:eastAsia="zh-CN"/>
        </w:rPr>
        <w:t>jxhsh0791@163.com</w:t>
      </w:r>
    </w:p>
    <w:p>
      <w:pPr>
        <w:spacing w:line="500" w:lineRule="atLeast"/>
        <w:ind w:left="300" w:hanging="300" w:hangingChars="125"/>
        <w:jc w:val="left"/>
        <w:rPr>
          <w:rFonts w:eastAsia="仿宋"/>
          <w:color w:val="auto"/>
          <w:sz w:val="24"/>
          <w:szCs w:val="24"/>
          <w:highlight w:val="none"/>
          <w:u w:val="single"/>
        </w:rPr>
      </w:pPr>
      <w:r>
        <w:rPr>
          <w:rFonts w:eastAsia="仿宋"/>
          <w:color w:val="auto"/>
          <w:sz w:val="24"/>
          <w:szCs w:val="24"/>
          <w:highlight w:val="none"/>
        </w:rPr>
        <w:t>3.项目联系方式</w:t>
      </w:r>
      <w:bookmarkEnd w:id="71"/>
      <w:bookmarkEnd w:id="72"/>
    </w:p>
    <w:p>
      <w:pPr>
        <w:spacing w:line="500" w:lineRule="atLeast"/>
        <w:ind w:firstLine="480" w:firstLineChars="200"/>
        <w:rPr>
          <w:rFonts w:eastAsia="仿宋"/>
          <w:color w:val="auto"/>
          <w:sz w:val="24"/>
          <w:szCs w:val="24"/>
          <w:highlight w:val="none"/>
        </w:rPr>
      </w:pPr>
      <w:r>
        <w:rPr>
          <w:rFonts w:eastAsia="仿宋"/>
          <w:color w:val="auto"/>
          <w:sz w:val="24"/>
          <w:szCs w:val="24"/>
          <w:highlight w:val="none"/>
        </w:rPr>
        <w:t>项目联系人：</w:t>
      </w:r>
      <w:r>
        <w:rPr>
          <w:rFonts w:hint="eastAsia" w:eastAsia="仿宋"/>
          <w:color w:val="auto"/>
          <w:sz w:val="24"/>
          <w:szCs w:val="24"/>
          <w:highlight w:val="none"/>
          <w:lang w:eastAsia="zh-CN"/>
        </w:rPr>
        <w:t>姜梅、聂亮、范丹萍、司马力、吴兴斌</w:t>
      </w:r>
    </w:p>
    <w:p>
      <w:pPr>
        <w:spacing w:line="500" w:lineRule="atLeast"/>
        <w:ind w:firstLine="480" w:firstLineChars="200"/>
        <w:rPr>
          <w:rFonts w:hint="eastAsia" w:eastAsia="仿宋"/>
          <w:color w:val="auto"/>
          <w:sz w:val="24"/>
          <w:szCs w:val="24"/>
          <w:highlight w:val="none"/>
          <w:lang w:eastAsia="zh-CN"/>
        </w:rPr>
      </w:pPr>
      <w:r>
        <w:rPr>
          <w:rFonts w:eastAsia="仿宋"/>
          <w:color w:val="auto"/>
          <w:sz w:val="24"/>
          <w:szCs w:val="24"/>
          <w:highlight w:val="none"/>
        </w:rPr>
        <w:t>电话：</w:t>
      </w:r>
      <w:r>
        <w:rPr>
          <w:rFonts w:hint="eastAsia" w:eastAsia="仿宋"/>
          <w:color w:val="auto"/>
          <w:sz w:val="24"/>
          <w:szCs w:val="24"/>
          <w:highlight w:val="none"/>
          <w:lang w:eastAsia="zh-CN"/>
        </w:rPr>
        <w:t>0791-83978376</w:t>
      </w:r>
    </w:p>
    <w:p>
      <w:pPr>
        <w:spacing w:line="500" w:lineRule="atLeast"/>
        <w:ind w:left="300" w:hanging="300" w:hangingChars="125"/>
        <w:jc w:val="left"/>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4.信息发布媒体：</w:t>
      </w:r>
    </w:p>
    <w:p>
      <w:pPr>
        <w:spacing w:line="500" w:lineRule="atLeast"/>
        <w:ind w:firstLine="480" w:firstLineChars="200"/>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中国政府采购网（http://www.ccgp.gov.cn/）</w:t>
      </w:r>
    </w:p>
    <w:p>
      <w:pPr>
        <w:keepNext w:val="0"/>
        <w:keepLines w:val="0"/>
        <w:pageBreakBefore w:val="0"/>
        <w:widowControl w:val="0"/>
        <w:kinsoku w:val="0"/>
        <w:wordWrap/>
        <w:overflowPunct/>
        <w:topLinePunct w:val="0"/>
        <w:autoSpaceDE w:val="0"/>
        <w:autoSpaceDN w:val="0"/>
        <w:bidi w:val="0"/>
        <w:adjustRightInd w:val="0"/>
        <w:snapToGrid w:val="0"/>
        <w:spacing w:line="440" w:lineRule="exact"/>
        <w:ind w:left="0" w:firstLine="678" w:firstLineChars="300"/>
        <w:textAlignment w:val="baseline"/>
        <w:rPr>
          <w:rFonts w:hint="eastAsia" w:ascii="仿宋" w:hAnsi="仿宋" w:eastAsia="仿宋" w:cs="仿宋"/>
          <w:color w:val="auto"/>
          <w:spacing w:val="-7"/>
          <w:position w:val="0"/>
          <w:sz w:val="24"/>
          <w:szCs w:val="24"/>
          <w:highlight w:val="none"/>
          <w:lang w:val="en-US" w:eastAsia="zh-CN"/>
        </w:rPr>
      </w:pPr>
    </w:p>
    <w:p>
      <w:pPr>
        <w:tabs>
          <w:tab w:val="left" w:pos="735"/>
          <w:tab w:val="left" w:pos="1418"/>
        </w:tabs>
        <w:spacing w:line="46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温馨提示：因上班高峰期间交通拥堵，请投标人尽量准备充足时间提前出行。</w:t>
      </w:r>
    </w:p>
    <w:p>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（1）停车：可以停放到写字楼地下停车场或地面停车位。</w:t>
      </w:r>
    </w:p>
    <w:p>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（2）公共交通：地铁1号长江路站1号出站口、公交666路、506路、260路、50路、252路长江路地铁站。</w:t>
      </w:r>
    </w:p>
    <w:p>
      <w:pPr>
        <w:tabs>
          <w:tab w:val="left" w:pos="735"/>
          <w:tab w:val="left" w:pos="1418"/>
        </w:tabs>
        <w:spacing w:line="460" w:lineRule="exact"/>
        <w:ind w:firstLine="840" w:firstLineChars="350"/>
        <w:rPr>
          <w:rFonts w:hint="eastAsia" w:ascii="仿宋" w:hAnsi="仿宋" w:eastAsia="仿宋" w:cs="宋体"/>
          <w:color w:val="auto"/>
          <w:sz w:val="24"/>
          <w:highlight w:val="none"/>
        </w:rPr>
      </w:pPr>
      <w:r>
        <w:rPr>
          <w:rFonts w:hint="eastAsia" w:ascii="仿宋" w:hAnsi="仿宋" w:eastAsia="仿宋" w:cs="宋体"/>
          <w:color w:val="auto"/>
          <w:sz w:val="24"/>
          <w:highlight w:val="none"/>
        </w:rPr>
        <w:t>（3）住宿餐饮：附近宾馆和餐馆众多。</w:t>
      </w:r>
    </w:p>
    <w:p>
      <w:pPr>
        <w:tabs>
          <w:tab w:val="left" w:pos="735"/>
          <w:tab w:val="left" w:pos="1418"/>
        </w:tabs>
        <w:spacing w:line="460" w:lineRule="exact"/>
        <w:ind w:firstLine="840" w:firstLineChars="350"/>
        <w:rPr>
          <w:rFonts w:ascii="仿宋" w:hAnsi="仿宋" w:eastAsia="仿宋" w:cs="宋体"/>
          <w:color w:val="auto"/>
          <w:sz w:val="24"/>
          <w:highlight w:val="none"/>
        </w:rPr>
      </w:pPr>
      <w:r>
        <w:rPr>
          <w:rFonts w:hint="eastAsia" w:ascii="仿宋" w:hAnsi="仿宋" w:eastAsia="仿宋" w:cs="宋体"/>
          <w:color w:val="auto"/>
          <w:sz w:val="24"/>
          <w:highlight w:val="none"/>
        </w:rPr>
        <w:t>（4）写字楼门口有共享单车、助力车停放点，车源充足。</w:t>
      </w:r>
    </w:p>
    <w:p>
      <w:pPr>
        <w:spacing w:line="500" w:lineRule="atLeast"/>
        <w:ind w:firstLine="480" w:firstLineChars="200"/>
        <w:rPr>
          <w:rFonts w:hint="eastAsia" w:eastAsia="仿宋"/>
          <w:color w:val="auto"/>
          <w:sz w:val="24"/>
          <w:szCs w:val="24"/>
          <w:highlight w:val="none"/>
          <w:lang w:eastAsia="zh-CN"/>
        </w:rPr>
      </w:pPr>
    </w:p>
    <w:p>
      <w:pPr>
        <w:spacing w:line="500" w:lineRule="atLeast"/>
        <w:rPr>
          <w:rFonts w:eastAsiaTheme="minorEastAsia"/>
          <w:color w:val="auto"/>
          <w:sz w:val="24"/>
          <w:szCs w:val="24"/>
          <w:highlight w:val="none"/>
        </w:rPr>
        <w:sectPr>
          <w:headerReference r:id="rId7" w:type="default"/>
          <w:footerReference r:id="rId8" w:type="default"/>
          <w:pgSz w:w="11906" w:h="16838"/>
          <w:pgMar w:top="1247" w:right="1417" w:bottom="1702" w:left="1417" w:header="851" w:footer="992" w:gutter="0"/>
          <w:pgNumType w:fmt="decimal"/>
          <w:cols w:space="720" w:num="1"/>
          <w:docGrid w:linePitch="312" w:charSpace="0"/>
        </w:sectPr>
      </w:pPr>
    </w:p>
    <w:p>
      <w:pPr>
        <w:pStyle w:val="3"/>
        <w:spacing w:line="360" w:lineRule="auto"/>
        <w:jc w:val="center"/>
        <w:rPr>
          <w:rFonts w:ascii="Times New Roman" w:eastAsia="仿宋"/>
          <w:color w:val="auto"/>
          <w:szCs w:val="44"/>
          <w:highlight w:val="none"/>
        </w:rPr>
      </w:pPr>
      <w:bookmarkStart w:id="73" w:name="_Toc12464"/>
      <w:bookmarkStart w:id="74" w:name="_Toc111018932"/>
      <w:bookmarkStart w:id="75" w:name="_Toc30068"/>
      <w:bookmarkStart w:id="76" w:name="_Toc7129"/>
      <w:bookmarkStart w:id="77" w:name="_Toc22039"/>
      <w:bookmarkStart w:id="78" w:name="_Toc26"/>
      <w:bookmarkStart w:id="79" w:name="_Toc262628248"/>
      <w:bookmarkStart w:id="80" w:name="_Toc286758337"/>
      <w:r>
        <w:rPr>
          <w:rFonts w:ascii="Times New Roman" w:eastAsia="仿宋"/>
          <w:b/>
          <w:color w:val="auto"/>
          <w:sz w:val="40"/>
          <w:highlight w:val="none"/>
        </w:rPr>
        <w:t>第二章</w:t>
      </w:r>
      <w:bookmarkStart w:id="81" w:name="_Toc400631634"/>
      <w:bookmarkEnd w:id="81"/>
      <w:r>
        <w:rPr>
          <w:rFonts w:ascii="Times New Roman" w:eastAsia="仿宋"/>
          <w:b/>
          <w:color w:val="auto"/>
          <w:sz w:val="40"/>
          <w:highlight w:val="none"/>
        </w:rPr>
        <w:t xml:space="preserve"> 投标人须知</w:t>
      </w:r>
      <w:bookmarkEnd w:id="73"/>
      <w:bookmarkEnd w:id="74"/>
      <w:bookmarkEnd w:id="75"/>
      <w:bookmarkEnd w:id="76"/>
      <w:bookmarkEnd w:id="77"/>
      <w:bookmarkEnd w:id="78"/>
    </w:p>
    <w:tbl>
      <w:tblPr>
        <w:tblStyle w:val="43"/>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84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jc w:val="center"/>
        </w:trPr>
        <w:tc>
          <w:tcPr>
            <w:tcW w:w="9287" w:type="dxa"/>
            <w:gridSpan w:val="2"/>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投标人须知前附表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jc w:val="center"/>
        </w:trPr>
        <w:tc>
          <w:tcPr>
            <w:tcW w:w="793" w:type="dxa"/>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序号</w:t>
            </w:r>
          </w:p>
        </w:tc>
        <w:tc>
          <w:tcPr>
            <w:tcW w:w="8494" w:type="dxa"/>
            <w:vAlign w:val="center"/>
          </w:tcPr>
          <w:p>
            <w:pPr>
              <w:spacing w:line="460" w:lineRule="exact"/>
              <w:jc w:val="center"/>
              <w:rPr>
                <w:rFonts w:eastAsia="仿宋"/>
                <w:b/>
                <w:color w:val="auto"/>
                <w:sz w:val="24"/>
                <w:szCs w:val="22"/>
                <w:highlight w:val="none"/>
              </w:rPr>
            </w:pPr>
            <w:r>
              <w:rPr>
                <w:rFonts w:eastAsia="仿宋"/>
                <w:b/>
                <w:color w:val="auto"/>
                <w:sz w:val="24"/>
                <w:szCs w:val="22"/>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8494" w:type="dxa"/>
            <w:vAlign w:val="center"/>
          </w:tcPr>
          <w:p>
            <w:pPr>
              <w:spacing w:line="460" w:lineRule="exact"/>
              <w:rPr>
                <w:rFonts w:hint="eastAsia" w:eastAsia="仿宋"/>
                <w:color w:val="auto"/>
                <w:sz w:val="24"/>
                <w:szCs w:val="22"/>
                <w:highlight w:val="none"/>
                <w:lang w:eastAsia="zh-CN"/>
              </w:rPr>
            </w:pPr>
            <w:r>
              <w:rPr>
                <w:rFonts w:eastAsia="仿宋"/>
                <w:b/>
                <w:color w:val="auto"/>
                <w:sz w:val="24"/>
                <w:szCs w:val="22"/>
                <w:highlight w:val="none"/>
              </w:rPr>
              <w:t>项目名称：</w:t>
            </w:r>
            <w:r>
              <w:rPr>
                <w:rFonts w:hint="eastAsia" w:eastAsia="仿宋"/>
                <w:color w:val="auto"/>
                <w:sz w:val="24"/>
                <w:szCs w:val="24"/>
                <w:highlight w:val="none"/>
                <w:lang w:eastAsia="zh-CN"/>
              </w:rPr>
              <w:t>江西省消防救援总队自然灾害应急能力提升工程装备配备项目（车辆类）</w:t>
            </w:r>
          </w:p>
          <w:p>
            <w:pPr>
              <w:spacing w:line="460" w:lineRule="exact"/>
              <w:rPr>
                <w:rFonts w:hint="eastAsia" w:eastAsia="仿宋"/>
                <w:color w:val="auto"/>
                <w:sz w:val="24"/>
                <w:szCs w:val="24"/>
                <w:highlight w:val="none"/>
                <w:lang w:eastAsia="zh-CN"/>
              </w:rPr>
            </w:pPr>
            <w:r>
              <w:rPr>
                <w:rFonts w:eastAsia="仿宋"/>
                <w:b/>
                <w:color w:val="auto"/>
                <w:sz w:val="24"/>
                <w:szCs w:val="22"/>
                <w:highlight w:val="none"/>
              </w:rPr>
              <w:t>项目编号：</w:t>
            </w:r>
            <w:r>
              <w:rPr>
                <w:rFonts w:hint="eastAsia" w:eastAsia="仿宋"/>
                <w:color w:val="auto"/>
                <w:sz w:val="24"/>
                <w:szCs w:val="24"/>
                <w:highlight w:val="none"/>
                <w:lang w:eastAsia="zh-CN"/>
              </w:rPr>
              <w:t>HSH2024ZG015</w:t>
            </w:r>
          </w:p>
          <w:p>
            <w:pPr>
              <w:spacing w:line="460" w:lineRule="exact"/>
              <w:rPr>
                <w:rFonts w:hint="default" w:eastAsia="仿宋"/>
                <w:b w:val="0"/>
                <w:bCs/>
                <w:color w:val="auto"/>
                <w:sz w:val="24"/>
                <w:szCs w:val="22"/>
                <w:highlight w:val="none"/>
                <w:lang w:val="en-US" w:eastAsia="zh-CN"/>
              </w:rPr>
            </w:pPr>
            <w:r>
              <w:rPr>
                <w:rFonts w:hint="eastAsia" w:eastAsia="仿宋"/>
                <w:b/>
                <w:color w:val="auto"/>
                <w:sz w:val="24"/>
                <w:szCs w:val="22"/>
                <w:highlight w:val="none"/>
                <w:lang w:val="en-US" w:eastAsia="zh-CN"/>
              </w:rPr>
              <w:t>包号：</w:t>
            </w:r>
            <w:r>
              <w:rPr>
                <w:rFonts w:hint="eastAsia" w:eastAsia="仿宋"/>
                <w:b w:val="0"/>
                <w:bCs/>
                <w:color w:val="auto"/>
                <w:sz w:val="24"/>
                <w:szCs w:val="22"/>
                <w:highlight w:val="none"/>
                <w:lang w:val="en-US" w:eastAsia="zh-CN"/>
              </w:rPr>
              <w:t>01包-22包</w:t>
            </w:r>
          </w:p>
          <w:p>
            <w:pPr>
              <w:spacing w:line="460" w:lineRule="exact"/>
              <w:rPr>
                <w:rFonts w:eastAsia="仿宋"/>
                <w:color w:val="auto"/>
                <w:sz w:val="24"/>
                <w:szCs w:val="22"/>
                <w:highlight w:val="none"/>
              </w:rPr>
            </w:pPr>
            <w:r>
              <w:rPr>
                <w:rFonts w:eastAsia="仿宋"/>
                <w:b/>
                <w:color w:val="auto"/>
                <w:sz w:val="24"/>
                <w:szCs w:val="22"/>
                <w:highlight w:val="none"/>
              </w:rPr>
              <w:t>项目属性：</w:t>
            </w:r>
            <w:r>
              <w:rPr>
                <w:rFonts w:eastAsia="仿宋"/>
                <w:color w:val="auto"/>
                <w:sz w:val="24"/>
                <w:szCs w:val="22"/>
                <w:highlight w:val="none"/>
              </w:rPr>
              <w:t>货物类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2</w:t>
            </w:r>
          </w:p>
        </w:tc>
        <w:tc>
          <w:tcPr>
            <w:tcW w:w="8494" w:type="dxa"/>
            <w:vAlign w:val="center"/>
          </w:tcPr>
          <w:p>
            <w:pPr>
              <w:widowControl/>
              <w:spacing w:line="460" w:lineRule="exact"/>
              <w:jc w:val="left"/>
              <w:rPr>
                <w:rFonts w:eastAsia="仿宋"/>
                <w:bCs/>
                <w:color w:val="auto"/>
                <w:sz w:val="24"/>
                <w:szCs w:val="22"/>
                <w:highlight w:val="none"/>
              </w:rPr>
            </w:pPr>
            <w:r>
              <w:rPr>
                <w:rFonts w:eastAsia="仿宋"/>
                <w:color w:val="auto"/>
                <w:sz w:val="24"/>
                <w:szCs w:val="22"/>
                <w:highlight w:val="none"/>
              </w:rPr>
              <w:t>本次采购为国产产品，不允许提供进口产品参与采购活动，提供进口产品参与采购活动的视为无效投标。</w:t>
            </w:r>
          </w:p>
          <w:p>
            <w:pPr>
              <w:pStyle w:val="70"/>
              <w:autoSpaceDE w:val="0"/>
              <w:autoSpaceDN w:val="0"/>
              <w:spacing w:line="460" w:lineRule="exact"/>
              <w:ind w:left="-109" w:leftChars="-52" w:firstLine="0" w:firstLineChars="0"/>
              <w:rPr>
                <w:rFonts w:eastAsia="仿宋"/>
                <w:color w:val="auto"/>
                <w:sz w:val="24"/>
                <w:szCs w:val="24"/>
                <w:highlight w:val="none"/>
              </w:rPr>
            </w:pPr>
            <w:r>
              <w:rPr>
                <w:rFonts w:eastAsia="仿宋"/>
                <w:b/>
                <w:color w:val="auto"/>
                <w:sz w:val="24"/>
                <w:szCs w:val="24"/>
                <w:highlight w:val="none"/>
              </w:rPr>
              <w:t>注：关于关境和海关特殊监管区域产品认定</w:t>
            </w:r>
            <w:r>
              <w:rPr>
                <w:rFonts w:hint="eastAsia" w:eastAsia="仿宋"/>
                <w:b/>
                <w:color w:val="auto"/>
                <w:sz w:val="24"/>
                <w:szCs w:val="24"/>
                <w:highlight w:val="none"/>
                <w:lang w:eastAsia="zh-CN"/>
              </w:rPr>
              <w:t>“</w:t>
            </w:r>
            <w:r>
              <w:rPr>
                <w:rFonts w:eastAsia="仿宋"/>
                <w:b/>
                <w:color w:val="auto"/>
                <w:sz w:val="24"/>
                <w:szCs w:val="24"/>
                <w:highlight w:val="none"/>
              </w:rPr>
              <w:t>根据《中华人民共和国海关法》</w:t>
            </w:r>
            <w:r>
              <w:rPr>
                <w:rFonts w:hint="eastAsia" w:eastAsia="仿宋"/>
                <w:b/>
                <w:color w:val="auto"/>
                <w:sz w:val="24"/>
                <w:szCs w:val="24"/>
                <w:highlight w:val="none"/>
                <w:lang w:eastAsia="zh-CN"/>
              </w:rPr>
              <w:t>（</w:t>
            </w:r>
            <w:r>
              <w:rPr>
                <w:rFonts w:eastAsia="仿宋"/>
                <w:b/>
                <w:color w:val="auto"/>
                <w:sz w:val="24"/>
                <w:szCs w:val="24"/>
                <w:highlight w:val="none"/>
              </w:rPr>
              <w:t>以下简称海关法</w:t>
            </w:r>
            <w:r>
              <w:rPr>
                <w:rFonts w:hint="eastAsia" w:eastAsia="仿宋"/>
                <w:b/>
                <w:color w:val="auto"/>
                <w:sz w:val="24"/>
                <w:szCs w:val="24"/>
                <w:highlight w:val="none"/>
                <w:lang w:eastAsia="zh-CN"/>
              </w:rPr>
              <w:t>）</w:t>
            </w:r>
            <w:r>
              <w:rPr>
                <w:rFonts w:eastAsia="仿宋"/>
                <w:b/>
                <w:color w:val="auto"/>
                <w:sz w:val="24"/>
                <w:szCs w:val="24"/>
                <w:highlight w:val="none"/>
              </w:rPr>
              <w:t>的规定，我国现行关境是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这些区域仅在关税待遇及贸易管制方面实施不同于我国关境内其他地区的特殊政策，但仍属于中华人民共和国关境内区域，由海关按照海关法实施监管。因此，凡在海关特殊监管区域内企业生产或加工</w:t>
            </w:r>
            <w:r>
              <w:rPr>
                <w:rFonts w:hint="eastAsia" w:eastAsia="仿宋"/>
                <w:b/>
                <w:color w:val="auto"/>
                <w:sz w:val="24"/>
                <w:szCs w:val="24"/>
                <w:highlight w:val="none"/>
                <w:lang w:eastAsia="zh-CN"/>
              </w:rPr>
              <w:t>（</w:t>
            </w:r>
            <w:r>
              <w:rPr>
                <w:rFonts w:eastAsia="仿宋"/>
                <w:b/>
                <w:color w:val="auto"/>
                <w:sz w:val="24"/>
                <w:szCs w:val="24"/>
                <w:highlight w:val="none"/>
              </w:rPr>
              <w:t>包括从境外进口料件</w:t>
            </w:r>
            <w:r>
              <w:rPr>
                <w:rFonts w:hint="eastAsia" w:eastAsia="仿宋"/>
                <w:b/>
                <w:color w:val="auto"/>
                <w:sz w:val="24"/>
                <w:szCs w:val="24"/>
                <w:highlight w:val="none"/>
                <w:lang w:eastAsia="zh-CN"/>
              </w:rPr>
              <w:t>）</w:t>
            </w:r>
            <w:r>
              <w:rPr>
                <w:rFonts w:eastAsia="仿宋"/>
                <w:b/>
                <w:color w:val="auto"/>
                <w:sz w:val="24"/>
                <w:szCs w:val="24"/>
                <w:highlight w:val="none"/>
              </w:rPr>
              <w:t>销往境内其他地区的产品，不作为政府采购项下进口产品。对从境外进入海关特殊监管区域，再经办理报关手续后从海关特殊监管区进入境内其他地区的产品，应当认定为进口产品</w:t>
            </w:r>
            <w:r>
              <w:rPr>
                <w:rFonts w:hint="eastAsia" w:eastAsia="仿宋"/>
                <w:b/>
                <w:color w:val="auto"/>
                <w:sz w:val="24"/>
                <w:szCs w:val="24"/>
                <w:highlight w:val="none"/>
                <w:lang w:eastAsia="zh-CN"/>
              </w:rPr>
              <w:t>”</w:t>
            </w:r>
            <w:r>
              <w:rPr>
                <w:rFonts w:eastAsia="仿宋"/>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3</w:t>
            </w:r>
          </w:p>
        </w:tc>
        <w:tc>
          <w:tcPr>
            <w:tcW w:w="8494" w:type="dxa"/>
            <w:vAlign w:val="center"/>
          </w:tcPr>
          <w:p>
            <w:pPr>
              <w:spacing w:line="460" w:lineRule="exact"/>
              <w:rPr>
                <w:rFonts w:eastAsia="仿宋"/>
                <w:color w:val="auto"/>
                <w:sz w:val="24"/>
                <w:szCs w:val="22"/>
                <w:highlight w:val="none"/>
              </w:rPr>
            </w:pPr>
            <w:r>
              <w:rPr>
                <w:rFonts w:eastAsia="仿宋"/>
                <w:b/>
                <w:color w:val="auto"/>
                <w:sz w:val="24"/>
                <w:szCs w:val="22"/>
                <w:highlight w:val="none"/>
              </w:rPr>
              <w:t>投标有效期</w:t>
            </w:r>
            <w:r>
              <w:rPr>
                <w:rFonts w:eastAsia="仿宋"/>
                <w:color w:val="auto"/>
                <w:sz w:val="24"/>
                <w:szCs w:val="22"/>
                <w:highlight w:val="none"/>
              </w:rPr>
              <w:t>：自开标之日起不少于九十个日历日。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4</w:t>
            </w:r>
          </w:p>
        </w:tc>
        <w:tc>
          <w:tcPr>
            <w:tcW w:w="8494" w:type="dxa"/>
            <w:vAlign w:val="center"/>
          </w:tcPr>
          <w:p>
            <w:pPr>
              <w:spacing w:line="460" w:lineRule="exact"/>
              <w:rPr>
                <w:rFonts w:eastAsia="仿宋"/>
                <w:color w:val="auto"/>
                <w:sz w:val="24"/>
                <w:szCs w:val="22"/>
                <w:highlight w:val="none"/>
              </w:rPr>
            </w:pPr>
            <w:r>
              <w:rPr>
                <w:rFonts w:eastAsia="仿宋"/>
                <w:color w:val="auto"/>
                <w:sz w:val="24"/>
                <w:szCs w:val="22"/>
                <w:highlight w:val="none"/>
              </w:rPr>
              <w:t>提交投标文件截止时间、开标时间和地点：</w:t>
            </w:r>
          </w:p>
          <w:p>
            <w:pPr>
              <w:spacing w:line="460" w:lineRule="exact"/>
              <w:rPr>
                <w:rFonts w:eastAsia="仿宋"/>
                <w:color w:val="auto"/>
                <w:sz w:val="24"/>
                <w:szCs w:val="22"/>
                <w:highlight w:val="none"/>
              </w:rPr>
            </w:pPr>
            <w:r>
              <w:rPr>
                <w:rFonts w:eastAsia="仿宋"/>
                <w:color w:val="auto"/>
                <w:sz w:val="24"/>
                <w:szCs w:val="22"/>
                <w:highlight w:val="none"/>
              </w:rPr>
              <w:t>1.提交投标文件截止时间和开标时间：详见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p>
            <w:pPr>
              <w:spacing w:line="460" w:lineRule="exact"/>
              <w:rPr>
                <w:rFonts w:eastAsia="仿宋"/>
                <w:b/>
                <w:color w:val="auto"/>
                <w:sz w:val="24"/>
                <w:szCs w:val="22"/>
                <w:highlight w:val="none"/>
              </w:rPr>
            </w:pPr>
            <w:r>
              <w:rPr>
                <w:rFonts w:eastAsia="仿宋"/>
                <w:color w:val="auto"/>
                <w:sz w:val="24"/>
                <w:szCs w:val="22"/>
                <w:highlight w:val="none"/>
              </w:rPr>
              <w:t>2.开标地点：详见</w:t>
            </w:r>
            <w:r>
              <w:rPr>
                <w:rFonts w:hint="eastAsia" w:eastAsia="仿宋"/>
                <w:color w:val="auto"/>
                <w:sz w:val="24"/>
                <w:szCs w:val="22"/>
                <w:highlight w:val="none"/>
                <w:lang w:eastAsia="zh-CN"/>
              </w:rPr>
              <w:t>“</w:t>
            </w:r>
            <w:r>
              <w:rPr>
                <w:rFonts w:eastAsia="仿宋"/>
                <w:color w:val="auto"/>
                <w:sz w:val="24"/>
                <w:szCs w:val="22"/>
                <w:highlight w:val="none"/>
              </w:rPr>
              <w:t>第一章投标邀请</w:t>
            </w:r>
            <w:r>
              <w:rPr>
                <w:rFonts w:hint="eastAsia" w:eastAsia="仿宋"/>
                <w:color w:val="auto"/>
                <w:sz w:val="24"/>
                <w:szCs w:val="22"/>
                <w:highlight w:val="none"/>
                <w:lang w:eastAsia="zh-CN"/>
              </w:rPr>
              <w:t>”</w:t>
            </w:r>
            <w:r>
              <w:rPr>
                <w:rFonts w:eastAsia="仿宋"/>
                <w:color w:val="auto"/>
                <w:sz w:val="24"/>
                <w:szCs w:val="22"/>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5</w:t>
            </w:r>
          </w:p>
        </w:tc>
        <w:tc>
          <w:tcPr>
            <w:tcW w:w="8494" w:type="dxa"/>
            <w:vAlign w:val="center"/>
          </w:tcPr>
          <w:p>
            <w:pPr>
              <w:spacing w:line="460" w:lineRule="exact"/>
              <w:rPr>
                <w:rFonts w:eastAsia="仿宋"/>
                <w:color w:val="auto"/>
                <w:sz w:val="24"/>
                <w:szCs w:val="22"/>
                <w:highlight w:val="none"/>
              </w:rPr>
            </w:pPr>
            <w:r>
              <w:rPr>
                <w:rFonts w:eastAsia="仿宋"/>
                <w:color w:val="auto"/>
                <w:sz w:val="24"/>
                <w:szCs w:val="22"/>
                <w:highlight w:val="none"/>
              </w:rPr>
              <w:t>1.合格的投标人资格证明文件：详见第四章 投标文件格式</w:t>
            </w:r>
            <w:r>
              <w:rPr>
                <w:rFonts w:hint="eastAsia" w:eastAsia="仿宋"/>
                <w:color w:val="auto"/>
                <w:sz w:val="24"/>
                <w:szCs w:val="22"/>
                <w:highlight w:val="none"/>
                <w:lang w:eastAsia="zh-CN"/>
              </w:rPr>
              <w:t>“</w:t>
            </w:r>
            <w:r>
              <w:rPr>
                <w:rFonts w:eastAsia="仿宋"/>
                <w:color w:val="auto"/>
                <w:sz w:val="24"/>
                <w:szCs w:val="22"/>
                <w:highlight w:val="none"/>
              </w:rPr>
              <w:t>资格证明文件</w:t>
            </w:r>
            <w:r>
              <w:rPr>
                <w:rFonts w:hint="eastAsia" w:eastAsia="仿宋"/>
                <w:color w:val="auto"/>
                <w:sz w:val="24"/>
                <w:szCs w:val="22"/>
                <w:highlight w:val="none"/>
                <w:lang w:eastAsia="zh-CN"/>
              </w:rPr>
              <w:t>”</w:t>
            </w:r>
            <w:r>
              <w:rPr>
                <w:rFonts w:eastAsia="仿宋"/>
                <w:color w:val="auto"/>
                <w:sz w:val="24"/>
                <w:szCs w:val="22"/>
                <w:highlight w:val="none"/>
              </w:rPr>
              <w:t>。</w:t>
            </w:r>
          </w:p>
          <w:p>
            <w:pPr>
              <w:spacing w:line="460" w:lineRule="exact"/>
              <w:rPr>
                <w:rFonts w:eastAsia="仿宋"/>
                <w:color w:val="auto"/>
                <w:sz w:val="24"/>
                <w:szCs w:val="22"/>
                <w:highlight w:val="none"/>
              </w:rPr>
            </w:pPr>
            <w:r>
              <w:rPr>
                <w:rFonts w:eastAsia="仿宋"/>
                <w:color w:val="auto"/>
                <w:sz w:val="24"/>
                <w:szCs w:val="22"/>
                <w:highlight w:val="none"/>
              </w:rPr>
              <w:t>2.根据《财政部关于在政府采购活动中查询及使用信用记录有关问题的通知》财库【2016】125号文规定，对在本项目投标截止时间前被列入失信被执行人、重大税收违法失信主体、政府采购严重违法失信行为记录名单以及其他不符合《中华人民共和国政府采购法》第二十二条规定条件的投标人，将拒绝其参与政府采购活动。</w:t>
            </w:r>
          </w:p>
          <w:p>
            <w:pPr>
              <w:spacing w:line="460" w:lineRule="exact"/>
              <w:rPr>
                <w:rFonts w:eastAsia="仿宋"/>
                <w:b/>
                <w:color w:val="auto"/>
                <w:sz w:val="24"/>
                <w:szCs w:val="22"/>
                <w:highlight w:val="none"/>
              </w:rPr>
            </w:pPr>
            <w:r>
              <w:rPr>
                <w:rFonts w:eastAsia="仿宋"/>
                <w:b/>
                <w:color w:val="auto"/>
                <w:sz w:val="24"/>
                <w:szCs w:val="22"/>
                <w:highlight w:val="none"/>
              </w:rPr>
              <w:t>资格审查期间,投标人的上述相关信用信息将由采购代理机构通过</w:t>
            </w:r>
            <w:r>
              <w:rPr>
                <w:rFonts w:hint="eastAsia" w:eastAsia="仿宋"/>
                <w:b/>
                <w:color w:val="auto"/>
                <w:sz w:val="24"/>
                <w:szCs w:val="22"/>
                <w:highlight w:val="none"/>
                <w:lang w:eastAsia="zh-CN"/>
              </w:rPr>
              <w:t>“</w:t>
            </w:r>
            <w:r>
              <w:rPr>
                <w:rFonts w:eastAsia="仿宋"/>
                <w:b/>
                <w:color w:val="auto"/>
                <w:sz w:val="24"/>
                <w:szCs w:val="22"/>
                <w:highlight w:val="none"/>
              </w:rPr>
              <w:t>信用中国</w:t>
            </w:r>
            <w:r>
              <w:rPr>
                <w:rFonts w:hint="eastAsia" w:eastAsia="仿宋"/>
                <w:b/>
                <w:color w:val="auto"/>
                <w:sz w:val="24"/>
                <w:szCs w:val="22"/>
                <w:highlight w:val="none"/>
                <w:lang w:eastAsia="zh-CN"/>
              </w:rPr>
              <w:t>”</w:t>
            </w:r>
            <w:r>
              <w:rPr>
                <w:rFonts w:eastAsia="仿宋"/>
                <w:b/>
                <w:color w:val="auto"/>
                <w:sz w:val="24"/>
                <w:szCs w:val="22"/>
                <w:highlight w:val="none"/>
              </w:rPr>
              <w:t>网站、中国政府采购网进行查询。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6</w:t>
            </w:r>
          </w:p>
        </w:tc>
        <w:tc>
          <w:tcPr>
            <w:tcW w:w="8494" w:type="dxa"/>
            <w:vAlign w:val="center"/>
          </w:tcPr>
          <w:p>
            <w:pPr>
              <w:spacing w:line="460" w:lineRule="exact"/>
              <w:rPr>
                <w:rFonts w:eastAsia="仿宋"/>
                <w:b/>
                <w:bCs/>
                <w:color w:val="auto"/>
                <w:sz w:val="24"/>
                <w:szCs w:val="22"/>
                <w:highlight w:val="none"/>
              </w:rPr>
            </w:pPr>
            <w:r>
              <w:rPr>
                <w:rFonts w:eastAsia="仿宋"/>
                <w:b/>
                <w:bCs/>
                <w:color w:val="auto"/>
                <w:sz w:val="24"/>
                <w:szCs w:val="22"/>
                <w:highlight w:val="none"/>
              </w:rPr>
              <w:t>1.投标文件的密封与标记：</w:t>
            </w:r>
          </w:p>
          <w:p>
            <w:pPr>
              <w:spacing w:line="460" w:lineRule="exact"/>
              <w:rPr>
                <w:rFonts w:eastAsia="仿宋"/>
                <w:color w:val="auto"/>
                <w:sz w:val="24"/>
                <w:szCs w:val="22"/>
                <w:highlight w:val="none"/>
              </w:rPr>
            </w:pPr>
            <w:r>
              <w:rPr>
                <w:rFonts w:eastAsia="仿宋"/>
                <w:color w:val="auto"/>
                <w:sz w:val="24"/>
                <w:szCs w:val="22"/>
                <w:highlight w:val="none"/>
              </w:rPr>
              <w:t>投标人应准备</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正本一份和副本六份</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须清楚地标明</w:t>
            </w:r>
            <w:r>
              <w:rPr>
                <w:rFonts w:hint="eastAsia" w:eastAsia="仿宋"/>
                <w:b/>
                <w:bCs/>
                <w:color w:val="auto"/>
                <w:sz w:val="24"/>
                <w:szCs w:val="22"/>
                <w:highlight w:val="none"/>
                <w:lang w:eastAsia="zh-CN"/>
              </w:rPr>
              <w:t>“</w:t>
            </w:r>
            <w:r>
              <w:rPr>
                <w:rFonts w:eastAsia="仿宋"/>
                <w:b/>
                <w:bCs/>
                <w:color w:val="auto"/>
                <w:sz w:val="24"/>
                <w:szCs w:val="22"/>
                <w:highlight w:val="none"/>
              </w:rPr>
              <w:t>正本</w:t>
            </w:r>
            <w:r>
              <w:rPr>
                <w:rFonts w:hint="eastAsia" w:eastAsia="仿宋"/>
                <w:b/>
                <w:bCs/>
                <w:color w:val="auto"/>
                <w:sz w:val="24"/>
                <w:szCs w:val="22"/>
                <w:highlight w:val="none"/>
                <w:lang w:eastAsia="zh-CN"/>
              </w:rPr>
              <w:t>”</w:t>
            </w:r>
            <w:r>
              <w:rPr>
                <w:rFonts w:eastAsia="仿宋"/>
                <w:color w:val="auto"/>
                <w:sz w:val="24"/>
                <w:szCs w:val="22"/>
                <w:highlight w:val="none"/>
              </w:rPr>
              <w:t>或</w:t>
            </w:r>
            <w:r>
              <w:rPr>
                <w:rFonts w:hint="eastAsia" w:eastAsia="仿宋"/>
                <w:b/>
                <w:bCs/>
                <w:color w:val="auto"/>
                <w:sz w:val="24"/>
                <w:szCs w:val="22"/>
                <w:highlight w:val="none"/>
                <w:lang w:eastAsia="zh-CN"/>
              </w:rPr>
              <w:t>“</w:t>
            </w:r>
            <w:r>
              <w:rPr>
                <w:rFonts w:eastAsia="仿宋"/>
                <w:b/>
                <w:bCs/>
                <w:color w:val="auto"/>
                <w:sz w:val="24"/>
                <w:szCs w:val="22"/>
                <w:highlight w:val="none"/>
              </w:rPr>
              <w:t>副本</w:t>
            </w:r>
            <w:r>
              <w:rPr>
                <w:rFonts w:hint="eastAsia" w:eastAsia="仿宋"/>
                <w:b/>
                <w:bCs/>
                <w:color w:val="auto"/>
                <w:sz w:val="24"/>
                <w:szCs w:val="22"/>
                <w:highlight w:val="none"/>
                <w:lang w:eastAsia="zh-CN"/>
              </w:rPr>
              <w:t>”</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正本须打印，</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的副本可采用正本的复印件。若正本和副本不符，以正本为准。投标人应将</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正本和所有的副本装在文件袋中加以密封，并在文件袋上标明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pPr>
              <w:spacing w:line="460" w:lineRule="exact"/>
              <w:rPr>
                <w:rFonts w:eastAsia="仿宋"/>
                <w:b/>
                <w:bCs/>
                <w:color w:val="auto"/>
                <w:sz w:val="24"/>
                <w:szCs w:val="22"/>
                <w:highlight w:val="none"/>
              </w:rPr>
            </w:pPr>
            <w:r>
              <w:rPr>
                <w:rFonts w:eastAsia="仿宋"/>
                <w:b/>
                <w:bCs/>
                <w:color w:val="auto"/>
                <w:sz w:val="24"/>
                <w:szCs w:val="22"/>
                <w:highlight w:val="none"/>
              </w:rPr>
              <w:t>2.开标一览表的密封与标记（须包含开标一览表明细）：</w:t>
            </w:r>
          </w:p>
          <w:p>
            <w:pPr>
              <w:spacing w:line="460" w:lineRule="exact"/>
              <w:rPr>
                <w:rFonts w:eastAsia="仿宋"/>
                <w:color w:val="auto"/>
                <w:sz w:val="24"/>
                <w:szCs w:val="22"/>
                <w:highlight w:val="none"/>
              </w:rPr>
            </w:pPr>
            <w:r>
              <w:rPr>
                <w:rFonts w:eastAsia="仿宋"/>
                <w:color w:val="auto"/>
                <w:sz w:val="24"/>
                <w:szCs w:val="22"/>
                <w:highlight w:val="none"/>
              </w:rPr>
              <w:t>投标人应将</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（同时</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w:t>
            </w:r>
            <w:r>
              <w:rPr>
                <w:rFonts w:hint="eastAsia" w:eastAsia="仿宋"/>
                <w:color w:val="auto"/>
                <w:sz w:val="24"/>
                <w:szCs w:val="22"/>
                <w:highlight w:val="none"/>
                <w:lang w:val="en-US" w:eastAsia="zh-CN"/>
              </w:rPr>
              <w:t>本</w:t>
            </w:r>
            <w:r>
              <w:rPr>
                <w:rFonts w:eastAsia="仿宋"/>
                <w:color w:val="auto"/>
                <w:sz w:val="24"/>
                <w:szCs w:val="22"/>
                <w:highlight w:val="none"/>
              </w:rPr>
              <w:t>、副本中也</w:t>
            </w:r>
            <w:r>
              <w:rPr>
                <w:rFonts w:hint="eastAsia" w:eastAsia="仿宋"/>
                <w:color w:val="auto"/>
                <w:sz w:val="24"/>
                <w:szCs w:val="22"/>
                <w:highlight w:val="none"/>
                <w:lang w:val="en-US" w:eastAsia="zh-CN"/>
              </w:rPr>
              <w:t>须</w:t>
            </w:r>
            <w:r>
              <w:rPr>
                <w:rFonts w:eastAsia="仿宋"/>
                <w:color w:val="auto"/>
                <w:sz w:val="24"/>
                <w:szCs w:val="22"/>
                <w:highlight w:val="none"/>
              </w:rPr>
              <w:t>附有）单独密封，在信封上标明</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字样，并在信封上标明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pPr>
              <w:spacing w:line="460" w:lineRule="exact"/>
              <w:rPr>
                <w:rFonts w:hint="default" w:eastAsia="仿宋"/>
                <w:b/>
                <w:bCs/>
                <w:color w:val="auto"/>
                <w:sz w:val="24"/>
                <w:szCs w:val="22"/>
                <w:highlight w:val="none"/>
                <w:lang w:val="en-US" w:eastAsia="zh-CN"/>
              </w:rPr>
            </w:pPr>
            <w:r>
              <w:rPr>
                <w:rFonts w:eastAsia="仿宋"/>
                <w:b/>
                <w:bCs/>
                <w:color w:val="auto"/>
                <w:sz w:val="24"/>
                <w:szCs w:val="22"/>
                <w:highlight w:val="none"/>
              </w:rPr>
              <w:t>3.</w:t>
            </w:r>
            <w:r>
              <w:rPr>
                <w:rFonts w:hint="eastAsia" w:eastAsia="仿宋"/>
                <w:b/>
                <w:bCs/>
                <w:color w:val="auto"/>
                <w:sz w:val="24"/>
                <w:szCs w:val="22"/>
                <w:highlight w:val="none"/>
                <w:lang w:val="en-US" w:eastAsia="zh-CN"/>
              </w:rPr>
              <w:t>电子投标文件的密封与标记：</w:t>
            </w:r>
          </w:p>
          <w:p>
            <w:pPr>
              <w:spacing w:line="460" w:lineRule="exact"/>
              <w:rPr>
                <w:rFonts w:eastAsia="仿宋"/>
                <w:b/>
                <w:bCs/>
                <w:color w:val="auto"/>
                <w:sz w:val="24"/>
                <w:szCs w:val="22"/>
                <w:highlight w:val="none"/>
              </w:rPr>
            </w:pPr>
            <w:r>
              <w:rPr>
                <w:rFonts w:hint="eastAsia" w:eastAsia="仿宋"/>
                <w:color w:val="auto"/>
                <w:sz w:val="24"/>
                <w:szCs w:val="22"/>
                <w:highlight w:val="none"/>
                <w:lang w:val="en-US" w:eastAsia="zh-CN"/>
              </w:rPr>
              <w:t>提供</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正本盖章后的扫描件PDF格式</w:t>
            </w:r>
            <w:r>
              <w:rPr>
                <w:rFonts w:hint="eastAsia" w:eastAsia="仿宋"/>
                <w:b/>
                <w:bCs/>
                <w:color w:val="auto"/>
                <w:sz w:val="24"/>
                <w:szCs w:val="22"/>
                <w:highlight w:val="none"/>
                <w:lang w:val="en-US" w:eastAsia="zh-CN"/>
              </w:rPr>
              <w:t>壹份</w:t>
            </w:r>
            <w:r>
              <w:rPr>
                <w:rFonts w:eastAsia="仿宋"/>
                <w:color w:val="auto"/>
                <w:sz w:val="24"/>
                <w:szCs w:val="22"/>
                <w:highlight w:val="none"/>
              </w:rPr>
              <w:t>和</w:t>
            </w:r>
            <w:r>
              <w:rPr>
                <w:rFonts w:eastAsia="仿宋"/>
                <w:b/>
                <w:bCs/>
                <w:color w:val="auto"/>
                <w:sz w:val="24"/>
                <w:szCs w:val="22"/>
                <w:highlight w:val="none"/>
              </w:rPr>
              <w:t>电子投标文件WORD格式壹份</w:t>
            </w:r>
            <w:r>
              <w:rPr>
                <w:rFonts w:hint="eastAsia" w:eastAsia="仿宋"/>
                <w:b/>
                <w:bCs/>
                <w:color w:val="auto"/>
                <w:sz w:val="24"/>
                <w:szCs w:val="22"/>
                <w:highlight w:val="none"/>
                <w:lang w:eastAsia="zh-CN"/>
              </w:rPr>
              <w:t>，</w:t>
            </w:r>
            <w:r>
              <w:rPr>
                <w:rFonts w:hint="eastAsia" w:eastAsia="仿宋"/>
                <w:b w:val="0"/>
                <w:bCs w:val="0"/>
                <w:color w:val="auto"/>
                <w:sz w:val="24"/>
                <w:szCs w:val="22"/>
                <w:highlight w:val="none"/>
                <w:lang w:val="en-US" w:eastAsia="zh-CN"/>
              </w:rPr>
              <w:t>一并</w:t>
            </w:r>
            <w:r>
              <w:rPr>
                <w:rFonts w:eastAsia="仿宋"/>
                <w:color w:val="auto"/>
                <w:sz w:val="24"/>
                <w:szCs w:val="22"/>
                <w:highlight w:val="none"/>
              </w:rPr>
              <w:t>存入U盘</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单独密封</w:t>
            </w:r>
            <w:r>
              <w:rPr>
                <w:rFonts w:eastAsia="仿宋"/>
                <w:color w:val="auto"/>
                <w:sz w:val="24"/>
                <w:szCs w:val="22"/>
                <w:highlight w:val="none"/>
              </w:rPr>
              <w:t>提交，U盘不退</w:t>
            </w:r>
            <w:r>
              <w:rPr>
                <w:rFonts w:hint="eastAsia" w:eastAsia="仿宋"/>
                <w:color w:val="auto"/>
                <w:sz w:val="24"/>
                <w:szCs w:val="22"/>
                <w:highlight w:val="none"/>
                <w:lang w:eastAsia="zh-CN"/>
              </w:rPr>
              <w:t>，</w:t>
            </w:r>
            <w:r>
              <w:rPr>
                <w:rFonts w:eastAsia="仿宋"/>
                <w:color w:val="auto"/>
                <w:sz w:val="24"/>
                <w:szCs w:val="22"/>
                <w:highlight w:val="none"/>
              </w:rPr>
              <w:t>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hint="eastAsia" w:eastAsia="仿宋"/>
                <w:b/>
                <w:bCs/>
                <w:color w:val="auto"/>
                <w:sz w:val="24"/>
                <w:szCs w:val="22"/>
                <w:highlight w:val="none"/>
                <w:lang w:eastAsia="zh-CN"/>
              </w:rPr>
              <w:t>。</w:t>
            </w:r>
            <w:r>
              <w:rPr>
                <w:rFonts w:hint="eastAsia" w:eastAsia="仿宋"/>
                <w:color w:val="auto"/>
                <w:sz w:val="24"/>
                <w:szCs w:val="22"/>
                <w:highlight w:val="none"/>
                <w:lang w:eastAsia="zh-CN"/>
              </w:rPr>
              <w:t>“</w:t>
            </w:r>
            <w:r>
              <w:rPr>
                <w:rFonts w:eastAsia="仿宋"/>
                <w:color w:val="auto"/>
                <w:sz w:val="24"/>
                <w:szCs w:val="22"/>
                <w:highlight w:val="none"/>
              </w:rPr>
              <w:t>电子投标文件</w:t>
            </w:r>
            <w:r>
              <w:rPr>
                <w:rFonts w:hint="eastAsia" w:eastAsia="仿宋"/>
                <w:color w:val="auto"/>
                <w:sz w:val="24"/>
                <w:szCs w:val="22"/>
                <w:highlight w:val="none"/>
                <w:lang w:eastAsia="zh-CN"/>
              </w:rPr>
              <w:t>”</w:t>
            </w:r>
            <w:r>
              <w:rPr>
                <w:rFonts w:eastAsia="仿宋"/>
                <w:color w:val="auto"/>
                <w:sz w:val="24"/>
                <w:szCs w:val="22"/>
                <w:highlight w:val="none"/>
              </w:rPr>
              <w:t>必须与</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一致，</w:t>
            </w:r>
            <w:r>
              <w:rPr>
                <w:rFonts w:eastAsia="仿宋"/>
                <w:b/>
                <w:bCs/>
                <w:color w:val="auto"/>
                <w:sz w:val="24"/>
                <w:szCs w:val="22"/>
                <w:highlight w:val="none"/>
              </w:rPr>
              <w:t>U盘</w:t>
            </w:r>
            <w:r>
              <w:rPr>
                <w:rFonts w:hint="eastAsia" w:eastAsia="仿宋"/>
                <w:b/>
                <w:bCs/>
                <w:color w:val="auto"/>
                <w:sz w:val="24"/>
                <w:szCs w:val="22"/>
                <w:highlight w:val="none"/>
                <w:lang w:val="en-US" w:eastAsia="zh-CN"/>
              </w:rPr>
              <w:t>上</w:t>
            </w:r>
            <w:r>
              <w:rPr>
                <w:rFonts w:eastAsia="仿宋"/>
                <w:b/>
                <w:bCs/>
                <w:color w:val="auto"/>
                <w:sz w:val="24"/>
                <w:szCs w:val="22"/>
                <w:highlight w:val="none"/>
              </w:rPr>
              <w:t>请贴好标签，标签须备注投标人名称并简要描述U盘内容，例：</w:t>
            </w:r>
            <w:r>
              <w:rPr>
                <w:rFonts w:hint="eastAsia" w:eastAsia="仿宋"/>
                <w:b/>
                <w:bCs/>
                <w:color w:val="auto"/>
                <w:sz w:val="24"/>
                <w:szCs w:val="22"/>
                <w:highlight w:val="none"/>
                <w:lang w:val="en-US" w:eastAsia="zh-CN"/>
              </w:rPr>
              <w:t>**包</w:t>
            </w:r>
            <w:r>
              <w:rPr>
                <w:rFonts w:eastAsia="仿宋"/>
                <w:b/>
                <w:bCs/>
                <w:color w:val="auto"/>
                <w:sz w:val="24"/>
                <w:szCs w:val="22"/>
                <w:highlight w:val="none"/>
              </w:rPr>
              <w:t>**公司投标文件、</w:t>
            </w:r>
            <w:r>
              <w:rPr>
                <w:rFonts w:hint="eastAsia" w:eastAsia="仿宋"/>
                <w:b/>
                <w:bCs/>
                <w:color w:val="auto"/>
                <w:sz w:val="24"/>
                <w:szCs w:val="22"/>
                <w:highlight w:val="none"/>
                <w:lang w:val="en-US" w:eastAsia="zh-CN"/>
              </w:rPr>
              <w:t>**包</w:t>
            </w:r>
            <w:r>
              <w:rPr>
                <w:rFonts w:eastAsia="仿宋"/>
                <w:b/>
                <w:bCs/>
                <w:color w:val="auto"/>
                <w:sz w:val="24"/>
                <w:szCs w:val="22"/>
                <w:highlight w:val="none"/>
              </w:rPr>
              <w:t>**公司演示文件等。</w:t>
            </w:r>
          </w:p>
          <w:p>
            <w:pPr>
              <w:spacing w:line="460" w:lineRule="exact"/>
              <w:rPr>
                <w:rFonts w:hint="eastAsia" w:eastAsia="仿宋"/>
                <w:b/>
                <w:bCs/>
                <w:color w:val="auto"/>
                <w:sz w:val="24"/>
                <w:szCs w:val="22"/>
                <w:highlight w:val="none"/>
                <w:lang w:eastAsia="zh-CN"/>
              </w:rPr>
            </w:pPr>
            <w:r>
              <w:rPr>
                <w:rFonts w:hint="eastAsia" w:eastAsia="仿宋"/>
                <w:b/>
                <w:bCs/>
                <w:color w:val="auto"/>
                <w:sz w:val="24"/>
                <w:szCs w:val="22"/>
                <w:highlight w:val="none"/>
                <w:lang w:val="en-US" w:eastAsia="zh-CN"/>
              </w:rPr>
              <w:t>注：演示文件须单独另存一个U盘，不得与电子投标文件一并存入同一个U盘，封标方式按照电子投标文件的密封与标记要求</w:t>
            </w:r>
            <w:r>
              <w:rPr>
                <w:rFonts w:hint="eastAsia" w:eastAsia="仿宋"/>
                <w:b/>
                <w:bCs/>
                <w:color w:val="auto"/>
                <w:sz w:val="24"/>
                <w:szCs w:val="22"/>
                <w:highlight w:val="none"/>
                <w:lang w:eastAsia="zh-CN"/>
              </w:rPr>
              <w:t>。</w:t>
            </w:r>
          </w:p>
          <w:p>
            <w:pPr>
              <w:spacing w:line="460" w:lineRule="exact"/>
              <w:rPr>
                <w:rFonts w:hint="default" w:eastAsia="仿宋"/>
                <w:color w:val="auto"/>
                <w:sz w:val="24"/>
                <w:szCs w:val="22"/>
                <w:highlight w:val="none"/>
                <w:lang w:val="en-US" w:eastAsia="zh-CN"/>
              </w:rPr>
            </w:pPr>
            <w:r>
              <w:rPr>
                <w:rFonts w:eastAsia="仿宋"/>
                <w:color w:val="auto"/>
                <w:sz w:val="24"/>
                <w:szCs w:val="22"/>
                <w:highlight w:val="none"/>
              </w:rPr>
              <w:t>4.</w:t>
            </w:r>
            <w:r>
              <w:rPr>
                <w:rFonts w:hint="eastAsia" w:eastAsia="仿宋"/>
                <w:color w:val="auto"/>
                <w:sz w:val="24"/>
                <w:szCs w:val="22"/>
                <w:highlight w:val="none"/>
                <w:lang w:eastAsia="zh-CN"/>
              </w:rPr>
              <w:t>“</w:t>
            </w:r>
            <w:r>
              <w:rPr>
                <w:rFonts w:eastAsia="仿宋"/>
                <w:color w:val="auto"/>
                <w:sz w:val="24"/>
                <w:szCs w:val="22"/>
                <w:highlight w:val="none"/>
              </w:rPr>
              <w:t>电子投标文件</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演示文件</w:t>
            </w:r>
            <w:r>
              <w:rPr>
                <w:rFonts w:hint="eastAsia" w:eastAsia="仿宋"/>
                <w:color w:val="auto"/>
                <w:sz w:val="24"/>
                <w:szCs w:val="22"/>
                <w:highlight w:val="none"/>
                <w:lang w:eastAsia="zh-CN"/>
              </w:rPr>
              <w:t>”</w:t>
            </w:r>
            <w:r>
              <w:rPr>
                <w:rFonts w:eastAsia="仿宋"/>
                <w:color w:val="auto"/>
                <w:sz w:val="24"/>
                <w:szCs w:val="22"/>
                <w:highlight w:val="none"/>
              </w:rPr>
              <w:t>和</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hint="eastAsia" w:eastAsia="仿宋"/>
                <w:color w:val="auto"/>
                <w:sz w:val="24"/>
                <w:szCs w:val="22"/>
                <w:highlight w:val="none"/>
                <w:lang w:val="en-US" w:eastAsia="zh-CN"/>
              </w:rPr>
              <w:t>各</w:t>
            </w:r>
            <w:r>
              <w:rPr>
                <w:rFonts w:hint="eastAsia" w:eastAsia="仿宋"/>
                <w:b/>
                <w:bCs/>
                <w:color w:val="auto"/>
                <w:sz w:val="24"/>
                <w:szCs w:val="22"/>
                <w:highlight w:val="none"/>
                <w:lang w:val="en-US" w:eastAsia="zh-CN"/>
              </w:rPr>
              <w:t>分开</w:t>
            </w:r>
            <w:r>
              <w:rPr>
                <w:rFonts w:eastAsia="仿宋"/>
                <w:b/>
                <w:bCs/>
                <w:color w:val="auto"/>
                <w:sz w:val="24"/>
                <w:szCs w:val="22"/>
                <w:highlight w:val="none"/>
              </w:rPr>
              <w:t>密封</w:t>
            </w:r>
            <w:r>
              <w:rPr>
                <w:rFonts w:eastAsia="仿宋"/>
                <w:color w:val="auto"/>
                <w:sz w:val="24"/>
                <w:szCs w:val="22"/>
                <w:highlight w:val="none"/>
              </w:rPr>
              <w:t>，与投标文件同时递交，逾期不予接收，视为无效投标。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7</w:t>
            </w:r>
          </w:p>
        </w:tc>
        <w:tc>
          <w:tcPr>
            <w:tcW w:w="8494" w:type="dxa"/>
            <w:vAlign w:val="center"/>
          </w:tcPr>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1.投标保证金提交时间：投标保证金必须在开标时间之前采用保险、支票、汇票、本票、网上银行支付或者金融机构、担保机构出具的保函等非现金形式提交至采购代理机构；</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2.投标保证金提交形式要求：</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采用银行电汇、网上银行支付等非现金形式：</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投标保证金必须在开标时间之前转入到以下账户（以到账时间为准），并在投标文件中提供缴纳投标保证金的凭证：</w:t>
            </w:r>
          </w:p>
          <w:p>
            <w:pPr>
              <w:pStyle w:val="71"/>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eastAsia="zh-CN"/>
              </w:rPr>
            </w:pPr>
            <w:r>
              <w:rPr>
                <w:rFonts w:ascii="Times New Roman" w:hAnsi="Times New Roman" w:eastAsia="仿宋" w:cs="Times New Roman"/>
                <w:color w:val="auto"/>
                <w:sz w:val="24"/>
                <w:szCs w:val="24"/>
                <w:highlight w:val="none"/>
              </w:rPr>
              <w:t>户名：</w:t>
            </w:r>
            <w:r>
              <w:rPr>
                <w:rFonts w:hint="eastAsia" w:ascii="Times New Roman" w:hAnsi="Times New Roman" w:eastAsia="仿宋" w:cs="Times New Roman"/>
                <w:color w:val="auto"/>
                <w:sz w:val="24"/>
                <w:szCs w:val="24"/>
                <w:highlight w:val="none"/>
                <w:lang w:eastAsia="zh-CN"/>
              </w:rPr>
              <w:t>江西合胜合招标咨询有限公司</w:t>
            </w:r>
          </w:p>
          <w:p>
            <w:pPr>
              <w:pStyle w:val="71"/>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开户行：南昌农村商业银行股份有限公司红谷支行</w:t>
            </w:r>
          </w:p>
          <w:p>
            <w:pPr>
              <w:pStyle w:val="71"/>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账号：106649000000025600</w:t>
            </w:r>
          </w:p>
          <w:p>
            <w:pPr>
              <w:pStyle w:val="71"/>
              <w:tabs>
                <w:tab w:val="left" w:pos="284"/>
                <w:tab w:val="left" w:pos="567"/>
                <w:tab w:val="left" w:pos="709"/>
              </w:tabs>
              <w:spacing w:line="460" w:lineRule="exact"/>
              <w:ind w:firstLine="0" w:firstLineChars="0"/>
              <w:jc w:val="both"/>
              <w:rPr>
                <w:rFonts w:hint="eastAsia" w:ascii="Times New Roman" w:hAnsi="Times New Roman" w:eastAsia="仿宋" w:cs="Times New Roman"/>
                <w:color w:val="auto"/>
                <w:sz w:val="24"/>
                <w:szCs w:val="24"/>
                <w:highlight w:val="none"/>
                <w:lang w:val="en-US" w:eastAsia="zh-CN"/>
              </w:rPr>
            </w:pPr>
            <w:r>
              <w:rPr>
                <w:rFonts w:hint="eastAsia" w:ascii="Times New Roman" w:hAnsi="Times New Roman" w:eastAsia="仿宋" w:cs="Times New Roman"/>
                <w:color w:val="auto"/>
                <w:sz w:val="24"/>
                <w:szCs w:val="24"/>
                <w:highlight w:val="none"/>
                <w:lang w:val="en-US" w:eastAsia="zh-CN"/>
              </w:rPr>
              <w:t>行号：402421060110</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采用保函、保险形式：</w:t>
            </w:r>
          </w:p>
          <w:p>
            <w:pPr>
              <w:pStyle w:val="71"/>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纸质保函形式提交保证金的，应由投标人基本户所在银行或江西省辖区内的融资担保机构（投标文件中提供担保机构营业执照复印或影印件）针对本项目（包）开具。投标文件中提供保函复印或影印件，保函原件在开标时间之前密封提交到采购代理机构，逾时不予接收，视为未提交。保函有效期与投标有效期一致。保函最终受益人为采购人或采购代理机构。</w:t>
            </w:r>
          </w:p>
          <w:p>
            <w:pPr>
              <w:pStyle w:val="71"/>
              <w:tabs>
                <w:tab w:val="left" w:pos="284"/>
                <w:tab w:val="left" w:pos="567"/>
                <w:tab w:val="left" w:pos="709"/>
              </w:tabs>
              <w:spacing w:line="460" w:lineRule="exact"/>
              <w:ind w:firstLine="480"/>
              <w:rPr>
                <w:rFonts w:eastAsia="仿宋"/>
                <w:color w:val="auto"/>
                <w:sz w:val="24"/>
                <w:szCs w:val="24"/>
                <w:highlight w:val="none"/>
              </w:rPr>
            </w:pPr>
            <w:r>
              <w:rPr>
                <w:rFonts w:eastAsia="仿宋"/>
                <w:color w:val="auto"/>
                <w:sz w:val="24"/>
                <w:szCs w:val="24"/>
                <w:highlight w:val="none"/>
              </w:rPr>
              <w:t>采用保险形式提交保证金的，投标文件中提供保险复印或影印件，保险原件在开标时间之前密封提交到采购代理机构，逾时不予接收，视为未提交。保险有效期与投标有效期一致。保险最终受益人为采购人或采购代理机构。</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3.所有提交的保函或保险原件在评标结束后由采购代理机构留存，不予退回。</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hint="eastAsia" w:ascii="宋体" w:hAnsi="宋体" w:eastAsia="宋体" w:cs="宋体"/>
                <w:color w:val="auto"/>
                <w:sz w:val="24"/>
                <w:szCs w:val="24"/>
                <w:highlight w:val="none"/>
              </w:rPr>
              <w:t>◆</w:t>
            </w:r>
            <w:r>
              <w:rPr>
                <w:rFonts w:eastAsia="仿宋"/>
                <w:color w:val="auto"/>
                <w:sz w:val="24"/>
                <w:szCs w:val="24"/>
                <w:highlight w:val="none"/>
              </w:rPr>
              <w:t>采用支票、汇票、本票形式：投标文件中提供符合国家规定的相应凭证佐证，原件须在开标时间之前递交到开标地点，逾时不予接受，视为未提交。</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注：投标人未按照招标文件要求提交投标保证金的，其投标无效。</w:t>
            </w:r>
          </w:p>
          <w:p>
            <w:pPr>
              <w:pStyle w:val="71"/>
              <w:tabs>
                <w:tab w:val="left" w:pos="284"/>
                <w:tab w:val="left" w:pos="567"/>
                <w:tab w:val="left" w:pos="709"/>
              </w:tabs>
              <w:spacing w:line="460" w:lineRule="exact"/>
              <w:ind w:firstLine="0" w:firstLineChars="0"/>
              <w:jc w:val="both"/>
              <w:rPr>
                <w:rFonts w:eastAsia="仿宋"/>
                <w:color w:val="auto"/>
                <w:sz w:val="24"/>
                <w:szCs w:val="24"/>
                <w:highlight w:val="none"/>
              </w:rPr>
            </w:pPr>
            <w:r>
              <w:rPr>
                <w:rFonts w:eastAsia="仿宋"/>
                <w:color w:val="auto"/>
                <w:sz w:val="24"/>
                <w:szCs w:val="24"/>
                <w:highlight w:val="none"/>
              </w:rPr>
              <w:t>其他注意事项：投标人汇投标保证金时，需在填写汇款备注栏时添加本项目的项目编号，</w:t>
            </w:r>
            <w:r>
              <w:rPr>
                <w:rFonts w:eastAsia="仿宋"/>
                <w:b/>
                <w:bCs/>
                <w:color w:val="auto"/>
                <w:sz w:val="24"/>
                <w:szCs w:val="24"/>
                <w:highlight w:val="none"/>
              </w:rPr>
              <w:t>例如</w:t>
            </w:r>
            <w:r>
              <w:rPr>
                <w:rFonts w:hint="eastAsia" w:eastAsia="仿宋"/>
                <w:b/>
                <w:bCs/>
                <w:color w:val="auto"/>
                <w:sz w:val="24"/>
                <w:szCs w:val="24"/>
                <w:highlight w:val="none"/>
                <w:lang w:eastAsia="zh-CN"/>
              </w:rPr>
              <w:t>“</w:t>
            </w:r>
            <w:r>
              <w:rPr>
                <w:rFonts w:eastAsia="仿宋"/>
                <w:b/>
                <w:bCs/>
                <w:color w:val="auto"/>
                <w:sz w:val="24"/>
                <w:szCs w:val="24"/>
                <w:highlight w:val="none"/>
              </w:rPr>
              <w:t>投标保证金</w:t>
            </w:r>
            <w:r>
              <w:rPr>
                <w:rFonts w:hint="eastAsia" w:eastAsia="仿宋"/>
                <w:b/>
                <w:bCs/>
                <w:color w:val="auto"/>
                <w:sz w:val="24"/>
                <w:szCs w:val="24"/>
                <w:highlight w:val="none"/>
                <w:lang w:val="en-US" w:eastAsia="zh-CN"/>
              </w:rPr>
              <w:t>HSH2024ZG015-**包</w:t>
            </w:r>
            <w:r>
              <w:rPr>
                <w:rFonts w:hint="eastAsia" w:eastAsia="仿宋"/>
                <w:b/>
                <w:bCs/>
                <w:color w:val="auto"/>
                <w:sz w:val="24"/>
                <w:szCs w:val="24"/>
                <w:highlight w:val="none"/>
                <w:lang w:eastAsia="zh-CN"/>
              </w:rPr>
              <w:t>”</w:t>
            </w:r>
            <w:r>
              <w:rPr>
                <w:rFonts w:eastAsia="仿宋"/>
                <w:color w:val="auto"/>
                <w:sz w:val="24"/>
                <w:szCs w:val="24"/>
                <w:highlight w:val="none"/>
              </w:rPr>
              <w:t>。</w:t>
            </w:r>
          </w:p>
          <w:tbl>
            <w:tblPr>
              <w:tblStyle w:val="43"/>
              <w:tblW w:w="8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3067"/>
              <w:gridCol w:w="1275"/>
              <w:gridCol w:w="2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blHeader/>
                <w:jc w:val="center"/>
              </w:trPr>
              <w:tc>
                <w:tcPr>
                  <w:tcW w:w="1156" w:type="dxa"/>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包号</w:t>
                  </w:r>
                </w:p>
              </w:tc>
              <w:tc>
                <w:tcPr>
                  <w:tcW w:w="3067" w:type="dxa"/>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投标保证金金额</w:t>
                  </w:r>
                </w:p>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（人民币/元）</w:t>
                  </w:r>
                </w:p>
              </w:tc>
              <w:tc>
                <w:tcPr>
                  <w:tcW w:w="1275" w:type="dxa"/>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包号</w:t>
                  </w:r>
                </w:p>
              </w:tc>
              <w:tc>
                <w:tcPr>
                  <w:tcW w:w="2828" w:type="dxa"/>
                  <w:vAlign w:val="center"/>
                </w:tcPr>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投标保证金金额</w:t>
                  </w:r>
                </w:p>
                <w:p>
                  <w:pPr>
                    <w:adjustRightInd w:val="0"/>
                    <w:snapToGrid w:val="0"/>
                    <w:spacing w:line="460" w:lineRule="exact"/>
                    <w:jc w:val="center"/>
                    <w:rPr>
                      <w:rFonts w:eastAsia="仿宋"/>
                      <w:b/>
                      <w:bCs/>
                      <w:color w:val="auto"/>
                      <w:kern w:val="0"/>
                      <w:sz w:val="24"/>
                      <w:szCs w:val="22"/>
                      <w:highlight w:val="none"/>
                    </w:rPr>
                  </w:pPr>
                  <w:r>
                    <w:rPr>
                      <w:rFonts w:eastAsia="仿宋"/>
                      <w:b/>
                      <w:bCs/>
                      <w:color w:val="auto"/>
                      <w:kern w:val="0"/>
                      <w:sz w:val="24"/>
                      <w:szCs w:val="22"/>
                      <w:highlight w:val="none"/>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144000.00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2</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52000.00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3</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112000.00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4</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32000.00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5</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96000.00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6</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9000.00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7</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eastAsia="仿宋"/>
                      <w:color w:val="auto"/>
                      <w:kern w:val="0"/>
                      <w:sz w:val="24"/>
                      <w:szCs w:val="24"/>
                      <w:highlight w:val="none"/>
                      <w:lang w:val="en-US"/>
                    </w:rPr>
                  </w:pPr>
                  <w:r>
                    <w:rPr>
                      <w:rFonts w:hint="eastAsia"/>
                      <w:i w:val="0"/>
                      <w:iCs w:val="0"/>
                      <w:color w:val="auto"/>
                      <w:sz w:val="24"/>
                      <w:szCs w:val="24"/>
                      <w:highlight w:val="none"/>
                      <w:vertAlign w:val="baseline"/>
                      <w:lang w:val="en-US" w:eastAsia="zh-CN"/>
                    </w:rPr>
                    <w:t>88000.00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8</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17000.00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9</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21600.00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10</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44000.00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11</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26400.00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12</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24000.00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13</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eastAsia="仿宋"/>
                      <w:color w:val="auto"/>
                      <w:kern w:val="0"/>
                      <w:sz w:val="24"/>
                      <w:szCs w:val="24"/>
                      <w:highlight w:val="none"/>
                      <w:lang w:val="en-US"/>
                    </w:rPr>
                  </w:pPr>
                  <w:r>
                    <w:rPr>
                      <w:rFonts w:hint="eastAsia"/>
                      <w:i w:val="0"/>
                      <w:iCs w:val="0"/>
                      <w:color w:val="auto"/>
                      <w:sz w:val="24"/>
                      <w:szCs w:val="24"/>
                      <w:highlight w:val="none"/>
                      <w:vertAlign w:val="baseline"/>
                      <w:lang w:val="en-US" w:eastAsia="zh-CN"/>
                    </w:rPr>
                    <w:t>23600.00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14</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23000.00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15</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eastAsia="仿宋"/>
                      <w:color w:val="auto"/>
                      <w:kern w:val="0"/>
                      <w:sz w:val="24"/>
                      <w:szCs w:val="24"/>
                      <w:highlight w:val="none"/>
                      <w:lang w:val="en-US"/>
                    </w:rPr>
                  </w:pPr>
                  <w:r>
                    <w:rPr>
                      <w:rFonts w:hint="eastAsia"/>
                      <w:i w:val="0"/>
                      <w:iCs w:val="0"/>
                      <w:color w:val="auto"/>
                      <w:sz w:val="24"/>
                      <w:szCs w:val="24"/>
                      <w:highlight w:val="none"/>
                      <w:vertAlign w:val="baseline"/>
                      <w:lang w:val="en-US" w:eastAsia="zh-CN"/>
                    </w:rPr>
                    <w:t>51800.00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16</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18000.00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17</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64000.00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18</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314800.00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19</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eastAsia="仿宋"/>
                      <w:color w:val="auto"/>
                      <w:kern w:val="0"/>
                      <w:sz w:val="24"/>
                      <w:szCs w:val="24"/>
                      <w:highlight w:val="none"/>
                      <w:lang w:val="en-US"/>
                    </w:rPr>
                  </w:pPr>
                  <w:r>
                    <w:rPr>
                      <w:rFonts w:hint="eastAsia"/>
                      <w:i w:val="0"/>
                      <w:iCs w:val="0"/>
                      <w:color w:val="auto"/>
                      <w:sz w:val="24"/>
                      <w:szCs w:val="24"/>
                      <w:highlight w:val="none"/>
                      <w:vertAlign w:val="baseline"/>
                      <w:lang w:val="en-US" w:eastAsia="zh-CN"/>
                    </w:rPr>
                    <w:t>144000.00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20</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826500.00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156"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2"/>
                      <w:highlight w:val="none"/>
                    </w:rPr>
                  </w:pPr>
                  <w:r>
                    <w:rPr>
                      <w:rFonts w:hint="eastAsia"/>
                      <w:i w:val="0"/>
                      <w:iCs w:val="0"/>
                      <w:color w:val="auto"/>
                      <w:sz w:val="24"/>
                      <w:szCs w:val="24"/>
                      <w:highlight w:val="none"/>
                      <w:vertAlign w:val="baseline"/>
                      <w:lang w:val="en-US" w:eastAsia="zh-CN"/>
                    </w:rPr>
                    <w:t>21</w:t>
                  </w:r>
                </w:p>
              </w:tc>
              <w:tc>
                <w:tcPr>
                  <w:tcW w:w="3067"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eastAsia="仿宋"/>
                      <w:color w:val="auto"/>
                      <w:kern w:val="0"/>
                      <w:sz w:val="24"/>
                      <w:szCs w:val="24"/>
                      <w:highlight w:val="none"/>
                      <w:lang w:val="en-US"/>
                    </w:rPr>
                  </w:pPr>
                  <w:r>
                    <w:rPr>
                      <w:rFonts w:hint="eastAsia"/>
                      <w:i w:val="0"/>
                      <w:iCs w:val="0"/>
                      <w:color w:val="auto"/>
                      <w:sz w:val="24"/>
                      <w:szCs w:val="24"/>
                      <w:highlight w:val="none"/>
                      <w:vertAlign w:val="baseline"/>
                      <w:lang w:val="en-US" w:eastAsia="zh-CN"/>
                    </w:rPr>
                    <w:t>140000.00</w:t>
                  </w:r>
                </w:p>
              </w:tc>
              <w:tc>
                <w:tcPr>
                  <w:tcW w:w="1275" w:type="dxa"/>
                  <w:vAlign w:val="top"/>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bCs/>
                      <w:color w:val="auto"/>
                      <w:kern w:val="0"/>
                      <w:sz w:val="24"/>
                      <w:szCs w:val="22"/>
                      <w:highlight w:val="none"/>
                    </w:rPr>
                  </w:pPr>
                  <w:r>
                    <w:rPr>
                      <w:rFonts w:hint="eastAsia"/>
                      <w:i w:val="0"/>
                      <w:iCs w:val="0"/>
                      <w:color w:val="auto"/>
                      <w:sz w:val="24"/>
                      <w:szCs w:val="24"/>
                      <w:highlight w:val="none"/>
                      <w:vertAlign w:val="baseline"/>
                      <w:lang w:val="en-US" w:eastAsia="zh-CN"/>
                    </w:rPr>
                    <w:t>22</w:t>
                  </w:r>
                </w:p>
              </w:tc>
              <w:tc>
                <w:tcPr>
                  <w:tcW w:w="2828" w:type="dxa"/>
                  <w:vAlign w:val="center"/>
                </w:tcPr>
                <w:p>
                  <w:pPr>
                    <w:pStyle w:val="14"/>
                    <w:keepNext w:val="0"/>
                    <w:keepLines w:val="0"/>
                    <w:pageBreakBefore w:val="0"/>
                    <w:widowControl w:val="0"/>
                    <w:kinsoku/>
                    <w:wordWrap/>
                    <w:overflowPunct/>
                    <w:topLinePunct w:val="0"/>
                    <w:autoSpaceDE/>
                    <w:autoSpaceDN/>
                    <w:bidi w:val="0"/>
                    <w:adjustRightInd/>
                    <w:snapToGrid/>
                    <w:spacing w:after="0"/>
                    <w:jc w:val="center"/>
                    <w:textAlignment w:val="auto"/>
                    <w:rPr>
                      <w:rFonts w:eastAsia="仿宋"/>
                      <w:color w:val="auto"/>
                      <w:kern w:val="0"/>
                      <w:sz w:val="24"/>
                      <w:szCs w:val="24"/>
                      <w:highlight w:val="none"/>
                    </w:rPr>
                  </w:pPr>
                  <w:r>
                    <w:rPr>
                      <w:rFonts w:hint="eastAsia"/>
                      <w:i w:val="0"/>
                      <w:iCs w:val="0"/>
                      <w:color w:val="auto"/>
                      <w:sz w:val="24"/>
                      <w:szCs w:val="24"/>
                      <w:highlight w:val="none"/>
                      <w:vertAlign w:val="baseline"/>
                      <w:lang w:val="en-US" w:eastAsia="zh-CN"/>
                    </w:rPr>
                    <w:t>74000.00</w:t>
                  </w:r>
                </w:p>
              </w:tc>
            </w:tr>
          </w:tbl>
          <w:p>
            <w:pPr>
              <w:pStyle w:val="71"/>
              <w:tabs>
                <w:tab w:val="left" w:pos="284"/>
                <w:tab w:val="left" w:pos="567"/>
                <w:tab w:val="left" w:pos="709"/>
              </w:tabs>
              <w:spacing w:line="460" w:lineRule="exact"/>
              <w:ind w:firstLine="0" w:firstLineChars="0"/>
              <w:jc w:val="both"/>
              <w:rPr>
                <w:rFonts w:eastAsia="仿宋"/>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8</w:t>
            </w:r>
          </w:p>
        </w:tc>
        <w:tc>
          <w:tcPr>
            <w:tcW w:w="8494" w:type="dxa"/>
            <w:vAlign w:val="center"/>
          </w:tcPr>
          <w:p>
            <w:pPr>
              <w:spacing w:line="460" w:lineRule="exact"/>
              <w:jc w:val="left"/>
              <w:rPr>
                <w:rFonts w:eastAsia="仿宋"/>
                <w:b/>
                <w:bCs/>
                <w:color w:val="auto"/>
                <w:kern w:val="0"/>
                <w:sz w:val="24"/>
                <w:szCs w:val="22"/>
                <w:highlight w:val="none"/>
              </w:rPr>
            </w:pPr>
            <w:r>
              <w:rPr>
                <w:rFonts w:eastAsia="仿宋"/>
                <w:b/>
                <w:bCs/>
                <w:color w:val="auto"/>
                <w:kern w:val="0"/>
                <w:sz w:val="24"/>
                <w:szCs w:val="22"/>
                <w:highlight w:val="none"/>
              </w:rPr>
              <w:t>评标方法：本项目采用综合评分法。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9</w:t>
            </w:r>
          </w:p>
        </w:tc>
        <w:tc>
          <w:tcPr>
            <w:tcW w:w="8494" w:type="dxa"/>
            <w:vAlign w:val="center"/>
          </w:tcPr>
          <w:p>
            <w:pPr>
              <w:spacing w:line="460" w:lineRule="exact"/>
              <w:rPr>
                <w:rFonts w:eastAsia="仿宋"/>
                <w:b/>
                <w:bCs/>
                <w:color w:val="auto"/>
                <w:kern w:val="0"/>
                <w:sz w:val="24"/>
                <w:szCs w:val="22"/>
                <w:highlight w:val="none"/>
              </w:rPr>
            </w:pPr>
            <w:r>
              <w:rPr>
                <w:rFonts w:eastAsia="仿宋"/>
                <w:b/>
                <w:bCs/>
                <w:color w:val="auto"/>
                <w:kern w:val="0"/>
                <w:sz w:val="24"/>
                <w:szCs w:val="22"/>
                <w:highlight w:val="none"/>
              </w:rPr>
              <w:t>有下列情形之一的视为投标人串通投标，作无效标处理：</w:t>
            </w:r>
          </w:p>
          <w:p>
            <w:pPr>
              <w:numPr>
                <w:ilvl w:val="0"/>
                <w:numId w:val="2"/>
              </w:numPr>
              <w:spacing w:line="460" w:lineRule="exact"/>
              <w:ind w:left="360" w:leftChars="0" w:hanging="360" w:firstLineChars="0"/>
              <w:rPr>
                <w:rFonts w:eastAsia="仿宋"/>
                <w:color w:val="auto"/>
                <w:sz w:val="24"/>
                <w:szCs w:val="22"/>
                <w:highlight w:val="none"/>
              </w:rPr>
            </w:pPr>
            <w:r>
              <w:rPr>
                <w:rFonts w:eastAsia="仿宋"/>
                <w:bCs/>
                <w:color w:val="auto"/>
                <w:kern w:val="0"/>
                <w:sz w:val="24"/>
                <w:szCs w:val="22"/>
                <w:highlight w:val="none"/>
              </w:rPr>
              <w:t>不同投标人的投标文件由同一单位或者个人编制</w:t>
            </w:r>
            <w:r>
              <w:rPr>
                <w:rFonts w:eastAsia="仿宋"/>
                <w:color w:val="auto"/>
                <w:sz w:val="24"/>
                <w:szCs w:val="22"/>
                <w:highlight w:val="none"/>
              </w:rPr>
              <w:t>；</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不同投标人委托同一单位或者个人办理投标事宜；</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不同投标人的投标文件载明的项目管理成员或者联系人员为同一人；</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不同投标人的投标文件异常一致或者投标报价呈规律性差异；</w:t>
            </w:r>
          </w:p>
          <w:p>
            <w:pPr>
              <w:numPr>
                <w:ilvl w:val="0"/>
                <w:numId w:val="2"/>
              </w:numPr>
              <w:spacing w:line="460" w:lineRule="exact"/>
              <w:ind w:left="360" w:leftChars="0" w:hanging="360" w:firstLineChars="0"/>
              <w:rPr>
                <w:rFonts w:eastAsia="仿宋"/>
                <w:color w:val="auto"/>
                <w:sz w:val="24"/>
                <w:szCs w:val="22"/>
                <w:highlight w:val="none"/>
              </w:rPr>
            </w:pPr>
            <w:r>
              <w:rPr>
                <w:rFonts w:eastAsia="仿宋"/>
                <w:color w:val="auto"/>
                <w:sz w:val="24"/>
                <w:szCs w:val="22"/>
                <w:highlight w:val="none"/>
              </w:rPr>
              <w:t>不同投标人的投标文件相互混装；</w:t>
            </w:r>
          </w:p>
          <w:p>
            <w:pPr>
              <w:numPr>
                <w:ilvl w:val="0"/>
                <w:numId w:val="2"/>
              </w:numPr>
              <w:spacing w:line="460" w:lineRule="exact"/>
              <w:ind w:left="360" w:leftChars="0" w:hanging="360" w:firstLineChars="0"/>
              <w:rPr>
                <w:rFonts w:hint="default" w:ascii="仿宋" w:hAnsi="仿宋" w:eastAsia="仿宋" w:cs="仿宋"/>
                <w:b/>
                <w:bCs/>
                <w:color w:val="auto"/>
                <w:sz w:val="24"/>
                <w:szCs w:val="24"/>
                <w:highlight w:val="none"/>
                <w:lang w:val="en-US" w:eastAsia="zh-CN"/>
              </w:rPr>
            </w:pPr>
            <w:r>
              <w:rPr>
                <w:rFonts w:eastAsia="仿宋"/>
                <w:color w:val="auto"/>
                <w:sz w:val="24"/>
                <w:szCs w:val="22"/>
                <w:highlight w:val="none"/>
              </w:rPr>
              <w:t>不同投标人的投标保证金从同一单位或者个人账户转出。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10</w:t>
            </w:r>
          </w:p>
        </w:tc>
        <w:tc>
          <w:tcPr>
            <w:tcW w:w="8494" w:type="dxa"/>
            <w:vAlign w:val="center"/>
          </w:tcPr>
          <w:p>
            <w:pPr>
              <w:widowControl/>
              <w:spacing w:line="460" w:lineRule="exact"/>
              <w:rPr>
                <w:rFonts w:eastAsia="仿宋"/>
                <w:b/>
                <w:color w:val="auto"/>
                <w:kern w:val="0"/>
                <w:sz w:val="24"/>
                <w:szCs w:val="22"/>
                <w:highlight w:val="none"/>
              </w:rPr>
            </w:pPr>
            <w:r>
              <w:rPr>
                <w:rFonts w:eastAsia="仿宋"/>
                <w:b/>
                <w:color w:val="auto"/>
                <w:sz w:val="24"/>
                <w:szCs w:val="22"/>
                <w:highlight w:val="none"/>
              </w:rPr>
              <w:t>本项目采购落实以下政府采购政策</w:t>
            </w:r>
            <w:r>
              <w:rPr>
                <w:rFonts w:eastAsia="仿宋"/>
                <w:b/>
                <w:color w:val="auto"/>
                <w:kern w:val="0"/>
                <w:sz w:val="24"/>
                <w:szCs w:val="22"/>
                <w:highlight w:val="none"/>
              </w:rPr>
              <w:t>：</w:t>
            </w:r>
          </w:p>
          <w:p>
            <w:pPr>
              <w:widowControl/>
              <w:spacing w:line="460" w:lineRule="exact"/>
              <w:rPr>
                <w:rFonts w:eastAsia="仿宋"/>
                <w:b/>
                <w:color w:val="auto"/>
                <w:kern w:val="0"/>
                <w:sz w:val="24"/>
                <w:szCs w:val="22"/>
                <w:highlight w:val="none"/>
              </w:rPr>
            </w:pPr>
            <w:r>
              <w:rPr>
                <w:rFonts w:eastAsia="仿宋"/>
                <w:b/>
                <w:color w:val="auto"/>
                <w:kern w:val="0"/>
                <w:sz w:val="24"/>
                <w:szCs w:val="22"/>
                <w:highlight w:val="none"/>
              </w:rPr>
              <w:t>说明：本项目非专门面向中小企业采购的项目，采购标的对应的中小企业划分标准所属行业</w:t>
            </w:r>
            <w:r>
              <w:rPr>
                <w:rFonts w:eastAsia="仿宋"/>
                <w:b/>
                <w:color w:val="auto"/>
                <w:kern w:val="0"/>
                <w:sz w:val="24"/>
                <w:szCs w:val="22"/>
                <w:highlight w:val="none"/>
                <w:u w:val="single"/>
              </w:rPr>
              <w:t>：工业（制造业）</w:t>
            </w:r>
            <w:r>
              <w:rPr>
                <w:rFonts w:eastAsia="仿宋"/>
                <w:b/>
                <w:color w:val="auto"/>
                <w:kern w:val="0"/>
                <w:sz w:val="24"/>
                <w:szCs w:val="22"/>
                <w:highlight w:val="none"/>
              </w:rPr>
              <w:t>。</w:t>
            </w:r>
          </w:p>
          <w:p>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1</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中小企业扶持政策：根据《政府采购促进中小企业发展管理办法》规定，投标的货物由小型或微型企业生产且使用该小型或微型企业商号或者注册商标，将对投标报价给予10%的扣除。投标人</w:t>
            </w:r>
            <w:r>
              <w:rPr>
                <w:rFonts w:eastAsia="仿宋"/>
                <w:bCs/>
                <w:color w:val="auto"/>
                <w:kern w:val="0"/>
                <w:sz w:val="24"/>
                <w:szCs w:val="22"/>
                <w:highlight w:val="none"/>
              </w:rPr>
              <w:t>应当</w:t>
            </w:r>
            <w:r>
              <w:rPr>
                <w:rFonts w:eastAsia="仿宋"/>
                <w:color w:val="auto"/>
                <w:sz w:val="24"/>
                <w:szCs w:val="22"/>
                <w:highlight w:val="none"/>
              </w:rPr>
              <w:t>提供招标文件</w:t>
            </w:r>
            <w:r>
              <w:rPr>
                <w:rFonts w:eastAsia="仿宋"/>
                <w:color w:val="auto"/>
                <w:kern w:val="0"/>
                <w:sz w:val="24"/>
                <w:szCs w:val="22"/>
                <w:highlight w:val="none"/>
              </w:rPr>
              <w:t>要求的《中小企业声明函》给予证明，否则评审时不予认可。投标人应对提交的中小企业声明函的真实性负责，提交的中小企业声明函不真实的，应承担相应的法律责任。</w:t>
            </w:r>
          </w:p>
          <w:p>
            <w:pPr>
              <w:widowControl/>
              <w:spacing w:line="460" w:lineRule="exact"/>
              <w:jc w:val="left"/>
              <w:textAlignment w:val="center"/>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2</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监狱企业扶持政策：根据《财政部 司法部关于政府采购支持监狱企业发展有关问题的通知》（财库[2014]68号）的规定，监狱企业视同小型、微型企业，投标的货物由小型或微型企业生产且使用该小型或微型企业商号或者注册商标，将对投标报价给予10%的扣除。监狱企业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提供由省级以上监狱管理局、戒毒管理局（含新疆生产建设兵团）出具的属于监狱企业的证明文件，提交的监狱企业的证明文件不真实的，应承担相应的法律责任。</w:t>
            </w:r>
          </w:p>
          <w:p>
            <w:pPr>
              <w:widowControl/>
              <w:spacing w:line="460" w:lineRule="exact"/>
              <w:rPr>
                <w:rFonts w:eastAsia="仿宋"/>
                <w:color w:val="auto"/>
                <w:sz w:val="24"/>
                <w:szCs w:val="22"/>
                <w:highlight w:val="none"/>
              </w:rPr>
            </w:pPr>
            <w:r>
              <w:rPr>
                <w:rFonts w:hint="eastAsia" w:ascii="宋体" w:hAnsi="宋体" w:eastAsia="仿宋" w:cs="宋体"/>
                <w:bCs/>
                <w:color w:val="auto"/>
                <w:kern w:val="0"/>
                <w:sz w:val="24"/>
                <w:szCs w:val="22"/>
                <w:highlight w:val="none"/>
                <w:lang w:eastAsia="zh-CN"/>
              </w:rPr>
              <w:t>（</w:t>
            </w:r>
            <w:r>
              <w:rPr>
                <w:rFonts w:hint="eastAsia" w:ascii="宋体" w:hAnsi="宋体" w:eastAsia="仿宋" w:cs="宋体"/>
                <w:bCs/>
                <w:color w:val="auto"/>
                <w:kern w:val="0"/>
                <w:sz w:val="24"/>
                <w:szCs w:val="22"/>
                <w:highlight w:val="none"/>
                <w:lang w:val="en-US" w:eastAsia="zh-CN"/>
              </w:rPr>
              <w:t>3</w:t>
            </w:r>
            <w:r>
              <w:rPr>
                <w:rFonts w:hint="eastAsia" w:ascii="宋体" w:hAnsi="宋体" w:eastAsia="仿宋" w:cs="宋体"/>
                <w:bCs/>
                <w:color w:val="auto"/>
                <w:kern w:val="0"/>
                <w:sz w:val="24"/>
                <w:szCs w:val="22"/>
                <w:highlight w:val="none"/>
                <w:lang w:eastAsia="zh-CN"/>
              </w:rPr>
              <w:t>）</w:t>
            </w:r>
            <w:r>
              <w:rPr>
                <w:rFonts w:eastAsia="仿宋"/>
                <w:color w:val="auto"/>
                <w:sz w:val="24"/>
                <w:szCs w:val="22"/>
                <w:highlight w:val="none"/>
              </w:rPr>
              <w:t>促进残疾人就业政府采购政策：根据《三部门联合发布关于促进残疾人就业政府采购政策的通知》（财库[2017]141号）的规定，残疾人福利性单位视同小型、微型企业，</w:t>
            </w:r>
            <w:r>
              <w:rPr>
                <w:rFonts w:eastAsia="仿宋"/>
                <w:color w:val="auto"/>
                <w:kern w:val="0"/>
                <w:sz w:val="24"/>
                <w:szCs w:val="22"/>
                <w:highlight w:val="none"/>
              </w:rPr>
              <w:t>投标的货物由小型或微型企业生产且使用该小型或微型企业商号或者注册商标，</w:t>
            </w:r>
            <w:r>
              <w:rPr>
                <w:rFonts w:eastAsia="仿宋"/>
                <w:color w:val="auto"/>
                <w:sz w:val="24"/>
                <w:szCs w:val="22"/>
                <w:highlight w:val="none"/>
              </w:rPr>
              <w:t>将对</w:t>
            </w:r>
            <w:r>
              <w:rPr>
                <w:rFonts w:eastAsia="仿宋"/>
                <w:color w:val="auto"/>
                <w:kern w:val="0"/>
                <w:sz w:val="24"/>
                <w:szCs w:val="22"/>
                <w:highlight w:val="none"/>
              </w:rPr>
              <w:t>投标报价</w:t>
            </w:r>
            <w:r>
              <w:rPr>
                <w:rFonts w:eastAsia="仿宋"/>
                <w:color w:val="auto"/>
                <w:sz w:val="24"/>
                <w:szCs w:val="22"/>
                <w:highlight w:val="none"/>
              </w:rPr>
              <w:t>给予10%的扣除。残疾人福利性单位</w:t>
            </w:r>
            <w:r>
              <w:rPr>
                <w:rFonts w:eastAsia="仿宋"/>
                <w:color w:val="auto"/>
                <w:kern w:val="0"/>
                <w:sz w:val="24"/>
                <w:szCs w:val="22"/>
                <w:highlight w:val="none"/>
              </w:rPr>
              <w:t>参加本次政府采购活动时，</w:t>
            </w:r>
            <w:r>
              <w:rPr>
                <w:rFonts w:eastAsia="仿宋"/>
                <w:bCs/>
                <w:color w:val="auto"/>
                <w:kern w:val="0"/>
                <w:sz w:val="24"/>
                <w:szCs w:val="22"/>
                <w:highlight w:val="none"/>
              </w:rPr>
              <w:t>应当</w:t>
            </w:r>
            <w:r>
              <w:rPr>
                <w:rFonts w:eastAsia="仿宋"/>
                <w:color w:val="auto"/>
                <w:kern w:val="0"/>
                <w:sz w:val="24"/>
                <w:szCs w:val="22"/>
                <w:highlight w:val="none"/>
              </w:rPr>
              <w:t>提供</w:t>
            </w:r>
            <w:r>
              <w:rPr>
                <w:rFonts w:eastAsia="仿宋"/>
                <w:color w:val="auto"/>
                <w:sz w:val="24"/>
                <w:szCs w:val="22"/>
                <w:highlight w:val="none"/>
              </w:rPr>
              <w:t>招标文件要求的《残疾人福利性单位声明函》给予证明，并对声明的真实性负责。提交的残疾人福利性单位声明函不真实的，应承担相应的法律责任。</w:t>
            </w:r>
          </w:p>
          <w:p>
            <w:pPr>
              <w:widowControl/>
              <w:spacing w:line="460" w:lineRule="exact"/>
              <w:rPr>
                <w:rFonts w:eastAsia="仿宋"/>
                <w:color w:val="auto"/>
                <w:kern w:val="0"/>
                <w:sz w:val="24"/>
                <w:szCs w:val="22"/>
                <w:highlight w:val="none"/>
              </w:rPr>
            </w:pPr>
            <w:r>
              <w:rPr>
                <w:rFonts w:eastAsia="仿宋"/>
                <w:b/>
                <w:color w:val="auto"/>
                <w:sz w:val="24"/>
                <w:szCs w:val="22"/>
                <w:highlight w:val="none"/>
              </w:rPr>
              <w:t>注：同属以上优惠类型企业的，不重复享受政策优惠。</w:t>
            </w:r>
          </w:p>
          <w:p>
            <w:pPr>
              <w:widowControl/>
              <w:spacing w:line="460" w:lineRule="exact"/>
              <w:rPr>
                <w:rFonts w:eastAsia="仿宋"/>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4</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政府采购节约能源政策：根据</w:t>
            </w:r>
            <w:r>
              <w:rPr>
                <w:rFonts w:eastAsia="仿宋"/>
                <w:bCs/>
                <w:color w:val="auto"/>
                <w:kern w:val="0"/>
                <w:sz w:val="24"/>
                <w:szCs w:val="22"/>
                <w:highlight w:val="none"/>
              </w:rPr>
              <w:t>《国务院办公厅关于建立政府强制采购节能产品制度的通知》（国办发[2007]51号）</w:t>
            </w:r>
            <w:r>
              <w:rPr>
                <w:rFonts w:eastAsia="仿宋"/>
                <w:color w:val="auto"/>
                <w:kern w:val="0"/>
                <w:sz w:val="24"/>
                <w:szCs w:val="22"/>
                <w:highlight w:val="none"/>
              </w:rPr>
              <w:t>及</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财库〔2019〕9号）的规定。本次采购中如涉及节能产品，将优先采购或强制采购具有节能产品认证证书且符合《关于印发节能产品政府采购品目清单的通知》（财库〔2019〕19号）中附件《节能产品政府采购品目清单》要求的产品。该品目清单以中国政府采购网公布的最新品目清单为准。</w:t>
            </w:r>
          </w:p>
          <w:p>
            <w:pPr>
              <w:widowControl/>
              <w:spacing w:line="460" w:lineRule="exact"/>
              <w:rPr>
                <w:rFonts w:eastAsia="仿宋"/>
                <w:bCs/>
                <w:color w:val="auto"/>
                <w:kern w:val="0"/>
                <w:sz w:val="24"/>
                <w:szCs w:val="22"/>
                <w:highlight w:val="none"/>
              </w:rPr>
            </w:pPr>
            <w:r>
              <w:rPr>
                <w:rFonts w:hint="eastAsia" w:ascii="宋体" w:hAnsi="宋体" w:eastAsia="仿宋" w:cs="宋体"/>
                <w:color w:val="auto"/>
                <w:kern w:val="0"/>
                <w:sz w:val="24"/>
                <w:szCs w:val="22"/>
                <w:highlight w:val="none"/>
                <w:lang w:eastAsia="zh-CN"/>
              </w:rPr>
              <w:t>（</w:t>
            </w:r>
            <w:r>
              <w:rPr>
                <w:rFonts w:hint="eastAsia" w:ascii="宋体" w:hAnsi="宋体" w:eastAsia="仿宋" w:cs="宋体"/>
                <w:color w:val="auto"/>
                <w:kern w:val="0"/>
                <w:sz w:val="24"/>
                <w:szCs w:val="22"/>
                <w:highlight w:val="none"/>
                <w:lang w:val="en-US" w:eastAsia="zh-CN"/>
              </w:rPr>
              <w:t>5</w:t>
            </w:r>
            <w:r>
              <w:rPr>
                <w:rFonts w:hint="eastAsia" w:ascii="宋体" w:hAnsi="宋体" w:eastAsia="仿宋" w:cs="宋体"/>
                <w:color w:val="auto"/>
                <w:kern w:val="0"/>
                <w:sz w:val="24"/>
                <w:szCs w:val="22"/>
                <w:highlight w:val="none"/>
                <w:lang w:eastAsia="zh-CN"/>
              </w:rPr>
              <w:t>）</w:t>
            </w:r>
            <w:r>
              <w:rPr>
                <w:rFonts w:eastAsia="仿宋"/>
                <w:color w:val="auto"/>
                <w:kern w:val="0"/>
                <w:sz w:val="24"/>
                <w:szCs w:val="22"/>
                <w:highlight w:val="none"/>
              </w:rPr>
              <w:t>政府采购环境保护政策：根据</w:t>
            </w:r>
            <w:r>
              <w:rPr>
                <w:rFonts w:eastAsia="仿宋"/>
                <w:bCs/>
                <w:color w:val="auto"/>
                <w:kern w:val="0"/>
                <w:sz w:val="24"/>
                <w:szCs w:val="22"/>
                <w:highlight w:val="none"/>
              </w:rPr>
              <w:t>《财政部 发展改革委 生态环境部 市场监管总局 关于调整优化节能产品、环境标志产品政府采购执行机制的通知》</w:t>
            </w:r>
            <w:r>
              <w:rPr>
                <w:rFonts w:eastAsia="仿宋"/>
                <w:color w:val="auto"/>
                <w:kern w:val="0"/>
                <w:sz w:val="24"/>
                <w:szCs w:val="22"/>
                <w:highlight w:val="none"/>
              </w:rPr>
              <w:t>的规定。本次采购中如涉及环境标志产品，将优先采购具有环境标志产品认证证书且符合《关于印发环境标志产品政府采购品目清单的通知》（财库〔2019〕18号）中附件《环境产品政府采购品目清单》要求的产品。该品目清单以中国政府采购网公布的最新品目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11</w:t>
            </w:r>
          </w:p>
        </w:tc>
        <w:tc>
          <w:tcPr>
            <w:tcW w:w="8494" w:type="dxa"/>
            <w:vAlign w:val="center"/>
          </w:tcPr>
          <w:p>
            <w:pPr>
              <w:tabs>
                <w:tab w:val="left" w:pos="0"/>
                <w:tab w:val="left" w:pos="284"/>
                <w:tab w:val="left" w:pos="851"/>
                <w:tab w:val="left" w:pos="993"/>
                <w:tab w:val="left" w:pos="1108"/>
              </w:tabs>
              <w:spacing w:line="460" w:lineRule="exact"/>
              <w:rPr>
                <w:rFonts w:eastAsia="仿宋"/>
                <w:color w:val="auto"/>
                <w:kern w:val="0"/>
                <w:sz w:val="24"/>
                <w:szCs w:val="22"/>
                <w:highlight w:val="none"/>
              </w:rPr>
            </w:pPr>
            <w:r>
              <w:rPr>
                <w:rFonts w:eastAsia="仿宋"/>
                <w:bCs/>
                <w:color w:val="auto"/>
                <w:kern w:val="0"/>
                <w:sz w:val="24"/>
                <w:szCs w:val="22"/>
                <w:highlight w:val="none"/>
              </w:rPr>
              <w:t>评标委员会认为投标人的报价明显低于其他通过符合性审查投标人的报价，有可能影响产品质量或者不能诚信履约的，有权要求其在评标现场合理的时间内提供书面说明，必要时提交相关证明材料；投标人不能证明其报价合理性的，评标委员会有权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12</w:t>
            </w:r>
          </w:p>
        </w:tc>
        <w:tc>
          <w:tcPr>
            <w:tcW w:w="8494" w:type="dxa"/>
            <w:vAlign w:val="center"/>
          </w:tcPr>
          <w:p>
            <w:pPr>
              <w:tabs>
                <w:tab w:val="left" w:pos="0"/>
                <w:tab w:val="left" w:pos="284"/>
                <w:tab w:val="left" w:pos="709"/>
                <w:tab w:val="left" w:pos="993"/>
                <w:tab w:val="left" w:pos="1108"/>
              </w:tabs>
              <w:spacing w:line="240" w:lineRule="auto"/>
              <w:rPr>
                <w:rFonts w:eastAsia="仿宋"/>
                <w:b/>
                <w:color w:val="auto"/>
                <w:sz w:val="24"/>
                <w:szCs w:val="22"/>
                <w:highlight w:val="none"/>
              </w:rPr>
            </w:pPr>
            <w:r>
              <w:rPr>
                <w:rFonts w:eastAsia="仿宋"/>
                <w:b/>
                <w:color w:val="auto"/>
                <w:sz w:val="24"/>
                <w:szCs w:val="22"/>
                <w:highlight w:val="none"/>
              </w:rPr>
              <w:t>采购代理服务费：</w:t>
            </w:r>
          </w:p>
          <w:p>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eastAsia="zh-CN"/>
              </w:rPr>
            </w:pPr>
            <w:r>
              <w:rPr>
                <w:rFonts w:hint="eastAsia" w:eastAsia="仿宋"/>
                <w:b w:val="0"/>
                <w:bCs/>
                <w:color w:val="auto"/>
                <w:sz w:val="24"/>
                <w:szCs w:val="22"/>
                <w:highlight w:val="none"/>
              </w:rPr>
              <w:t>采购代理服务费由中标人支付，中标人在领取中标通知书时，应向采购代理机构一次性付清采购代理服务费。收费标准根据下表中差额定率累进法下浮40%计算收取采购代理服务费</w:t>
            </w:r>
            <w:r>
              <w:rPr>
                <w:rFonts w:hint="eastAsia" w:eastAsia="仿宋"/>
                <w:b w:val="0"/>
                <w:bCs/>
                <w:color w:val="auto"/>
                <w:sz w:val="24"/>
                <w:szCs w:val="22"/>
                <w:highlight w:val="none"/>
                <w:lang w:eastAsia="zh-CN"/>
              </w:rPr>
              <w:t>：</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9"/>
              <w:gridCol w:w="4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中标金额（万元）</w:t>
                  </w:r>
                </w:p>
              </w:tc>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收费费率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100（含）以下</w:t>
                  </w:r>
                </w:p>
              </w:tc>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100-500（含）</w:t>
                  </w:r>
                </w:p>
              </w:tc>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500-1000（含）</w:t>
                  </w:r>
                </w:p>
              </w:tc>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1000-5000（含）</w:t>
                  </w:r>
                </w:p>
              </w:tc>
              <w:tc>
                <w:tcPr>
                  <w:tcW w:w="4139" w:type="dxa"/>
                  <w:vAlign w:val="top"/>
                </w:tcPr>
                <w:p>
                  <w:pPr>
                    <w:tabs>
                      <w:tab w:val="left" w:pos="0"/>
                      <w:tab w:val="left" w:pos="284"/>
                      <w:tab w:val="left" w:pos="851"/>
                      <w:tab w:val="left" w:pos="993"/>
                      <w:tab w:val="left" w:pos="1108"/>
                    </w:tabs>
                    <w:spacing w:line="240" w:lineRule="auto"/>
                    <w:jc w:val="center"/>
                    <w:rPr>
                      <w:rFonts w:hint="eastAsia" w:eastAsia="仿宋"/>
                      <w:b w:val="0"/>
                      <w:bCs/>
                      <w:color w:val="auto"/>
                      <w:sz w:val="24"/>
                      <w:szCs w:val="22"/>
                      <w:highlight w:val="none"/>
                      <w:vertAlign w:val="baseline"/>
                      <w:lang w:eastAsia="zh-CN"/>
                    </w:rPr>
                  </w:pPr>
                  <w:r>
                    <w:rPr>
                      <w:rFonts w:eastAsia="仿宋"/>
                      <w:bCs/>
                      <w:color w:val="auto"/>
                      <w:kern w:val="0"/>
                      <w:sz w:val="24"/>
                      <w:szCs w:val="22"/>
                      <w:highlight w:val="none"/>
                    </w:rPr>
                    <w:t>0.5%</w:t>
                  </w:r>
                </w:p>
              </w:tc>
            </w:tr>
          </w:tbl>
          <w:p>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代理服务费缴纳账户如下：</w:t>
            </w:r>
          </w:p>
          <w:p>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户名：江西合胜合招标咨询有限公司</w:t>
            </w:r>
          </w:p>
          <w:p>
            <w:pPr>
              <w:tabs>
                <w:tab w:val="left" w:pos="0"/>
                <w:tab w:val="left" w:pos="284"/>
                <w:tab w:val="left" w:pos="709"/>
                <w:tab w:val="left" w:pos="993"/>
                <w:tab w:val="left" w:pos="1108"/>
              </w:tabs>
              <w:spacing w:line="240" w:lineRule="auto"/>
              <w:rPr>
                <w:rFonts w:hint="eastAsia" w:eastAsia="仿宋"/>
                <w:b w:val="0"/>
                <w:bCs/>
                <w:color w:val="auto"/>
                <w:sz w:val="24"/>
                <w:szCs w:val="22"/>
                <w:highlight w:val="none"/>
                <w:lang w:val="en-US" w:eastAsia="zh-CN"/>
              </w:rPr>
            </w:pPr>
            <w:r>
              <w:rPr>
                <w:rFonts w:hint="eastAsia" w:eastAsia="仿宋"/>
                <w:b w:val="0"/>
                <w:bCs/>
                <w:color w:val="auto"/>
                <w:sz w:val="24"/>
                <w:szCs w:val="22"/>
                <w:highlight w:val="none"/>
                <w:lang w:val="en-US" w:eastAsia="zh-CN"/>
              </w:rPr>
              <w:t>开户行：招商银行南昌分行世茂支行</w:t>
            </w:r>
          </w:p>
          <w:p>
            <w:pPr>
              <w:tabs>
                <w:tab w:val="left" w:pos="0"/>
                <w:tab w:val="left" w:pos="284"/>
                <w:tab w:val="left" w:pos="709"/>
                <w:tab w:val="left" w:pos="993"/>
                <w:tab w:val="left" w:pos="1108"/>
              </w:tabs>
              <w:spacing w:line="240" w:lineRule="auto"/>
              <w:rPr>
                <w:rFonts w:eastAsia="仿宋"/>
                <w:bCs/>
                <w:color w:val="auto"/>
                <w:kern w:val="0"/>
                <w:sz w:val="24"/>
                <w:szCs w:val="22"/>
                <w:highlight w:val="none"/>
              </w:rPr>
            </w:pPr>
            <w:r>
              <w:rPr>
                <w:rFonts w:hint="eastAsia" w:eastAsia="仿宋"/>
                <w:b w:val="0"/>
                <w:bCs/>
                <w:color w:val="auto"/>
                <w:sz w:val="24"/>
                <w:szCs w:val="22"/>
                <w:highlight w:val="none"/>
                <w:lang w:val="en-US" w:eastAsia="zh-CN"/>
              </w:rPr>
              <w:t>账号：7919 0480 0810 609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13</w:t>
            </w:r>
          </w:p>
        </w:tc>
        <w:tc>
          <w:tcPr>
            <w:tcW w:w="8494" w:type="dxa"/>
            <w:vAlign w:val="center"/>
          </w:tcPr>
          <w:p>
            <w:pPr>
              <w:spacing w:line="460" w:lineRule="exact"/>
              <w:rPr>
                <w:rFonts w:ascii="Times New Roman" w:hAnsi="Times New Roman" w:eastAsia="仿宋"/>
                <w:color w:val="auto"/>
                <w:sz w:val="24"/>
                <w:szCs w:val="24"/>
                <w:highlight w:val="none"/>
              </w:rPr>
            </w:pPr>
            <w:r>
              <w:rPr>
                <w:rFonts w:eastAsia="仿宋"/>
                <w:color w:val="auto"/>
                <w:sz w:val="24"/>
                <w:szCs w:val="22"/>
                <w:highlight w:val="none"/>
              </w:rPr>
              <w:t>本招标文件编制依据国家有关法律、法规以及政府采购管理有关规定，本采购代理机构享有对招标文件的最终解释权。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793"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14</w:t>
            </w:r>
          </w:p>
        </w:tc>
        <w:tc>
          <w:tcPr>
            <w:tcW w:w="8494" w:type="dxa"/>
            <w:vAlign w:val="center"/>
          </w:tcPr>
          <w:p>
            <w:pPr>
              <w:spacing w:line="460" w:lineRule="exact"/>
              <w:rPr>
                <w:rFonts w:eastAsia="仿宋"/>
                <w:bCs/>
                <w:color w:val="auto"/>
                <w:kern w:val="0"/>
                <w:sz w:val="24"/>
                <w:szCs w:val="22"/>
                <w:highlight w:val="none"/>
              </w:rPr>
            </w:pPr>
            <w:r>
              <w:rPr>
                <w:rFonts w:eastAsia="仿宋"/>
                <w:bCs/>
                <w:color w:val="auto"/>
                <w:kern w:val="0"/>
                <w:sz w:val="24"/>
                <w:szCs w:val="22"/>
                <w:highlight w:val="none"/>
              </w:rPr>
              <w:t>商品包装要求（如果所投产品具有外包装）：</w:t>
            </w:r>
          </w:p>
          <w:p>
            <w:pPr>
              <w:spacing w:line="460" w:lineRule="exact"/>
              <w:ind w:firstLine="480" w:firstLineChars="200"/>
              <w:rPr>
                <w:rFonts w:eastAsia="仿宋"/>
                <w:bCs/>
                <w:color w:val="auto"/>
                <w:kern w:val="0"/>
                <w:sz w:val="24"/>
                <w:szCs w:val="22"/>
                <w:highlight w:val="none"/>
              </w:rPr>
            </w:pPr>
            <w:r>
              <w:rPr>
                <w:rFonts w:eastAsia="仿宋"/>
                <w:bCs/>
                <w:color w:val="auto"/>
                <w:kern w:val="0"/>
                <w:sz w:val="24"/>
                <w:szCs w:val="22"/>
                <w:highlight w:val="none"/>
              </w:rPr>
              <w:t>根据《商品包装政府采购需求标准（试行）》，商品包装有7项环保要求：1.商品包装层数不得超过3层，空隙率不大于40%；2.商品包装尽可能使用单一材质的包装材料，如因功能需求必需使用不同材质，不同材质间应便于分离；3.商品包装中铅、汞、镉、六价铬的总含量应不大于100mg/kg；4.商品包装印刷使用的油墨中挥发性有机化合物</w:t>
            </w:r>
            <w:r>
              <w:rPr>
                <w:rFonts w:hint="eastAsia" w:eastAsia="仿宋"/>
                <w:bCs/>
                <w:color w:val="auto"/>
                <w:kern w:val="0"/>
                <w:sz w:val="24"/>
                <w:szCs w:val="22"/>
                <w:highlight w:val="none"/>
                <w:lang w:eastAsia="zh-CN"/>
              </w:rPr>
              <w:t>（</w:t>
            </w:r>
            <w:r>
              <w:rPr>
                <w:rFonts w:eastAsia="仿宋"/>
                <w:bCs/>
                <w:color w:val="auto"/>
                <w:kern w:val="0"/>
                <w:sz w:val="24"/>
                <w:szCs w:val="22"/>
                <w:highlight w:val="none"/>
              </w:rPr>
              <w:t>VOCs</w:t>
            </w:r>
            <w:r>
              <w:rPr>
                <w:rFonts w:hint="eastAsia" w:eastAsia="仿宋"/>
                <w:bCs/>
                <w:color w:val="auto"/>
                <w:kern w:val="0"/>
                <w:sz w:val="24"/>
                <w:szCs w:val="22"/>
                <w:highlight w:val="none"/>
                <w:lang w:eastAsia="zh-CN"/>
              </w:rPr>
              <w:t>）</w:t>
            </w:r>
            <w:r>
              <w:rPr>
                <w:rFonts w:eastAsia="仿宋"/>
                <w:bCs/>
                <w:color w:val="auto"/>
                <w:kern w:val="0"/>
                <w:sz w:val="24"/>
                <w:szCs w:val="22"/>
                <w:highlight w:val="none"/>
              </w:rPr>
              <w:t>含量应不大于5%（以重量计）；5.塑料材质商品包装上呈现的印刷颜色不得超过6色；6.纸质商品包装应使用75%以上的可再生纤维原料生产；7.木质商品包装的原料应来源于可持续性森林。</w:t>
            </w:r>
          </w:p>
          <w:p>
            <w:pPr>
              <w:spacing w:line="460" w:lineRule="exact"/>
              <w:rPr>
                <w:rFonts w:eastAsia="仿宋"/>
                <w:color w:val="auto"/>
                <w:sz w:val="24"/>
                <w:szCs w:val="22"/>
                <w:highlight w:val="none"/>
              </w:rPr>
            </w:pPr>
            <w:r>
              <w:rPr>
                <w:rFonts w:eastAsia="仿宋"/>
                <w:bCs/>
                <w:color w:val="auto"/>
                <w:kern w:val="0"/>
                <w:sz w:val="24"/>
                <w:szCs w:val="22"/>
                <w:highlight w:val="none"/>
              </w:rPr>
              <w:t>采购人在必要时可以要求中标人在履约验收环节出具包装材料检测报告。</w:t>
            </w:r>
          </w:p>
        </w:tc>
      </w:tr>
    </w:tbl>
    <w:p>
      <w:pPr>
        <w:rPr>
          <w:rFonts w:eastAsia="仿宋"/>
          <w:color w:val="auto"/>
          <w:highlight w:val="none"/>
        </w:rPr>
      </w:pPr>
    </w:p>
    <w:p>
      <w:pPr>
        <w:rPr>
          <w:rFonts w:eastAsia="仿宋"/>
          <w:b/>
          <w:bCs/>
          <w:color w:val="auto"/>
          <w:kern w:val="0"/>
          <w:sz w:val="24"/>
          <w:highlight w:val="none"/>
        </w:rPr>
      </w:pPr>
      <w:bookmarkStart w:id="82" w:name="_Toc11288"/>
      <w:bookmarkStart w:id="83" w:name="_Toc111018933"/>
      <w:bookmarkStart w:id="84" w:name="_Toc13051"/>
      <w:bookmarkStart w:id="85" w:name="_Toc28913"/>
      <w:bookmarkStart w:id="86" w:name="_Toc10789"/>
      <w:r>
        <w:rPr>
          <w:rFonts w:eastAsia="仿宋"/>
          <w:b/>
          <w:bCs/>
          <w:color w:val="auto"/>
          <w:kern w:val="0"/>
          <w:sz w:val="24"/>
          <w:highlight w:val="none"/>
        </w:rPr>
        <w:br w:type="page"/>
      </w:r>
    </w:p>
    <w:p>
      <w:pPr>
        <w:spacing w:line="460" w:lineRule="exact"/>
        <w:jc w:val="center"/>
        <w:outlineLvl w:val="1"/>
        <w:rPr>
          <w:rFonts w:eastAsia="仿宋"/>
          <w:b/>
          <w:bCs/>
          <w:color w:val="auto"/>
          <w:kern w:val="0"/>
          <w:sz w:val="24"/>
          <w:highlight w:val="none"/>
        </w:rPr>
      </w:pPr>
      <w:bookmarkStart w:id="87" w:name="_Toc29327"/>
      <w:r>
        <w:rPr>
          <w:rFonts w:eastAsia="仿宋"/>
          <w:b/>
          <w:bCs/>
          <w:color w:val="auto"/>
          <w:kern w:val="0"/>
          <w:sz w:val="24"/>
          <w:highlight w:val="none"/>
        </w:rPr>
        <w:t>一、说明</w:t>
      </w:r>
      <w:bookmarkEnd w:id="82"/>
      <w:bookmarkEnd w:id="83"/>
      <w:bookmarkEnd w:id="84"/>
      <w:bookmarkEnd w:id="85"/>
      <w:bookmarkEnd w:id="86"/>
      <w:bookmarkEnd w:id="87"/>
    </w:p>
    <w:p>
      <w:pPr>
        <w:numPr>
          <w:ilvl w:val="0"/>
          <w:numId w:val="3"/>
        </w:numPr>
        <w:tabs>
          <w:tab w:val="left" w:pos="284"/>
        </w:tabs>
        <w:spacing w:line="460" w:lineRule="exact"/>
        <w:ind w:left="284" w:hanging="284"/>
        <w:rPr>
          <w:rFonts w:eastAsia="仿宋"/>
          <w:b/>
          <w:bCs/>
          <w:color w:val="auto"/>
          <w:kern w:val="0"/>
          <w:sz w:val="24"/>
          <w:highlight w:val="none"/>
        </w:rPr>
      </w:pPr>
      <w:r>
        <w:rPr>
          <w:rFonts w:eastAsia="仿宋"/>
          <w:b/>
          <w:bCs/>
          <w:color w:val="auto"/>
          <w:kern w:val="0"/>
          <w:sz w:val="24"/>
          <w:highlight w:val="none"/>
        </w:rPr>
        <w:t>适用范围</w:t>
      </w:r>
    </w:p>
    <w:p>
      <w:pPr>
        <w:tabs>
          <w:tab w:val="left" w:pos="284"/>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本招标文件仅适用于本次公开招标</w:t>
      </w:r>
      <w:r>
        <w:rPr>
          <w:rFonts w:hint="eastAsia" w:eastAsia="仿宋"/>
          <w:b/>
          <w:color w:val="auto"/>
          <w:kern w:val="0"/>
          <w:sz w:val="24"/>
          <w:highlight w:val="none"/>
          <w:lang w:eastAsia="zh-CN"/>
        </w:rPr>
        <w:t>“</w:t>
      </w:r>
      <w:r>
        <w:rPr>
          <w:rFonts w:eastAsia="仿宋"/>
          <w:b/>
          <w:color w:val="auto"/>
          <w:kern w:val="0"/>
          <w:sz w:val="24"/>
          <w:highlight w:val="none"/>
        </w:rPr>
        <w:t>投标邀请</w:t>
      </w:r>
      <w:r>
        <w:rPr>
          <w:rFonts w:hint="eastAsia" w:eastAsia="仿宋"/>
          <w:b/>
          <w:color w:val="auto"/>
          <w:kern w:val="0"/>
          <w:sz w:val="24"/>
          <w:highlight w:val="none"/>
          <w:lang w:eastAsia="zh-CN"/>
        </w:rPr>
        <w:t>”</w:t>
      </w:r>
      <w:r>
        <w:rPr>
          <w:rFonts w:eastAsia="仿宋"/>
          <w:bCs/>
          <w:color w:val="auto"/>
          <w:kern w:val="0"/>
          <w:sz w:val="24"/>
          <w:highlight w:val="none"/>
        </w:rPr>
        <w:t>中所叙述项目的采购。</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采购人、采购代理机构、投标人</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2.1.</w:t>
      </w:r>
      <w:r>
        <w:rPr>
          <w:rFonts w:hint="eastAsia" w:eastAsia="仿宋"/>
          <w:bCs/>
          <w:color w:val="auto"/>
          <w:kern w:val="0"/>
          <w:sz w:val="24"/>
          <w:highlight w:val="none"/>
          <w:lang w:eastAsia="zh-CN"/>
        </w:rPr>
        <w:t>“</w:t>
      </w:r>
      <w:r>
        <w:rPr>
          <w:rFonts w:eastAsia="仿宋"/>
          <w:bCs/>
          <w:color w:val="auto"/>
          <w:kern w:val="0"/>
          <w:sz w:val="24"/>
          <w:highlight w:val="none"/>
        </w:rPr>
        <w:t>采购人</w:t>
      </w:r>
      <w:r>
        <w:rPr>
          <w:rFonts w:hint="eastAsia" w:eastAsia="仿宋"/>
          <w:bCs/>
          <w:color w:val="auto"/>
          <w:kern w:val="0"/>
          <w:sz w:val="24"/>
          <w:highlight w:val="none"/>
          <w:lang w:eastAsia="zh-CN"/>
        </w:rPr>
        <w:t>”</w:t>
      </w:r>
      <w:r>
        <w:rPr>
          <w:rFonts w:eastAsia="仿宋"/>
          <w:bCs/>
          <w:color w:val="auto"/>
          <w:kern w:val="0"/>
          <w:sz w:val="24"/>
          <w:highlight w:val="none"/>
        </w:rPr>
        <w:t>是指依法进行政府采购的国家机关、事业单位、团体组织，即</w:t>
      </w:r>
      <w:r>
        <w:rPr>
          <w:rFonts w:hint="eastAsia" w:eastAsia="仿宋"/>
          <w:bCs/>
          <w:color w:val="auto"/>
          <w:kern w:val="0"/>
          <w:sz w:val="24"/>
          <w:highlight w:val="none"/>
          <w:lang w:eastAsia="zh-CN"/>
        </w:rPr>
        <w:t>“</w:t>
      </w:r>
      <w:r>
        <w:rPr>
          <w:rFonts w:eastAsia="仿宋"/>
          <w:bCs/>
          <w:color w:val="auto"/>
          <w:kern w:val="0"/>
          <w:sz w:val="24"/>
          <w:highlight w:val="none"/>
        </w:rPr>
        <w:t>江西省消防救援总队</w:t>
      </w:r>
      <w:r>
        <w:rPr>
          <w:rFonts w:hint="eastAsia" w:eastAsia="仿宋"/>
          <w:bCs/>
          <w:color w:val="auto"/>
          <w:kern w:val="0"/>
          <w:sz w:val="24"/>
          <w:highlight w:val="none"/>
          <w:lang w:eastAsia="zh-CN"/>
        </w:rPr>
        <w:t>”</w:t>
      </w:r>
      <w:r>
        <w:rPr>
          <w:rFonts w:eastAsia="仿宋"/>
          <w:bCs/>
          <w:color w:val="auto"/>
          <w:kern w:val="0"/>
          <w:sz w:val="24"/>
          <w:highlight w:val="none"/>
        </w:rPr>
        <w:t>。</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2.2.</w:t>
      </w:r>
      <w:r>
        <w:rPr>
          <w:rFonts w:hint="eastAsia" w:eastAsia="仿宋"/>
          <w:bCs/>
          <w:color w:val="auto"/>
          <w:kern w:val="0"/>
          <w:sz w:val="24"/>
          <w:highlight w:val="none"/>
          <w:lang w:eastAsia="zh-CN"/>
        </w:rPr>
        <w:t>“</w:t>
      </w:r>
      <w:r>
        <w:rPr>
          <w:rFonts w:eastAsia="仿宋"/>
          <w:bCs/>
          <w:color w:val="auto"/>
          <w:kern w:val="0"/>
          <w:sz w:val="24"/>
          <w:highlight w:val="none"/>
        </w:rPr>
        <w:t>采购代理机构</w:t>
      </w:r>
      <w:r>
        <w:rPr>
          <w:rFonts w:hint="eastAsia" w:eastAsia="仿宋"/>
          <w:bCs/>
          <w:color w:val="auto"/>
          <w:kern w:val="0"/>
          <w:sz w:val="24"/>
          <w:highlight w:val="none"/>
          <w:lang w:eastAsia="zh-CN"/>
        </w:rPr>
        <w:t>”</w:t>
      </w:r>
      <w:r>
        <w:rPr>
          <w:rFonts w:eastAsia="仿宋"/>
          <w:bCs/>
          <w:color w:val="auto"/>
          <w:kern w:val="0"/>
          <w:sz w:val="24"/>
          <w:highlight w:val="none"/>
        </w:rPr>
        <w:t>是指根据采购人委托制定招标项目的实施方案，明确招标规程，组织政府采购活动的中介机构，即</w:t>
      </w:r>
      <w:r>
        <w:rPr>
          <w:rFonts w:hint="eastAsia" w:eastAsia="仿宋"/>
          <w:bCs/>
          <w:color w:val="auto"/>
          <w:kern w:val="0"/>
          <w:sz w:val="24"/>
          <w:highlight w:val="none"/>
          <w:lang w:eastAsia="zh-CN"/>
        </w:rPr>
        <w:t>“江西合胜合招标咨询有限公司”</w:t>
      </w:r>
      <w:r>
        <w:rPr>
          <w:rFonts w:eastAsia="仿宋"/>
          <w:bCs/>
          <w:color w:val="auto"/>
          <w:kern w:val="0"/>
          <w:sz w:val="24"/>
          <w:highlight w:val="none"/>
        </w:rPr>
        <w:t>。</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2.3.</w:t>
      </w:r>
      <w:r>
        <w:rPr>
          <w:rFonts w:hint="eastAsia" w:eastAsia="仿宋"/>
          <w:bCs/>
          <w:color w:val="auto"/>
          <w:kern w:val="0"/>
          <w:sz w:val="24"/>
          <w:highlight w:val="none"/>
          <w:lang w:eastAsia="zh-CN"/>
        </w:rPr>
        <w:t>“</w:t>
      </w:r>
      <w:r>
        <w:rPr>
          <w:rFonts w:eastAsia="仿宋"/>
          <w:bCs/>
          <w:color w:val="auto"/>
          <w:kern w:val="0"/>
          <w:sz w:val="24"/>
          <w:highlight w:val="none"/>
        </w:rPr>
        <w:t>投标人</w:t>
      </w:r>
      <w:r>
        <w:rPr>
          <w:rFonts w:hint="eastAsia" w:eastAsia="仿宋"/>
          <w:bCs/>
          <w:color w:val="auto"/>
          <w:kern w:val="0"/>
          <w:sz w:val="24"/>
          <w:highlight w:val="none"/>
          <w:lang w:eastAsia="zh-CN"/>
        </w:rPr>
        <w:t>”</w:t>
      </w:r>
      <w:r>
        <w:rPr>
          <w:rFonts w:eastAsia="仿宋"/>
          <w:bCs/>
          <w:color w:val="auto"/>
          <w:kern w:val="0"/>
          <w:sz w:val="24"/>
          <w:highlight w:val="none"/>
        </w:rPr>
        <w:t>是指响应招标文件要求、参加投标竞争的法人、其他组织或者自然人。投标人应当遵守相关的法律、法规、法规政策及招标文件的规定，且具备承担本次招标项目的能力。</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合格的投标人</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3.1.满足投标人资格标准：投标人须按第四章投标文件格式</w:t>
      </w:r>
      <w:r>
        <w:rPr>
          <w:rFonts w:hint="eastAsia" w:eastAsia="仿宋"/>
          <w:bCs/>
          <w:color w:val="auto"/>
          <w:kern w:val="0"/>
          <w:sz w:val="24"/>
          <w:highlight w:val="none"/>
          <w:lang w:eastAsia="zh-CN"/>
        </w:rPr>
        <w:t>“</w:t>
      </w:r>
      <w:r>
        <w:rPr>
          <w:rFonts w:eastAsia="仿宋"/>
          <w:bCs/>
          <w:color w:val="auto"/>
          <w:kern w:val="0"/>
          <w:sz w:val="24"/>
          <w:highlight w:val="none"/>
        </w:rPr>
        <w:t>资格证明文件</w:t>
      </w:r>
      <w:r>
        <w:rPr>
          <w:rFonts w:hint="eastAsia" w:eastAsia="仿宋"/>
          <w:bCs/>
          <w:color w:val="auto"/>
          <w:kern w:val="0"/>
          <w:sz w:val="24"/>
          <w:highlight w:val="none"/>
          <w:lang w:eastAsia="zh-CN"/>
        </w:rPr>
        <w:t>”</w:t>
      </w:r>
      <w:r>
        <w:rPr>
          <w:rFonts w:eastAsia="仿宋"/>
          <w:bCs/>
          <w:color w:val="auto"/>
          <w:kern w:val="0"/>
          <w:sz w:val="24"/>
          <w:highlight w:val="none"/>
        </w:rPr>
        <w:t>的规定提供相关证明材料；</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3.2.在中华人民共和国境内注册，在法律上和财务上独立于采购人和采购代理机构的投标人才能参加投标。</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3.3.投标人家数认定</w:t>
      </w:r>
    </w:p>
    <w:p>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3.3.1使用综合评分法的单一产品采购项目，提供相同品牌产品且通过资格审查、符合性审查的不同投标人参加同一合同项下投标的，按一家投标人计算，评审后得分最高的同品牌投标人获得中标人推荐资格；评审得分相同的，由评标委员会按照随机抽取的方式确定一个投标人获得中标人推荐资格，其他同品牌投标人不作为中标候选人；</w:t>
      </w:r>
    </w:p>
    <w:p>
      <w:pPr>
        <w:tabs>
          <w:tab w:val="left" w:pos="142"/>
          <w:tab w:val="left" w:pos="851"/>
          <w:tab w:val="left" w:pos="993"/>
        </w:tabs>
        <w:spacing w:line="460" w:lineRule="exact"/>
        <w:ind w:left="825" w:leftChars="50" w:hanging="720" w:hangingChars="300"/>
        <w:rPr>
          <w:rFonts w:eastAsia="仿宋"/>
          <w:bCs/>
          <w:color w:val="auto"/>
          <w:kern w:val="0"/>
          <w:sz w:val="24"/>
          <w:highlight w:val="none"/>
        </w:rPr>
      </w:pPr>
      <w:r>
        <w:rPr>
          <w:rFonts w:eastAsia="仿宋"/>
          <w:bCs/>
          <w:color w:val="auto"/>
          <w:kern w:val="0"/>
          <w:sz w:val="24"/>
          <w:highlight w:val="none"/>
        </w:rPr>
        <w:t>3.3.2非单一产品采购项目，采购人应当根据采购项目技术构成、产品价格比重等合理确定核心产品，并在招标文件中载明。多家投标人提供的核心产品品牌相同的，按前款规定处理。</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合格的货物和相关服务</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4.1.投标人应提交其货物和相关服务符合招标文件规定的证明，作为投标文件的一部分，提供的货物必须是全新的。</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4.2.投标人应保证，采购人在中华人民共和国使用该货物或货物的任何一部分时，免受第三方提出的侵犯其专利权、商标权或工业设计权的起诉。</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4.3.采购进口产品的不得拒绝符合条件的国产产品参与采购活动，符合要求的国产产品允许参与本次采购活动。</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4.4.货物和相关的服务与招标文件的要求相一致的证明，可以是文字资料、图纸和数据，包括：</w:t>
      </w:r>
    </w:p>
    <w:p>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货物主要技术指标和性能的详细说明；</w:t>
      </w:r>
    </w:p>
    <w:p>
      <w:pPr>
        <w:numPr>
          <w:ilvl w:val="2"/>
          <w:numId w:val="4"/>
        </w:numPr>
        <w:tabs>
          <w:tab w:val="left" w:pos="142"/>
          <w:tab w:val="left" w:pos="851"/>
          <w:tab w:val="left" w:pos="993"/>
        </w:tabs>
        <w:spacing w:line="460" w:lineRule="exact"/>
        <w:ind w:left="707" w:leftChars="67" w:hanging="566" w:hangingChars="236"/>
        <w:rPr>
          <w:rFonts w:eastAsia="仿宋"/>
          <w:bCs/>
          <w:color w:val="auto"/>
          <w:kern w:val="0"/>
          <w:sz w:val="24"/>
          <w:highlight w:val="none"/>
        </w:rPr>
      </w:pPr>
      <w:r>
        <w:rPr>
          <w:rFonts w:eastAsia="仿宋"/>
          <w:bCs/>
          <w:color w:val="auto"/>
          <w:kern w:val="0"/>
          <w:sz w:val="24"/>
          <w:highlight w:val="none"/>
        </w:rPr>
        <w:t>对照招标文件技术规格，逐条说明所提供的货物和相关服务已对招标文件的技术规格作出了实质性响应，或申明与技术规格的偏差和例外；特别对于有具体参数要求的指标，投标人必须提供所投产品的具体参数；</w:t>
      </w:r>
    </w:p>
    <w:p>
      <w:pPr>
        <w:numPr>
          <w:ilvl w:val="2"/>
          <w:numId w:val="4"/>
        </w:numPr>
        <w:tabs>
          <w:tab w:val="left" w:pos="142"/>
          <w:tab w:val="left" w:pos="851"/>
          <w:tab w:val="left" w:pos="993"/>
        </w:tabs>
        <w:spacing w:line="460" w:lineRule="exact"/>
        <w:rPr>
          <w:rFonts w:eastAsia="仿宋"/>
          <w:bCs/>
          <w:color w:val="auto"/>
          <w:kern w:val="0"/>
          <w:sz w:val="24"/>
          <w:highlight w:val="none"/>
        </w:rPr>
      </w:pPr>
      <w:r>
        <w:rPr>
          <w:rFonts w:eastAsia="仿宋"/>
          <w:bCs/>
          <w:color w:val="auto"/>
          <w:kern w:val="0"/>
          <w:sz w:val="24"/>
          <w:highlight w:val="none"/>
        </w:rPr>
        <w:t>商务条款的偏差和例外。</w:t>
      </w:r>
    </w:p>
    <w:p>
      <w:pPr>
        <w:spacing w:line="460" w:lineRule="exact"/>
        <w:jc w:val="center"/>
        <w:outlineLvl w:val="1"/>
        <w:rPr>
          <w:rFonts w:eastAsia="仿宋"/>
          <w:b/>
          <w:bCs/>
          <w:color w:val="auto"/>
          <w:kern w:val="0"/>
          <w:sz w:val="24"/>
          <w:highlight w:val="none"/>
        </w:rPr>
      </w:pPr>
      <w:bookmarkStart w:id="88" w:name="_Toc111018934"/>
      <w:bookmarkStart w:id="89" w:name="_Toc7677"/>
      <w:bookmarkStart w:id="90" w:name="_Toc22312"/>
      <w:bookmarkStart w:id="91" w:name="_Toc6207"/>
      <w:bookmarkStart w:id="92" w:name="_Toc11155"/>
      <w:bookmarkStart w:id="93" w:name="_Toc15633"/>
      <w:r>
        <w:rPr>
          <w:rFonts w:eastAsia="仿宋"/>
          <w:b/>
          <w:bCs/>
          <w:color w:val="auto"/>
          <w:kern w:val="0"/>
          <w:sz w:val="24"/>
          <w:highlight w:val="none"/>
        </w:rPr>
        <w:t>二、招标文件</w:t>
      </w:r>
      <w:bookmarkEnd w:id="88"/>
      <w:bookmarkEnd w:id="89"/>
      <w:bookmarkEnd w:id="90"/>
      <w:bookmarkEnd w:id="91"/>
      <w:bookmarkEnd w:id="92"/>
      <w:bookmarkEnd w:id="93"/>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5.1.要求提供的货物和相关服务、招标过程和合同条件在招标文件中均有说明。招标文件由下述组成：</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第一章 </w:t>
      </w:r>
      <w:r>
        <w:rPr>
          <w:rFonts w:eastAsia="仿宋"/>
          <w:bCs/>
          <w:color w:val="auto"/>
          <w:kern w:val="0"/>
          <w:sz w:val="24"/>
          <w:highlight w:val="none"/>
        </w:rPr>
        <w:t>投标邀请</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第二章 </w:t>
      </w:r>
      <w:r>
        <w:rPr>
          <w:rFonts w:eastAsia="仿宋"/>
          <w:bCs/>
          <w:color w:val="auto"/>
          <w:kern w:val="0"/>
          <w:sz w:val="24"/>
          <w:highlight w:val="none"/>
        </w:rPr>
        <w:t>投标人须知</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第三章 </w:t>
      </w:r>
      <w:r>
        <w:rPr>
          <w:rFonts w:eastAsia="仿宋"/>
          <w:bCs/>
          <w:color w:val="auto"/>
          <w:kern w:val="0"/>
          <w:sz w:val="24"/>
          <w:highlight w:val="none"/>
        </w:rPr>
        <w:t>合同文本</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第四章 </w:t>
      </w:r>
      <w:r>
        <w:rPr>
          <w:rFonts w:eastAsia="仿宋"/>
          <w:bCs/>
          <w:color w:val="auto"/>
          <w:kern w:val="0"/>
          <w:sz w:val="24"/>
          <w:highlight w:val="none"/>
        </w:rPr>
        <w:t>投标文件格式</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第五章 </w:t>
      </w:r>
      <w:r>
        <w:rPr>
          <w:rFonts w:eastAsia="仿宋"/>
          <w:bCs/>
          <w:color w:val="auto"/>
          <w:kern w:val="0"/>
          <w:sz w:val="24"/>
          <w:highlight w:val="none"/>
        </w:rPr>
        <w:t>招标项目需求</w:t>
      </w:r>
    </w:p>
    <w:p>
      <w:pPr>
        <w:tabs>
          <w:tab w:val="left" w:pos="284"/>
          <w:tab w:val="left" w:pos="1108"/>
          <w:tab w:val="left" w:pos="1134"/>
        </w:tabs>
        <w:spacing w:line="460" w:lineRule="exact"/>
        <w:ind w:left="502" w:firstLine="240" w:firstLineChars="100"/>
        <w:rPr>
          <w:rFonts w:eastAsia="仿宋"/>
          <w:bCs/>
          <w:color w:val="auto"/>
          <w:kern w:val="0"/>
          <w:sz w:val="24"/>
          <w:highlight w:val="none"/>
        </w:rPr>
      </w:pPr>
      <w:r>
        <w:rPr>
          <w:rFonts w:eastAsia="仿宋"/>
          <w:color w:val="auto"/>
          <w:sz w:val="24"/>
          <w:highlight w:val="none"/>
        </w:rPr>
        <w:t xml:space="preserve">第六章 </w:t>
      </w:r>
      <w:r>
        <w:rPr>
          <w:rFonts w:eastAsia="仿宋"/>
          <w:bCs/>
          <w:color w:val="auto"/>
          <w:kern w:val="0"/>
          <w:sz w:val="24"/>
          <w:highlight w:val="none"/>
        </w:rPr>
        <w:t>评标方法</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5.2.投标人应认真阅读招标文件中所有的事项、格式、条款和技术规范等。如果投标人没有按照招标文件要求提交全部资料，或者投标没有对招标文件在各方面都做出实质性响应，因此导致其投标被拒绝或者被认定为无效投标，该责任由投标人承担。</w:t>
      </w:r>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澄清或修改</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6.1.采购人或者采购代理机构可以对已发出的招标文件（采购标的和资格条件除外）进行必要的澄清或者修改，修改后的澄清（答疑）文件经采购人确认，并在中国政府采购网发布更正公告，澄清或修改</w:t>
      </w:r>
      <w:bookmarkStart w:id="94" w:name="_Hlk25941639"/>
      <w:r>
        <w:rPr>
          <w:rFonts w:eastAsia="仿宋"/>
          <w:bCs/>
          <w:color w:val="auto"/>
          <w:kern w:val="0"/>
          <w:sz w:val="24"/>
          <w:highlight w:val="none"/>
        </w:rPr>
        <w:t>以邮件的形式通知所有已获取招标文件的投标人</w:t>
      </w:r>
      <w:bookmarkEnd w:id="94"/>
      <w:r>
        <w:rPr>
          <w:rFonts w:eastAsia="仿宋"/>
          <w:bCs/>
          <w:color w:val="auto"/>
          <w:kern w:val="0"/>
          <w:sz w:val="24"/>
          <w:highlight w:val="none"/>
        </w:rPr>
        <w:t>，除此之外不做另行通知，如未及时领取澄清（答疑）文件，产生的后果由投标人自己承担。</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6.2.澄清或者修改内容可能影响投标文件编制的，采购人或者采购代理机构应当在投标截止时间至少15日前以邮件的形式通知所有已获取招标文件的投标人，不足15日的采购人或者采购代理机构应当顺延提交投标文件截止时间。</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6.3.该澄清或修改文件的内容是招标文件的组成部分，并对投标人具有约束力。</w:t>
      </w:r>
    </w:p>
    <w:p>
      <w:pPr>
        <w:spacing w:line="460" w:lineRule="exact"/>
        <w:jc w:val="center"/>
        <w:outlineLvl w:val="1"/>
        <w:rPr>
          <w:rFonts w:eastAsia="仿宋"/>
          <w:b/>
          <w:bCs/>
          <w:color w:val="auto"/>
          <w:kern w:val="0"/>
          <w:sz w:val="24"/>
          <w:highlight w:val="none"/>
        </w:rPr>
      </w:pPr>
      <w:bookmarkStart w:id="95" w:name="_Toc6770"/>
      <w:bookmarkStart w:id="96" w:name="_Toc8918"/>
      <w:bookmarkStart w:id="97" w:name="_Toc6179"/>
      <w:bookmarkStart w:id="98" w:name="_Toc4981"/>
      <w:bookmarkStart w:id="99" w:name="_Toc878"/>
      <w:bookmarkStart w:id="100" w:name="_Toc111018935"/>
      <w:r>
        <w:rPr>
          <w:rFonts w:eastAsia="仿宋"/>
          <w:b/>
          <w:bCs/>
          <w:color w:val="auto"/>
          <w:kern w:val="0"/>
          <w:sz w:val="24"/>
          <w:highlight w:val="none"/>
        </w:rPr>
        <w:t>三、政府采购优惠政策</w:t>
      </w:r>
      <w:bookmarkEnd w:id="95"/>
      <w:bookmarkEnd w:id="96"/>
      <w:bookmarkEnd w:id="97"/>
      <w:bookmarkEnd w:id="98"/>
      <w:bookmarkEnd w:id="99"/>
      <w:bookmarkEnd w:id="100"/>
    </w:p>
    <w:p>
      <w:pPr>
        <w:numPr>
          <w:ilvl w:val="0"/>
          <w:numId w:val="3"/>
        </w:numPr>
        <w:spacing w:line="460" w:lineRule="exact"/>
        <w:ind w:left="284" w:hanging="284"/>
        <w:rPr>
          <w:rFonts w:eastAsia="仿宋"/>
          <w:b/>
          <w:bCs/>
          <w:color w:val="auto"/>
          <w:kern w:val="0"/>
          <w:sz w:val="24"/>
          <w:highlight w:val="none"/>
        </w:rPr>
      </w:pPr>
      <w:r>
        <w:rPr>
          <w:rFonts w:eastAsia="仿宋"/>
          <w:b/>
          <w:bCs/>
          <w:color w:val="auto"/>
          <w:kern w:val="0"/>
          <w:sz w:val="24"/>
          <w:highlight w:val="none"/>
        </w:rPr>
        <w:t>中小企业或监狱企业参加投标享受的扶持政策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7.2.投标的货物由小型或微型企业生产且使用该小型或微型企业商号或者注册商标，将对投标报价给予10%的扣除，用扣除后的价格参加评审。</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7.3.中小企业参加政府采购活动时，必须提供《中小企业声明函》，否则不得享受相关中小企业扶持政策。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7.4.投标人提供的货物既有中小企业制造商货物，也有大型企业制造货物的，不享受《政府采购促进中小企业发展管理办法》规定的中小企业扶持政策。</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7.5.享受扶持政策获得政府采购合同的，小微企业不得将合同分包给大中型企业，中型企业不得将合同分包给大型企业。</w:t>
      </w:r>
    </w:p>
    <w:p>
      <w:pPr>
        <w:tabs>
          <w:tab w:val="left" w:pos="0"/>
          <w:tab w:val="left" w:pos="284"/>
          <w:tab w:val="left" w:pos="567"/>
          <w:tab w:val="left" w:pos="993"/>
          <w:tab w:val="left" w:pos="1361"/>
        </w:tabs>
        <w:spacing w:line="460" w:lineRule="exact"/>
        <w:rPr>
          <w:rFonts w:eastAsia="仿宋"/>
          <w:bCs/>
          <w:color w:val="auto"/>
          <w:kern w:val="0"/>
          <w:sz w:val="24"/>
          <w:highlight w:val="none"/>
        </w:rPr>
      </w:pPr>
      <w:r>
        <w:rPr>
          <w:rFonts w:eastAsia="仿宋"/>
          <w:bCs/>
          <w:color w:val="auto"/>
          <w:kern w:val="0"/>
          <w:sz w:val="24"/>
          <w:highlight w:val="none"/>
        </w:rPr>
        <w:t>7.6.根据《财政部 司法部关于政府采购支持监狱企业发展有关问题的通知》（财库[2014]68号）的规定，监狱企业视同小型、微型企业，投标的货物由小型或微型企业生产且使用该小型或微型企业商号或者注册商标，将对报价给予10%的扣除。监狱企业参加本次政府采购活动时，应当提供由省级以上监狱管理局、戒毒管理局（含新疆生产建设兵团）出具的属于监狱企业的证明文件，提交的监狱企业的证明文件不真实的，应承担相应的法律责任。</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残疾人福利性单位参加投标享受的扶持政策</w:t>
      </w:r>
    </w:p>
    <w:p>
      <w:pPr>
        <w:tabs>
          <w:tab w:val="left" w:pos="0"/>
          <w:tab w:val="left" w:pos="284"/>
          <w:tab w:val="left" w:pos="587"/>
          <w:tab w:val="left" w:pos="709"/>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根据《三部门联合发布关于促进残疾人就业政府采购政策的通知》（财库[2017]141号）的规定，</w:t>
      </w:r>
      <w:r>
        <w:rPr>
          <w:rFonts w:eastAsia="仿宋"/>
          <w:color w:val="auto"/>
          <w:sz w:val="24"/>
          <w:highlight w:val="none"/>
        </w:rPr>
        <w:t>残疾人福利性单位视同小型、微型企业，</w:t>
      </w:r>
      <w:r>
        <w:rPr>
          <w:rFonts w:eastAsia="仿宋"/>
          <w:color w:val="auto"/>
          <w:kern w:val="0"/>
          <w:sz w:val="24"/>
          <w:highlight w:val="none"/>
        </w:rPr>
        <w:t>投标的货物由小型或微型企业生产且使用该小型或微型企业商号或者注册商标，</w:t>
      </w:r>
      <w:r>
        <w:rPr>
          <w:rFonts w:eastAsia="仿宋"/>
          <w:color w:val="auto"/>
          <w:sz w:val="24"/>
          <w:highlight w:val="none"/>
        </w:rPr>
        <w:t>将对投标报价给予10%的扣除。残疾人福利性单位</w:t>
      </w:r>
      <w:r>
        <w:rPr>
          <w:rFonts w:eastAsia="仿宋"/>
          <w:color w:val="auto"/>
          <w:kern w:val="0"/>
          <w:sz w:val="24"/>
          <w:highlight w:val="none"/>
        </w:rPr>
        <w:t>参加本次政府采购活动时，</w:t>
      </w:r>
      <w:r>
        <w:rPr>
          <w:rFonts w:eastAsia="仿宋"/>
          <w:color w:val="auto"/>
          <w:sz w:val="24"/>
          <w:highlight w:val="none"/>
        </w:rPr>
        <w:t>应当提供招标文件要求的《残疾人福利性单位声明函》给予证明，并对声明的真实性负责。提交的残疾人福利性单位声明函不真实的，应承担相应的法律责任。</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节能产品和环境标志产品</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采购人购买的产品属于《节能产品政府采购品目清单》或《环境标志产品政府采购品目清单》强制采购目录范围的，投标人应当按照</w:t>
      </w:r>
      <w:r>
        <w:rPr>
          <w:rFonts w:hint="eastAsia" w:eastAsia="仿宋"/>
          <w:bCs/>
          <w:color w:val="auto"/>
          <w:kern w:val="0"/>
          <w:sz w:val="24"/>
          <w:highlight w:val="none"/>
          <w:lang w:eastAsia="zh-CN"/>
        </w:rPr>
        <w:t>“</w:t>
      </w:r>
      <w:r>
        <w:rPr>
          <w:rFonts w:eastAsia="仿宋"/>
          <w:bCs/>
          <w:color w:val="auto"/>
          <w:kern w:val="0"/>
          <w:sz w:val="24"/>
          <w:highlight w:val="none"/>
        </w:rPr>
        <w:t>《国务院办公厅关于建立政府强制采购节能产品制度的通知》（国办发[2007]51号）</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《财政部 发展改革委 生态环境部 市场监管总局 关于调整优化节能产品、环境标志产品政府采购执行机制的通知》（财库[2019]9号）</w:t>
      </w:r>
      <w:r>
        <w:rPr>
          <w:rFonts w:hint="eastAsia" w:eastAsia="仿宋"/>
          <w:bCs/>
          <w:color w:val="auto"/>
          <w:kern w:val="0"/>
          <w:sz w:val="24"/>
          <w:highlight w:val="none"/>
          <w:lang w:eastAsia="zh-CN"/>
        </w:rPr>
        <w:t>”</w:t>
      </w:r>
      <w:r>
        <w:rPr>
          <w:rFonts w:eastAsia="仿宋"/>
          <w:bCs/>
          <w:color w:val="auto"/>
          <w:kern w:val="0"/>
          <w:sz w:val="24"/>
          <w:highlight w:val="none"/>
        </w:rPr>
        <w:t>的规定，选择符合要求的节能产品和环境标志产品参与投标。</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采购人购买的产品不属于《节能产品政府采购品目清单》或《环境标志产品政府采购品目清单》强制采购目录范围的，对于投标人选择《节能产品政府采购品目清单》或《环境标志产品政府采购品目清单》范围内产品参与投标的，予以优先采购。</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以中国政府采购网（</w:t>
      </w:r>
      <w:r>
        <w:rPr>
          <w:rFonts w:eastAsia="仿宋"/>
          <w:color w:val="auto"/>
          <w:kern w:val="0"/>
          <w:sz w:val="24"/>
          <w:highlight w:val="none"/>
        </w:rPr>
        <w:drawing>
          <wp:inline distT="0" distB="0" distL="0" distR="0">
            <wp:extent cx="191135" cy="142875"/>
            <wp:effectExtent l="0" t="0" r="18415" b="9525"/>
            <wp:docPr id="2" name="图片 1"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W@GJ$ACOF(TYDYECOKVDYB"/>
                    <pic:cNvPicPr>
                      <a:picLocks noChangeAspect="1" noChangeArrowheads="1"/>
                    </pic:cNvPicPr>
                  </pic:nvPicPr>
                  <pic:blipFill>
                    <a:blip r:embed="rId18"/>
                    <a:srcRect/>
                    <a:stretch>
                      <a:fillRect/>
                    </a:stretch>
                  </pic:blipFill>
                  <pic:spPr>
                    <a:xfrm>
                      <a:off x="0" y="0"/>
                      <a:ext cx="191135" cy="142875"/>
                    </a:xfrm>
                    <a:prstGeom prst="rect">
                      <a:avLst/>
                    </a:prstGeom>
                    <a:noFill/>
                    <a:ln w="9525">
                      <a:noFill/>
                      <a:miter lim="800000"/>
                      <a:headEnd/>
                      <a:tailEnd/>
                    </a:ln>
                  </pic:spPr>
                </pic:pic>
              </a:graphicData>
            </a:graphic>
          </wp:inline>
        </w:drawing>
      </w:r>
      <w:r>
        <w:rPr>
          <w:rFonts w:eastAsia="仿宋"/>
          <w:bCs/>
          <w:color w:val="auto"/>
          <w:kern w:val="0"/>
          <w:sz w:val="24"/>
          <w:highlight w:val="none"/>
        </w:rPr>
        <w:t>http://www.ccgp.gov.cn/）公布的最新《节能产品政府采购品目清单》和《环境标志产品政府采购品目清单》为准。</w:t>
      </w:r>
    </w:p>
    <w:p>
      <w:pPr>
        <w:numPr>
          <w:ilvl w:val="1"/>
          <w:numId w:val="6"/>
        </w:numPr>
        <w:tabs>
          <w:tab w:val="left" w:pos="0"/>
          <w:tab w:val="left" w:pos="284"/>
          <w:tab w:val="left" w:pos="567"/>
          <w:tab w:val="left" w:pos="993"/>
        </w:tabs>
        <w:spacing w:line="460" w:lineRule="exact"/>
        <w:ind w:left="0" w:firstLine="0"/>
        <w:rPr>
          <w:rFonts w:eastAsia="仿宋"/>
          <w:bCs/>
          <w:color w:val="auto"/>
          <w:kern w:val="0"/>
          <w:sz w:val="24"/>
          <w:highlight w:val="none"/>
        </w:rPr>
      </w:pPr>
      <w:r>
        <w:rPr>
          <w:rFonts w:eastAsia="仿宋"/>
          <w:bCs/>
          <w:color w:val="auto"/>
          <w:kern w:val="0"/>
          <w:sz w:val="24"/>
          <w:highlight w:val="none"/>
        </w:rPr>
        <w:t>投标人选择</w:t>
      </w:r>
      <w:r>
        <w:rPr>
          <w:rFonts w:hint="eastAsia" w:eastAsia="仿宋"/>
          <w:bCs/>
          <w:color w:val="auto"/>
          <w:kern w:val="0"/>
          <w:sz w:val="24"/>
          <w:highlight w:val="none"/>
          <w:lang w:eastAsia="zh-CN"/>
        </w:rPr>
        <w:t>“</w:t>
      </w:r>
      <w:r>
        <w:rPr>
          <w:rFonts w:eastAsia="仿宋"/>
          <w:bCs/>
          <w:color w:val="auto"/>
          <w:kern w:val="0"/>
          <w:sz w:val="24"/>
          <w:highlight w:val="none"/>
        </w:rPr>
        <w:t>节能产品</w:t>
      </w:r>
      <w:r>
        <w:rPr>
          <w:rFonts w:hint="eastAsia" w:eastAsia="仿宋"/>
          <w:bCs/>
          <w:color w:val="auto"/>
          <w:kern w:val="0"/>
          <w:sz w:val="24"/>
          <w:highlight w:val="none"/>
          <w:lang w:eastAsia="zh-CN"/>
        </w:rPr>
        <w:t>”</w:t>
      </w:r>
      <w:r>
        <w:rPr>
          <w:rFonts w:eastAsia="仿宋"/>
          <w:bCs/>
          <w:color w:val="auto"/>
          <w:kern w:val="0"/>
          <w:sz w:val="24"/>
          <w:highlight w:val="none"/>
        </w:rPr>
        <w:t>和</w:t>
      </w:r>
      <w:r>
        <w:rPr>
          <w:rFonts w:hint="eastAsia" w:eastAsia="仿宋"/>
          <w:bCs/>
          <w:color w:val="auto"/>
          <w:kern w:val="0"/>
          <w:sz w:val="24"/>
          <w:highlight w:val="none"/>
          <w:lang w:eastAsia="zh-CN"/>
        </w:rPr>
        <w:t>“</w:t>
      </w:r>
      <w:r>
        <w:rPr>
          <w:rFonts w:eastAsia="仿宋"/>
          <w:bCs/>
          <w:color w:val="auto"/>
          <w:kern w:val="0"/>
          <w:sz w:val="24"/>
          <w:highlight w:val="none"/>
        </w:rPr>
        <w:t>环境标志产品</w:t>
      </w:r>
      <w:r>
        <w:rPr>
          <w:rFonts w:hint="eastAsia" w:eastAsia="仿宋"/>
          <w:bCs/>
          <w:color w:val="auto"/>
          <w:kern w:val="0"/>
          <w:sz w:val="24"/>
          <w:highlight w:val="none"/>
          <w:lang w:eastAsia="zh-CN"/>
        </w:rPr>
        <w:t>”</w:t>
      </w:r>
      <w:r>
        <w:rPr>
          <w:rFonts w:eastAsia="仿宋"/>
          <w:bCs/>
          <w:color w:val="auto"/>
          <w:kern w:val="0"/>
          <w:sz w:val="24"/>
          <w:highlight w:val="none"/>
        </w:rPr>
        <w:t>参与投标的，应当在投标文件中提供由国家确定的认证机构出具的处于有效期之内的节能产品、环境标志产品认证证书，对获得证书的产品实施政府优先采购或强制采购。</w:t>
      </w:r>
    </w:p>
    <w:p>
      <w:pPr>
        <w:spacing w:line="460" w:lineRule="exact"/>
        <w:jc w:val="center"/>
        <w:outlineLvl w:val="1"/>
        <w:rPr>
          <w:rFonts w:eastAsia="仿宋"/>
          <w:b/>
          <w:bCs/>
          <w:color w:val="auto"/>
          <w:kern w:val="0"/>
          <w:sz w:val="24"/>
          <w:highlight w:val="none"/>
        </w:rPr>
      </w:pPr>
      <w:bookmarkStart w:id="101" w:name="_Toc16205"/>
      <w:bookmarkStart w:id="102" w:name="_Toc25767"/>
      <w:bookmarkStart w:id="103" w:name="_Toc30834"/>
      <w:bookmarkStart w:id="104" w:name="_Toc30618"/>
      <w:bookmarkStart w:id="105" w:name="_Toc111018936"/>
      <w:bookmarkStart w:id="106" w:name="_Toc29312"/>
      <w:r>
        <w:rPr>
          <w:rFonts w:eastAsia="仿宋"/>
          <w:b/>
          <w:bCs/>
          <w:color w:val="auto"/>
          <w:kern w:val="0"/>
          <w:sz w:val="24"/>
          <w:highlight w:val="none"/>
        </w:rPr>
        <w:t>四、投标文件的编制</w:t>
      </w:r>
      <w:bookmarkEnd w:id="101"/>
      <w:bookmarkEnd w:id="102"/>
      <w:bookmarkEnd w:id="103"/>
      <w:bookmarkEnd w:id="104"/>
      <w:bookmarkEnd w:id="105"/>
      <w:bookmarkEnd w:id="106"/>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注意事项</w:t>
      </w:r>
    </w:p>
    <w:p>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投标人应仔细阅读招标文件，在完全了解招标文件的内容、要求后，编制投标文件。</w:t>
      </w:r>
    </w:p>
    <w:p>
      <w:pPr>
        <w:numPr>
          <w:ilvl w:val="1"/>
          <w:numId w:val="7"/>
        </w:numPr>
        <w:tabs>
          <w:tab w:val="left" w:pos="709"/>
        </w:tabs>
        <w:spacing w:line="460" w:lineRule="exact"/>
        <w:ind w:left="709" w:hanging="709"/>
        <w:rPr>
          <w:rFonts w:eastAsia="仿宋"/>
          <w:bCs/>
          <w:color w:val="auto"/>
          <w:kern w:val="0"/>
          <w:sz w:val="24"/>
          <w:highlight w:val="none"/>
        </w:rPr>
      </w:pPr>
      <w:r>
        <w:rPr>
          <w:rFonts w:eastAsia="仿宋"/>
          <w:bCs/>
          <w:color w:val="auto"/>
          <w:kern w:val="0"/>
          <w:sz w:val="24"/>
          <w:highlight w:val="none"/>
        </w:rPr>
        <w:t>投标人应按投标文件的构成顺序自编目录及页码。</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构成</w:t>
      </w:r>
    </w:p>
    <w:p>
      <w:pPr>
        <w:tabs>
          <w:tab w:val="left" w:pos="284"/>
          <w:tab w:val="left" w:pos="851"/>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投标人编制的投标文件应包括下列内容：</w:t>
      </w:r>
      <w:r>
        <w:rPr>
          <w:rFonts w:eastAsia="仿宋"/>
          <w:b/>
          <w:bCs/>
          <w:color w:val="auto"/>
          <w:kern w:val="0"/>
          <w:sz w:val="24"/>
          <w:highlight w:val="none"/>
        </w:rPr>
        <w:t>详见招标文件</w:t>
      </w:r>
      <w:r>
        <w:rPr>
          <w:rFonts w:hint="eastAsia" w:eastAsia="仿宋"/>
          <w:b/>
          <w:bCs/>
          <w:color w:val="auto"/>
          <w:kern w:val="0"/>
          <w:sz w:val="24"/>
          <w:highlight w:val="none"/>
          <w:lang w:eastAsia="zh-CN"/>
        </w:rPr>
        <w:t>“</w:t>
      </w:r>
      <w:r>
        <w:rPr>
          <w:rFonts w:eastAsia="仿宋"/>
          <w:b/>
          <w:bCs/>
          <w:color w:val="auto"/>
          <w:kern w:val="0"/>
          <w:sz w:val="24"/>
          <w:highlight w:val="none"/>
        </w:rPr>
        <w:t>第四章 投标文件格式</w:t>
      </w:r>
      <w:r>
        <w:rPr>
          <w:rFonts w:hint="eastAsia" w:eastAsia="仿宋"/>
          <w:b/>
          <w:bCs/>
          <w:color w:val="auto"/>
          <w:kern w:val="0"/>
          <w:sz w:val="24"/>
          <w:highlight w:val="none"/>
          <w:lang w:eastAsia="zh-CN"/>
        </w:rPr>
        <w:t>”</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文字及计量单位</w:t>
      </w:r>
    </w:p>
    <w:p>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投标文件以及投标人与采购代理机构的所有来往的文件统一使用中文（另有规定的除外）。投标人提交的支持文件或印刷的文献可以用另一种语言，但相应内容应附有中文翻译本，在解释投标文件内容时以中文翻译本为准。</w:t>
      </w:r>
    </w:p>
    <w:p>
      <w:pPr>
        <w:numPr>
          <w:ilvl w:val="1"/>
          <w:numId w:val="8"/>
        </w:numPr>
        <w:tabs>
          <w:tab w:val="left" w:pos="284"/>
          <w:tab w:val="left" w:pos="709"/>
          <w:tab w:val="left" w:pos="1276"/>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投标文件中使用的计量单位除招标文件中有特殊规定外，一律使用国家法定计量单位。</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格式</w:t>
      </w:r>
    </w:p>
    <w:p>
      <w:pPr>
        <w:numPr>
          <w:ilvl w:val="1"/>
          <w:numId w:val="9"/>
        </w:numPr>
        <w:tabs>
          <w:tab w:val="left" w:pos="0"/>
          <w:tab w:val="left" w:pos="284"/>
          <w:tab w:val="left" w:pos="567"/>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 xml:space="preserve">投标人应按招标文件投标文件格式中提供的 </w:t>
      </w:r>
      <w:r>
        <w:rPr>
          <w:rFonts w:hint="eastAsia" w:eastAsia="仿宋"/>
          <w:bCs/>
          <w:color w:val="auto"/>
          <w:kern w:val="0"/>
          <w:sz w:val="24"/>
          <w:highlight w:val="none"/>
          <w:lang w:eastAsia="zh-CN"/>
        </w:rPr>
        <w:t>“</w:t>
      </w:r>
      <w:r>
        <w:rPr>
          <w:rFonts w:eastAsia="仿宋"/>
          <w:bCs/>
          <w:color w:val="auto"/>
          <w:kern w:val="0"/>
          <w:sz w:val="24"/>
          <w:highlight w:val="none"/>
        </w:rPr>
        <w:t>投标书</w:t>
      </w:r>
      <w:r>
        <w:rPr>
          <w:rFonts w:hint="eastAsia" w:eastAsia="仿宋"/>
          <w:bCs/>
          <w:color w:val="auto"/>
          <w:kern w:val="0"/>
          <w:sz w:val="24"/>
          <w:highlight w:val="none"/>
          <w:lang w:eastAsia="zh-CN"/>
        </w:rPr>
        <w:t>”</w:t>
      </w:r>
      <w:r>
        <w:rPr>
          <w:rFonts w:eastAsia="仿宋"/>
          <w:bCs/>
          <w:color w:val="auto"/>
          <w:kern w:val="0"/>
          <w:sz w:val="24"/>
          <w:highlight w:val="none"/>
        </w:rPr>
        <w:t>、</w:t>
      </w:r>
      <w:r>
        <w:rPr>
          <w:rFonts w:hint="eastAsia" w:eastAsia="仿宋"/>
          <w:bCs/>
          <w:color w:val="auto"/>
          <w:kern w:val="0"/>
          <w:sz w:val="24"/>
          <w:highlight w:val="none"/>
          <w:lang w:eastAsia="zh-CN"/>
        </w:rPr>
        <w:t>“</w:t>
      </w:r>
      <w:r>
        <w:rPr>
          <w:rFonts w:eastAsia="仿宋"/>
          <w:bCs/>
          <w:color w:val="auto"/>
          <w:kern w:val="0"/>
          <w:sz w:val="24"/>
          <w:highlight w:val="none"/>
        </w:rPr>
        <w:t>开标一览表</w:t>
      </w:r>
      <w:r>
        <w:rPr>
          <w:rFonts w:hint="eastAsia" w:eastAsia="仿宋"/>
          <w:bCs/>
          <w:color w:val="auto"/>
          <w:kern w:val="0"/>
          <w:sz w:val="24"/>
          <w:highlight w:val="none"/>
          <w:lang w:eastAsia="zh-CN"/>
        </w:rPr>
        <w:t>”</w:t>
      </w:r>
      <w:r>
        <w:rPr>
          <w:rFonts w:eastAsia="仿宋"/>
          <w:bCs/>
          <w:color w:val="auto"/>
          <w:kern w:val="0"/>
          <w:sz w:val="24"/>
          <w:highlight w:val="none"/>
        </w:rPr>
        <w:t>等格式详细完整地填写各项内容。</w:t>
      </w:r>
    </w:p>
    <w:p>
      <w:pPr>
        <w:numPr>
          <w:ilvl w:val="1"/>
          <w:numId w:val="9"/>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投标人不得将同一包中的内容拆开投标，</w:t>
      </w:r>
      <w:r>
        <w:rPr>
          <w:rFonts w:eastAsia="仿宋"/>
          <w:b/>
          <w:bCs/>
          <w:color w:val="auto"/>
          <w:kern w:val="0"/>
          <w:sz w:val="24"/>
          <w:highlight w:val="none"/>
        </w:rPr>
        <w:t>否则投标无效。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投标报价和货币</w:t>
      </w:r>
    </w:p>
    <w:p>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投标人应按招标文件第五章中的内容作出完整、唯一报价，并且所报价格不得超过第一章中的预算金额，如有最高限价的，所报价格不得超过第一章中的最高限价，</w:t>
      </w:r>
      <w:r>
        <w:rPr>
          <w:rFonts w:eastAsia="仿宋"/>
          <w:b/>
          <w:color w:val="auto"/>
          <w:kern w:val="0"/>
          <w:sz w:val="24"/>
          <w:highlight w:val="none"/>
        </w:rPr>
        <w:t>否则投标无效。</w:t>
      </w:r>
    </w:p>
    <w:p>
      <w:pPr>
        <w:numPr>
          <w:ilvl w:val="1"/>
          <w:numId w:val="10"/>
        </w:numPr>
        <w:tabs>
          <w:tab w:val="left" w:pos="0"/>
          <w:tab w:val="left" w:pos="284"/>
          <w:tab w:val="left" w:pos="567"/>
          <w:tab w:val="left" w:pos="709"/>
          <w:tab w:val="left" w:pos="935"/>
        </w:tabs>
        <w:spacing w:line="460" w:lineRule="exact"/>
        <w:ind w:left="0" w:firstLine="0"/>
        <w:rPr>
          <w:rFonts w:eastAsia="仿宋"/>
          <w:b/>
          <w:bCs/>
          <w:color w:val="auto"/>
          <w:kern w:val="0"/>
          <w:sz w:val="24"/>
          <w:highlight w:val="none"/>
        </w:rPr>
      </w:pPr>
      <w:r>
        <w:rPr>
          <w:rFonts w:eastAsia="仿宋"/>
          <w:bCs/>
          <w:color w:val="auto"/>
          <w:kern w:val="0"/>
          <w:sz w:val="24"/>
          <w:highlight w:val="none"/>
        </w:rPr>
        <w:t>投标人须按开标一览表、开标一览表明细的内容填写单价、总价及其他事项。</w:t>
      </w:r>
    </w:p>
    <w:p>
      <w:pPr>
        <w:numPr>
          <w:ilvl w:val="1"/>
          <w:numId w:val="10"/>
        </w:numPr>
        <w:tabs>
          <w:tab w:val="left" w:pos="0"/>
          <w:tab w:val="left" w:pos="284"/>
          <w:tab w:val="left" w:pos="567"/>
          <w:tab w:val="left" w:pos="709"/>
        </w:tabs>
        <w:spacing w:line="460" w:lineRule="exact"/>
        <w:ind w:left="0" w:firstLine="0"/>
        <w:rPr>
          <w:rFonts w:eastAsia="仿宋"/>
          <w:bCs/>
          <w:color w:val="auto"/>
          <w:kern w:val="0"/>
          <w:sz w:val="24"/>
          <w:highlight w:val="none"/>
        </w:rPr>
      </w:pPr>
      <w:r>
        <w:rPr>
          <w:rFonts w:eastAsia="仿宋"/>
          <w:bCs/>
          <w:color w:val="auto"/>
          <w:kern w:val="0"/>
          <w:sz w:val="24"/>
          <w:highlight w:val="none"/>
        </w:rPr>
        <w:t>投标人的报价在合同执行过程中是固定不变的，不得以任何理由予以变更。投标人应对所有招标内容进行投标，且只提供最优方案一套，投标人提交任何包含价格调整要求的投标将按非实质性响应招标文件要求，</w:t>
      </w:r>
      <w:r>
        <w:rPr>
          <w:rFonts w:eastAsia="仿宋"/>
          <w:b/>
          <w:bCs/>
          <w:color w:val="auto"/>
          <w:kern w:val="0"/>
          <w:sz w:val="24"/>
          <w:highlight w:val="none"/>
        </w:rPr>
        <w:t>视为投标无效</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证明投标人合格和资格的证明文件</w:t>
      </w:r>
    </w:p>
    <w:p>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投标人应提供证明其合格和资格的证明文件</w:t>
      </w:r>
      <w:r>
        <w:rPr>
          <w:rFonts w:hint="eastAsia" w:eastAsia="仿宋"/>
          <w:b/>
          <w:bCs/>
          <w:color w:val="auto"/>
          <w:kern w:val="0"/>
          <w:sz w:val="24"/>
          <w:highlight w:val="none"/>
          <w:lang w:eastAsia="zh-CN"/>
        </w:rPr>
        <w:t>（</w:t>
      </w:r>
      <w:r>
        <w:rPr>
          <w:rFonts w:eastAsia="仿宋"/>
          <w:b/>
          <w:bCs/>
          <w:color w:val="auto"/>
          <w:kern w:val="0"/>
          <w:sz w:val="24"/>
          <w:highlight w:val="none"/>
        </w:rPr>
        <w:t>格式详见：第四章 投标文件格式</w:t>
      </w:r>
      <w:r>
        <w:rPr>
          <w:rFonts w:hint="eastAsia" w:eastAsia="仿宋"/>
          <w:b/>
          <w:bCs/>
          <w:color w:val="auto"/>
          <w:kern w:val="0"/>
          <w:sz w:val="24"/>
          <w:highlight w:val="none"/>
          <w:lang w:eastAsia="zh-CN"/>
        </w:rPr>
        <w:t>“</w:t>
      </w:r>
      <w:r>
        <w:rPr>
          <w:rFonts w:eastAsia="仿宋"/>
          <w:b/>
          <w:bCs/>
          <w:color w:val="auto"/>
          <w:kern w:val="0"/>
          <w:sz w:val="24"/>
          <w:highlight w:val="none"/>
        </w:rPr>
        <w:t>资格证明文件</w:t>
      </w:r>
      <w:r>
        <w:rPr>
          <w:rFonts w:hint="eastAsia" w:eastAsia="仿宋"/>
          <w:b/>
          <w:bCs/>
          <w:color w:val="auto"/>
          <w:kern w:val="0"/>
          <w:sz w:val="24"/>
          <w:highlight w:val="none"/>
          <w:lang w:eastAsia="zh-CN"/>
        </w:rPr>
        <w:t>”）</w:t>
      </w:r>
      <w:r>
        <w:rPr>
          <w:rFonts w:eastAsia="仿宋"/>
          <w:bCs/>
          <w:color w:val="auto"/>
          <w:kern w:val="0"/>
          <w:sz w:val="24"/>
          <w:highlight w:val="none"/>
        </w:rPr>
        <w:t>。</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证明货物和相关服务符合招标文件规定的文件</w:t>
      </w:r>
    </w:p>
    <w:p>
      <w:pPr>
        <w:tabs>
          <w:tab w:val="left" w:pos="0"/>
          <w:tab w:val="left" w:pos="709"/>
          <w:tab w:val="left" w:pos="851"/>
          <w:tab w:val="left" w:pos="935"/>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投标人应提交证明其拟供的合同项下的货物及相关服务符合招标文件规定的文件。该证明文件作为投标文件的一部分。</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投标保证金</w:t>
      </w:r>
    </w:p>
    <w:p>
      <w:pPr>
        <w:numPr>
          <w:ilvl w:val="1"/>
          <w:numId w:val="11"/>
        </w:numPr>
        <w:tabs>
          <w:tab w:val="left" w:pos="0"/>
          <w:tab w:val="left" w:pos="709"/>
          <w:tab w:val="left" w:pos="935"/>
          <w:tab w:val="left" w:pos="993"/>
          <w:tab w:val="left" w:pos="1108"/>
        </w:tabs>
        <w:spacing w:line="460" w:lineRule="exact"/>
        <w:ind w:hanging="1077"/>
        <w:rPr>
          <w:rFonts w:eastAsia="仿宋"/>
          <w:bCs/>
          <w:color w:val="auto"/>
          <w:kern w:val="0"/>
          <w:sz w:val="24"/>
          <w:highlight w:val="none"/>
        </w:rPr>
      </w:pPr>
      <w:r>
        <w:rPr>
          <w:rFonts w:eastAsia="仿宋"/>
          <w:bCs/>
          <w:color w:val="auto"/>
          <w:kern w:val="0"/>
          <w:sz w:val="24"/>
          <w:highlight w:val="none"/>
        </w:rPr>
        <w:t>投标保证金提交金额、时间、形式等要求：</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bCs/>
          <w:color w:val="auto"/>
          <w:kern w:val="0"/>
          <w:sz w:val="24"/>
          <w:highlight w:val="none"/>
          <w:u w:val="single"/>
          <w:lang w:eastAsia="zh-CN"/>
        </w:rPr>
        <w:t>”</w:t>
      </w:r>
      <w:r>
        <w:rPr>
          <w:rFonts w:eastAsia="仿宋"/>
          <w:bCs/>
          <w:color w:val="auto"/>
          <w:kern w:val="0"/>
          <w:sz w:val="24"/>
          <w:highlight w:val="none"/>
        </w:rPr>
        <w:t>。</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未中标人的投标保证金，自中标通知书发出之日起5个工作日内退还。</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中标人的投标保证金，自采购合同签订之日起5个工作日内退还。</w:t>
      </w:r>
    </w:p>
    <w:p>
      <w:pPr>
        <w:numPr>
          <w:ilvl w:val="1"/>
          <w:numId w:val="11"/>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下列任何情况发生时，不予退还其交纳的投标保证金：</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17.4.1投标人出现《政府采购法》第七十七条规定的情形之一的；</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17.4.2投标人在招标文件规定的投标有效期内撤回其投标；</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17.4.3中标人未按招标文件所述规定签订合同；</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17.4.4中标人未按规定缴纳代理服务费；</w:t>
      </w:r>
    </w:p>
    <w:p>
      <w:pPr>
        <w:tabs>
          <w:tab w:val="left" w:pos="284"/>
          <w:tab w:val="left" w:pos="851"/>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17.4.5中标人未按规定提交履约保证金（如招标文件要求提交履约保证金）；</w:t>
      </w:r>
    </w:p>
    <w:p>
      <w:pPr>
        <w:keepNext w:val="0"/>
        <w:keepLines w:val="0"/>
        <w:pageBreakBefore w:val="0"/>
        <w:widowControl w:val="0"/>
        <w:tabs>
          <w:tab w:val="left" w:pos="0"/>
          <w:tab w:val="left" w:pos="709"/>
          <w:tab w:val="left" w:pos="935"/>
          <w:tab w:val="left" w:pos="993"/>
          <w:tab w:val="left" w:pos="1108"/>
        </w:tabs>
        <w:kinsoku/>
        <w:wordWrap/>
        <w:overflowPunct/>
        <w:topLinePunct w:val="0"/>
        <w:autoSpaceDE/>
        <w:autoSpaceDN/>
        <w:bidi w:val="0"/>
        <w:adjustRightInd/>
        <w:snapToGrid/>
        <w:spacing w:line="460" w:lineRule="exact"/>
        <w:ind w:firstLine="360" w:firstLineChars="150"/>
        <w:textAlignment w:val="auto"/>
        <w:rPr>
          <w:rFonts w:eastAsia="仿宋"/>
          <w:bCs/>
          <w:color w:val="auto"/>
          <w:kern w:val="0"/>
          <w:sz w:val="24"/>
          <w:highlight w:val="none"/>
        </w:rPr>
      </w:pPr>
      <w:r>
        <w:rPr>
          <w:rFonts w:eastAsia="仿宋"/>
          <w:bCs/>
          <w:color w:val="auto"/>
          <w:kern w:val="0"/>
          <w:sz w:val="24"/>
          <w:highlight w:val="none"/>
        </w:rPr>
        <w:t>17.4.6中标人提供虚假材料和文件意图骗取中标。</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投标有效期</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color w:val="auto"/>
          <w:sz w:val="24"/>
          <w:highlight w:val="none"/>
        </w:rPr>
      </w:pPr>
      <w:r>
        <w:rPr>
          <w:rFonts w:eastAsia="仿宋"/>
          <w:color w:val="auto"/>
          <w:sz w:val="24"/>
          <w:highlight w:val="none"/>
        </w:rPr>
        <w:t>投标有效期：自开标之日起不少于九十个日历日，投标有效期不足的，</w:t>
      </w:r>
      <w:r>
        <w:rPr>
          <w:rFonts w:eastAsia="仿宋"/>
          <w:b/>
          <w:color w:val="auto"/>
          <w:sz w:val="24"/>
          <w:highlight w:val="none"/>
        </w:rPr>
        <w:t>投标无效。</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color w:val="auto"/>
          <w:sz w:val="24"/>
          <w:highlight w:val="none"/>
        </w:rPr>
        <w:t>投标有效期内，投标人不得对投标文件的实质性内容作出修改，并且以投标保证金进行担保。</w:t>
      </w:r>
    </w:p>
    <w:p>
      <w:pPr>
        <w:numPr>
          <w:ilvl w:val="1"/>
          <w:numId w:val="12"/>
        </w:numPr>
        <w:tabs>
          <w:tab w:val="left" w:pos="0"/>
          <w:tab w:val="left" w:pos="284"/>
          <w:tab w:val="left" w:pos="709"/>
          <w:tab w:val="left" w:pos="935"/>
          <w:tab w:val="left" w:pos="993"/>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在特殊情况下，采购代理机构</w:t>
      </w:r>
      <w:r>
        <w:rPr>
          <w:rFonts w:eastAsia="仿宋"/>
          <w:color w:val="auto"/>
          <w:sz w:val="24"/>
          <w:highlight w:val="none"/>
        </w:rPr>
        <w:t>或采购人</w:t>
      </w:r>
      <w:r>
        <w:rPr>
          <w:rFonts w:eastAsia="仿宋"/>
          <w:bCs/>
          <w:color w:val="auto"/>
          <w:kern w:val="0"/>
          <w:sz w:val="24"/>
          <w:highlight w:val="none"/>
        </w:rPr>
        <w:t>可延长投标有效期。延长投标有效期在中国政府采购网上发布，延期函以网上公告的形式通知所有已参加投标人。已参加的投标人应以书面形式答复采购代理机构</w:t>
      </w:r>
      <w:r>
        <w:rPr>
          <w:rFonts w:eastAsia="仿宋"/>
          <w:color w:val="auto"/>
          <w:sz w:val="24"/>
          <w:highlight w:val="none"/>
        </w:rPr>
        <w:t>或采购人</w:t>
      </w:r>
      <w:r>
        <w:rPr>
          <w:rFonts w:eastAsia="仿宋"/>
          <w:bCs/>
          <w:color w:val="auto"/>
          <w:kern w:val="0"/>
          <w:sz w:val="24"/>
          <w:highlight w:val="none"/>
        </w:rPr>
        <w:t>，同意延长有效期的投标人不能修改其投标文件，有关投标保证金的规定在投标有效期的延长期内继续有效。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投标文件的签署</w:t>
      </w:r>
    </w:p>
    <w:p>
      <w:pPr>
        <w:numPr>
          <w:ilvl w:val="1"/>
          <w:numId w:val="13"/>
        </w:numPr>
        <w:tabs>
          <w:tab w:val="left" w:pos="0"/>
          <w:tab w:val="left" w:pos="284"/>
          <w:tab w:val="left" w:pos="567"/>
          <w:tab w:val="left" w:pos="709"/>
          <w:tab w:val="left" w:pos="851"/>
          <w:tab w:val="left" w:pos="935"/>
        </w:tabs>
        <w:spacing w:line="460" w:lineRule="exact"/>
        <w:ind w:left="0" w:firstLine="0"/>
        <w:rPr>
          <w:rFonts w:eastAsia="仿宋"/>
          <w:bCs/>
          <w:color w:val="auto"/>
          <w:kern w:val="0"/>
          <w:sz w:val="24"/>
          <w:highlight w:val="none"/>
        </w:rPr>
      </w:pPr>
      <w:r>
        <w:rPr>
          <w:rFonts w:eastAsia="仿宋"/>
          <w:bCs/>
          <w:color w:val="auto"/>
          <w:kern w:val="0"/>
          <w:sz w:val="24"/>
          <w:highlight w:val="none"/>
        </w:rPr>
        <w:t>字迹潦草、表达不清、扫描件不清晰或未按要求填写的投标文件可能将被认定为</w:t>
      </w:r>
      <w:r>
        <w:rPr>
          <w:rFonts w:eastAsia="仿宋"/>
          <w:b/>
          <w:bCs/>
          <w:color w:val="auto"/>
          <w:kern w:val="0"/>
          <w:sz w:val="24"/>
          <w:highlight w:val="none"/>
        </w:rPr>
        <w:t>无效的投标</w:t>
      </w:r>
      <w:r>
        <w:rPr>
          <w:rFonts w:eastAsia="仿宋"/>
          <w:bCs/>
          <w:color w:val="auto"/>
          <w:kern w:val="0"/>
          <w:sz w:val="24"/>
          <w:highlight w:val="none"/>
        </w:rPr>
        <w:t>。</w:t>
      </w:r>
    </w:p>
    <w:p>
      <w:pPr>
        <w:numPr>
          <w:ilvl w:val="1"/>
          <w:numId w:val="13"/>
        </w:numPr>
        <w:tabs>
          <w:tab w:val="left" w:pos="0"/>
          <w:tab w:val="left" w:pos="284"/>
          <w:tab w:val="left" w:pos="567"/>
          <w:tab w:val="left" w:pos="709"/>
          <w:tab w:val="left" w:pos="935"/>
          <w:tab w:val="left" w:pos="1108"/>
        </w:tabs>
        <w:spacing w:line="460" w:lineRule="exact"/>
        <w:ind w:left="0" w:firstLine="0"/>
        <w:rPr>
          <w:rFonts w:eastAsia="仿宋"/>
          <w:bCs/>
          <w:color w:val="auto"/>
          <w:kern w:val="0"/>
          <w:sz w:val="24"/>
          <w:highlight w:val="none"/>
        </w:rPr>
      </w:pPr>
      <w:r>
        <w:rPr>
          <w:rFonts w:eastAsia="仿宋"/>
          <w:bCs/>
          <w:color w:val="auto"/>
          <w:kern w:val="0"/>
          <w:sz w:val="24"/>
          <w:highlight w:val="none"/>
        </w:rPr>
        <w:t>投标文件应由法定代表人或授权代表在本招标文件所规定签章处逐一签章或签字，</w:t>
      </w:r>
      <w:r>
        <w:rPr>
          <w:rFonts w:eastAsia="仿宋"/>
          <w:b/>
          <w:bCs/>
          <w:color w:val="auto"/>
          <w:kern w:val="0"/>
          <w:sz w:val="24"/>
          <w:highlight w:val="none"/>
        </w:rPr>
        <w:t>否则投标无效</w:t>
      </w:r>
      <w:r>
        <w:rPr>
          <w:rFonts w:eastAsia="仿宋"/>
          <w:bCs/>
          <w:color w:val="auto"/>
          <w:kern w:val="0"/>
          <w:sz w:val="24"/>
          <w:highlight w:val="none"/>
        </w:rPr>
        <w:t>。</w:t>
      </w:r>
    </w:p>
    <w:p>
      <w:pPr>
        <w:spacing w:line="460" w:lineRule="exact"/>
        <w:jc w:val="center"/>
        <w:outlineLvl w:val="1"/>
        <w:rPr>
          <w:rFonts w:eastAsia="仿宋"/>
          <w:b/>
          <w:bCs/>
          <w:color w:val="auto"/>
          <w:kern w:val="0"/>
          <w:sz w:val="24"/>
          <w:highlight w:val="none"/>
        </w:rPr>
      </w:pPr>
      <w:bookmarkStart w:id="107" w:name="_Toc20226"/>
      <w:bookmarkStart w:id="108" w:name="_Toc25324"/>
      <w:bookmarkStart w:id="109" w:name="_Toc111018937"/>
      <w:bookmarkStart w:id="110" w:name="_Toc13984"/>
      <w:bookmarkStart w:id="111" w:name="_Toc18948"/>
      <w:bookmarkStart w:id="112" w:name="_Toc13114"/>
      <w:r>
        <w:rPr>
          <w:rFonts w:eastAsia="仿宋"/>
          <w:b/>
          <w:bCs/>
          <w:color w:val="auto"/>
          <w:kern w:val="0"/>
          <w:sz w:val="24"/>
          <w:highlight w:val="none"/>
        </w:rPr>
        <w:t>五、投标文件的递交</w:t>
      </w:r>
      <w:bookmarkEnd w:id="107"/>
      <w:bookmarkEnd w:id="108"/>
      <w:bookmarkEnd w:id="109"/>
      <w:bookmarkEnd w:id="110"/>
      <w:bookmarkEnd w:id="111"/>
      <w:bookmarkEnd w:id="112"/>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投标文件的递交</w:t>
      </w:r>
    </w:p>
    <w:p>
      <w:pPr>
        <w:pStyle w:val="20"/>
        <w:adjustRightInd w:val="0"/>
        <w:snapToGrid w:val="0"/>
        <w:spacing w:line="460" w:lineRule="exact"/>
        <w:ind w:firstLine="477" w:firstLineChars="199"/>
        <w:rPr>
          <w:rFonts w:ascii="Times New Roman" w:hAnsi="Times New Roman" w:eastAsia="仿宋"/>
          <w:b/>
          <w:bCs/>
          <w:color w:val="auto"/>
          <w:sz w:val="24"/>
          <w:szCs w:val="24"/>
          <w:highlight w:val="none"/>
        </w:rPr>
      </w:pPr>
      <w:r>
        <w:rPr>
          <w:rFonts w:ascii="Times New Roman" w:hAnsi="Times New Roman" w:eastAsia="仿宋"/>
          <w:bCs/>
          <w:color w:val="auto"/>
          <w:sz w:val="24"/>
          <w:szCs w:val="24"/>
          <w:highlight w:val="none"/>
        </w:rPr>
        <w:t>投标文件（含电子投标文件和开标一览表（须包含开标一览表明细））必须在</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招标公告</w:t>
      </w:r>
      <w:r>
        <w:rPr>
          <w:rFonts w:hint="eastAsia" w:ascii="Times New Roman" w:hAnsi="Times New Roman" w:eastAsia="仿宋"/>
          <w:bCs/>
          <w:color w:val="auto"/>
          <w:sz w:val="24"/>
          <w:szCs w:val="24"/>
          <w:highlight w:val="none"/>
          <w:lang w:eastAsia="zh-CN"/>
        </w:rPr>
        <w:t>”</w:t>
      </w:r>
      <w:r>
        <w:rPr>
          <w:rFonts w:ascii="Times New Roman" w:hAnsi="Times New Roman" w:eastAsia="仿宋"/>
          <w:bCs/>
          <w:color w:val="auto"/>
          <w:sz w:val="24"/>
          <w:szCs w:val="24"/>
          <w:highlight w:val="none"/>
        </w:rPr>
        <w:t>规定的投标截止时间之前递交至</w:t>
      </w:r>
      <w:r>
        <w:rPr>
          <w:rFonts w:hint="eastAsia" w:ascii="Times New Roman" w:hAnsi="Times New Roman" w:eastAsia="仿宋"/>
          <w:bCs/>
          <w:color w:val="auto"/>
          <w:sz w:val="24"/>
          <w:szCs w:val="24"/>
          <w:highlight w:val="none"/>
          <w:lang w:eastAsia="zh-CN"/>
        </w:rPr>
        <w:t>江西合胜合招标咨询有限公司</w:t>
      </w:r>
      <w:r>
        <w:rPr>
          <w:rFonts w:ascii="Times New Roman" w:hAnsi="Times New Roman" w:eastAsia="仿宋"/>
          <w:bCs/>
          <w:color w:val="auto"/>
          <w:sz w:val="24"/>
          <w:szCs w:val="24"/>
          <w:highlight w:val="none"/>
        </w:rPr>
        <w:t>，</w:t>
      </w:r>
      <w:r>
        <w:rPr>
          <w:rFonts w:ascii="Times New Roman" w:hAnsi="Times New Roman" w:eastAsia="仿宋"/>
          <w:b/>
          <w:bCs/>
          <w:color w:val="auto"/>
          <w:sz w:val="24"/>
          <w:szCs w:val="24"/>
          <w:highlight w:val="none"/>
        </w:rPr>
        <w:t>否则投标无效。</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投标文件的密封与标记</w:t>
      </w:r>
    </w:p>
    <w:p>
      <w:pPr>
        <w:pStyle w:val="20"/>
        <w:tabs>
          <w:tab w:val="left" w:pos="5670"/>
        </w:tabs>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21.1</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ascii="Times New Roman" w:hAnsi="Times New Roman" w:eastAsia="仿宋"/>
          <w:bCs/>
          <w:color w:val="auto"/>
          <w:sz w:val="24"/>
          <w:szCs w:val="24"/>
          <w:highlight w:val="none"/>
        </w:rPr>
        <w:t>的密封与标记。</w:t>
      </w:r>
      <w:r>
        <w:rPr>
          <w:rFonts w:eastAsia="仿宋"/>
          <w:color w:val="auto"/>
          <w:sz w:val="24"/>
          <w:szCs w:val="22"/>
          <w:highlight w:val="none"/>
        </w:rPr>
        <w:t>投标人应准备</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b/>
          <w:bCs/>
          <w:color w:val="auto"/>
          <w:sz w:val="24"/>
          <w:szCs w:val="22"/>
          <w:highlight w:val="none"/>
        </w:rPr>
        <w:t>正本一份和副本六份</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须清楚地标明</w:t>
      </w:r>
      <w:r>
        <w:rPr>
          <w:rFonts w:hint="eastAsia" w:eastAsia="仿宋"/>
          <w:b/>
          <w:bCs/>
          <w:color w:val="auto"/>
          <w:sz w:val="24"/>
          <w:szCs w:val="22"/>
          <w:highlight w:val="none"/>
          <w:lang w:eastAsia="zh-CN"/>
        </w:rPr>
        <w:t>“</w:t>
      </w:r>
      <w:r>
        <w:rPr>
          <w:rFonts w:eastAsia="仿宋"/>
          <w:b/>
          <w:bCs/>
          <w:color w:val="auto"/>
          <w:sz w:val="24"/>
          <w:szCs w:val="22"/>
          <w:highlight w:val="none"/>
        </w:rPr>
        <w:t>正本</w:t>
      </w:r>
      <w:r>
        <w:rPr>
          <w:rFonts w:hint="eastAsia" w:eastAsia="仿宋"/>
          <w:b/>
          <w:bCs/>
          <w:color w:val="auto"/>
          <w:sz w:val="24"/>
          <w:szCs w:val="22"/>
          <w:highlight w:val="none"/>
          <w:lang w:eastAsia="zh-CN"/>
        </w:rPr>
        <w:t>”</w:t>
      </w:r>
      <w:r>
        <w:rPr>
          <w:rFonts w:eastAsia="仿宋"/>
          <w:color w:val="auto"/>
          <w:sz w:val="24"/>
          <w:szCs w:val="22"/>
          <w:highlight w:val="none"/>
        </w:rPr>
        <w:t>或</w:t>
      </w:r>
      <w:r>
        <w:rPr>
          <w:rFonts w:hint="eastAsia" w:eastAsia="仿宋"/>
          <w:b/>
          <w:bCs/>
          <w:color w:val="auto"/>
          <w:sz w:val="24"/>
          <w:szCs w:val="22"/>
          <w:highlight w:val="none"/>
          <w:lang w:eastAsia="zh-CN"/>
        </w:rPr>
        <w:t>“</w:t>
      </w:r>
      <w:r>
        <w:rPr>
          <w:rFonts w:eastAsia="仿宋"/>
          <w:b/>
          <w:bCs/>
          <w:color w:val="auto"/>
          <w:sz w:val="24"/>
          <w:szCs w:val="22"/>
          <w:highlight w:val="none"/>
        </w:rPr>
        <w:t>副本</w:t>
      </w:r>
      <w:r>
        <w:rPr>
          <w:rFonts w:hint="eastAsia" w:eastAsia="仿宋"/>
          <w:b/>
          <w:bCs/>
          <w:color w:val="auto"/>
          <w:sz w:val="24"/>
          <w:szCs w:val="22"/>
          <w:highlight w:val="none"/>
          <w:lang w:eastAsia="zh-CN"/>
        </w:rPr>
        <w:t>”</w:t>
      </w:r>
      <w:r>
        <w:rPr>
          <w:rFonts w:eastAsia="仿宋"/>
          <w:color w:val="auto"/>
          <w:sz w:val="24"/>
          <w:szCs w:val="22"/>
          <w:highlight w:val="none"/>
        </w:rPr>
        <w:t>。</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正本须打印，</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的副本可采用正本的复印件。若正本和副本不符，以正本为准。投标人应将</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正本和所有的副本装在文件袋中加以密封，并在文件袋上标明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21.2开标一览表的密封与标记（须包含开标一览表明细）。</w:t>
      </w:r>
      <w:r>
        <w:rPr>
          <w:rFonts w:eastAsia="仿宋"/>
          <w:color w:val="auto"/>
          <w:sz w:val="24"/>
          <w:szCs w:val="22"/>
          <w:highlight w:val="none"/>
        </w:rPr>
        <w:t>投标人应将</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（同时</w:t>
      </w:r>
      <w:r>
        <w:rPr>
          <w:rFonts w:hint="eastAsia" w:eastAsia="仿宋"/>
          <w:color w:val="auto"/>
          <w:sz w:val="24"/>
          <w:szCs w:val="22"/>
          <w:highlight w:val="none"/>
          <w:lang w:eastAsia="zh-CN"/>
        </w:rPr>
        <w:t>“</w:t>
      </w:r>
      <w:r>
        <w:rPr>
          <w:rFonts w:eastAsia="仿宋"/>
          <w:color w:val="auto"/>
          <w:sz w:val="24"/>
          <w:szCs w:val="22"/>
          <w:highlight w:val="none"/>
        </w:rPr>
        <w:t>纸质投标文件</w:t>
      </w:r>
      <w:r>
        <w:rPr>
          <w:rFonts w:hint="eastAsia" w:eastAsia="仿宋"/>
          <w:color w:val="auto"/>
          <w:sz w:val="24"/>
          <w:szCs w:val="22"/>
          <w:highlight w:val="none"/>
          <w:lang w:eastAsia="zh-CN"/>
        </w:rPr>
        <w:t>”</w:t>
      </w:r>
      <w:r>
        <w:rPr>
          <w:rFonts w:eastAsia="仿宋"/>
          <w:color w:val="auto"/>
          <w:sz w:val="24"/>
          <w:szCs w:val="22"/>
          <w:highlight w:val="none"/>
        </w:rPr>
        <w:t>正</w:t>
      </w:r>
      <w:r>
        <w:rPr>
          <w:rFonts w:hint="eastAsia" w:eastAsia="仿宋"/>
          <w:color w:val="auto"/>
          <w:sz w:val="24"/>
          <w:szCs w:val="22"/>
          <w:highlight w:val="none"/>
          <w:lang w:val="en-US" w:eastAsia="zh-CN"/>
        </w:rPr>
        <w:t>本</w:t>
      </w:r>
      <w:r>
        <w:rPr>
          <w:rFonts w:eastAsia="仿宋"/>
          <w:color w:val="auto"/>
          <w:sz w:val="24"/>
          <w:szCs w:val="22"/>
          <w:highlight w:val="none"/>
        </w:rPr>
        <w:t>、副本中也</w:t>
      </w:r>
      <w:r>
        <w:rPr>
          <w:rFonts w:hint="eastAsia" w:eastAsia="仿宋"/>
          <w:color w:val="auto"/>
          <w:sz w:val="24"/>
          <w:szCs w:val="22"/>
          <w:highlight w:val="none"/>
          <w:lang w:val="en-US" w:eastAsia="zh-CN"/>
        </w:rPr>
        <w:t>须</w:t>
      </w:r>
      <w:r>
        <w:rPr>
          <w:rFonts w:eastAsia="仿宋"/>
          <w:color w:val="auto"/>
          <w:sz w:val="24"/>
          <w:szCs w:val="22"/>
          <w:highlight w:val="none"/>
        </w:rPr>
        <w:t>附有）单独密封，在信封上标明</w:t>
      </w:r>
      <w:r>
        <w:rPr>
          <w:rFonts w:hint="eastAsia" w:eastAsia="仿宋"/>
          <w:color w:val="auto"/>
          <w:sz w:val="24"/>
          <w:szCs w:val="22"/>
          <w:highlight w:val="none"/>
          <w:lang w:eastAsia="zh-CN"/>
        </w:rPr>
        <w:t>“</w:t>
      </w:r>
      <w:r>
        <w:rPr>
          <w:rFonts w:eastAsia="仿宋"/>
          <w:color w:val="auto"/>
          <w:sz w:val="24"/>
          <w:szCs w:val="22"/>
          <w:highlight w:val="none"/>
        </w:rPr>
        <w:t>开标一览表</w:t>
      </w:r>
      <w:r>
        <w:rPr>
          <w:rFonts w:hint="eastAsia" w:eastAsia="仿宋"/>
          <w:color w:val="auto"/>
          <w:sz w:val="24"/>
          <w:szCs w:val="22"/>
          <w:highlight w:val="none"/>
          <w:lang w:eastAsia="zh-CN"/>
        </w:rPr>
        <w:t>”</w:t>
      </w:r>
      <w:r>
        <w:rPr>
          <w:rFonts w:eastAsia="仿宋"/>
          <w:color w:val="auto"/>
          <w:sz w:val="24"/>
          <w:szCs w:val="22"/>
          <w:highlight w:val="none"/>
        </w:rPr>
        <w:t>字样，并在信封上标明</w:t>
      </w:r>
      <w:r>
        <w:rPr>
          <w:rFonts w:hint="eastAsia" w:eastAsia="仿宋"/>
          <w:color w:val="auto"/>
          <w:sz w:val="24"/>
          <w:szCs w:val="22"/>
          <w:highlight w:val="none"/>
          <w:lang w:eastAsia="zh-CN"/>
        </w:rPr>
        <w:t>：</w:t>
      </w:r>
      <w:r>
        <w:rPr>
          <w:rFonts w:eastAsia="仿宋"/>
          <w:b/>
          <w:bCs/>
          <w:color w:val="auto"/>
          <w:sz w:val="24"/>
          <w:szCs w:val="22"/>
          <w:highlight w:val="none"/>
        </w:rPr>
        <w:t>投标人名称（加盖公章）、项目编号、包号、项目名称</w:t>
      </w:r>
      <w:r>
        <w:rPr>
          <w:rFonts w:eastAsia="仿宋"/>
          <w:color w:val="auto"/>
          <w:sz w:val="24"/>
          <w:szCs w:val="22"/>
          <w:highlight w:val="none"/>
        </w:rPr>
        <w:t>，在封贴处密封签字或盖章（公章），并注明</w:t>
      </w:r>
      <w:r>
        <w:rPr>
          <w:rFonts w:hint="eastAsia" w:eastAsia="仿宋"/>
          <w:b/>
          <w:bCs/>
          <w:color w:val="auto"/>
          <w:sz w:val="24"/>
          <w:szCs w:val="22"/>
          <w:highlight w:val="none"/>
          <w:lang w:eastAsia="zh-CN"/>
        </w:rPr>
        <w:t>“</w:t>
      </w:r>
      <w:r>
        <w:rPr>
          <w:rFonts w:eastAsia="仿宋"/>
          <w:b/>
          <w:bCs/>
          <w:color w:val="auto"/>
          <w:sz w:val="24"/>
          <w:szCs w:val="22"/>
          <w:highlight w:val="none"/>
        </w:rPr>
        <w:t>在开标时间前不准启封</w:t>
      </w:r>
      <w:r>
        <w:rPr>
          <w:rFonts w:hint="eastAsia" w:eastAsia="仿宋"/>
          <w:b/>
          <w:bCs/>
          <w:color w:val="auto"/>
          <w:sz w:val="24"/>
          <w:szCs w:val="22"/>
          <w:highlight w:val="none"/>
          <w:lang w:eastAsia="zh-CN"/>
        </w:rPr>
        <w:t>”</w:t>
      </w:r>
      <w:r>
        <w:rPr>
          <w:rFonts w:eastAsia="仿宋"/>
          <w:color w:val="auto"/>
          <w:sz w:val="24"/>
          <w:szCs w:val="22"/>
          <w:highlight w:val="none"/>
        </w:rPr>
        <w:t>的字样。</w:t>
      </w:r>
    </w:p>
    <w:p>
      <w:pPr>
        <w:pStyle w:val="20"/>
        <w:adjustRightInd w:val="0"/>
        <w:snapToGrid w:val="0"/>
        <w:spacing w:line="460" w:lineRule="exact"/>
        <w:ind w:firstLine="477" w:firstLineChars="199"/>
        <w:rPr>
          <w:rFonts w:hint="eastAsia" w:ascii="Times New Roman" w:hAnsi="Times New Roman" w:eastAsia="仿宋"/>
          <w:color w:val="auto"/>
          <w:sz w:val="24"/>
          <w:highlight w:val="none"/>
        </w:rPr>
      </w:pPr>
      <w:r>
        <w:rPr>
          <w:rFonts w:ascii="Times New Roman" w:hAnsi="Times New Roman" w:eastAsia="仿宋"/>
          <w:bCs/>
          <w:color w:val="auto"/>
          <w:sz w:val="24"/>
          <w:szCs w:val="24"/>
          <w:highlight w:val="none"/>
        </w:rPr>
        <w:t>21.3</w:t>
      </w:r>
      <w:r>
        <w:rPr>
          <w:rFonts w:hint="eastAsia" w:eastAsia="仿宋"/>
          <w:b w:val="0"/>
          <w:bCs w:val="0"/>
          <w:color w:val="auto"/>
          <w:sz w:val="24"/>
          <w:szCs w:val="22"/>
          <w:highlight w:val="none"/>
          <w:lang w:val="en-US" w:eastAsia="zh-CN"/>
        </w:rPr>
        <w:t>电子投标文件的密封与标记。</w:t>
      </w:r>
      <w:r>
        <w:rPr>
          <w:rFonts w:hint="eastAsia" w:ascii="Times New Roman" w:hAnsi="Times New Roman" w:eastAsia="仿宋"/>
          <w:color w:val="auto"/>
          <w:sz w:val="24"/>
          <w:highlight w:val="none"/>
        </w:rPr>
        <w:t>提供“纸质投标文件”正本盖章后的扫描件PDF格式壹份和电子投标文件WORD格式壹份，一并存入U盘，单独密封提交，U盘不退，并在信封上标明：投标人名称（加盖公章）、项目编号、包号、项目名称。“电子投标文件”必须与“纸质投标文件”一致，U盘</w:t>
      </w:r>
      <w:r>
        <w:rPr>
          <w:rFonts w:hint="eastAsia" w:ascii="Times New Roman" w:hAnsi="Times New Roman" w:eastAsia="仿宋"/>
          <w:color w:val="auto"/>
          <w:sz w:val="24"/>
          <w:highlight w:val="none"/>
          <w:lang w:val="en-US" w:eastAsia="zh-CN"/>
        </w:rPr>
        <w:t>上</w:t>
      </w:r>
      <w:r>
        <w:rPr>
          <w:rFonts w:hint="eastAsia" w:ascii="Times New Roman" w:hAnsi="Times New Roman" w:eastAsia="仿宋"/>
          <w:color w:val="auto"/>
          <w:sz w:val="24"/>
          <w:highlight w:val="none"/>
        </w:rPr>
        <w:t>请贴好标签，标签须备注投标人名称并简要描述U盘内容，例：</w:t>
      </w:r>
      <w:r>
        <w:rPr>
          <w:rFonts w:hint="eastAsia" w:eastAsia="仿宋"/>
          <w:b/>
          <w:bCs/>
          <w:color w:val="auto"/>
          <w:sz w:val="24"/>
          <w:szCs w:val="22"/>
          <w:highlight w:val="none"/>
          <w:lang w:val="en-US" w:eastAsia="zh-CN"/>
        </w:rPr>
        <w:t>**包</w:t>
      </w:r>
      <w:r>
        <w:rPr>
          <w:rFonts w:eastAsia="仿宋"/>
          <w:b/>
          <w:bCs/>
          <w:color w:val="auto"/>
          <w:sz w:val="24"/>
          <w:szCs w:val="22"/>
          <w:highlight w:val="none"/>
        </w:rPr>
        <w:t>**公司投标文件、</w:t>
      </w:r>
      <w:r>
        <w:rPr>
          <w:rFonts w:hint="eastAsia" w:eastAsia="仿宋"/>
          <w:b/>
          <w:bCs/>
          <w:color w:val="auto"/>
          <w:sz w:val="24"/>
          <w:szCs w:val="22"/>
          <w:highlight w:val="none"/>
          <w:lang w:val="en-US" w:eastAsia="zh-CN"/>
        </w:rPr>
        <w:t>**包</w:t>
      </w:r>
      <w:r>
        <w:rPr>
          <w:rFonts w:eastAsia="仿宋"/>
          <w:b/>
          <w:bCs/>
          <w:color w:val="auto"/>
          <w:sz w:val="24"/>
          <w:szCs w:val="22"/>
          <w:highlight w:val="none"/>
        </w:rPr>
        <w:t>**公司演示文件</w:t>
      </w:r>
      <w:r>
        <w:rPr>
          <w:rFonts w:hint="eastAsia" w:ascii="Times New Roman" w:hAnsi="Times New Roman" w:eastAsia="仿宋"/>
          <w:color w:val="auto"/>
          <w:sz w:val="24"/>
          <w:highlight w:val="none"/>
        </w:rPr>
        <w:t>等。</w:t>
      </w:r>
    </w:p>
    <w:p>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hint="eastAsia" w:ascii="Times New Roman" w:hAnsi="Times New Roman" w:eastAsia="仿宋"/>
          <w:color w:val="auto"/>
          <w:sz w:val="24"/>
          <w:highlight w:val="none"/>
        </w:rPr>
        <w:t>注：演示文件须单独</w:t>
      </w:r>
      <w:r>
        <w:rPr>
          <w:rFonts w:hint="eastAsia" w:ascii="Times New Roman" w:hAnsi="Times New Roman" w:eastAsia="仿宋"/>
          <w:color w:val="auto"/>
          <w:sz w:val="24"/>
          <w:highlight w:val="none"/>
          <w:lang w:val="en-US" w:eastAsia="zh-CN"/>
        </w:rPr>
        <w:t>另</w:t>
      </w:r>
      <w:r>
        <w:rPr>
          <w:rFonts w:hint="eastAsia" w:ascii="Times New Roman" w:hAnsi="Times New Roman" w:eastAsia="仿宋"/>
          <w:color w:val="auto"/>
          <w:sz w:val="24"/>
          <w:highlight w:val="none"/>
        </w:rPr>
        <w:t>存</w:t>
      </w:r>
      <w:r>
        <w:rPr>
          <w:rFonts w:hint="eastAsia" w:ascii="Times New Roman" w:hAnsi="Times New Roman" w:eastAsia="仿宋"/>
          <w:color w:val="auto"/>
          <w:sz w:val="24"/>
          <w:highlight w:val="none"/>
          <w:lang w:val="en-US" w:eastAsia="zh-CN"/>
        </w:rPr>
        <w:t>一个</w:t>
      </w:r>
      <w:r>
        <w:rPr>
          <w:rFonts w:hint="eastAsia" w:ascii="Times New Roman" w:hAnsi="Times New Roman" w:eastAsia="仿宋"/>
          <w:color w:val="auto"/>
          <w:sz w:val="24"/>
          <w:highlight w:val="none"/>
        </w:rPr>
        <w:t>U盘，不得与电子投标文件一并存入同一个U盘，封标方式按照电子投标文件的密封与标记要求。</w:t>
      </w:r>
    </w:p>
    <w:p>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21.4</w:t>
      </w:r>
      <w:r>
        <w:rPr>
          <w:rFonts w:hint="eastAsia" w:ascii="Times New Roman" w:hAnsi="Times New Roman" w:eastAsia="仿宋"/>
          <w:bCs/>
          <w:color w:val="auto"/>
          <w:sz w:val="24"/>
          <w:szCs w:val="24"/>
          <w:highlight w:val="none"/>
        </w:rPr>
        <w:t>“电子投标文件”</w:t>
      </w:r>
      <w:r>
        <w:rPr>
          <w:rFonts w:hint="eastAsia" w:ascii="Times New Roman" w:hAnsi="Times New Roman" w:eastAsia="仿宋"/>
          <w:bCs/>
          <w:color w:val="auto"/>
          <w:sz w:val="24"/>
          <w:szCs w:val="24"/>
          <w:highlight w:val="none"/>
          <w:lang w:eastAsia="zh-CN"/>
        </w:rPr>
        <w:t>、“</w:t>
      </w:r>
      <w:r>
        <w:rPr>
          <w:rFonts w:hint="eastAsia" w:ascii="Times New Roman" w:hAnsi="Times New Roman" w:eastAsia="仿宋"/>
          <w:bCs/>
          <w:color w:val="auto"/>
          <w:sz w:val="24"/>
          <w:szCs w:val="24"/>
          <w:highlight w:val="none"/>
          <w:lang w:val="en-US" w:eastAsia="zh-CN"/>
        </w:rPr>
        <w:t>演示文件</w:t>
      </w:r>
      <w:r>
        <w:rPr>
          <w:rFonts w:hint="eastAsia" w:ascii="Times New Roman" w:hAnsi="Times New Roman" w:eastAsia="仿宋"/>
          <w:bCs/>
          <w:color w:val="auto"/>
          <w:sz w:val="24"/>
          <w:szCs w:val="24"/>
          <w:highlight w:val="none"/>
          <w:lang w:eastAsia="zh-CN"/>
        </w:rPr>
        <w:t>”</w:t>
      </w:r>
      <w:r>
        <w:rPr>
          <w:rFonts w:hint="eastAsia" w:ascii="Times New Roman" w:hAnsi="Times New Roman" w:eastAsia="仿宋"/>
          <w:bCs/>
          <w:color w:val="auto"/>
          <w:sz w:val="24"/>
          <w:szCs w:val="24"/>
          <w:highlight w:val="none"/>
        </w:rPr>
        <w:t>和“开标一览表”</w:t>
      </w:r>
      <w:r>
        <w:rPr>
          <w:rFonts w:hint="eastAsia" w:ascii="Times New Roman" w:hAnsi="Times New Roman" w:eastAsia="仿宋"/>
          <w:bCs/>
          <w:color w:val="auto"/>
          <w:sz w:val="24"/>
          <w:szCs w:val="24"/>
          <w:highlight w:val="none"/>
          <w:lang w:val="en-US" w:eastAsia="zh-CN"/>
        </w:rPr>
        <w:t>各</w:t>
      </w:r>
      <w:r>
        <w:rPr>
          <w:rFonts w:hint="eastAsia" w:ascii="Times New Roman" w:hAnsi="Times New Roman" w:eastAsia="仿宋"/>
          <w:bCs/>
          <w:color w:val="auto"/>
          <w:sz w:val="24"/>
          <w:szCs w:val="24"/>
          <w:highlight w:val="none"/>
        </w:rPr>
        <w:t>分开密封，与投标文件同时递交，逾期不予接收，视为无效投标。</w:t>
      </w:r>
    </w:p>
    <w:p>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21.5投标人未按上述要求密封、标记的，采购代理机构有权拒收。</w:t>
      </w:r>
    </w:p>
    <w:p>
      <w:pPr>
        <w:pStyle w:val="20"/>
        <w:adjustRightInd w:val="0"/>
        <w:snapToGrid w:val="0"/>
        <w:spacing w:line="460" w:lineRule="exact"/>
        <w:ind w:firstLine="477" w:firstLineChars="199"/>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21.</w:t>
      </w:r>
      <w:r>
        <w:rPr>
          <w:rFonts w:hint="eastAsia" w:ascii="Times New Roman" w:hAnsi="Times New Roman" w:eastAsia="仿宋"/>
          <w:bCs/>
          <w:color w:val="auto"/>
          <w:sz w:val="24"/>
          <w:szCs w:val="24"/>
          <w:highlight w:val="none"/>
          <w:lang w:val="en-US" w:eastAsia="zh-CN"/>
        </w:rPr>
        <w:t>6</w:t>
      </w:r>
      <w:r>
        <w:rPr>
          <w:rFonts w:ascii="Times New Roman" w:hAnsi="Times New Roman" w:eastAsia="仿宋"/>
          <w:bCs/>
          <w:color w:val="auto"/>
          <w:sz w:val="24"/>
          <w:szCs w:val="24"/>
          <w:highlight w:val="none"/>
        </w:rPr>
        <w:t>对于已接收的投标文件，在开启过程中出现对投标文件密封和标记是否符合招标文件规定存在分歧的，采购人和采购代理机构不承担任何责任，将交由评标委员会评定，采购代理机构现场宣布评定结果。</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投标文件的修改和撤回</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 xml:space="preserve">在投标截止时间前，投标人可以书面形式提出修改或撤回其投标。 </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投标人撤回投标文件的书面材料，须加盖公章或法定代表人或授权代表签字后送达采购代理机构，同时应在材料上写明投标人名称和投标文件的撤回原因。</w:t>
      </w:r>
    </w:p>
    <w:p>
      <w:pPr>
        <w:numPr>
          <w:ilvl w:val="0"/>
          <w:numId w:val="14"/>
        </w:numPr>
        <w:tabs>
          <w:tab w:val="left" w:pos="0"/>
          <w:tab w:val="left" w:pos="284"/>
          <w:tab w:val="left" w:pos="709"/>
          <w:tab w:val="left" w:pos="935"/>
        </w:tabs>
        <w:spacing w:line="460" w:lineRule="exact"/>
        <w:rPr>
          <w:rFonts w:eastAsia="仿宋"/>
          <w:bCs/>
          <w:color w:val="auto"/>
          <w:kern w:val="0"/>
          <w:sz w:val="24"/>
          <w:highlight w:val="none"/>
        </w:rPr>
      </w:pPr>
      <w:r>
        <w:rPr>
          <w:rFonts w:eastAsia="仿宋"/>
          <w:bCs/>
          <w:color w:val="auto"/>
          <w:kern w:val="0"/>
          <w:sz w:val="24"/>
          <w:highlight w:val="none"/>
        </w:rPr>
        <w:t>从投标截止期至投标有效期期满这段时间内，投标人不得撤销其投标。</w:t>
      </w:r>
    </w:p>
    <w:p>
      <w:pPr>
        <w:spacing w:line="460" w:lineRule="exact"/>
        <w:jc w:val="center"/>
        <w:outlineLvl w:val="1"/>
        <w:rPr>
          <w:rFonts w:eastAsia="仿宋"/>
          <w:b/>
          <w:bCs/>
          <w:color w:val="auto"/>
          <w:kern w:val="0"/>
          <w:sz w:val="24"/>
          <w:highlight w:val="none"/>
        </w:rPr>
      </w:pPr>
      <w:bookmarkStart w:id="113" w:name="_Toc22486"/>
      <w:bookmarkStart w:id="114" w:name="_Toc19663"/>
      <w:bookmarkStart w:id="115" w:name="_Toc9485"/>
      <w:bookmarkStart w:id="116" w:name="_Toc12489"/>
      <w:bookmarkStart w:id="117" w:name="_Toc5365"/>
      <w:bookmarkStart w:id="118" w:name="_Toc111018938"/>
      <w:r>
        <w:rPr>
          <w:rFonts w:eastAsia="仿宋"/>
          <w:b/>
          <w:bCs/>
          <w:color w:val="auto"/>
          <w:kern w:val="0"/>
          <w:sz w:val="24"/>
          <w:highlight w:val="none"/>
        </w:rPr>
        <w:t>六、开标</w:t>
      </w:r>
      <w:bookmarkEnd w:id="113"/>
      <w:bookmarkEnd w:id="114"/>
      <w:bookmarkEnd w:id="115"/>
      <w:bookmarkEnd w:id="116"/>
      <w:bookmarkEnd w:id="117"/>
      <w:bookmarkEnd w:id="118"/>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w:t>
      </w:r>
    </w:p>
    <w:p>
      <w:pPr>
        <w:tabs>
          <w:tab w:val="left" w:pos="709"/>
        </w:tabs>
        <w:spacing w:line="460" w:lineRule="exact"/>
        <w:rPr>
          <w:rFonts w:eastAsia="仿宋"/>
          <w:bCs/>
          <w:color w:val="auto"/>
          <w:kern w:val="0"/>
          <w:sz w:val="24"/>
          <w:highlight w:val="none"/>
        </w:rPr>
      </w:pPr>
      <w:r>
        <w:rPr>
          <w:rFonts w:eastAsia="仿宋"/>
          <w:bCs/>
          <w:color w:val="auto"/>
          <w:kern w:val="0"/>
          <w:sz w:val="24"/>
          <w:highlight w:val="none"/>
        </w:rPr>
        <w:t>23.1采购代理机构在</w:t>
      </w:r>
      <w:r>
        <w:rPr>
          <w:rFonts w:hint="eastAsia" w:eastAsia="仿宋"/>
          <w:bCs/>
          <w:color w:val="auto"/>
          <w:kern w:val="0"/>
          <w:sz w:val="24"/>
          <w:highlight w:val="none"/>
          <w:lang w:eastAsia="zh-CN"/>
        </w:rPr>
        <w:t>“</w:t>
      </w:r>
      <w:r>
        <w:rPr>
          <w:rFonts w:eastAsia="仿宋"/>
          <w:bCs/>
          <w:color w:val="auto"/>
          <w:kern w:val="0"/>
          <w:sz w:val="24"/>
          <w:highlight w:val="none"/>
        </w:rPr>
        <w:t>投标邀请</w:t>
      </w:r>
      <w:r>
        <w:rPr>
          <w:rFonts w:hint="eastAsia" w:eastAsia="仿宋"/>
          <w:bCs/>
          <w:color w:val="auto"/>
          <w:kern w:val="0"/>
          <w:sz w:val="24"/>
          <w:highlight w:val="none"/>
          <w:lang w:eastAsia="zh-CN"/>
        </w:rPr>
        <w:t>”</w:t>
      </w:r>
      <w:r>
        <w:rPr>
          <w:rFonts w:eastAsia="仿宋"/>
          <w:bCs/>
          <w:color w:val="auto"/>
          <w:kern w:val="0"/>
          <w:sz w:val="24"/>
          <w:highlight w:val="none"/>
        </w:rPr>
        <w:t>中约定的日期、时间和地点组织公开开标。开标时，有采购人和投标人或其推选的代表参加，参加开标的代表应签到以证明其出席。</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23.2开标由采购代理机构主持并当众唱标。</w:t>
      </w:r>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开标结束后，采购人或者采购代理机构依法对投标人的资格进行审查。合格投标人不足3家的，不得评标。</w:t>
      </w:r>
    </w:p>
    <w:p>
      <w:pPr>
        <w:spacing w:line="460" w:lineRule="exact"/>
        <w:jc w:val="center"/>
        <w:outlineLvl w:val="1"/>
        <w:rPr>
          <w:rFonts w:eastAsia="仿宋"/>
          <w:b/>
          <w:bCs/>
          <w:color w:val="auto"/>
          <w:kern w:val="0"/>
          <w:sz w:val="24"/>
          <w:highlight w:val="none"/>
        </w:rPr>
      </w:pPr>
      <w:bookmarkStart w:id="119" w:name="_Toc11796"/>
      <w:bookmarkStart w:id="120" w:name="_Toc29849"/>
      <w:bookmarkStart w:id="121" w:name="_Toc3855"/>
      <w:bookmarkStart w:id="122" w:name="_Toc28830"/>
      <w:bookmarkStart w:id="123" w:name="_Toc111018939"/>
      <w:bookmarkStart w:id="124" w:name="_Toc26114"/>
      <w:r>
        <w:rPr>
          <w:rFonts w:eastAsia="仿宋"/>
          <w:b/>
          <w:bCs/>
          <w:color w:val="auto"/>
          <w:kern w:val="0"/>
          <w:sz w:val="24"/>
          <w:highlight w:val="none"/>
        </w:rPr>
        <w:t>七、评审原则及程序</w:t>
      </w:r>
      <w:bookmarkEnd w:id="119"/>
      <w:bookmarkEnd w:id="120"/>
      <w:bookmarkEnd w:id="121"/>
      <w:bookmarkEnd w:id="122"/>
      <w:bookmarkEnd w:id="123"/>
      <w:bookmarkEnd w:id="124"/>
    </w:p>
    <w:p>
      <w:pPr>
        <w:numPr>
          <w:ilvl w:val="0"/>
          <w:numId w:val="5"/>
        </w:numPr>
        <w:spacing w:line="460" w:lineRule="exact"/>
        <w:ind w:left="284" w:hanging="284"/>
        <w:rPr>
          <w:rFonts w:eastAsia="仿宋"/>
          <w:b/>
          <w:bCs/>
          <w:color w:val="auto"/>
          <w:kern w:val="0"/>
          <w:sz w:val="24"/>
          <w:highlight w:val="none"/>
        </w:rPr>
      </w:pPr>
      <w:r>
        <w:rPr>
          <w:rFonts w:eastAsia="仿宋"/>
          <w:b/>
          <w:bCs/>
          <w:color w:val="auto"/>
          <w:kern w:val="0"/>
          <w:sz w:val="24"/>
          <w:highlight w:val="none"/>
        </w:rPr>
        <w:t xml:space="preserve"> 评标委员会的组成</w:t>
      </w:r>
    </w:p>
    <w:p>
      <w:pPr>
        <w:tabs>
          <w:tab w:val="left" w:pos="426"/>
        </w:tabs>
        <w:spacing w:line="460" w:lineRule="exact"/>
        <w:ind w:left="283" w:leftChars="135" w:firstLine="240" w:firstLineChars="100"/>
        <w:rPr>
          <w:rFonts w:eastAsia="仿宋"/>
          <w:b/>
          <w:bCs/>
          <w:color w:val="auto"/>
          <w:kern w:val="0"/>
          <w:sz w:val="24"/>
          <w:highlight w:val="none"/>
        </w:rPr>
      </w:pPr>
      <w:r>
        <w:rPr>
          <w:rFonts w:eastAsia="仿宋"/>
          <w:bCs/>
          <w:color w:val="auto"/>
          <w:kern w:val="0"/>
          <w:sz w:val="24"/>
          <w:highlight w:val="none"/>
        </w:rPr>
        <w:t>采购代理机构在采购人委托的监督代表监督下，按有关规定从省级以上财政部门设立的政府采购评审专家库中采取随机方式抽取评审专家，依法组建评标委员会。</w:t>
      </w:r>
    </w:p>
    <w:p>
      <w:pPr>
        <w:tabs>
          <w:tab w:val="left" w:pos="426"/>
        </w:tabs>
        <w:spacing w:line="460" w:lineRule="exact"/>
        <w:rPr>
          <w:rFonts w:eastAsia="仿宋"/>
          <w:b/>
          <w:bCs/>
          <w:color w:val="auto"/>
          <w:kern w:val="0"/>
          <w:sz w:val="24"/>
          <w:highlight w:val="none"/>
        </w:rPr>
      </w:pPr>
      <w:r>
        <w:rPr>
          <w:rFonts w:eastAsia="仿宋"/>
          <w:b/>
          <w:bCs/>
          <w:color w:val="auto"/>
          <w:kern w:val="0"/>
          <w:sz w:val="24"/>
          <w:highlight w:val="none"/>
        </w:rPr>
        <w:t>26  评标原则</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26.1评标由依照有关规定组建的评标委员会负责。</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 xml:space="preserve">26.2以招标文件、投标文件及相关的法律法规为评审依据。 </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26.3在评标过程中，投标人所进行的试图影响评标结果公正性的活动，将可能导致其中标资格被取消。</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26.4评标全过程中不允许投标人与评标委员会之间有可能影响到投标结果公正性的会面与谈话，以体现公平、公正的基本原则。</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26.5评标委员会成员和有关工作人员不得透露对投标文件的评审、比较和中标候选人的推荐情况以及与评标有关的其他情况。</w:t>
      </w:r>
    </w:p>
    <w:p>
      <w:pPr>
        <w:spacing w:line="460" w:lineRule="exact"/>
        <w:rPr>
          <w:rFonts w:eastAsia="仿宋"/>
          <w:b/>
          <w:bCs/>
          <w:color w:val="auto"/>
          <w:kern w:val="0"/>
          <w:sz w:val="24"/>
          <w:highlight w:val="none"/>
        </w:rPr>
      </w:pPr>
      <w:r>
        <w:rPr>
          <w:rFonts w:eastAsia="仿宋"/>
          <w:b/>
          <w:bCs/>
          <w:color w:val="auto"/>
          <w:kern w:val="0"/>
          <w:sz w:val="24"/>
          <w:highlight w:val="none"/>
        </w:rPr>
        <w:t>27评标程序</w:t>
      </w:r>
    </w:p>
    <w:p>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27.1投标文件符合性检查：依据招标文件的规定，从投标文件的有效性、完整性和对招标文件的响应程度进行审查，以确定是否对招标文件的实质性要求作出响应。</w:t>
      </w:r>
    </w:p>
    <w:p>
      <w:pPr>
        <w:adjustRightInd w:val="0"/>
        <w:snapToGrid w:val="0"/>
        <w:spacing w:line="460" w:lineRule="exact"/>
        <w:ind w:firstLine="482" w:firstLineChars="200"/>
        <w:rPr>
          <w:rFonts w:eastAsia="仿宋"/>
          <w:b/>
          <w:bCs/>
          <w:color w:val="auto"/>
          <w:kern w:val="0"/>
          <w:sz w:val="24"/>
          <w:highlight w:val="none"/>
        </w:rPr>
      </w:pPr>
      <w:r>
        <w:rPr>
          <w:rFonts w:eastAsia="仿宋"/>
          <w:b/>
          <w:bCs/>
          <w:color w:val="auto"/>
          <w:kern w:val="0"/>
          <w:sz w:val="24"/>
          <w:highlight w:val="none"/>
        </w:rPr>
        <w:t>有下列情形之一未对招标文件作实质性响应的，</w:t>
      </w:r>
      <w:r>
        <w:rPr>
          <w:rFonts w:eastAsia="仿宋"/>
          <w:b/>
          <w:color w:val="auto"/>
          <w:sz w:val="24"/>
          <w:highlight w:val="none"/>
        </w:rPr>
        <w:t>视为无效投标</w:t>
      </w:r>
      <w:r>
        <w:rPr>
          <w:rFonts w:eastAsia="仿宋"/>
          <w:b/>
          <w:bCs/>
          <w:color w:val="auto"/>
          <w:kern w:val="0"/>
          <w:sz w:val="24"/>
          <w:highlight w:val="none"/>
        </w:rPr>
        <w:t>：</w:t>
      </w:r>
    </w:p>
    <w:p>
      <w:pPr>
        <w:spacing w:line="460" w:lineRule="exact"/>
        <w:ind w:left="227"/>
        <w:rPr>
          <w:rFonts w:eastAsia="仿宋"/>
          <w:b/>
          <w:color w:val="auto"/>
          <w:sz w:val="24"/>
          <w:highlight w:val="none"/>
        </w:rPr>
      </w:pPr>
      <w:r>
        <w:rPr>
          <w:rFonts w:eastAsia="仿宋"/>
          <w:b/>
          <w:color w:val="auto"/>
          <w:sz w:val="24"/>
          <w:highlight w:val="none"/>
        </w:rPr>
        <w:t>（1）未按招标文件要求提供资格证明文件（详见第四章 投标文件格式</w:t>
      </w:r>
      <w:r>
        <w:rPr>
          <w:rFonts w:hint="eastAsia" w:eastAsia="仿宋"/>
          <w:b/>
          <w:color w:val="auto"/>
          <w:sz w:val="24"/>
          <w:highlight w:val="none"/>
          <w:lang w:eastAsia="zh-CN"/>
        </w:rPr>
        <w:t>“</w:t>
      </w:r>
      <w:r>
        <w:rPr>
          <w:rFonts w:eastAsia="仿宋"/>
          <w:b/>
          <w:color w:val="auto"/>
          <w:sz w:val="24"/>
          <w:highlight w:val="none"/>
        </w:rPr>
        <w:t>资格证明文件</w:t>
      </w:r>
      <w:r>
        <w:rPr>
          <w:rFonts w:hint="eastAsia" w:eastAsia="仿宋"/>
          <w:b/>
          <w:color w:val="auto"/>
          <w:sz w:val="24"/>
          <w:highlight w:val="none"/>
          <w:lang w:eastAsia="zh-CN"/>
        </w:rPr>
        <w:t>”</w:t>
      </w:r>
      <w:r>
        <w:rPr>
          <w:rFonts w:eastAsia="仿宋"/>
          <w:b/>
          <w:color w:val="auto"/>
          <w:sz w:val="24"/>
          <w:highlight w:val="none"/>
        </w:rPr>
        <w:t>）；</w:t>
      </w:r>
    </w:p>
    <w:p>
      <w:pPr>
        <w:spacing w:line="460" w:lineRule="exact"/>
        <w:ind w:left="227"/>
        <w:rPr>
          <w:rFonts w:eastAsia="仿宋"/>
          <w:b/>
          <w:color w:val="auto"/>
          <w:sz w:val="24"/>
          <w:highlight w:val="none"/>
        </w:rPr>
      </w:pPr>
      <w:r>
        <w:rPr>
          <w:rFonts w:eastAsia="仿宋"/>
          <w:b/>
          <w:color w:val="auto"/>
          <w:sz w:val="24"/>
          <w:highlight w:val="none"/>
        </w:rPr>
        <w:t>（2）投标文件未按招标文件要求签署、盖章；</w:t>
      </w:r>
    </w:p>
    <w:p>
      <w:pPr>
        <w:spacing w:line="460" w:lineRule="exact"/>
        <w:ind w:left="227"/>
        <w:rPr>
          <w:rFonts w:eastAsia="仿宋"/>
          <w:b/>
          <w:color w:val="auto"/>
          <w:sz w:val="24"/>
          <w:highlight w:val="none"/>
        </w:rPr>
      </w:pPr>
      <w:r>
        <w:rPr>
          <w:rFonts w:eastAsia="仿宋"/>
          <w:b/>
          <w:color w:val="auto"/>
          <w:sz w:val="24"/>
          <w:highlight w:val="none"/>
        </w:rPr>
        <w:t>（3）非法定代表人本人参与投标，未提供有效的法定代表人授权书；</w:t>
      </w:r>
    </w:p>
    <w:p>
      <w:pPr>
        <w:spacing w:line="460" w:lineRule="exact"/>
        <w:ind w:left="227"/>
        <w:rPr>
          <w:rFonts w:eastAsia="仿宋"/>
          <w:b/>
          <w:color w:val="auto"/>
          <w:sz w:val="24"/>
          <w:highlight w:val="none"/>
        </w:rPr>
      </w:pPr>
      <w:r>
        <w:rPr>
          <w:rFonts w:eastAsia="仿宋"/>
          <w:b/>
          <w:color w:val="auto"/>
          <w:sz w:val="24"/>
          <w:highlight w:val="none"/>
        </w:rPr>
        <w:t>（4）未按招标文件要求提交投标保证金；</w:t>
      </w:r>
    </w:p>
    <w:p>
      <w:pPr>
        <w:spacing w:line="460" w:lineRule="exact"/>
        <w:ind w:left="227"/>
        <w:rPr>
          <w:rFonts w:eastAsia="仿宋"/>
          <w:b/>
          <w:color w:val="auto"/>
          <w:sz w:val="24"/>
          <w:highlight w:val="none"/>
        </w:rPr>
      </w:pPr>
      <w:r>
        <w:rPr>
          <w:rFonts w:eastAsia="仿宋"/>
          <w:b/>
          <w:color w:val="auto"/>
          <w:sz w:val="24"/>
          <w:highlight w:val="none"/>
        </w:rPr>
        <w:t>（5）未在投标文件中提供提交投标保证金的证明材料；</w:t>
      </w:r>
    </w:p>
    <w:p>
      <w:pPr>
        <w:spacing w:line="460" w:lineRule="exact"/>
        <w:ind w:left="227"/>
        <w:rPr>
          <w:rFonts w:eastAsia="仿宋"/>
          <w:b/>
          <w:color w:val="auto"/>
          <w:sz w:val="24"/>
          <w:highlight w:val="none"/>
        </w:rPr>
      </w:pPr>
      <w:r>
        <w:rPr>
          <w:rFonts w:eastAsia="仿宋"/>
          <w:b/>
          <w:color w:val="auto"/>
          <w:sz w:val="24"/>
          <w:highlight w:val="none"/>
        </w:rPr>
        <w:t>（6）报价超过招标文件中规定的</w:t>
      </w:r>
      <w:r>
        <w:rPr>
          <w:rFonts w:hint="eastAsia" w:eastAsia="仿宋"/>
          <w:b/>
          <w:color w:val="auto"/>
          <w:sz w:val="24"/>
          <w:highlight w:val="none"/>
          <w:lang w:val="en-US" w:eastAsia="zh-CN"/>
        </w:rPr>
        <w:t>预算单价或者</w:t>
      </w:r>
      <w:r>
        <w:rPr>
          <w:rFonts w:eastAsia="仿宋"/>
          <w:b/>
          <w:color w:val="auto"/>
          <w:sz w:val="24"/>
          <w:highlight w:val="none"/>
        </w:rPr>
        <w:t>预算金额或者最高限价；</w:t>
      </w:r>
    </w:p>
    <w:p>
      <w:pPr>
        <w:spacing w:line="460" w:lineRule="exact"/>
        <w:ind w:left="227"/>
        <w:rPr>
          <w:rFonts w:eastAsia="仿宋"/>
          <w:b/>
          <w:color w:val="auto"/>
          <w:sz w:val="24"/>
          <w:highlight w:val="none"/>
        </w:rPr>
      </w:pPr>
      <w:r>
        <w:rPr>
          <w:rFonts w:eastAsia="仿宋"/>
          <w:b/>
          <w:color w:val="auto"/>
          <w:sz w:val="24"/>
          <w:highlight w:val="none"/>
        </w:rPr>
        <w:t>（7）未提供开标一览表明细；</w:t>
      </w:r>
    </w:p>
    <w:p>
      <w:pPr>
        <w:spacing w:line="460" w:lineRule="exact"/>
        <w:ind w:left="227"/>
        <w:rPr>
          <w:rFonts w:eastAsia="仿宋"/>
          <w:b/>
          <w:color w:val="auto"/>
          <w:sz w:val="24"/>
          <w:highlight w:val="none"/>
        </w:rPr>
      </w:pPr>
      <w:r>
        <w:rPr>
          <w:rFonts w:eastAsia="仿宋"/>
          <w:b/>
          <w:color w:val="auto"/>
          <w:sz w:val="24"/>
          <w:highlight w:val="none"/>
        </w:rPr>
        <w:t>（8）投标有效期响应不足；</w:t>
      </w:r>
    </w:p>
    <w:p>
      <w:pPr>
        <w:spacing w:line="460" w:lineRule="exact"/>
        <w:ind w:left="227"/>
        <w:rPr>
          <w:rFonts w:eastAsia="仿宋"/>
          <w:b/>
          <w:color w:val="auto"/>
          <w:sz w:val="24"/>
          <w:highlight w:val="none"/>
        </w:rPr>
      </w:pPr>
      <w:r>
        <w:rPr>
          <w:rFonts w:eastAsia="仿宋"/>
          <w:b/>
          <w:color w:val="auto"/>
          <w:sz w:val="24"/>
          <w:highlight w:val="none"/>
        </w:rPr>
        <w:t>（9）以联合体方式参与投标；</w:t>
      </w:r>
    </w:p>
    <w:p>
      <w:pPr>
        <w:spacing w:line="460" w:lineRule="exact"/>
        <w:ind w:left="227"/>
        <w:rPr>
          <w:rFonts w:eastAsia="仿宋"/>
          <w:b/>
          <w:color w:val="auto"/>
          <w:sz w:val="24"/>
          <w:highlight w:val="none"/>
        </w:rPr>
      </w:pPr>
      <w:r>
        <w:rPr>
          <w:rFonts w:eastAsia="仿宋"/>
          <w:b/>
          <w:color w:val="auto"/>
          <w:sz w:val="24"/>
          <w:highlight w:val="none"/>
        </w:rPr>
        <w:t>（10）投标文件含有采购人不能接受的附加条件；</w:t>
      </w:r>
    </w:p>
    <w:p>
      <w:pPr>
        <w:spacing w:line="460" w:lineRule="exact"/>
        <w:ind w:left="227"/>
        <w:rPr>
          <w:rFonts w:eastAsia="仿宋"/>
          <w:b/>
          <w:color w:val="auto"/>
          <w:sz w:val="24"/>
          <w:highlight w:val="none"/>
        </w:rPr>
      </w:pPr>
      <w:r>
        <w:rPr>
          <w:rFonts w:eastAsia="仿宋"/>
          <w:b/>
          <w:color w:val="auto"/>
          <w:sz w:val="24"/>
          <w:highlight w:val="none"/>
        </w:rPr>
        <w:t>（11）发现投标人以他人名义参加投标或相互之间串通，或者以其他弄虚作假方式参加投标；</w:t>
      </w:r>
    </w:p>
    <w:p>
      <w:pPr>
        <w:spacing w:line="460" w:lineRule="exact"/>
        <w:ind w:left="227"/>
        <w:rPr>
          <w:rFonts w:eastAsia="仿宋"/>
          <w:b/>
          <w:color w:val="auto"/>
          <w:sz w:val="24"/>
          <w:highlight w:val="none"/>
        </w:rPr>
      </w:pPr>
      <w:r>
        <w:rPr>
          <w:rFonts w:eastAsia="仿宋"/>
          <w:b/>
          <w:color w:val="auto"/>
          <w:sz w:val="24"/>
          <w:highlight w:val="none"/>
        </w:rPr>
        <w:t>（12）法律、法规和招标文件规定的其他无效情形。</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27.2投标文件报价出现前后不一致的，按下列规定修正：</w:t>
      </w:r>
    </w:p>
    <w:p>
      <w:pPr>
        <w:numPr>
          <w:ilvl w:val="0"/>
          <w:numId w:val="15"/>
        </w:numPr>
        <w:spacing w:line="460" w:lineRule="exact"/>
        <w:rPr>
          <w:rFonts w:eastAsia="仿宋"/>
          <w:color w:val="auto"/>
          <w:sz w:val="24"/>
          <w:highlight w:val="none"/>
        </w:rPr>
      </w:pPr>
      <w:r>
        <w:rPr>
          <w:rFonts w:eastAsia="仿宋"/>
          <w:color w:val="auto"/>
          <w:sz w:val="24"/>
          <w:highlight w:val="none"/>
        </w:rPr>
        <w:t>投标文件中开标一览表（报价表）内容与投标文件中相应内容不一致的，以开标一览表（报价表）为准；</w:t>
      </w:r>
    </w:p>
    <w:p>
      <w:pPr>
        <w:numPr>
          <w:ilvl w:val="0"/>
          <w:numId w:val="15"/>
        </w:numPr>
        <w:spacing w:line="460" w:lineRule="exact"/>
        <w:rPr>
          <w:rFonts w:eastAsia="仿宋"/>
          <w:color w:val="auto"/>
          <w:sz w:val="24"/>
          <w:highlight w:val="none"/>
        </w:rPr>
      </w:pPr>
      <w:r>
        <w:rPr>
          <w:rFonts w:eastAsia="仿宋"/>
          <w:color w:val="auto"/>
          <w:sz w:val="24"/>
          <w:highlight w:val="none"/>
        </w:rPr>
        <w:t>大写金额和小写金额不一致的，以大写金额为准；</w:t>
      </w:r>
    </w:p>
    <w:p>
      <w:pPr>
        <w:numPr>
          <w:ilvl w:val="0"/>
          <w:numId w:val="15"/>
        </w:numPr>
        <w:spacing w:line="460" w:lineRule="exact"/>
        <w:rPr>
          <w:rFonts w:eastAsia="仿宋"/>
          <w:color w:val="auto"/>
          <w:sz w:val="24"/>
          <w:highlight w:val="none"/>
        </w:rPr>
      </w:pPr>
      <w:r>
        <w:rPr>
          <w:rFonts w:eastAsia="仿宋"/>
          <w:color w:val="auto"/>
          <w:sz w:val="24"/>
          <w:highlight w:val="none"/>
        </w:rPr>
        <w:t xml:space="preserve">单价金额小数点或者百分比有明显错位的，以开标一览表的总价为准，并修改单价；  </w:t>
      </w:r>
    </w:p>
    <w:p>
      <w:pPr>
        <w:numPr>
          <w:ilvl w:val="0"/>
          <w:numId w:val="15"/>
        </w:numPr>
        <w:spacing w:line="460" w:lineRule="exact"/>
        <w:rPr>
          <w:rFonts w:eastAsia="仿宋"/>
          <w:color w:val="auto"/>
          <w:sz w:val="24"/>
          <w:highlight w:val="none"/>
        </w:rPr>
      </w:pPr>
      <w:r>
        <w:rPr>
          <w:rFonts w:eastAsia="仿宋"/>
          <w:color w:val="auto"/>
          <w:sz w:val="24"/>
          <w:highlight w:val="none"/>
        </w:rPr>
        <w:t>总价金额与按单价汇总金额不一致的，以单价金额计算结果为准；</w:t>
      </w:r>
    </w:p>
    <w:p>
      <w:pPr>
        <w:numPr>
          <w:ilvl w:val="0"/>
          <w:numId w:val="15"/>
        </w:numPr>
        <w:spacing w:line="460" w:lineRule="exact"/>
        <w:rPr>
          <w:rFonts w:eastAsia="仿宋"/>
          <w:color w:val="auto"/>
          <w:sz w:val="24"/>
          <w:highlight w:val="none"/>
        </w:rPr>
      </w:pPr>
      <w:r>
        <w:rPr>
          <w:rFonts w:eastAsia="仿宋"/>
          <w:color w:val="auto"/>
          <w:sz w:val="24"/>
          <w:highlight w:val="none"/>
        </w:rPr>
        <w:t>同时出现两种以上不一致的，按照前款规定的顺序修正，若投标人不同意对其错误的修正，其投标无效。</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27.3澄清有关问题：对投标文件中含义不明确、同类问题表述不一致或者有明显文字和计算错误的内容，评标委员会可以书面形式（应当由评标委员会签字）要求投标人作出必要的澄清、说明或者补正。投标人的澄清、说明或者补正应当采用书面形式，由其授权的代表签字，并不得超出投标文件的范围或者改变投标文件的实质性内容。</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27.4根据《政府采购货物和服务招标投标管理办法》（财政部令第87号）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27.5评标方法：</w:t>
      </w:r>
      <w:r>
        <w:rPr>
          <w:rFonts w:eastAsia="仿宋"/>
          <w:b/>
          <w:bCs/>
          <w:color w:val="auto"/>
          <w:kern w:val="0"/>
          <w:sz w:val="24"/>
          <w:highlight w:val="none"/>
        </w:rPr>
        <w:t>本项目采用综合评分法（是指投标文件满足招标文件全部实质性要求，且按照评审因素的量化指标评审得分最高的投标人为中标候选人的评标方法），</w:t>
      </w:r>
      <w:r>
        <w:rPr>
          <w:rFonts w:eastAsia="仿宋"/>
          <w:b/>
          <w:color w:val="auto"/>
          <w:kern w:val="0"/>
          <w:sz w:val="24"/>
          <w:highlight w:val="none"/>
        </w:rPr>
        <w:t>具体内容详见</w:t>
      </w:r>
      <w:r>
        <w:rPr>
          <w:rFonts w:hint="eastAsia" w:eastAsia="仿宋"/>
          <w:b/>
          <w:color w:val="auto"/>
          <w:kern w:val="0"/>
          <w:sz w:val="24"/>
          <w:highlight w:val="none"/>
          <w:lang w:eastAsia="zh-CN"/>
        </w:rPr>
        <w:t>“</w:t>
      </w:r>
      <w:r>
        <w:rPr>
          <w:rFonts w:eastAsia="仿宋"/>
          <w:b/>
          <w:color w:val="auto"/>
          <w:kern w:val="0"/>
          <w:sz w:val="24"/>
          <w:highlight w:val="none"/>
        </w:rPr>
        <w:t>第六章 评标方法</w:t>
      </w:r>
      <w:r>
        <w:rPr>
          <w:rFonts w:hint="eastAsia" w:eastAsia="仿宋"/>
          <w:b/>
          <w:color w:val="auto"/>
          <w:kern w:val="0"/>
          <w:sz w:val="24"/>
          <w:highlight w:val="none"/>
          <w:lang w:eastAsia="zh-CN"/>
        </w:rPr>
        <w:t>”</w:t>
      </w:r>
      <w:r>
        <w:rPr>
          <w:rFonts w:eastAsia="仿宋"/>
          <w:b/>
          <w:color w:val="auto"/>
          <w:kern w:val="0"/>
          <w:sz w:val="24"/>
          <w:highlight w:val="none"/>
        </w:rPr>
        <w:t>。</w:t>
      </w:r>
    </w:p>
    <w:p>
      <w:pPr>
        <w:tabs>
          <w:tab w:val="left" w:pos="0"/>
          <w:tab w:val="left" w:pos="284"/>
          <w:tab w:val="left" w:pos="709"/>
          <w:tab w:val="left" w:pos="935"/>
          <w:tab w:val="left" w:pos="993"/>
          <w:tab w:val="left" w:pos="1077"/>
          <w:tab w:val="left" w:pos="1108"/>
        </w:tabs>
        <w:spacing w:line="460" w:lineRule="exact"/>
        <w:rPr>
          <w:rFonts w:eastAsia="仿宋"/>
          <w:b/>
          <w:bCs/>
          <w:color w:val="auto"/>
          <w:kern w:val="0"/>
          <w:sz w:val="24"/>
          <w:highlight w:val="none"/>
        </w:rPr>
      </w:pPr>
      <w:r>
        <w:rPr>
          <w:rFonts w:eastAsia="仿宋"/>
          <w:bCs/>
          <w:color w:val="auto"/>
          <w:kern w:val="0"/>
          <w:sz w:val="24"/>
          <w:highlight w:val="none"/>
        </w:rPr>
        <w:t>27.6推荐中标候选人：</w:t>
      </w:r>
      <w:r>
        <w:rPr>
          <w:rFonts w:eastAsia="仿宋"/>
          <w:b/>
          <w:bCs/>
          <w:color w:val="auto"/>
          <w:kern w:val="0"/>
          <w:sz w:val="24"/>
          <w:highlight w:val="none"/>
        </w:rPr>
        <w:t>评标委员会评标结果按评审后得分由高到低顺序排列。得分相同的，按投标报价由低到高顺序排列。得分且投标报价相同的并列，由评标委员会随机抽取确定排序。投标文件满足招标文件全部实质性要求，且按照评审因素的量化指标评审得分最高的投标人为排名第一的中标候选人。</w:t>
      </w:r>
    </w:p>
    <w:p>
      <w:pPr>
        <w:tabs>
          <w:tab w:val="left" w:pos="0"/>
          <w:tab w:val="left" w:pos="284"/>
          <w:tab w:val="left" w:pos="709"/>
          <w:tab w:val="left" w:pos="935"/>
          <w:tab w:val="left" w:pos="993"/>
          <w:tab w:val="left" w:pos="1077"/>
          <w:tab w:val="left" w:pos="1108"/>
        </w:tabs>
        <w:spacing w:line="460" w:lineRule="exact"/>
        <w:rPr>
          <w:rFonts w:eastAsia="仿宋"/>
          <w:bCs/>
          <w:color w:val="auto"/>
          <w:kern w:val="0"/>
          <w:sz w:val="24"/>
          <w:highlight w:val="none"/>
        </w:rPr>
      </w:pPr>
      <w:r>
        <w:rPr>
          <w:rFonts w:eastAsia="仿宋"/>
          <w:bCs/>
          <w:color w:val="auto"/>
          <w:kern w:val="0"/>
          <w:sz w:val="24"/>
          <w:highlight w:val="none"/>
        </w:rPr>
        <w:t>27.7编写开标、评标记录和评标报告：将开标、评标记录和评标报告打印成纸质文件，由评标委员会成员签字。</w:t>
      </w:r>
    </w:p>
    <w:p>
      <w:pPr>
        <w:spacing w:line="460" w:lineRule="exact"/>
        <w:jc w:val="center"/>
        <w:outlineLvl w:val="1"/>
        <w:rPr>
          <w:rFonts w:eastAsia="仿宋"/>
          <w:b/>
          <w:bCs/>
          <w:color w:val="auto"/>
          <w:kern w:val="0"/>
          <w:sz w:val="24"/>
          <w:highlight w:val="none"/>
        </w:rPr>
      </w:pPr>
      <w:bookmarkStart w:id="125" w:name="_Toc4752"/>
      <w:bookmarkStart w:id="126" w:name="_Toc111018940"/>
      <w:bookmarkStart w:id="127" w:name="_Toc26617"/>
      <w:bookmarkStart w:id="128" w:name="_Toc30375"/>
      <w:bookmarkStart w:id="129" w:name="_Toc853"/>
      <w:bookmarkStart w:id="130" w:name="_Toc8768"/>
      <w:r>
        <w:rPr>
          <w:rFonts w:eastAsia="仿宋"/>
          <w:b/>
          <w:bCs/>
          <w:color w:val="auto"/>
          <w:kern w:val="0"/>
          <w:sz w:val="24"/>
          <w:highlight w:val="none"/>
        </w:rPr>
        <w:t>八、中标人的确定</w:t>
      </w:r>
      <w:bookmarkEnd w:id="125"/>
      <w:bookmarkEnd w:id="126"/>
      <w:bookmarkEnd w:id="127"/>
      <w:bookmarkEnd w:id="128"/>
      <w:bookmarkEnd w:id="129"/>
      <w:bookmarkEnd w:id="130"/>
    </w:p>
    <w:p>
      <w:pPr>
        <w:spacing w:line="460" w:lineRule="exact"/>
        <w:rPr>
          <w:rFonts w:eastAsia="仿宋"/>
          <w:b/>
          <w:bCs/>
          <w:color w:val="auto"/>
          <w:kern w:val="0"/>
          <w:sz w:val="24"/>
          <w:highlight w:val="none"/>
        </w:rPr>
      </w:pPr>
      <w:r>
        <w:rPr>
          <w:rFonts w:eastAsia="仿宋"/>
          <w:b/>
          <w:bCs/>
          <w:color w:val="auto"/>
          <w:kern w:val="0"/>
          <w:sz w:val="24"/>
          <w:highlight w:val="none"/>
        </w:rPr>
        <w:t>28 在招标采购中，出现下列情形之一的，应予废标：</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28.1符合专业条件的投标人或者对招标文件作实质响应的投标人不足三家的；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28.2出现影响采购公正的违法、违规行为的；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28.3投标人的报价均超过了采购预算，采购人不能支付的；</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28.4因重大变故，采购任务取消的。</w:t>
      </w:r>
    </w:p>
    <w:p>
      <w:pPr>
        <w:spacing w:line="460" w:lineRule="exact"/>
        <w:rPr>
          <w:rFonts w:eastAsia="仿宋"/>
          <w:b/>
          <w:bCs/>
          <w:color w:val="auto"/>
          <w:kern w:val="0"/>
          <w:sz w:val="24"/>
          <w:highlight w:val="none"/>
        </w:rPr>
      </w:pPr>
      <w:r>
        <w:rPr>
          <w:rFonts w:eastAsia="仿宋"/>
          <w:b/>
          <w:bCs/>
          <w:color w:val="auto"/>
          <w:kern w:val="0"/>
          <w:sz w:val="24"/>
          <w:highlight w:val="none"/>
        </w:rPr>
        <w:t>29 中标人的确定</w:t>
      </w:r>
    </w:p>
    <w:p>
      <w:pPr>
        <w:tabs>
          <w:tab w:val="left" w:pos="0"/>
          <w:tab w:val="left" w:pos="284"/>
          <w:tab w:val="left" w:pos="709"/>
          <w:tab w:val="left" w:pos="935"/>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采购人应当自收到评标报告之日起5个工作日内在评标报告推荐的中标候选人名单中按顺序确定中标人。</w:t>
      </w:r>
    </w:p>
    <w:p>
      <w:pPr>
        <w:spacing w:line="460" w:lineRule="exact"/>
        <w:jc w:val="center"/>
        <w:outlineLvl w:val="1"/>
        <w:rPr>
          <w:rFonts w:eastAsia="仿宋"/>
          <w:b/>
          <w:bCs/>
          <w:color w:val="auto"/>
          <w:kern w:val="0"/>
          <w:sz w:val="24"/>
          <w:highlight w:val="none"/>
        </w:rPr>
      </w:pPr>
      <w:bookmarkStart w:id="131" w:name="_Toc13930"/>
      <w:bookmarkStart w:id="132" w:name="_Toc1025"/>
      <w:bookmarkStart w:id="133" w:name="_Toc21649"/>
      <w:bookmarkStart w:id="134" w:name="_Toc111018941"/>
      <w:bookmarkStart w:id="135" w:name="_Toc16021"/>
      <w:bookmarkStart w:id="136" w:name="_Toc25192"/>
      <w:r>
        <w:rPr>
          <w:rFonts w:eastAsia="仿宋"/>
          <w:b/>
          <w:bCs/>
          <w:color w:val="auto"/>
          <w:kern w:val="0"/>
          <w:sz w:val="24"/>
          <w:highlight w:val="none"/>
        </w:rPr>
        <w:t>九、中标结果公告</w:t>
      </w:r>
      <w:bookmarkEnd w:id="131"/>
      <w:bookmarkEnd w:id="132"/>
      <w:bookmarkEnd w:id="133"/>
      <w:bookmarkEnd w:id="134"/>
      <w:bookmarkEnd w:id="135"/>
      <w:bookmarkEnd w:id="136"/>
    </w:p>
    <w:p>
      <w:pPr>
        <w:spacing w:line="460" w:lineRule="exact"/>
        <w:rPr>
          <w:rFonts w:eastAsia="仿宋"/>
          <w:b/>
          <w:bCs/>
          <w:color w:val="auto"/>
          <w:kern w:val="0"/>
          <w:sz w:val="24"/>
          <w:highlight w:val="none"/>
        </w:rPr>
      </w:pPr>
      <w:r>
        <w:rPr>
          <w:rFonts w:eastAsia="仿宋"/>
          <w:b/>
          <w:bCs/>
          <w:color w:val="auto"/>
          <w:kern w:val="0"/>
          <w:sz w:val="24"/>
          <w:highlight w:val="none"/>
        </w:rPr>
        <w:t>30 中标结果公告</w:t>
      </w:r>
    </w:p>
    <w:p>
      <w:pPr>
        <w:tabs>
          <w:tab w:val="left" w:pos="0"/>
          <w:tab w:val="left" w:pos="284"/>
          <w:tab w:val="left" w:pos="709"/>
        </w:tabs>
        <w:spacing w:line="460" w:lineRule="exact"/>
        <w:jc w:val="left"/>
        <w:rPr>
          <w:rFonts w:eastAsia="仿宋"/>
          <w:bCs/>
          <w:color w:val="auto"/>
          <w:kern w:val="0"/>
          <w:sz w:val="24"/>
          <w:highlight w:val="none"/>
        </w:rPr>
      </w:pPr>
      <w:r>
        <w:rPr>
          <w:rFonts w:eastAsia="仿宋"/>
          <w:bCs/>
          <w:color w:val="auto"/>
          <w:kern w:val="0"/>
          <w:sz w:val="24"/>
          <w:highlight w:val="none"/>
        </w:rPr>
        <w:t>30.1.采购代理机构根据采购人确定的中标结果，将中标结果在中国政府采购网（http://www.ccgp.gov.cn/）发布；</w:t>
      </w:r>
    </w:p>
    <w:p>
      <w:pPr>
        <w:tabs>
          <w:tab w:val="left" w:pos="0"/>
          <w:tab w:val="left" w:pos="284"/>
          <w:tab w:val="left" w:pos="709"/>
        </w:tabs>
        <w:spacing w:line="460" w:lineRule="exact"/>
        <w:rPr>
          <w:rFonts w:eastAsia="仿宋"/>
          <w:bCs/>
          <w:color w:val="auto"/>
          <w:kern w:val="0"/>
          <w:sz w:val="24"/>
          <w:highlight w:val="none"/>
        </w:rPr>
      </w:pPr>
      <w:r>
        <w:rPr>
          <w:rFonts w:eastAsia="仿宋"/>
          <w:bCs/>
          <w:color w:val="auto"/>
          <w:kern w:val="0"/>
          <w:sz w:val="24"/>
          <w:highlight w:val="none"/>
        </w:rPr>
        <w:t>30.2.中标公告期限为1个工作日。</w:t>
      </w:r>
    </w:p>
    <w:p>
      <w:pPr>
        <w:spacing w:line="460" w:lineRule="exact"/>
        <w:jc w:val="center"/>
        <w:outlineLvl w:val="1"/>
        <w:rPr>
          <w:rFonts w:eastAsia="仿宋"/>
          <w:b/>
          <w:bCs/>
          <w:color w:val="auto"/>
          <w:kern w:val="0"/>
          <w:sz w:val="24"/>
          <w:highlight w:val="none"/>
        </w:rPr>
      </w:pPr>
      <w:bookmarkStart w:id="137" w:name="_Toc111018942"/>
      <w:bookmarkStart w:id="138" w:name="_Toc1990"/>
      <w:bookmarkStart w:id="139" w:name="_Toc6360"/>
      <w:bookmarkStart w:id="140" w:name="_Toc13759"/>
      <w:bookmarkStart w:id="141" w:name="_Toc1684"/>
      <w:bookmarkStart w:id="142" w:name="_Toc27217"/>
      <w:r>
        <w:rPr>
          <w:rFonts w:eastAsia="仿宋"/>
          <w:b/>
          <w:bCs/>
          <w:color w:val="auto"/>
          <w:kern w:val="0"/>
          <w:sz w:val="24"/>
          <w:highlight w:val="none"/>
        </w:rPr>
        <w:t>十、中标通知</w:t>
      </w:r>
      <w:bookmarkEnd w:id="137"/>
      <w:bookmarkEnd w:id="138"/>
      <w:bookmarkEnd w:id="139"/>
      <w:bookmarkEnd w:id="140"/>
      <w:bookmarkEnd w:id="141"/>
      <w:bookmarkEnd w:id="142"/>
    </w:p>
    <w:p>
      <w:pPr>
        <w:spacing w:line="460" w:lineRule="exact"/>
        <w:rPr>
          <w:rFonts w:eastAsia="仿宋"/>
          <w:b/>
          <w:bCs/>
          <w:color w:val="auto"/>
          <w:kern w:val="0"/>
          <w:sz w:val="24"/>
          <w:highlight w:val="none"/>
        </w:rPr>
      </w:pPr>
      <w:r>
        <w:rPr>
          <w:rFonts w:eastAsia="仿宋"/>
          <w:b/>
          <w:bCs/>
          <w:color w:val="auto"/>
          <w:kern w:val="0"/>
          <w:sz w:val="24"/>
          <w:highlight w:val="none"/>
        </w:rPr>
        <w:t>31中标通知</w:t>
      </w:r>
    </w:p>
    <w:p>
      <w:pPr>
        <w:tabs>
          <w:tab w:val="left" w:pos="0"/>
          <w:tab w:val="left" w:pos="284"/>
          <w:tab w:val="left" w:pos="709"/>
          <w:tab w:val="left" w:pos="935"/>
          <w:tab w:val="left" w:pos="993"/>
          <w:tab w:val="left" w:pos="1108"/>
        </w:tabs>
        <w:spacing w:line="460" w:lineRule="exact"/>
        <w:ind w:firstLine="480" w:firstLineChars="200"/>
        <w:rPr>
          <w:rFonts w:eastAsia="仿宋"/>
          <w:bCs/>
          <w:strike/>
          <w:color w:val="auto"/>
          <w:kern w:val="0"/>
          <w:sz w:val="24"/>
          <w:highlight w:val="none"/>
        </w:rPr>
      </w:pPr>
      <w:r>
        <w:rPr>
          <w:rFonts w:eastAsia="仿宋"/>
          <w:bCs/>
          <w:color w:val="auto"/>
          <w:kern w:val="0"/>
          <w:sz w:val="24"/>
          <w:highlight w:val="none"/>
        </w:rPr>
        <w:t>采购代理机构向中标人发出中标通知书。</w:t>
      </w:r>
    </w:p>
    <w:p>
      <w:pPr>
        <w:spacing w:line="460" w:lineRule="exact"/>
        <w:jc w:val="center"/>
        <w:outlineLvl w:val="1"/>
        <w:rPr>
          <w:rFonts w:eastAsia="仿宋"/>
          <w:b/>
          <w:bCs/>
          <w:color w:val="auto"/>
          <w:kern w:val="0"/>
          <w:sz w:val="24"/>
          <w:highlight w:val="none"/>
        </w:rPr>
      </w:pPr>
      <w:bookmarkStart w:id="143" w:name="_Toc5130"/>
      <w:bookmarkStart w:id="144" w:name="_Toc111018943"/>
      <w:bookmarkStart w:id="145" w:name="_Toc1564"/>
      <w:bookmarkStart w:id="146" w:name="_Toc25246"/>
      <w:bookmarkStart w:id="147" w:name="_Toc10580"/>
      <w:bookmarkStart w:id="148" w:name="_Toc25102"/>
      <w:r>
        <w:rPr>
          <w:rFonts w:eastAsia="仿宋"/>
          <w:b/>
          <w:bCs/>
          <w:color w:val="auto"/>
          <w:kern w:val="0"/>
          <w:sz w:val="24"/>
          <w:highlight w:val="none"/>
        </w:rPr>
        <w:t>十一、签订合同</w:t>
      </w:r>
      <w:bookmarkEnd w:id="143"/>
      <w:bookmarkEnd w:id="144"/>
      <w:bookmarkEnd w:id="145"/>
      <w:bookmarkEnd w:id="146"/>
      <w:bookmarkEnd w:id="147"/>
      <w:bookmarkEnd w:id="148"/>
    </w:p>
    <w:p>
      <w:pPr>
        <w:spacing w:line="460" w:lineRule="exact"/>
        <w:rPr>
          <w:rFonts w:eastAsia="仿宋"/>
          <w:b/>
          <w:bCs/>
          <w:color w:val="auto"/>
          <w:kern w:val="0"/>
          <w:sz w:val="24"/>
          <w:highlight w:val="none"/>
        </w:rPr>
      </w:pPr>
      <w:r>
        <w:rPr>
          <w:rFonts w:eastAsia="仿宋"/>
          <w:b/>
          <w:bCs/>
          <w:color w:val="auto"/>
          <w:kern w:val="0"/>
          <w:sz w:val="24"/>
          <w:highlight w:val="none"/>
        </w:rPr>
        <w:t>32签订合同</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32.1中标人在中标通知书发出之日起三十日内，按照招标文件确定的事项签订政府采购合同。</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32.2中标人拒绝与采购人签订合同的，采购人可以按照评审报告推荐的中标候选人名单排序，确定下一候选人为中标人，也可以重新开展政府采购活动，若中标人拒绝与采购人签订合同对采购人造成损失，中标人应承担相应的责任。</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32.3招标文件、中标人的投标文件及评标过程中的有关澄清文件均为签订合同的依据。</w:t>
      </w:r>
    </w:p>
    <w:p>
      <w:pPr>
        <w:tabs>
          <w:tab w:val="left" w:pos="0"/>
          <w:tab w:val="left" w:pos="284"/>
          <w:tab w:val="left" w:pos="709"/>
          <w:tab w:val="left" w:pos="935"/>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32.4合同履行中，采购人需追加与合同标的相同的货物的，在不改变合同其他条款的前提下，可以与中标人协商签订补充合同，但所有补充合同的采购金额不得超过原合同采购金额的百分之十。</w:t>
      </w:r>
    </w:p>
    <w:p>
      <w:pPr>
        <w:spacing w:line="460" w:lineRule="exact"/>
        <w:jc w:val="center"/>
        <w:outlineLvl w:val="1"/>
        <w:rPr>
          <w:rFonts w:eastAsia="仿宋"/>
          <w:b/>
          <w:bCs/>
          <w:color w:val="auto"/>
          <w:kern w:val="0"/>
          <w:sz w:val="24"/>
          <w:highlight w:val="none"/>
        </w:rPr>
      </w:pPr>
      <w:bookmarkStart w:id="149" w:name="_Toc15342"/>
      <w:bookmarkStart w:id="150" w:name="_Toc111018944"/>
      <w:bookmarkStart w:id="151" w:name="_Toc23882"/>
      <w:bookmarkStart w:id="152" w:name="_Toc3254"/>
      <w:bookmarkStart w:id="153" w:name="_Toc822"/>
      <w:bookmarkStart w:id="154" w:name="_Toc14788"/>
      <w:r>
        <w:rPr>
          <w:rFonts w:eastAsia="仿宋"/>
          <w:b/>
          <w:bCs/>
          <w:color w:val="auto"/>
          <w:kern w:val="0"/>
          <w:sz w:val="24"/>
          <w:highlight w:val="none"/>
        </w:rPr>
        <w:t>十二、询问、质疑和投诉</w:t>
      </w:r>
      <w:bookmarkEnd w:id="149"/>
      <w:bookmarkEnd w:id="150"/>
      <w:bookmarkEnd w:id="151"/>
      <w:bookmarkEnd w:id="152"/>
      <w:bookmarkEnd w:id="153"/>
      <w:bookmarkEnd w:id="154"/>
    </w:p>
    <w:p>
      <w:pPr>
        <w:spacing w:line="460" w:lineRule="exact"/>
        <w:rPr>
          <w:rFonts w:eastAsia="仿宋"/>
          <w:b/>
          <w:bCs/>
          <w:color w:val="auto"/>
          <w:kern w:val="0"/>
          <w:sz w:val="24"/>
          <w:highlight w:val="none"/>
        </w:rPr>
      </w:pPr>
      <w:r>
        <w:rPr>
          <w:rFonts w:eastAsia="仿宋"/>
          <w:b/>
          <w:bCs/>
          <w:color w:val="auto"/>
          <w:kern w:val="0"/>
          <w:sz w:val="24"/>
          <w:highlight w:val="none"/>
        </w:rPr>
        <w:t>33询问</w:t>
      </w:r>
    </w:p>
    <w:p>
      <w:pPr>
        <w:tabs>
          <w:tab w:val="left" w:pos="0"/>
          <w:tab w:val="left" w:pos="284"/>
          <w:tab w:val="left" w:pos="709"/>
          <w:tab w:val="left" w:pos="935"/>
        </w:tabs>
        <w:spacing w:line="460" w:lineRule="exact"/>
        <w:ind w:firstLine="480" w:firstLineChars="200"/>
        <w:rPr>
          <w:rFonts w:eastAsia="仿宋"/>
          <w:b/>
          <w:bCs/>
          <w:color w:val="auto"/>
          <w:kern w:val="0"/>
          <w:sz w:val="24"/>
          <w:highlight w:val="none"/>
        </w:rPr>
      </w:pPr>
      <w:r>
        <w:rPr>
          <w:rFonts w:eastAsia="仿宋"/>
          <w:bCs/>
          <w:color w:val="auto"/>
          <w:kern w:val="0"/>
          <w:sz w:val="24"/>
          <w:highlight w:val="none"/>
        </w:rPr>
        <w:t>投标人对政府采购活动事项有疑问的，可以向采购人或者采购代理机构提出询问，采购代理机构应当在3个工作日内对投标人依法提出询问作出答复。</w:t>
      </w:r>
    </w:p>
    <w:p>
      <w:pPr>
        <w:spacing w:line="460" w:lineRule="exact"/>
        <w:rPr>
          <w:rFonts w:eastAsia="仿宋"/>
          <w:b/>
          <w:bCs/>
          <w:color w:val="auto"/>
          <w:kern w:val="0"/>
          <w:sz w:val="24"/>
          <w:highlight w:val="none"/>
        </w:rPr>
      </w:pPr>
      <w:r>
        <w:rPr>
          <w:rFonts w:eastAsia="仿宋"/>
          <w:b/>
          <w:bCs/>
          <w:color w:val="auto"/>
          <w:kern w:val="0"/>
          <w:sz w:val="24"/>
          <w:highlight w:val="none"/>
        </w:rPr>
        <w:t>34质疑、投诉注意事项</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34.1接收质疑方式</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34.1.1投标人如委托代理人进行质疑和投诉，应当提交投标人签署的授权委托书，其授权委托书应当载明代理人的姓名或者名称、代理事项、具体权限、期限和相关事项。投标人为自然人的应当由本人签字。投标人为法人或者其他组织的，应当由法定代表人、主要负责人或者其授权代表签字或者盖章，并加盖公章。</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34.1.2采购代理机构接收询问、质疑联系方式</w:t>
      </w:r>
    </w:p>
    <w:p>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接收部门：招标技术部</w:t>
      </w:r>
    </w:p>
    <w:p>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联系电话：0791-83978376</w:t>
      </w:r>
    </w:p>
    <w:p>
      <w:pPr>
        <w:tabs>
          <w:tab w:val="left" w:pos="0"/>
          <w:tab w:val="left" w:pos="284"/>
          <w:tab w:val="left" w:pos="709"/>
          <w:tab w:val="left" w:pos="993"/>
          <w:tab w:val="left" w:pos="1108"/>
        </w:tabs>
        <w:spacing w:line="460" w:lineRule="exact"/>
        <w:ind w:firstLine="360" w:firstLineChars="150"/>
        <w:rPr>
          <w:rFonts w:hint="eastAsia" w:eastAsia="仿宋"/>
          <w:bCs/>
          <w:color w:val="auto"/>
          <w:kern w:val="0"/>
          <w:sz w:val="24"/>
          <w:highlight w:val="none"/>
          <w:lang w:val="en-US" w:eastAsia="zh-CN"/>
        </w:rPr>
      </w:pPr>
      <w:r>
        <w:rPr>
          <w:rFonts w:hint="eastAsia" w:eastAsia="仿宋"/>
          <w:bCs/>
          <w:color w:val="auto"/>
          <w:kern w:val="0"/>
          <w:sz w:val="24"/>
          <w:highlight w:val="none"/>
          <w:lang w:val="en-US" w:eastAsia="zh-CN"/>
        </w:rPr>
        <w:t>通讯地址：江西省南昌市红谷滩区红谷北大道968号绿地外滩公馆写字楼19栋406室</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hint="eastAsia" w:eastAsia="仿宋"/>
          <w:bCs/>
          <w:color w:val="auto"/>
          <w:kern w:val="0"/>
          <w:sz w:val="24"/>
          <w:highlight w:val="none"/>
          <w:lang w:val="en-US" w:eastAsia="zh-CN"/>
        </w:rPr>
        <w:t xml:space="preserve">电子邮箱： jxhsh2022@163.com </w:t>
      </w:r>
    </w:p>
    <w:p>
      <w:pPr>
        <w:tabs>
          <w:tab w:val="left" w:pos="0"/>
          <w:tab w:val="left" w:pos="284"/>
          <w:tab w:val="left" w:pos="709"/>
          <w:tab w:val="left" w:pos="993"/>
          <w:tab w:val="left" w:pos="1108"/>
        </w:tabs>
        <w:spacing w:line="460" w:lineRule="exact"/>
        <w:ind w:firstLine="360" w:firstLineChars="150"/>
        <w:rPr>
          <w:rFonts w:eastAsia="仿宋"/>
          <w:bCs/>
          <w:color w:val="auto"/>
          <w:kern w:val="0"/>
          <w:sz w:val="24"/>
          <w:highlight w:val="none"/>
        </w:rPr>
      </w:pPr>
      <w:r>
        <w:rPr>
          <w:rFonts w:eastAsia="仿宋"/>
          <w:bCs/>
          <w:color w:val="auto"/>
          <w:kern w:val="0"/>
          <w:sz w:val="24"/>
          <w:highlight w:val="none"/>
        </w:rPr>
        <w:t>34.1.3质疑函应包括但不限于下列内容（格式可参照中国政府采购网下载专区《政府采购供应商质疑函范本》）：</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1）投标人的姓名或者名称、地址、邮编、联系人及联系电话；</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2）质疑项目的名称、编号；</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3）具体、明确的质疑事项和与质疑事项相关的请求；</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4）事实依据；</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5）必要的法律依据；</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6）质疑人参加了本次政府采购活动的证明材料（如报名回执等）；</w:t>
      </w:r>
    </w:p>
    <w:p>
      <w:pPr>
        <w:tabs>
          <w:tab w:val="left" w:pos="0"/>
          <w:tab w:val="left" w:pos="284"/>
          <w:tab w:val="left" w:pos="709"/>
          <w:tab w:val="left" w:pos="993"/>
          <w:tab w:val="left" w:pos="1108"/>
        </w:tabs>
        <w:spacing w:line="460" w:lineRule="exact"/>
        <w:ind w:firstLine="480" w:firstLineChars="200"/>
        <w:rPr>
          <w:rFonts w:eastAsia="仿宋"/>
          <w:bCs/>
          <w:color w:val="auto"/>
          <w:kern w:val="0"/>
          <w:sz w:val="24"/>
          <w:highlight w:val="none"/>
        </w:rPr>
      </w:pPr>
      <w:r>
        <w:rPr>
          <w:rFonts w:eastAsia="仿宋"/>
          <w:bCs/>
          <w:color w:val="auto"/>
          <w:kern w:val="0"/>
          <w:sz w:val="24"/>
          <w:highlight w:val="none"/>
        </w:rPr>
        <w:t>7）提出质疑的日期。</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34.2投标人应当在法定质疑期内一次性提出针对同一采购程序环节的质疑；提出质疑的投标人应当是参与所质疑项目采购活动的投标人。</w:t>
      </w:r>
    </w:p>
    <w:p>
      <w:pPr>
        <w:tabs>
          <w:tab w:val="left" w:pos="0"/>
          <w:tab w:val="left" w:pos="284"/>
          <w:tab w:val="left" w:pos="709"/>
          <w:tab w:val="left" w:pos="993"/>
          <w:tab w:val="left" w:pos="1108"/>
        </w:tabs>
        <w:spacing w:line="460" w:lineRule="exact"/>
        <w:rPr>
          <w:rFonts w:eastAsia="仿宋"/>
          <w:bCs/>
          <w:color w:val="auto"/>
          <w:kern w:val="0"/>
          <w:sz w:val="24"/>
          <w:highlight w:val="none"/>
        </w:rPr>
      </w:pPr>
      <w:r>
        <w:rPr>
          <w:rFonts w:eastAsia="仿宋"/>
          <w:bCs/>
          <w:color w:val="auto"/>
          <w:kern w:val="0"/>
          <w:sz w:val="24"/>
          <w:highlight w:val="none"/>
        </w:rPr>
        <w:t>34.3若以联合体形式参加政府采购活动的，其投诉应由组成联合体的所有投标人共同提出。</w:t>
      </w:r>
    </w:p>
    <w:p>
      <w:pPr>
        <w:spacing w:line="460" w:lineRule="exact"/>
        <w:rPr>
          <w:rFonts w:eastAsia="仿宋"/>
          <w:b/>
          <w:bCs/>
          <w:color w:val="auto"/>
          <w:kern w:val="0"/>
          <w:sz w:val="24"/>
          <w:highlight w:val="none"/>
        </w:rPr>
      </w:pPr>
      <w:r>
        <w:rPr>
          <w:rFonts w:eastAsia="仿宋"/>
          <w:b/>
          <w:bCs/>
          <w:color w:val="auto"/>
          <w:kern w:val="0"/>
          <w:sz w:val="24"/>
          <w:highlight w:val="none"/>
        </w:rPr>
        <w:t>35质疑</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35.1投标人认为招标文件、采购过程、中标结果使自己的权益受到损害的，可以在知道或者应知其权益受到损害之日起7个工作日内，以书面形式向采购人、采购代理机构提出质疑。</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35.2采购代理机构会在收到《质疑函》后7个工作日内作出书面答复，并以书面形式通知质疑人和其他有关投标人；必要时，采购代理机构将组织相关专家召开答疑会，并将会议内容以书面形式发给要求澄清的投标人，此类答复中不披露问题的来源，不涉及商业秘密。</w:t>
      </w:r>
    </w:p>
    <w:p>
      <w:pPr>
        <w:tabs>
          <w:tab w:val="left" w:pos="0"/>
          <w:tab w:val="left" w:pos="284"/>
          <w:tab w:val="left" w:pos="709"/>
          <w:tab w:val="left" w:pos="993"/>
        </w:tabs>
        <w:spacing w:line="460" w:lineRule="exact"/>
        <w:rPr>
          <w:rFonts w:eastAsia="仿宋"/>
          <w:bCs/>
          <w:color w:val="auto"/>
          <w:kern w:val="0"/>
          <w:sz w:val="24"/>
          <w:highlight w:val="none"/>
        </w:rPr>
      </w:pPr>
      <w:r>
        <w:rPr>
          <w:rFonts w:eastAsia="仿宋"/>
          <w:bCs/>
          <w:color w:val="auto"/>
          <w:kern w:val="0"/>
          <w:sz w:val="24"/>
          <w:highlight w:val="none"/>
        </w:rPr>
        <w:t>35.3具体相关事宜按中华人民共和国财政部令第94号--《政府采购质疑和投诉办法》的规定执行。</w:t>
      </w:r>
    </w:p>
    <w:p>
      <w:pPr>
        <w:spacing w:line="460" w:lineRule="exact"/>
        <w:rPr>
          <w:rFonts w:eastAsia="仿宋"/>
          <w:b/>
          <w:bCs/>
          <w:color w:val="auto"/>
          <w:kern w:val="0"/>
          <w:sz w:val="24"/>
          <w:highlight w:val="none"/>
        </w:rPr>
      </w:pPr>
      <w:r>
        <w:rPr>
          <w:rFonts w:eastAsia="仿宋"/>
          <w:b/>
          <w:bCs/>
          <w:color w:val="auto"/>
          <w:kern w:val="0"/>
          <w:sz w:val="24"/>
          <w:highlight w:val="none"/>
        </w:rPr>
        <w:t>36投诉</w:t>
      </w:r>
    </w:p>
    <w:p>
      <w:pPr>
        <w:spacing w:line="460" w:lineRule="exact"/>
        <w:ind w:firstLine="480" w:firstLineChars="200"/>
        <w:rPr>
          <w:rFonts w:eastAsia="仿宋"/>
          <w:bCs/>
          <w:color w:val="auto"/>
          <w:kern w:val="0"/>
          <w:sz w:val="24"/>
          <w:highlight w:val="none"/>
        </w:rPr>
      </w:pPr>
      <w:r>
        <w:rPr>
          <w:rFonts w:eastAsia="仿宋"/>
          <w:bCs/>
          <w:color w:val="auto"/>
          <w:kern w:val="0"/>
          <w:sz w:val="24"/>
          <w:highlight w:val="none"/>
        </w:rPr>
        <w:t>投标人提出质疑后对采购代理机构答复不满意或采购代理机构未在规定时间内作出书面答复的，可在采购代理机构发出质疑答复函之日起或答复期满15个工作日内向同级财政部门提出投诉。投诉事项及程序按中华人民共和国财政部令第94号--《政府采购质疑和投诉办法》的规定执行。</w:t>
      </w:r>
    </w:p>
    <w:p>
      <w:pPr>
        <w:spacing w:line="460" w:lineRule="exact"/>
        <w:jc w:val="center"/>
        <w:outlineLvl w:val="1"/>
        <w:rPr>
          <w:rFonts w:eastAsia="仿宋"/>
          <w:b/>
          <w:bCs/>
          <w:color w:val="auto"/>
          <w:kern w:val="0"/>
          <w:sz w:val="24"/>
          <w:highlight w:val="none"/>
        </w:rPr>
      </w:pPr>
      <w:bookmarkStart w:id="155" w:name="_Toc23568"/>
      <w:bookmarkStart w:id="156" w:name="_Toc9145"/>
      <w:bookmarkStart w:id="157" w:name="_Toc31413"/>
      <w:bookmarkStart w:id="158" w:name="_Toc22628"/>
      <w:bookmarkStart w:id="159" w:name="_Toc111018945"/>
      <w:bookmarkStart w:id="160" w:name="_Toc21096"/>
      <w:r>
        <w:rPr>
          <w:rFonts w:eastAsia="仿宋"/>
          <w:b/>
          <w:bCs/>
          <w:color w:val="auto"/>
          <w:kern w:val="0"/>
          <w:sz w:val="24"/>
          <w:highlight w:val="none"/>
        </w:rPr>
        <w:t>十三、其他事项</w:t>
      </w:r>
      <w:bookmarkEnd w:id="155"/>
      <w:bookmarkEnd w:id="156"/>
      <w:bookmarkEnd w:id="157"/>
      <w:bookmarkEnd w:id="158"/>
      <w:bookmarkEnd w:id="159"/>
      <w:bookmarkEnd w:id="160"/>
    </w:p>
    <w:p>
      <w:pPr>
        <w:spacing w:line="460" w:lineRule="exact"/>
        <w:rPr>
          <w:rFonts w:eastAsia="仿宋"/>
          <w:b/>
          <w:bCs/>
          <w:color w:val="auto"/>
          <w:kern w:val="0"/>
          <w:sz w:val="24"/>
          <w:highlight w:val="none"/>
        </w:rPr>
      </w:pPr>
      <w:r>
        <w:rPr>
          <w:rFonts w:eastAsia="仿宋"/>
          <w:b/>
          <w:bCs/>
          <w:color w:val="auto"/>
          <w:kern w:val="0"/>
          <w:sz w:val="24"/>
          <w:highlight w:val="none"/>
        </w:rPr>
        <w:t>37代理服务费</w:t>
      </w:r>
    </w:p>
    <w:p>
      <w:pPr>
        <w:tabs>
          <w:tab w:val="left" w:pos="0"/>
          <w:tab w:val="left" w:pos="284"/>
          <w:tab w:val="left" w:pos="709"/>
          <w:tab w:val="left" w:pos="993"/>
          <w:tab w:val="left" w:pos="1108"/>
        </w:tabs>
        <w:spacing w:line="460" w:lineRule="exact"/>
        <w:ind w:firstLine="480" w:firstLineChars="200"/>
        <w:rPr>
          <w:rFonts w:eastAsia="仿宋"/>
          <w:color w:val="auto"/>
          <w:sz w:val="24"/>
          <w:highlight w:val="none"/>
        </w:rPr>
      </w:pPr>
      <w:r>
        <w:rPr>
          <w:rFonts w:eastAsia="仿宋"/>
          <w:bCs/>
          <w:color w:val="auto"/>
          <w:kern w:val="0"/>
          <w:sz w:val="24"/>
          <w:highlight w:val="none"/>
        </w:rPr>
        <w:t>中标人领取中标通知书时，应向采购代理机构一次性付清代理服务费。</w:t>
      </w:r>
      <w:r>
        <w:rPr>
          <w:rFonts w:eastAsia="仿宋"/>
          <w:color w:val="auto"/>
          <w:sz w:val="24"/>
          <w:highlight w:val="none"/>
        </w:rPr>
        <w:t>收费标准：</w:t>
      </w:r>
      <w:r>
        <w:rPr>
          <w:rFonts w:eastAsia="仿宋"/>
          <w:b/>
          <w:bCs/>
          <w:color w:val="auto"/>
          <w:kern w:val="0"/>
          <w:sz w:val="24"/>
          <w:highlight w:val="none"/>
          <w:u w:val="single"/>
        </w:rPr>
        <w:t>详见</w:t>
      </w:r>
      <w:r>
        <w:rPr>
          <w:rFonts w:hint="eastAsia" w:eastAsia="仿宋"/>
          <w:b/>
          <w:bCs/>
          <w:color w:val="auto"/>
          <w:kern w:val="0"/>
          <w:sz w:val="24"/>
          <w:highlight w:val="none"/>
          <w:u w:val="single"/>
          <w:lang w:eastAsia="zh-CN"/>
        </w:rPr>
        <w:t>“</w:t>
      </w:r>
      <w:r>
        <w:rPr>
          <w:rFonts w:eastAsia="仿宋"/>
          <w:b/>
          <w:color w:val="auto"/>
          <w:sz w:val="24"/>
          <w:highlight w:val="none"/>
          <w:u w:val="single"/>
        </w:rPr>
        <w:t>投标人须知前附表</w:t>
      </w:r>
      <w:r>
        <w:rPr>
          <w:rFonts w:hint="eastAsia" w:eastAsia="仿宋"/>
          <w:b/>
          <w:color w:val="auto"/>
          <w:sz w:val="24"/>
          <w:highlight w:val="none"/>
          <w:u w:val="single"/>
          <w:lang w:eastAsia="zh-CN"/>
        </w:rPr>
        <w:t>”</w:t>
      </w:r>
      <w:r>
        <w:rPr>
          <w:rFonts w:eastAsia="仿宋"/>
          <w:bCs/>
          <w:color w:val="auto"/>
          <w:kern w:val="0"/>
          <w:sz w:val="24"/>
          <w:highlight w:val="none"/>
        </w:rPr>
        <w:t>。</w:t>
      </w:r>
    </w:p>
    <w:p>
      <w:pPr>
        <w:spacing w:line="460" w:lineRule="exact"/>
        <w:rPr>
          <w:rFonts w:eastAsia="仿宋"/>
          <w:b/>
          <w:bCs/>
          <w:color w:val="auto"/>
          <w:kern w:val="0"/>
          <w:sz w:val="24"/>
          <w:highlight w:val="none"/>
        </w:rPr>
      </w:pPr>
      <w:r>
        <w:rPr>
          <w:rFonts w:eastAsia="仿宋"/>
          <w:b/>
          <w:bCs/>
          <w:color w:val="auto"/>
          <w:kern w:val="0"/>
          <w:sz w:val="24"/>
          <w:highlight w:val="none"/>
        </w:rPr>
        <w:t>38适用法律</w:t>
      </w:r>
    </w:p>
    <w:p>
      <w:pPr>
        <w:pStyle w:val="20"/>
        <w:spacing w:line="460" w:lineRule="exact"/>
        <w:ind w:firstLine="480" w:firstLineChars="200"/>
        <w:rPr>
          <w:rFonts w:ascii="Times New Roman" w:hAnsi="Times New Roman" w:eastAsia="仿宋"/>
          <w:bCs/>
          <w:color w:val="auto"/>
          <w:sz w:val="24"/>
          <w:szCs w:val="24"/>
          <w:highlight w:val="none"/>
        </w:rPr>
      </w:pPr>
      <w:r>
        <w:rPr>
          <w:rFonts w:ascii="Times New Roman" w:hAnsi="Times New Roman" w:eastAsia="仿宋"/>
          <w:bCs/>
          <w:color w:val="auto"/>
          <w:sz w:val="24"/>
          <w:szCs w:val="24"/>
          <w:highlight w:val="none"/>
        </w:rPr>
        <w:t>采购代理机构及投标人的一切招标投标活动均适用于《中华人民共和国政府采购法》及相关规定。</w:t>
      </w:r>
    </w:p>
    <w:p>
      <w:pPr>
        <w:spacing w:line="460" w:lineRule="exact"/>
        <w:rPr>
          <w:rFonts w:eastAsia="仿宋"/>
          <w:b/>
          <w:bCs/>
          <w:color w:val="auto"/>
          <w:kern w:val="0"/>
          <w:sz w:val="24"/>
          <w:highlight w:val="none"/>
        </w:rPr>
      </w:pPr>
      <w:r>
        <w:rPr>
          <w:rFonts w:eastAsia="仿宋"/>
          <w:b/>
          <w:bCs/>
          <w:color w:val="auto"/>
          <w:kern w:val="0"/>
          <w:sz w:val="24"/>
          <w:highlight w:val="none"/>
        </w:rPr>
        <w:t>39解释权</w:t>
      </w:r>
    </w:p>
    <w:p>
      <w:pPr>
        <w:pStyle w:val="20"/>
        <w:spacing w:line="460" w:lineRule="exact"/>
        <w:ind w:firstLine="480" w:firstLineChars="200"/>
        <w:rPr>
          <w:rFonts w:ascii="Times New Roman" w:hAnsi="Times New Roman" w:eastAsia="仿宋"/>
          <w:color w:val="auto"/>
          <w:sz w:val="24"/>
          <w:szCs w:val="24"/>
          <w:highlight w:val="none"/>
        </w:rPr>
      </w:pPr>
      <w:r>
        <w:rPr>
          <w:rFonts w:ascii="Times New Roman" w:hAnsi="Times New Roman" w:eastAsia="仿宋"/>
          <w:bCs/>
          <w:color w:val="auto"/>
          <w:sz w:val="24"/>
          <w:szCs w:val="24"/>
          <w:highlight w:val="none"/>
        </w:rPr>
        <w:t>本招标文件是根据国家有关法律、法规以及政府采购管理有关规定编制，</w:t>
      </w:r>
      <w:r>
        <w:rPr>
          <w:rFonts w:ascii="Times New Roman" w:hAnsi="Times New Roman" w:eastAsia="仿宋"/>
          <w:color w:val="auto"/>
          <w:sz w:val="24"/>
          <w:szCs w:val="24"/>
          <w:highlight w:val="none"/>
        </w:rPr>
        <w:t>招标文件的最终解释权属于采购代理机构。</w:t>
      </w:r>
    </w:p>
    <w:p>
      <w:pPr>
        <w:pStyle w:val="20"/>
        <w:spacing w:line="460" w:lineRule="exact"/>
        <w:ind w:firstLine="480" w:firstLineChars="200"/>
        <w:rPr>
          <w:rFonts w:ascii="Times New Roman" w:hAnsi="Times New Roman" w:eastAsia="仿宋"/>
          <w:bCs/>
          <w:strike/>
          <w:color w:val="auto"/>
          <w:sz w:val="24"/>
          <w:szCs w:val="24"/>
          <w:highlight w:val="none"/>
        </w:rPr>
      </w:pPr>
    </w:p>
    <w:p>
      <w:pPr>
        <w:pStyle w:val="3"/>
        <w:jc w:val="center"/>
        <w:rPr>
          <w:rFonts w:ascii="Times New Roman" w:eastAsia="仿宋"/>
          <w:color w:val="auto"/>
          <w:szCs w:val="44"/>
          <w:highlight w:val="none"/>
        </w:rPr>
      </w:pPr>
      <w:r>
        <w:rPr>
          <w:rFonts w:ascii="Times New Roman" w:eastAsia="仿宋"/>
          <w:color w:val="auto"/>
          <w:szCs w:val="44"/>
          <w:highlight w:val="none"/>
        </w:rPr>
        <w:br w:type="page"/>
      </w:r>
      <w:bookmarkStart w:id="161" w:name="_Toc18411"/>
      <w:bookmarkStart w:id="162" w:name="_Toc12601"/>
      <w:bookmarkStart w:id="163" w:name="_Toc25122"/>
      <w:bookmarkStart w:id="164" w:name="_Toc495396671"/>
      <w:bookmarkStart w:id="165" w:name="_Toc20123"/>
      <w:bookmarkStart w:id="166" w:name="_Toc31617"/>
      <w:bookmarkStart w:id="167" w:name="_Toc111018946"/>
      <w:bookmarkStart w:id="168" w:name="_Toc413657137"/>
      <w:r>
        <w:rPr>
          <w:rFonts w:ascii="Times New Roman" w:eastAsia="仿宋"/>
          <w:b/>
          <w:bCs/>
          <w:color w:val="auto"/>
          <w:kern w:val="44"/>
          <w:sz w:val="44"/>
          <w:szCs w:val="44"/>
          <w:highlight w:val="none"/>
        </w:rPr>
        <w:t>第三章 合同文本</w:t>
      </w:r>
      <w:bookmarkEnd w:id="161"/>
      <w:bookmarkEnd w:id="162"/>
      <w:bookmarkEnd w:id="163"/>
      <w:bookmarkEnd w:id="164"/>
      <w:bookmarkEnd w:id="165"/>
      <w:bookmarkEnd w:id="166"/>
      <w:bookmarkEnd w:id="167"/>
    </w:p>
    <w:p>
      <w:pPr>
        <w:rPr>
          <w:rFonts w:eastAsia="仿宋"/>
          <w:color w:val="auto"/>
          <w:highlight w:val="none"/>
        </w:rPr>
      </w:pPr>
    </w:p>
    <w:p>
      <w:pPr>
        <w:rPr>
          <w:rFonts w:ascii="仿宋" w:hAnsi="仿宋" w:eastAsia="仿宋"/>
          <w:color w:val="auto"/>
          <w:highlight w:val="none"/>
        </w:rPr>
      </w:pPr>
    </w:p>
    <w:p>
      <w:pPr>
        <w:ind w:firstLine="6023" w:firstLineChars="2500"/>
        <w:rPr>
          <w:rFonts w:ascii="仿宋" w:hAnsi="仿宋" w:eastAsia="仿宋"/>
          <w:b/>
          <w:bCs/>
          <w:color w:val="auto"/>
          <w:sz w:val="24"/>
          <w:highlight w:val="none"/>
        </w:rPr>
      </w:pPr>
      <w:r>
        <w:rPr>
          <w:rFonts w:hint="eastAsia" w:ascii="仿宋" w:hAnsi="仿宋" w:eastAsia="仿宋"/>
          <w:b/>
          <w:bCs/>
          <w:color w:val="auto"/>
          <w:sz w:val="24"/>
          <w:highlight w:val="none"/>
        </w:rPr>
        <w:t>合同编号：</w:t>
      </w:r>
    </w:p>
    <w:p>
      <w:pPr>
        <w:spacing w:line="360" w:lineRule="auto"/>
        <w:jc w:val="center"/>
        <w:rPr>
          <w:rFonts w:ascii="仿宋" w:hAnsi="仿宋" w:eastAsia="仿宋" w:cs="宋体"/>
          <w:b/>
          <w:color w:val="auto"/>
          <w:sz w:val="44"/>
          <w:szCs w:val="48"/>
          <w:highlight w:val="none"/>
        </w:rPr>
      </w:pPr>
    </w:p>
    <w:p>
      <w:pPr>
        <w:pStyle w:val="14"/>
        <w:rPr>
          <w:color w:val="auto"/>
          <w:highlight w:val="none"/>
          <w:lang w:val="en-US" w:bidi="ar-SA"/>
        </w:rPr>
      </w:pPr>
    </w:p>
    <w:p>
      <w:pPr>
        <w:spacing w:line="360" w:lineRule="auto"/>
        <w:jc w:val="center"/>
        <w:rPr>
          <w:rFonts w:hint="eastAsia" w:ascii="仿宋" w:hAnsi="仿宋" w:eastAsia="仿宋"/>
          <w:b/>
          <w:color w:val="auto"/>
          <w:sz w:val="44"/>
          <w:szCs w:val="48"/>
          <w:highlight w:val="none"/>
          <w:lang w:eastAsia="zh-CN"/>
        </w:rPr>
      </w:pPr>
      <w:r>
        <w:rPr>
          <w:rFonts w:hint="eastAsia" w:ascii="仿宋" w:hAnsi="仿宋" w:eastAsia="仿宋"/>
          <w:b/>
          <w:color w:val="auto"/>
          <w:sz w:val="44"/>
          <w:szCs w:val="48"/>
          <w:highlight w:val="none"/>
          <w:lang w:eastAsia="zh-CN"/>
        </w:rPr>
        <w:t>江西省消防救援总队自然灾害应急能力提升工程装备配备项目（车辆类）</w:t>
      </w:r>
    </w:p>
    <w:p>
      <w:pPr>
        <w:pStyle w:val="14"/>
        <w:rPr>
          <w:color w:val="auto"/>
          <w:highlight w:val="none"/>
        </w:rPr>
      </w:pPr>
    </w:p>
    <w:p>
      <w:pPr>
        <w:rPr>
          <w:color w:val="auto"/>
          <w:highlight w:val="none"/>
          <w:lang w:val="zh-CN" w:bidi="zh-CN"/>
        </w:rPr>
      </w:pPr>
    </w:p>
    <w:p>
      <w:pPr>
        <w:pStyle w:val="14"/>
        <w:rPr>
          <w:color w:val="auto"/>
          <w:highlight w:val="none"/>
        </w:rPr>
      </w:pPr>
    </w:p>
    <w:p>
      <w:pPr>
        <w:rPr>
          <w:color w:val="auto"/>
          <w:highlight w:val="none"/>
          <w:lang w:val="zh-CN" w:bidi="zh-CN"/>
        </w:rPr>
      </w:pPr>
    </w:p>
    <w:p>
      <w:pPr>
        <w:pStyle w:val="14"/>
        <w:rPr>
          <w:color w:val="auto"/>
          <w:highlight w:val="none"/>
        </w:rPr>
      </w:pPr>
    </w:p>
    <w:p>
      <w:pPr>
        <w:pStyle w:val="14"/>
        <w:rPr>
          <w:color w:val="auto"/>
          <w:highlight w:val="none"/>
        </w:rPr>
      </w:pPr>
    </w:p>
    <w:p>
      <w:pPr>
        <w:spacing w:line="360" w:lineRule="auto"/>
        <w:jc w:val="center"/>
        <w:rPr>
          <w:rFonts w:ascii="仿宋" w:hAnsi="仿宋" w:eastAsia="仿宋"/>
          <w:b/>
          <w:color w:val="auto"/>
          <w:sz w:val="48"/>
          <w:szCs w:val="48"/>
          <w:highlight w:val="none"/>
        </w:rPr>
      </w:pPr>
      <w:r>
        <w:rPr>
          <w:rFonts w:hint="eastAsia" w:ascii="仿宋" w:hAnsi="仿宋" w:eastAsia="仿宋"/>
          <w:b/>
          <w:color w:val="auto"/>
          <w:sz w:val="48"/>
          <w:szCs w:val="48"/>
          <w:highlight w:val="none"/>
        </w:rPr>
        <w:t>合  同  书</w:t>
      </w:r>
    </w:p>
    <w:p>
      <w:pPr>
        <w:spacing w:line="360" w:lineRule="auto"/>
        <w:rPr>
          <w:rFonts w:ascii="仿宋" w:hAnsi="仿宋" w:eastAsia="仿宋"/>
          <w:color w:val="auto"/>
          <w:highlight w:val="none"/>
        </w:rPr>
      </w:pPr>
    </w:p>
    <w:p>
      <w:pPr>
        <w:pStyle w:val="14"/>
        <w:rPr>
          <w:color w:val="auto"/>
          <w:highlight w:val="none"/>
        </w:rPr>
      </w:pPr>
    </w:p>
    <w:p>
      <w:pPr>
        <w:spacing w:line="360" w:lineRule="auto"/>
        <w:rPr>
          <w:rFonts w:ascii="仿宋" w:hAnsi="仿宋" w:eastAsia="仿宋"/>
          <w:color w:val="auto"/>
          <w:highlight w:val="none"/>
        </w:rPr>
      </w:pPr>
    </w:p>
    <w:p>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采购编号：</w:t>
      </w:r>
    </w:p>
    <w:p>
      <w:pPr>
        <w:spacing w:line="360" w:lineRule="auto"/>
        <w:ind w:left="850" w:leftChars="405"/>
        <w:rPr>
          <w:rFonts w:ascii="仿宋" w:hAnsi="仿宋" w:eastAsia="仿宋"/>
          <w:b/>
          <w:bCs/>
          <w:color w:val="auto"/>
          <w:kern w:val="0"/>
          <w:sz w:val="30"/>
          <w:szCs w:val="30"/>
          <w:highlight w:val="none"/>
          <w:u w:val="single"/>
        </w:rPr>
      </w:pPr>
      <w:r>
        <w:rPr>
          <w:rFonts w:hint="eastAsia" w:ascii="仿宋" w:hAnsi="仿宋" w:eastAsia="仿宋"/>
          <w:color w:val="auto"/>
          <w:sz w:val="32"/>
          <w:szCs w:val="32"/>
          <w:highlight w:val="none"/>
        </w:rPr>
        <w:t>合同编号：</w:t>
      </w:r>
    </w:p>
    <w:p>
      <w:pPr>
        <w:spacing w:line="360" w:lineRule="auto"/>
        <w:ind w:left="850" w:leftChars="405"/>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包    号：</w:t>
      </w:r>
    </w:p>
    <w:p>
      <w:pPr>
        <w:spacing w:line="360" w:lineRule="auto"/>
        <w:ind w:left="850" w:leftChars="405"/>
        <w:rPr>
          <w:rFonts w:ascii="仿宋" w:hAnsi="仿宋" w:eastAsia="仿宋"/>
          <w:color w:val="auto"/>
          <w:sz w:val="32"/>
          <w:szCs w:val="32"/>
          <w:highlight w:val="none"/>
        </w:rPr>
      </w:pPr>
      <w:r>
        <w:rPr>
          <w:rFonts w:hint="eastAsia" w:ascii="仿宋" w:hAnsi="仿宋" w:eastAsia="仿宋"/>
          <w:color w:val="auto"/>
          <w:sz w:val="32"/>
          <w:szCs w:val="32"/>
          <w:highlight w:val="none"/>
        </w:rPr>
        <w:t>合同买方：</w:t>
      </w:r>
    </w:p>
    <w:p>
      <w:pPr>
        <w:spacing w:line="360" w:lineRule="auto"/>
        <w:ind w:left="850" w:leftChars="405"/>
        <w:rPr>
          <w:rFonts w:ascii="仿宋" w:hAnsi="仿宋" w:eastAsia="仿宋"/>
          <w:color w:val="auto"/>
          <w:sz w:val="32"/>
          <w:szCs w:val="32"/>
          <w:highlight w:val="none"/>
          <w:u w:val="single"/>
        </w:rPr>
      </w:pPr>
      <w:r>
        <w:rPr>
          <w:rFonts w:hint="eastAsia" w:ascii="仿宋" w:hAnsi="仿宋" w:eastAsia="仿宋"/>
          <w:color w:val="auto"/>
          <w:sz w:val="32"/>
          <w:szCs w:val="32"/>
          <w:highlight w:val="none"/>
        </w:rPr>
        <w:t>合同卖方：</w:t>
      </w:r>
    </w:p>
    <w:p>
      <w:pPr>
        <w:spacing w:line="360" w:lineRule="auto"/>
        <w:ind w:left="850" w:leftChars="405"/>
        <w:rPr>
          <w:rFonts w:ascii="仿宋" w:hAnsi="仿宋" w:eastAsia="仿宋"/>
          <w:color w:val="auto"/>
          <w:sz w:val="32"/>
          <w:szCs w:val="32"/>
          <w:highlight w:val="none"/>
        </w:rPr>
      </w:pPr>
    </w:p>
    <w:p>
      <w:pPr>
        <w:rPr>
          <w:rFonts w:ascii="仿宋" w:hAnsi="仿宋" w:eastAsia="仿宋"/>
          <w:color w:val="auto"/>
          <w:sz w:val="32"/>
          <w:szCs w:val="32"/>
          <w:highlight w:val="none"/>
        </w:rPr>
      </w:pPr>
    </w:p>
    <w:p>
      <w:pPr>
        <w:rPr>
          <w:rFonts w:ascii="仿宋" w:hAnsi="仿宋" w:eastAsia="仿宋"/>
          <w:color w:val="auto"/>
          <w:sz w:val="32"/>
          <w:szCs w:val="32"/>
          <w:highlight w:val="none"/>
        </w:rPr>
      </w:pPr>
    </w:p>
    <w:p>
      <w:pPr>
        <w:spacing w:line="360" w:lineRule="auto"/>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二○二</w:t>
      </w:r>
      <w:r>
        <w:rPr>
          <w:rFonts w:hint="eastAsia" w:ascii="仿宋" w:hAnsi="仿宋" w:eastAsia="仿宋"/>
          <w:color w:val="auto"/>
          <w:sz w:val="32"/>
          <w:szCs w:val="32"/>
          <w:highlight w:val="none"/>
          <w:lang w:val="en-US" w:eastAsia="zh-CN"/>
        </w:rPr>
        <w:t>四</w:t>
      </w:r>
      <w:r>
        <w:rPr>
          <w:rFonts w:hint="eastAsia" w:ascii="仿宋" w:hAnsi="仿宋" w:eastAsia="仿宋"/>
          <w:color w:val="auto"/>
          <w:sz w:val="32"/>
          <w:szCs w:val="32"/>
          <w:highlight w:val="none"/>
        </w:rPr>
        <w:t>年  月</w:t>
      </w:r>
    </w:p>
    <w:p>
      <w:pPr>
        <w:ind w:firstLine="560"/>
        <w:rPr>
          <w:rFonts w:ascii="仿宋" w:hAnsi="仿宋" w:eastAsia="仿宋"/>
          <w:color w:val="auto"/>
          <w:highlight w:val="none"/>
        </w:rPr>
      </w:pPr>
    </w:p>
    <w:p>
      <w:pPr>
        <w:widowControl/>
        <w:rPr>
          <w:rFonts w:ascii="仿宋" w:hAnsi="仿宋" w:eastAsia="仿宋"/>
          <w:color w:val="auto"/>
          <w:highlight w:val="none"/>
        </w:rPr>
        <w:sectPr>
          <w:footerReference r:id="rId9" w:type="default"/>
          <w:pgSz w:w="11906" w:h="16838"/>
          <w:pgMar w:top="1361" w:right="1417" w:bottom="1361" w:left="1418" w:header="851" w:footer="973" w:gutter="0"/>
          <w:pgNumType w:fmt="decimal"/>
          <w:cols w:space="720" w:num="1"/>
        </w:sectPr>
      </w:pPr>
    </w:p>
    <w:p>
      <w:pPr>
        <w:adjustRightInd w:val="0"/>
        <w:snapToGrid w:val="0"/>
        <w:spacing w:line="460" w:lineRule="exact"/>
        <w:rPr>
          <w:rFonts w:ascii="仿宋" w:hAnsi="仿宋" w:eastAsia="仿宋"/>
          <w:color w:val="auto"/>
          <w:sz w:val="24"/>
          <w:highlight w:val="none"/>
          <w:u w:val="single"/>
        </w:rPr>
      </w:pPr>
      <w:r>
        <w:rPr>
          <w:rFonts w:hint="eastAsia" w:ascii="仿宋" w:hAnsi="仿宋" w:eastAsia="仿宋"/>
          <w:color w:val="auto"/>
          <w:sz w:val="24"/>
          <w:highlight w:val="none"/>
        </w:rPr>
        <w:t>买方：</w:t>
      </w:r>
    </w:p>
    <w:p>
      <w:pPr>
        <w:adjustRightInd w:val="0"/>
        <w:snapToGrid w:val="0"/>
        <w:spacing w:line="460" w:lineRule="exact"/>
        <w:rPr>
          <w:rFonts w:ascii="仿宋" w:hAnsi="仿宋" w:eastAsia="仿宋"/>
          <w:color w:val="auto"/>
          <w:sz w:val="24"/>
          <w:highlight w:val="none"/>
          <w:u w:val="single"/>
        </w:rPr>
      </w:pPr>
      <w:r>
        <w:rPr>
          <w:rFonts w:hint="eastAsia" w:ascii="仿宋" w:hAnsi="仿宋" w:eastAsia="仿宋"/>
          <w:color w:val="auto"/>
          <w:sz w:val="24"/>
          <w:highlight w:val="none"/>
        </w:rPr>
        <w:t>卖方：</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买、卖双方同意按照下面条款和条件，签署本合同。</w:t>
      </w:r>
    </w:p>
    <w:p>
      <w:pPr>
        <w:tabs>
          <w:tab w:val="left" w:pos="2913"/>
        </w:tabs>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一、合同文件</w:t>
      </w:r>
      <w:r>
        <w:rPr>
          <w:rFonts w:ascii="仿宋" w:hAnsi="仿宋" w:eastAsia="仿宋"/>
          <w:b/>
          <w:bCs/>
          <w:color w:val="auto"/>
          <w:sz w:val="24"/>
          <w:highlight w:val="none"/>
        </w:rPr>
        <w:tab/>
      </w:r>
    </w:p>
    <w:p>
      <w:pPr>
        <w:adjustRightInd w:val="0"/>
        <w:snapToGrid w:val="0"/>
        <w:spacing w:line="460" w:lineRule="exact"/>
        <w:ind w:left="521" w:leftChars="134" w:hanging="240" w:hangingChars="100"/>
        <w:rPr>
          <w:rFonts w:ascii="仿宋" w:hAnsi="仿宋" w:eastAsia="仿宋"/>
          <w:color w:val="auto"/>
          <w:sz w:val="24"/>
          <w:highlight w:val="none"/>
        </w:rPr>
      </w:pPr>
      <w:r>
        <w:rPr>
          <w:rFonts w:hint="eastAsia" w:ascii="仿宋" w:hAnsi="仿宋" w:eastAsia="仿宋"/>
          <w:color w:val="auto"/>
          <w:sz w:val="24"/>
          <w:highlight w:val="none"/>
        </w:rPr>
        <w:t>下列文件构成本合同的组成部分：</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（一）中标通知书</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（二）合同主要条款</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（三）招投标文件</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（四）支队联系方式</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（五）卖方承诺函</w:t>
      </w:r>
    </w:p>
    <w:p>
      <w:pPr>
        <w:adjustRightInd w:val="0"/>
        <w:snapToGrid w:val="0"/>
        <w:spacing w:line="300" w:lineRule="atLeast"/>
        <w:ind w:firstLine="480" w:firstLineChars="200"/>
        <w:jc w:val="left"/>
        <w:rPr>
          <w:rFonts w:eastAsia="仿宋"/>
          <w:color w:val="auto"/>
          <w:sz w:val="24"/>
          <w:highlight w:val="none"/>
        </w:rPr>
      </w:pPr>
      <w:r>
        <w:rPr>
          <w:rFonts w:eastAsia="仿宋"/>
          <w:color w:val="auto"/>
          <w:sz w:val="24"/>
          <w:highlight w:val="none"/>
        </w:rPr>
        <w:t>（六）合同补充条款或说明（如有）。</w:t>
      </w:r>
    </w:p>
    <w:p>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二、合同总价</w:t>
      </w:r>
    </w:p>
    <w:p>
      <w:pPr>
        <w:adjustRightInd w:val="0"/>
        <w:snapToGrid w:val="0"/>
        <w:spacing w:line="360" w:lineRule="exact"/>
        <w:ind w:firstLine="723" w:firstLineChars="300"/>
        <w:jc w:val="left"/>
        <w:rPr>
          <w:b/>
          <w:bCs/>
          <w:color w:val="auto"/>
          <w:sz w:val="24"/>
          <w:highlight w:val="none"/>
        </w:rPr>
      </w:pPr>
      <w:r>
        <w:rPr>
          <w:rFonts w:eastAsia="仿宋"/>
          <w:b/>
          <w:bCs/>
          <w:color w:val="auto"/>
          <w:sz w:val="24"/>
          <w:highlight w:val="none"/>
        </w:rPr>
        <w:t>本合同总价为¥</w:t>
      </w:r>
      <w:r>
        <w:rPr>
          <w:rFonts w:hint="eastAsia" w:eastAsia="仿宋"/>
          <w:b/>
          <w:bCs/>
          <w:color w:val="auto"/>
          <w:sz w:val="24"/>
          <w:highlight w:val="none"/>
          <w:u w:val="single"/>
          <w:lang w:val="en-US" w:eastAsia="zh-CN"/>
        </w:rPr>
        <w:t xml:space="preserve">  </w:t>
      </w:r>
      <w:r>
        <w:rPr>
          <w:rFonts w:eastAsia="仿宋"/>
          <w:b/>
          <w:bCs/>
          <w:color w:val="auto"/>
          <w:sz w:val="24"/>
          <w:highlight w:val="none"/>
          <w:u w:val="single"/>
        </w:rPr>
        <w:t>元</w:t>
      </w:r>
      <w:r>
        <w:rPr>
          <w:rFonts w:eastAsia="仿宋"/>
          <w:b/>
          <w:bCs/>
          <w:color w:val="auto"/>
          <w:sz w:val="24"/>
          <w:highlight w:val="none"/>
        </w:rPr>
        <w:t>。</w:t>
      </w:r>
    </w:p>
    <w:p>
      <w:pPr>
        <w:adjustRightInd w:val="0"/>
        <w:snapToGrid w:val="0"/>
        <w:spacing w:line="460" w:lineRule="exact"/>
        <w:ind w:firstLine="723" w:firstLineChars="300"/>
        <w:jc w:val="left"/>
        <w:rPr>
          <w:color w:val="auto"/>
          <w:sz w:val="24"/>
          <w:highlight w:val="none"/>
        </w:rPr>
      </w:pPr>
      <w:r>
        <w:rPr>
          <w:rFonts w:eastAsia="仿宋"/>
          <w:b/>
          <w:bCs/>
          <w:color w:val="auto"/>
          <w:sz w:val="24"/>
          <w:highlight w:val="none"/>
        </w:rPr>
        <w:t>人民币</w:t>
      </w:r>
      <w:r>
        <w:rPr>
          <w:rFonts w:hint="eastAsia" w:eastAsia="仿宋"/>
          <w:b/>
          <w:bCs/>
          <w:color w:val="auto"/>
          <w:sz w:val="24"/>
          <w:highlight w:val="none"/>
          <w:u w:val="single"/>
          <w:lang w:val="en-US" w:eastAsia="zh-CN"/>
        </w:rPr>
        <w:t xml:space="preserve">    </w:t>
      </w:r>
      <w:r>
        <w:rPr>
          <w:rFonts w:eastAsia="仿宋"/>
          <w:b/>
          <w:bCs/>
          <w:color w:val="auto"/>
          <w:sz w:val="24"/>
          <w:highlight w:val="none"/>
          <w:u w:val="single"/>
        </w:rPr>
        <w:t>（</w:t>
      </w:r>
      <w:r>
        <w:rPr>
          <w:rFonts w:eastAsia="仿宋"/>
          <w:b/>
          <w:bCs/>
          <w:color w:val="auto"/>
          <w:sz w:val="24"/>
          <w:highlight w:val="none"/>
        </w:rPr>
        <w:t>大写）</w:t>
      </w:r>
      <w:r>
        <w:rPr>
          <w:rFonts w:eastAsia="仿宋"/>
          <w:b/>
          <w:bCs/>
          <w:color w:val="auto"/>
          <w:sz w:val="24"/>
          <w:highlight w:val="none"/>
          <w:u w:val="single"/>
        </w:rPr>
        <w:t>整</w:t>
      </w:r>
      <w:r>
        <w:rPr>
          <w:rFonts w:eastAsia="仿宋"/>
          <w:b/>
          <w:bCs/>
          <w:color w:val="auto"/>
          <w:sz w:val="24"/>
          <w:highlight w:val="none"/>
        </w:rPr>
        <w:t>。</w:t>
      </w:r>
      <w:r>
        <w:rPr>
          <w:rFonts w:eastAsia="仿宋"/>
          <w:bCs/>
          <w:color w:val="auto"/>
          <w:sz w:val="24"/>
          <w:highlight w:val="none"/>
        </w:rPr>
        <w:t>（合同总价包含所有货物、材料、运输、转运、辅材、安装、施工、调试、验收、培训、现场回访、实地巡检、税金、招标代理服务费等费用，除此之外，买方无须支付任何费用。）</w:t>
      </w:r>
    </w:p>
    <w:p>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三、付款方式</w:t>
      </w:r>
    </w:p>
    <w:p>
      <w:pPr>
        <w:adjustRightInd w:val="0"/>
        <w:snapToGrid w:val="0"/>
        <w:spacing w:line="460" w:lineRule="exact"/>
        <w:ind w:firstLine="480" w:firstLineChars="200"/>
        <w:jc w:val="left"/>
        <w:rPr>
          <w:rFonts w:eastAsia="仿宋"/>
          <w:bCs/>
          <w:color w:val="auto"/>
          <w:sz w:val="24"/>
          <w:highlight w:val="none"/>
        </w:rPr>
      </w:pPr>
      <w:r>
        <w:rPr>
          <w:rFonts w:hint="default" w:ascii="Times New Roman" w:hAnsi="Times New Roman" w:eastAsia="仿宋" w:cs="Times New Roman"/>
          <w:b w:val="0"/>
          <w:bCs w:val="0"/>
          <w:color w:val="auto"/>
          <w:sz w:val="24"/>
          <w:highlight w:val="none"/>
        </w:rPr>
        <w:t>待验收</w:t>
      </w:r>
      <w:r>
        <w:rPr>
          <w:rFonts w:hint="default" w:ascii="Times New Roman" w:hAnsi="Times New Roman" w:eastAsia="仿宋" w:cs="Times New Roman"/>
          <w:b w:val="0"/>
          <w:bCs w:val="0"/>
          <w:color w:val="auto"/>
          <w:sz w:val="24"/>
          <w:highlight w:val="none"/>
          <w:lang w:eastAsia="zh-CN"/>
        </w:rPr>
        <w:t>通过后</w:t>
      </w:r>
      <w:r>
        <w:rPr>
          <w:rFonts w:hint="default" w:ascii="Times New Roman" w:hAnsi="Times New Roman" w:eastAsia="仿宋" w:cs="Times New Roman"/>
          <w:b w:val="0"/>
          <w:bCs w:val="0"/>
          <w:color w:val="auto"/>
          <w:sz w:val="24"/>
          <w:highlight w:val="none"/>
        </w:rPr>
        <w:t>，</w:t>
      </w:r>
      <w:r>
        <w:rPr>
          <w:rFonts w:hint="default" w:ascii="Times New Roman" w:hAnsi="Times New Roman" w:eastAsia="仿宋" w:cs="Times New Roman"/>
          <w:b w:val="0"/>
          <w:bCs w:val="0"/>
          <w:color w:val="auto"/>
          <w:sz w:val="24"/>
          <w:highlight w:val="none"/>
          <w:lang w:eastAsia="zh-CN"/>
        </w:rPr>
        <w:t>买方先支付合同金额</w:t>
      </w:r>
      <w:r>
        <w:rPr>
          <w:rFonts w:hint="default" w:ascii="Times New Roman" w:hAnsi="Times New Roman" w:eastAsia="仿宋" w:cs="Times New Roman"/>
          <w:b w:val="0"/>
          <w:bCs w:val="0"/>
          <w:color w:val="auto"/>
          <w:sz w:val="24"/>
          <w:highlight w:val="none"/>
          <w:lang w:val="en-US" w:eastAsia="zh-CN"/>
        </w:rPr>
        <w:t>90%的款项（卖方应提供合格的发票），结算审计完成后，再一次性支付剩余款项，两次支付款项总金额等于</w:t>
      </w:r>
      <w:r>
        <w:rPr>
          <w:rFonts w:hint="default" w:ascii="Times New Roman" w:hAnsi="Times New Roman" w:eastAsia="仿宋" w:cs="Times New Roman"/>
          <w:b w:val="0"/>
          <w:bCs w:val="0"/>
          <w:color w:val="auto"/>
          <w:sz w:val="24"/>
          <w:highlight w:val="none"/>
        </w:rPr>
        <w:t>结算审计金额</w:t>
      </w:r>
      <w:r>
        <w:rPr>
          <w:rFonts w:eastAsia="仿宋"/>
          <w:b/>
          <w:bCs/>
          <w:color w:val="auto"/>
          <w:sz w:val="24"/>
          <w:highlight w:val="none"/>
        </w:rPr>
        <w:t>。</w:t>
      </w:r>
    </w:p>
    <w:p>
      <w:pPr>
        <w:adjustRightInd w:val="0"/>
        <w:snapToGrid w:val="0"/>
        <w:spacing w:line="460" w:lineRule="exact"/>
        <w:ind w:left="482" w:hanging="482" w:hangingChars="200"/>
        <w:rPr>
          <w:rFonts w:ascii="仿宋" w:hAnsi="仿宋" w:eastAsia="仿宋"/>
          <w:b/>
          <w:color w:val="auto"/>
          <w:sz w:val="24"/>
          <w:highlight w:val="none"/>
        </w:rPr>
      </w:pPr>
      <w:r>
        <w:rPr>
          <w:rFonts w:hint="eastAsia" w:ascii="仿宋" w:hAnsi="仿宋" w:eastAsia="仿宋"/>
          <w:b/>
          <w:bCs/>
          <w:color w:val="auto"/>
          <w:sz w:val="24"/>
          <w:highlight w:val="none"/>
        </w:rPr>
        <w:t>四、</w:t>
      </w:r>
      <w:r>
        <w:rPr>
          <w:rFonts w:hint="eastAsia" w:ascii="仿宋" w:hAnsi="仿宋" w:eastAsia="仿宋"/>
          <w:b/>
          <w:color w:val="auto"/>
          <w:sz w:val="24"/>
          <w:highlight w:val="none"/>
        </w:rPr>
        <w:t>履约保证金</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履约保证金在质保期满后，无任何问题，且无合同纠纷的，</w:t>
      </w:r>
      <w:r>
        <w:rPr>
          <w:rFonts w:hint="eastAsia" w:ascii="仿宋" w:hAnsi="仿宋" w:eastAsia="仿宋"/>
          <w:color w:val="auto"/>
          <w:sz w:val="24"/>
          <w:highlight w:val="none"/>
          <w:lang w:eastAsia="zh-CN"/>
        </w:rPr>
        <w:t>经卖方书面申请，</w:t>
      </w:r>
      <w:r>
        <w:rPr>
          <w:rFonts w:eastAsia="仿宋"/>
          <w:color w:val="auto"/>
          <w:sz w:val="24"/>
          <w:highlight w:val="none"/>
        </w:rPr>
        <w:t>无息退还履约保证金（质保期以卖方实际响应为准）</w:t>
      </w:r>
      <w:r>
        <w:rPr>
          <w:rFonts w:hint="eastAsia" w:eastAsia="仿宋"/>
          <w:color w:val="auto"/>
          <w:sz w:val="24"/>
          <w:highlight w:val="none"/>
        </w:rPr>
        <w:t>。</w:t>
      </w:r>
      <w:r>
        <w:rPr>
          <w:rFonts w:eastAsia="仿宋"/>
          <w:color w:val="auto"/>
          <w:sz w:val="24"/>
          <w:highlight w:val="none"/>
        </w:rPr>
        <w:t>以保函形式递交履约保证金的，保函有效期需至质保期结束，质保期结束后保函自动作废，但卖方尚应配合买方履行书面手续，为买方财务部门及时处理账务提供书面依据。</w:t>
      </w:r>
    </w:p>
    <w:p>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五、运输及保险</w:t>
      </w:r>
    </w:p>
    <w:p>
      <w:pPr>
        <w:adjustRightInd w:val="0"/>
        <w:snapToGrid w:val="0"/>
        <w:spacing w:line="360" w:lineRule="exact"/>
        <w:ind w:firstLine="480" w:firstLineChars="200"/>
        <w:jc w:val="left"/>
        <w:rPr>
          <w:rFonts w:eastAsia="仿宋"/>
          <w:b/>
          <w:bCs/>
          <w:color w:val="auto"/>
          <w:sz w:val="24"/>
          <w:highlight w:val="none"/>
        </w:rPr>
      </w:pPr>
      <w:r>
        <w:rPr>
          <w:rFonts w:hint="eastAsia" w:eastAsia="仿宋"/>
          <w:bCs/>
          <w:color w:val="auto"/>
          <w:sz w:val="24"/>
          <w:highlight w:val="none"/>
        </w:rPr>
        <w:t>货物</w:t>
      </w:r>
      <w:r>
        <w:rPr>
          <w:rFonts w:eastAsia="仿宋"/>
          <w:bCs/>
          <w:color w:val="auto"/>
          <w:sz w:val="24"/>
          <w:highlight w:val="none"/>
        </w:rPr>
        <w:t>包装应防潮、防水、防锈、防尘、防震、隔热、贴体，货物运输方式不限，运输、搬运及保险所有费用均</w:t>
      </w:r>
      <w:r>
        <w:rPr>
          <w:rFonts w:hint="eastAsia" w:eastAsia="仿宋"/>
          <w:bCs/>
          <w:color w:val="auto"/>
          <w:sz w:val="24"/>
          <w:highlight w:val="none"/>
        </w:rPr>
        <w:t>由</w:t>
      </w:r>
      <w:r>
        <w:rPr>
          <w:rFonts w:eastAsia="仿宋"/>
          <w:bCs/>
          <w:color w:val="auto"/>
          <w:sz w:val="24"/>
          <w:highlight w:val="none"/>
        </w:rPr>
        <w:t>卖方承担。</w:t>
      </w:r>
    </w:p>
    <w:p>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六、交货期限及地点</w:t>
      </w:r>
    </w:p>
    <w:p>
      <w:pPr>
        <w:adjustRightInd w:val="0"/>
        <w:snapToGrid w:val="0"/>
        <w:spacing w:line="460" w:lineRule="exact"/>
        <w:ind w:firstLine="480" w:firstLineChars="200"/>
        <w:jc w:val="left"/>
        <w:rPr>
          <w:color w:val="auto"/>
          <w:highlight w:val="none"/>
        </w:rPr>
      </w:pPr>
      <w:r>
        <w:rPr>
          <w:rFonts w:hint="eastAsia" w:eastAsia="仿宋"/>
          <w:color w:val="auto"/>
          <w:sz w:val="24"/>
          <w:highlight w:val="none"/>
        </w:rPr>
        <w:t>时间：</w:t>
      </w:r>
      <w:r>
        <w:rPr>
          <w:rFonts w:hint="eastAsia" w:eastAsia="仿宋"/>
          <w:color w:val="auto"/>
          <w:sz w:val="24"/>
          <w:highlight w:val="none"/>
          <w:lang w:eastAsia="zh-CN"/>
        </w:rPr>
        <w:t xml:space="preserve">自合同签订生效之日起 </w:t>
      </w:r>
      <w:r>
        <w:rPr>
          <w:rFonts w:hint="eastAsia" w:eastAsia="仿宋"/>
          <w:color w:val="auto"/>
          <w:sz w:val="24"/>
          <w:highlight w:val="none"/>
          <w:lang w:val="en-US" w:eastAsia="zh-CN"/>
        </w:rPr>
        <w:t>5</w:t>
      </w:r>
      <w:r>
        <w:rPr>
          <w:rFonts w:hint="eastAsia" w:eastAsia="仿宋"/>
          <w:color w:val="auto"/>
          <w:sz w:val="24"/>
          <w:highlight w:val="none"/>
          <w:lang w:eastAsia="zh-CN"/>
        </w:rPr>
        <w:t xml:space="preserve"> 个月</w:t>
      </w:r>
      <w:r>
        <w:rPr>
          <w:rFonts w:hint="eastAsia" w:eastAsia="仿宋"/>
          <w:color w:val="auto"/>
          <w:sz w:val="24"/>
          <w:highlight w:val="none"/>
        </w:rPr>
        <w:t>（</w:t>
      </w:r>
      <w:r>
        <w:rPr>
          <w:rFonts w:hint="eastAsia" w:eastAsia="仿宋"/>
          <w:color w:val="auto"/>
          <w:sz w:val="24"/>
          <w:highlight w:val="none"/>
          <w:lang w:eastAsia="zh-CN"/>
        </w:rPr>
        <w:t>采用进口底盘的车辆交货期为 10个月</w:t>
      </w:r>
      <w:r>
        <w:rPr>
          <w:rFonts w:hint="eastAsia" w:eastAsia="仿宋"/>
          <w:color w:val="auto"/>
          <w:sz w:val="24"/>
          <w:highlight w:val="none"/>
        </w:rPr>
        <w:t>）内必须将所投产品送到江西省消防救援总队指定地点（以</w:t>
      </w:r>
      <w:r>
        <w:rPr>
          <w:rFonts w:hint="eastAsia" w:eastAsia="仿宋"/>
          <w:color w:val="auto"/>
          <w:sz w:val="24"/>
          <w:highlight w:val="none"/>
          <w:lang w:val="en-US" w:eastAsia="zh-CN"/>
        </w:rPr>
        <w:t>卖方</w:t>
      </w:r>
      <w:r>
        <w:rPr>
          <w:rFonts w:hint="eastAsia" w:eastAsia="仿宋"/>
          <w:color w:val="auto"/>
          <w:sz w:val="24"/>
          <w:highlight w:val="none"/>
        </w:rPr>
        <w:t>到货签收时间作为交货时间），验收合格后由</w:t>
      </w:r>
      <w:r>
        <w:rPr>
          <w:rFonts w:hint="eastAsia" w:eastAsia="仿宋"/>
          <w:color w:val="auto"/>
          <w:sz w:val="24"/>
          <w:highlight w:val="none"/>
          <w:lang w:val="en-US" w:eastAsia="zh-CN"/>
        </w:rPr>
        <w:t>卖方</w:t>
      </w:r>
      <w:r>
        <w:rPr>
          <w:rFonts w:hint="eastAsia" w:eastAsia="仿宋"/>
          <w:color w:val="auto"/>
          <w:sz w:val="24"/>
          <w:highlight w:val="none"/>
        </w:rPr>
        <w:t>配送至各消防救援支队或消防救援大队指定地点。</w:t>
      </w:r>
    </w:p>
    <w:p>
      <w:pPr>
        <w:adjustRightInd w:val="0"/>
        <w:snapToGrid w:val="0"/>
        <w:spacing w:line="460" w:lineRule="exact"/>
        <w:ind w:firstLine="480" w:firstLineChars="200"/>
        <w:jc w:val="left"/>
        <w:rPr>
          <w:rFonts w:hint="eastAsia" w:eastAsia="仿宋"/>
          <w:color w:val="auto"/>
          <w:sz w:val="24"/>
          <w:highlight w:val="none"/>
          <w:lang w:eastAsia="zh-CN"/>
        </w:rPr>
      </w:pPr>
      <w:r>
        <w:rPr>
          <w:rFonts w:hint="eastAsia" w:eastAsia="仿宋"/>
          <w:color w:val="auto"/>
          <w:sz w:val="24"/>
          <w:highlight w:val="none"/>
        </w:rPr>
        <w:t>地点：先送到江西省消防救援总队指定地点进行验收，验收通过后再配送至各消防救援支队或消防救援大队指定地点。</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卖方联系人：</w:t>
      </w:r>
    </w:p>
    <w:p>
      <w:pPr>
        <w:adjustRightInd w:val="0"/>
        <w:snapToGrid w:val="0"/>
        <w:spacing w:line="460" w:lineRule="exact"/>
        <w:ind w:left="482" w:hanging="482" w:hangingChars="200"/>
        <w:rPr>
          <w:rFonts w:ascii="仿宋" w:hAnsi="仿宋" w:eastAsia="仿宋"/>
          <w:b/>
          <w:bCs/>
          <w:color w:val="auto"/>
          <w:sz w:val="24"/>
          <w:highlight w:val="none"/>
        </w:rPr>
      </w:pPr>
      <w:r>
        <w:rPr>
          <w:rFonts w:hint="eastAsia" w:ascii="仿宋" w:hAnsi="仿宋" w:eastAsia="仿宋"/>
          <w:b/>
          <w:bCs/>
          <w:color w:val="auto"/>
          <w:sz w:val="24"/>
          <w:highlight w:val="none"/>
        </w:rPr>
        <w:t>七、合同生效</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本合同经双方授权代表签署，买卖双方盖章后生效。</w:t>
      </w:r>
    </w:p>
    <w:p>
      <w:pPr>
        <w:pStyle w:val="14"/>
        <w:spacing w:line="460" w:lineRule="exact"/>
        <w:ind w:left="1260" w:hanging="420"/>
        <w:rPr>
          <w:color w:val="auto"/>
          <w:highlight w:val="none"/>
        </w:rPr>
      </w:pP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买方：（盖章）                             卖方：（盖章）</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授权代表：（签字）                         授权代表：（签字）</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地址：                                     地址：</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邮政编码：                                 邮政编码：</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电话：                                     电话：</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传真：                                     传真：</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开户银行：                                 开户银行：</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开户名称：                                 开户名称：</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帐号：                                     帐号：</w:t>
      </w:r>
    </w:p>
    <w:p>
      <w:pPr>
        <w:adjustRightInd w:val="0"/>
        <w:snapToGrid w:val="0"/>
        <w:spacing w:line="460" w:lineRule="exact"/>
        <w:rPr>
          <w:rFonts w:ascii="仿宋" w:hAnsi="仿宋" w:eastAsia="仿宋"/>
          <w:color w:val="auto"/>
          <w:sz w:val="24"/>
          <w:highlight w:val="none"/>
        </w:rPr>
      </w:pPr>
      <w:r>
        <w:rPr>
          <w:rFonts w:hint="eastAsia" w:ascii="仿宋" w:hAnsi="仿宋" w:eastAsia="仿宋"/>
          <w:color w:val="auto"/>
          <w:sz w:val="24"/>
          <w:highlight w:val="none"/>
        </w:rPr>
        <w:t>日期：年月日                               日期：年月日</w:t>
      </w:r>
    </w:p>
    <w:p>
      <w:pPr>
        <w:widowControl/>
        <w:spacing w:line="500" w:lineRule="atLeast"/>
        <w:rPr>
          <w:rFonts w:ascii="仿宋" w:hAnsi="仿宋" w:eastAsia="仿宋"/>
          <w:b/>
          <w:bCs/>
          <w:snapToGrid w:val="0"/>
          <w:color w:val="auto"/>
          <w:kern w:val="0"/>
          <w:sz w:val="28"/>
          <w:szCs w:val="28"/>
          <w:highlight w:val="none"/>
        </w:rPr>
        <w:sectPr>
          <w:footerReference r:id="rId10" w:type="default"/>
          <w:pgSz w:w="11906" w:h="16838"/>
          <w:pgMar w:top="1361" w:right="1417" w:bottom="1361" w:left="1418" w:header="851" w:footer="973" w:gutter="0"/>
          <w:pgNumType w:fmt="decimal"/>
          <w:cols w:space="720" w:num="1"/>
        </w:sectPr>
      </w:pPr>
    </w:p>
    <w:p>
      <w:pPr>
        <w:spacing w:line="560" w:lineRule="atLeast"/>
        <w:jc w:val="center"/>
        <w:rPr>
          <w:rFonts w:ascii="仿宋" w:hAnsi="仿宋" w:eastAsia="仿宋"/>
          <w:b/>
          <w:bCs/>
          <w:snapToGrid w:val="0"/>
          <w:color w:val="auto"/>
          <w:sz w:val="28"/>
          <w:szCs w:val="28"/>
          <w:highlight w:val="none"/>
        </w:rPr>
      </w:pPr>
      <w:r>
        <w:rPr>
          <w:rFonts w:hint="eastAsia" w:ascii="仿宋" w:hAnsi="仿宋" w:eastAsia="仿宋"/>
          <w:b/>
          <w:bCs/>
          <w:snapToGrid w:val="0"/>
          <w:color w:val="auto"/>
          <w:sz w:val="28"/>
          <w:szCs w:val="28"/>
          <w:highlight w:val="none"/>
        </w:rPr>
        <w:t>购置合同主要条款</w:t>
      </w:r>
    </w:p>
    <w:p>
      <w:pPr>
        <w:spacing w:line="460" w:lineRule="exact"/>
        <w:rPr>
          <w:rFonts w:ascii="仿宋" w:hAnsi="仿宋" w:eastAsia="仿宋"/>
          <w:b/>
          <w:bCs/>
          <w:snapToGrid w:val="0"/>
          <w:color w:val="auto"/>
          <w:sz w:val="24"/>
          <w:highlight w:val="none"/>
        </w:rPr>
      </w:pPr>
      <w:r>
        <w:rPr>
          <w:rFonts w:hint="eastAsia" w:ascii="仿宋" w:hAnsi="仿宋" w:eastAsia="仿宋"/>
          <w:b/>
          <w:bCs/>
          <w:snapToGrid w:val="0"/>
          <w:color w:val="auto"/>
          <w:sz w:val="24"/>
          <w:highlight w:val="none"/>
        </w:rPr>
        <w:t>一、</w:t>
      </w:r>
      <w:r>
        <w:rPr>
          <w:rFonts w:hint="eastAsia" w:eastAsia="仿宋"/>
          <w:b/>
          <w:color w:val="auto"/>
          <w:sz w:val="24"/>
          <w:highlight w:val="none"/>
        </w:rPr>
        <w:t>品目</w:t>
      </w:r>
      <w:r>
        <w:rPr>
          <w:rFonts w:eastAsia="仿宋"/>
          <w:b/>
          <w:color w:val="auto"/>
          <w:sz w:val="24"/>
          <w:highlight w:val="none"/>
        </w:rPr>
        <w:t>名称、型号、单价及金额等一览表</w:t>
      </w:r>
    </w:p>
    <w:tbl>
      <w:tblPr>
        <w:tblStyle w:val="43"/>
        <w:tblpPr w:leftFromText="180" w:rightFromText="180" w:vertAnchor="text" w:horzAnchor="margin" w:tblpX="245" w:tblpY="309"/>
        <w:tblOverlap w:val="never"/>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2034"/>
        <w:gridCol w:w="1163"/>
        <w:gridCol w:w="1545"/>
        <w:gridCol w:w="2466"/>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27"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包号</w:t>
            </w:r>
          </w:p>
        </w:tc>
        <w:tc>
          <w:tcPr>
            <w:tcW w:w="2034"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品目名称</w:t>
            </w:r>
          </w:p>
        </w:tc>
        <w:tc>
          <w:tcPr>
            <w:tcW w:w="1163"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数量</w:t>
            </w:r>
          </w:p>
        </w:tc>
        <w:tc>
          <w:tcPr>
            <w:tcW w:w="1545"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单价（元）</w:t>
            </w:r>
          </w:p>
        </w:tc>
        <w:tc>
          <w:tcPr>
            <w:tcW w:w="2466"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品牌/型号</w:t>
            </w:r>
          </w:p>
        </w:tc>
        <w:tc>
          <w:tcPr>
            <w:tcW w:w="1520" w:type="dxa"/>
            <w:vAlign w:val="center"/>
          </w:tcPr>
          <w:p>
            <w:pPr>
              <w:spacing w:line="460" w:lineRule="exact"/>
              <w:jc w:val="center"/>
              <w:rPr>
                <w:rFonts w:ascii="仿宋" w:hAnsi="仿宋" w:eastAsia="仿宋"/>
                <w:bCs/>
                <w:color w:val="auto"/>
                <w:sz w:val="24"/>
                <w:highlight w:val="none"/>
              </w:rPr>
            </w:pPr>
            <w:r>
              <w:rPr>
                <w:rFonts w:hint="eastAsia" w:ascii="仿宋" w:hAnsi="仿宋" w:eastAsia="仿宋"/>
                <w:bCs/>
                <w:color w:val="auto"/>
                <w:sz w:val="24"/>
                <w:highlight w:val="none"/>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127" w:type="dxa"/>
            <w:vAlign w:val="center"/>
          </w:tcPr>
          <w:p>
            <w:pPr>
              <w:spacing w:line="460" w:lineRule="exact"/>
              <w:jc w:val="center"/>
              <w:rPr>
                <w:rFonts w:ascii="仿宋" w:hAnsi="仿宋" w:eastAsia="仿宋"/>
                <w:bCs/>
                <w:color w:val="auto"/>
                <w:sz w:val="24"/>
                <w:highlight w:val="none"/>
              </w:rPr>
            </w:pPr>
          </w:p>
        </w:tc>
        <w:tc>
          <w:tcPr>
            <w:tcW w:w="2034" w:type="dxa"/>
            <w:vAlign w:val="center"/>
          </w:tcPr>
          <w:p>
            <w:pPr>
              <w:spacing w:line="460" w:lineRule="exact"/>
              <w:jc w:val="center"/>
              <w:rPr>
                <w:rFonts w:ascii="仿宋" w:hAnsi="仿宋" w:eastAsia="仿宋"/>
                <w:bCs/>
                <w:color w:val="auto"/>
                <w:sz w:val="24"/>
                <w:highlight w:val="none"/>
              </w:rPr>
            </w:pPr>
          </w:p>
        </w:tc>
        <w:tc>
          <w:tcPr>
            <w:tcW w:w="1163" w:type="dxa"/>
            <w:vAlign w:val="center"/>
          </w:tcPr>
          <w:p>
            <w:pPr>
              <w:spacing w:line="460" w:lineRule="exact"/>
              <w:jc w:val="center"/>
              <w:rPr>
                <w:rFonts w:ascii="仿宋" w:hAnsi="仿宋" w:eastAsia="仿宋"/>
                <w:bCs/>
                <w:color w:val="auto"/>
                <w:sz w:val="24"/>
                <w:highlight w:val="none"/>
              </w:rPr>
            </w:pPr>
          </w:p>
        </w:tc>
        <w:tc>
          <w:tcPr>
            <w:tcW w:w="1545" w:type="dxa"/>
            <w:vAlign w:val="center"/>
          </w:tcPr>
          <w:p>
            <w:pPr>
              <w:spacing w:line="460" w:lineRule="exact"/>
              <w:jc w:val="center"/>
              <w:rPr>
                <w:rFonts w:ascii="仿宋" w:hAnsi="仿宋" w:eastAsia="仿宋"/>
                <w:bCs/>
                <w:color w:val="auto"/>
                <w:sz w:val="24"/>
                <w:highlight w:val="none"/>
              </w:rPr>
            </w:pPr>
          </w:p>
        </w:tc>
        <w:tc>
          <w:tcPr>
            <w:tcW w:w="2466" w:type="dxa"/>
            <w:vAlign w:val="center"/>
          </w:tcPr>
          <w:p>
            <w:pPr>
              <w:spacing w:line="460" w:lineRule="exact"/>
              <w:jc w:val="center"/>
              <w:rPr>
                <w:rFonts w:ascii="仿宋" w:hAnsi="仿宋" w:eastAsia="仿宋"/>
                <w:bCs/>
                <w:color w:val="auto"/>
                <w:sz w:val="24"/>
                <w:highlight w:val="none"/>
              </w:rPr>
            </w:pPr>
          </w:p>
        </w:tc>
        <w:tc>
          <w:tcPr>
            <w:tcW w:w="1520" w:type="dxa"/>
            <w:vAlign w:val="center"/>
          </w:tcPr>
          <w:p>
            <w:pPr>
              <w:spacing w:line="460" w:lineRule="exact"/>
              <w:jc w:val="center"/>
              <w:rPr>
                <w:rFonts w:ascii="仿宋" w:hAnsi="仿宋" w:eastAsia="仿宋"/>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855" w:type="dxa"/>
            <w:gridSpan w:val="6"/>
            <w:vAlign w:val="center"/>
          </w:tcPr>
          <w:p>
            <w:pPr>
              <w:spacing w:line="460" w:lineRule="exact"/>
              <w:rPr>
                <w:rFonts w:ascii="仿宋" w:hAnsi="仿宋" w:eastAsia="仿宋"/>
                <w:b/>
                <w:bCs/>
                <w:color w:val="auto"/>
                <w:sz w:val="24"/>
                <w:highlight w:val="none"/>
              </w:rPr>
            </w:pPr>
            <w:r>
              <w:rPr>
                <w:rFonts w:hint="eastAsia" w:ascii="仿宋" w:hAnsi="仿宋" w:eastAsia="仿宋"/>
                <w:b/>
                <w:bCs/>
                <w:color w:val="auto"/>
                <w:sz w:val="24"/>
                <w:highlight w:val="none"/>
              </w:rPr>
              <w:t>合计金额：元（元整）</w:t>
            </w:r>
          </w:p>
        </w:tc>
      </w:tr>
    </w:tbl>
    <w:p>
      <w:pPr>
        <w:spacing w:line="460" w:lineRule="exact"/>
        <w:rPr>
          <w:rFonts w:ascii="仿宋" w:hAnsi="仿宋" w:eastAsia="仿宋"/>
          <w:bCs/>
          <w:color w:val="auto"/>
          <w:sz w:val="24"/>
          <w:highlight w:val="none"/>
        </w:rPr>
      </w:pPr>
      <w:r>
        <w:rPr>
          <w:rFonts w:hint="eastAsia" w:ascii="仿宋" w:hAnsi="仿宋" w:eastAsia="仿宋"/>
          <w:bCs/>
          <w:color w:val="auto"/>
          <w:sz w:val="24"/>
          <w:highlight w:val="none"/>
          <w:lang w:eastAsia="zh-CN"/>
        </w:rPr>
        <w:t>▲</w:t>
      </w:r>
      <w:r>
        <w:rPr>
          <w:rFonts w:hint="eastAsia" w:ascii="仿宋" w:hAnsi="仿宋" w:eastAsia="仿宋"/>
          <w:bCs/>
          <w:color w:val="auto"/>
          <w:sz w:val="24"/>
          <w:highlight w:val="none"/>
        </w:rPr>
        <w:t>产品的技术参数以招标文件和投标文件为准。</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二、质量标准和保证</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（一）卖方提供的产品必须符合国家颁布的质量标准和产品名称、规格型号、技术要求（详见招标文件和投标文件）。</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（二）卖方所提供的产品保证是全新的、未使用过的，完全符合合同规定的质量、规格和性能要求。</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三、质保期及售后服务</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（一）售后服务要求</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1、卖方应主动协助使用方对产品进行检验，其中包括查验车辆发动机号、底盘号，交付所有证件、工具和主、副钥匙，并提供足以保证车辆能行驶至附近加油站的油料。</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2、卖方承诺在质保期内对所提供产品实施运行监督、维修，但该服务并不能免除卖方在质保期内应承担的义务；在质保期与保修期内，卖方必须提供至少</w:t>
      </w:r>
      <w:r>
        <w:rPr>
          <w:rFonts w:hint="eastAsia" w:ascii="仿宋" w:hAnsi="仿宋" w:eastAsia="仿宋"/>
          <w:color w:val="auto"/>
          <w:sz w:val="24"/>
          <w:highlight w:val="none"/>
          <w:lang w:val="en-US" w:eastAsia="zh-CN"/>
        </w:rPr>
        <w:t>1</w:t>
      </w:r>
      <w:r>
        <w:rPr>
          <w:rFonts w:ascii="仿宋" w:hAnsi="仿宋" w:eastAsia="仿宋"/>
          <w:color w:val="auto"/>
          <w:sz w:val="24"/>
          <w:highlight w:val="none"/>
        </w:rPr>
        <w:t>次免费上门首保服务,主动协助买方做好产品的保养（包括车辆走合等）。提供7×24小时服务电话，车辆发生质量、故障、事故问题时，在</w:t>
      </w:r>
      <w:r>
        <w:rPr>
          <w:rFonts w:hint="eastAsia" w:ascii="仿宋" w:hAnsi="仿宋" w:eastAsia="仿宋"/>
          <w:color w:val="auto"/>
          <w:sz w:val="24"/>
          <w:highlight w:val="none"/>
        </w:rPr>
        <w:t>4</w:t>
      </w:r>
      <w:r>
        <w:rPr>
          <w:rFonts w:ascii="仿宋" w:hAnsi="仿宋" w:eastAsia="仿宋"/>
          <w:color w:val="auto"/>
          <w:sz w:val="24"/>
          <w:highlight w:val="none"/>
        </w:rPr>
        <w:t>小时内做出回应，维修人员在</w:t>
      </w:r>
      <w:r>
        <w:rPr>
          <w:rFonts w:hint="eastAsia" w:ascii="仿宋" w:hAnsi="仿宋" w:eastAsia="仿宋"/>
          <w:color w:val="auto"/>
          <w:sz w:val="24"/>
          <w:highlight w:val="none"/>
        </w:rPr>
        <w:t>24</w:t>
      </w:r>
      <w:r>
        <w:rPr>
          <w:rFonts w:ascii="仿宋" w:hAnsi="仿宋" w:eastAsia="仿宋"/>
          <w:color w:val="auto"/>
          <w:sz w:val="24"/>
          <w:highlight w:val="none"/>
        </w:rPr>
        <w:t>小时内到达现场并解决问题，并应主动与生产厂</w:t>
      </w:r>
      <w:r>
        <w:rPr>
          <w:rFonts w:hint="eastAsia" w:ascii="仿宋" w:hAnsi="仿宋" w:eastAsia="仿宋"/>
          <w:color w:val="auto"/>
          <w:sz w:val="24"/>
          <w:highlight w:val="none"/>
          <w:lang w:val="en-US" w:eastAsia="zh-CN"/>
        </w:rPr>
        <w:t>家</w:t>
      </w:r>
      <w:r>
        <w:rPr>
          <w:rFonts w:ascii="仿宋" w:hAnsi="仿宋" w:eastAsia="仿宋"/>
          <w:color w:val="auto"/>
          <w:sz w:val="24"/>
          <w:highlight w:val="none"/>
        </w:rPr>
        <w:t>联系解决索赔问题。如卖方未在约定的时间内作出回应或解决</w:t>
      </w:r>
      <w:r>
        <w:rPr>
          <w:rFonts w:hint="eastAsia" w:ascii="仿宋" w:hAnsi="仿宋" w:eastAsia="仿宋"/>
          <w:color w:val="auto"/>
          <w:sz w:val="24"/>
          <w:highlight w:val="none"/>
        </w:rPr>
        <w:t>问题</w:t>
      </w:r>
      <w:r>
        <w:rPr>
          <w:rFonts w:ascii="仿宋" w:hAnsi="仿宋" w:eastAsia="仿宋"/>
          <w:color w:val="auto"/>
          <w:sz w:val="24"/>
          <w:highlight w:val="none"/>
        </w:rPr>
        <w:t>，买方有权委托第三方处理，因此产生的费用或给买方造成的损失由卖方承担。</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3、产品在使用过程中如零部件发生丢失和损坏，卖方须负责买方按优惠价格配到原厂生产的优质零部件。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4、卖方在质保期内收到买方维修通知后，负责对产品进行免费维修、更换有缺陷的零部件、直至更换产品。</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5、如果卖方在质保期内收到维修通知后，没有为买方弥补缺陷、更换零部件，买方可采取必要的补救措施，但风险和费用将由卖方承担。</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lang w:val="en-US" w:eastAsia="zh-CN"/>
        </w:rPr>
        <w:t>6</w:t>
      </w:r>
      <w:r>
        <w:rPr>
          <w:rFonts w:ascii="仿宋" w:hAnsi="仿宋" w:eastAsia="仿宋"/>
          <w:color w:val="auto"/>
          <w:sz w:val="24"/>
          <w:highlight w:val="none"/>
        </w:rPr>
        <w:t>、</w:t>
      </w:r>
      <w:r>
        <w:rPr>
          <w:rFonts w:hint="eastAsia" w:ascii="仿宋" w:hAnsi="仿宋" w:eastAsia="仿宋"/>
          <w:color w:val="auto"/>
          <w:sz w:val="24"/>
          <w:highlight w:val="none"/>
          <w:lang w:eastAsia="zh-CN"/>
        </w:rPr>
        <w:t>产品</w:t>
      </w:r>
      <w:r>
        <w:rPr>
          <w:rFonts w:ascii="仿宋" w:hAnsi="仿宋" w:eastAsia="仿宋"/>
          <w:color w:val="auto"/>
          <w:sz w:val="24"/>
          <w:highlight w:val="none"/>
        </w:rPr>
        <w:t>必须配有中文说明书</w:t>
      </w:r>
      <w:r>
        <w:rPr>
          <w:rFonts w:hint="eastAsia" w:ascii="仿宋" w:hAnsi="仿宋" w:eastAsia="仿宋"/>
          <w:color w:val="auto"/>
          <w:sz w:val="24"/>
          <w:highlight w:val="none"/>
          <w:lang w:eastAsia="zh-CN"/>
        </w:rPr>
        <w:t>，</w:t>
      </w:r>
      <w:r>
        <w:rPr>
          <w:rFonts w:ascii="仿宋" w:hAnsi="仿宋" w:eastAsia="仿宋"/>
          <w:color w:val="auto"/>
          <w:sz w:val="24"/>
          <w:highlight w:val="none"/>
        </w:rPr>
        <w:t>并提供电子版文档。说明书应包括装备周期性检查及维护保养的详细说明，并提供</w:t>
      </w:r>
      <w:r>
        <w:rPr>
          <w:rFonts w:hint="eastAsia" w:ascii="仿宋" w:hAnsi="仿宋" w:eastAsia="仿宋"/>
          <w:color w:val="auto"/>
          <w:sz w:val="24"/>
          <w:highlight w:val="none"/>
          <w:lang w:eastAsia="zh-CN"/>
        </w:rPr>
        <w:t>产品</w:t>
      </w:r>
      <w:r>
        <w:rPr>
          <w:rFonts w:ascii="仿宋" w:hAnsi="仿宋" w:eastAsia="仿宋"/>
          <w:color w:val="auto"/>
          <w:sz w:val="24"/>
          <w:highlight w:val="none"/>
        </w:rPr>
        <w:t>操作使用和检查维护的音视频资料。同时提供全寿命周期易损件、消耗品、随车器材、工具等型号规格清单。</w:t>
      </w:r>
      <w:r>
        <w:rPr>
          <w:rFonts w:hint="eastAsia" w:ascii="仿宋" w:hAnsi="仿宋" w:eastAsia="仿宋" w:cs="仿宋"/>
          <w:color w:val="auto"/>
          <w:kern w:val="0"/>
          <w:sz w:val="24"/>
          <w:highlight w:val="none"/>
        </w:rPr>
        <w:t>相关资料要归档编制目录，并做好档案保管和移交等工作。</w:t>
      </w:r>
    </w:p>
    <w:p>
      <w:pPr>
        <w:spacing w:line="460" w:lineRule="exact"/>
        <w:rPr>
          <w:rFonts w:ascii="仿宋" w:hAnsi="仿宋" w:eastAsia="仿宋"/>
          <w:color w:val="auto"/>
          <w:sz w:val="24"/>
          <w:highlight w:val="none"/>
        </w:rPr>
      </w:pPr>
      <w:r>
        <w:rPr>
          <w:rFonts w:hint="eastAsia" w:ascii="仿宋" w:hAnsi="仿宋" w:eastAsia="仿宋"/>
          <w:b/>
          <w:color w:val="auto"/>
          <w:sz w:val="24"/>
          <w:highlight w:val="none"/>
        </w:rPr>
        <w:t>（二）质量保证和保修</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1、卖方提供的产品</w:t>
      </w:r>
      <w:r>
        <w:rPr>
          <w:rFonts w:hint="eastAsia" w:ascii="仿宋" w:hAnsi="仿宋" w:eastAsia="仿宋"/>
          <w:color w:val="auto"/>
          <w:sz w:val="24"/>
          <w:highlight w:val="none"/>
          <w:lang w:eastAsia="zh-CN"/>
        </w:rPr>
        <w:t>（</w:t>
      </w:r>
      <w:r>
        <w:rPr>
          <w:rFonts w:hint="eastAsia" w:ascii="仿宋" w:hAnsi="仿宋" w:eastAsia="仿宋"/>
          <w:color w:val="auto"/>
          <w:sz w:val="24"/>
          <w:highlight w:val="none"/>
          <w:lang w:val="en-US" w:eastAsia="zh-CN"/>
        </w:rPr>
        <w:t>含底盘）</w:t>
      </w:r>
      <w:r>
        <w:rPr>
          <w:rFonts w:ascii="仿宋" w:hAnsi="仿宋" w:eastAsia="仿宋"/>
          <w:color w:val="auto"/>
          <w:sz w:val="24"/>
          <w:highlight w:val="none"/>
        </w:rPr>
        <w:t>须提供整体不少于</w:t>
      </w:r>
      <w:r>
        <w:rPr>
          <w:rFonts w:hint="eastAsia" w:ascii="仿宋" w:hAnsi="仿宋" w:eastAsia="仿宋"/>
          <w:color w:val="auto"/>
          <w:sz w:val="24"/>
          <w:highlight w:val="none"/>
          <w:u w:val="single"/>
        </w:rPr>
        <w:t>3</w:t>
      </w:r>
      <w:r>
        <w:rPr>
          <w:rFonts w:ascii="仿宋" w:hAnsi="仿宋" w:eastAsia="仿宋"/>
          <w:color w:val="auto"/>
          <w:sz w:val="24"/>
          <w:highlight w:val="none"/>
        </w:rPr>
        <w:t>年质保期（以实际响应为准），车辆按保养手册执行。完全符合合同规定的质量、规格和性能的要求。保证所提供的</w:t>
      </w:r>
      <w:r>
        <w:rPr>
          <w:rFonts w:hint="eastAsia" w:ascii="仿宋" w:hAnsi="仿宋" w:eastAsia="仿宋"/>
          <w:color w:val="auto"/>
          <w:sz w:val="24"/>
          <w:highlight w:val="none"/>
          <w:lang w:eastAsia="zh-CN"/>
        </w:rPr>
        <w:t>产品</w:t>
      </w:r>
      <w:r>
        <w:rPr>
          <w:rFonts w:ascii="仿宋" w:hAnsi="仿宋" w:eastAsia="仿宋"/>
          <w:color w:val="auto"/>
          <w:sz w:val="24"/>
          <w:highlight w:val="none"/>
        </w:rPr>
        <w:t>经正确安装、正常运转和保养，在其使用寿命期内应具有使买方满意的性能，并且确保一次性通过各项检验和测试。产品最终验收后，在质保期内，卖方应对由于设计、工艺或材料的缺陷而发生的任何不足或故障负责，费用由卖方负担。</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2、车辆车身漆面应清洁光亮，不得有脱漆、划痕和</w:t>
      </w:r>
      <w:r>
        <w:rPr>
          <w:rFonts w:hint="eastAsia" w:ascii="仿宋" w:hAnsi="仿宋" w:eastAsia="仿宋"/>
          <w:color w:val="auto"/>
          <w:sz w:val="24"/>
          <w:highlight w:val="none"/>
        </w:rPr>
        <w:t>瘪窝。</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车辆内部的座椅及其他内饰件应完整清洁，不得有划伤、污点，使用时应方便灵活；车辆内、外部的灯光应齐全、有效；效果应达到国家标准；车辆在行驶过程中不得有异常响声，制动（包括手制动）、转向应灵活、有效；汽车的动力性能和经济性能应符合设计要求；尾气排放应符合国家标准。</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w:t>
      </w:r>
      <w:r>
        <w:rPr>
          <w:rFonts w:hint="eastAsia" w:ascii="仿宋" w:hAnsi="仿宋" w:eastAsia="仿宋"/>
          <w:color w:val="auto"/>
          <w:sz w:val="24"/>
          <w:highlight w:val="none"/>
        </w:rPr>
        <w:t>在质保期内，如果</w:t>
      </w:r>
      <w:r>
        <w:rPr>
          <w:rFonts w:hint="eastAsia" w:ascii="仿宋" w:hAnsi="仿宋" w:eastAsia="仿宋"/>
          <w:color w:val="auto"/>
          <w:sz w:val="24"/>
          <w:highlight w:val="none"/>
          <w:lang w:eastAsia="zh-CN"/>
        </w:rPr>
        <w:t>产品</w:t>
      </w:r>
      <w:r>
        <w:rPr>
          <w:rFonts w:hint="eastAsia" w:ascii="仿宋" w:hAnsi="仿宋" w:eastAsia="仿宋"/>
          <w:color w:val="auto"/>
          <w:sz w:val="24"/>
          <w:highlight w:val="none"/>
        </w:rPr>
        <w:t>质量存在有缺陷的，包括潜在的缺陷或使用不符合要求的材料等，买方应在10个工作日</w:t>
      </w:r>
      <w:r>
        <w:rPr>
          <w:rFonts w:hint="eastAsia" w:ascii="仿宋" w:hAnsi="仿宋" w:eastAsia="仿宋"/>
          <w:color w:val="auto"/>
          <w:sz w:val="24"/>
          <w:highlight w:val="none"/>
          <w:lang w:val="en-US" w:eastAsia="zh-CN"/>
        </w:rPr>
        <w:t>内</w:t>
      </w:r>
      <w:r>
        <w:rPr>
          <w:rFonts w:hint="eastAsia" w:ascii="仿宋" w:hAnsi="仿宋" w:eastAsia="仿宋"/>
          <w:color w:val="auto"/>
          <w:sz w:val="24"/>
          <w:highlight w:val="none"/>
        </w:rPr>
        <w:t>以书面形式通知卖方，提出索赔。对于小型缺陷，卖方在收到通知后，应在</w:t>
      </w:r>
      <w:r>
        <w:rPr>
          <w:rFonts w:ascii="仿宋" w:hAnsi="仿宋" w:eastAsia="仿宋"/>
          <w:color w:val="auto"/>
          <w:sz w:val="24"/>
          <w:highlight w:val="none"/>
        </w:rPr>
        <w:t>7</w:t>
      </w:r>
      <w:r>
        <w:rPr>
          <w:rFonts w:hint="eastAsia" w:ascii="仿宋" w:hAnsi="仿宋" w:eastAsia="仿宋"/>
          <w:color w:val="auto"/>
          <w:sz w:val="24"/>
          <w:highlight w:val="none"/>
        </w:rPr>
        <w:t>日内，用与投标时采用的零件、部件或材料来更换有缺陷的或不符合要求的零件、部件或材料，同时相应延长质保期；对于重大缺陷，卖方在收到通知后，应在</w:t>
      </w:r>
      <w:r>
        <w:rPr>
          <w:rFonts w:ascii="仿宋" w:hAnsi="仿宋" w:eastAsia="仿宋"/>
          <w:color w:val="auto"/>
          <w:sz w:val="24"/>
          <w:highlight w:val="none"/>
        </w:rPr>
        <w:t>7</w:t>
      </w:r>
      <w:r>
        <w:rPr>
          <w:rFonts w:hint="eastAsia" w:ascii="仿宋" w:hAnsi="仿宋" w:eastAsia="仿宋"/>
          <w:color w:val="auto"/>
          <w:sz w:val="24"/>
          <w:highlight w:val="none"/>
        </w:rPr>
        <w:t>日内，更换合格的</w:t>
      </w:r>
      <w:r>
        <w:rPr>
          <w:rFonts w:hint="eastAsia" w:ascii="仿宋" w:hAnsi="仿宋" w:eastAsia="仿宋"/>
          <w:color w:val="auto"/>
          <w:sz w:val="24"/>
          <w:highlight w:val="none"/>
          <w:lang w:eastAsia="zh-CN"/>
        </w:rPr>
        <w:t>产品</w:t>
      </w:r>
      <w:r>
        <w:rPr>
          <w:rFonts w:hint="eastAsia" w:ascii="仿宋" w:hAnsi="仿宋" w:eastAsia="仿宋"/>
          <w:color w:val="auto"/>
          <w:sz w:val="24"/>
          <w:highlight w:val="none"/>
        </w:rPr>
        <w:t>（同时相应延长质保期）或做退货处理，并承担给买方造成的损失。</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5、质保期限以外</w:t>
      </w:r>
      <w:r>
        <w:rPr>
          <w:rFonts w:hint="eastAsia" w:ascii="仿宋" w:hAnsi="仿宋" w:eastAsia="仿宋"/>
          <w:color w:val="auto"/>
          <w:sz w:val="24"/>
          <w:highlight w:val="none"/>
        </w:rPr>
        <w:t>，</w:t>
      </w:r>
      <w:r>
        <w:rPr>
          <w:rFonts w:ascii="仿宋" w:hAnsi="仿宋" w:eastAsia="仿宋"/>
          <w:color w:val="auto"/>
          <w:sz w:val="24"/>
          <w:highlight w:val="none"/>
        </w:rPr>
        <w:t>卖方为</w:t>
      </w:r>
      <w:r>
        <w:rPr>
          <w:rFonts w:hint="default" w:ascii="仿宋" w:hAnsi="仿宋" w:eastAsia="仿宋"/>
          <w:color w:val="auto"/>
          <w:sz w:val="24"/>
          <w:highlight w:val="none"/>
          <w:lang w:val="en-US"/>
        </w:rPr>
        <w:t>所</w:t>
      </w:r>
      <w:r>
        <w:rPr>
          <w:rFonts w:hint="eastAsia" w:ascii="仿宋" w:hAnsi="仿宋" w:eastAsia="仿宋"/>
          <w:color w:val="auto"/>
          <w:sz w:val="24"/>
          <w:highlight w:val="none"/>
          <w:lang w:val="en-US" w:eastAsia="zh-CN"/>
        </w:rPr>
        <w:t>提供的</w:t>
      </w:r>
      <w:r>
        <w:rPr>
          <w:rFonts w:ascii="仿宋" w:hAnsi="仿宋" w:eastAsia="仿宋"/>
          <w:color w:val="auto"/>
          <w:sz w:val="24"/>
          <w:highlight w:val="none"/>
        </w:rPr>
        <w:t>产</w:t>
      </w:r>
      <w:r>
        <w:rPr>
          <w:rFonts w:hint="eastAsia" w:ascii="仿宋" w:hAnsi="仿宋" w:eastAsia="仿宋"/>
          <w:color w:val="auto"/>
          <w:sz w:val="24"/>
          <w:highlight w:val="none"/>
        </w:rPr>
        <w:t>品</w:t>
      </w:r>
      <w:r>
        <w:rPr>
          <w:rFonts w:hint="default" w:ascii="仿宋" w:hAnsi="仿宋" w:eastAsia="仿宋"/>
          <w:color w:val="auto"/>
          <w:sz w:val="24"/>
          <w:highlight w:val="none"/>
          <w:lang w:eastAsia="zh-CN"/>
        </w:rPr>
        <w:t>（</w:t>
      </w:r>
      <w:r>
        <w:rPr>
          <w:rFonts w:hint="default" w:ascii="仿宋" w:hAnsi="仿宋" w:eastAsia="仿宋"/>
          <w:color w:val="auto"/>
          <w:sz w:val="24"/>
          <w:highlight w:val="none"/>
          <w:lang w:val="en-US" w:eastAsia="zh-CN"/>
        </w:rPr>
        <w:t>含底盘）</w:t>
      </w:r>
      <w:r>
        <w:rPr>
          <w:rFonts w:hint="eastAsia" w:ascii="仿宋" w:hAnsi="仿宋" w:eastAsia="仿宋"/>
          <w:color w:val="auto"/>
          <w:sz w:val="24"/>
          <w:highlight w:val="none"/>
        </w:rPr>
        <w:t>提供不少于5年的保修期（以实际响应为准），提供全寿命周期的主要耗损件、易损件及更换总成的目录和年度价格清单，保证供应且价格合理。在超出保修服务期限后的每次售后服务，卖方可以按照一定标准收取相应的维修费用、更换零部件费用和升级费用。售后服务结束两个星期后，买方确认签字，完成本次售后服务。超出保修期产品作出的收费维修部分的保修期不应低于</w:t>
      </w:r>
      <w:r>
        <w:rPr>
          <w:rFonts w:ascii="仿宋" w:hAnsi="仿宋" w:eastAsia="仿宋"/>
          <w:color w:val="auto"/>
          <w:sz w:val="24"/>
          <w:highlight w:val="none"/>
        </w:rPr>
        <w:t>12个月。</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（三）培训与监督</w:t>
      </w:r>
    </w:p>
    <w:p>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1、</w:t>
      </w:r>
      <w:r>
        <w:rPr>
          <w:rFonts w:hint="default" w:ascii="Times New Roman" w:hAnsi="Times New Roman" w:eastAsia="仿宋" w:cs="Times New Roman"/>
          <w:color w:val="auto"/>
          <w:sz w:val="24"/>
          <w:highlight w:val="none"/>
          <w:lang w:eastAsia="zh-CN"/>
        </w:rPr>
        <w:t>卖方</w:t>
      </w:r>
      <w:r>
        <w:rPr>
          <w:rFonts w:hint="default" w:ascii="Times New Roman" w:hAnsi="Times New Roman" w:eastAsia="仿宋" w:cs="Times New Roman"/>
          <w:color w:val="auto"/>
          <w:sz w:val="24"/>
          <w:highlight w:val="none"/>
        </w:rPr>
        <w:t>应</w:t>
      </w:r>
      <w:r>
        <w:rPr>
          <w:rFonts w:hint="default" w:ascii="Times New Roman" w:hAnsi="Times New Roman" w:eastAsia="仿宋" w:cs="Times New Roman"/>
          <w:color w:val="auto"/>
          <w:kern w:val="2"/>
          <w:sz w:val="24"/>
          <w:highlight w:val="none"/>
        </w:rPr>
        <w:t>提供产品的功能、使用方法、技术参数、常见问题解决方法等书面材料，并确保用户获知产品序列号、型号名称、版本号以及配合使用的主要设备品牌、型号和版本等信息。</w:t>
      </w:r>
    </w:p>
    <w:p>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2、</w:t>
      </w:r>
      <w:r>
        <w:rPr>
          <w:rFonts w:hint="default" w:ascii="Times New Roman" w:hAnsi="Times New Roman" w:eastAsia="仿宋" w:cs="Times New Roman"/>
          <w:color w:val="auto"/>
          <w:kern w:val="2"/>
          <w:sz w:val="24"/>
          <w:highlight w:val="none"/>
        </w:rPr>
        <w:t>交货时，</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应免费组织用户开展操作使用培训，使之熟练掌握操作规程、使用方法和注意事项，并经</w:t>
      </w:r>
      <w:r>
        <w:rPr>
          <w:rFonts w:hint="default" w:ascii="Times New Roman" w:hAnsi="Times New Roman" w:eastAsia="仿宋" w:cs="Times New Roman"/>
          <w:color w:val="auto"/>
          <w:kern w:val="2"/>
          <w:sz w:val="24"/>
          <w:highlight w:val="none"/>
          <w:lang w:eastAsia="zh-CN"/>
        </w:rPr>
        <w:t>买方</w:t>
      </w:r>
      <w:r>
        <w:rPr>
          <w:rFonts w:hint="default" w:ascii="Times New Roman" w:hAnsi="Times New Roman" w:eastAsia="仿宋" w:cs="Times New Roman"/>
          <w:color w:val="auto"/>
          <w:kern w:val="2"/>
          <w:sz w:val="24"/>
          <w:highlight w:val="none"/>
        </w:rPr>
        <w:t>签字确认后方可移交。</w:t>
      </w:r>
    </w:p>
    <w:p>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3、</w:t>
      </w:r>
      <w:r>
        <w:rPr>
          <w:rFonts w:hint="default" w:ascii="Times New Roman" w:hAnsi="Times New Roman" w:eastAsia="仿宋" w:cs="Times New Roman"/>
          <w:color w:val="auto"/>
          <w:kern w:val="2"/>
          <w:sz w:val="24"/>
          <w:highlight w:val="none"/>
        </w:rPr>
        <w:t>每年不少于</w:t>
      </w:r>
      <w:r>
        <w:rPr>
          <w:rFonts w:hint="default" w:ascii="Times New Roman" w:hAnsi="Times New Roman" w:eastAsia="仿宋" w:cs="Times New Roman"/>
          <w:color w:val="auto"/>
          <w:kern w:val="2"/>
          <w:sz w:val="24"/>
          <w:highlight w:val="none"/>
          <w:lang w:val="en-US" w:eastAsia="zh-CN"/>
        </w:rPr>
        <w:t>1</w:t>
      </w:r>
      <w:r>
        <w:rPr>
          <w:rFonts w:hint="default" w:ascii="Times New Roman" w:hAnsi="Times New Roman" w:eastAsia="仿宋" w:cs="Times New Roman"/>
          <w:color w:val="auto"/>
          <w:kern w:val="2"/>
          <w:sz w:val="24"/>
          <w:highlight w:val="none"/>
        </w:rPr>
        <w:t>次实地巡检，及时掌握产品使用情况，以及产品的故障、缺陷情况，及时给予维修保养，并建立预警系统，保证售后服务及时性。</w:t>
      </w:r>
    </w:p>
    <w:p>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sz w:val="24"/>
          <w:highlight w:val="none"/>
          <w:lang w:val="en-US" w:eastAsia="zh-CN"/>
        </w:rPr>
        <w:t>4、</w:t>
      </w:r>
      <w:r>
        <w:rPr>
          <w:rFonts w:hint="default" w:ascii="Times New Roman" w:hAnsi="Times New Roman" w:eastAsia="仿宋" w:cs="Times New Roman"/>
          <w:color w:val="auto"/>
          <w:sz w:val="24"/>
          <w:highlight w:val="none"/>
          <w:lang w:eastAsia="zh-CN"/>
        </w:rPr>
        <w:t>卖方</w:t>
      </w:r>
      <w:r>
        <w:rPr>
          <w:rFonts w:hint="default" w:ascii="Times New Roman" w:hAnsi="Times New Roman" w:eastAsia="仿宋" w:cs="Times New Roman"/>
          <w:color w:val="auto"/>
          <w:sz w:val="24"/>
          <w:highlight w:val="none"/>
        </w:rPr>
        <w:t>应主动与</w:t>
      </w:r>
      <w:r>
        <w:rPr>
          <w:rFonts w:hint="default" w:ascii="Times New Roman" w:hAnsi="Times New Roman" w:eastAsia="仿宋" w:cs="Times New Roman"/>
          <w:color w:val="auto"/>
          <w:sz w:val="24"/>
          <w:highlight w:val="none"/>
          <w:lang w:eastAsia="zh-CN"/>
        </w:rPr>
        <w:t>买方</w:t>
      </w:r>
      <w:r>
        <w:rPr>
          <w:rFonts w:hint="default" w:ascii="Times New Roman" w:hAnsi="Times New Roman" w:eastAsia="仿宋" w:cs="Times New Roman"/>
          <w:color w:val="auto"/>
          <w:sz w:val="24"/>
          <w:highlight w:val="none"/>
        </w:rPr>
        <w:t>建立联勤联动机制，</w:t>
      </w:r>
      <w:r>
        <w:rPr>
          <w:rFonts w:hint="default" w:ascii="Times New Roman" w:hAnsi="Times New Roman" w:eastAsia="仿宋" w:cs="Times New Roman"/>
          <w:color w:val="auto"/>
          <w:kern w:val="2"/>
          <w:sz w:val="24"/>
          <w:highlight w:val="none"/>
        </w:rPr>
        <w:t>遇有重大灾害事故处置，要快速响应，选派素质好、业务精的人员遂行技术保障，提供技术支持、现场抢修等应急技术服务。（注：</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参与</w:t>
      </w:r>
      <w:r>
        <w:rPr>
          <w:rFonts w:hint="default" w:ascii="Times New Roman" w:hAnsi="Times New Roman" w:eastAsia="仿宋" w:cs="Times New Roman"/>
          <w:color w:val="auto"/>
          <w:kern w:val="2"/>
          <w:sz w:val="24"/>
          <w:highlight w:val="none"/>
          <w:lang w:eastAsia="zh-CN"/>
        </w:rPr>
        <w:t>买方</w:t>
      </w:r>
      <w:r>
        <w:rPr>
          <w:rFonts w:hint="default" w:ascii="Times New Roman" w:hAnsi="Times New Roman" w:eastAsia="仿宋" w:cs="Times New Roman"/>
          <w:color w:val="auto"/>
          <w:kern w:val="2"/>
          <w:sz w:val="24"/>
          <w:highlight w:val="none"/>
        </w:rPr>
        <w:t>联勤联动行动所产生的费用支出由</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自理）</w:t>
      </w:r>
    </w:p>
    <w:p>
      <w:pPr>
        <w:keepNext w:val="0"/>
        <w:keepLines w:val="0"/>
        <w:pageBreakBefore w:val="0"/>
        <w:kinsoku/>
        <w:wordWrap/>
        <w:overflowPunct/>
        <w:topLinePunct w:val="0"/>
        <w:autoSpaceDE/>
        <w:autoSpaceDN/>
        <w:bidi w:val="0"/>
        <w:spacing w:line="460" w:lineRule="exact"/>
        <w:ind w:firstLine="480" w:firstLineChars="200"/>
        <w:rPr>
          <w:rFonts w:hint="default" w:ascii="Times New Roman" w:hAnsi="Times New Roman" w:eastAsia="仿宋" w:cs="Times New Roman"/>
          <w:color w:val="auto"/>
          <w:kern w:val="2"/>
          <w:sz w:val="24"/>
          <w:highlight w:val="none"/>
        </w:rPr>
      </w:pPr>
      <w:r>
        <w:rPr>
          <w:rFonts w:hint="default" w:ascii="Times New Roman" w:hAnsi="Times New Roman" w:eastAsia="仿宋" w:cs="Times New Roman"/>
          <w:color w:val="auto"/>
          <w:kern w:val="2"/>
          <w:sz w:val="24"/>
          <w:highlight w:val="none"/>
          <w:lang w:val="en-US" w:eastAsia="zh-CN"/>
        </w:rPr>
        <w:t>5、</w:t>
      </w:r>
      <w:r>
        <w:rPr>
          <w:rFonts w:hint="default" w:ascii="Times New Roman" w:hAnsi="Times New Roman" w:eastAsia="仿宋" w:cs="Times New Roman"/>
          <w:color w:val="auto"/>
          <w:kern w:val="2"/>
          <w:sz w:val="24"/>
          <w:highlight w:val="none"/>
          <w:lang w:eastAsia="zh-CN"/>
        </w:rPr>
        <w:t>卖方</w:t>
      </w:r>
      <w:r>
        <w:rPr>
          <w:rFonts w:hint="default" w:ascii="Times New Roman" w:hAnsi="Times New Roman" w:eastAsia="仿宋" w:cs="Times New Roman"/>
          <w:color w:val="auto"/>
          <w:kern w:val="2"/>
          <w:sz w:val="24"/>
          <w:highlight w:val="none"/>
        </w:rPr>
        <w:t>应提供服务技术规范，</w:t>
      </w:r>
      <w:r>
        <w:rPr>
          <w:rFonts w:hint="default" w:ascii="Times New Roman" w:hAnsi="Times New Roman" w:eastAsia="仿宋" w:cs="Times New Roman"/>
          <w:color w:val="auto"/>
          <w:kern w:val="2"/>
          <w:sz w:val="24"/>
          <w:highlight w:val="none"/>
          <w:lang w:eastAsia="zh-CN"/>
        </w:rPr>
        <w:t>买方</w:t>
      </w:r>
      <w:r>
        <w:rPr>
          <w:rFonts w:hint="default" w:ascii="Times New Roman" w:hAnsi="Times New Roman" w:eastAsia="仿宋" w:cs="Times New Roman"/>
          <w:color w:val="auto"/>
          <w:kern w:val="2"/>
          <w:sz w:val="24"/>
          <w:highlight w:val="none"/>
        </w:rPr>
        <w:t>可获得有关维修等级、所需时间、工时计算项目、配件价格的信息。</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四、履约保证金</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（一）履约保证金缴纳金额：合同总价</w:t>
      </w:r>
      <w:r>
        <w:rPr>
          <w:rFonts w:hint="eastAsia" w:eastAsia="仿宋"/>
          <w:color w:val="auto"/>
          <w:sz w:val="24"/>
          <w:highlight w:val="none"/>
          <w:lang w:val="en-US" w:eastAsia="zh-CN"/>
        </w:rPr>
        <w:t>7</w:t>
      </w:r>
      <w:r>
        <w:rPr>
          <w:rFonts w:eastAsia="仿宋"/>
          <w:color w:val="auto"/>
          <w:sz w:val="24"/>
          <w:highlight w:val="none"/>
        </w:rPr>
        <w:t>%作为履约保证金，履约保证金在质保期满后，无任何问题，且无合同纠纷的，无息退还履约保证金【履约保证金接受保函形式递交】。</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（二）履约保证金缴纳方式和时间：</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公对公转账方式：在</w:t>
      </w:r>
      <w:r>
        <w:rPr>
          <w:rFonts w:hint="eastAsia" w:eastAsia="仿宋"/>
          <w:color w:val="auto"/>
          <w:sz w:val="24"/>
          <w:highlight w:val="none"/>
        </w:rPr>
        <w:t>合同签订</w:t>
      </w:r>
      <w:r>
        <w:rPr>
          <w:rFonts w:eastAsia="仿宋"/>
          <w:color w:val="auto"/>
          <w:sz w:val="24"/>
          <w:highlight w:val="none"/>
        </w:rPr>
        <w:t>后7个工作日之内卖方将履约保证金递交至买方指定账户；</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2</w:t>
      </w:r>
      <w:r>
        <w:rPr>
          <w:rFonts w:hint="eastAsia" w:eastAsia="仿宋"/>
          <w:color w:val="auto"/>
          <w:sz w:val="24"/>
          <w:highlight w:val="none"/>
        </w:rPr>
        <w:t>、</w:t>
      </w:r>
      <w:r>
        <w:rPr>
          <w:rFonts w:eastAsia="仿宋"/>
          <w:color w:val="auto"/>
          <w:sz w:val="24"/>
          <w:highlight w:val="none"/>
        </w:rPr>
        <w:t>银行保函方式：在</w:t>
      </w:r>
      <w:r>
        <w:rPr>
          <w:rFonts w:hint="eastAsia" w:eastAsia="仿宋"/>
          <w:color w:val="auto"/>
          <w:sz w:val="24"/>
          <w:highlight w:val="none"/>
        </w:rPr>
        <w:t>合同签订</w:t>
      </w:r>
      <w:r>
        <w:rPr>
          <w:rFonts w:eastAsia="仿宋"/>
          <w:color w:val="auto"/>
          <w:sz w:val="24"/>
          <w:highlight w:val="none"/>
        </w:rPr>
        <w:t>后30日之内递交至买方。【保函有效期需与质保期到期时间一致】。</w:t>
      </w:r>
    </w:p>
    <w:p>
      <w:pPr>
        <w:adjustRightInd w:val="0"/>
        <w:snapToGrid w:val="0"/>
        <w:spacing w:line="460" w:lineRule="exact"/>
        <w:ind w:firstLine="482" w:firstLineChars="200"/>
        <w:jc w:val="left"/>
        <w:rPr>
          <w:rFonts w:eastAsia="仿宋"/>
          <w:color w:val="auto"/>
          <w:sz w:val="24"/>
          <w:highlight w:val="none"/>
        </w:rPr>
      </w:pPr>
      <w:r>
        <w:rPr>
          <w:rFonts w:eastAsia="仿宋"/>
          <w:b/>
          <w:bCs/>
          <w:color w:val="auto"/>
          <w:sz w:val="24"/>
          <w:highlight w:val="none"/>
        </w:rPr>
        <w:t>注：</w:t>
      </w:r>
      <w:r>
        <w:rPr>
          <w:rFonts w:eastAsia="仿宋"/>
          <w:color w:val="auto"/>
          <w:sz w:val="24"/>
          <w:highlight w:val="none"/>
        </w:rPr>
        <w:t>1.保函类型为银行保函；2.保函需载明以下内容：①见索即付；②收到买方法定代表人或授权委托代理人签字确认并加盖公章的书面索赔通知后即应不争辩、不挑剔、不可撤销地向买方支付索赔款，直至最高担保金额；③担保金额为合同金额的</w:t>
      </w:r>
      <w:r>
        <w:rPr>
          <w:rFonts w:hint="eastAsia" w:eastAsia="仿宋"/>
          <w:color w:val="auto"/>
          <w:sz w:val="24"/>
          <w:highlight w:val="none"/>
          <w:lang w:val="en-US" w:eastAsia="zh-CN"/>
        </w:rPr>
        <w:t>7</w:t>
      </w:r>
      <w:r>
        <w:rPr>
          <w:rFonts w:eastAsia="仿宋"/>
          <w:color w:val="auto"/>
          <w:sz w:val="24"/>
          <w:highlight w:val="none"/>
        </w:rPr>
        <w:t>%；④如卖方提供的保函未载明前述内容的，买方可以拒收该保函，并要求卖方以银行转账的方式提供履约保证金。</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(三)履约保证金在质保期满后，无任何问题，且无合同纠纷的，</w:t>
      </w:r>
      <w:r>
        <w:rPr>
          <w:rFonts w:hint="eastAsia" w:eastAsia="仿宋"/>
          <w:color w:val="auto"/>
          <w:sz w:val="24"/>
          <w:highlight w:val="none"/>
          <w:lang w:val="en-US" w:eastAsia="zh-CN"/>
        </w:rPr>
        <w:t>经卖方书面申请，</w:t>
      </w:r>
      <w:r>
        <w:rPr>
          <w:rFonts w:eastAsia="仿宋"/>
          <w:color w:val="auto"/>
          <w:sz w:val="24"/>
          <w:highlight w:val="none"/>
        </w:rPr>
        <w:t>无息退还履约保证金（质保期以卖方实际响应为准）</w:t>
      </w:r>
      <w:r>
        <w:rPr>
          <w:rFonts w:hint="eastAsia" w:eastAsia="仿宋"/>
          <w:color w:val="auto"/>
          <w:sz w:val="24"/>
          <w:highlight w:val="none"/>
        </w:rPr>
        <w:t>。</w:t>
      </w:r>
      <w:r>
        <w:rPr>
          <w:rFonts w:eastAsia="仿宋"/>
          <w:color w:val="auto"/>
          <w:sz w:val="24"/>
          <w:highlight w:val="none"/>
        </w:rPr>
        <w:t>以保函形式递交履约保证金的，保函有效期需至质保期结束，质保期结束后保函自动作废，但卖方尚应配合买方履行书面手续，为买方财务部门及时处理账务提供书面依据。</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五、安装及调试、验收</w:t>
      </w:r>
    </w:p>
    <w:p>
      <w:pPr>
        <w:spacing w:line="460" w:lineRule="exact"/>
        <w:ind w:firstLine="482" w:firstLineChars="200"/>
        <w:rPr>
          <w:color w:val="auto"/>
          <w:highlight w:val="none"/>
        </w:rPr>
      </w:pPr>
      <w:r>
        <w:rPr>
          <w:rFonts w:hint="eastAsia" w:ascii="仿宋" w:hAnsi="仿宋" w:eastAsia="仿宋"/>
          <w:b/>
          <w:color w:val="auto"/>
          <w:sz w:val="24"/>
          <w:highlight w:val="none"/>
        </w:rPr>
        <w:t>（一）安装及调试</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卖方</w:t>
      </w:r>
      <w:r>
        <w:rPr>
          <w:rFonts w:hint="eastAsia" w:eastAsia="仿宋"/>
          <w:color w:val="auto"/>
          <w:sz w:val="24"/>
          <w:highlight w:val="none"/>
        </w:rPr>
        <w:t>应</w:t>
      </w:r>
      <w:r>
        <w:rPr>
          <w:rFonts w:eastAsia="仿宋"/>
          <w:color w:val="auto"/>
          <w:sz w:val="24"/>
          <w:highlight w:val="none"/>
        </w:rPr>
        <w:t>派经买方认可的有经验和能力、具有相应资质的技术人员，负责</w:t>
      </w:r>
      <w:r>
        <w:rPr>
          <w:rFonts w:hint="eastAsia" w:eastAsia="仿宋"/>
          <w:color w:val="auto"/>
          <w:sz w:val="24"/>
          <w:highlight w:val="none"/>
          <w:lang w:eastAsia="zh-CN"/>
        </w:rPr>
        <w:t>产品</w:t>
      </w:r>
      <w:r>
        <w:rPr>
          <w:rFonts w:eastAsia="仿宋"/>
          <w:color w:val="auto"/>
          <w:sz w:val="24"/>
          <w:highlight w:val="none"/>
        </w:rPr>
        <w:t>安装、调试工作，在</w:t>
      </w:r>
      <w:r>
        <w:rPr>
          <w:rFonts w:hint="eastAsia" w:eastAsia="仿宋"/>
          <w:color w:val="auto"/>
          <w:sz w:val="24"/>
          <w:highlight w:val="none"/>
          <w:lang w:eastAsia="zh-CN"/>
        </w:rPr>
        <w:t>产品</w:t>
      </w:r>
      <w:r>
        <w:rPr>
          <w:rFonts w:eastAsia="仿宋"/>
          <w:color w:val="auto"/>
          <w:sz w:val="24"/>
          <w:highlight w:val="none"/>
        </w:rPr>
        <w:t>安装期间应充分了解</w:t>
      </w:r>
      <w:r>
        <w:rPr>
          <w:rFonts w:hint="eastAsia" w:eastAsia="仿宋"/>
          <w:color w:val="auto"/>
          <w:sz w:val="24"/>
          <w:highlight w:val="none"/>
          <w:lang w:eastAsia="zh-CN"/>
        </w:rPr>
        <w:t>产品</w:t>
      </w:r>
      <w:r>
        <w:rPr>
          <w:rFonts w:eastAsia="仿宋"/>
          <w:color w:val="auto"/>
          <w:sz w:val="24"/>
          <w:highlight w:val="none"/>
        </w:rPr>
        <w:t>安装、调试进度要求，解决安装、调试中出现的技术问题。</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2、</w:t>
      </w:r>
      <w:r>
        <w:rPr>
          <w:rFonts w:eastAsia="仿宋"/>
          <w:color w:val="auto"/>
          <w:sz w:val="24"/>
          <w:highlight w:val="none"/>
        </w:rPr>
        <w:t>安装、调试所需专用工具设施物料由卖方自备、自费运到现场，完工后自费搬走。</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3、</w:t>
      </w:r>
      <w:r>
        <w:rPr>
          <w:rFonts w:hint="eastAsia" w:eastAsia="仿宋"/>
          <w:color w:val="auto"/>
          <w:sz w:val="24"/>
          <w:highlight w:val="none"/>
          <w:lang w:eastAsia="zh-CN"/>
        </w:rPr>
        <w:t>产品</w:t>
      </w:r>
      <w:r>
        <w:rPr>
          <w:rFonts w:eastAsia="仿宋"/>
          <w:color w:val="auto"/>
          <w:sz w:val="24"/>
          <w:highlight w:val="none"/>
        </w:rPr>
        <w:t>的拆箱、通电、调试等各项工作由卖方负责，但必须在买方指定人员的参与下进行</w:t>
      </w:r>
      <w:r>
        <w:rPr>
          <w:rFonts w:hint="eastAsia" w:eastAsia="仿宋"/>
          <w:color w:val="auto"/>
          <w:sz w:val="24"/>
          <w:highlight w:val="none"/>
        </w:rPr>
        <w:t>，</w:t>
      </w:r>
      <w:r>
        <w:rPr>
          <w:rFonts w:eastAsia="仿宋"/>
          <w:color w:val="auto"/>
          <w:sz w:val="24"/>
          <w:highlight w:val="none"/>
        </w:rPr>
        <w:t>在实际实施前必须先经买方同意。</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4</w:t>
      </w:r>
      <w:r>
        <w:rPr>
          <w:rFonts w:hint="eastAsia" w:eastAsia="仿宋"/>
          <w:color w:val="auto"/>
          <w:sz w:val="24"/>
          <w:highlight w:val="none"/>
        </w:rPr>
        <w:t>、</w:t>
      </w:r>
      <w:r>
        <w:rPr>
          <w:rFonts w:eastAsia="仿宋"/>
          <w:color w:val="auto"/>
          <w:sz w:val="24"/>
          <w:highlight w:val="none"/>
        </w:rPr>
        <w:t>所有的产品按照国家有关技术标准在制造厂检查和试验合格</w:t>
      </w:r>
      <w:r>
        <w:rPr>
          <w:rFonts w:hint="eastAsia" w:ascii="仿宋" w:hAnsi="仿宋" w:eastAsia="仿宋" w:cs="仿宋"/>
          <w:b/>
          <w:color w:val="auto"/>
          <w:kern w:val="0"/>
          <w:sz w:val="24"/>
          <w:highlight w:val="none"/>
        </w:rPr>
        <w:t>（须具有产品出厂合格证）</w:t>
      </w:r>
      <w:r>
        <w:rPr>
          <w:rFonts w:eastAsia="仿宋"/>
          <w:color w:val="auto"/>
          <w:sz w:val="24"/>
          <w:highlight w:val="none"/>
        </w:rPr>
        <w:t>，以表明其运行性能、安全性能以及设备材料和结构在电气、机械上的完整性。</w:t>
      </w:r>
    </w:p>
    <w:p>
      <w:pPr>
        <w:spacing w:line="460" w:lineRule="exact"/>
        <w:ind w:firstLine="482" w:firstLineChars="200"/>
        <w:rPr>
          <w:rFonts w:ascii="仿宋" w:hAnsi="仿宋" w:eastAsia="仿宋"/>
          <w:b/>
          <w:color w:val="auto"/>
          <w:sz w:val="24"/>
          <w:highlight w:val="none"/>
        </w:rPr>
      </w:pPr>
      <w:r>
        <w:rPr>
          <w:rFonts w:hint="eastAsia" w:ascii="仿宋" w:hAnsi="仿宋" w:eastAsia="仿宋"/>
          <w:b/>
          <w:color w:val="auto"/>
          <w:sz w:val="24"/>
          <w:highlight w:val="none"/>
        </w:rPr>
        <w:t>（二）验收</w:t>
      </w:r>
    </w:p>
    <w:p>
      <w:pPr>
        <w:spacing w:line="460" w:lineRule="exact"/>
        <w:ind w:firstLine="600" w:firstLineChars="250"/>
        <w:rPr>
          <w:rFonts w:hint="eastAsia" w:ascii="仿宋" w:hAnsi="仿宋" w:eastAsia="仿宋"/>
          <w:color w:val="auto"/>
          <w:sz w:val="24"/>
          <w:highlight w:val="none"/>
        </w:rPr>
      </w:pPr>
      <w:r>
        <w:rPr>
          <w:rFonts w:hint="eastAsia" w:ascii="仿宋" w:hAnsi="仿宋" w:eastAsia="仿宋"/>
          <w:color w:val="auto"/>
          <w:sz w:val="24"/>
          <w:highlight w:val="none"/>
        </w:rPr>
        <w:t>严格按照国家有关规范标准及江西省消防救援总队装备验收的要求组织验收，江西省消防救援总队装备验收的要求详见合同附件。</w:t>
      </w:r>
    </w:p>
    <w:p>
      <w:pPr>
        <w:keepNext w:val="0"/>
        <w:keepLines w:val="0"/>
        <w:adjustRightInd w:val="0"/>
        <w:snapToGrid w:val="0"/>
        <w:spacing w:line="480" w:lineRule="exact"/>
        <w:ind w:firstLine="480" w:firstLineChars="200"/>
        <w:jc w:val="left"/>
        <w:rPr>
          <w:color w:val="auto"/>
          <w:highlight w:val="none"/>
        </w:rPr>
      </w:pPr>
      <w:r>
        <w:rPr>
          <w:rFonts w:hint="eastAsia" w:ascii="仿宋" w:hAnsi="仿宋" w:eastAsia="仿宋"/>
          <w:color w:val="auto"/>
          <w:sz w:val="24"/>
          <w:highlight w:val="none"/>
          <w:lang w:eastAsia="zh-CN"/>
        </w:rPr>
        <w:t>买方有权根据实际开展验收，卖方应认可</w:t>
      </w:r>
      <w:r>
        <w:rPr>
          <w:rFonts w:hint="eastAsia" w:ascii="仿宋" w:hAnsi="仿宋" w:eastAsia="仿宋"/>
          <w:color w:val="auto"/>
          <w:sz w:val="24"/>
          <w:highlight w:val="none"/>
        </w:rPr>
        <w:t>江西省消防救援总队装备验收</w:t>
      </w:r>
      <w:r>
        <w:rPr>
          <w:rFonts w:hint="eastAsia" w:ascii="仿宋" w:hAnsi="仿宋" w:eastAsia="仿宋"/>
          <w:color w:val="auto"/>
          <w:sz w:val="24"/>
          <w:highlight w:val="none"/>
          <w:lang w:eastAsia="zh-CN"/>
        </w:rPr>
        <w:t>的时间、程序和方式。</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六、违约赔偿</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（一）在履行合同过程中，如果卖方遇到不能按期交货和提供服务情况，应及时以书面形式将不能按时交货的理由、可能延误的时间通知买方。</w:t>
      </w:r>
    </w:p>
    <w:p>
      <w:pPr>
        <w:spacing w:line="460" w:lineRule="exact"/>
        <w:ind w:firstLine="480" w:firstLineChars="200"/>
        <w:jc w:val="left"/>
        <w:rPr>
          <w:rFonts w:eastAsia="仿宋"/>
          <w:color w:val="auto"/>
          <w:sz w:val="24"/>
          <w:highlight w:val="none"/>
        </w:rPr>
      </w:pPr>
      <w:r>
        <w:rPr>
          <w:rFonts w:eastAsia="仿宋"/>
          <w:color w:val="auto"/>
          <w:sz w:val="24"/>
          <w:highlight w:val="none"/>
        </w:rPr>
        <w:t>（二）如果卖方毫无理由拖延交货，将受到加收违约损失赔偿的制裁或终止合同。</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（三）除不可抗力外，如果卖方没有按照合同规定的时间交货、提供服务，买方可以从货款中扣除违约赔偿费，每延误1天（不足24小时</w:t>
      </w:r>
      <w:r>
        <w:rPr>
          <w:rFonts w:eastAsia="仿宋"/>
          <w:color w:val="auto"/>
          <w:sz w:val="24"/>
          <w:highlight w:val="none"/>
        </w:rPr>
        <w:t>按1天计算）</w:t>
      </w:r>
      <w:r>
        <w:rPr>
          <w:rFonts w:hint="eastAsia" w:eastAsia="仿宋"/>
          <w:color w:val="auto"/>
          <w:sz w:val="24"/>
          <w:highlight w:val="none"/>
        </w:rPr>
        <w:t>的赔偿费按迟交</w:t>
      </w:r>
      <w:r>
        <w:rPr>
          <w:rFonts w:hint="eastAsia" w:eastAsia="仿宋"/>
          <w:color w:val="auto"/>
          <w:sz w:val="24"/>
          <w:highlight w:val="none"/>
          <w:lang w:eastAsia="zh-CN"/>
        </w:rPr>
        <w:t>产品</w:t>
      </w:r>
      <w:r>
        <w:rPr>
          <w:rFonts w:hint="eastAsia" w:eastAsia="仿宋"/>
          <w:color w:val="auto"/>
          <w:sz w:val="24"/>
          <w:highlight w:val="none"/>
        </w:rPr>
        <w:t>交货价或未提供服务的服务费用的百分之零点五(0.</w:t>
      </w:r>
      <w:r>
        <w:rPr>
          <w:rFonts w:hint="eastAsia" w:eastAsia="仿宋"/>
          <w:color w:val="auto"/>
          <w:sz w:val="24"/>
          <w:highlight w:val="none"/>
          <w:lang w:val="en-US" w:eastAsia="zh-CN"/>
        </w:rPr>
        <w:t>25</w:t>
      </w:r>
      <w:r>
        <w:rPr>
          <w:rFonts w:hint="eastAsia" w:eastAsia="仿宋"/>
          <w:color w:val="auto"/>
          <w:sz w:val="24"/>
          <w:highlight w:val="none"/>
        </w:rPr>
        <w:t>%)计收，直至交货或提供服务为止。误期交货赔偿费的最高限额为合同价的百分之五（5%）。一旦达到误期交货赔偿费最高限额，买方可终止合同</w:t>
      </w:r>
      <w:r>
        <w:rPr>
          <w:rFonts w:hint="eastAsia" w:eastAsia="仿宋"/>
          <w:color w:val="auto"/>
          <w:sz w:val="24"/>
          <w:highlight w:val="none"/>
          <w:lang w:eastAsia="zh-CN"/>
        </w:rPr>
        <w:t>。</w:t>
      </w:r>
      <w:r>
        <w:rPr>
          <w:rFonts w:hint="eastAsia" w:eastAsia="仿宋"/>
          <w:color w:val="auto"/>
          <w:sz w:val="24"/>
          <w:highlight w:val="none"/>
          <w:lang w:val="en-US" w:eastAsia="zh-CN"/>
        </w:rPr>
        <w:t>若终止合同，</w:t>
      </w:r>
      <w:r>
        <w:rPr>
          <w:rFonts w:hint="eastAsia" w:eastAsia="仿宋"/>
          <w:color w:val="auto"/>
          <w:sz w:val="24"/>
          <w:highlight w:val="none"/>
        </w:rPr>
        <w:t>卖方需按合同总价的</w:t>
      </w:r>
      <w:r>
        <w:rPr>
          <w:rFonts w:hint="eastAsia" w:eastAsia="仿宋"/>
          <w:color w:val="auto"/>
          <w:sz w:val="24"/>
          <w:highlight w:val="none"/>
          <w:lang w:val="en-US" w:eastAsia="zh-CN"/>
        </w:rPr>
        <w:t>5</w:t>
      </w:r>
      <w:r>
        <w:rPr>
          <w:rFonts w:hint="eastAsia" w:eastAsia="仿宋"/>
          <w:color w:val="auto"/>
          <w:sz w:val="24"/>
          <w:highlight w:val="none"/>
        </w:rPr>
        <w:t>%计算，向买方支付违约赔偿费，由此给买方造成损失的卖方还应承担全部赔偿责任。</w:t>
      </w:r>
    </w:p>
    <w:p>
      <w:pPr>
        <w:adjustRightInd w:val="0"/>
        <w:snapToGrid w:val="0"/>
        <w:spacing w:line="480" w:lineRule="exact"/>
        <w:ind w:firstLine="480" w:firstLineChars="200"/>
        <w:jc w:val="left"/>
        <w:rPr>
          <w:rFonts w:eastAsia="仿宋"/>
          <w:color w:val="auto"/>
          <w:sz w:val="24"/>
          <w:highlight w:val="none"/>
        </w:rPr>
      </w:pPr>
      <w:r>
        <w:rPr>
          <w:rFonts w:hint="eastAsia" w:eastAsia="仿宋"/>
          <w:color w:val="auto"/>
          <w:sz w:val="24"/>
          <w:highlight w:val="none"/>
        </w:rPr>
        <w:t>（四）验收时，买方判定卖方交付</w:t>
      </w:r>
      <w:r>
        <w:rPr>
          <w:rFonts w:hint="eastAsia" w:eastAsia="仿宋"/>
          <w:color w:val="auto"/>
          <w:sz w:val="24"/>
          <w:highlight w:val="none"/>
          <w:lang w:eastAsia="zh-CN"/>
        </w:rPr>
        <w:t>产品</w:t>
      </w:r>
      <w:r>
        <w:rPr>
          <w:rFonts w:hint="eastAsia" w:eastAsia="仿宋"/>
          <w:color w:val="auto"/>
          <w:sz w:val="24"/>
          <w:highlight w:val="none"/>
        </w:rPr>
        <w:t>的品质、性能、技术标准、质量要求不符合合同约定的，买方将现场判定为验收不通过。卖方应立即对验收中存在的问题进行返厂整改，整改时间不得超过</w:t>
      </w:r>
      <w:r>
        <w:rPr>
          <w:rFonts w:hint="eastAsia" w:eastAsia="仿宋"/>
          <w:color w:val="auto"/>
          <w:sz w:val="24"/>
          <w:highlight w:val="none"/>
          <w:lang w:val="en-US" w:eastAsia="zh-CN"/>
        </w:rPr>
        <w:t>30</w:t>
      </w:r>
      <w:r>
        <w:rPr>
          <w:rFonts w:hint="eastAsia" w:eastAsia="仿宋"/>
          <w:color w:val="auto"/>
          <w:sz w:val="24"/>
          <w:highlight w:val="none"/>
        </w:rPr>
        <w:t>日，整改完成后重新向买方提出验收申请。</w:t>
      </w:r>
      <w:r>
        <w:rPr>
          <w:rFonts w:hint="eastAsia" w:eastAsia="仿宋"/>
          <w:color w:val="auto"/>
          <w:sz w:val="24"/>
          <w:highlight w:val="none"/>
          <w:lang w:val="en-US" w:eastAsia="zh-CN"/>
        </w:rPr>
        <w:t>30</w:t>
      </w:r>
      <w:r>
        <w:rPr>
          <w:rFonts w:hint="eastAsia" w:eastAsia="仿宋"/>
          <w:color w:val="auto"/>
          <w:sz w:val="24"/>
          <w:highlight w:val="none"/>
        </w:rPr>
        <w:t>日内未完成整改的，每超出1天从货款中扣除合同价百分之零点二(0.2%)，最多不超过合同价百分之二（2%）</w:t>
      </w:r>
      <w:r>
        <w:rPr>
          <w:rFonts w:hint="eastAsia" w:eastAsia="仿宋"/>
          <w:color w:val="auto"/>
          <w:sz w:val="24"/>
          <w:highlight w:val="none"/>
          <w:lang w:eastAsia="zh-CN"/>
        </w:rPr>
        <w:t>（</w:t>
      </w:r>
      <w:r>
        <w:rPr>
          <w:rFonts w:hint="eastAsia" w:eastAsia="仿宋"/>
          <w:color w:val="auto"/>
          <w:sz w:val="24"/>
          <w:highlight w:val="none"/>
        </w:rPr>
        <w:t>此金额为逾期整改产生的违约赔偿，不含逾期交货的违约赔偿</w:t>
      </w:r>
      <w:r>
        <w:rPr>
          <w:rFonts w:hint="eastAsia" w:eastAsia="仿宋"/>
          <w:color w:val="auto"/>
          <w:sz w:val="24"/>
          <w:highlight w:val="none"/>
          <w:lang w:eastAsia="zh-CN"/>
        </w:rPr>
        <w:t>）</w:t>
      </w:r>
      <w:r>
        <w:rPr>
          <w:rFonts w:hint="eastAsia" w:eastAsia="仿宋"/>
          <w:color w:val="auto"/>
          <w:sz w:val="24"/>
          <w:highlight w:val="none"/>
        </w:rPr>
        <w:t>。若</w:t>
      </w:r>
      <w:r>
        <w:rPr>
          <w:rFonts w:hint="eastAsia" w:eastAsia="仿宋"/>
          <w:color w:val="auto"/>
          <w:sz w:val="24"/>
          <w:highlight w:val="none"/>
          <w:lang w:val="en-US" w:eastAsia="zh-CN"/>
        </w:rPr>
        <w:t>40</w:t>
      </w:r>
      <w:r>
        <w:rPr>
          <w:rFonts w:hint="eastAsia" w:eastAsia="仿宋"/>
          <w:color w:val="auto"/>
          <w:sz w:val="24"/>
          <w:highlight w:val="none"/>
        </w:rPr>
        <w:t>天</w:t>
      </w:r>
      <w:r>
        <w:rPr>
          <w:rFonts w:hint="eastAsia" w:ascii="仿宋" w:hAnsi="仿宋" w:eastAsia="仿宋" w:cs="仿宋"/>
          <w:color w:val="auto"/>
          <w:sz w:val="24"/>
          <w:highlight w:val="none"/>
          <w:lang w:eastAsia="zh-CN"/>
        </w:rPr>
        <w:t>（含）</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卖方</w:t>
      </w:r>
      <w:r>
        <w:rPr>
          <w:rFonts w:hint="eastAsia" w:ascii="仿宋" w:hAnsi="仿宋" w:eastAsia="仿宋" w:cs="仿宋"/>
          <w:color w:val="auto"/>
          <w:sz w:val="24"/>
          <w:highlight w:val="none"/>
        </w:rPr>
        <w:t>仍未完成整改</w:t>
      </w:r>
      <w:r>
        <w:rPr>
          <w:rFonts w:hint="eastAsia" w:ascii="仿宋" w:hAnsi="仿宋" w:eastAsia="仿宋" w:cs="仿宋"/>
          <w:color w:val="auto"/>
          <w:sz w:val="24"/>
          <w:highlight w:val="none"/>
          <w:lang w:eastAsia="zh-CN"/>
        </w:rPr>
        <w:t>（即超出</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rPr>
        <w:t>天</w:t>
      </w:r>
      <w:r>
        <w:rPr>
          <w:rFonts w:hint="eastAsia" w:ascii="仿宋" w:hAnsi="仿宋" w:eastAsia="仿宋" w:cs="仿宋"/>
          <w:color w:val="auto"/>
          <w:sz w:val="24"/>
          <w:highlight w:val="none"/>
          <w:lang w:val="en-US" w:eastAsia="zh-CN"/>
        </w:rPr>
        <w:t>&lt;含&gt;卖</w:t>
      </w:r>
      <w:r>
        <w:rPr>
          <w:rFonts w:hint="eastAsia" w:ascii="仿宋" w:hAnsi="仿宋" w:eastAsia="仿宋" w:cs="仿宋"/>
          <w:color w:val="auto"/>
          <w:sz w:val="24"/>
          <w:highlight w:val="none"/>
          <w:lang w:eastAsia="zh-CN"/>
        </w:rPr>
        <w:t>方未改正相关问题并向</w:t>
      </w:r>
      <w:r>
        <w:rPr>
          <w:rFonts w:hint="eastAsia" w:ascii="仿宋" w:hAnsi="仿宋" w:eastAsia="仿宋" w:cs="仿宋"/>
          <w:color w:val="auto"/>
          <w:sz w:val="24"/>
          <w:highlight w:val="none"/>
          <w:lang w:val="en-US" w:eastAsia="zh-CN"/>
        </w:rPr>
        <w:t>买</w:t>
      </w:r>
      <w:r>
        <w:rPr>
          <w:rFonts w:hint="eastAsia" w:ascii="仿宋" w:hAnsi="仿宋" w:eastAsia="仿宋" w:cs="仿宋"/>
          <w:color w:val="auto"/>
          <w:sz w:val="24"/>
          <w:highlight w:val="none"/>
          <w:lang w:eastAsia="zh-CN"/>
        </w:rPr>
        <w:t>方提出复验申请，最终的复验意见将判定整改是否合格）</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买方</w:t>
      </w:r>
      <w:r>
        <w:rPr>
          <w:rFonts w:hint="eastAsia" w:ascii="仿宋" w:hAnsi="仿宋" w:eastAsia="仿宋" w:cs="仿宋"/>
          <w:color w:val="auto"/>
          <w:sz w:val="24"/>
          <w:highlight w:val="none"/>
        </w:rPr>
        <w:t>可终止合同</w:t>
      </w:r>
      <w:r>
        <w:rPr>
          <w:rFonts w:hint="eastAsia" w:ascii="仿宋" w:hAnsi="仿宋" w:eastAsia="仿宋" w:cs="仿宋"/>
          <w:color w:val="auto"/>
          <w:sz w:val="24"/>
          <w:highlight w:val="none"/>
          <w:lang w:eastAsia="zh-CN"/>
        </w:rPr>
        <w:t>。若买方因卖方整改超过</w:t>
      </w:r>
      <w:r>
        <w:rPr>
          <w:rFonts w:hint="eastAsia" w:ascii="仿宋" w:hAnsi="仿宋" w:eastAsia="仿宋" w:cs="仿宋"/>
          <w:color w:val="auto"/>
          <w:sz w:val="24"/>
          <w:highlight w:val="none"/>
          <w:lang w:val="en-US" w:eastAsia="zh-CN"/>
        </w:rPr>
        <w:t>40</w:t>
      </w:r>
      <w:r>
        <w:rPr>
          <w:rFonts w:hint="eastAsia" w:ascii="仿宋" w:hAnsi="仿宋" w:eastAsia="仿宋" w:cs="仿宋"/>
          <w:color w:val="auto"/>
          <w:sz w:val="24"/>
          <w:highlight w:val="none"/>
          <w:lang w:eastAsia="zh-CN"/>
        </w:rPr>
        <w:t>天(含)或复验不合格而终止合同，卖方器按合</w:t>
      </w:r>
      <w:r>
        <w:rPr>
          <w:rFonts w:hint="eastAsia" w:ascii="仿宋" w:hAnsi="仿宋" w:eastAsia="仿宋" w:cs="仿宋"/>
          <w:color w:val="auto"/>
          <w:sz w:val="24"/>
          <w:highlight w:val="none"/>
          <w:lang w:val="en-US" w:eastAsia="zh-CN"/>
        </w:rPr>
        <w:t>同</w:t>
      </w:r>
      <w:r>
        <w:rPr>
          <w:rFonts w:hint="eastAsia" w:ascii="仿宋" w:hAnsi="仿宋" w:eastAsia="仿宋" w:cs="仿宋"/>
          <w:color w:val="auto"/>
          <w:sz w:val="24"/>
          <w:highlight w:val="none"/>
          <w:lang w:eastAsia="zh-CN"/>
        </w:rPr>
        <w:t>总价的7%计算，向</w:t>
      </w:r>
      <w:r>
        <w:rPr>
          <w:rFonts w:hint="eastAsia" w:ascii="仿宋" w:hAnsi="仿宋" w:eastAsia="仿宋" w:cs="仿宋"/>
          <w:color w:val="auto"/>
          <w:sz w:val="24"/>
          <w:highlight w:val="none"/>
        </w:rPr>
        <w:t>向买方支付赔偿费，由此给买方造成损失的，</w:t>
      </w:r>
      <w:r>
        <w:rPr>
          <w:rFonts w:hint="eastAsia" w:ascii="仿宋" w:hAnsi="仿宋" w:eastAsia="仿宋" w:cs="仿宋"/>
          <w:color w:val="auto"/>
          <w:sz w:val="24"/>
          <w:highlight w:val="none"/>
          <w:lang w:eastAsia="zh-CN"/>
        </w:rPr>
        <w:t>卖方</w:t>
      </w:r>
      <w:r>
        <w:rPr>
          <w:rFonts w:hint="eastAsia" w:ascii="仿宋" w:hAnsi="仿宋" w:eastAsia="仿宋" w:cs="仿宋"/>
          <w:color w:val="auto"/>
          <w:sz w:val="24"/>
          <w:highlight w:val="none"/>
        </w:rPr>
        <w:t>还应承担全部赔偿责任。</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（五）卖方偿付的违约金不足以弥补买方损失的，还应按买方损失尚未弥补的部分，支付赔偿金给买方。</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（六）买方有权从卖方交付的履约保证金中扣除卖方应偿付的违约金。</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七）对于卖方应承担的违约责任，买方有权直接使用履约保证金进行抵扣或向出具独立保函的金融机构主张索赔。卖方应当自履约保证金抵扣发生之日起二日内向买方补足履约保证金或要求提供保函的金融机构出具补充保函。</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（八）卖方保证本合同项下</w:t>
      </w:r>
      <w:r>
        <w:rPr>
          <w:rFonts w:hint="eastAsia" w:eastAsia="仿宋"/>
          <w:color w:val="auto"/>
          <w:sz w:val="24"/>
          <w:highlight w:val="none"/>
          <w:lang w:eastAsia="zh-CN"/>
        </w:rPr>
        <w:t>产品</w:t>
      </w:r>
      <w:r>
        <w:rPr>
          <w:rFonts w:eastAsia="仿宋"/>
          <w:color w:val="auto"/>
          <w:sz w:val="24"/>
          <w:highlight w:val="none"/>
        </w:rPr>
        <w:t>的权利无瑕疵，包括</w:t>
      </w:r>
      <w:r>
        <w:rPr>
          <w:rFonts w:hint="eastAsia" w:eastAsia="仿宋"/>
          <w:color w:val="auto"/>
          <w:sz w:val="24"/>
          <w:highlight w:val="none"/>
          <w:lang w:eastAsia="zh-CN"/>
        </w:rPr>
        <w:t>产品</w:t>
      </w:r>
      <w:r>
        <w:rPr>
          <w:rFonts w:eastAsia="仿宋"/>
          <w:color w:val="auto"/>
          <w:sz w:val="24"/>
          <w:highlight w:val="none"/>
        </w:rPr>
        <w:t>所有权及知识产权等权利无瑕疵，因此引起的任何纠纷及责任由卖方承担，且不得损害买方利益。如任何第三方经法院（或仲裁机构）裁决有权对上述</w:t>
      </w:r>
      <w:r>
        <w:rPr>
          <w:rFonts w:hint="eastAsia" w:eastAsia="仿宋"/>
          <w:color w:val="auto"/>
          <w:sz w:val="24"/>
          <w:highlight w:val="none"/>
          <w:lang w:eastAsia="zh-CN"/>
        </w:rPr>
        <w:t>产品</w:t>
      </w:r>
      <w:r>
        <w:rPr>
          <w:rFonts w:eastAsia="仿宋"/>
          <w:color w:val="auto"/>
          <w:sz w:val="24"/>
          <w:highlight w:val="none"/>
        </w:rPr>
        <w:t>主张权利或国家机关依法对</w:t>
      </w:r>
      <w:r>
        <w:rPr>
          <w:rFonts w:hint="eastAsia" w:eastAsia="仿宋"/>
          <w:color w:val="auto"/>
          <w:sz w:val="24"/>
          <w:highlight w:val="none"/>
          <w:lang w:eastAsia="zh-CN"/>
        </w:rPr>
        <w:t>产品</w:t>
      </w:r>
      <w:r>
        <w:rPr>
          <w:rFonts w:eastAsia="仿宋"/>
          <w:color w:val="auto"/>
          <w:sz w:val="24"/>
          <w:highlight w:val="none"/>
        </w:rPr>
        <w:t>进行没收查处的，卖方应按合同总价的10%向买方支付的违约金并赔偿因此给买方造成的一切损失。</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（九）在质量保证期内，卖方不按照合同要求提供售后服务，买方可以从履约保证金中扣除相应费用，费用超出履约保证金金额的，买方向卖方进行索赔。</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（十）买方在卖方违约的情况下，如果发生下列情况之一，可终止合同：</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1</w:t>
      </w:r>
      <w:r>
        <w:rPr>
          <w:rFonts w:hint="eastAsia" w:eastAsia="仿宋"/>
          <w:color w:val="auto"/>
          <w:sz w:val="24"/>
          <w:highlight w:val="none"/>
        </w:rPr>
        <w:t>、</w:t>
      </w:r>
      <w:r>
        <w:rPr>
          <w:rFonts w:eastAsia="仿宋"/>
          <w:color w:val="auto"/>
          <w:sz w:val="24"/>
          <w:highlight w:val="none"/>
        </w:rPr>
        <w:t>卖方未能在合同规定的期限内提供合同约定的</w:t>
      </w:r>
      <w:r>
        <w:rPr>
          <w:rFonts w:hint="eastAsia" w:eastAsia="仿宋"/>
          <w:color w:val="auto"/>
          <w:sz w:val="24"/>
          <w:highlight w:val="none"/>
          <w:lang w:eastAsia="zh-CN"/>
        </w:rPr>
        <w:t>产品</w:t>
      </w:r>
      <w:r>
        <w:rPr>
          <w:rFonts w:eastAsia="仿宋"/>
          <w:color w:val="auto"/>
          <w:sz w:val="24"/>
          <w:highlight w:val="none"/>
        </w:rPr>
        <w:t>。</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2</w:t>
      </w:r>
      <w:r>
        <w:rPr>
          <w:rFonts w:hint="eastAsia" w:eastAsia="仿宋"/>
          <w:color w:val="auto"/>
          <w:sz w:val="24"/>
          <w:highlight w:val="none"/>
        </w:rPr>
        <w:t>、</w:t>
      </w:r>
      <w:r>
        <w:rPr>
          <w:rFonts w:eastAsia="仿宋"/>
          <w:color w:val="auto"/>
          <w:sz w:val="24"/>
          <w:highlight w:val="none"/>
        </w:rPr>
        <w:t>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（十一）卖方不按照与买方订立的合同履行义务，情节严重的，取消其二年至五年在江西省消防救援总队一切销售资格，并通告应急管理部。</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二）卖方未经买方书面同意，不得将买方提供的资料或者因本合同所知悉的买方的相关秘密向任何第三方出示、泄露或提供，也不得将上述资料或者秘密用于非本合同的其它领域，否则，由卖方赔偿合同总金额30%的赔偿金，若该行为给买方造成的损失高于上述违约金的以给买方造成的损失为准。</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十三）如果双方中任何一方由于战争、严重火灾、水灾、台风和地震以及其它经双方同意属不可抗力的事故，致使合同履行受阻时，履行合同期限应予延长，延长时限应相当于事故所影响的时间，或双方协商解决。</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七、争议解决方式</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双方在履行合同中所发生的一切争议，应通过协商解决。如协商不成，</w:t>
      </w:r>
      <w:r>
        <w:rPr>
          <w:rFonts w:hint="eastAsia" w:ascii="仿宋" w:hAnsi="仿宋" w:eastAsia="仿宋"/>
          <w:color w:val="auto"/>
          <w:sz w:val="24"/>
          <w:highlight w:val="none"/>
          <w:lang w:eastAsia="zh-CN"/>
        </w:rPr>
        <w:t>应当</w:t>
      </w:r>
      <w:r>
        <w:rPr>
          <w:rFonts w:hint="eastAsia" w:ascii="仿宋" w:hAnsi="仿宋" w:eastAsia="仿宋"/>
          <w:color w:val="auto"/>
          <w:sz w:val="24"/>
          <w:highlight w:val="none"/>
        </w:rPr>
        <w:t>向买方所在地人民法院提起诉讼。</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rPr>
        <w:t>八、合同签订</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本合同一式四份，双方法定代表人或委托代理人签字并盖章，</w:t>
      </w:r>
      <w:r>
        <w:rPr>
          <w:rFonts w:hint="eastAsia" w:ascii="仿宋" w:hAnsi="仿宋" w:eastAsia="仿宋"/>
          <w:color w:val="auto"/>
          <w:sz w:val="24"/>
          <w:highlight w:val="none"/>
          <w:lang w:val="en-US" w:eastAsia="zh-CN"/>
        </w:rPr>
        <w:t>买</w:t>
      </w:r>
      <w:r>
        <w:rPr>
          <w:rFonts w:hint="eastAsia" w:ascii="仿宋" w:hAnsi="仿宋" w:eastAsia="仿宋"/>
          <w:color w:val="auto"/>
          <w:sz w:val="24"/>
          <w:highlight w:val="none"/>
        </w:rPr>
        <w:t>方</w:t>
      </w:r>
      <w:r>
        <w:rPr>
          <w:rFonts w:hint="eastAsia" w:ascii="仿宋" w:hAnsi="仿宋" w:eastAsia="仿宋"/>
          <w:color w:val="auto"/>
          <w:sz w:val="24"/>
          <w:highlight w:val="none"/>
          <w:lang w:val="en-US" w:eastAsia="zh-CN"/>
        </w:rPr>
        <w:t>两</w:t>
      </w:r>
      <w:r>
        <w:rPr>
          <w:rFonts w:hint="eastAsia" w:ascii="仿宋" w:hAnsi="仿宋" w:eastAsia="仿宋"/>
          <w:color w:val="auto"/>
          <w:sz w:val="24"/>
          <w:highlight w:val="none"/>
        </w:rPr>
        <w:t>份、</w:t>
      </w:r>
      <w:r>
        <w:rPr>
          <w:rFonts w:hint="eastAsia" w:ascii="仿宋" w:hAnsi="仿宋" w:eastAsia="仿宋"/>
          <w:color w:val="auto"/>
          <w:sz w:val="24"/>
          <w:highlight w:val="none"/>
          <w:lang w:val="en-US" w:eastAsia="zh-CN"/>
        </w:rPr>
        <w:t>卖方执一份、</w:t>
      </w:r>
      <w:r>
        <w:rPr>
          <w:rFonts w:hint="eastAsia" w:ascii="仿宋" w:hAnsi="仿宋" w:eastAsia="仿宋"/>
          <w:color w:val="auto"/>
          <w:sz w:val="24"/>
          <w:highlight w:val="none"/>
        </w:rPr>
        <w:t>采购代理机构执一份。</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合同履行中，如需修改或补充合同内容，由双方协商另签署书面修改或补充协议并经双方确认后作为主合同不可分割的一部分。</w:t>
      </w:r>
    </w:p>
    <w:p>
      <w:pPr>
        <w:spacing w:line="460" w:lineRule="exact"/>
        <w:rPr>
          <w:rFonts w:ascii="仿宋" w:hAnsi="仿宋" w:eastAsia="仿宋"/>
          <w:b/>
          <w:color w:val="auto"/>
          <w:sz w:val="24"/>
          <w:highlight w:val="none"/>
        </w:rPr>
      </w:pPr>
      <w:r>
        <w:rPr>
          <w:rFonts w:hint="eastAsia" w:ascii="仿宋" w:hAnsi="仿宋" w:eastAsia="仿宋"/>
          <w:b/>
          <w:color w:val="auto"/>
          <w:sz w:val="24"/>
          <w:highlight w:val="none"/>
          <w:lang w:eastAsia="zh-CN"/>
        </w:rPr>
        <w:t>九</w:t>
      </w:r>
      <w:r>
        <w:rPr>
          <w:rFonts w:hint="eastAsia" w:ascii="仿宋" w:hAnsi="仿宋" w:eastAsia="仿宋"/>
          <w:b/>
          <w:color w:val="auto"/>
          <w:sz w:val="24"/>
          <w:highlight w:val="none"/>
        </w:rPr>
        <w:t>、其他</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卖方应保证买方不受第三方提出侵犯其专利权、商标权和设计权的起诉。如果任何第三方提出侵权指控或赔偿要求，卖方必须与第三方交涉，并承担发生和可能发生的一切损失、费用和法律责任。</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在交货前，买方须在应急管理部消防救援局装备物资信息采集系统</w:t>
      </w:r>
      <w:r>
        <w:rPr>
          <w:rFonts w:eastAsia="仿宋"/>
          <w:color w:val="auto"/>
          <w:sz w:val="24"/>
          <w:highlight w:val="none"/>
        </w:rPr>
        <w:t>(http://xfzb.119.gov.cn/html/index.html)</w:t>
      </w:r>
      <w:r>
        <w:rPr>
          <w:rFonts w:hint="eastAsia" w:eastAsia="仿宋"/>
          <w:color w:val="auto"/>
          <w:sz w:val="24"/>
          <w:highlight w:val="none"/>
        </w:rPr>
        <w:t>录入装备基础信息，申请装备唯一编码，并按照应急管理部消防救援局装备物资管理的相关标准要求，赋上二维码及</w:t>
      </w:r>
      <w:r>
        <w:rPr>
          <w:rFonts w:eastAsia="仿宋"/>
          <w:color w:val="auto"/>
          <w:sz w:val="24"/>
          <w:highlight w:val="none"/>
        </w:rPr>
        <w:t>RFID</w:t>
      </w:r>
      <w:r>
        <w:rPr>
          <w:rFonts w:hint="eastAsia" w:eastAsia="仿宋"/>
          <w:color w:val="auto"/>
          <w:sz w:val="24"/>
          <w:highlight w:val="none"/>
        </w:rPr>
        <w:t>标签。</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卖方在交货时须提供所投车辆相对应的工信部公告查询截图</w:t>
      </w:r>
      <w:r>
        <w:rPr>
          <w:rFonts w:hint="eastAsia" w:ascii="仿宋" w:hAnsi="仿宋" w:eastAsia="仿宋" w:cs="仿宋"/>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21包指挥通信车应提供通信指挥消防车的公告</w:t>
      </w:r>
      <w:r>
        <w:rPr>
          <w:rFonts w:hint="eastAsia" w:ascii="仿宋" w:hAnsi="仿宋" w:eastAsia="仿宋" w:cs="仿宋"/>
          <w:color w:val="auto"/>
          <w:sz w:val="24"/>
          <w:szCs w:val="24"/>
          <w:highlight w:val="none"/>
          <w:lang w:val="en-US" w:eastAsia="zh-CN"/>
        </w:rPr>
        <w:t>）</w:t>
      </w:r>
      <w:r>
        <w:rPr>
          <w:rFonts w:hint="eastAsia" w:eastAsia="仿宋"/>
          <w:color w:val="auto"/>
          <w:sz w:val="24"/>
          <w:highlight w:val="none"/>
        </w:rPr>
        <w:t>配合买方完成</w:t>
      </w:r>
      <w:r>
        <w:rPr>
          <w:rFonts w:hint="eastAsia" w:ascii="仿宋" w:hAnsi="仿宋" w:eastAsia="仿宋" w:cs="仿宋"/>
          <w:color w:val="auto"/>
          <w:kern w:val="0"/>
          <w:sz w:val="24"/>
          <w:highlight w:val="none"/>
        </w:rPr>
        <w:t>应急救援专用号牌</w:t>
      </w:r>
      <w:r>
        <w:rPr>
          <w:rFonts w:hint="eastAsia" w:eastAsia="仿宋"/>
          <w:color w:val="auto"/>
          <w:sz w:val="24"/>
          <w:highlight w:val="none"/>
        </w:rPr>
        <w:t>上牌，如卖方未提供或者提供虚假材料的，买方有权终止合同，并没收其履约保证金，由此产生的费用由卖方承担，给买方造成损失的卖方还应承担全部赔偿责任。</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本合同项下的</w:t>
      </w:r>
      <w:r>
        <w:rPr>
          <w:rFonts w:hint="eastAsia" w:eastAsia="仿宋"/>
          <w:color w:val="auto"/>
          <w:sz w:val="24"/>
          <w:highlight w:val="none"/>
          <w:lang w:eastAsia="zh-CN"/>
        </w:rPr>
        <w:t>产品</w:t>
      </w:r>
      <w:r>
        <w:rPr>
          <w:rFonts w:eastAsia="仿宋"/>
          <w:color w:val="auto"/>
          <w:sz w:val="24"/>
          <w:highlight w:val="none"/>
        </w:rPr>
        <w:t>严禁进行转包；未经买方书面同意，卖方不得将</w:t>
      </w:r>
      <w:r>
        <w:rPr>
          <w:rFonts w:hint="eastAsia" w:eastAsia="仿宋"/>
          <w:color w:val="auto"/>
          <w:sz w:val="24"/>
          <w:highlight w:val="none"/>
          <w:lang w:eastAsia="zh-CN"/>
        </w:rPr>
        <w:t>产品</w:t>
      </w:r>
      <w:r>
        <w:rPr>
          <w:rFonts w:eastAsia="仿宋"/>
          <w:color w:val="auto"/>
          <w:sz w:val="24"/>
          <w:highlight w:val="none"/>
        </w:rPr>
        <w:t>进行分包。否则买方有权解除合同，并要求卖方承担该单项货款30%的违约金，同时承担由此给买方造成的一切（包括但不限于管理费、交通费、诉讼费、律师费等）。</w:t>
      </w:r>
    </w:p>
    <w:p>
      <w:pPr>
        <w:adjustRightInd w:val="0"/>
        <w:snapToGrid w:val="0"/>
        <w:spacing w:line="460" w:lineRule="exact"/>
        <w:ind w:firstLine="480" w:firstLineChars="200"/>
        <w:jc w:val="left"/>
        <w:rPr>
          <w:rFonts w:eastAsia="仿宋"/>
          <w:color w:val="auto"/>
          <w:sz w:val="24"/>
          <w:highlight w:val="none"/>
        </w:rPr>
      </w:pPr>
      <w:r>
        <w:rPr>
          <w:rFonts w:eastAsia="仿宋"/>
          <w:color w:val="auto"/>
          <w:sz w:val="24"/>
          <w:highlight w:val="none"/>
        </w:rPr>
        <w:t>本合同条款由江西省消防救援总队负责解释，自签订之日起生效。</w:t>
      </w:r>
    </w:p>
    <w:p>
      <w:pPr>
        <w:adjustRightInd w:val="0"/>
        <w:snapToGrid w:val="0"/>
        <w:spacing w:line="460" w:lineRule="exact"/>
        <w:ind w:firstLine="480" w:firstLineChars="200"/>
        <w:jc w:val="left"/>
        <w:rPr>
          <w:rFonts w:eastAsia="仿宋"/>
          <w:color w:val="auto"/>
          <w:sz w:val="24"/>
          <w:highlight w:val="none"/>
        </w:rPr>
      </w:pPr>
      <w:r>
        <w:rPr>
          <w:rFonts w:hint="eastAsia" w:eastAsia="仿宋"/>
          <w:color w:val="auto"/>
          <w:sz w:val="24"/>
          <w:highlight w:val="none"/>
        </w:rPr>
        <w:t>本合同项下一方对另一方的通知或请求，应按照本合同载明的联系方式(联系地址、联系电话、信函、电子邮件、微信等)进行。本合同项下的任何通知或请求送达时间如下：如果是电子邮件，则在发送当日或退件当日视为送达，如果是信函，则在挂号信或快递发出后7日或退件之日视为送达；如果是派人送达，则在收件人签收之日视为送达；如果是微信</w:t>
      </w:r>
      <w:r>
        <w:rPr>
          <w:rFonts w:hint="eastAsia" w:eastAsia="仿宋"/>
          <w:color w:val="auto"/>
          <w:sz w:val="24"/>
          <w:highlight w:val="none"/>
          <w:lang w:eastAsia="zh-CN"/>
        </w:rPr>
        <w:t>，</w:t>
      </w:r>
      <w:r>
        <w:rPr>
          <w:rFonts w:hint="eastAsia" w:eastAsia="仿宋"/>
          <w:color w:val="auto"/>
          <w:sz w:val="24"/>
          <w:highlight w:val="none"/>
        </w:rPr>
        <w:t>则在发送之日视为送达；如果同时使用几种方式通知的，则以其中较快到达接收方者为准。</w:t>
      </w:r>
    </w:p>
    <w:p>
      <w:pPr>
        <w:spacing w:line="460" w:lineRule="exact"/>
        <w:ind w:firstLine="480" w:firstLineChars="200"/>
        <w:jc w:val="left"/>
        <w:rPr>
          <w:rFonts w:ascii="仿宋" w:hAnsi="仿宋" w:eastAsia="仿宋"/>
          <w:color w:val="auto"/>
          <w:sz w:val="24"/>
          <w:highlight w:val="none"/>
        </w:rPr>
        <w:sectPr>
          <w:footerReference r:id="rId12" w:type="first"/>
          <w:footerReference r:id="rId11" w:type="default"/>
          <w:pgSz w:w="11907" w:h="16840"/>
          <w:pgMar w:top="1111" w:right="1134" w:bottom="936" w:left="1134" w:header="425" w:footer="573" w:gutter="0"/>
          <w:pgNumType w:fmt="decimal"/>
          <w:cols w:space="720" w:num="1"/>
          <w:titlePg/>
          <w:docGrid w:linePitch="462" w:charSpace="0"/>
        </w:sectPr>
      </w:pPr>
    </w:p>
    <w:p>
      <w:pPr>
        <w:spacing w:line="600" w:lineRule="exact"/>
        <w:rPr>
          <w:rFonts w:ascii="仿宋" w:hAnsi="仿宋" w:eastAsia="仿宋" w:cs="宋体"/>
          <w:b/>
          <w:bCs/>
          <w:color w:val="auto"/>
          <w:sz w:val="24"/>
          <w:szCs w:val="24"/>
          <w:highlight w:val="none"/>
        </w:rPr>
      </w:pPr>
      <w:r>
        <w:rPr>
          <w:rFonts w:hint="eastAsia" w:ascii="仿宋" w:hAnsi="仿宋" w:eastAsia="仿宋" w:cs="宋体"/>
          <w:b/>
          <w:bCs/>
          <w:color w:val="auto"/>
          <w:sz w:val="24"/>
          <w:szCs w:val="24"/>
          <w:highlight w:val="none"/>
        </w:rPr>
        <w:t>附件</w:t>
      </w:r>
      <w:r>
        <w:rPr>
          <w:rFonts w:hint="eastAsia" w:ascii="仿宋" w:hAnsi="仿宋" w:eastAsia="仿宋" w:cs="宋体"/>
          <w:b/>
          <w:bCs/>
          <w:color w:val="auto"/>
          <w:sz w:val="24"/>
          <w:szCs w:val="24"/>
          <w:highlight w:val="none"/>
          <w:lang w:val="en-US" w:eastAsia="zh-CN"/>
        </w:rPr>
        <w:t>1</w:t>
      </w:r>
      <w:r>
        <w:rPr>
          <w:rFonts w:hint="eastAsia" w:ascii="仿宋" w:hAnsi="仿宋" w:eastAsia="仿宋" w:cs="宋体"/>
          <w:b/>
          <w:bCs/>
          <w:color w:val="auto"/>
          <w:sz w:val="24"/>
          <w:szCs w:val="24"/>
          <w:highlight w:val="none"/>
        </w:rPr>
        <w:t>：</w:t>
      </w:r>
    </w:p>
    <w:p>
      <w:pPr>
        <w:spacing w:line="600" w:lineRule="exact"/>
        <w:jc w:val="center"/>
        <w:rPr>
          <w:rFonts w:ascii="仿宋" w:hAnsi="仿宋" w:eastAsia="仿宋" w:cs="宋体"/>
          <w:b/>
          <w:bCs/>
          <w:color w:val="auto"/>
          <w:sz w:val="44"/>
          <w:szCs w:val="44"/>
          <w:highlight w:val="none"/>
        </w:rPr>
      </w:pPr>
      <w:r>
        <w:rPr>
          <w:rFonts w:hint="eastAsia" w:ascii="仿宋" w:hAnsi="仿宋" w:eastAsia="仿宋" w:cs="宋体"/>
          <w:b/>
          <w:bCs/>
          <w:color w:val="auto"/>
          <w:sz w:val="44"/>
          <w:szCs w:val="44"/>
          <w:highlight w:val="none"/>
        </w:rPr>
        <w:t>江西省消防救援总队装备验收有关要求</w:t>
      </w:r>
    </w:p>
    <w:p>
      <w:pPr>
        <w:pStyle w:val="14"/>
        <w:rPr>
          <w:rFonts w:ascii="宋体" w:hAnsi="宋体" w:cs="宋体"/>
          <w:color w:val="auto"/>
          <w:sz w:val="28"/>
          <w:szCs w:val="28"/>
          <w:highlight w:val="none"/>
        </w:rPr>
      </w:pPr>
    </w:p>
    <w:p>
      <w:pPr>
        <w:spacing w:line="460" w:lineRule="exact"/>
        <w:ind w:firstLine="482" w:firstLineChars="200"/>
        <w:rPr>
          <w:rFonts w:ascii="仿宋" w:hAnsi="仿宋" w:eastAsia="仿宋"/>
          <w:b/>
          <w:bCs/>
          <w:color w:val="auto"/>
          <w:sz w:val="24"/>
          <w:highlight w:val="none"/>
        </w:rPr>
      </w:pPr>
      <w:bookmarkStart w:id="169" w:name="_Toc12405"/>
      <w:bookmarkStart w:id="170" w:name="_Toc9307"/>
      <w:bookmarkStart w:id="171" w:name="_Toc8445"/>
      <w:bookmarkStart w:id="172" w:name="_Toc5616"/>
      <w:bookmarkStart w:id="173" w:name="_Toc27384"/>
      <w:bookmarkStart w:id="174" w:name="_Toc18713"/>
      <w:bookmarkStart w:id="175" w:name="_Toc8606"/>
      <w:r>
        <w:rPr>
          <w:rFonts w:hint="eastAsia" w:ascii="仿宋" w:hAnsi="仿宋" w:eastAsia="仿宋"/>
          <w:b/>
          <w:bCs/>
          <w:color w:val="auto"/>
          <w:sz w:val="24"/>
          <w:highlight w:val="none"/>
        </w:rPr>
        <w:t>一、验收有关事项</w:t>
      </w:r>
      <w:bookmarkEnd w:id="169"/>
      <w:bookmarkEnd w:id="170"/>
      <w:bookmarkEnd w:id="171"/>
      <w:bookmarkEnd w:id="172"/>
      <w:bookmarkEnd w:id="173"/>
      <w:bookmarkEnd w:id="174"/>
      <w:bookmarkEnd w:id="175"/>
    </w:p>
    <w:p>
      <w:pPr>
        <w:spacing w:line="460" w:lineRule="exact"/>
        <w:ind w:firstLine="480" w:firstLineChars="200"/>
        <w:rPr>
          <w:rFonts w:ascii="仿宋" w:hAnsi="仿宋" w:eastAsia="仿宋"/>
          <w:bCs/>
          <w:color w:val="auto"/>
          <w:sz w:val="24"/>
          <w:highlight w:val="none"/>
        </w:rPr>
      </w:pPr>
      <w:bookmarkStart w:id="176" w:name="_Toc15372"/>
      <w:bookmarkStart w:id="177" w:name="_Toc466"/>
      <w:bookmarkStart w:id="178" w:name="_Toc29130"/>
      <w:bookmarkStart w:id="179" w:name="_Toc2857"/>
      <w:bookmarkStart w:id="180" w:name="_Toc6820"/>
      <w:bookmarkStart w:id="181" w:name="_Toc16677"/>
      <w:bookmarkStart w:id="182" w:name="_Toc29878"/>
      <w:r>
        <w:rPr>
          <w:rFonts w:hint="eastAsia" w:ascii="仿宋" w:hAnsi="仿宋" w:eastAsia="仿宋"/>
          <w:bCs/>
          <w:color w:val="auto"/>
          <w:sz w:val="24"/>
          <w:highlight w:val="none"/>
        </w:rPr>
        <w:t>（一）验收主体</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该项目由总队集中组织验收。</w:t>
      </w:r>
      <w:bookmarkEnd w:id="176"/>
      <w:bookmarkEnd w:id="177"/>
      <w:bookmarkEnd w:id="178"/>
    </w:p>
    <w:bookmarkEnd w:id="179"/>
    <w:bookmarkEnd w:id="180"/>
    <w:bookmarkEnd w:id="181"/>
    <w:bookmarkEnd w:id="182"/>
    <w:p>
      <w:pPr>
        <w:spacing w:line="460" w:lineRule="exact"/>
        <w:ind w:firstLine="480" w:firstLineChars="200"/>
        <w:rPr>
          <w:rFonts w:ascii="仿宋" w:hAnsi="仿宋" w:eastAsia="仿宋"/>
          <w:bCs/>
          <w:color w:val="auto"/>
          <w:sz w:val="24"/>
          <w:highlight w:val="none"/>
        </w:rPr>
      </w:pPr>
      <w:bookmarkStart w:id="183" w:name="_Toc29915"/>
      <w:bookmarkStart w:id="184" w:name="_Toc27657"/>
      <w:bookmarkStart w:id="185" w:name="_Toc21299"/>
      <w:bookmarkStart w:id="186" w:name="_Toc17519"/>
      <w:bookmarkStart w:id="187" w:name="_Toc17499"/>
      <w:bookmarkStart w:id="188" w:name="_Toc10849"/>
      <w:r>
        <w:rPr>
          <w:rFonts w:hint="eastAsia" w:ascii="仿宋" w:hAnsi="仿宋" w:eastAsia="仿宋"/>
          <w:bCs/>
          <w:color w:val="auto"/>
          <w:sz w:val="24"/>
          <w:highlight w:val="none"/>
        </w:rPr>
        <w:t>（二）验收程序</w:t>
      </w:r>
      <w:bookmarkEnd w:id="183"/>
      <w:bookmarkEnd w:id="184"/>
      <w:bookmarkEnd w:id="185"/>
      <w:bookmarkEnd w:id="186"/>
      <w:bookmarkEnd w:id="187"/>
      <w:bookmarkEnd w:id="188"/>
    </w:p>
    <w:p>
      <w:pPr>
        <w:spacing w:line="460" w:lineRule="exact"/>
        <w:ind w:firstLine="480" w:firstLineChars="200"/>
        <w:rPr>
          <w:rFonts w:ascii="仿宋" w:hAnsi="仿宋" w:eastAsia="仿宋"/>
          <w:color w:val="auto"/>
          <w:sz w:val="24"/>
          <w:highlight w:val="none"/>
        </w:rPr>
      </w:pPr>
      <w:bookmarkStart w:id="189" w:name="_Toc902"/>
      <w:bookmarkStart w:id="190" w:name="_Toc26639"/>
      <w:bookmarkStart w:id="191" w:name="_Toc26571"/>
      <w:bookmarkStart w:id="192" w:name="_Toc19381"/>
      <w:bookmarkStart w:id="193" w:name="_Toc28320"/>
      <w:bookmarkStart w:id="194" w:name="_Toc10689"/>
      <w:bookmarkStart w:id="195" w:name="_Toc1630"/>
      <w:r>
        <w:rPr>
          <w:rFonts w:ascii="仿宋" w:hAnsi="仿宋" w:eastAsia="仿宋"/>
          <w:color w:val="auto"/>
          <w:sz w:val="24"/>
          <w:highlight w:val="none"/>
        </w:rPr>
        <w:t>装备验收按照提交申请、验收准备、现场实施、形成结论、出具意见、提交审计和拨发培训等程序进行。</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提交申请</w:t>
      </w:r>
      <w:r>
        <w:rPr>
          <w:rFonts w:hint="eastAsia" w:ascii="仿宋" w:hAnsi="仿宋" w:eastAsia="仿宋"/>
          <w:color w:val="auto"/>
          <w:sz w:val="24"/>
          <w:highlight w:val="none"/>
        </w:rPr>
        <w:t>。</w:t>
      </w:r>
      <w:r>
        <w:rPr>
          <w:rFonts w:ascii="仿宋" w:hAnsi="仿宋" w:eastAsia="仿宋"/>
          <w:color w:val="auto"/>
          <w:sz w:val="24"/>
          <w:highlight w:val="none"/>
        </w:rPr>
        <w:t>合同要求交付时间前7日，供应商填写《消防车辆（器材）验收申请表》</w:t>
      </w:r>
      <w:r>
        <w:rPr>
          <w:rFonts w:hint="eastAsia" w:ascii="仿宋" w:hAnsi="仿宋" w:eastAsia="仿宋"/>
          <w:color w:val="auto"/>
          <w:sz w:val="24"/>
          <w:highlight w:val="none"/>
        </w:rPr>
        <w:t>并向</w:t>
      </w:r>
      <w:r>
        <w:rPr>
          <w:rFonts w:ascii="仿宋" w:hAnsi="仿宋" w:eastAsia="仿宋"/>
          <w:color w:val="auto"/>
          <w:sz w:val="24"/>
          <w:highlight w:val="none"/>
        </w:rPr>
        <w:t>总队采购办</w:t>
      </w:r>
      <w:r>
        <w:rPr>
          <w:rFonts w:hint="eastAsia" w:ascii="仿宋" w:hAnsi="仿宋" w:eastAsia="仿宋"/>
          <w:color w:val="auto"/>
          <w:sz w:val="24"/>
          <w:highlight w:val="none"/>
        </w:rPr>
        <w:t>提交</w:t>
      </w:r>
      <w:r>
        <w:rPr>
          <w:rFonts w:ascii="仿宋" w:hAnsi="仿宋" w:eastAsia="仿宋"/>
          <w:color w:val="auto"/>
          <w:sz w:val="24"/>
          <w:highlight w:val="none"/>
        </w:rPr>
        <w:t>。</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验收准备</w:t>
      </w:r>
      <w:r>
        <w:rPr>
          <w:rFonts w:hint="eastAsia" w:ascii="仿宋" w:hAnsi="仿宋" w:eastAsia="仿宋"/>
          <w:color w:val="auto"/>
          <w:sz w:val="24"/>
          <w:highlight w:val="none"/>
        </w:rPr>
        <w:t>。装备验收组</w:t>
      </w:r>
      <w:r>
        <w:rPr>
          <w:rFonts w:ascii="仿宋" w:hAnsi="仿宋" w:eastAsia="仿宋"/>
          <w:color w:val="auto"/>
          <w:sz w:val="24"/>
          <w:highlight w:val="none"/>
        </w:rPr>
        <w:t>人员确定后，由装备</w:t>
      </w:r>
      <w:r>
        <w:rPr>
          <w:rFonts w:hint="eastAsia" w:ascii="仿宋" w:hAnsi="仿宋" w:eastAsia="仿宋"/>
          <w:color w:val="auto"/>
          <w:sz w:val="24"/>
          <w:highlight w:val="none"/>
        </w:rPr>
        <w:t>验收组</w:t>
      </w:r>
      <w:r>
        <w:rPr>
          <w:rFonts w:ascii="仿宋" w:hAnsi="仿宋" w:eastAsia="仿宋"/>
          <w:color w:val="auto"/>
          <w:sz w:val="24"/>
          <w:highlight w:val="none"/>
        </w:rPr>
        <w:t>长根据验收任务牵头制定验收方案按程序报批，明确验收时间、地点、任务等具体事项。确定验收时间</w:t>
      </w:r>
      <w:r>
        <w:rPr>
          <w:rFonts w:hint="eastAsia" w:ascii="仿宋" w:hAnsi="仿宋" w:eastAsia="仿宋"/>
          <w:color w:val="auto"/>
          <w:sz w:val="24"/>
          <w:highlight w:val="none"/>
        </w:rPr>
        <w:t>、地点</w:t>
      </w:r>
      <w:r>
        <w:rPr>
          <w:rFonts w:ascii="仿宋" w:hAnsi="仿宋" w:eastAsia="仿宋"/>
          <w:color w:val="auto"/>
          <w:sz w:val="24"/>
          <w:highlight w:val="none"/>
        </w:rPr>
        <w:t>后</w:t>
      </w:r>
      <w:r>
        <w:rPr>
          <w:rFonts w:hint="eastAsia" w:ascii="仿宋" w:hAnsi="仿宋" w:eastAsia="仿宋"/>
          <w:color w:val="auto"/>
          <w:sz w:val="24"/>
          <w:highlight w:val="none"/>
        </w:rPr>
        <w:t>，</w:t>
      </w:r>
      <w:r>
        <w:rPr>
          <w:rFonts w:ascii="仿宋" w:hAnsi="仿宋" w:eastAsia="仿宋"/>
          <w:color w:val="auto"/>
          <w:sz w:val="24"/>
          <w:highlight w:val="none"/>
        </w:rPr>
        <w:t>采购办通知供应商，项目负责人和技术人员携带相关技术</w:t>
      </w:r>
      <w:r>
        <w:rPr>
          <w:rFonts w:hint="eastAsia" w:ascii="仿宋" w:hAnsi="仿宋" w:eastAsia="仿宋"/>
          <w:color w:val="auto"/>
          <w:sz w:val="24"/>
          <w:highlight w:val="none"/>
        </w:rPr>
        <w:t>档案</w:t>
      </w:r>
      <w:r>
        <w:rPr>
          <w:rFonts w:ascii="仿宋" w:hAnsi="仿宋" w:eastAsia="仿宋"/>
          <w:color w:val="auto"/>
          <w:sz w:val="24"/>
          <w:highlight w:val="none"/>
        </w:rPr>
        <w:t>、证明材料原件等资料按时到场配合验收工作</w:t>
      </w:r>
      <w:r>
        <w:rPr>
          <w:rFonts w:hint="eastAsia" w:ascii="仿宋" w:hAnsi="仿宋" w:eastAsia="仿宋"/>
          <w:color w:val="auto"/>
          <w:sz w:val="24"/>
          <w:highlight w:val="none"/>
        </w:rPr>
        <w:t>。</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现场实施</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按照标准要求组织开展验收。</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4.</w:t>
      </w:r>
      <w:r>
        <w:rPr>
          <w:rFonts w:ascii="仿宋" w:hAnsi="仿宋" w:eastAsia="仿宋"/>
          <w:color w:val="auto"/>
          <w:sz w:val="24"/>
          <w:highlight w:val="none"/>
        </w:rPr>
        <w:t>形成结论</w:t>
      </w:r>
      <w:r>
        <w:rPr>
          <w:rFonts w:hint="eastAsia" w:ascii="仿宋" w:hAnsi="仿宋" w:eastAsia="仿宋"/>
          <w:color w:val="auto"/>
          <w:sz w:val="24"/>
          <w:highlight w:val="none"/>
        </w:rPr>
        <w:t>。</w:t>
      </w:r>
      <w:r>
        <w:rPr>
          <w:rFonts w:ascii="仿宋" w:hAnsi="仿宋" w:eastAsia="仿宋"/>
          <w:color w:val="auto"/>
          <w:sz w:val="24"/>
          <w:highlight w:val="none"/>
        </w:rPr>
        <w:t>验收结束后，由总队</w:t>
      </w:r>
      <w:r>
        <w:rPr>
          <w:rFonts w:hint="eastAsia" w:ascii="仿宋" w:hAnsi="仿宋" w:eastAsia="仿宋"/>
          <w:color w:val="auto"/>
          <w:sz w:val="24"/>
          <w:highlight w:val="none"/>
        </w:rPr>
        <w:t>装备验收组</w:t>
      </w:r>
      <w:r>
        <w:rPr>
          <w:rFonts w:ascii="仿宋" w:hAnsi="仿宋" w:eastAsia="仿宋"/>
          <w:color w:val="auto"/>
          <w:sz w:val="24"/>
          <w:highlight w:val="none"/>
        </w:rPr>
        <w:t>统一汇总支</w:t>
      </w:r>
      <w:r>
        <w:rPr>
          <w:rFonts w:hint="eastAsia" w:ascii="仿宋" w:hAnsi="仿宋" w:eastAsia="仿宋"/>
          <w:color w:val="auto"/>
          <w:sz w:val="24"/>
          <w:highlight w:val="none"/>
        </w:rPr>
        <w:t>、</w:t>
      </w:r>
      <w:r>
        <w:rPr>
          <w:rFonts w:ascii="仿宋" w:hAnsi="仿宋" w:eastAsia="仿宋"/>
          <w:color w:val="auto"/>
          <w:sz w:val="24"/>
          <w:highlight w:val="none"/>
        </w:rPr>
        <w:t>总队验收情况，形成验收结论报告，</w:t>
      </w:r>
      <w:r>
        <w:rPr>
          <w:rFonts w:hint="eastAsia" w:ascii="仿宋" w:hAnsi="仿宋" w:eastAsia="仿宋"/>
          <w:color w:val="auto"/>
          <w:sz w:val="24"/>
          <w:highlight w:val="none"/>
        </w:rPr>
        <w:t>按程序</w:t>
      </w:r>
      <w:r>
        <w:rPr>
          <w:rFonts w:ascii="仿宋" w:hAnsi="仿宋" w:eastAsia="仿宋"/>
          <w:color w:val="auto"/>
          <w:sz w:val="24"/>
          <w:highlight w:val="none"/>
        </w:rPr>
        <w:t>提交总队</w:t>
      </w:r>
      <w:r>
        <w:rPr>
          <w:rFonts w:hint="eastAsia" w:ascii="仿宋" w:hAnsi="仿宋" w:eastAsia="仿宋"/>
          <w:color w:val="auto"/>
          <w:sz w:val="24"/>
          <w:highlight w:val="none"/>
        </w:rPr>
        <w:t>采购领导小组</w:t>
      </w:r>
      <w:r>
        <w:rPr>
          <w:rFonts w:ascii="仿宋" w:hAnsi="仿宋" w:eastAsia="仿宋"/>
          <w:color w:val="auto"/>
          <w:sz w:val="24"/>
          <w:highlight w:val="none"/>
        </w:rPr>
        <w:t>审批。</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5.</w:t>
      </w:r>
      <w:r>
        <w:rPr>
          <w:rFonts w:ascii="仿宋" w:hAnsi="仿宋" w:eastAsia="仿宋"/>
          <w:color w:val="auto"/>
          <w:sz w:val="24"/>
          <w:highlight w:val="none"/>
        </w:rPr>
        <w:t>出具意见</w:t>
      </w:r>
      <w:r>
        <w:rPr>
          <w:rFonts w:hint="eastAsia" w:ascii="仿宋" w:hAnsi="仿宋" w:eastAsia="仿宋"/>
          <w:color w:val="auto"/>
          <w:sz w:val="24"/>
          <w:highlight w:val="none"/>
        </w:rPr>
        <w:t>。</w:t>
      </w:r>
      <w:r>
        <w:rPr>
          <w:rFonts w:ascii="仿宋" w:hAnsi="仿宋" w:eastAsia="仿宋"/>
          <w:color w:val="auto"/>
          <w:sz w:val="24"/>
          <w:highlight w:val="none"/>
        </w:rPr>
        <w:t>总</w:t>
      </w:r>
      <w:r>
        <w:rPr>
          <w:rFonts w:hint="eastAsia" w:ascii="仿宋" w:hAnsi="仿宋" w:eastAsia="仿宋"/>
          <w:color w:val="auto"/>
          <w:sz w:val="24"/>
          <w:highlight w:val="none"/>
        </w:rPr>
        <w:t>（</w:t>
      </w:r>
      <w:r>
        <w:rPr>
          <w:rFonts w:ascii="仿宋" w:hAnsi="仿宋" w:eastAsia="仿宋"/>
          <w:color w:val="auto"/>
          <w:sz w:val="24"/>
          <w:highlight w:val="none"/>
        </w:rPr>
        <w:t>支</w:t>
      </w:r>
      <w:r>
        <w:rPr>
          <w:rFonts w:hint="eastAsia" w:ascii="仿宋" w:hAnsi="仿宋" w:eastAsia="仿宋"/>
          <w:color w:val="auto"/>
          <w:sz w:val="24"/>
          <w:highlight w:val="none"/>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根据总队审批结果，下达意见书。一致性验收的，由总队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出具《消防车辆（器材）一致性验收意见书》《消防车辆（器材）一致性验收整改意见书》；质量性能验收的，由</w:t>
      </w:r>
      <w:r>
        <w:rPr>
          <w:rFonts w:hint="eastAsia" w:ascii="仿宋" w:hAnsi="仿宋" w:eastAsia="仿宋"/>
          <w:color w:val="auto"/>
          <w:sz w:val="24"/>
          <w:highlight w:val="none"/>
          <w:lang w:val="en-US" w:eastAsia="zh-CN"/>
        </w:rPr>
        <w:t>总（</w:t>
      </w:r>
      <w:r>
        <w:rPr>
          <w:rFonts w:ascii="仿宋" w:hAnsi="仿宋" w:eastAsia="仿宋"/>
          <w:color w:val="auto"/>
          <w:sz w:val="24"/>
          <w:highlight w:val="none"/>
        </w:rPr>
        <w:t>支</w:t>
      </w:r>
      <w:r>
        <w:rPr>
          <w:rFonts w:hint="eastAsia" w:ascii="仿宋" w:hAnsi="仿宋" w:eastAsia="仿宋"/>
          <w:color w:val="auto"/>
          <w:sz w:val="24"/>
          <w:highlight w:val="none"/>
          <w:lang w:eastAsia="zh-CN"/>
        </w:rPr>
        <w:t>）</w:t>
      </w:r>
      <w:r>
        <w:rPr>
          <w:rFonts w:ascii="仿宋" w:hAnsi="仿宋" w:eastAsia="仿宋"/>
          <w:color w:val="auto"/>
          <w:sz w:val="24"/>
          <w:highlight w:val="none"/>
        </w:rPr>
        <w:t>队</w:t>
      </w:r>
      <w:r>
        <w:rPr>
          <w:rFonts w:hint="eastAsia" w:ascii="仿宋" w:hAnsi="仿宋" w:eastAsia="仿宋"/>
          <w:color w:val="auto"/>
          <w:sz w:val="24"/>
          <w:highlight w:val="none"/>
        </w:rPr>
        <w:t>装备验收组</w:t>
      </w:r>
      <w:r>
        <w:rPr>
          <w:rFonts w:ascii="仿宋" w:hAnsi="仿宋" w:eastAsia="仿宋"/>
          <w:color w:val="auto"/>
          <w:sz w:val="24"/>
          <w:highlight w:val="none"/>
        </w:rPr>
        <w:t>出具《消防车辆（器材）质量性能验收意见书》《消防车辆（器材）质量性能验收整改意见书》。</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6.</w:t>
      </w:r>
      <w:r>
        <w:rPr>
          <w:rFonts w:ascii="仿宋" w:hAnsi="仿宋" w:eastAsia="仿宋"/>
          <w:color w:val="auto"/>
          <w:sz w:val="24"/>
          <w:highlight w:val="none"/>
        </w:rPr>
        <w:t>提交审计</w:t>
      </w:r>
      <w:r>
        <w:rPr>
          <w:rFonts w:hint="eastAsia" w:ascii="仿宋" w:hAnsi="仿宋" w:eastAsia="仿宋"/>
          <w:color w:val="auto"/>
          <w:sz w:val="24"/>
          <w:highlight w:val="none"/>
        </w:rPr>
        <w:t>。</w:t>
      </w:r>
      <w:r>
        <w:rPr>
          <w:rFonts w:ascii="仿宋" w:hAnsi="仿宋" w:eastAsia="仿宋"/>
          <w:color w:val="auto"/>
          <w:sz w:val="24"/>
          <w:highlight w:val="none"/>
        </w:rPr>
        <w:t>总队</w:t>
      </w:r>
      <w:r>
        <w:rPr>
          <w:rFonts w:hint="eastAsia" w:ascii="仿宋" w:hAnsi="仿宋" w:eastAsia="仿宋"/>
          <w:color w:val="auto"/>
          <w:sz w:val="24"/>
          <w:highlight w:val="none"/>
        </w:rPr>
        <w:t>装备验收组</w:t>
      </w:r>
      <w:r>
        <w:rPr>
          <w:rFonts w:ascii="仿宋" w:hAnsi="仿宋" w:eastAsia="仿宋"/>
          <w:color w:val="auto"/>
          <w:sz w:val="24"/>
          <w:highlight w:val="none"/>
        </w:rPr>
        <w:t>将验收档案资料提交总队审计室开展结算审计。总队</w:t>
      </w:r>
      <w:r>
        <w:rPr>
          <w:rFonts w:hint="eastAsia" w:ascii="仿宋" w:hAnsi="仿宋" w:eastAsia="仿宋"/>
          <w:color w:val="auto"/>
          <w:sz w:val="24"/>
          <w:highlight w:val="none"/>
        </w:rPr>
        <w:t>装备验收组</w:t>
      </w:r>
      <w:r>
        <w:rPr>
          <w:rFonts w:ascii="仿宋" w:hAnsi="仿宋" w:eastAsia="仿宋"/>
          <w:color w:val="auto"/>
          <w:sz w:val="24"/>
          <w:highlight w:val="none"/>
        </w:rPr>
        <w:t>根据项目结算审计报告下发调拨单。</w:t>
      </w:r>
    </w:p>
    <w:p>
      <w:pPr>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7.</w:t>
      </w:r>
      <w:r>
        <w:rPr>
          <w:rFonts w:ascii="仿宋" w:hAnsi="仿宋" w:eastAsia="仿宋"/>
          <w:color w:val="auto"/>
          <w:sz w:val="24"/>
          <w:highlight w:val="none"/>
        </w:rPr>
        <w:t>拨发培训</w:t>
      </w:r>
      <w:r>
        <w:rPr>
          <w:rFonts w:hint="eastAsia" w:ascii="仿宋" w:hAnsi="仿宋" w:eastAsia="仿宋"/>
          <w:color w:val="auto"/>
          <w:sz w:val="24"/>
          <w:highlight w:val="none"/>
        </w:rPr>
        <w:t>。</w:t>
      </w:r>
      <w:r>
        <w:rPr>
          <w:rFonts w:ascii="仿宋" w:hAnsi="仿宋" w:eastAsia="仿宋"/>
          <w:color w:val="auto"/>
          <w:sz w:val="24"/>
          <w:highlight w:val="none"/>
        </w:rPr>
        <w:t>装备拨发至基层队站后，供应商应在3天内组织开展操作和维护保养培训。其中，普通消防车辆操作和维护保养培训时间不少于1天，新型车辆、特种车辆操作和维护保养培训时间不少于2天；普通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时间不少于半天，新型器材、操作复杂的器材操作和维护保养</w:t>
      </w:r>
      <w:r>
        <w:rPr>
          <w:rFonts w:hint="eastAsia" w:ascii="仿宋" w:hAnsi="仿宋" w:eastAsia="仿宋"/>
          <w:color w:val="auto"/>
          <w:sz w:val="24"/>
          <w:highlight w:val="none"/>
        </w:rPr>
        <w:t>培训</w:t>
      </w:r>
      <w:r>
        <w:rPr>
          <w:rFonts w:ascii="仿宋" w:hAnsi="仿宋" w:eastAsia="仿宋"/>
          <w:color w:val="auto"/>
          <w:sz w:val="24"/>
          <w:highlight w:val="none"/>
        </w:rPr>
        <w:t>时间不少于1天。</w:t>
      </w:r>
    </w:p>
    <w:p>
      <w:pPr>
        <w:spacing w:line="460" w:lineRule="exact"/>
        <w:ind w:firstLine="482" w:firstLineChars="200"/>
        <w:rPr>
          <w:rFonts w:ascii="仿宋" w:hAnsi="仿宋" w:eastAsia="仿宋"/>
          <w:b/>
          <w:bCs/>
          <w:color w:val="auto"/>
          <w:sz w:val="24"/>
          <w:highlight w:val="none"/>
        </w:rPr>
      </w:pPr>
      <w:r>
        <w:rPr>
          <w:rFonts w:hint="eastAsia" w:ascii="仿宋" w:hAnsi="仿宋" w:eastAsia="仿宋"/>
          <w:b/>
          <w:bCs/>
          <w:color w:val="auto"/>
          <w:sz w:val="24"/>
          <w:highlight w:val="none"/>
        </w:rPr>
        <w:t>二、验收内容</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（一）消防</w:t>
      </w:r>
      <w:r>
        <w:rPr>
          <w:rFonts w:ascii="仿宋" w:hAnsi="仿宋" w:eastAsia="仿宋"/>
          <w:color w:val="auto"/>
          <w:sz w:val="24"/>
          <w:highlight w:val="none"/>
        </w:rPr>
        <w:t>车辆验收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消防车辆的一致性验收和质量性能验收采取逐辆验收的方法进行</w:t>
      </w:r>
      <w:r>
        <w:rPr>
          <w:rFonts w:hint="eastAsia" w:ascii="仿宋" w:hAnsi="仿宋" w:eastAsia="仿宋"/>
          <w:color w:val="auto"/>
          <w:sz w:val="24"/>
          <w:highlight w:val="none"/>
        </w:rPr>
        <w:t>，</w:t>
      </w:r>
      <w:r>
        <w:rPr>
          <w:rFonts w:ascii="仿宋" w:hAnsi="仿宋" w:eastAsia="仿宋"/>
          <w:color w:val="auto"/>
          <w:sz w:val="24"/>
          <w:highlight w:val="none"/>
        </w:rPr>
        <w:t>批量采购的</w:t>
      </w:r>
      <w:r>
        <w:rPr>
          <w:rFonts w:hint="eastAsia" w:ascii="仿宋" w:hAnsi="仿宋" w:eastAsia="仿宋"/>
          <w:color w:val="auto"/>
          <w:sz w:val="24"/>
          <w:highlight w:val="none"/>
        </w:rPr>
        <w:t>消防车辆</w:t>
      </w:r>
      <w:r>
        <w:rPr>
          <w:rFonts w:ascii="仿宋" w:hAnsi="仿宋" w:eastAsia="仿宋"/>
          <w:color w:val="auto"/>
          <w:sz w:val="24"/>
          <w:highlight w:val="none"/>
        </w:rPr>
        <w:t>可视情进行生产过程检查。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1.车辆一致性验收主要内容：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审查资料的齐全性、真实性、有效性、合法性等，经审查资料不合格的，不予进入外观检查、部件检查和性能测试等验收环节。主要包含工信部公告、出厂检验报告、整车合格证、底盘驾驶员操作手册、上装操作手册、底盘维修手册、保养保修手册、零件目录图册、上装维修手册、保养保修手册及云梯、水泵结构图、水管路、液压、电路配线系统图、附属外购设备和随车器材的使用说明书、维修保养手册、购车发票（一式四联、按国家规定要求的增值税发票），罐类消防车需提供总队水力性能测试站出具的水力性能检测报告。</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①油漆的颜色及光亮度；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②外表的平整度；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③车门及卷帘门的密封；</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④车上各主要部件铭牌标牌、警示标志和重要设备操作流程图。</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（3）部件检查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①底盘、泵、炮、取力器、臂架、压缩空气泡沫系统、起吊设备、牵引设备等主要部件的规格型号；</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 xml:space="preserve">②固定升降照明灯、固定排烟设备、警灯、警报、车灯、空调、照明、发电机、消防梯等附属设备的规格型号； </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③随车器材的数量、规格和型号；</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④车门、卷帘门、器材箱、翻板、踏板等的材质、结构布局、紧密程度等；</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⑤其他部件的检查。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2.车辆质量性能验收主要内容：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w:t>
      </w:r>
      <w:r>
        <w:rPr>
          <w:rFonts w:hint="eastAsia" w:ascii="仿宋" w:hAnsi="仿宋" w:eastAsia="仿宋"/>
          <w:color w:val="auto"/>
          <w:sz w:val="24"/>
          <w:highlight w:val="none"/>
        </w:rPr>
        <w:t>〈</w:t>
      </w:r>
      <w:r>
        <w:rPr>
          <w:rFonts w:ascii="仿宋" w:hAnsi="仿宋" w:eastAsia="仿宋"/>
          <w:color w:val="auto"/>
          <w:sz w:val="24"/>
          <w:highlight w:val="none"/>
        </w:rPr>
        <w:t>中华人民共和国公共安全行业标准</w:t>
      </w:r>
      <w:r>
        <w:rPr>
          <w:rFonts w:hint="eastAsia" w:ascii="仿宋" w:hAnsi="仿宋" w:eastAsia="仿宋"/>
          <w:color w:val="auto"/>
          <w:sz w:val="24"/>
          <w:highlight w:val="none"/>
        </w:rPr>
        <w:t>〉</w:t>
      </w:r>
      <w:r>
        <w:rPr>
          <w:rFonts w:ascii="仿宋" w:hAnsi="仿宋" w:eastAsia="仿宋"/>
          <w:color w:val="auto"/>
          <w:sz w:val="24"/>
          <w:highlight w:val="none"/>
        </w:rPr>
        <w:t>——消防车 消防要求和试验方法（</w:t>
      </w:r>
      <w:r>
        <w:rPr>
          <w:rFonts w:hint="eastAsia" w:ascii="仿宋" w:hAnsi="仿宋" w:eastAsia="仿宋"/>
          <w:color w:val="auto"/>
          <w:sz w:val="24"/>
          <w:highlight w:val="none"/>
          <w:lang w:val="en-US" w:eastAsia="zh-CN"/>
        </w:rPr>
        <w:t>XF</w:t>
      </w:r>
      <w:r>
        <w:rPr>
          <w:rFonts w:ascii="仿宋" w:hAnsi="仿宋" w:eastAsia="仿宋"/>
          <w:color w:val="auto"/>
          <w:sz w:val="24"/>
          <w:highlight w:val="none"/>
        </w:rPr>
        <w:t xml:space="preserve"> 39-2016）》逐车进行测试和检测，主要包括吸水（泡沫）、出水（泡沫）、举升、牵引、起吊、照明等内容测试和行驶、操纵等能力测试，每辆车性能测试内容应逐个项目开展，其中长时间、抗疲劳、极限测试均必须按照相关标准及合同要求达到最短测试时长和装备部件操作极限强度。</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（二）消防器材</w:t>
      </w:r>
      <w:r>
        <w:rPr>
          <w:rFonts w:ascii="仿宋" w:hAnsi="仿宋" w:eastAsia="仿宋"/>
          <w:bCs/>
          <w:color w:val="auto"/>
          <w:sz w:val="24"/>
          <w:highlight w:val="none"/>
        </w:rPr>
        <w:t>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1.器材一致性验收主要内容：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（1）资料审查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审查资料的齐全性、真实性、有效性、合法性等，经审查资料不合格的，不予进入外观检查和性能测试等验收环节。</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（2）外观检查</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①器材外观颜色及光亮度是否符合要求；</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②外表应光滑无毛刺、起毛现象；</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③铭牌标牌是否与标书一致。</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2.器材质量性能验收主要内容：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按照招投标文件、检测报告、国家行业标准组织开展性能测试，检查各组成部件是否齐全，规格型号是否与标书文件一致，并对主要性能进行测试。</w:t>
      </w:r>
    </w:p>
    <w:p>
      <w:pPr>
        <w:spacing w:line="460" w:lineRule="exact"/>
        <w:ind w:firstLine="480" w:firstLineChars="200"/>
        <w:rPr>
          <w:rFonts w:ascii="仿宋" w:hAnsi="仿宋" w:eastAsia="仿宋"/>
          <w:bCs/>
          <w:color w:val="auto"/>
          <w:sz w:val="24"/>
          <w:highlight w:val="none"/>
        </w:rPr>
      </w:pPr>
      <w:r>
        <w:rPr>
          <w:rFonts w:hint="eastAsia" w:ascii="仿宋" w:hAnsi="仿宋" w:eastAsia="仿宋"/>
          <w:bCs/>
          <w:color w:val="auto"/>
          <w:sz w:val="24"/>
          <w:highlight w:val="none"/>
        </w:rPr>
        <w:t>（三）其他装备验收</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消防船艇的验收至少包括以下内容：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1.船体验收：油漆、标志、船型、适用航区、主尺度是否与合同一致。</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2.性能验收：航速、续航能力、稳性、泵炮性能、水系统、泡沫系统是否与合同一致，是否完整好用。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3.船体结构验收：船体材料、结构形式、舾装、锚设备、舵设备、单臂回转吊架及工作艇、舱室设备、救生设备、消防设备、信号设备、防止船舶造成污染结构设备是否与合同一致，是否完整好用。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4.轮机部分验收：主推进装备、轴系、机舱布置、侧推装备、对外消防系统、燃油系统、滑油及污油系统、冷却水系统、排气系统、压缩空气系统、舱底消防水系统、油污水处理系统、生活用水系统、生活污水排放系统、通风和空调系统、测深注入和透气系统、操纵监控及通信系统、机舱维修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5.电气部分验收：发电机、电动机、照明、生活娱乐设备、航行、无线电、助航设备、船通信、报警设备是否与合同一致，是否完整好用。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消防飞行器的验收至少包括以下内容：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2.质量性能验收：导航、飞控、动力、链路、电气、发动机等主要无人机系统是否完整好用；通信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摄录</w:t>
      </w:r>
      <w:r>
        <w:rPr>
          <w:rFonts w:hint="eastAsia" w:ascii="仿宋" w:hAnsi="仿宋" w:eastAsia="仿宋"/>
          <w:color w:val="auto"/>
          <w:sz w:val="24"/>
          <w:highlight w:val="none"/>
        </w:rPr>
        <w:t>、</w:t>
      </w:r>
      <w:r>
        <w:rPr>
          <w:rFonts w:ascii="仿宋" w:hAnsi="仿宋" w:eastAsia="仿宋"/>
          <w:color w:val="auto"/>
          <w:sz w:val="24"/>
          <w:highlight w:val="none"/>
        </w:rPr>
        <w:t>灭火等功能模块是否与招标文件一致，是否完整好用；飞行半径、高度、时间是否与招标文件一致；信号接收设备等附属设备是否与招标文件一致，是否完整好用。</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消防机器人的验收至少包括以下内容：</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1.一致性验收：机型、重量、尺寸、颜色、功能模块是否与合同一致、是否提供产品合格证、中文使用说明书。</w:t>
      </w:r>
    </w:p>
    <w:p>
      <w:pPr>
        <w:spacing w:line="460" w:lineRule="exact"/>
        <w:ind w:firstLine="480" w:firstLineChars="200"/>
        <w:rPr>
          <w:rFonts w:ascii="仿宋" w:hAnsi="仿宋" w:eastAsia="仿宋"/>
          <w:color w:val="auto"/>
          <w:sz w:val="24"/>
          <w:highlight w:val="none"/>
        </w:rPr>
      </w:pPr>
      <w:r>
        <w:rPr>
          <w:rFonts w:ascii="仿宋" w:hAnsi="仿宋" w:eastAsia="仿宋"/>
          <w:color w:val="auto"/>
          <w:sz w:val="24"/>
          <w:highlight w:val="none"/>
        </w:rPr>
        <w:t>2.质量性能验收：导航、遥控、动力、通信、电气、管路、泵、炮等主要系统是否完整好用；通信</w:t>
      </w:r>
      <w:r>
        <w:rPr>
          <w:rFonts w:hint="eastAsia" w:ascii="仿宋" w:hAnsi="仿宋" w:eastAsia="仿宋"/>
          <w:color w:val="auto"/>
          <w:sz w:val="24"/>
          <w:highlight w:val="none"/>
        </w:rPr>
        <w:t>、</w:t>
      </w:r>
      <w:r>
        <w:rPr>
          <w:rFonts w:ascii="仿宋" w:hAnsi="仿宋" w:eastAsia="仿宋"/>
          <w:color w:val="auto"/>
          <w:sz w:val="24"/>
          <w:highlight w:val="none"/>
        </w:rPr>
        <w:t>侦检</w:t>
      </w:r>
      <w:r>
        <w:rPr>
          <w:rFonts w:hint="eastAsia" w:ascii="仿宋" w:hAnsi="仿宋" w:eastAsia="仿宋"/>
          <w:color w:val="auto"/>
          <w:sz w:val="24"/>
          <w:highlight w:val="none"/>
        </w:rPr>
        <w:t>、</w:t>
      </w:r>
      <w:r>
        <w:rPr>
          <w:rFonts w:ascii="仿宋" w:hAnsi="仿宋" w:eastAsia="仿宋"/>
          <w:color w:val="auto"/>
          <w:sz w:val="24"/>
          <w:highlight w:val="none"/>
        </w:rPr>
        <w:t>排烟、灭火等功能模块是否与招标文件一致，是否完整好用；转弯半径、越障能力、拖拽能力、连续工作时间是否与招标文件一致；信号接收设备等附属设备是否与招标文件一致，是否完整好用。</w:t>
      </w:r>
    </w:p>
    <w:bookmarkEnd w:id="189"/>
    <w:bookmarkEnd w:id="190"/>
    <w:bookmarkEnd w:id="191"/>
    <w:bookmarkEnd w:id="192"/>
    <w:bookmarkEnd w:id="193"/>
    <w:bookmarkEnd w:id="194"/>
    <w:bookmarkEnd w:id="195"/>
    <w:p>
      <w:pPr>
        <w:spacing w:line="460" w:lineRule="exact"/>
        <w:ind w:firstLine="482" w:firstLineChars="200"/>
        <w:rPr>
          <w:rFonts w:ascii="仿宋" w:hAnsi="仿宋" w:eastAsia="仿宋"/>
          <w:color w:val="auto"/>
          <w:sz w:val="24"/>
          <w:highlight w:val="none"/>
        </w:rPr>
      </w:pPr>
      <w:bookmarkStart w:id="196" w:name="_Toc19956"/>
      <w:bookmarkStart w:id="197" w:name="_Toc16380"/>
      <w:bookmarkStart w:id="198" w:name="_Toc19014"/>
      <w:bookmarkStart w:id="199" w:name="_Toc15512"/>
      <w:bookmarkStart w:id="200" w:name="_Toc9458"/>
      <w:bookmarkStart w:id="201" w:name="_Toc12202"/>
      <w:bookmarkStart w:id="202" w:name="_Toc15847"/>
      <w:r>
        <w:rPr>
          <w:rFonts w:hint="eastAsia" w:ascii="仿宋" w:hAnsi="仿宋" w:eastAsia="仿宋"/>
          <w:b/>
          <w:bCs/>
          <w:color w:val="auto"/>
          <w:sz w:val="24"/>
          <w:highlight w:val="none"/>
        </w:rPr>
        <w:t>三、注意事项</w:t>
      </w:r>
      <w:bookmarkEnd w:id="196"/>
      <w:bookmarkEnd w:id="197"/>
      <w:bookmarkEnd w:id="198"/>
      <w:bookmarkEnd w:id="199"/>
      <w:bookmarkEnd w:id="200"/>
      <w:bookmarkEnd w:id="201"/>
      <w:bookmarkEnd w:id="202"/>
    </w:p>
    <w:p>
      <w:pPr>
        <w:widowControl/>
        <w:snapToGrid w:val="0"/>
        <w:spacing w:line="460" w:lineRule="exact"/>
        <w:ind w:firstLine="480" w:firstLineChars="200"/>
        <w:rPr>
          <w:rFonts w:ascii="仿宋" w:hAnsi="仿宋" w:eastAsia="仿宋"/>
          <w:color w:val="auto"/>
          <w:sz w:val="24"/>
          <w:highlight w:val="none"/>
        </w:rPr>
      </w:pPr>
      <w:r>
        <w:rPr>
          <w:rFonts w:hint="eastAsia" w:ascii="仿宋" w:hAnsi="仿宋" w:eastAsia="仿宋"/>
          <w:color w:val="auto"/>
          <w:sz w:val="24"/>
          <w:highlight w:val="none"/>
        </w:rPr>
        <w:t>验收具体要求详见《</w:t>
      </w:r>
      <w:r>
        <w:rPr>
          <w:rFonts w:ascii="仿宋" w:hAnsi="仿宋" w:eastAsia="仿宋"/>
          <w:color w:val="auto"/>
          <w:sz w:val="24"/>
          <w:highlight w:val="none"/>
        </w:rPr>
        <w:t>江西省消防救援队伍灭火救援装备验收办法</w:t>
      </w:r>
      <w:r>
        <w:rPr>
          <w:rFonts w:hint="eastAsia" w:ascii="仿宋" w:hAnsi="仿宋" w:eastAsia="仿宋"/>
          <w:color w:val="auto"/>
          <w:sz w:val="24"/>
          <w:highlight w:val="none"/>
        </w:rPr>
        <w:t>（试行）</w:t>
      </w:r>
      <w:r>
        <w:rPr>
          <w:rFonts w:ascii="仿宋" w:hAnsi="仿宋" w:eastAsia="仿宋"/>
          <w:color w:val="auto"/>
          <w:sz w:val="24"/>
          <w:highlight w:val="none"/>
        </w:rPr>
        <w:t>》</w:t>
      </w:r>
      <w:r>
        <w:rPr>
          <w:rFonts w:hint="eastAsia" w:ascii="仿宋" w:hAnsi="仿宋" w:eastAsia="仿宋"/>
          <w:color w:val="auto"/>
          <w:sz w:val="24"/>
          <w:highlight w:val="none"/>
        </w:rPr>
        <w:t>。若总队印发新的文件通知或有新的实施要求，则按最新的文件通知或要求组织实施。</w:t>
      </w:r>
    </w:p>
    <w:p>
      <w:pPr>
        <w:keepNext w:val="0"/>
        <w:keepLines w:val="0"/>
        <w:pageBreakBefore w:val="0"/>
        <w:widowControl w:val="0"/>
        <w:kinsoku w:val="0"/>
        <w:wordWrap/>
        <w:overflowPunct/>
        <w:topLinePunct w:val="0"/>
        <w:autoSpaceDE w:val="0"/>
        <w:autoSpaceDN w:val="0"/>
        <w:bidi w:val="0"/>
        <w:adjustRightInd w:val="0"/>
        <w:snapToGrid w:val="0"/>
        <w:spacing w:line="480" w:lineRule="auto"/>
        <w:jc w:val="center"/>
        <w:textAlignment w:val="baseline"/>
        <w:rPr>
          <w:rFonts w:hint="eastAsia" w:ascii="仿宋" w:hAnsi="仿宋" w:eastAsia="仿宋" w:cs="仿宋"/>
          <w:color w:val="auto"/>
          <w:sz w:val="24"/>
          <w:szCs w:val="24"/>
          <w:highlight w:val="none"/>
          <w:lang w:eastAsia="zh-CN"/>
        </w:rPr>
      </w:pP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r>
    </w:p>
    <w:p>
      <w:pPr>
        <w:pStyle w:val="3"/>
        <w:jc w:val="center"/>
        <w:rPr>
          <w:rFonts w:ascii="Times New Roman" w:eastAsia="仿宋"/>
          <w:color w:val="auto"/>
          <w:szCs w:val="44"/>
          <w:highlight w:val="none"/>
        </w:rPr>
      </w:pPr>
      <w:bookmarkStart w:id="203" w:name="_Toc30422"/>
      <w:bookmarkStart w:id="204" w:name="_Toc8951"/>
      <w:bookmarkStart w:id="205" w:name="_Toc7166"/>
      <w:bookmarkStart w:id="206" w:name="_Toc111018947"/>
      <w:bookmarkStart w:id="207" w:name="_Toc14625"/>
      <w:bookmarkStart w:id="208" w:name="_Toc11082"/>
      <w:r>
        <w:rPr>
          <w:rFonts w:ascii="Times New Roman" w:eastAsia="仿宋"/>
          <w:b/>
          <w:color w:val="auto"/>
          <w:sz w:val="40"/>
          <w:highlight w:val="none"/>
        </w:rPr>
        <w:t>第四章</w:t>
      </w:r>
      <w:bookmarkEnd w:id="168"/>
      <w:bookmarkStart w:id="209" w:name="_Toc432064409"/>
      <w:bookmarkStart w:id="210" w:name="_Toc432064609"/>
      <w:bookmarkStart w:id="211" w:name="_Toc413657138"/>
      <w:bookmarkStart w:id="212" w:name="_Toc413656906"/>
      <w:r>
        <w:rPr>
          <w:rFonts w:ascii="Times New Roman" w:eastAsia="仿宋"/>
          <w:b/>
          <w:color w:val="auto"/>
          <w:sz w:val="40"/>
          <w:highlight w:val="none"/>
        </w:rPr>
        <w:t xml:space="preserve"> 投标文件格式</w:t>
      </w:r>
      <w:bookmarkEnd w:id="203"/>
      <w:bookmarkEnd w:id="204"/>
      <w:bookmarkEnd w:id="205"/>
      <w:bookmarkEnd w:id="206"/>
      <w:bookmarkEnd w:id="207"/>
      <w:bookmarkEnd w:id="208"/>
      <w:bookmarkEnd w:id="209"/>
      <w:bookmarkEnd w:id="210"/>
      <w:bookmarkEnd w:id="211"/>
      <w:bookmarkEnd w:id="212"/>
    </w:p>
    <w:p>
      <w:pPr>
        <w:spacing w:line="560" w:lineRule="exact"/>
        <w:jc w:val="center"/>
        <w:outlineLvl w:val="1"/>
        <w:rPr>
          <w:rFonts w:eastAsia="仿宋"/>
          <w:b/>
          <w:bCs/>
          <w:snapToGrid w:val="0"/>
          <w:color w:val="auto"/>
          <w:kern w:val="0"/>
          <w:sz w:val="28"/>
          <w:szCs w:val="28"/>
          <w:highlight w:val="none"/>
        </w:rPr>
      </w:pPr>
      <w:bookmarkStart w:id="213" w:name="_Toc9119"/>
      <w:bookmarkStart w:id="214" w:name="_Toc400631655"/>
      <w:bookmarkStart w:id="215" w:name="_Toc399344121"/>
      <w:bookmarkStart w:id="216" w:name="_Toc111018948"/>
      <w:bookmarkStart w:id="217" w:name="_Toc23070"/>
      <w:bookmarkStart w:id="218" w:name="_Toc12098"/>
      <w:bookmarkStart w:id="219" w:name="_Toc18238"/>
      <w:bookmarkStart w:id="220" w:name="_Toc399344494"/>
      <w:bookmarkStart w:id="221" w:name="_Toc13045"/>
      <w:r>
        <w:rPr>
          <w:rFonts w:eastAsia="仿宋"/>
          <w:b/>
          <w:bCs/>
          <w:snapToGrid w:val="0"/>
          <w:color w:val="auto"/>
          <w:kern w:val="0"/>
          <w:sz w:val="28"/>
          <w:szCs w:val="28"/>
          <w:highlight w:val="none"/>
        </w:rPr>
        <w:t>一、投标书</w:t>
      </w:r>
      <w:bookmarkEnd w:id="213"/>
      <w:bookmarkEnd w:id="214"/>
      <w:bookmarkEnd w:id="215"/>
      <w:bookmarkEnd w:id="216"/>
      <w:bookmarkEnd w:id="217"/>
      <w:bookmarkEnd w:id="218"/>
      <w:bookmarkEnd w:id="219"/>
      <w:bookmarkEnd w:id="220"/>
      <w:bookmarkEnd w:id="221"/>
    </w:p>
    <w:p>
      <w:pPr>
        <w:spacing w:line="480" w:lineRule="exact"/>
        <w:rPr>
          <w:rFonts w:eastAsia="仿宋"/>
          <w:color w:val="auto"/>
          <w:sz w:val="24"/>
          <w:highlight w:val="none"/>
          <w:u w:val="single"/>
        </w:rPr>
      </w:pPr>
      <w:r>
        <w:rPr>
          <w:rFonts w:eastAsia="仿宋"/>
          <w:color w:val="auto"/>
          <w:sz w:val="24"/>
          <w:highlight w:val="none"/>
        </w:rPr>
        <w:t>致：</w:t>
      </w:r>
      <w:r>
        <w:rPr>
          <w:rFonts w:eastAsia="仿宋"/>
          <w:b/>
          <w:color w:val="auto"/>
          <w:sz w:val="24"/>
          <w:highlight w:val="none"/>
          <w:u w:val="single"/>
        </w:rPr>
        <w:t>（</w:t>
      </w:r>
      <w:r>
        <w:rPr>
          <w:rFonts w:hint="eastAsia" w:eastAsia="仿宋"/>
          <w:b/>
          <w:color w:val="auto"/>
          <w:sz w:val="24"/>
          <w:highlight w:val="none"/>
          <w:u w:val="single"/>
          <w:lang w:eastAsia="zh-CN"/>
        </w:rPr>
        <w:t>江西合胜合招标咨询有限公司</w:t>
      </w:r>
      <w:r>
        <w:rPr>
          <w:rFonts w:eastAsia="仿宋"/>
          <w:b/>
          <w:color w:val="auto"/>
          <w:sz w:val="24"/>
          <w:highlight w:val="none"/>
          <w:u w:val="single"/>
        </w:rPr>
        <w:t>）</w:t>
      </w:r>
    </w:p>
    <w:p>
      <w:pPr>
        <w:spacing w:line="480" w:lineRule="exact"/>
        <w:ind w:firstLine="480" w:firstLineChars="200"/>
        <w:rPr>
          <w:rFonts w:eastAsia="仿宋"/>
          <w:color w:val="auto"/>
          <w:sz w:val="24"/>
          <w:highlight w:val="none"/>
        </w:rPr>
      </w:pPr>
      <w:bookmarkStart w:id="222" w:name="_Toc209412917"/>
      <w:bookmarkStart w:id="223" w:name="_Toc216189500"/>
      <w:r>
        <w:rPr>
          <w:rFonts w:eastAsia="仿宋"/>
          <w:color w:val="auto"/>
          <w:sz w:val="24"/>
          <w:highlight w:val="none"/>
        </w:rPr>
        <w:t>依据贵方（项目名称</w:t>
      </w:r>
      <w:r>
        <w:rPr>
          <w:rFonts w:hint="eastAsia" w:eastAsia="仿宋"/>
          <w:color w:val="auto"/>
          <w:sz w:val="24"/>
          <w:highlight w:val="none"/>
          <w:lang w:eastAsia="zh-CN"/>
        </w:rPr>
        <w:t>、</w:t>
      </w:r>
      <w:r>
        <w:rPr>
          <w:rFonts w:hint="eastAsia" w:eastAsia="仿宋"/>
          <w:color w:val="auto"/>
          <w:sz w:val="24"/>
          <w:highlight w:val="none"/>
          <w:lang w:val="en-US" w:eastAsia="zh-CN"/>
        </w:rPr>
        <w:t>包号</w:t>
      </w:r>
      <w:r>
        <w:rPr>
          <w:rFonts w:eastAsia="仿宋"/>
          <w:color w:val="auto"/>
          <w:sz w:val="24"/>
          <w:highlight w:val="none"/>
        </w:rPr>
        <w:t>）项目招标采购货物及服务的投标邀请，我方代表（姓名、职务）经正式授权并代表（投标人名称）提交投标文件。</w:t>
      </w:r>
    </w:p>
    <w:p>
      <w:pPr>
        <w:spacing w:line="480" w:lineRule="exact"/>
        <w:ind w:firstLine="480" w:firstLineChars="200"/>
        <w:rPr>
          <w:rFonts w:eastAsia="仿宋"/>
          <w:color w:val="auto"/>
          <w:sz w:val="24"/>
          <w:highlight w:val="none"/>
        </w:rPr>
      </w:pPr>
      <w:r>
        <w:rPr>
          <w:rFonts w:eastAsia="仿宋"/>
          <w:color w:val="auto"/>
          <w:sz w:val="24"/>
          <w:highlight w:val="none"/>
        </w:rPr>
        <w:t>在此，我方声明如下：</w:t>
      </w:r>
    </w:p>
    <w:p>
      <w:pPr>
        <w:spacing w:line="480" w:lineRule="exact"/>
        <w:ind w:firstLine="480" w:firstLineChars="200"/>
        <w:rPr>
          <w:rFonts w:eastAsia="仿宋"/>
          <w:color w:val="auto"/>
          <w:sz w:val="24"/>
          <w:highlight w:val="none"/>
        </w:rPr>
      </w:pPr>
      <w:r>
        <w:rPr>
          <w:rFonts w:eastAsia="仿宋"/>
          <w:color w:val="auto"/>
          <w:sz w:val="24"/>
          <w:highlight w:val="none"/>
        </w:rPr>
        <w:t>同意并接受招标文件的各项要求，遵守招标文件中的各项规定，按招标文件的要求提供报价。</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投标有效期自开标之日起</w:t>
      </w:r>
      <w:r>
        <w:rPr>
          <w:rFonts w:eastAsia="仿宋"/>
          <w:color w:val="auto"/>
          <w:sz w:val="24"/>
          <w:highlight w:val="none"/>
          <w:u w:val="single"/>
        </w:rPr>
        <w:t>九十</w:t>
      </w:r>
      <w:r>
        <w:rPr>
          <w:rFonts w:eastAsia="仿宋"/>
          <w:color w:val="auto"/>
          <w:sz w:val="24"/>
          <w:highlight w:val="none"/>
        </w:rPr>
        <w:t>个日历日，中标人投标有效期延至合同履行终止之日。</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我方已经详细地阅读了全部招标文件及其附件，包括澄清及参考文件</w:t>
      </w:r>
      <w:r>
        <w:rPr>
          <w:rFonts w:hint="eastAsia" w:eastAsia="仿宋"/>
          <w:color w:val="auto"/>
          <w:sz w:val="24"/>
          <w:highlight w:val="none"/>
          <w:lang w:eastAsia="zh-CN"/>
        </w:rPr>
        <w:t>（</w:t>
      </w:r>
      <w:r>
        <w:rPr>
          <w:rFonts w:eastAsia="仿宋"/>
          <w:color w:val="auto"/>
          <w:sz w:val="24"/>
          <w:highlight w:val="none"/>
        </w:rPr>
        <w:t>如果有</w:t>
      </w:r>
      <w:r>
        <w:rPr>
          <w:rFonts w:hint="eastAsia" w:eastAsia="仿宋"/>
          <w:color w:val="auto"/>
          <w:sz w:val="24"/>
          <w:highlight w:val="none"/>
          <w:lang w:eastAsia="zh-CN"/>
        </w:rPr>
        <w:t>）</w:t>
      </w:r>
      <w:r>
        <w:rPr>
          <w:rFonts w:eastAsia="仿宋"/>
          <w:color w:val="auto"/>
          <w:sz w:val="24"/>
          <w:highlight w:val="none"/>
        </w:rPr>
        <w:t>。我方已完全清晰理解招标文件的要求，不存在任何含糊不清和误解之处，同意放弃对这些文件所提出的异议和质疑的权利。</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我方已毫无保留地向贵方提供一切所需的证明材料。</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我方承诺在本次投标文件中提供的一切文件，无论是原件还是扫描件均为真实和准确的，绝无任何虚假、伪造和夸大的成份，否则，愿承担相应的后果和法律责任。</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我方完全服从和尊重评标委员会所作出的评审结果，同时清楚理解到报价最低并非意味着必定获得中标资格。</w:t>
      </w:r>
    </w:p>
    <w:p>
      <w:pPr>
        <w:numPr>
          <w:ilvl w:val="0"/>
          <w:numId w:val="16"/>
        </w:numPr>
        <w:spacing w:line="480" w:lineRule="exact"/>
        <w:ind w:left="567" w:hanging="283"/>
        <w:rPr>
          <w:rFonts w:eastAsia="仿宋"/>
          <w:color w:val="auto"/>
          <w:sz w:val="24"/>
          <w:highlight w:val="none"/>
        </w:rPr>
      </w:pPr>
      <w:r>
        <w:rPr>
          <w:rFonts w:eastAsia="仿宋"/>
          <w:color w:val="auto"/>
          <w:sz w:val="24"/>
          <w:highlight w:val="none"/>
        </w:rPr>
        <w:t>我方同意按招标文件规定向采购代理机构缴纳代理服务费。</w:t>
      </w:r>
    </w:p>
    <w:p>
      <w:pPr>
        <w:spacing w:line="480" w:lineRule="exact"/>
        <w:rPr>
          <w:rFonts w:eastAsia="仿宋"/>
          <w:color w:val="auto"/>
          <w:sz w:val="24"/>
          <w:highlight w:val="none"/>
        </w:rPr>
      </w:pPr>
      <w:r>
        <w:rPr>
          <w:rFonts w:eastAsia="仿宋"/>
          <w:color w:val="auto"/>
          <w:sz w:val="24"/>
          <w:highlight w:val="none"/>
        </w:rPr>
        <w:t xml:space="preserve">投标人：                             </w:t>
      </w:r>
    </w:p>
    <w:p>
      <w:pPr>
        <w:spacing w:line="480" w:lineRule="exact"/>
        <w:rPr>
          <w:rFonts w:eastAsia="仿宋"/>
          <w:color w:val="auto"/>
          <w:sz w:val="24"/>
          <w:highlight w:val="none"/>
        </w:rPr>
      </w:pPr>
      <w:r>
        <w:rPr>
          <w:rFonts w:eastAsia="仿宋"/>
          <w:color w:val="auto"/>
          <w:sz w:val="24"/>
          <w:highlight w:val="none"/>
        </w:rPr>
        <w:t xml:space="preserve">地址：                               </w:t>
      </w:r>
    </w:p>
    <w:p>
      <w:pPr>
        <w:spacing w:line="480" w:lineRule="exact"/>
        <w:rPr>
          <w:rFonts w:eastAsia="仿宋"/>
          <w:color w:val="auto"/>
          <w:sz w:val="24"/>
          <w:highlight w:val="none"/>
        </w:rPr>
      </w:pPr>
      <w:r>
        <w:rPr>
          <w:rFonts w:eastAsia="仿宋"/>
          <w:color w:val="auto"/>
          <w:sz w:val="24"/>
          <w:highlight w:val="none"/>
        </w:rPr>
        <w:t xml:space="preserve">传真：                            电话：                </w:t>
      </w:r>
    </w:p>
    <w:p>
      <w:pPr>
        <w:spacing w:line="460" w:lineRule="exact"/>
        <w:rPr>
          <w:rFonts w:eastAsia="仿宋"/>
          <w:color w:val="auto"/>
          <w:sz w:val="24"/>
          <w:highlight w:val="none"/>
        </w:rPr>
      </w:pPr>
      <w:r>
        <w:rPr>
          <w:rFonts w:eastAsia="仿宋"/>
          <w:color w:val="auto"/>
          <w:sz w:val="24"/>
          <w:highlight w:val="none"/>
        </w:rPr>
        <w:t>投标人名称： （加盖公章）</w:t>
      </w:r>
    </w:p>
    <w:p>
      <w:pPr>
        <w:spacing w:line="480" w:lineRule="exact"/>
        <w:rPr>
          <w:rFonts w:eastAsia="仿宋"/>
          <w:color w:val="auto"/>
          <w:sz w:val="24"/>
          <w:highlight w:val="none"/>
        </w:rPr>
      </w:pPr>
      <w:r>
        <w:rPr>
          <w:rFonts w:eastAsia="仿宋"/>
          <w:color w:val="auto"/>
          <w:sz w:val="24"/>
          <w:highlight w:val="none"/>
        </w:rPr>
        <w:t xml:space="preserve">开户银行：                           </w:t>
      </w:r>
    </w:p>
    <w:p>
      <w:pPr>
        <w:spacing w:line="480" w:lineRule="exact"/>
        <w:rPr>
          <w:rFonts w:eastAsia="仿宋"/>
          <w:color w:val="auto"/>
          <w:sz w:val="24"/>
          <w:highlight w:val="none"/>
        </w:rPr>
      </w:pPr>
      <w:r>
        <w:rPr>
          <w:rFonts w:eastAsia="仿宋"/>
          <w:color w:val="auto"/>
          <w:sz w:val="24"/>
          <w:highlight w:val="none"/>
        </w:rPr>
        <w:t xml:space="preserve">帐号：                           日期：          </w:t>
      </w:r>
    </w:p>
    <w:p>
      <w:pPr>
        <w:spacing w:line="560" w:lineRule="exact"/>
        <w:rPr>
          <w:rFonts w:eastAsia="仿宋"/>
          <w:b/>
          <w:bCs/>
          <w:snapToGrid w:val="0"/>
          <w:color w:val="auto"/>
          <w:kern w:val="0"/>
          <w:sz w:val="28"/>
          <w:szCs w:val="28"/>
          <w:highlight w:val="none"/>
        </w:rPr>
      </w:pPr>
      <w:r>
        <w:rPr>
          <w:rFonts w:eastAsia="仿宋"/>
          <w:b/>
          <w:color w:val="auto"/>
          <w:sz w:val="24"/>
          <w:highlight w:val="none"/>
        </w:rPr>
        <w:t>注：未按照本招标文件要求填报的投标文件将被视为非实质性响应投标，从而导致该投标被拒绝。</w:t>
      </w:r>
      <w:bookmarkEnd w:id="222"/>
      <w:bookmarkEnd w:id="223"/>
      <w:bookmarkStart w:id="224" w:name="_Toc400631656"/>
      <w:bookmarkStart w:id="225" w:name="_Toc399344495"/>
      <w:bookmarkStart w:id="226" w:name="_Toc399344122"/>
    </w:p>
    <w:p>
      <w:pPr>
        <w:spacing w:line="560" w:lineRule="exact"/>
        <w:jc w:val="center"/>
        <w:outlineLvl w:val="1"/>
        <w:rPr>
          <w:rFonts w:eastAsia="仿宋"/>
          <w:b/>
          <w:bCs/>
          <w:snapToGrid w:val="0"/>
          <w:color w:val="auto"/>
          <w:kern w:val="0"/>
          <w:sz w:val="28"/>
          <w:szCs w:val="28"/>
          <w:highlight w:val="none"/>
        </w:rPr>
      </w:pPr>
      <w:r>
        <w:rPr>
          <w:rFonts w:eastAsia="仿宋"/>
          <w:b/>
          <w:bCs/>
          <w:snapToGrid w:val="0"/>
          <w:color w:val="auto"/>
          <w:kern w:val="0"/>
          <w:sz w:val="28"/>
          <w:szCs w:val="28"/>
          <w:highlight w:val="none"/>
        </w:rPr>
        <w:br w:type="page"/>
      </w:r>
      <w:bookmarkStart w:id="227" w:name="_Toc9593"/>
      <w:bookmarkStart w:id="228" w:name="_Toc111018949"/>
      <w:bookmarkStart w:id="229" w:name="_Toc23581"/>
      <w:bookmarkStart w:id="230" w:name="_Toc21583"/>
      <w:bookmarkStart w:id="231" w:name="_Toc12732"/>
      <w:bookmarkStart w:id="232" w:name="_Toc20741"/>
      <w:r>
        <w:rPr>
          <w:rFonts w:eastAsia="仿宋"/>
          <w:b/>
          <w:bCs/>
          <w:snapToGrid w:val="0"/>
          <w:color w:val="auto"/>
          <w:kern w:val="0"/>
          <w:sz w:val="28"/>
          <w:szCs w:val="28"/>
          <w:highlight w:val="none"/>
        </w:rPr>
        <w:t>二、开标一览表</w:t>
      </w:r>
      <w:bookmarkEnd w:id="224"/>
      <w:bookmarkEnd w:id="225"/>
      <w:bookmarkEnd w:id="226"/>
      <w:bookmarkEnd w:id="227"/>
      <w:bookmarkEnd w:id="228"/>
      <w:bookmarkEnd w:id="229"/>
      <w:bookmarkEnd w:id="230"/>
      <w:bookmarkEnd w:id="231"/>
      <w:bookmarkEnd w:id="232"/>
    </w:p>
    <w:p>
      <w:pPr>
        <w:rPr>
          <w:rFonts w:eastAsia="仿宋"/>
          <w:b/>
          <w:bCs/>
          <w:snapToGrid w:val="0"/>
          <w:color w:val="auto"/>
          <w:kern w:val="0"/>
          <w:szCs w:val="21"/>
          <w:highlight w:val="none"/>
        </w:rPr>
      </w:pPr>
    </w:p>
    <w:p>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eastAsia="仿宋"/>
          <w:b/>
          <w:color w:val="auto"/>
          <w:sz w:val="24"/>
          <w:highlight w:val="none"/>
        </w:rPr>
      </w:pPr>
    </w:p>
    <w:p>
      <w:pPr>
        <w:spacing w:line="460" w:lineRule="exact"/>
        <w:ind w:left="-2" w:leftChars="-50" w:hanging="103" w:hangingChars="43"/>
        <w:rPr>
          <w:rFonts w:eastAsia="仿宋"/>
          <w:color w:val="auto"/>
          <w:sz w:val="24"/>
          <w:highlight w:val="none"/>
        </w:rPr>
      </w:pPr>
      <w:r>
        <w:rPr>
          <w:rFonts w:eastAsia="仿宋"/>
          <w:color w:val="auto"/>
          <w:sz w:val="24"/>
          <w:highlight w:val="none"/>
        </w:rPr>
        <w:t>投标人名称：</w:t>
      </w:r>
    </w:p>
    <w:p>
      <w:pPr>
        <w:spacing w:line="460" w:lineRule="exact"/>
        <w:ind w:left="-2" w:leftChars="-50" w:hanging="103" w:hangingChars="43"/>
        <w:rPr>
          <w:rFonts w:eastAsia="仿宋"/>
          <w:color w:val="auto"/>
          <w:sz w:val="24"/>
          <w:highlight w:val="none"/>
        </w:rPr>
      </w:pPr>
      <w:r>
        <w:rPr>
          <w:rFonts w:eastAsia="仿宋"/>
          <w:color w:val="auto"/>
          <w:sz w:val="24"/>
          <w:highlight w:val="none"/>
        </w:rPr>
        <w:t>项目编号：                                       包      号：</w:t>
      </w:r>
    </w:p>
    <w:tbl>
      <w:tblPr>
        <w:tblStyle w:val="44"/>
        <w:tblW w:w="9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35"/>
        <w:gridCol w:w="6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项目名称</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投标保证金（人民币/元）</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投标报价（人民币/元）</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投标报价（大写）</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交货期限</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车辆制造商</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车辆品牌</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车辆型号</w:t>
            </w:r>
          </w:p>
        </w:tc>
        <w:tc>
          <w:tcPr>
            <w:tcW w:w="6920" w:type="dxa"/>
          </w:tcPr>
          <w:p>
            <w:pPr>
              <w:widowControl/>
              <w:spacing w:line="440" w:lineRule="exact"/>
              <w:jc w:val="left"/>
              <w:rPr>
                <w:rFonts w:eastAsia="仿宋"/>
                <w:b/>
                <w:bCs/>
                <w:color w:val="auto"/>
                <w:sz w:val="24"/>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35" w:type="dxa"/>
          </w:tcPr>
          <w:p>
            <w:pPr>
              <w:widowControl/>
              <w:spacing w:line="440" w:lineRule="exact"/>
              <w:jc w:val="center"/>
              <w:rPr>
                <w:rFonts w:hint="default" w:eastAsia="仿宋"/>
                <w:b w:val="0"/>
                <w:bCs w:val="0"/>
                <w:color w:val="auto"/>
                <w:sz w:val="24"/>
                <w:highlight w:val="none"/>
                <w:vertAlign w:val="baseline"/>
                <w:lang w:val="en-US" w:eastAsia="zh-CN"/>
              </w:rPr>
            </w:pPr>
            <w:r>
              <w:rPr>
                <w:rFonts w:hint="eastAsia" w:eastAsia="仿宋"/>
                <w:b w:val="0"/>
                <w:bCs w:val="0"/>
                <w:color w:val="auto"/>
                <w:sz w:val="24"/>
                <w:highlight w:val="none"/>
                <w:vertAlign w:val="baseline"/>
                <w:lang w:val="en-US" w:eastAsia="zh-CN"/>
              </w:rPr>
              <w:t>备注</w:t>
            </w:r>
          </w:p>
        </w:tc>
        <w:tc>
          <w:tcPr>
            <w:tcW w:w="6920" w:type="dxa"/>
          </w:tcPr>
          <w:p>
            <w:pPr>
              <w:widowControl/>
              <w:spacing w:line="440" w:lineRule="exact"/>
              <w:jc w:val="left"/>
              <w:rPr>
                <w:rFonts w:eastAsia="仿宋"/>
                <w:b/>
                <w:bCs/>
                <w:color w:val="auto"/>
                <w:sz w:val="24"/>
                <w:highlight w:val="none"/>
                <w:vertAlign w:val="baseline"/>
              </w:rPr>
            </w:pPr>
          </w:p>
        </w:tc>
      </w:tr>
    </w:tbl>
    <w:p>
      <w:pPr>
        <w:widowControl/>
        <w:spacing w:line="440" w:lineRule="exact"/>
        <w:jc w:val="left"/>
        <w:rPr>
          <w:rFonts w:eastAsia="仿宋"/>
          <w:b/>
          <w:bCs/>
          <w:color w:val="auto"/>
          <w:sz w:val="24"/>
          <w:highlight w:val="none"/>
        </w:rPr>
      </w:pPr>
    </w:p>
    <w:p>
      <w:pPr>
        <w:widowControl/>
        <w:spacing w:line="440" w:lineRule="exact"/>
        <w:jc w:val="left"/>
        <w:rPr>
          <w:rFonts w:eastAsia="仿宋"/>
          <w:b/>
          <w:bCs/>
          <w:color w:val="auto"/>
          <w:sz w:val="24"/>
          <w:highlight w:val="none"/>
        </w:rPr>
      </w:pPr>
      <w:r>
        <w:rPr>
          <w:rFonts w:eastAsia="仿宋"/>
          <w:b/>
          <w:bCs/>
          <w:color w:val="auto"/>
          <w:sz w:val="24"/>
          <w:highlight w:val="none"/>
        </w:rPr>
        <w:t>注</w:t>
      </w:r>
      <w:r>
        <w:rPr>
          <w:rFonts w:hint="eastAsia" w:eastAsia="仿宋"/>
          <w:b/>
          <w:bCs/>
          <w:color w:val="auto"/>
          <w:sz w:val="24"/>
          <w:highlight w:val="none"/>
          <w:lang w:eastAsia="zh-CN"/>
        </w:rPr>
        <w:t>：</w:t>
      </w:r>
      <w:r>
        <w:rPr>
          <w:rFonts w:eastAsia="仿宋"/>
          <w:b/>
          <w:bCs/>
          <w:color w:val="auto"/>
          <w:sz w:val="24"/>
          <w:highlight w:val="none"/>
        </w:rPr>
        <w:t>1、此表应按招标文件的规定与投标保证金凭证一同单独密封在一个信封中。</w:t>
      </w:r>
    </w:p>
    <w:p>
      <w:pPr>
        <w:widowControl/>
        <w:spacing w:line="440" w:lineRule="exact"/>
        <w:ind w:firstLine="482" w:firstLineChars="200"/>
        <w:jc w:val="left"/>
        <w:rPr>
          <w:rFonts w:eastAsia="仿宋"/>
          <w:b/>
          <w:bCs/>
          <w:color w:val="auto"/>
          <w:sz w:val="24"/>
          <w:highlight w:val="none"/>
        </w:rPr>
      </w:pPr>
      <w:r>
        <w:rPr>
          <w:rFonts w:eastAsia="仿宋"/>
          <w:b/>
          <w:bCs/>
          <w:color w:val="auto"/>
          <w:sz w:val="24"/>
          <w:highlight w:val="none"/>
        </w:rPr>
        <w:t>2、若投标报价的大、小写金额不同，以大写金额为准。</w:t>
      </w:r>
    </w:p>
    <w:p>
      <w:pPr>
        <w:widowControl/>
        <w:spacing w:line="440" w:lineRule="exact"/>
        <w:ind w:firstLine="482" w:firstLineChars="200"/>
        <w:jc w:val="left"/>
        <w:rPr>
          <w:rFonts w:hint="default" w:eastAsia="仿宋"/>
          <w:b/>
          <w:bCs/>
          <w:color w:val="auto"/>
          <w:sz w:val="24"/>
          <w:highlight w:val="none"/>
          <w:lang w:val="en-US" w:eastAsia="zh-CN"/>
        </w:rPr>
      </w:pPr>
      <w:r>
        <w:rPr>
          <w:rFonts w:hint="eastAsia" w:eastAsia="仿宋"/>
          <w:b/>
          <w:bCs/>
          <w:color w:val="auto"/>
          <w:sz w:val="24"/>
          <w:highlight w:val="none"/>
          <w:lang w:val="en-US" w:eastAsia="zh-CN"/>
        </w:rPr>
        <w:t>3、车辆制造商为整车制造商，车辆品牌为整车品牌，车辆型号为整车型号。</w:t>
      </w:r>
    </w:p>
    <w:p>
      <w:pPr>
        <w:spacing w:line="460" w:lineRule="exact"/>
        <w:ind w:left="-1" w:leftChars="-50" w:hanging="104" w:hangingChars="43"/>
        <w:rPr>
          <w:rFonts w:eastAsia="仿宋"/>
          <w:b/>
          <w:color w:val="auto"/>
          <w:sz w:val="24"/>
          <w:highlight w:val="none"/>
        </w:rPr>
      </w:pPr>
    </w:p>
    <w:p>
      <w:pPr>
        <w:spacing w:line="460" w:lineRule="exact"/>
        <w:ind w:left="-2" w:leftChars="-50" w:hanging="103" w:hangingChars="43"/>
        <w:rPr>
          <w:rFonts w:eastAsia="仿宋"/>
          <w:color w:val="auto"/>
          <w:sz w:val="24"/>
          <w:highlight w:val="none"/>
        </w:rPr>
      </w:pPr>
    </w:p>
    <w:p>
      <w:pPr>
        <w:spacing w:line="460" w:lineRule="exact"/>
        <w:ind w:left="-2" w:leftChars="-50" w:hanging="103" w:hangingChars="43"/>
        <w:rPr>
          <w:rFonts w:eastAsia="仿宋"/>
          <w:color w:val="auto"/>
          <w:sz w:val="24"/>
          <w:highlight w:val="none"/>
        </w:rPr>
      </w:pP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投标人名称： （加盖公章）</w:t>
      </w: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法定代表人（或授权代表）签字（或签章）：</w:t>
      </w:r>
    </w:p>
    <w:p>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eastAsia="仿宋"/>
          <w:bCs/>
          <w:color w:val="auto"/>
          <w:sz w:val="24"/>
          <w:highlight w:val="none"/>
        </w:rPr>
      </w:pPr>
      <w:r>
        <w:rPr>
          <w:rFonts w:eastAsia="仿宋"/>
          <w:bCs/>
          <w:color w:val="auto"/>
          <w:sz w:val="24"/>
          <w:highlight w:val="none"/>
        </w:rPr>
        <w:t>日期：</w:t>
      </w:r>
    </w:p>
    <w:p>
      <w:pPr>
        <w:rPr>
          <w:rFonts w:eastAsia="仿宋"/>
          <w:b/>
          <w:bCs/>
          <w:snapToGrid w:val="0"/>
          <w:color w:val="auto"/>
          <w:kern w:val="0"/>
          <w:sz w:val="28"/>
          <w:szCs w:val="28"/>
          <w:highlight w:val="none"/>
        </w:rPr>
        <w:sectPr>
          <w:footerReference r:id="rId14" w:type="first"/>
          <w:footerReference r:id="rId13" w:type="default"/>
          <w:pgSz w:w="11907" w:h="16840"/>
          <w:pgMar w:top="1111" w:right="1134" w:bottom="936" w:left="1134" w:header="425" w:footer="573" w:gutter="0"/>
          <w:pgNumType w:fmt="decimal"/>
          <w:cols w:space="720" w:num="1"/>
          <w:titlePg/>
          <w:docGrid w:linePitch="462" w:charSpace="0"/>
        </w:sectPr>
      </w:pPr>
      <w:bookmarkStart w:id="233" w:name="_Toc399344124"/>
      <w:bookmarkStart w:id="234" w:name="_Toc400631658"/>
      <w:bookmarkStart w:id="235" w:name="_Toc399344497"/>
    </w:p>
    <w:p>
      <w:pPr>
        <w:spacing w:line="560" w:lineRule="exact"/>
        <w:jc w:val="center"/>
        <w:outlineLvl w:val="1"/>
        <w:rPr>
          <w:rFonts w:eastAsia="仿宋"/>
          <w:b/>
          <w:bCs/>
          <w:snapToGrid w:val="0"/>
          <w:color w:val="auto"/>
          <w:kern w:val="0"/>
          <w:sz w:val="28"/>
          <w:szCs w:val="28"/>
          <w:highlight w:val="none"/>
        </w:rPr>
      </w:pPr>
      <w:bookmarkStart w:id="236" w:name="_Toc5847"/>
      <w:bookmarkStart w:id="237" w:name="_Toc19263"/>
      <w:bookmarkStart w:id="238" w:name="_Toc105"/>
      <w:bookmarkStart w:id="239" w:name="_Toc26004"/>
      <w:bookmarkStart w:id="240" w:name="_Toc29614"/>
      <w:bookmarkStart w:id="241" w:name="_Toc111018950"/>
      <w:r>
        <w:rPr>
          <w:rFonts w:eastAsia="仿宋"/>
          <w:b/>
          <w:bCs/>
          <w:snapToGrid w:val="0"/>
          <w:color w:val="auto"/>
          <w:kern w:val="0"/>
          <w:sz w:val="28"/>
          <w:szCs w:val="28"/>
          <w:highlight w:val="none"/>
        </w:rPr>
        <w:t>三、</w:t>
      </w:r>
      <w:bookmarkEnd w:id="233"/>
      <w:bookmarkEnd w:id="234"/>
      <w:bookmarkEnd w:id="235"/>
      <w:bookmarkStart w:id="242" w:name="_Toc478659311"/>
      <w:bookmarkStart w:id="243" w:name="_Toc478480273"/>
      <w:r>
        <w:rPr>
          <w:rFonts w:eastAsia="仿宋"/>
          <w:b/>
          <w:bCs/>
          <w:snapToGrid w:val="0"/>
          <w:color w:val="auto"/>
          <w:kern w:val="0"/>
          <w:sz w:val="28"/>
          <w:szCs w:val="28"/>
          <w:highlight w:val="none"/>
        </w:rPr>
        <w:t>开标一览表明细</w:t>
      </w:r>
      <w:bookmarkEnd w:id="236"/>
      <w:bookmarkEnd w:id="237"/>
      <w:bookmarkEnd w:id="238"/>
      <w:bookmarkEnd w:id="239"/>
      <w:bookmarkEnd w:id="240"/>
      <w:bookmarkEnd w:id="241"/>
      <w:bookmarkEnd w:id="242"/>
      <w:bookmarkEnd w:id="243"/>
    </w:p>
    <w:p>
      <w:pPr>
        <w:spacing w:line="460" w:lineRule="exact"/>
        <w:ind w:left="-2" w:leftChars="-50" w:hanging="103" w:hangingChars="43"/>
        <w:rPr>
          <w:rFonts w:eastAsia="仿宋"/>
          <w:color w:val="auto"/>
          <w:sz w:val="24"/>
          <w:highlight w:val="none"/>
        </w:rPr>
      </w:pPr>
      <w:bookmarkStart w:id="244" w:name="_Toc399344125"/>
      <w:bookmarkStart w:id="245" w:name="_Toc400631659"/>
      <w:bookmarkStart w:id="246" w:name="_Toc399344498"/>
      <w:r>
        <w:rPr>
          <w:rFonts w:eastAsia="仿宋"/>
          <w:color w:val="auto"/>
          <w:sz w:val="24"/>
          <w:highlight w:val="none"/>
        </w:rPr>
        <w:t>投标人名称：</w:t>
      </w:r>
    </w:p>
    <w:p>
      <w:pPr>
        <w:spacing w:line="460" w:lineRule="exact"/>
        <w:ind w:left="-2" w:leftChars="-50" w:hanging="103" w:hangingChars="43"/>
        <w:rPr>
          <w:rFonts w:eastAsia="仿宋"/>
          <w:color w:val="auto"/>
          <w:sz w:val="24"/>
          <w:highlight w:val="none"/>
        </w:rPr>
      </w:pPr>
      <w:r>
        <w:rPr>
          <w:rFonts w:eastAsia="仿宋"/>
          <w:color w:val="auto"/>
          <w:sz w:val="24"/>
          <w:highlight w:val="none"/>
        </w:rPr>
        <w:t>项目编号：                                                                        包      号：</w:t>
      </w:r>
    </w:p>
    <w:tbl>
      <w:tblPr>
        <w:tblStyle w:val="43"/>
        <w:tblW w:w="1503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0"/>
        <w:gridCol w:w="1962"/>
        <w:gridCol w:w="826"/>
        <w:gridCol w:w="814"/>
        <w:gridCol w:w="720"/>
        <w:gridCol w:w="1346"/>
        <w:gridCol w:w="827"/>
        <w:gridCol w:w="853"/>
        <w:gridCol w:w="817"/>
        <w:gridCol w:w="1579"/>
        <w:gridCol w:w="1666"/>
        <w:gridCol w:w="1762"/>
        <w:gridCol w:w="1127"/>
        <w:gridCol w:w="2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序号</w:t>
            </w:r>
          </w:p>
        </w:tc>
        <w:tc>
          <w:tcPr>
            <w:tcW w:w="1962"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货物名称</w:t>
            </w:r>
          </w:p>
        </w:tc>
        <w:tc>
          <w:tcPr>
            <w:tcW w:w="826"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数量/单位</w:t>
            </w:r>
          </w:p>
        </w:tc>
        <w:tc>
          <w:tcPr>
            <w:tcW w:w="814" w:type="dxa"/>
            <w:tcBorders>
              <w:top w:val="single" w:color="auto" w:sz="12" w:space="0"/>
              <w:right w:val="single" w:color="auto" w:sz="4"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品牌</w:t>
            </w:r>
          </w:p>
        </w:tc>
        <w:tc>
          <w:tcPr>
            <w:tcW w:w="720" w:type="dxa"/>
            <w:tcBorders>
              <w:top w:val="single" w:color="auto" w:sz="12" w:space="0"/>
              <w:left w:val="single" w:color="auto" w:sz="4" w:space="0"/>
            </w:tcBorders>
            <w:vAlign w:val="center"/>
          </w:tcPr>
          <w:p>
            <w:pPr>
              <w:spacing w:line="360" w:lineRule="exact"/>
              <w:jc w:val="center"/>
              <w:rPr>
                <w:rFonts w:eastAsia="仿宋"/>
                <w:strike/>
                <w:color w:val="auto"/>
                <w:sz w:val="24"/>
                <w:szCs w:val="22"/>
                <w:highlight w:val="none"/>
              </w:rPr>
            </w:pPr>
            <w:r>
              <w:rPr>
                <w:rFonts w:eastAsia="仿宋"/>
                <w:color w:val="auto"/>
                <w:sz w:val="24"/>
                <w:szCs w:val="22"/>
                <w:highlight w:val="none"/>
              </w:rPr>
              <w:t>规格</w:t>
            </w:r>
          </w:p>
          <w:p>
            <w:pPr>
              <w:spacing w:line="360" w:lineRule="exact"/>
              <w:jc w:val="center"/>
              <w:rPr>
                <w:rFonts w:eastAsia="仿宋"/>
                <w:color w:val="auto"/>
                <w:sz w:val="24"/>
                <w:szCs w:val="22"/>
                <w:highlight w:val="none"/>
              </w:rPr>
            </w:pPr>
            <w:r>
              <w:rPr>
                <w:rFonts w:eastAsia="仿宋"/>
                <w:color w:val="auto"/>
                <w:sz w:val="24"/>
                <w:szCs w:val="22"/>
                <w:highlight w:val="none"/>
              </w:rPr>
              <w:t>型号</w:t>
            </w:r>
          </w:p>
        </w:tc>
        <w:tc>
          <w:tcPr>
            <w:tcW w:w="1346"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制造商名称</w:t>
            </w:r>
          </w:p>
        </w:tc>
        <w:tc>
          <w:tcPr>
            <w:tcW w:w="827" w:type="dxa"/>
            <w:tcBorders>
              <w:top w:val="single" w:color="auto" w:sz="12" w:space="0"/>
              <w:right w:val="single" w:color="auto" w:sz="4"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产地</w:t>
            </w:r>
          </w:p>
        </w:tc>
        <w:tc>
          <w:tcPr>
            <w:tcW w:w="853" w:type="dxa"/>
            <w:tcBorders>
              <w:top w:val="single" w:color="auto" w:sz="12" w:space="0"/>
              <w:left w:val="single" w:color="auto" w:sz="4" w:space="0"/>
              <w:right w:val="single" w:color="auto" w:sz="4" w:space="0"/>
            </w:tcBorders>
            <w:vAlign w:val="center"/>
          </w:tcPr>
          <w:p>
            <w:pPr>
              <w:spacing w:line="360" w:lineRule="exact"/>
              <w:jc w:val="cente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质保期限</w:t>
            </w:r>
          </w:p>
        </w:tc>
        <w:tc>
          <w:tcPr>
            <w:tcW w:w="817" w:type="dxa"/>
            <w:tcBorders>
              <w:top w:val="single" w:color="auto" w:sz="12" w:space="0"/>
              <w:left w:val="single" w:color="auto" w:sz="4" w:space="0"/>
            </w:tcBorders>
            <w:vAlign w:val="center"/>
          </w:tcPr>
          <w:p>
            <w:pPr>
              <w:spacing w:line="360" w:lineRule="exact"/>
              <w:jc w:val="cente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保修期限</w:t>
            </w:r>
          </w:p>
        </w:tc>
        <w:tc>
          <w:tcPr>
            <w:tcW w:w="1579"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单价</w:t>
            </w:r>
          </w:p>
          <w:p>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666"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总价</w:t>
            </w:r>
          </w:p>
          <w:p>
            <w:pPr>
              <w:spacing w:line="360" w:lineRule="exact"/>
              <w:jc w:val="center"/>
              <w:rPr>
                <w:rFonts w:hint="eastAsia" w:eastAsia="仿宋"/>
                <w:color w:val="auto"/>
                <w:sz w:val="24"/>
                <w:szCs w:val="22"/>
                <w:highlight w:val="none"/>
                <w:lang w:eastAsia="zh-CN"/>
              </w:rPr>
            </w:pPr>
            <w:r>
              <w:rPr>
                <w:rFonts w:hint="eastAsia" w:eastAsia="仿宋"/>
                <w:color w:val="auto"/>
                <w:sz w:val="24"/>
                <w:szCs w:val="22"/>
                <w:highlight w:val="none"/>
                <w:lang w:eastAsia="zh-CN"/>
              </w:rPr>
              <w:t>（</w:t>
            </w:r>
            <w:r>
              <w:rPr>
                <w:rFonts w:eastAsia="仿宋"/>
                <w:color w:val="auto"/>
                <w:sz w:val="24"/>
                <w:szCs w:val="22"/>
                <w:highlight w:val="none"/>
              </w:rPr>
              <w:t>人民币/元</w:t>
            </w:r>
            <w:r>
              <w:rPr>
                <w:rFonts w:hint="eastAsia" w:eastAsia="仿宋"/>
                <w:color w:val="auto"/>
                <w:sz w:val="24"/>
                <w:szCs w:val="22"/>
                <w:highlight w:val="none"/>
                <w:lang w:eastAsia="zh-CN"/>
              </w:rPr>
              <w:t>）</w:t>
            </w:r>
          </w:p>
        </w:tc>
        <w:tc>
          <w:tcPr>
            <w:tcW w:w="1762" w:type="dxa"/>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是否属于品目清单内的节能、环保产品</w:t>
            </w:r>
          </w:p>
        </w:tc>
        <w:tc>
          <w:tcPr>
            <w:tcW w:w="1150" w:type="dxa"/>
            <w:gridSpan w:val="2"/>
            <w:tcBorders>
              <w:top w:val="single" w:color="auto" w:sz="12" w:space="0"/>
            </w:tcBorders>
            <w:vAlign w:val="center"/>
          </w:tcPr>
          <w:p>
            <w:pPr>
              <w:spacing w:line="360" w:lineRule="exact"/>
              <w:jc w:val="center"/>
              <w:rPr>
                <w:rFonts w:eastAsia="仿宋"/>
                <w:color w:val="auto"/>
                <w:sz w:val="24"/>
                <w:szCs w:val="22"/>
                <w:highlight w:val="none"/>
              </w:rPr>
            </w:pPr>
            <w:r>
              <w:rPr>
                <w:rFonts w:eastAsia="仿宋"/>
                <w:color w:val="auto"/>
                <w:sz w:val="24"/>
                <w:szCs w:val="22"/>
                <w:highlight w:val="none"/>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1</w:t>
            </w:r>
          </w:p>
        </w:tc>
        <w:tc>
          <w:tcPr>
            <w:tcW w:w="1962" w:type="dxa"/>
          </w:tcPr>
          <w:p>
            <w:pPr>
              <w:spacing w:line="460" w:lineRule="atLeast"/>
              <w:jc w:val="center"/>
              <w:rPr>
                <w:rFonts w:eastAsia="仿宋"/>
                <w:color w:val="auto"/>
                <w:sz w:val="24"/>
                <w:szCs w:val="22"/>
                <w:highlight w:val="none"/>
              </w:rPr>
            </w:pPr>
          </w:p>
        </w:tc>
        <w:tc>
          <w:tcPr>
            <w:tcW w:w="826" w:type="dxa"/>
          </w:tcPr>
          <w:p>
            <w:pPr>
              <w:spacing w:line="460" w:lineRule="atLeast"/>
              <w:jc w:val="center"/>
              <w:rPr>
                <w:rFonts w:eastAsia="仿宋"/>
                <w:color w:val="auto"/>
                <w:sz w:val="24"/>
                <w:szCs w:val="22"/>
                <w:highlight w:val="none"/>
              </w:rPr>
            </w:pPr>
          </w:p>
        </w:tc>
        <w:tc>
          <w:tcPr>
            <w:tcW w:w="814" w:type="dxa"/>
            <w:tcBorders>
              <w:right w:val="single" w:color="auto" w:sz="4" w:space="0"/>
            </w:tcBorders>
            <w:vAlign w:val="center"/>
          </w:tcPr>
          <w:p>
            <w:pPr>
              <w:spacing w:line="460" w:lineRule="exact"/>
              <w:jc w:val="center"/>
              <w:rPr>
                <w:rFonts w:eastAsia="仿宋"/>
                <w:color w:val="auto"/>
                <w:sz w:val="24"/>
                <w:szCs w:val="22"/>
                <w:highlight w:val="none"/>
              </w:rPr>
            </w:pPr>
          </w:p>
        </w:tc>
        <w:tc>
          <w:tcPr>
            <w:tcW w:w="720" w:type="dxa"/>
            <w:tcBorders>
              <w:left w:val="single" w:color="auto" w:sz="4" w:space="0"/>
            </w:tcBorders>
            <w:vAlign w:val="center"/>
          </w:tcPr>
          <w:p>
            <w:pPr>
              <w:spacing w:line="460" w:lineRule="exact"/>
              <w:jc w:val="center"/>
              <w:rPr>
                <w:rFonts w:eastAsia="仿宋"/>
                <w:color w:val="auto"/>
                <w:sz w:val="24"/>
                <w:szCs w:val="22"/>
                <w:highlight w:val="none"/>
              </w:rPr>
            </w:pPr>
          </w:p>
        </w:tc>
        <w:tc>
          <w:tcPr>
            <w:tcW w:w="1346" w:type="dxa"/>
          </w:tcPr>
          <w:p>
            <w:pPr>
              <w:spacing w:line="460" w:lineRule="exact"/>
              <w:jc w:val="center"/>
              <w:rPr>
                <w:rFonts w:eastAsia="仿宋"/>
                <w:color w:val="auto"/>
                <w:sz w:val="24"/>
                <w:szCs w:val="22"/>
                <w:highlight w:val="none"/>
              </w:rPr>
            </w:pPr>
          </w:p>
        </w:tc>
        <w:tc>
          <w:tcPr>
            <w:tcW w:w="827" w:type="dxa"/>
            <w:tcBorders>
              <w:right w:val="single" w:color="auto" w:sz="4" w:space="0"/>
            </w:tcBorders>
            <w:vAlign w:val="center"/>
          </w:tcPr>
          <w:p>
            <w:pPr>
              <w:spacing w:line="460" w:lineRule="exact"/>
              <w:jc w:val="center"/>
              <w:rPr>
                <w:rFonts w:eastAsia="仿宋"/>
                <w:color w:val="auto"/>
                <w:sz w:val="24"/>
                <w:szCs w:val="22"/>
                <w:highlight w:val="none"/>
              </w:rPr>
            </w:pPr>
          </w:p>
        </w:tc>
        <w:tc>
          <w:tcPr>
            <w:tcW w:w="853" w:type="dxa"/>
            <w:tcBorders>
              <w:left w:val="single" w:color="auto" w:sz="4" w:space="0"/>
              <w:right w:val="single" w:color="auto" w:sz="4" w:space="0"/>
            </w:tcBorders>
            <w:vAlign w:val="center"/>
          </w:tcPr>
          <w:p>
            <w:pPr>
              <w:spacing w:line="460" w:lineRule="exact"/>
              <w:jc w:val="center"/>
              <w:rPr>
                <w:rFonts w:eastAsia="仿宋"/>
                <w:color w:val="auto"/>
                <w:sz w:val="24"/>
                <w:szCs w:val="22"/>
                <w:highlight w:val="none"/>
              </w:rPr>
            </w:pPr>
          </w:p>
        </w:tc>
        <w:tc>
          <w:tcPr>
            <w:tcW w:w="817" w:type="dxa"/>
            <w:tcBorders>
              <w:left w:val="single" w:color="auto" w:sz="4" w:space="0"/>
            </w:tcBorders>
            <w:vAlign w:val="center"/>
          </w:tcPr>
          <w:p>
            <w:pPr>
              <w:spacing w:line="460" w:lineRule="exact"/>
              <w:jc w:val="center"/>
              <w:rPr>
                <w:rFonts w:eastAsia="仿宋"/>
                <w:color w:val="auto"/>
                <w:sz w:val="24"/>
                <w:szCs w:val="22"/>
                <w:highlight w:val="none"/>
              </w:rPr>
            </w:pPr>
          </w:p>
        </w:tc>
        <w:tc>
          <w:tcPr>
            <w:tcW w:w="1579" w:type="dxa"/>
            <w:vAlign w:val="center"/>
          </w:tcPr>
          <w:p>
            <w:pPr>
              <w:spacing w:line="460" w:lineRule="exact"/>
              <w:jc w:val="center"/>
              <w:rPr>
                <w:rFonts w:eastAsia="仿宋"/>
                <w:color w:val="auto"/>
                <w:sz w:val="24"/>
                <w:szCs w:val="22"/>
                <w:highlight w:val="none"/>
              </w:rPr>
            </w:pPr>
          </w:p>
        </w:tc>
        <w:tc>
          <w:tcPr>
            <w:tcW w:w="1666" w:type="dxa"/>
            <w:vAlign w:val="center"/>
          </w:tcPr>
          <w:p>
            <w:pPr>
              <w:spacing w:line="460" w:lineRule="exact"/>
              <w:jc w:val="center"/>
              <w:rPr>
                <w:rFonts w:eastAsia="仿宋"/>
                <w:color w:val="auto"/>
                <w:sz w:val="24"/>
                <w:szCs w:val="22"/>
                <w:highlight w:val="none"/>
              </w:rPr>
            </w:pPr>
          </w:p>
        </w:tc>
        <w:tc>
          <w:tcPr>
            <w:tcW w:w="1762" w:type="dxa"/>
          </w:tcPr>
          <w:p>
            <w:pPr>
              <w:spacing w:line="460" w:lineRule="exact"/>
              <w:jc w:val="center"/>
              <w:rPr>
                <w:rFonts w:eastAsia="仿宋"/>
                <w:color w:val="auto"/>
                <w:sz w:val="24"/>
                <w:szCs w:val="22"/>
                <w:highlight w:val="none"/>
              </w:rPr>
            </w:pPr>
          </w:p>
        </w:tc>
        <w:tc>
          <w:tcPr>
            <w:tcW w:w="1150" w:type="dxa"/>
            <w:gridSpan w:val="2"/>
            <w:vAlign w:val="center"/>
          </w:tcPr>
          <w:p>
            <w:pPr>
              <w:spacing w:line="460" w:lineRule="exact"/>
              <w:jc w:val="cente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10" w:type="dxa"/>
            <w:vAlign w:val="center"/>
          </w:tcPr>
          <w:p>
            <w:pPr>
              <w:spacing w:line="460" w:lineRule="exact"/>
              <w:jc w:val="center"/>
              <w:rPr>
                <w:rFonts w:eastAsia="仿宋"/>
                <w:color w:val="auto"/>
                <w:sz w:val="24"/>
                <w:szCs w:val="22"/>
                <w:highlight w:val="none"/>
              </w:rPr>
            </w:pPr>
            <w:r>
              <w:rPr>
                <w:rFonts w:eastAsia="仿宋"/>
                <w:color w:val="auto"/>
                <w:sz w:val="24"/>
                <w:szCs w:val="22"/>
                <w:highlight w:val="none"/>
              </w:rPr>
              <w:t>…</w:t>
            </w:r>
          </w:p>
        </w:tc>
        <w:tc>
          <w:tcPr>
            <w:tcW w:w="1962" w:type="dxa"/>
          </w:tcPr>
          <w:p>
            <w:pPr>
              <w:spacing w:line="460" w:lineRule="atLeast"/>
              <w:jc w:val="center"/>
              <w:rPr>
                <w:rFonts w:eastAsia="仿宋"/>
                <w:color w:val="auto"/>
                <w:sz w:val="24"/>
                <w:szCs w:val="22"/>
                <w:highlight w:val="none"/>
              </w:rPr>
            </w:pPr>
            <w:r>
              <w:rPr>
                <w:rFonts w:eastAsia="仿宋"/>
                <w:color w:val="auto"/>
                <w:sz w:val="24"/>
                <w:szCs w:val="22"/>
                <w:highlight w:val="none"/>
              </w:rPr>
              <w:t>…</w:t>
            </w:r>
          </w:p>
        </w:tc>
        <w:tc>
          <w:tcPr>
            <w:tcW w:w="826" w:type="dxa"/>
            <w:vAlign w:val="center"/>
          </w:tcPr>
          <w:p>
            <w:pPr>
              <w:spacing w:line="460" w:lineRule="atLeast"/>
              <w:jc w:val="center"/>
              <w:rPr>
                <w:rFonts w:eastAsia="仿宋"/>
                <w:color w:val="auto"/>
                <w:sz w:val="24"/>
                <w:szCs w:val="22"/>
                <w:highlight w:val="none"/>
              </w:rPr>
            </w:pPr>
          </w:p>
        </w:tc>
        <w:tc>
          <w:tcPr>
            <w:tcW w:w="814" w:type="dxa"/>
            <w:tcBorders>
              <w:right w:val="single" w:color="auto" w:sz="4" w:space="0"/>
            </w:tcBorders>
            <w:vAlign w:val="center"/>
          </w:tcPr>
          <w:p>
            <w:pPr>
              <w:spacing w:line="460" w:lineRule="exact"/>
              <w:jc w:val="center"/>
              <w:rPr>
                <w:rFonts w:eastAsia="仿宋"/>
                <w:color w:val="auto"/>
                <w:sz w:val="24"/>
                <w:szCs w:val="22"/>
                <w:highlight w:val="none"/>
              </w:rPr>
            </w:pPr>
          </w:p>
        </w:tc>
        <w:tc>
          <w:tcPr>
            <w:tcW w:w="720" w:type="dxa"/>
            <w:tcBorders>
              <w:left w:val="single" w:color="auto" w:sz="4" w:space="0"/>
            </w:tcBorders>
            <w:vAlign w:val="center"/>
          </w:tcPr>
          <w:p>
            <w:pPr>
              <w:spacing w:line="460" w:lineRule="exact"/>
              <w:jc w:val="center"/>
              <w:rPr>
                <w:rFonts w:eastAsia="仿宋"/>
                <w:color w:val="auto"/>
                <w:sz w:val="24"/>
                <w:szCs w:val="22"/>
                <w:highlight w:val="none"/>
              </w:rPr>
            </w:pPr>
          </w:p>
        </w:tc>
        <w:tc>
          <w:tcPr>
            <w:tcW w:w="1346" w:type="dxa"/>
          </w:tcPr>
          <w:p>
            <w:pPr>
              <w:spacing w:line="460" w:lineRule="exact"/>
              <w:jc w:val="center"/>
              <w:rPr>
                <w:rFonts w:eastAsia="仿宋"/>
                <w:color w:val="auto"/>
                <w:sz w:val="24"/>
                <w:szCs w:val="22"/>
                <w:highlight w:val="none"/>
              </w:rPr>
            </w:pPr>
          </w:p>
        </w:tc>
        <w:tc>
          <w:tcPr>
            <w:tcW w:w="827" w:type="dxa"/>
            <w:tcBorders>
              <w:right w:val="single" w:color="auto" w:sz="4" w:space="0"/>
            </w:tcBorders>
            <w:vAlign w:val="center"/>
          </w:tcPr>
          <w:p>
            <w:pPr>
              <w:spacing w:line="460" w:lineRule="exact"/>
              <w:jc w:val="center"/>
              <w:rPr>
                <w:rFonts w:eastAsia="仿宋"/>
                <w:color w:val="auto"/>
                <w:sz w:val="24"/>
                <w:szCs w:val="22"/>
                <w:highlight w:val="none"/>
              </w:rPr>
            </w:pPr>
          </w:p>
        </w:tc>
        <w:tc>
          <w:tcPr>
            <w:tcW w:w="853" w:type="dxa"/>
            <w:tcBorders>
              <w:left w:val="single" w:color="auto" w:sz="4" w:space="0"/>
              <w:right w:val="single" w:color="auto" w:sz="4" w:space="0"/>
            </w:tcBorders>
            <w:vAlign w:val="center"/>
          </w:tcPr>
          <w:p>
            <w:pPr>
              <w:spacing w:line="460" w:lineRule="exact"/>
              <w:jc w:val="center"/>
              <w:rPr>
                <w:rFonts w:eastAsia="仿宋"/>
                <w:color w:val="auto"/>
                <w:sz w:val="24"/>
                <w:szCs w:val="22"/>
                <w:highlight w:val="none"/>
              </w:rPr>
            </w:pPr>
          </w:p>
        </w:tc>
        <w:tc>
          <w:tcPr>
            <w:tcW w:w="817" w:type="dxa"/>
            <w:tcBorders>
              <w:left w:val="single" w:color="auto" w:sz="4" w:space="0"/>
            </w:tcBorders>
            <w:vAlign w:val="center"/>
          </w:tcPr>
          <w:p>
            <w:pPr>
              <w:spacing w:line="460" w:lineRule="exact"/>
              <w:jc w:val="center"/>
              <w:rPr>
                <w:rFonts w:eastAsia="仿宋"/>
                <w:color w:val="auto"/>
                <w:sz w:val="24"/>
                <w:szCs w:val="22"/>
                <w:highlight w:val="none"/>
              </w:rPr>
            </w:pPr>
          </w:p>
        </w:tc>
        <w:tc>
          <w:tcPr>
            <w:tcW w:w="1579" w:type="dxa"/>
            <w:vAlign w:val="center"/>
          </w:tcPr>
          <w:p>
            <w:pPr>
              <w:spacing w:line="460" w:lineRule="exact"/>
              <w:jc w:val="center"/>
              <w:rPr>
                <w:rFonts w:eastAsia="仿宋"/>
                <w:color w:val="auto"/>
                <w:sz w:val="24"/>
                <w:szCs w:val="22"/>
                <w:highlight w:val="none"/>
              </w:rPr>
            </w:pPr>
          </w:p>
        </w:tc>
        <w:tc>
          <w:tcPr>
            <w:tcW w:w="1666" w:type="dxa"/>
            <w:vAlign w:val="center"/>
          </w:tcPr>
          <w:p>
            <w:pPr>
              <w:spacing w:line="460" w:lineRule="exact"/>
              <w:jc w:val="center"/>
              <w:rPr>
                <w:rFonts w:eastAsia="仿宋"/>
                <w:color w:val="auto"/>
                <w:sz w:val="24"/>
                <w:szCs w:val="22"/>
                <w:highlight w:val="none"/>
              </w:rPr>
            </w:pPr>
          </w:p>
        </w:tc>
        <w:tc>
          <w:tcPr>
            <w:tcW w:w="1762" w:type="dxa"/>
          </w:tcPr>
          <w:p>
            <w:pPr>
              <w:spacing w:line="460" w:lineRule="exact"/>
              <w:jc w:val="center"/>
              <w:rPr>
                <w:rFonts w:eastAsia="仿宋"/>
                <w:color w:val="auto"/>
                <w:sz w:val="24"/>
                <w:szCs w:val="22"/>
                <w:highlight w:val="none"/>
              </w:rPr>
            </w:pPr>
          </w:p>
        </w:tc>
        <w:tc>
          <w:tcPr>
            <w:tcW w:w="1150" w:type="dxa"/>
            <w:gridSpan w:val="2"/>
            <w:vAlign w:val="center"/>
          </w:tcPr>
          <w:p>
            <w:pPr>
              <w:spacing w:line="460" w:lineRule="exact"/>
              <w:jc w:val="cente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gridAfter w:val="1"/>
          <w:wAfter w:w="23" w:type="dxa"/>
        </w:trPr>
        <w:tc>
          <w:tcPr>
            <w:tcW w:w="15009" w:type="dxa"/>
            <w:gridSpan w:val="13"/>
            <w:tcBorders>
              <w:bottom w:val="single" w:color="auto" w:sz="12" w:space="0"/>
            </w:tcBorders>
          </w:tcPr>
          <w:p>
            <w:pPr>
              <w:spacing w:line="460" w:lineRule="exact"/>
              <w:jc w:val="left"/>
              <w:rPr>
                <w:rFonts w:eastAsia="仿宋"/>
                <w:color w:val="auto"/>
                <w:sz w:val="24"/>
                <w:szCs w:val="22"/>
                <w:highlight w:val="none"/>
              </w:rPr>
            </w:pPr>
            <w:r>
              <w:rPr>
                <w:rFonts w:eastAsia="仿宋"/>
                <w:color w:val="auto"/>
                <w:sz w:val="24"/>
                <w:szCs w:val="22"/>
                <w:highlight w:val="none"/>
              </w:rPr>
              <w:t>合计：（大写）           ￥：（小写）</w:t>
            </w:r>
          </w:p>
        </w:tc>
      </w:tr>
    </w:tbl>
    <w:p>
      <w:pPr>
        <w:spacing w:line="460" w:lineRule="exact"/>
        <w:rPr>
          <w:rFonts w:eastAsia="仿宋"/>
          <w:color w:val="auto"/>
          <w:sz w:val="24"/>
          <w:szCs w:val="24"/>
          <w:highlight w:val="none"/>
        </w:rPr>
      </w:pPr>
      <w:r>
        <w:rPr>
          <w:rFonts w:eastAsia="仿宋"/>
          <w:color w:val="auto"/>
          <w:sz w:val="24"/>
          <w:highlight w:val="none"/>
        </w:rPr>
        <w:t>注：</w:t>
      </w:r>
      <w:r>
        <w:rPr>
          <w:rFonts w:eastAsia="仿宋"/>
          <w:color w:val="auto"/>
          <w:sz w:val="24"/>
          <w:szCs w:val="24"/>
          <w:highlight w:val="none"/>
        </w:rPr>
        <w:t>1.</w:t>
      </w:r>
      <w:r>
        <w:rPr>
          <w:rFonts w:hint="eastAsia" w:eastAsia="仿宋"/>
          <w:color w:val="auto"/>
          <w:sz w:val="24"/>
          <w:szCs w:val="24"/>
          <w:highlight w:val="none"/>
        </w:rPr>
        <w:t>中、小、微企业、监狱或残疾人福利性单位产品须在明细表中注明，并在投标文件中提供相应证明材料，否则产生的一切后果由 投标人承担。</w:t>
      </w:r>
    </w:p>
    <w:p>
      <w:pPr>
        <w:spacing w:line="460" w:lineRule="exac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2.</w:t>
      </w:r>
      <w:r>
        <w:rPr>
          <w:rFonts w:eastAsia="仿宋"/>
          <w:color w:val="auto"/>
          <w:sz w:val="24"/>
          <w:szCs w:val="24"/>
          <w:highlight w:val="none"/>
        </w:rPr>
        <w:t>属于《节能产品政府采购品目清单》、《环境标志产品政府采购品目清单》的产品需注明，并提供国家确定的认证机构出具的有效认证证书扫描件，否则产生的一切后果由投标人承担。（不属于节能产品、环境标志产品的不需提供）。</w:t>
      </w:r>
    </w:p>
    <w:p>
      <w:pPr>
        <w:spacing w:line="460" w:lineRule="exact"/>
        <w:ind w:firstLine="480" w:firstLineChars="200"/>
        <w:rPr>
          <w:rFonts w:eastAsia="仿宋"/>
          <w:color w:val="auto"/>
          <w:sz w:val="24"/>
          <w:szCs w:val="24"/>
          <w:highlight w:val="none"/>
        </w:rPr>
      </w:pPr>
      <w:r>
        <w:rPr>
          <w:rFonts w:hint="eastAsia" w:eastAsia="仿宋"/>
          <w:color w:val="auto"/>
          <w:sz w:val="24"/>
          <w:szCs w:val="24"/>
          <w:highlight w:val="none"/>
          <w:lang w:val="en-US" w:eastAsia="zh-CN"/>
        </w:rPr>
        <w:t>3</w:t>
      </w:r>
      <w:r>
        <w:rPr>
          <w:rFonts w:eastAsia="仿宋"/>
          <w:color w:val="auto"/>
          <w:sz w:val="24"/>
          <w:szCs w:val="24"/>
          <w:highlight w:val="none"/>
        </w:rPr>
        <w:t>.招标文件对节能、环保产品另有规定的从其规定。</w:t>
      </w:r>
    </w:p>
    <w:p>
      <w:pPr>
        <w:spacing w:line="460" w:lineRule="exact"/>
        <w:ind w:firstLine="480" w:firstLineChars="200"/>
        <w:rPr>
          <w:rFonts w:hint="default" w:eastAsia="仿宋"/>
          <w:b w:val="0"/>
          <w:bCs/>
          <w:color w:val="auto"/>
          <w:sz w:val="24"/>
          <w:szCs w:val="24"/>
          <w:highlight w:val="none"/>
          <w:lang w:val="en-US" w:eastAsia="zh-CN"/>
        </w:rPr>
      </w:pPr>
      <w:r>
        <w:rPr>
          <w:rFonts w:hint="eastAsia" w:eastAsia="仿宋"/>
          <w:b w:val="0"/>
          <w:bCs/>
          <w:color w:val="auto"/>
          <w:sz w:val="24"/>
          <w:szCs w:val="24"/>
          <w:highlight w:val="none"/>
          <w:lang w:val="en-US" w:eastAsia="zh-CN"/>
        </w:rPr>
        <w:t>4</w:t>
      </w:r>
      <w:r>
        <w:rPr>
          <w:rFonts w:eastAsia="仿宋"/>
          <w:b w:val="0"/>
          <w:bCs/>
          <w:color w:val="auto"/>
          <w:sz w:val="24"/>
          <w:szCs w:val="24"/>
          <w:highlight w:val="none"/>
        </w:rPr>
        <w:t>.</w:t>
      </w:r>
      <w:r>
        <w:rPr>
          <w:rFonts w:hint="eastAsia" w:eastAsia="仿宋"/>
          <w:b w:val="0"/>
          <w:bCs/>
          <w:color w:val="auto"/>
          <w:sz w:val="24"/>
          <w:szCs w:val="24"/>
          <w:highlight w:val="none"/>
          <w:lang w:val="en-US" w:eastAsia="zh-CN"/>
        </w:rPr>
        <w:t>须在开标一览表明细中明确车辆整车构成的组成部分，并在表中填写车辆组成部分的数量、品牌、规格型号、制造商名称、产地、单价、总价。</w:t>
      </w:r>
    </w:p>
    <w:p>
      <w:pPr>
        <w:spacing w:line="460" w:lineRule="exact"/>
        <w:ind w:firstLine="480" w:firstLineChars="200"/>
        <w:rPr>
          <w:rFonts w:eastAsia="仿宋"/>
          <w:b/>
          <w:color w:val="auto"/>
          <w:sz w:val="24"/>
          <w:highlight w:val="none"/>
        </w:rPr>
      </w:pPr>
      <w:r>
        <w:rPr>
          <w:rFonts w:hint="eastAsia" w:eastAsia="仿宋"/>
          <w:b w:val="0"/>
          <w:bCs/>
          <w:color w:val="auto"/>
          <w:sz w:val="24"/>
          <w:szCs w:val="24"/>
          <w:highlight w:val="none"/>
          <w:lang w:val="en-US" w:eastAsia="zh-CN"/>
        </w:rPr>
        <w:t>5</w:t>
      </w:r>
      <w:r>
        <w:rPr>
          <w:rFonts w:hint="eastAsia" w:eastAsia="仿宋"/>
          <w:b/>
          <w:color w:val="auto"/>
          <w:sz w:val="24"/>
          <w:szCs w:val="24"/>
          <w:highlight w:val="none"/>
          <w:lang w:val="en-US" w:eastAsia="zh-CN"/>
        </w:rPr>
        <w:t>.</w:t>
      </w:r>
      <w:r>
        <w:rPr>
          <w:rFonts w:eastAsia="仿宋"/>
          <w:b/>
          <w:color w:val="auto"/>
          <w:sz w:val="24"/>
          <w:szCs w:val="24"/>
          <w:highlight w:val="none"/>
        </w:rPr>
        <w:t>此表应按招标文件的规定与开标一览表一同单独密封在一个信封中。</w:t>
      </w: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360" w:lineRule="auto"/>
        <w:rPr>
          <w:rFonts w:eastAsia="仿宋"/>
          <w:color w:val="auto"/>
          <w:sz w:val="24"/>
          <w:highlight w:val="none"/>
        </w:rPr>
        <w:sectPr>
          <w:pgSz w:w="16840" w:h="11907" w:orient="landscape"/>
          <w:pgMar w:top="1134" w:right="1111" w:bottom="1134" w:left="936" w:header="425" w:footer="573" w:gutter="0"/>
          <w:pgNumType w:fmt="decimal"/>
          <w:cols w:space="720" w:num="1"/>
          <w:titlePg/>
          <w:docGrid w:linePitch="462" w:charSpace="0"/>
        </w:sectPr>
      </w:pPr>
    </w:p>
    <w:p>
      <w:pPr>
        <w:spacing w:line="560" w:lineRule="exact"/>
        <w:jc w:val="center"/>
        <w:outlineLvl w:val="1"/>
        <w:rPr>
          <w:rFonts w:eastAsia="仿宋"/>
          <w:b/>
          <w:bCs/>
          <w:snapToGrid w:val="0"/>
          <w:color w:val="auto"/>
          <w:kern w:val="0"/>
          <w:sz w:val="28"/>
          <w:szCs w:val="28"/>
          <w:highlight w:val="none"/>
        </w:rPr>
      </w:pPr>
      <w:bookmarkStart w:id="247" w:name="_Toc6950"/>
      <w:bookmarkStart w:id="248" w:name="_Toc14883"/>
      <w:bookmarkStart w:id="249" w:name="_Toc11339"/>
      <w:bookmarkStart w:id="250" w:name="_Toc19481"/>
      <w:bookmarkStart w:id="251" w:name="_Toc111018951"/>
      <w:bookmarkStart w:id="252" w:name="_Toc7246"/>
      <w:r>
        <w:rPr>
          <w:rFonts w:eastAsia="仿宋"/>
          <w:b/>
          <w:bCs/>
          <w:snapToGrid w:val="0"/>
          <w:color w:val="auto"/>
          <w:kern w:val="0"/>
          <w:sz w:val="28"/>
          <w:szCs w:val="28"/>
          <w:highlight w:val="none"/>
        </w:rPr>
        <w:t>四、技术条款响应表</w:t>
      </w:r>
      <w:bookmarkEnd w:id="244"/>
      <w:bookmarkEnd w:id="245"/>
      <w:bookmarkEnd w:id="246"/>
      <w:bookmarkEnd w:id="247"/>
      <w:bookmarkEnd w:id="248"/>
      <w:bookmarkEnd w:id="249"/>
      <w:bookmarkEnd w:id="250"/>
      <w:bookmarkEnd w:id="251"/>
      <w:bookmarkEnd w:id="252"/>
    </w:p>
    <w:p>
      <w:pPr>
        <w:spacing w:line="360" w:lineRule="auto"/>
        <w:rPr>
          <w:rFonts w:eastAsia="仿宋"/>
          <w:color w:val="auto"/>
          <w:sz w:val="24"/>
          <w:highlight w:val="none"/>
        </w:rPr>
      </w:pPr>
      <w:r>
        <w:rPr>
          <w:rFonts w:eastAsia="仿宋"/>
          <w:color w:val="auto"/>
          <w:sz w:val="24"/>
          <w:highlight w:val="none"/>
        </w:rPr>
        <w:t>投标人名称：</w:t>
      </w:r>
    </w:p>
    <w:p>
      <w:pPr>
        <w:spacing w:line="360" w:lineRule="auto"/>
        <w:rPr>
          <w:rFonts w:hint="eastAsia"/>
          <w:color w:val="auto"/>
          <w:highlight w:val="none"/>
          <w:lang w:val="en-US" w:eastAsia="zh-CN"/>
        </w:rPr>
      </w:pPr>
      <w:r>
        <w:rPr>
          <w:rFonts w:eastAsia="仿宋"/>
          <w:color w:val="auto"/>
          <w:sz w:val="24"/>
          <w:highlight w:val="none"/>
        </w:rPr>
        <w:t>项目编号：                                            包号：</w:t>
      </w:r>
    </w:p>
    <w:tbl>
      <w:tblPr>
        <w:tblStyle w:val="43"/>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819"/>
        <w:gridCol w:w="2863"/>
        <w:gridCol w:w="1627"/>
        <w:gridCol w:w="1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87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81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招标文件技术条款</w:t>
            </w:r>
          </w:p>
        </w:tc>
        <w:tc>
          <w:tcPr>
            <w:tcW w:w="2863"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投标人响应技术条款</w:t>
            </w:r>
          </w:p>
        </w:tc>
        <w:tc>
          <w:tcPr>
            <w:tcW w:w="1627"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1096"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pPr>
              <w:spacing w:line="312" w:lineRule="auto"/>
              <w:jc w:val="center"/>
              <w:rPr>
                <w:rFonts w:eastAsia="仿宋"/>
                <w:color w:val="auto"/>
                <w:sz w:val="24"/>
                <w:szCs w:val="22"/>
                <w:highlight w:val="none"/>
              </w:rPr>
            </w:pPr>
          </w:p>
        </w:tc>
        <w:tc>
          <w:tcPr>
            <w:tcW w:w="2819" w:type="dxa"/>
          </w:tcPr>
          <w:p>
            <w:pPr>
              <w:spacing w:line="360" w:lineRule="auto"/>
              <w:rPr>
                <w:rFonts w:eastAsia="仿宋"/>
                <w:color w:val="auto"/>
                <w:sz w:val="24"/>
                <w:szCs w:val="22"/>
                <w:highlight w:val="none"/>
              </w:rPr>
            </w:pPr>
          </w:p>
        </w:tc>
        <w:tc>
          <w:tcPr>
            <w:tcW w:w="2863" w:type="dxa"/>
          </w:tcPr>
          <w:p>
            <w:pPr>
              <w:spacing w:line="360" w:lineRule="auto"/>
              <w:rPr>
                <w:rFonts w:eastAsia="仿宋"/>
                <w:color w:val="auto"/>
                <w:sz w:val="24"/>
                <w:szCs w:val="22"/>
                <w:highlight w:val="none"/>
              </w:rPr>
            </w:pPr>
          </w:p>
        </w:tc>
        <w:tc>
          <w:tcPr>
            <w:tcW w:w="1627" w:type="dxa"/>
          </w:tcPr>
          <w:p>
            <w:pPr>
              <w:spacing w:line="360" w:lineRule="auto"/>
              <w:rPr>
                <w:rFonts w:eastAsia="仿宋"/>
                <w:color w:val="auto"/>
                <w:sz w:val="24"/>
                <w:szCs w:val="22"/>
                <w:highlight w:val="none"/>
              </w:rPr>
            </w:pPr>
          </w:p>
        </w:tc>
        <w:tc>
          <w:tcPr>
            <w:tcW w:w="1096" w:type="dxa"/>
          </w:tcPr>
          <w:p>
            <w:pPr>
              <w:spacing w:line="360" w:lineRule="auto"/>
              <w:rPr>
                <w:rFonts w:eastAsia="仿宋"/>
                <w:color w:val="auto"/>
                <w:sz w:val="24"/>
                <w:szCs w:val="22"/>
                <w:highlight w:val="none"/>
              </w:rPr>
            </w:pPr>
          </w:p>
        </w:tc>
      </w:tr>
    </w:tbl>
    <w:p>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投标文件响应技术条款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招标文件技术条款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招标文件~第五章~招标项目需求~技术要求</w:t>
      </w:r>
      <w:r>
        <w:rPr>
          <w:rFonts w:hint="eastAsia" w:eastAsia="仿宋"/>
          <w:b/>
          <w:color w:val="auto"/>
          <w:sz w:val="24"/>
          <w:szCs w:val="24"/>
          <w:highlight w:val="none"/>
          <w:lang w:eastAsia="zh-CN"/>
        </w:rPr>
        <w:t>”</w:t>
      </w:r>
      <w:r>
        <w:rPr>
          <w:rFonts w:eastAsia="仿宋"/>
          <w:b/>
          <w:color w:val="auto"/>
          <w:sz w:val="24"/>
          <w:szCs w:val="24"/>
          <w:highlight w:val="none"/>
        </w:rPr>
        <w:t>。</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，可在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pPr>
        <w:spacing w:line="460" w:lineRule="exact"/>
        <w:rPr>
          <w:rFonts w:eastAsia="仿宋"/>
          <w:color w:val="auto"/>
          <w:sz w:val="24"/>
          <w:highlight w:val="none"/>
        </w:rPr>
      </w:pPr>
      <w:bookmarkStart w:id="253" w:name="_Toc399344499"/>
      <w:bookmarkStart w:id="254" w:name="_Toc400631660"/>
      <w:bookmarkStart w:id="255" w:name="_Toc399344126"/>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256" w:name="_Toc13208"/>
      <w:bookmarkStart w:id="257" w:name="_Toc32040"/>
      <w:bookmarkStart w:id="258" w:name="_Toc111018952"/>
      <w:bookmarkStart w:id="259" w:name="_Toc5625"/>
      <w:bookmarkStart w:id="260" w:name="_Toc15553"/>
      <w:bookmarkStart w:id="261" w:name="_Toc23397"/>
      <w:r>
        <w:rPr>
          <w:rFonts w:eastAsia="仿宋"/>
          <w:b/>
          <w:bCs/>
          <w:snapToGrid w:val="0"/>
          <w:color w:val="auto"/>
          <w:kern w:val="0"/>
          <w:sz w:val="28"/>
          <w:szCs w:val="28"/>
          <w:highlight w:val="none"/>
        </w:rPr>
        <w:t>五、商务条款响应表</w:t>
      </w:r>
      <w:bookmarkEnd w:id="253"/>
      <w:bookmarkEnd w:id="254"/>
      <w:bookmarkEnd w:id="255"/>
      <w:bookmarkEnd w:id="256"/>
      <w:bookmarkEnd w:id="257"/>
      <w:bookmarkEnd w:id="258"/>
      <w:bookmarkEnd w:id="259"/>
      <w:bookmarkEnd w:id="260"/>
      <w:bookmarkEnd w:id="261"/>
    </w:p>
    <w:p>
      <w:pPr>
        <w:spacing w:line="360" w:lineRule="auto"/>
        <w:rPr>
          <w:rFonts w:eastAsia="仿宋"/>
          <w:color w:val="auto"/>
          <w:sz w:val="24"/>
          <w:highlight w:val="none"/>
        </w:rPr>
      </w:pPr>
      <w:r>
        <w:rPr>
          <w:rFonts w:eastAsia="仿宋"/>
          <w:color w:val="auto"/>
          <w:sz w:val="24"/>
          <w:highlight w:val="none"/>
        </w:rPr>
        <w:t>投标人名称：</w:t>
      </w:r>
    </w:p>
    <w:p>
      <w:pPr>
        <w:spacing w:line="360" w:lineRule="auto"/>
        <w:rPr>
          <w:rFonts w:hint="eastAsia"/>
          <w:color w:val="auto"/>
          <w:highlight w:val="none"/>
          <w:lang w:val="en-US" w:eastAsia="zh-CN"/>
        </w:rPr>
      </w:pPr>
      <w:r>
        <w:rPr>
          <w:rFonts w:eastAsia="仿宋"/>
          <w:color w:val="auto"/>
          <w:sz w:val="24"/>
          <w:highlight w:val="none"/>
        </w:rPr>
        <w:t>项目编号：                                            包号：</w:t>
      </w:r>
    </w:p>
    <w:tbl>
      <w:tblPr>
        <w:tblStyle w:val="43"/>
        <w:tblW w:w="92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553"/>
        <w:gridCol w:w="2686"/>
        <w:gridCol w:w="1842"/>
        <w:gridCol w:w="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序号</w:t>
            </w:r>
          </w:p>
        </w:tc>
        <w:tc>
          <w:tcPr>
            <w:tcW w:w="2553"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招标文件商务条款</w:t>
            </w:r>
          </w:p>
        </w:tc>
        <w:tc>
          <w:tcPr>
            <w:tcW w:w="2686"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投标文件响应商务条款</w:t>
            </w:r>
          </w:p>
        </w:tc>
        <w:tc>
          <w:tcPr>
            <w:tcW w:w="1842"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响应/偏离</w:t>
            </w:r>
          </w:p>
        </w:tc>
        <w:tc>
          <w:tcPr>
            <w:tcW w:w="962"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ind w:left="252" w:leftChars="120"/>
              <w:rPr>
                <w:rFonts w:eastAsia="仿宋"/>
                <w:color w:val="auto"/>
                <w:sz w:val="24"/>
                <w:szCs w:val="22"/>
                <w:highlight w:val="none"/>
              </w:rPr>
            </w:pPr>
          </w:p>
        </w:tc>
        <w:tc>
          <w:tcPr>
            <w:tcW w:w="1842" w:type="dxa"/>
            <w:vAlign w:val="center"/>
          </w:tcPr>
          <w:p>
            <w:pPr>
              <w:spacing w:line="360" w:lineRule="exact"/>
              <w:ind w:left="252" w:leftChars="120"/>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r>
              <w:rPr>
                <w:rFonts w:eastAsia="仿宋"/>
                <w:color w:val="auto"/>
                <w:sz w:val="24"/>
                <w:szCs w:val="22"/>
                <w:highlight w:val="none"/>
              </w:rPr>
              <w:t>　</w:t>
            </w: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rPr>
                <w:rFonts w:eastAsia="仿宋"/>
                <w:color w:val="auto"/>
                <w:sz w:val="24"/>
                <w:szCs w:val="22"/>
                <w:highlight w:val="none"/>
              </w:rPr>
            </w:pPr>
          </w:p>
        </w:tc>
        <w:tc>
          <w:tcPr>
            <w:tcW w:w="1842" w:type="dxa"/>
            <w:vAlign w:val="center"/>
          </w:tcPr>
          <w:p>
            <w:pPr>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39" w:type="dxa"/>
            <w:vAlign w:val="center"/>
          </w:tcPr>
          <w:p>
            <w:pPr>
              <w:spacing w:line="360" w:lineRule="exact"/>
              <w:jc w:val="center"/>
              <w:rPr>
                <w:rFonts w:eastAsia="仿宋"/>
                <w:color w:val="auto"/>
                <w:sz w:val="24"/>
                <w:szCs w:val="22"/>
                <w:highlight w:val="none"/>
              </w:rPr>
            </w:pPr>
          </w:p>
        </w:tc>
        <w:tc>
          <w:tcPr>
            <w:tcW w:w="2553" w:type="dxa"/>
            <w:vAlign w:val="center"/>
          </w:tcPr>
          <w:p>
            <w:pPr>
              <w:spacing w:line="360" w:lineRule="exact"/>
              <w:rPr>
                <w:rFonts w:eastAsia="仿宋"/>
                <w:color w:val="auto"/>
                <w:sz w:val="24"/>
                <w:szCs w:val="22"/>
                <w:highlight w:val="none"/>
              </w:rPr>
            </w:pPr>
          </w:p>
        </w:tc>
        <w:tc>
          <w:tcPr>
            <w:tcW w:w="2686" w:type="dxa"/>
            <w:vAlign w:val="center"/>
          </w:tcPr>
          <w:p>
            <w:pPr>
              <w:spacing w:line="360" w:lineRule="exact"/>
              <w:rPr>
                <w:rFonts w:eastAsia="仿宋"/>
                <w:color w:val="auto"/>
                <w:sz w:val="24"/>
                <w:szCs w:val="22"/>
                <w:highlight w:val="none"/>
              </w:rPr>
            </w:pPr>
          </w:p>
        </w:tc>
        <w:tc>
          <w:tcPr>
            <w:tcW w:w="1842" w:type="dxa"/>
            <w:vAlign w:val="center"/>
          </w:tcPr>
          <w:p>
            <w:pPr>
              <w:spacing w:line="360" w:lineRule="exact"/>
              <w:rPr>
                <w:rFonts w:eastAsia="仿宋"/>
                <w:color w:val="auto"/>
                <w:sz w:val="24"/>
                <w:szCs w:val="22"/>
                <w:highlight w:val="none"/>
              </w:rPr>
            </w:pPr>
          </w:p>
        </w:tc>
        <w:tc>
          <w:tcPr>
            <w:tcW w:w="962" w:type="dxa"/>
          </w:tcPr>
          <w:p>
            <w:pPr>
              <w:spacing w:line="400" w:lineRule="exact"/>
              <w:rPr>
                <w:rFonts w:eastAsia="仿宋"/>
                <w:color w:val="auto"/>
                <w:sz w:val="24"/>
                <w:szCs w:val="22"/>
                <w:highlight w:val="none"/>
              </w:rPr>
            </w:pPr>
          </w:p>
        </w:tc>
      </w:tr>
    </w:tbl>
    <w:p>
      <w:pPr>
        <w:spacing w:line="400" w:lineRule="exact"/>
        <w:rPr>
          <w:rFonts w:eastAsia="仿宋"/>
          <w:b/>
          <w:color w:val="auto"/>
          <w:sz w:val="24"/>
          <w:szCs w:val="24"/>
          <w:highlight w:val="none"/>
        </w:rPr>
      </w:pPr>
      <w:r>
        <w:rPr>
          <w:rFonts w:eastAsia="仿宋"/>
          <w:b/>
          <w:color w:val="auto"/>
          <w:sz w:val="24"/>
          <w:szCs w:val="24"/>
          <w:highlight w:val="none"/>
        </w:rPr>
        <w:t>注：</w:t>
      </w:r>
      <w:r>
        <w:rPr>
          <w:rFonts w:hint="eastAsia" w:ascii="宋体" w:hAnsi="宋体" w:cs="宋体"/>
          <w:b/>
          <w:color w:val="auto"/>
          <w:sz w:val="24"/>
          <w:szCs w:val="24"/>
          <w:highlight w:val="none"/>
        </w:rPr>
        <w:t>⑴</w:t>
      </w:r>
      <w:r>
        <w:rPr>
          <w:rFonts w:hint="eastAsia" w:eastAsia="仿宋"/>
          <w:b/>
          <w:color w:val="auto"/>
          <w:sz w:val="24"/>
          <w:szCs w:val="24"/>
          <w:highlight w:val="none"/>
          <w:lang w:eastAsia="zh-CN"/>
        </w:rPr>
        <w:t>“</w:t>
      </w:r>
      <w:r>
        <w:rPr>
          <w:rFonts w:eastAsia="仿宋"/>
          <w:b/>
          <w:color w:val="auto"/>
          <w:sz w:val="24"/>
          <w:szCs w:val="24"/>
          <w:highlight w:val="none"/>
        </w:rPr>
        <w:t>投标文件响应商务条款</w:t>
      </w:r>
      <w:r>
        <w:rPr>
          <w:rFonts w:hint="eastAsia" w:eastAsia="仿宋"/>
          <w:b/>
          <w:color w:val="auto"/>
          <w:sz w:val="24"/>
          <w:szCs w:val="24"/>
          <w:highlight w:val="none"/>
          <w:lang w:eastAsia="zh-CN"/>
        </w:rPr>
        <w:t>”</w:t>
      </w:r>
      <w:r>
        <w:rPr>
          <w:rFonts w:eastAsia="仿宋"/>
          <w:b/>
          <w:color w:val="auto"/>
          <w:sz w:val="24"/>
          <w:szCs w:val="24"/>
          <w:highlight w:val="none"/>
        </w:rPr>
        <w:t>一栏中对应</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中内容。</w:t>
      </w:r>
      <w:r>
        <w:rPr>
          <w:rFonts w:hint="eastAsia" w:eastAsia="仿宋"/>
          <w:b/>
          <w:color w:val="auto"/>
          <w:sz w:val="24"/>
          <w:szCs w:val="24"/>
          <w:highlight w:val="none"/>
          <w:lang w:eastAsia="zh-CN"/>
        </w:rPr>
        <w:t>“</w:t>
      </w:r>
      <w:r>
        <w:rPr>
          <w:rFonts w:eastAsia="仿宋"/>
          <w:b/>
          <w:color w:val="auto"/>
          <w:sz w:val="24"/>
          <w:szCs w:val="24"/>
          <w:highlight w:val="none"/>
        </w:rPr>
        <w:t>招标文件商务条款</w:t>
      </w:r>
      <w:r>
        <w:rPr>
          <w:rFonts w:hint="eastAsia" w:eastAsia="仿宋"/>
          <w:b/>
          <w:color w:val="auto"/>
          <w:sz w:val="24"/>
          <w:szCs w:val="24"/>
          <w:highlight w:val="none"/>
          <w:lang w:eastAsia="zh-CN"/>
        </w:rPr>
        <w:t>”</w:t>
      </w:r>
      <w:r>
        <w:rPr>
          <w:rFonts w:eastAsia="仿宋"/>
          <w:b/>
          <w:color w:val="auto"/>
          <w:sz w:val="24"/>
          <w:szCs w:val="24"/>
          <w:highlight w:val="none"/>
        </w:rPr>
        <w:t>详见</w:t>
      </w:r>
      <w:r>
        <w:rPr>
          <w:rFonts w:hint="eastAsia" w:eastAsia="仿宋"/>
          <w:b/>
          <w:color w:val="auto"/>
          <w:sz w:val="24"/>
          <w:szCs w:val="24"/>
          <w:highlight w:val="none"/>
          <w:lang w:eastAsia="zh-CN"/>
        </w:rPr>
        <w:t>“</w:t>
      </w:r>
      <w:r>
        <w:rPr>
          <w:rFonts w:eastAsia="仿宋"/>
          <w:b/>
          <w:color w:val="auto"/>
          <w:sz w:val="24"/>
          <w:szCs w:val="24"/>
          <w:highlight w:val="none"/>
        </w:rPr>
        <w:t>招标文件~第五章~招标项目需求~商务要求</w:t>
      </w:r>
      <w:r>
        <w:rPr>
          <w:rFonts w:hint="eastAsia" w:eastAsia="仿宋"/>
          <w:b/>
          <w:color w:val="auto"/>
          <w:sz w:val="24"/>
          <w:szCs w:val="24"/>
          <w:highlight w:val="none"/>
          <w:lang w:eastAsia="zh-CN"/>
        </w:rPr>
        <w:t>”</w:t>
      </w:r>
      <w:r>
        <w:rPr>
          <w:rFonts w:eastAsia="仿宋"/>
          <w:b/>
          <w:color w:val="auto"/>
          <w:sz w:val="24"/>
          <w:szCs w:val="24"/>
          <w:highlight w:val="none"/>
        </w:rPr>
        <w:t>。</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⑵</w:t>
      </w:r>
      <w:r>
        <w:rPr>
          <w:rFonts w:hint="eastAsia" w:eastAsia="仿宋"/>
          <w:b/>
          <w:color w:val="auto"/>
          <w:sz w:val="24"/>
          <w:szCs w:val="24"/>
          <w:highlight w:val="none"/>
          <w:lang w:eastAsia="zh-CN"/>
        </w:rPr>
        <w:t>“</w:t>
      </w:r>
      <w:r>
        <w:rPr>
          <w:rFonts w:eastAsia="仿宋"/>
          <w:b/>
          <w:color w:val="auto"/>
          <w:sz w:val="24"/>
          <w:szCs w:val="24"/>
          <w:highlight w:val="none"/>
        </w:rPr>
        <w:t>响应/偏离</w:t>
      </w:r>
      <w:r>
        <w:rPr>
          <w:rFonts w:hint="eastAsia" w:eastAsia="仿宋"/>
          <w:b/>
          <w:color w:val="auto"/>
          <w:sz w:val="24"/>
          <w:szCs w:val="24"/>
          <w:highlight w:val="none"/>
          <w:lang w:eastAsia="zh-CN"/>
        </w:rPr>
        <w:t>”</w:t>
      </w:r>
      <w:r>
        <w:rPr>
          <w:rFonts w:eastAsia="仿宋"/>
          <w:b/>
          <w:color w:val="auto"/>
          <w:sz w:val="24"/>
          <w:szCs w:val="24"/>
          <w:highlight w:val="none"/>
        </w:rPr>
        <w:t>一栏中写</w:t>
      </w:r>
      <w:r>
        <w:rPr>
          <w:rFonts w:hint="eastAsia" w:eastAsia="仿宋"/>
          <w:b/>
          <w:color w:val="auto"/>
          <w:sz w:val="24"/>
          <w:szCs w:val="24"/>
          <w:highlight w:val="none"/>
          <w:lang w:eastAsia="zh-CN"/>
        </w:rPr>
        <w:t>“</w:t>
      </w:r>
      <w:r>
        <w:rPr>
          <w:rFonts w:eastAsia="仿宋"/>
          <w:b/>
          <w:color w:val="auto"/>
          <w:sz w:val="24"/>
          <w:szCs w:val="24"/>
          <w:highlight w:val="none"/>
        </w:rPr>
        <w:t>完全响应</w:t>
      </w:r>
      <w:r>
        <w:rPr>
          <w:rFonts w:hint="eastAsia" w:eastAsia="仿宋"/>
          <w:b/>
          <w:color w:val="auto"/>
          <w:sz w:val="24"/>
          <w:szCs w:val="24"/>
          <w:highlight w:val="none"/>
          <w:lang w:eastAsia="zh-CN"/>
        </w:rPr>
        <w:t>”</w:t>
      </w:r>
      <w:r>
        <w:rPr>
          <w:rFonts w:eastAsia="仿宋"/>
          <w:b/>
          <w:color w:val="auto"/>
          <w:sz w:val="24"/>
          <w:szCs w:val="24"/>
          <w:highlight w:val="none"/>
        </w:rPr>
        <w:t>或者</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，如</w:t>
      </w:r>
      <w:r>
        <w:rPr>
          <w:rFonts w:hint="eastAsia" w:eastAsia="仿宋"/>
          <w:b/>
          <w:color w:val="auto"/>
          <w:sz w:val="24"/>
          <w:szCs w:val="24"/>
          <w:highlight w:val="none"/>
          <w:lang w:eastAsia="zh-CN"/>
        </w:rPr>
        <w:t>“</w:t>
      </w:r>
      <w:r>
        <w:rPr>
          <w:rFonts w:eastAsia="仿宋"/>
          <w:b/>
          <w:color w:val="auto"/>
          <w:sz w:val="24"/>
          <w:szCs w:val="24"/>
          <w:highlight w:val="none"/>
        </w:rPr>
        <w:t>正（负）偏离</w:t>
      </w:r>
      <w:r>
        <w:rPr>
          <w:rFonts w:hint="eastAsia" w:eastAsia="仿宋"/>
          <w:b/>
          <w:color w:val="auto"/>
          <w:sz w:val="24"/>
          <w:szCs w:val="24"/>
          <w:highlight w:val="none"/>
          <w:lang w:eastAsia="zh-CN"/>
        </w:rPr>
        <w:t>”</w:t>
      </w:r>
      <w:r>
        <w:rPr>
          <w:rFonts w:eastAsia="仿宋"/>
          <w:b/>
          <w:color w:val="auto"/>
          <w:sz w:val="24"/>
          <w:szCs w:val="24"/>
          <w:highlight w:val="none"/>
        </w:rPr>
        <w:t>，可在</w:t>
      </w:r>
      <w:r>
        <w:rPr>
          <w:rFonts w:hint="eastAsia" w:eastAsia="仿宋"/>
          <w:b/>
          <w:color w:val="auto"/>
          <w:sz w:val="24"/>
          <w:szCs w:val="24"/>
          <w:highlight w:val="none"/>
          <w:lang w:eastAsia="zh-CN"/>
        </w:rPr>
        <w:t>“</w:t>
      </w:r>
      <w:r>
        <w:rPr>
          <w:rFonts w:eastAsia="仿宋"/>
          <w:b/>
          <w:color w:val="auto"/>
          <w:sz w:val="24"/>
          <w:szCs w:val="24"/>
          <w:highlight w:val="none"/>
        </w:rPr>
        <w:t>说明</w:t>
      </w:r>
      <w:r>
        <w:rPr>
          <w:rFonts w:hint="eastAsia" w:eastAsia="仿宋"/>
          <w:b/>
          <w:color w:val="auto"/>
          <w:sz w:val="24"/>
          <w:szCs w:val="24"/>
          <w:highlight w:val="none"/>
          <w:lang w:eastAsia="zh-CN"/>
        </w:rPr>
        <w:t>”</w:t>
      </w:r>
      <w:r>
        <w:rPr>
          <w:rFonts w:eastAsia="仿宋"/>
          <w:b/>
          <w:color w:val="auto"/>
          <w:sz w:val="24"/>
          <w:szCs w:val="24"/>
          <w:highlight w:val="none"/>
        </w:rPr>
        <w:t>一栏中说明情况。</w:t>
      </w:r>
    </w:p>
    <w:p>
      <w:pPr>
        <w:spacing w:line="400" w:lineRule="exact"/>
        <w:ind w:firstLine="482" w:firstLineChars="200"/>
        <w:rPr>
          <w:rFonts w:eastAsia="仿宋"/>
          <w:b/>
          <w:color w:val="auto"/>
          <w:sz w:val="24"/>
          <w:szCs w:val="24"/>
          <w:highlight w:val="none"/>
        </w:rPr>
      </w:pPr>
      <w:r>
        <w:rPr>
          <w:rFonts w:hint="eastAsia" w:ascii="宋体" w:hAnsi="宋体" w:cs="宋体"/>
          <w:b/>
          <w:color w:val="auto"/>
          <w:sz w:val="24"/>
          <w:szCs w:val="24"/>
          <w:highlight w:val="none"/>
        </w:rPr>
        <w:t>⑶</w:t>
      </w:r>
      <w:r>
        <w:rPr>
          <w:rFonts w:eastAsia="仿宋"/>
          <w:b/>
          <w:color w:val="auto"/>
          <w:sz w:val="24"/>
          <w:szCs w:val="24"/>
          <w:highlight w:val="none"/>
        </w:rPr>
        <w:t>投标人不按上述表格填写，所产生的一切后果由投标人承担。</w:t>
      </w:r>
    </w:p>
    <w:p>
      <w:pPr>
        <w:spacing w:line="460" w:lineRule="exact"/>
        <w:rPr>
          <w:rFonts w:eastAsia="仿宋"/>
          <w:color w:val="auto"/>
          <w:sz w:val="24"/>
          <w:highlight w:val="none"/>
        </w:rPr>
      </w:pPr>
    </w:p>
    <w:p>
      <w:pPr>
        <w:spacing w:line="460" w:lineRule="exact"/>
        <w:ind w:left="690"/>
        <w:rPr>
          <w:rFonts w:eastAsia="仿宋"/>
          <w:color w:val="auto"/>
          <w:sz w:val="24"/>
          <w:highlight w:val="none"/>
        </w:rPr>
      </w:pPr>
      <w:bookmarkStart w:id="262" w:name="_Toc399344127"/>
      <w:bookmarkStart w:id="263" w:name="_Toc399344500"/>
      <w:bookmarkStart w:id="264" w:name="_Toc400631661"/>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u w:val="single"/>
        </w:rPr>
        <w:br w:type="page"/>
      </w:r>
      <w:bookmarkStart w:id="265" w:name="_Toc19358"/>
      <w:bookmarkStart w:id="266" w:name="_Toc10820"/>
      <w:bookmarkStart w:id="267" w:name="_Toc8449"/>
      <w:bookmarkStart w:id="268" w:name="_Toc1976"/>
      <w:bookmarkStart w:id="269" w:name="_Toc111018953"/>
      <w:bookmarkStart w:id="270" w:name="_Toc4191"/>
      <w:r>
        <w:rPr>
          <w:rFonts w:eastAsia="仿宋"/>
          <w:b/>
          <w:bCs/>
          <w:snapToGrid w:val="0"/>
          <w:color w:val="auto"/>
          <w:kern w:val="0"/>
          <w:sz w:val="28"/>
          <w:szCs w:val="28"/>
          <w:highlight w:val="none"/>
        </w:rPr>
        <w:t>六、关于资格的声明函</w:t>
      </w:r>
      <w:bookmarkEnd w:id="262"/>
      <w:bookmarkEnd w:id="263"/>
      <w:bookmarkEnd w:id="264"/>
      <w:bookmarkEnd w:id="265"/>
      <w:bookmarkEnd w:id="266"/>
      <w:bookmarkEnd w:id="267"/>
      <w:bookmarkEnd w:id="268"/>
      <w:bookmarkEnd w:id="269"/>
      <w:bookmarkEnd w:id="270"/>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致：</w:t>
      </w:r>
      <w:r>
        <w:rPr>
          <w:rFonts w:eastAsia="仿宋"/>
          <w:b/>
          <w:color w:val="auto"/>
          <w:sz w:val="24"/>
          <w:highlight w:val="none"/>
          <w:u w:val="single"/>
        </w:rPr>
        <w:t>（</w:t>
      </w:r>
      <w:r>
        <w:rPr>
          <w:rFonts w:hint="eastAsia" w:eastAsia="仿宋"/>
          <w:b/>
          <w:color w:val="auto"/>
          <w:sz w:val="24"/>
          <w:highlight w:val="none"/>
          <w:u w:val="single"/>
          <w:lang w:eastAsia="zh-CN"/>
        </w:rPr>
        <w:t>江西合胜合招标咨询有限公司</w:t>
      </w:r>
      <w:r>
        <w:rPr>
          <w:rFonts w:eastAsia="仿宋"/>
          <w:b/>
          <w:color w:val="auto"/>
          <w:sz w:val="24"/>
          <w:highlight w:val="none"/>
          <w:u w:val="single"/>
        </w:rPr>
        <w:t>）</w:t>
      </w:r>
    </w:p>
    <w:p>
      <w:pPr>
        <w:spacing w:line="460" w:lineRule="exact"/>
        <w:ind w:firstLine="480" w:firstLineChars="200"/>
        <w:rPr>
          <w:rFonts w:eastAsia="仿宋"/>
          <w:color w:val="auto"/>
          <w:sz w:val="24"/>
          <w:highlight w:val="none"/>
        </w:rPr>
      </w:pPr>
      <w:r>
        <w:rPr>
          <w:rFonts w:eastAsia="仿宋"/>
          <w:color w:val="auto"/>
          <w:sz w:val="24"/>
          <w:highlight w:val="none"/>
        </w:rPr>
        <w:t>关于贵方</w:t>
      </w:r>
      <w:r>
        <w:rPr>
          <w:rFonts w:eastAsia="仿宋"/>
          <w:color w:val="auto"/>
          <w:sz w:val="24"/>
          <w:highlight w:val="none"/>
          <w:u w:val="single"/>
        </w:rPr>
        <w:t>（项目名称、项目编号、包号）</w:t>
      </w:r>
      <w:r>
        <w:rPr>
          <w:rFonts w:eastAsia="仿宋"/>
          <w:color w:val="auto"/>
          <w:sz w:val="24"/>
          <w:highlight w:val="none"/>
        </w:rPr>
        <w:t>投标邀请，本签字人愿意参加投标，提供招标文件中规定的货物和服务，并证明投标文件中所提交的所有材料和所述事项均是准确的和真实的。</w:t>
      </w:r>
    </w:p>
    <w:p>
      <w:pPr>
        <w:spacing w:line="460" w:lineRule="exact"/>
        <w:rPr>
          <w:rFonts w:eastAsia="仿宋"/>
          <w:color w:val="auto"/>
          <w:sz w:val="24"/>
          <w:highlight w:val="none"/>
        </w:rPr>
      </w:pP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spacing w:line="560" w:lineRule="exact"/>
        <w:jc w:val="center"/>
        <w:outlineLvl w:val="1"/>
        <w:rPr>
          <w:rFonts w:eastAsia="仿宋"/>
          <w:b/>
          <w:bCs/>
          <w:snapToGrid w:val="0"/>
          <w:color w:val="auto"/>
          <w:kern w:val="0"/>
          <w:sz w:val="28"/>
          <w:szCs w:val="28"/>
          <w:highlight w:val="none"/>
        </w:rPr>
      </w:pPr>
      <w:r>
        <w:rPr>
          <w:rFonts w:eastAsia="仿宋"/>
          <w:color w:val="auto"/>
          <w:szCs w:val="21"/>
          <w:highlight w:val="none"/>
          <w:u w:val="single"/>
        </w:rPr>
        <w:br w:type="page"/>
      </w:r>
      <w:bookmarkStart w:id="271" w:name="_Toc9112"/>
      <w:bookmarkStart w:id="272" w:name="_Toc8250"/>
      <w:bookmarkStart w:id="273" w:name="_Toc21008"/>
      <w:bookmarkStart w:id="274" w:name="_Toc10507"/>
      <w:bookmarkStart w:id="275" w:name="_Toc111018954"/>
      <w:bookmarkStart w:id="276" w:name="_Toc11020"/>
      <w:r>
        <w:rPr>
          <w:rFonts w:eastAsia="仿宋"/>
          <w:b/>
          <w:bCs/>
          <w:snapToGrid w:val="0"/>
          <w:color w:val="auto"/>
          <w:kern w:val="0"/>
          <w:sz w:val="28"/>
          <w:szCs w:val="28"/>
          <w:highlight w:val="none"/>
        </w:rPr>
        <w:t>七、法定代表人授权书</w:t>
      </w:r>
      <w:bookmarkEnd w:id="271"/>
      <w:bookmarkEnd w:id="272"/>
      <w:bookmarkEnd w:id="273"/>
      <w:bookmarkEnd w:id="274"/>
      <w:bookmarkEnd w:id="275"/>
      <w:bookmarkEnd w:id="276"/>
    </w:p>
    <w:p>
      <w:pPr>
        <w:spacing w:line="460" w:lineRule="exact"/>
        <w:rPr>
          <w:rFonts w:eastAsia="仿宋"/>
          <w:color w:val="auto"/>
          <w:sz w:val="24"/>
          <w:highlight w:val="none"/>
        </w:rPr>
      </w:pPr>
    </w:p>
    <w:p>
      <w:pPr>
        <w:spacing w:line="460" w:lineRule="exact"/>
        <w:rPr>
          <w:rFonts w:eastAsia="仿宋"/>
          <w:color w:val="auto"/>
          <w:sz w:val="24"/>
          <w:highlight w:val="none"/>
        </w:rPr>
      </w:pPr>
      <w:r>
        <w:rPr>
          <w:rFonts w:hint="eastAsia" w:eastAsia="仿宋"/>
          <w:color w:val="auto"/>
          <w:sz w:val="24"/>
          <w:highlight w:val="none"/>
          <w:lang w:eastAsia="zh-CN"/>
        </w:rPr>
        <w:t>江西合胜合招标咨询有限公司</w:t>
      </w:r>
      <w:r>
        <w:rPr>
          <w:rFonts w:eastAsia="仿宋"/>
          <w:color w:val="auto"/>
          <w:sz w:val="24"/>
          <w:highlight w:val="none"/>
        </w:rPr>
        <w:t>：</w:t>
      </w:r>
    </w:p>
    <w:p>
      <w:pPr>
        <w:spacing w:line="460" w:lineRule="exact"/>
        <w:ind w:firstLine="480" w:firstLineChars="200"/>
        <w:rPr>
          <w:rFonts w:eastAsia="仿宋"/>
          <w:color w:val="auto"/>
          <w:sz w:val="24"/>
          <w:highlight w:val="none"/>
          <w:u w:val="single"/>
        </w:rPr>
      </w:pPr>
      <w:r>
        <w:rPr>
          <w:rFonts w:eastAsia="仿宋"/>
          <w:color w:val="auto"/>
          <w:sz w:val="24"/>
          <w:highlight w:val="none"/>
        </w:rPr>
        <w:t>本授权委托书声明：我（姓名），系（单位名称）的法定代表人，兹授权同志，为我方签订经济合同及办理其他事务代理人，其权限是：</w:t>
      </w:r>
      <w:r>
        <w:rPr>
          <w:rFonts w:eastAsia="仿宋"/>
          <w:color w:val="auto"/>
          <w:sz w:val="24"/>
          <w:highlight w:val="none"/>
          <w:u w:val="single"/>
        </w:rPr>
        <w:t>全权代表本公司参与（项目名称、项目编号、包号）的投标，负责提供与签署确认一切文书资料，以及向贵方递交的任何补充承诺。</w:t>
      </w:r>
    </w:p>
    <w:p>
      <w:pPr>
        <w:spacing w:line="460" w:lineRule="exact"/>
        <w:ind w:left="690"/>
        <w:rPr>
          <w:rFonts w:eastAsia="仿宋"/>
          <w:color w:val="auto"/>
          <w:sz w:val="24"/>
          <w:highlight w:val="none"/>
        </w:rPr>
      </w:pPr>
      <w:r>
        <w:rPr>
          <w:rFonts w:eastAsia="仿宋"/>
          <w:color w:val="auto"/>
          <w:sz w:val="24"/>
          <w:highlight w:val="none"/>
        </w:rPr>
        <w:t>投标人名称： （加盖公章）</w:t>
      </w:r>
    </w:p>
    <w:p>
      <w:pPr>
        <w:spacing w:line="460" w:lineRule="exact"/>
        <w:ind w:firstLine="561"/>
        <w:rPr>
          <w:rFonts w:eastAsia="仿宋"/>
          <w:color w:val="auto"/>
          <w:sz w:val="24"/>
          <w:highlight w:val="none"/>
        </w:rPr>
      </w:pPr>
      <w:r>
        <w:rPr>
          <w:rFonts w:eastAsia="仿宋"/>
          <w:color w:val="auto"/>
          <w:sz w:val="24"/>
          <w:highlight w:val="none"/>
        </w:rPr>
        <w:t xml:space="preserve"> 法定代表人：（签字或签章）</w:t>
      </w:r>
    </w:p>
    <w:p>
      <w:pPr>
        <w:spacing w:line="460" w:lineRule="exact"/>
        <w:ind w:firstLine="561"/>
        <w:rPr>
          <w:rFonts w:eastAsia="仿宋"/>
          <w:color w:val="auto"/>
          <w:sz w:val="24"/>
          <w:highlight w:val="none"/>
        </w:rPr>
      </w:pPr>
      <w:r>
        <w:rPr>
          <w:rFonts w:eastAsia="仿宋"/>
          <w:color w:val="auto"/>
          <w:sz w:val="24"/>
          <w:highlight w:val="none"/>
        </w:rPr>
        <w:t>有效期限：与本公司投标文件中标注的投标有效期相同，自本单位盖公章之日起生效。</w:t>
      </w:r>
    </w:p>
    <w:p>
      <w:pPr>
        <w:spacing w:line="460" w:lineRule="exact"/>
        <w:ind w:firstLine="561"/>
        <w:rPr>
          <w:rFonts w:eastAsia="仿宋"/>
          <w:color w:val="auto"/>
          <w:sz w:val="24"/>
          <w:highlight w:val="none"/>
        </w:rPr>
      </w:pPr>
      <w:r>
        <w:rPr>
          <w:rFonts w:eastAsia="仿宋"/>
          <w:color w:val="auto"/>
          <w:sz w:val="24"/>
          <w:highlight w:val="none"/>
        </w:rPr>
        <w:t>签发日期：</w:t>
      </w:r>
    </w:p>
    <w:p>
      <w:pPr>
        <w:spacing w:line="460" w:lineRule="exact"/>
        <w:ind w:firstLine="561"/>
        <w:rPr>
          <w:rFonts w:eastAsia="仿宋"/>
          <w:color w:val="auto"/>
          <w:sz w:val="24"/>
          <w:highlight w:val="none"/>
        </w:rPr>
      </w:pPr>
      <w:r>
        <w:rPr>
          <w:rFonts w:eastAsia="仿宋"/>
          <w:color w:val="auto"/>
          <w:sz w:val="24"/>
          <w:highlight w:val="none"/>
        </w:rPr>
        <w:t xml:space="preserve">附：代理人性别：        年龄：       职务：         </w:t>
      </w:r>
    </w:p>
    <w:p>
      <w:pPr>
        <w:spacing w:line="460" w:lineRule="exact"/>
        <w:ind w:firstLine="561"/>
        <w:rPr>
          <w:rFonts w:eastAsia="仿宋"/>
          <w:color w:val="auto"/>
          <w:sz w:val="24"/>
          <w:highlight w:val="none"/>
        </w:rPr>
      </w:pPr>
      <w:r>
        <w:rPr>
          <w:rFonts w:eastAsia="仿宋"/>
          <w:color w:val="auto"/>
          <w:sz w:val="24"/>
          <w:highlight w:val="none"/>
        </w:rPr>
        <w:t>身份证号码：                     联系电话：</w:t>
      </w:r>
    </w:p>
    <w:p>
      <w:pPr>
        <w:spacing w:line="460" w:lineRule="exact"/>
        <w:rPr>
          <w:rFonts w:eastAsia="仿宋"/>
          <w:color w:val="auto"/>
          <w:sz w:val="24"/>
          <w:highlight w:val="none"/>
        </w:rPr>
      </w:pPr>
      <w:r>
        <w:rPr>
          <w:rFonts w:eastAsia="仿宋"/>
          <w:color w:val="auto"/>
          <w:sz w:val="24"/>
          <w:highlight w:val="none"/>
        </w:rPr>
        <w:t>说明：1.法定代表人为企业事业单位、国家机关、社会团体的主要行政负责人。</w:t>
      </w:r>
    </w:p>
    <w:p>
      <w:pPr>
        <w:spacing w:line="460" w:lineRule="exact"/>
        <w:ind w:firstLine="708" w:firstLineChars="295"/>
        <w:rPr>
          <w:rFonts w:eastAsia="仿宋"/>
          <w:color w:val="auto"/>
          <w:sz w:val="24"/>
          <w:highlight w:val="none"/>
        </w:rPr>
      </w:pPr>
      <w:r>
        <w:rPr>
          <w:rFonts w:eastAsia="仿宋"/>
          <w:color w:val="auto"/>
          <w:sz w:val="24"/>
          <w:highlight w:val="none"/>
        </w:rPr>
        <w:t>2.内容必须填写真实、清楚、涂改无效，不得转让。</w:t>
      </w:r>
    </w:p>
    <w:p>
      <w:pPr>
        <w:spacing w:line="460" w:lineRule="exact"/>
        <w:ind w:firstLine="708" w:firstLineChars="295"/>
        <w:rPr>
          <w:rFonts w:eastAsia="仿宋"/>
          <w:color w:val="auto"/>
          <w:sz w:val="24"/>
          <w:highlight w:val="none"/>
        </w:rPr>
      </w:pPr>
      <w:r>
        <w:rPr>
          <w:rFonts w:eastAsia="仿宋"/>
          <w:color w:val="auto"/>
          <w:sz w:val="24"/>
          <w:highlight w:val="none"/>
        </w:rPr>
        <w:t>3.法定代表人本人参与投标，则本表不适用。</w:t>
      </w:r>
    </w:p>
    <w:tbl>
      <w:tblPr>
        <w:tblStyle w:val="4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1"/>
        <w:gridCol w:w="46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5" w:hRule="atLeast"/>
        </w:trPr>
        <w:tc>
          <w:tcPr>
            <w:tcW w:w="4641"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法定代表人身份证粘贴处</w:t>
            </w:r>
          </w:p>
        </w:tc>
        <w:tc>
          <w:tcPr>
            <w:tcW w:w="4645" w:type="dxa"/>
            <w:vAlign w:val="center"/>
          </w:tcPr>
          <w:p>
            <w:pPr>
              <w:spacing w:line="360" w:lineRule="auto"/>
              <w:jc w:val="center"/>
              <w:rPr>
                <w:rFonts w:eastAsia="仿宋"/>
                <w:color w:val="auto"/>
                <w:sz w:val="24"/>
                <w:szCs w:val="22"/>
                <w:highlight w:val="none"/>
              </w:rPr>
            </w:pPr>
            <w:r>
              <w:rPr>
                <w:rFonts w:eastAsia="仿宋"/>
                <w:color w:val="auto"/>
                <w:sz w:val="24"/>
                <w:szCs w:val="22"/>
                <w:highlight w:val="none"/>
              </w:rPr>
              <w:t>委托人身份证粘贴处</w:t>
            </w:r>
          </w:p>
        </w:tc>
      </w:tr>
    </w:tbl>
    <w:p>
      <w:pPr>
        <w:rPr>
          <w:rFonts w:eastAsia="仿宋"/>
          <w:color w:val="auto"/>
          <w:highlight w:val="none"/>
        </w:rPr>
      </w:pPr>
      <w:bookmarkStart w:id="277" w:name="_Toc400631664"/>
      <w:bookmarkStart w:id="278" w:name="_Toc399344130"/>
      <w:bookmarkStart w:id="279" w:name="_Toc399344503"/>
      <w:bookmarkStart w:id="280" w:name="_Hlk25942543"/>
    </w:p>
    <w:p>
      <w:pPr>
        <w:spacing w:line="560" w:lineRule="exact"/>
        <w:jc w:val="center"/>
        <w:outlineLvl w:val="1"/>
        <w:rPr>
          <w:rFonts w:eastAsia="仿宋"/>
          <w:b/>
          <w:bCs/>
          <w:snapToGrid w:val="0"/>
          <w:color w:val="auto"/>
          <w:kern w:val="0"/>
          <w:sz w:val="28"/>
          <w:szCs w:val="28"/>
          <w:highlight w:val="none"/>
        </w:rPr>
      </w:pPr>
      <w:r>
        <w:rPr>
          <w:rFonts w:eastAsia="仿宋"/>
          <w:color w:val="auto"/>
          <w:sz w:val="24"/>
          <w:highlight w:val="none"/>
        </w:rPr>
        <w:br w:type="page"/>
      </w:r>
      <w:bookmarkStart w:id="281" w:name="_Toc30912"/>
      <w:bookmarkStart w:id="282" w:name="_Toc15701"/>
      <w:bookmarkStart w:id="283" w:name="_Toc111018955"/>
      <w:bookmarkStart w:id="284" w:name="_Toc4146"/>
      <w:bookmarkStart w:id="285" w:name="_Toc14387"/>
      <w:bookmarkStart w:id="286" w:name="_Toc20860"/>
      <w:r>
        <w:rPr>
          <w:rFonts w:eastAsia="仿宋"/>
          <w:b/>
          <w:bCs/>
          <w:snapToGrid w:val="0"/>
          <w:color w:val="auto"/>
          <w:kern w:val="0"/>
          <w:sz w:val="28"/>
          <w:szCs w:val="28"/>
          <w:highlight w:val="none"/>
        </w:rPr>
        <w:t>八、资格证明文件</w:t>
      </w:r>
      <w:bookmarkEnd w:id="277"/>
      <w:bookmarkEnd w:id="278"/>
      <w:bookmarkEnd w:id="279"/>
      <w:bookmarkEnd w:id="281"/>
      <w:bookmarkEnd w:id="282"/>
      <w:bookmarkEnd w:id="283"/>
      <w:bookmarkEnd w:id="284"/>
      <w:bookmarkEnd w:id="285"/>
      <w:bookmarkEnd w:id="286"/>
    </w:p>
    <w:bookmarkEnd w:id="280"/>
    <w:p>
      <w:pPr>
        <w:spacing w:line="460" w:lineRule="exact"/>
        <w:rPr>
          <w:rFonts w:eastAsia="仿宋"/>
          <w:b/>
          <w:color w:val="auto"/>
          <w:sz w:val="24"/>
          <w:highlight w:val="none"/>
        </w:rPr>
      </w:pPr>
      <w:bookmarkStart w:id="287" w:name="_Toc399344131"/>
      <w:bookmarkStart w:id="288" w:name="_Toc399344504"/>
      <w:bookmarkStart w:id="289" w:name="_Toc400631665"/>
      <w:r>
        <w:rPr>
          <w:rFonts w:eastAsia="仿宋"/>
          <w:b/>
          <w:color w:val="auto"/>
          <w:sz w:val="24"/>
          <w:highlight w:val="none"/>
        </w:rPr>
        <w:t>资格证明文件组成如下：</w:t>
      </w: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1.具有独立承担民事责任的能力的资格证明文件</w:t>
      </w: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eastAsia="仿宋"/>
          <w:b/>
          <w:color w:val="auto"/>
          <w:sz w:val="24"/>
          <w:highlight w:val="none"/>
        </w:rPr>
        <w:t>提供材料说明：</w:t>
      </w:r>
      <w:r>
        <w:rPr>
          <w:rFonts w:eastAsia="仿宋"/>
          <w:color w:val="auto"/>
          <w:sz w:val="24"/>
          <w:highlight w:val="none"/>
        </w:rPr>
        <w:t>如投标人是企业的包括（合伙企业）应提供有效的</w:t>
      </w:r>
      <w:r>
        <w:rPr>
          <w:rFonts w:hint="eastAsia" w:eastAsia="仿宋"/>
          <w:color w:val="auto"/>
          <w:sz w:val="24"/>
          <w:highlight w:val="none"/>
          <w:lang w:eastAsia="zh-CN"/>
        </w:rPr>
        <w:t>“</w:t>
      </w:r>
      <w:r>
        <w:rPr>
          <w:rFonts w:eastAsia="仿宋"/>
          <w:color w:val="auto"/>
          <w:sz w:val="24"/>
          <w:highlight w:val="none"/>
        </w:rPr>
        <w:t>企业法人营业执照</w:t>
      </w:r>
      <w:r>
        <w:rPr>
          <w:rFonts w:hint="eastAsia" w:eastAsia="仿宋"/>
          <w:color w:val="auto"/>
          <w:sz w:val="24"/>
          <w:highlight w:val="none"/>
          <w:lang w:eastAsia="zh-CN"/>
        </w:rPr>
        <w:t>”</w:t>
      </w:r>
      <w:r>
        <w:rPr>
          <w:rFonts w:eastAsia="仿宋"/>
          <w:color w:val="auto"/>
          <w:sz w:val="24"/>
          <w:highlight w:val="none"/>
        </w:rPr>
        <w:t>或</w:t>
      </w:r>
      <w:r>
        <w:rPr>
          <w:rFonts w:hint="eastAsia" w:eastAsia="仿宋"/>
          <w:color w:val="auto"/>
          <w:sz w:val="24"/>
          <w:highlight w:val="none"/>
          <w:lang w:eastAsia="zh-CN"/>
        </w:rPr>
        <w:t>“</w:t>
      </w:r>
      <w:r>
        <w:rPr>
          <w:rFonts w:eastAsia="仿宋"/>
          <w:color w:val="auto"/>
          <w:sz w:val="24"/>
          <w:highlight w:val="none"/>
        </w:rPr>
        <w:t>营业执照</w:t>
      </w:r>
      <w:r>
        <w:rPr>
          <w:rFonts w:hint="eastAsia" w:eastAsia="仿宋"/>
          <w:color w:val="auto"/>
          <w:sz w:val="24"/>
          <w:highlight w:val="none"/>
          <w:lang w:eastAsia="zh-CN"/>
        </w:rPr>
        <w:t>”</w:t>
      </w:r>
      <w:r>
        <w:rPr>
          <w:rFonts w:eastAsia="仿宋"/>
          <w:color w:val="auto"/>
          <w:sz w:val="24"/>
          <w:highlight w:val="none"/>
        </w:rPr>
        <w:t>；如投标人是事业单位的应提供</w:t>
      </w:r>
      <w:r>
        <w:rPr>
          <w:rFonts w:hint="eastAsia" w:eastAsia="仿宋"/>
          <w:color w:val="auto"/>
          <w:sz w:val="24"/>
          <w:highlight w:val="none"/>
          <w:lang w:eastAsia="zh-CN"/>
        </w:rPr>
        <w:t>“</w:t>
      </w:r>
      <w:r>
        <w:rPr>
          <w:rFonts w:eastAsia="仿宋"/>
          <w:color w:val="auto"/>
          <w:sz w:val="24"/>
          <w:highlight w:val="none"/>
        </w:rPr>
        <w:t>事业单位法人证书</w:t>
      </w:r>
      <w:r>
        <w:rPr>
          <w:rFonts w:hint="eastAsia" w:eastAsia="仿宋"/>
          <w:color w:val="auto"/>
          <w:sz w:val="24"/>
          <w:highlight w:val="none"/>
          <w:lang w:eastAsia="zh-CN"/>
        </w:rPr>
        <w:t>”</w:t>
      </w:r>
      <w:r>
        <w:rPr>
          <w:rFonts w:eastAsia="仿宋"/>
          <w:color w:val="auto"/>
          <w:sz w:val="24"/>
          <w:highlight w:val="none"/>
        </w:rPr>
        <w:t>；如投标人是非企业专业服务机构的应提供执业许可证等证明文件；如投标人是个体工商户的应提供有效的</w:t>
      </w:r>
      <w:r>
        <w:rPr>
          <w:rFonts w:hint="eastAsia" w:eastAsia="仿宋"/>
          <w:color w:val="auto"/>
          <w:sz w:val="24"/>
          <w:highlight w:val="none"/>
          <w:lang w:eastAsia="zh-CN"/>
        </w:rPr>
        <w:t>“</w:t>
      </w:r>
      <w:r>
        <w:rPr>
          <w:rFonts w:eastAsia="仿宋"/>
          <w:color w:val="auto"/>
          <w:sz w:val="24"/>
          <w:highlight w:val="none"/>
        </w:rPr>
        <w:t>个体工商户营业执照</w:t>
      </w:r>
      <w:r>
        <w:rPr>
          <w:rFonts w:hint="eastAsia" w:eastAsia="仿宋"/>
          <w:color w:val="auto"/>
          <w:sz w:val="24"/>
          <w:highlight w:val="none"/>
          <w:lang w:eastAsia="zh-CN"/>
        </w:rPr>
        <w:t>”</w:t>
      </w:r>
      <w:r>
        <w:rPr>
          <w:rFonts w:eastAsia="仿宋"/>
          <w:color w:val="auto"/>
          <w:sz w:val="24"/>
          <w:highlight w:val="none"/>
        </w:rPr>
        <w:t>、组织机构代码证（实行</w:t>
      </w:r>
      <w:r>
        <w:rPr>
          <w:rFonts w:hint="eastAsia" w:eastAsia="仿宋"/>
          <w:color w:val="auto"/>
          <w:sz w:val="24"/>
          <w:highlight w:val="none"/>
          <w:lang w:eastAsia="zh-CN"/>
        </w:rPr>
        <w:t>“</w:t>
      </w:r>
      <w:r>
        <w:rPr>
          <w:rFonts w:eastAsia="仿宋"/>
          <w:color w:val="auto"/>
          <w:sz w:val="24"/>
          <w:highlight w:val="none"/>
        </w:rPr>
        <w:t>三证合一</w:t>
      </w:r>
      <w:r>
        <w:rPr>
          <w:rFonts w:hint="eastAsia" w:eastAsia="仿宋"/>
          <w:color w:val="auto"/>
          <w:sz w:val="24"/>
          <w:highlight w:val="none"/>
          <w:lang w:eastAsia="zh-CN"/>
        </w:rPr>
        <w:t>”</w:t>
      </w:r>
      <w:r>
        <w:rPr>
          <w:rFonts w:eastAsia="仿宋"/>
          <w:color w:val="auto"/>
          <w:sz w:val="24"/>
          <w:highlight w:val="none"/>
        </w:rPr>
        <w:t>的不需单独提供组织机构代码证）；如投标人是自然人的，应提供有效的自然人的身份证明</w:t>
      </w:r>
      <w:r>
        <w:rPr>
          <w:rFonts w:hint="eastAsia" w:eastAsia="仿宋"/>
          <w:color w:val="auto"/>
          <w:sz w:val="24"/>
          <w:highlight w:val="none"/>
          <w:lang w:eastAsia="zh-CN"/>
        </w:rPr>
        <w:t>（</w:t>
      </w:r>
      <w:r>
        <w:rPr>
          <w:rFonts w:eastAsia="仿宋"/>
          <w:color w:val="auto"/>
          <w:sz w:val="24"/>
          <w:highlight w:val="none"/>
        </w:rPr>
        <w:t>中国公民</w:t>
      </w:r>
      <w:r>
        <w:rPr>
          <w:rFonts w:hint="eastAsia" w:eastAsia="仿宋"/>
          <w:color w:val="auto"/>
          <w:sz w:val="24"/>
          <w:highlight w:val="none"/>
          <w:lang w:eastAsia="zh-CN"/>
        </w:rPr>
        <w:t>）</w:t>
      </w:r>
      <w:r>
        <w:rPr>
          <w:rFonts w:eastAsia="仿宋"/>
          <w:color w:val="auto"/>
          <w:sz w:val="24"/>
          <w:highlight w:val="none"/>
        </w:rPr>
        <w:t>。如采购标的属于银行、保险、石油石化、电力、电信等行业的，允许该行业法人的分支机构参加投标，提供分支机构的《营业执照》及总公司同意分支机构参与该项目的授权书。</w:t>
      </w:r>
    </w:p>
    <w:p>
      <w:pPr>
        <w:rPr>
          <w:color w:val="auto"/>
          <w:highlight w:val="none"/>
        </w:rPr>
      </w:pPr>
    </w:p>
    <w:p>
      <w:pPr>
        <w:rPr>
          <w:color w:val="auto"/>
          <w:highlight w:val="none"/>
        </w:rPr>
      </w:pPr>
    </w:p>
    <w:p>
      <w:pPr>
        <w:rPr>
          <w:color w:val="auto"/>
          <w:highlight w:val="none"/>
        </w:rPr>
      </w:pPr>
    </w:p>
    <w:p>
      <w:pPr>
        <w:spacing w:line="460" w:lineRule="exact"/>
        <w:jc w:val="center"/>
        <w:rPr>
          <w:rFonts w:eastAsia="仿宋"/>
          <w:b/>
          <w:color w:val="auto"/>
          <w:sz w:val="24"/>
          <w:highlight w:val="none"/>
        </w:rPr>
      </w:pPr>
      <w:r>
        <w:rPr>
          <w:rFonts w:eastAsia="仿宋"/>
          <w:b/>
          <w:color w:val="auto"/>
          <w:sz w:val="24"/>
          <w:highlight w:val="none"/>
        </w:rPr>
        <w:t>2.具有良好的商业信誉和健全的财务会计制度的证明文件</w:t>
      </w:r>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投标人是法人的，提供开标前二个年度内任一年度经审计的财务状况报告，或在开标前三个月内其基本开户银行出具的资信证明；其他组织和自然人，没有经审计的财务报告，可以提供在开标前三个月内银行出具的资信证明；个体工商户提供开标前三个月内中国人民银行征信中心开具个人信用报告。</w:t>
      </w: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3.有依法缴纳税收和社会保障资金的良好记录的证明文件</w:t>
      </w:r>
    </w:p>
    <w:p>
      <w:pPr>
        <w:spacing w:line="460" w:lineRule="exact"/>
        <w:rPr>
          <w:rFonts w:eastAsia="仿宋"/>
          <w:b/>
          <w:color w:val="auto"/>
          <w:sz w:val="24"/>
          <w:highlight w:val="none"/>
        </w:rPr>
      </w:pPr>
    </w:p>
    <w:p>
      <w:pPr>
        <w:spacing w:line="460" w:lineRule="exact"/>
        <w:rPr>
          <w:rFonts w:eastAsia="仿宋"/>
          <w:b/>
          <w:color w:val="auto"/>
          <w:sz w:val="24"/>
          <w:highlight w:val="none"/>
        </w:rPr>
      </w:pPr>
      <w:r>
        <w:rPr>
          <w:rFonts w:eastAsia="仿宋"/>
          <w:b/>
          <w:color w:val="auto"/>
          <w:sz w:val="24"/>
          <w:highlight w:val="none"/>
        </w:rPr>
        <w:t>提供材料说明：</w:t>
      </w:r>
      <w:r>
        <w:rPr>
          <w:rFonts w:eastAsia="仿宋"/>
          <w:color w:val="auto"/>
          <w:sz w:val="24"/>
          <w:highlight w:val="none"/>
        </w:rPr>
        <w:t>提供开标前六个月内任意一个月的依法缴纳税收和缴纳社会保障资金的证明材料；（依法不需要缴纳税收、社会保障资金的投标人，应当提供相关文件证明其依法免税或不需要缴纳社会保障资金）</w:t>
      </w:r>
    </w:p>
    <w:p>
      <w:pPr>
        <w:spacing w:line="460" w:lineRule="exact"/>
        <w:rPr>
          <w:rFonts w:eastAsia="仿宋"/>
          <w:b/>
          <w:color w:val="auto"/>
          <w:sz w:val="24"/>
          <w:highlight w:val="none"/>
        </w:rPr>
      </w:pPr>
    </w:p>
    <w:p>
      <w:pPr>
        <w:rPr>
          <w:color w:val="auto"/>
          <w:highlight w:val="none"/>
        </w:rPr>
      </w:pPr>
    </w:p>
    <w:p>
      <w:pPr>
        <w:rPr>
          <w:color w:val="auto"/>
          <w:highlight w:val="none"/>
        </w:rPr>
      </w:pPr>
    </w:p>
    <w:p>
      <w:pPr>
        <w:rPr>
          <w:color w:val="auto"/>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4.投标人有关资格条件声明函</w:t>
      </w: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hint="eastAsia" w:eastAsia="仿宋"/>
          <w:color w:val="auto"/>
          <w:sz w:val="24"/>
          <w:highlight w:val="none"/>
          <w:lang w:eastAsia="zh-CN"/>
        </w:rPr>
        <w:t>江西合胜合招标咨询有限公司</w:t>
      </w:r>
      <w:r>
        <w:rPr>
          <w:rFonts w:eastAsia="仿宋"/>
          <w:color w:val="auto"/>
          <w:sz w:val="24"/>
          <w:highlight w:val="none"/>
        </w:rPr>
        <w:t>：</w:t>
      </w:r>
    </w:p>
    <w:p>
      <w:pPr>
        <w:spacing w:line="460" w:lineRule="exact"/>
        <w:ind w:firstLine="480" w:firstLineChars="200"/>
        <w:rPr>
          <w:rFonts w:eastAsia="仿宋"/>
          <w:color w:val="auto"/>
          <w:sz w:val="24"/>
          <w:highlight w:val="none"/>
        </w:rPr>
      </w:pPr>
      <w:r>
        <w:rPr>
          <w:rFonts w:eastAsia="仿宋"/>
          <w:color w:val="auto"/>
          <w:sz w:val="24"/>
          <w:highlight w:val="none"/>
        </w:rPr>
        <w:t>我公司参加贵公司组织的（项目名称、项目编号、包号）的投标，现就有关资格条件声明如下：</w:t>
      </w:r>
    </w:p>
    <w:p>
      <w:pPr>
        <w:spacing w:line="460" w:lineRule="exact"/>
        <w:ind w:firstLine="480" w:firstLineChars="200"/>
        <w:rPr>
          <w:rFonts w:eastAsia="仿宋"/>
          <w:color w:val="auto"/>
          <w:sz w:val="24"/>
          <w:highlight w:val="none"/>
        </w:rPr>
      </w:pPr>
      <w:r>
        <w:rPr>
          <w:rFonts w:eastAsia="仿宋"/>
          <w:color w:val="auto"/>
          <w:sz w:val="24"/>
          <w:highlight w:val="none"/>
        </w:rPr>
        <w:t>我公司具备《中华人民共和国政府采购法》第二十二条所规定的条件，并已清楚招标文件的要求及有关文件规定。</w:t>
      </w:r>
    </w:p>
    <w:p>
      <w:pPr>
        <w:spacing w:line="460" w:lineRule="exact"/>
        <w:rPr>
          <w:rFonts w:eastAsia="仿宋"/>
          <w:color w:val="auto"/>
          <w:sz w:val="24"/>
          <w:highlight w:val="none"/>
        </w:rPr>
      </w:pPr>
      <w:r>
        <w:rPr>
          <w:rFonts w:eastAsia="仿宋"/>
          <w:color w:val="auto"/>
          <w:sz w:val="24"/>
          <w:highlight w:val="none"/>
        </w:rPr>
        <w:t>（1）我公司具有履行合同所必需的设备和专业技术能力。</w:t>
      </w:r>
    </w:p>
    <w:p>
      <w:pPr>
        <w:spacing w:line="460" w:lineRule="exact"/>
        <w:rPr>
          <w:rFonts w:eastAsia="仿宋"/>
          <w:color w:val="auto"/>
          <w:sz w:val="24"/>
          <w:highlight w:val="none"/>
        </w:rPr>
      </w:pPr>
      <w:r>
        <w:rPr>
          <w:rFonts w:eastAsia="仿宋"/>
          <w:color w:val="auto"/>
          <w:sz w:val="24"/>
          <w:highlight w:val="none"/>
        </w:rPr>
        <w:t>（2）我公司参加本次政府采购活动前3年内在经营活动中没有因违法经营受到刑事处罚或者责令停产停业、吊销许可证或者执照、较大数额罚款等行政处罚。</w:t>
      </w:r>
    </w:p>
    <w:p>
      <w:pPr>
        <w:spacing w:line="460" w:lineRule="exact"/>
        <w:rPr>
          <w:rFonts w:eastAsia="仿宋"/>
          <w:color w:val="auto"/>
          <w:sz w:val="24"/>
          <w:highlight w:val="none"/>
        </w:rPr>
      </w:pPr>
      <w:r>
        <w:rPr>
          <w:rFonts w:eastAsia="仿宋"/>
          <w:color w:val="auto"/>
          <w:sz w:val="24"/>
          <w:highlight w:val="none"/>
        </w:rPr>
        <w:t>（3）我公司符合法律、行政法规规定的其他条件。</w:t>
      </w:r>
    </w:p>
    <w:p>
      <w:pPr>
        <w:spacing w:line="460" w:lineRule="exact"/>
        <w:rPr>
          <w:rFonts w:eastAsia="仿宋"/>
          <w:color w:val="auto"/>
          <w:sz w:val="24"/>
          <w:highlight w:val="none"/>
        </w:rPr>
      </w:pPr>
      <w:r>
        <w:rPr>
          <w:rFonts w:eastAsia="仿宋"/>
          <w:color w:val="auto"/>
          <w:sz w:val="24"/>
          <w:highlight w:val="none"/>
        </w:rPr>
        <w:t>（4）与我公司单位负责人为同一人或者存在直接控股、管理关系的不同投标人，未参加本次的政府采购活动。</w:t>
      </w:r>
    </w:p>
    <w:p>
      <w:pPr>
        <w:spacing w:line="460" w:lineRule="exact"/>
        <w:rPr>
          <w:rFonts w:hint="default" w:eastAsia="仿宋"/>
          <w:color w:val="auto"/>
          <w:sz w:val="24"/>
          <w:highlight w:val="none"/>
          <w:lang w:val="en-US" w:eastAsia="zh-CN"/>
        </w:rPr>
      </w:pPr>
      <w:r>
        <w:rPr>
          <w:rFonts w:hint="eastAsia" w:eastAsia="仿宋"/>
          <w:color w:val="auto"/>
          <w:sz w:val="24"/>
          <w:highlight w:val="none"/>
          <w:lang w:eastAsia="zh-CN"/>
        </w:rPr>
        <w:t>（</w:t>
      </w:r>
      <w:r>
        <w:rPr>
          <w:rFonts w:hint="eastAsia" w:eastAsia="仿宋"/>
          <w:color w:val="auto"/>
          <w:sz w:val="24"/>
          <w:highlight w:val="none"/>
          <w:lang w:val="en-US" w:eastAsia="zh-CN"/>
        </w:rPr>
        <w:t>5</w:t>
      </w:r>
      <w:r>
        <w:rPr>
          <w:rFonts w:hint="eastAsia" w:eastAsia="仿宋"/>
          <w:color w:val="auto"/>
          <w:sz w:val="24"/>
          <w:highlight w:val="none"/>
          <w:lang w:eastAsia="zh-CN"/>
        </w:rPr>
        <w:t>）</w:t>
      </w:r>
      <w:r>
        <w:rPr>
          <w:rFonts w:hint="eastAsia" w:eastAsia="仿宋"/>
          <w:color w:val="auto"/>
          <w:sz w:val="24"/>
          <w:highlight w:val="none"/>
          <w:lang w:val="en-US" w:eastAsia="zh-CN"/>
        </w:rPr>
        <w:t>我公司未为本项目提供整体设计、规范编制或者项目管理、监理、检测等服务。</w:t>
      </w:r>
    </w:p>
    <w:p>
      <w:pPr>
        <w:spacing w:line="460" w:lineRule="exact"/>
        <w:ind w:firstLine="480" w:firstLineChars="200"/>
        <w:rPr>
          <w:rFonts w:eastAsia="仿宋"/>
          <w:color w:val="auto"/>
          <w:sz w:val="24"/>
          <w:highlight w:val="none"/>
        </w:rPr>
      </w:pPr>
      <w:r>
        <w:rPr>
          <w:rFonts w:eastAsia="仿宋"/>
          <w:color w:val="auto"/>
          <w:sz w:val="24"/>
          <w:highlight w:val="none"/>
        </w:rPr>
        <w:t>我公司对上述声明的真实性负责。如有虚假，将依法承担相应责任。</w:t>
      </w: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rPr>
          <w:rFonts w:eastAsia="仿宋"/>
          <w:b/>
          <w:color w:val="auto"/>
          <w:sz w:val="24"/>
          <w:highlight w:val="none"/>
        </w:rPr>
      </w:pPr>
    </w:p>
    <w:p>
      <w:pPr>
        <w:spacing w:line="460" w:lineRule="exact"/>
        <w:rPr>
          <w:rFonts w:eastAsia="仿宋"/>
          <w:color w:val="auto"/>
          <w:sz w:val="24"/>
          <w:highlight w:val="none"/>
        </w:rPr>
      </w:pPr>
      <w:r>
        <w:rPr>
          <w:rFonts w:eastAsia="仿宋"/>
          <w:color w:val="auto"/>
          <w:sz w:val="24"/>
          <w:highlight w:val="none"/>
        </w:rPr>
        <w:t>投标人名称：（加盖公章）</w:t>
      </w:r>
    </w:p>
    <w:p>
      <w:pPr>
        <w:spacing w:line="460" w:lineRule="exact"/>
        <w:rPr>
          <w:rFonts w:eastAsia="仿宋"/>
          <w:color w:val="auto"/>
          <w:sz w:val="24"/>
          <w:highlight w:val="none"/>
        </w:rPr>
      </w:pPr>
      <w:r>
        <w:rPr>
          <w:rFonts w:eastAsia="仿宋"/>
          <w:color w:val="auto"/>
          <w:sz w:val="24"/>
          <w:highlight w:val="none"/>
        </w:rPr>
        <w:t>法定代表人或授权代表：（签字或签章）</w:t>
      </w:r>
    </w:p>
    <w:p>
      <w:pPr>
        <w:spacing w:line="460" w:lineRule="exact"/>
        <w:rPr>
          <w:rFonts w:eastAsia="仿宋"/>
          <w:color w:val="auto"/>
          <w:sz w:val="24"/>
          <w:highlight w:val="none"/>
        </w:rPr>
      </w:pPr>
      <w:r>
        <w:rPr>
          <w:rFonts w:eastAsia="仿宋"/>
          <w:color w:val="auto"/>
          <w:sz w:val="24"/>
          <w:highlight w:val="none"/>
        </w:rPr>
        <w:t>日期：</w:t>
      </w: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p>
    <w:p>
      <w:pPr>
        <w:spacing w:line="460" w:lineRule="exact"/>
        <w:jc w:val="center"/>
        <w:rPr>
          <w:rFonts w:eastAsia="仿宋"/>
          <w:b/>
          <w:color w:val="auto"/>
          <w:sz w:val="24"/>
          <w:highlight w:val="none"/>
        </w:rPr>
      </w:pPr>
      <w:r>
        <w:rPr>
          <w:rFonts w:eastAsia="仿宋"/>
          <w:b/>
          <w:color w:val="auto"/>
          <w:sz w:val="24"/>
          <w:highlight w:val="none"/>
        </w:rPr>
        <w:t>5.投标人认为需要提供的其它证明材料</w:t>
      </w:r>
    </w:p>
    <w:p>
      <w:pPr>
        <w:spacing w:line="560" w:lineRule="exact"/>
        <w:jc w:val="center"/>
        <w:outlineLvl w:val="1"/>
        <w:rPr>
          <w:rFonts w:eastAsia="仿宋"/>
          <w:b/>
          <w:bCs/>
          <w:snapToGrid w:val="0"/>
          <w:color w:val="auto"/>
          <w:kern w:val="0"/>
          <w:sz w:val="28"/>
          <w:szCs w:val="28"/>
          <w:highlight w:val="none"/>
        </w:rPr>
      </w:pPr>
      <w:r>
        <w:rPr>
          <w:rFonts w:eastAsia="仿宋"/>
          <w:b/>
          <w:color w:val="auto"/>
          <w:sz w:val="24"/>
          <w:highlight w:val="none"/>
        </w:rPr>
        <w:br w:type="page"/>
      </w:r>
      <w:bookmarkStart w:id="290" w:name="_Toc11388"/>
      <w:bookmarkStart w:id="291" w:name="_Toc7685"/>
      <w:bookmarkStart w:id="292" w:name="_Toc24952"/>
      <w:bookmarkStart w:id="293" w:name="_Toc111018956"/>
      <w:bookmarkStart w:id="294" w:name="_Toc14763"/>
      <w:bookmarkStart w:id="295" w:name="_Toc26778"/>
      <w:r>
        <w:rPr>
          <w:rFonts w:eastAsia="仿宋"/>
          <w:b/>
          <w:bCs/>
          <w:snapToGrid w:val="0"/>
          <w:color w:val="auto"/>
          <w:kern w:val="0"/>
          <w:sz w:val="28"/>
          <w:szCs w:val="28"/>
          <w:highlight w:val="none"/>
        </w:rPr>
        <w:t>九、提供投标保证金的证明材料</w:t>
      </w:r>
      <w:bookmarkEnd w:id="290"/>
      <w:bookmarkEnd w:id="291"/>
      <w:bookmarkEnd w:id="292"/>
      <w:bookmarkEnd w:id="293"/>
      <w:bookmarkEnd w:id="294"/>
      <w:bookmarkEnd w:id="295"/>
    </w:p>
    <w:p>
      <w:pPr>
        <w:rPr>
          <w:rFonts w:eastAsia="仿宋"/>
          <w:color w:val="auto"/>
          <w:sz w:val="24"/>
          <w:highlight w:val="none"/>
        </w:rPr>
      </w:pPr>
    </w:p>
    <w:p>
      <w:pPr>
        <w:rPr>
          <w:rFonts w:eastAsia="仿宋"/>
          <w:color w:val="auto"/>
          <w:sz w:val="24"/>
          <w:highlight w:val="none"/>
        </w:rPr>
      </w:pPr>
      <w:bookmarkStart w:id="296" w:name="_Toc12023"/>
      <w:bookmarkStart w:id="297" w:name="_Toc14568"/>
      <w:bookmarkStart w:id="298" w:name="_Toc95250189"/>
      <w:r>
        <w:rPr>
          <w:rFonts w:eastAsia="仿宋"/>
          <w:color w:val="auto"/>
          <w:sz w:val="24"/>
          <w:highlight w:val="none"/>
        </w:rPr>
        <w:t>投标人自行提供缴纳投标保证金的凭证......</w:t>
      </w:r>
      <w:bookmarkEnd w:id="296"/>
      <w:bookmarkEnd w:id="297"/>
      <w:bookmarkEnd w:id="298"/>
    </w:p>
    <w:p>
      <w:pPr>
        <w:rPr>
          <w:rFonts w:eastAsia="仿宋"/>
          <w:color w:val="auto"/>
          <w:highlight w:val="none"/>
        </w:rPr>
      </w:pPr>
    </w:p>
    <w:p>
      <w:pPr>
        <w:rPr>
          <w:rFonts w:eastAsia="仿宋"/>
          <w:color w:val="auto"/>
          <w:highlight w:val="none"/>
        </w:rPr>
      </w:pPr>
    </w:p>
    <w:p>
      <w:pPr>
        <w:spacing w:line="560" w:lineRule="exact"/>
        <w:jc w:val="center"/>
        <w:outlineLvl w:val="1"/>
        <w:rPr>
          <w:rFonts w:eastAsia="仿宋"/>
          <w:b/>
          <w:bCs/>
          <w:snapToGrid w:val="0"/>
          <w:color w:val="auto"/>
          <w:kern w:val="0"/>
          <w:sz w:val="28"/>
          <w:szCs w:val="28"/>
          <w:highlight w:val="none"/>
        </w:rPr>
      </w:pPr>
      <w:bookmarkStart w:id="299" w:name="_Toc13063"/>
      <w:bookmarkStart w:id="300" w:name="_Toc31951"/>
      <w:bookmarkStart w:id="301" w:name="_Toc6302"/>
      <w:bookmarkStart w:id="302" w:name="_Toc22895"/>
      <w:bookmarkStart w:id="303" w:name="_Toc111018957"/>
      <w:bookmarkStart w:id="304" w:name="_Toc318"/>
      <w:r>
        <w:rPr>
          <w:rFonts w:eastAsia="仿宋"/>
          <w:b/>
          <w:bCs/>
          <w:snapToGrid w:val="0"/>
          <w:color w:val="auto"/>
          <w:kern w:val="0"/>
          <w:sz w:val="28"/>
          <w:szCs w:val="28"/>
          <w:highlight w:val="none"/>
        </w:rPr>
        <w:t>十、投标货物技术文件</w:t>
      </w:r>
      <w:bookmarkEnd w:id="287"/>
      <w:bookmarkEnd w:id="288"/>
      <w:bookmarkEnd w:id="289"/>
      <w:r>
        <w:rPr>
          <w:rFonts w:eastAsia="仿宋"/>
          <w:b/>
          <w:bCs/>
          <w:snapToGrid w:val="0"/>
          <w:color w:val="auto"/>
          <w:kern w:val="0"/>
          <w:sz w:val="28"/>
          <w:szCs w:val="28"/>
          <w:highlight w:val="none"/>
        </w:rPr>
        <w:t>及其他材料</w:t>
      </w:r>
      <w:bookmarkEnd w:id="299"/>
      <w:bookmarkEnd w:id="300"/>
      <w:bookmarkEnd w:id="301"/>
      <w:bookmarkEnd w:id="302"/>
      <w:bookmarkEnd w:id="303"/>
      <w:bookmarkEnd w:id="304"/>
    </w:p>
    <w:p>
      <w:pPr>
        <w:pStyle w:val="42"/>
        <w:ind w:firstLine="562"/>
        <w:rPr>
          <w:rFonts w:eastAsia="仿宋"/>
          <w:b/>
          <w:bCs/>
          <w:snapToGrid w:val="0"/>
          <w:color w:val="auto"/>
          <w:sz w:val="28"/>
          <w:szCs w:val="28"/>
          <w:highlight w:val="none"/>
        </w:rPr>
      </w:pPr>
    </w:p>
    <w:p>
      <w:pPr>
        <w:pStyle w:val="42"/>
        <w:ind w:firstLine="562"/>
        <w:rPr>
          <w:rFonts w:eastAsia="仿宋"/>
          <w:b/>
          <w:bCs/>
          <w:snapToGrid w:val="0"/>
          <w:color w:val="auto"/>
          <w:sz w:val="28"/>
          <w:szCs w:val="28"/>
          <w:highlight w:val="none"/>
        </w:rPr>
      </w:pPr>
    </w:p>
    <w:p>
      <w:pPr>
        <w:rPr>
          <w:rFonts w:eastAsia="仿宋"/>
          <w:b/>
          <w:color w:val="auto"/>
          <w:sz w:val="24"/>
          <w:highlight w:val="none"/>
        </w:rPr>
      </w:pPr>
      <w:r>
        <w:rPr>
          <w:rFonts w:eastAsia="仿宋"/>
          <w:b/>
          <w:color w:val="auto"/>
          <w:sz w:val="24"/>
          <w:highlight w:val="none"/>
        </w:rPr>
        <w:t>技术文件：</w:t>
      </w:r>
    </w:p>
    <w:p>
      <w:pPr>
        <w:pStyle w:val="9"/>
        <w:ind w:firstLine="480"/>
        <w:rPr>
          <w:color w:val="auto"/>
          <w:sz w:val="24"/>
          <w:highlight w:val="none"/>
        </w:rPr>
      </w:pPr>
    </w:p>
    <w:p>
      <w:pPr>
        <w:pStyle w:val="9"/>
        <w:ind w:firstLine="840" w:firstLineChars="350"/>
        <w:rPr>
          <w:color w:val="auto"/>
          <w:sz w:val="24"/>
          <w:highlight w:val="none"/>
        </w:rPr>
      </w:pPr>
      <w:r>
        <w:rPr>
          <w:color w:val="auto"/>
          <w:sz w:val="24"/>
          <w:highlight w:val="none"/>
        </w:rPr>
        <w:t>投标人认为应提交的技术材料，可在此附件中提交（格式自定）</w:t>
      </w:r>
    </w:p>
    <w:p>
      <w:pPr>
        <w:rPr>
          <w:rFonts w:eastAsia="仿宋"/>
          <w:b/>
          <w:color w:val="auto"/>
          <w:sz w:val="24"/>
          <w:highlight w:val="none"/>
        </w:rPr>
      </w:pPr>
      <w:bookmarkStart w:id="305" w:name="_Toc495403965"/>
      <w:bookmarkStart w:id="306" w:name="_Toc399344506"/>
      <w:bookmarkStart w:id="307" w:name="_Toc400631667"/>
      <w:bookmarkStart w:id="308" w:name="_Toc399344133"/>
      <w:r>
        <w:rPr>
          <w:rFonts w:eastAsia="仿宋"/>
          <w:b/>
          <w:color w:val="auto"/>
          <w:sz w:val="28"/>
          <w:szCs w:val="28"/>
          <w:highlight w:val="none"/>
        </w:rPr>
        <w:br w:type="page"/>
      </w:r>
      <w:r>
        <w:rPr>
          <w:rFonts w:eastAsia="仿宋"/>
          <w:b/>
          <w:color w:val="auto"/>
          <w:sz w:val="24"/>
          <w:highlight w:val="none"/>
        </w:rPr>
        <w:t>其他材料：</w:t>
      </w:r>
      <w:bookmarkEnd w:id="305"/>
    </w:p>
    <w:p>
      <w:pPr>
        <w:rPr>
          <w:rFonts w:eastAsia="仿宋"/>
          <w:b/>
          <w:color w:val="auto"/>
          <w:sz w:val="24"/>
          <w:highlight w:val="none"/>
        </w:rPr>
      </w:pPr>
      <w:bookmarkStart w:id="309" w:name="_Toc495403966"/>
      <w:r>
        <w:rPr>
          <w:rFonts w:eastAsia="仿宋"/>
          <w:b/>
          <w:color w:val="auto"/>
          <w:sz w:val="24"/>
          <w:highlight w:val="none"/>
        </w:rPr>
        <w:t>（1）投标人情况一览表</w:t>
      </w:r>
      <w:bookmarkEnd w:id="306"/>
      <w:bookmarkEnd w:id="307"/>
      <w:bookmarkEnd w:id="308"/>
      <w:bookmarkEnd w:id="309"/>
    </w:p>
    <w:tbl>
      <w:tblPr>
        <w:tblStyle w:val="43"/>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98"/>
        <w:gridCol w:w="1483"/>
        <w:gridCol w:w="1164"/>
        <w:gridCol w:w="737"/>
        <w:gridCol w:w="425"/>
        <w:gridCol w:w="1378"/>
        <w:gridCol w:w="804"/>
        <w:gridCol w:w="159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投标人名称</w:t>
            </w:r>
          </w:p>
        </w:tc>
        <w:tc>
          <w:tcPr>
            <w:tcW w:w="7588" w:type="dxa"/>
            <w:gridSpan w:val="7"/>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注册地址</w:t>
            </w:r>
          </w:p>
        </w:tc>
        <w:tc>
          <w:tcPr>
            <w:tcW w:w="3809" w:type="dxa"/>
            <w:gridSpan w:val="4"/>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邮政编码</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restart"/>
            <w:vAlign w:val="center"/>
          </w:tcPr>
          <w:p>
            <w:pPr>
              <w:rPr>
                <w:rFonts w:eastAsia="仿宋"/>
                <w:color w:val="auto"/>
                <w:sz w:val="24"/>
                <w:szCs w:val="22"/>
                <w:highlight w:val="none"/>
              </w:rPr>
            </w:pPr>
            <w:r>
              <w:rPr>
                <w:rFonts w:eastAsia="仿宋"/>
                <w:color w:val="auto"/>
                <w:sz w:val="24"/>
                <w:szCs w:val="22"/>
                <w:highlight w:val="none"/>
              </w:rPr>
              <w:t>联系方式</w:t>
            </w:r>
          </w:p>
        </w:tc>
        <w:tc>
          <w:tcPr>
            <w:tcW w:w="1483" w:type="dxa"/>
            <w:vAlign w:val="center"/>
          </w:tcPr>
          <w:p>
            <w:pPr>
              <w:rPr>
                <w:rFonts w:eastAsia="仿宋"/>
                <w:color w:val="auto"/>
                <w:sz w:val="24"/>
                <w:szCs w:val="22"/>
                <w:highlight w:val="none"/>
              </w:rPr>
            </w:pPr>
            <w:r>
              <w:rPr>
                <w:rFonts w:eastAsia="仿宋"/>
                <w:color w:val="auto"/>
                <w:sz w:val="24"/>
                <w:szCs w:val="22"/>
                <w:highlight w:val="none"/>
              </w:rPr>
              <w:t>联系人</w:t>
            </w:r>
          </w:p>
        </w:tc>
        <w:tc>
          <w:tcPr>
            <w:tcW w:w="2326" w:type="dxa"/>
            <w:gridSpan w:val="3"/>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联系电话</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Merge w:val="continue"/>
            <w:vAlign w:val="center"/>
          </w:tcPr>
          <w:p>
            <w:pPr>
              <w:rPr>
                <w:rFonts w:eastAsia="仿宋"/>
                <w:color w:val="auto"/>
                <w:sz w:val="24"/>
                <w:szCs w:val="22"/>
                <w:highlight w:val="none"/>
              </w:rPr>
            </w:pPr>
          </w:p>
        </w:tc>
        <w:tc>
          <w:tcPr>
            <w:tcW w:w="1483" w:type="dxa"/>
            <w:vAlign w:val="center"/>
          </w:tcPr>
          <w:p>
            <w:pPr>
              <w:rPr>
                <w:rFonts w:eastAsia="仿宋"/>
                <w:color w:val="auto"/>
                <w:sz w:val="24"/>
                <w:szCs w:val="22"/>
                <w:highlight w:val="none"/>
              </w:rPr>
            </w:pPr>
            <w:r>
              <w:rPr>
                <w:rFonts w:eastAsia="仿宋"/>
                <w:color w:val="auto"/>
                <w:sz w:val="24"/>
                <w:szCs w:val="22"/>
                <w:highlight w:val="none"/>
              </w:rPr>
              <w:t>传  真</w:t>
            </w:r>
          </w:p>
        </w:tc>
        <w:tc>
          <w:tcPr>
            <w:tcW w:w="2326" w:type="dxa"/>
            <w:gridSpan w:val="3"/>
            <w:vAlign w:val="center"/>
          </w:tcPr>
          <w:p>
            <w:pPr>
              <w:rPr>
                <w:rFonts w:eastAsia="仿宋"/>
                <w:color w:val="auto"/>
                <w:sz w:val="24"/>
                <w:szCs w:val="22"/>
                <w:highlight w:val="none"/>
              </w:rPr>
            </w:pPr>
          </w:p>
        </w:tc>
        <w:tc>
          <w:tcPr>
            <w:tcW w:w="1378" w:type="dxa"/>
            <w:vAlign w:val="center"/>
          </w:tcPr>
          <w:p>
            <w:pPr>
              <w:rPr>
                <w:rFonts w:eastAsia="仿宋"/>
                <w:color w:val="auto"/>
                <w:sz w:val="24"/>
                <w:szCs w:val="22"/>
                <w:highlight w:val="none"/>
              </w:rPr>
            </w:pPr>
            <w:r>
              <w:rPr>
                <w:rFonts w:eastAsia="仿宋"/>
                <w:color w:val="auto"/>
                <w:sz w:val="24"/>
                <w:szCs w:val="22"/>
                <w:highlight w:val="none"/>
              </w:rPr>
              <w:t>网址/邮箱</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组织结构</w:t>
            </w:r>
          </w:p>
        </w:tc>
        <w:tc>
          <w:tcPr>
            <w:tcW w:w="7588" w:type="dxa"/>
            <w:gridSpan w:val="7"/>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法定代表人</w:t>
            </w:r>
          </w:p>
        </w:tc>
        <w:tc>
          <w:tcPr>
            <w:tcW w:w="1483" w:type="dxa"/>
            <w:vAlign w:val="center"/>
          </w:tcPr>
          <w:p>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pPr>
              <w:rPr>
                <w:rFonts w:eastAsia="仿宋"/>
                <w:color w:val="auto"/>
                <w:sz w:val="24"/>
                <w:szCs w:val="22"/>
                <w:highlight w:val="none"/>
              </w:rPr>
            </w:pPr>
          </w:p>
        </w:tc>
        <w:tc>
          <w:tcPr>
            <w:tcW w:w="1162" w:type="dxa"/>
            <w:gridSpan w:val="2"/>
            <w:vAlign w:val="center"/>
          </w:tcPr>
          <w:p>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pPr>
              <w:rPr>
                <w:rFonts w:eastAsia="仿宋"/>
                <w:color w:val="auto"/>
                <w:sz w:val="24"/>
                <w:szCs w:val="22"/>
                <w:highlight w:val="none"/>
              </w:rPr>
            </w:pPr>
          </w:p>
        </w:tc>
        <w:tc>
          <w:tcPr>
            <w:tcW w:w="804" w:type="dxa"/>
            <w:vAlign w:val="center"/>
          </w:tcPr>
          <w:p>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技术负责人</w:t>
            </w:r>
          </w:p>
        </w:tc>
        <w:tc>
          <w:tcPr>
            <w:tcW w:w="1483" w:type="dxa"/>
            <w:vAlign w:val="center"/>
          </w:tcPr>
          <w:p>
            <w:pPr>
              <w:rPr>
                <w:rFonts w:eastAsia="仿宋"/>
                <w:color w:val="auto"/>
                <w:sz w:val="24"/>
                <w:szCs w:val="22"/>
                <w:highlight w:val="none"/>
              </w:rPr>
            </w:pPr>
            <w:r>
              <w:rPr>
                <w:rFonts w:eastAsia="仿宋"/>
                <w:color w:val="auto"/>
                <w:sz w:val="24"/>
                <w:szCs w:val="22"/>
                <w:highlight w:val="none"/>
              </w:rPr>
              <w:t>姓名</w:t>
            </w:r>
          </w:p>
        </w:tc>
        <w:tc>
          <w:tcPr>
            <w:tcW w:w="1164" w:type="dxa"/>
            <w:vAlign w:val="center"/>
          </w:tcPr>
          <w:p>
            <w:pPr>
              <w:rPr>
                <w:rFonts w:eastAsia="仿宋"/>
                <w:color w:val="auto"/>
                <w:sz w:val="24"/>
                <w:szCs w:val="22"/>
                <w:highlight w:val="none"/>
              </w:rPr>
            </w:pPr>
          </w:p>
        </w:tc>
        <w:tc>
          <w:tcPr>
            <w:tcW w:w="1162" w:type="dxa"/>
            <w:gridSpan w:val="2"/>
            <w:vAlign w:val="center"/>
          </w:tcPr>
          <w:p>
            <w:pPr>
              <w:rPr>
                <w:rFonts w:eastAsia="仿宋"/>
                <w:color w:val="auto"/>
                <w:sz w:val="24"/>
                <w:szCs w:val="22"/>
                <w:highlight w:val="none"/>
              </w:rPr>
            </w:pPr>
            <w:r>
              <w:rPr>
                <w:rFonts w:eastAsia="仿宋"/>
                <w:color w:val="auto"/>
                <w:sz w:val="24"/>
                <w:szCs w:val="22"/>
                <w:highlight w:val="none"/>
              </w:rPr>
              <w:t>技术职称</w:t>
            </w:r>
          </w:p>
        </w:tc>
        <w:tc>
          <w:tcPr>
            <w:tcW w:w="1378" w:type="dxa"/>
            <w:vAlign w:val="center"/>
          </w:tcPr>
          <w:p>
            <w:pPr>
              <w:rPr>
                <w:rFonts w:eastAsia="仿宋"/>
                <w:color w:val="auto"/>
                <w:sz w:val="24"/>
                <w:szCs w:val="22"/>
                <w:highlight w:val="none"/>
              </w:rPr>
            </w:pPr>
          </w:p>
        </w:tc>
        <w:tc>
          <w:tcPr>
            <w:tcW w:w="804" w:type="dxa"/>
            <w:vAlign w:val="center"/>
          </w:tcPr>
          <w:p>
            <w:pPr>
              <w:rPr>
                <w:rFonts w:eastAsia="仿宋"/>
                <w:color w:val="auto"/>
                <w:sz w:val="24"/>
                <w:szCs w:val="22"/>
                <w:highlight w:val="none"/>
              </w:rPr>
            </w:pPr>
            <w:r>
              <w:rPr>
                <w:rFonts w:eastAsia="仿宋"/>
                <w:color w:val="auto"/>
                <w:sz w:val="24"/>
                <w:szCs w:val="22"/>
                <w:highlight w:val="none"/>
              </w:rPr>
              <w:t>电话</w:t>
            </w:r>
          </w:p>
        </w:tc>
        <w:tc>
          <w:tcPr>
            <w:tcW w:w="1597" w:type="dxa"/>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成立时间</w:t>
            </w:r>
          </w:p>
        </w:tc>
        <w:tc>
          <w:tcPr>
            <w:tcW w:w="2647" w:type="dxa"/>
            <w:gridSpan w:val="2"/>
            <w:vAlign w:val="center"/>
          </w:tcPr>
          <w:p>
            <w:pPr>
              <w:rPr>
                <w:rFonts w:eastAsia="仿宋"/>
                <w:color w:val="auto"/>
                <w:sz w:val="24"/>
                <w:szCs w:val="22"/>
                <w:highlight w:val="none"/>
              </w:rPr>
            </w:pPr>
          </w:p>
        </w:tc>
        <w:tc>
          <w:tcPr>
            <w:tcW w:w="4941" w:type="dxa"/>
            <w:gridSpan w:val="5"/>
            <w:vAlign w:val="center"/>
          </w:tcPr>
          <w:p>
            <w:pPr>
              <w:rPr>
                <w:rFonts w:eastAsia="仿宋"/>
                <w:color w:val="auto"/>
                <w:sz w:val="24"/>
                <w:szCs w:val="22"/>
                <w:highlight w:val="none"/>
              </w:rPr>
            </w:pPr>
            <w:r>
              <w:rPr>
                <w:rFonts w:eastAsia="仿宋"/>
                <w:color w:val="auto"/>
                <w:sz w:val="24"/>
                <w:szCs w:val="22"/>
                <w:highlight w:val="none"/>
              </w:rPr>
              <w:t>员工总人数：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营业执照号</w:t>
            </w:r>
          </w:p>
        </w:tc>
        <w:tc>
          <w:tcPr>
            <w:tcW w:w="2647" w:type="dxa"/>
            <w:gridSpan w:val="2"/>
            <w:vAlign w:val="center"/>
          </w:tcPr>
          <w:p>
            <w:pPr>
              <w:rPr>
                <w:rFonts w:eastAsia="仿宋"/>
                <w:color w:val="auto"/>
                <w:sz w:val="24"/>
                <w:szCs w:val="22"/>
                <w:highlight w:val="none"/>
              </w:rPr>
            </w:pPr>
          </w:p>
        </w:tc>
        <w:tc>
          <w:tcPr>
            <w:tcW w:w="737" w:type="dxa"/>
            <w:vMerge w:val="restart"/>
            <w:vAlign w:val="center"/>
          </w:tcPr>
          <w:p>
            <w:pPr>
              <w:rPr>
                <w:rFonts w:eastAsia="仿宋"/>
                <w:color w:val="auto"/>
                <w:sz w:val="24"/>
                <w:szCs w:val="22"/>
                <w:highlight w:val="none"/>
              </w:rPr>
            </w:pPr>
            <w:r>
              <w:rPr>
                <w:rFonts w:eastAsia="仿宋"/>
                <w:color w:val="auto"/>
                <w:sz w:val="24"/>
                <w:szCs w:val="22"/>
                <w:highlight w:val="none"/>
              </w:rPr>
              <w:t>其中</w:t>
            </w: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高级职称人员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注册资金</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中级职称人员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开户银行</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初级职称人员</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银行账号</w:t>
            </w:r>
          </w:p>
        </w:tc>
        <w:tc>
          <w:tcPr>
            <w:tcW w:w="2647" w:type="dxa"/>
            <w:gridSpan w:val="2"/>
            <w:vAlign w:val="center"/>
          </w:tcPr>
          <w:p>
            <w:pPr>
              <w:rPr>
                <w:rFonts w:eastAsia="仿宋"/>
                <w:color w:val="auto"/>
                <w:sz w:val="24"/>
                <w:szCs w:val="22"/>
                <w:highlight w:val="none"/>
              </w:rPr>
            </w:pPr>
          </w:p>
        </w:tc>
        <w:tc>
          <w:tcPr>
            <w:tcW w:w="737" w:type="dxa"/>
            <w:vMerge w:val="continue"/>
            <w:vAlign w:val="center"/>
          </w:tcPr>
          <w:p>
            <w:pPr>
              <w:rPr>
                <w:rFonts w:eastAsia="仿宋"/>
                <w:color w:val="auto"/>
                <w:sz w:val="24"/>
                <w:szCs w:val="22"/>
                <w:highlight w:val="none"/>
              </w:rPr>
            </w:pPr>
          </w:p>
        </w:tc>
        <w:tc>
          <w:tcPr>
            <w:tcW w:w="1803" w:type="dxa"/>
            <w:gridSpan w:val="2"/>
            <w:vAlign w:val="center"/>
          </w:tcPr>
          <w:p>
            <w:pPr>
              <w:rPr>
                <w:rFonts w:eastAsia="仿宋"/>
                <w:color w:val="auto"/>
                <w:sz w:val="24"/>
                <w:szCs w:val="22"/>
                <w:highlight w:val="none"/>
              </w:rPr>
            </w:pPr>
            <w:r>
              <w:rPr>
                <w:rFonts w:eastAsia="仿宋"/>
                <w:color w:val="auto"/>
                <w:sz w:val="24"/>
                <w:szCs w:val="22"/>
                <w:highlight w:val="none"/>
              </w:rPr>
              <w:t>技工</w:t>
            </w:r>
          </w:p>
        </w:tc>
        <w:tc>
          <w:tcPr>
            <w:tcW w:w="2401"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73" w:hRule="atLeast"/>
        </w:trPr>
        <w:tc>
          <w:tcPr>
            <w:tcW w:w="1698" w:type="dxa"/>
            <w:vAlign w:val="center"/>
          </w:tcPr>
          <w:p>
            <w:pPr>
              <w:rPr>
                <w:rFonts w:eastAsia="仿宋"/>
                <w:color w:val="auto"/>
                <w:sz w:val="24"/>
                <w:szCs w:val="22"/>
                <w:highlight w:val="none"/>
              </w:rPr>
            </w:pPr>
            <w:r>
              <w:rPr>
                <w:rFonts w:eastAsia="仿宋"/>
                <w:color w:val="auto"/>
                <w:sz w:val="24"/>
                <w:szCs w:val="22"/>
                <w:highlight w:val="none"/>
              </w:rPr>
              <w:t>经营范围备注</w:t>
            </w:r>
          </w:p>
        </w:tc>
        <w:tc>
          <w:tcPr>
            <w:tcW w:w="7588" w:type="dxa"/>
            <w:gridSpan w:val="7"/>
            <w:vAlign w:val="center"/>
          </w:tcPr>
          <w:p>
            <w:pPr>
              <w:rPr>
                <w:rFonts w:eastAsia="仿宋"/>
                <w:color w:val="auto"/>
                <w:sz w:val="24"/>
                <w:szCs w:val="22"/>
                <w:highlight w:val="none"/>
              </w:rPr>
            </w:pPr>
          </w:p>
        </w:tc>
      </w:tr>
    </w:tbl>
    <w:p>
      <w:pPr>
        <w:spacing w:line="460" w:lineRule="exact"/>
        <w:ind w:firstLine="720" w:firstLineChars="300"/>
        <w:rPr>
          <w:rFonts w:eastAsia="仿宋"/>
          <w:color w:val="auto"/>
          <w:sz w:val="24"/>
          <w:highlight w:val="none"/>
        </w:rPr>
      </w:pPr>
      <w:bookmarkStart w:id="310" w:name="_Toc495403967"/>
      <w:bookmarkStart w:id="311" w:name="_Toc399344134"/>
      <w:bookmarkStart w:id="312" w:name="_Toc399344507"/>
      <w:bookmarkStart w:id="313" w:name="_Toc400631668"/>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left="690"/>
        <w:rPr>
          <w:rFonts w:eastAsia="仿宋"/>
          <w:color w:val="auto"/>
          <w:sz w:val="24"/>
          <w:highlight w:val="none"/>
        </w:rPr>
      </w:pPr>
      <w:r>
        <w:rPr>
          <w:rFonts w:eastAsia="仿宋"/>
          <w:color w:val="auto"/>
          <w:sz w:val="24"/>
          <w:highlight w:val="none"/>
        </w:rPr>
        <w:t>日期：</w:t>
      </w:r>
    </w:p>
    <w:p>
      <w:pPr>
        <w:rPr>
          <w:rFonts w:eastAsia="仿宋"/>
          <w:b/>
          <w:color w:val="auto"/>
          <w:sz w:val="24"/>
          <w:highlight w:val="none"/>
        </w:rPr>
      </w:pPr>
      <w:r>
        <w:rPr>
          <w:rFonts w:eastAsia="仿宋"/>
          <w:b/>
          <w:color w:val="auto"/>
          <w:sz w:val="24"/>
          <w:highlight w:val="none"/>
        </w:rPr>
        <w:br w:type="page"/>
      </w:r>
      <w:r>
        <w:rPr>
          <w:rFonts w:eastAsia="仿宋"/>
          <w:b/>
          <w:color w:val="auto"/>
          <w:sz w:val="24"/>
          <w:highlight w:val="none"/>
        </w:rPr>
        <w:t>（2）</w:t>
      </w:r>
      <w:r>
        <w:rPr>
          <w:rFonts w:hint="eastAsia" w:eastAsia="仿宋"/>
          <w:b/>
          <w:color w:val="auto"/>
          <w:sz w:val="24"/>
          <w:highlight w:val="none"/>
          <w:lang w:val="en-US" w:eastAsia="zh-CN"/>
        </w:rPr>
        <w:t>销售案例明细</w:t>
      </w:r>
      <w:r>
        <w:rPr>
          <w:rFonts w:eastAsia="仿宋"/>
          <w:b/>
          <w:color w:val="auto"/>
          <w:sz w:val="24"/>
          <w:highlight w:val="none"/>
        </w:rPr>
        <w:t>情况表</w:t>
      </w:r>
      <w:bookmarkEnd w:id="310"/>
      <w:bookmarkEnd w:id="311"/>
      <w:bookmarkEnd w:id="312"/>
      <w:bookmarkEnd w:id="313"/>
    </w:p>
    <w:tbl>
      <w:tblPr>
        <w:tblStyle w:val="43"/>
        <w:tblW w:w="928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84"/>
        <w:gridCol w:w="3058"/>
        <w:gridCol w:w="414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hint="eastAsia" w:eastAsia="仿宋"/>
                <w:color w:val="auto"/>
                <w:sz w:val="24"/>
                <w:szCs w:val="22"/>
                <w:highlight w:val="none"/>
                <w:lang w:val="en-US" w:eastAsia="zh-CN"/>
              </w:rPr>
              <w:t>采购</w:t>
            </w:r>
            <w:r>
              <w:rPr>
                <w:rFonts w:eastAsia="仿宋"/>
                <w:color w:val="auto"/>
                <w:sz w:val="24"/>
                <w:szCs w:val="22"/>
                <w:highlight w:val="none"/>
              </w:rPr>
              <w:t>项目名称</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项目所在地</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采购</w:t>
            </w:r>
            <w:r>
              <w:rPr>
                <w:rFonts w:hint="eastAsia" w:eastAsia="仿宋"/>
                <w:color w:val="auto"/>
                <w:sz w:val="24"/>
                <w:szCs w:val="22"/>
                <w:highlight w:val="none"/>
                <w:lang w:val="en-US" w:eastAsia="zh-CN"/>
              </w:rPr>
              <w:t>单位</w:t>
            </w:r>
            <w:r>
              <w:rPr>
                <w:rFonts w:eastAsia="仿宋"/>
                <w:color w:val="auto"/>
                <w:sz w:val="24"/>
                <w:szCs w:val="22"/>
                <w:highlight w:val="none"/>
              </w:rPr>
              <w:t>名称</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采购</w:t>
            </w:r>
            <w:r>
              <w:rPr>
                <w:rFonts w:hint="eastAsia" w:eastAsia="仿宋"/>
                <w:color w:val="auto"/>
                <w:sz w:val="24"/>
                <w:szCs w:val="22"/>
                <w:highlight w:val="none"/>
                <w:lang w:val="en-US" w:eastAsia="zh-CN"/>
              </w:rPr>
              <w:t>单位</w:t>
            </w:r>
            <w:r>
              <w:rPr>
                <w:rFonts w:eastAsia="仿宋"/>
                <w:color w:val="auto"/>
                <w:sz w:val="24"/>
                <w:szCs w:val="22"/>
                <w:highlight w:val="none"/>
              </w:rPr>
              <w:t>地址</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联系方式</w:t>
            </w:r>
          </w:p>
        </w:tc>
        <w:tc>
          <w:tcPr>
            <w:tcW w:w="3058" w:type="dxa"/>
            <w:tcBorders>
              <w:right w:val="single" w:color="auto" w:sz="4" w:space="0"/>
            </w:tcBorders>
            <w:vAlign w:val="center"/>
          </w:tcPr>
          <w:p>
            <w:pPr>
              <w:rPr>
                <w:rFonts w:hint="default"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联系人：</w:t>
            </w:r>
          </w:p>
        </w:tc>
        <w:tc>
          <w:tcPr>
            <w:tcW w:w="4144" w:type="dxa"/>
            <w:tcBorders>
              <w:left w:val="single" w:color="auto" w:sz="4" w:space="0"/>
            </w:tcBorders>
            <w:vAlign w:val="center"/>
          </w:tcPr>
          <w:p>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采购代理名称</w:t>
            </w:r>
          </w:p>
        </w:tc>
        <w:tc>
          <w:tcPr>
            <w:tcW w:w="7202" w:type="dxa"/>
            <w:gridSpan w:val="2"/>
            <w:vAlign w:val="center"/>
          </w:tcPr>
          <w:p>
            <w:pPr>
              <w:rPr>
                <w:rFonts w:hint="eastAsia" w:eastAsia="仿宋"/>
                <w:color w:val="auto"/>
                <w:sz w:val="24"/>
                <w:szCs w:val="22"/>
                <w:highlight w:val="none"/>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联系方式</w:t>
            </w:r>
          </w:p>
        </w:tc>
        <w:tc>
          <w:tcPr>
            <w:tcW w:w="3058" w:type="dxa"/>
            <w:tcBorders>
              <w:right w:val="single" w:color="auto" w:sz="4" w:space="0"/>
            </w:tcBorders>
            <w:vAlign w:val="center"/>
          </w:tcPr>
          <w:p>
            <w:pPr>
              <w:rPr>
                <w:rFonts w:hint="eastAsia" w:ascii="Times New Roman" w:hAnsi="Times New Roman" w:eastAsia="仿宋" w:cs="Times New Roman"/>
                <w:color w:val="auto"/>
                <w:kern w:val="2"/>
                <w:sz w:val="24"/>
                <w:szCs w:val="22"/>
                <w:highlight w:val="none"/>
                <w:lang w:val="en-US" w:eastAsia="zh-CN" w:bidi="ar-SA"/>
              </w:rPr>
            </w:pPr>
            <w:r>
              <w:rPr>
                <w:rFonts w:hint="eastAsia" w:eastAsia="仿宋"/>
                <w:color w:val="auto"/>
                <w:sz w:val="24"/>
                <w:szCs w:val="22"/>
                <w:highlight w:val="none"/>
                <w:lang w:val="en-US" w:eastAsia="zh-CN"/>
              </w:rPr>
              <w:t>项目负责人：</w:t>
            </w:r>
          </w:p>
        </w:tc>
        <w:tc>
          <w:tcPr>
            <w:tcW w:w="4144" w:type="dxa"/>
            <w:tcBorders>
              <w:left w:val="single" w:color="auto" w:sz="4" w:space="0"/>
            </w:tcBorders>
            <w:vAlign w:val="center"/>
          </w:tcPr>
          <w:p>
            <w:pPr>
              <w:rPr>
                <w:rFonts w:hint="eastAsia" w:ascii="Arial" w:hAnsi="Arial" w:eastAsia="仿宋" w:cs="Arial"/>
                <w:snapToGrid w:val="0"/>
                <w:color w:val="auto"/>
                <w:kern w:val="2"/>
                <w:sz w:val="24"/>
                <w:szCs w:val="22"/>
                <w:highlight w:val="none"/>
                <w:lang w:val="en-US" w:eastAsia="zh-CN" w:bidi="ar-SA"/>
              </w:rPr>
            </w:pPr>
            <w:r>
              <w:rPr>
                <w:rFonts w:hint="eastAsia" w:eastAsia="仿宋"/>
                <w:color w:val="auto"/>
                <w:sz w:val="24"/>
                <w:szCs w:val="22"/>
                <w:highlight w:val="none"/>
                <w:lang w:val="en-US" w:eastAsia="zh-CN"/>
              </w:rPr>
              <w:t>联系电话：</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合同价格</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交付日期</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技术负责人</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发布网站名称</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3" w:hRule="atLeast"/>
        </w:trPr>
        <w:tc>
          <w:tcPr>
            <w:tcW w:w="2084" w:type="dxa"/>
            <w:vAlign w:val="center"/>
          </w:tcPr>
          <w:p>
            <w:pPr>
              <w:rPr>
                <w:rFonts w:hint="default" w:eastAsia="仿宋"/>
                <w:color w:val="auto"/>
                <w:sz w:val="24"/>
                <w:szCs w:val="22"/>
                <w:highlight w:val="none"/>
                <w:lang w:val="en-US" w:eastAsia="zh-CN"/>
              </w:rPr>
            </w:pPr>
            <w:r>
              <w:rPr>
                <w:rFonts w:hint="eastAsia" w:eastAsia="仿宋"/>
                <w:color w:val="auto"/>
                <w:sz w:val="24"/>
                <w:szCs w:val="22"/>
                <w:highlight w:val="none"/>
                <w:lang w:val="en-US" w:eastAsia="zh-CN"/>
              </w:rPr>
              <w:t>发布链接地址</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75"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项目描述</w:t>
            </w:r>
          </w:p>
        </w:tc>
        <w:tc>
          <w:tcPr>
            <w:tcW w:w="7202" w:type="dxa"/>
            <w:gridSpan w:val="2"/>
            <w:vAlign w:val="center"/>
          </w:tcPr>
          <w:p>
            <w:pPr>
              <w:rPr>
                <w:rFonts w:eastAsia="仿宋"/>
                <w:color w:val="auto"/>
                <w:sz w:val="24"/>
                <w:szCs w:val="22"/>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65" w:hRule="atLeast"/>
        </w:trPr>
        <w:tc>
          <w:tcPr>
            <w:tcW w:w="2084" w:type="dxa"/>
            <w:vAlign w:val="center"/>
          </w:tcPr>
          <w:p>
            <w:pPr>
              <w:rPr>
                <w:rFonts w:eastAsia="仿宋"/>
                <w:color w:val="auto"/>
                <w:sz w:val="24"/>
                <w:szCs w:val="22"/>
                <w:highlight w:val="none"/>
              </w:rPr>
            </w:pPr>
            <w:r>
              <w:rPr>
                <w:rFonts w:eastAsia="仿宋"/>
                <w:color w:val="auto"/>
                <w:sz w:val="24"/>
                <w:szCs w:val="22"/>
                <w:highlight w:val="none"/>
              </w:rPr>
              <w:t>备注</w:t>
            </w:r>
          </w:p>
        </w:tc>
        <w:tc>
          <w:tcPr>
            <w:tcW w:w="7202" w:type="dxa"/>
            <w:gridSpan w:val="2"/>
            <w:vAlign w:val="center"/>
          </w:tcPr>
          <w:p>
            <w:pPr>
              <w:rPr>
                <w:rFonts w:eastAsia="仿宋"/>
                <w:color w:val="auto"/>
                <w:sz w:val="24"/>
                <w:szCs w:val="22"/>
                <w:highlight w:val="none"/>
              </w:rPr>
            </w:pPr>
          </w:p>
        </w:tc>
      </w:tr>
    </w:tbl>
    <w:p>
      <w:pPr>
        <w:rPr>
          <w:rFonts w:eastAsia="仿宋"/>
          <w:b/>
          <w:color w:val="auto"/>
          <w:sz w:val="24"/>
          <w:highlight w:val="none"/>
        </w:rPr>
      </w:pPr>
    </w:p>
    <w:p>
      <w:pPr>
        <w:rPr>
          <w:rFonts w:eastAsia="仿宋"/>
          <w:b/>
          <w:color w:val="auto"/>
          <w:sz w:val="24"/>
          <w:highlight w:val="none"/>
        </w:rPr>
      </w:pPr>
    </w:p>
    <w:p>
      <w:pPr>
        <w:spacing w:line="460" w:lineRule="exact"/>
        <w:ind w:left="690"/>
        <w:rPr>
          <w:rFonts w:eastAsia="仿宋"/>
          <w:color w:val="auto"/>
          <w:sz w:val="24"/>
          <w:highlight w:val="none"/>
        </w:rPr>
      </w:pPr>
      <w:bookmarkStart w:id="314" w:name="_Toc399344508"/>
      <w:bookmarkStart w:id="315" w:name="_Toc399344135"/>
      <w:bookmarkStart w:id="316" w:name="_Toc495403968"/>
      <w:bookmarkStart w:id="317" w:name="_Toc400631669"/>
      <w:r>
        <w:rPr>
          <w:rFonts w:eastAsia="仿宋"/>
          <w:color w:val="auto"/>
          <w:sz w:val="24"/>
          <w:highlight w:val="none"/>
        </w:rPr>
        <w:t>投标人名称： （加盖公章）</w:t>
      </w:r>
    </w:p>
    <w:p>
      <w:pPr>
        <w:spacing w:line="460" w:lineRule="exact"/>
        <w:ind w:left="690"/>
        <w:rPr>
          <w:rFonts w:eastAsia="仿宋"/>
          <w:color w:val="auto"/>
          <w:sz w:val="24"/>
          <w:highlight w:val="none"/>
        </w:rPr>
      </w:pPr>
      <w:r>
        <w:rPr>
          <w:rFonts w:eastAsia="仿宋"/>
          <w:color w:val="auto"/>
          <w:sz w:val="24"/>
          <w:highlight w:val="none"/>
        </w:rPr>
        <w:t>法定代表人（或授权代表）签字（或签章）：</w:t>
      </w:r>
    </w:p>
    <w:p>
      <w:pPr>
        <w:spacing w:line="460" w:lineRule="exact"/>
        <w:ind w:firstLine="720" w:firstLineChars="300"/>
        <w:jc w:val="left"/>
        <w:rPr>
          <w:rFonts w:eastAsia="仿宋"/>
          <w:color w:val="auto"/>
          <w:sz w:val="24"/>
          <w:highlight w:val="none"/>
        </w:rPr>
      </w:pPr>
      <w:r>
        <w:rPr>
          <w:rFonts w:eastAsia="仿宋"/>
          <w:color w:val="auto"/>
          <w:sz w:val="24"/>
          <w:highlight w:val="none"/>
        </w:rPr>
        <w:t>日期：</w:t>
      </w:r>
    </w:p>
    <w:p>
      <w:pPr>
        <w:rPr>
          <w:rFonts w:eastAsia="仿宋"/>
          <w:b/>
          <w:color w:val="auto"/>
          <w:sz w:val="24"/>
          <w:highlight w:val="none"/>
        </w:rPr>
      </w:pPr>
      <w:r>
        <w:rPr>
          <w:rFonts w:eastAsia="仿宋"/>
          <w:b/>
          <w:color w:val="auto"/>
          <w:sz w:val="24"/>
          <w:highlight w:val="none"/>
        </w:rPr>
        <w:br w:type="page"/>
      </w:r>
      <w:r>
        <w:rPr>
          <w:rFonts w:eastAsia="仿宋"/>
          <w:b/>
          <w:color w:val="auto"/>
          <w:sz w:val="24"/>
          <w:highlight w:val="none"/>
        </w:rPr>
        <w:t>（3）售后服务承诺</w:t>
      </w:r>
      <w:bookmarkEnd w:id="314"/>
      <w:bookmarkEnd w:id="315"/>
      <w:bookmarkEnd w:id="316"/>
      <w:bookmarkEnd w:id="317"/>
    </w:p>
    <w:p>
      <w:pPr>
        <w:rPr>
          <w:rFonts w:eastAsia="仿宋"/>
          <w:color w:val="auto"/>
          <w:sz w:val="28"/>
          <w:highlight w:val="none"/>
        </w:rPr>
      </w:pPr>
      <w:bookmarkStart w:id="318" w:name="_Toc495403969"/>
      <w:bookmarkStart w:id="319" w:name="_Toc400631670"/>
      <w:bookmarkStart w:id="320" w:name="_Toc399344136"/>
      <w:bookmarkStart w:id="321" w:name="_Toc399344509"/>
      <w:r>
        <w:rPr>
          <w:rFonts w:eastAsia="仿宋"/>
          <w:color w:val="auto"/>
          <w:sz w:val="24"/>
          <w:highlight w:val="none"/>
        </w:rPr>
        <w:t>（由投标人按技术要求和商务要求中售后服务及要求自行填写）</w:t>
      </w:r>
    </w:p>
    <w:p>
      <w:pPr>
        <w:rPr>
          <w:rFonts w:eastAsia="仿宋"/>
          <w:b/>
          <w:color w:val="auto"/>
          <w:sz w:val="24"/>
          <w:highlight w:val="none"/>
        </w:rPr>
      </w:pPr>
      <w:r>
        <w:rPr>
          <w:rFonts w:eastAsia="仿宋"/>
          <w:b/>
          <w:color w:val="auto"/>
          <w:sz w:val="24"/>
          <w:highlight w:val="none"/>
        </w:rPr>
        <w:br w:type="page"/>
      </w:r>
      <w:r>
        <w:rPr>
          <w:rFonts w:eastAsia="仿宋"/>
          <w:b/>
          <w:color w:val="auto"/>
          <w:sz w:val="24"/>
          <w:highlight w:val="none"/>
        </w:rPr>
        <w:t>（4）属于中小企业的有效证明材料</w:t>
      </w:r>
      <w:bookmarkEnd w:id="318"/>
    </w:p>
    <w:bookmarkEnd w:id="319"/>
    <w:bookmarkEnd w:id="320"/>
    <w:bookmarkEnd w:id="321"/>
    <w:p>
      <w:pPr>
        <w:rPr>
          <w:rFonts w:eastAsia="仿宋"/>
          <w:color w:val="auto"/>
          <w:highlight w:val="none"/>
        </w:rPr>
      </w:pPr>
    </w:p>
    <w:p>
      <w:pPr>
        <w:jc w:val="center"/>
        <w:rPr>
          <w:rFonts w:eastAsia="仿宋"/>
          <w:b/>
          <w:color w:val="auto"/>
          <w:sz w:val="24"/>
          <w:highlight w:val="none"/>
        </w:rPr>
      </w:pPr>
      <w:bookmarkStart w:id="322" w:name="_Toc495162090"/>
      <w:r>
        <w:rPr>
          <w:rFonts w:hint="eastAsia" w:eastAsia="仿宋"/>
          <w:b/>
          <w:color w:val="auto"/>
          <w:sz w:val="24"/>
          <w:highlight w:val="none"/>
          <w:lang w:eastAsia="zh-CN"/>
        </w:rPr>
        <w:t>（</w:t>
      </w:r>
      <w:r>
        <w:rPr>
          <w:rFonts w:eastAsia="仿宋"/>
          <w:b/>
          <w:color w:val="auto"/>
          <w:sz w:val="24"/>
          <w:highlight w:val="none"/>
        </w:rPr>
        <w:t>4-1</w:t>
      </w:r>
      <w:r>
        <w:rPr>
          <w:rFonts w:hint="eastAsia" w:eastAsia="仿宋"/>
          <w:b/>
          <w:color w:val="auto"/>
          <w:sz w:val="24"/>
          <w:highlight w:val="none"/>
          <w:lang w:eastAsia="zh-CN"/>
        </w:rPr>
        <w:t>）</w:t>
      </w:r>
      <w:r>
        <w:rPr>
          <w:rFonts w:eastAsia="仿宋"/>
          <w:b/>
          <w:color w:val="auto"/>
          <w:sz w:val="24"/>
          <w:highlight w:val="none"/>
        </w:rPr>
        <w:t>中小企业声明函</w:t>
      </w:r>
      <w:bookmarkEnd w:id="322"/>
    </w:p>
    <w:p>
      <w:pPr>
        <w:rPr>
          <w:rFonts w:eastAsia="仿宋"/>
          <w:b/>
          <w:color w:val="auto"/>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本公司郑重声明，根据《政府采购促进中小企业发展管理办法》（财库[2020]46号）的规定，本公司为参加</w:t>
      </w:r>
      <w:r>
        <w:rPr>
          <w:rFonts w:eastAsia="仿宋"/>
          <w:color w:val="auto"/>
          <w:spacing w:val="6"/>
          <w:sz w:val="24"/>
          <w:highlight w:val="none"/>
          <w:u w:val="single"/>
        </w:rPr>
        <w:t>（单位名称）</w:t>
      </w:r>
      <w:r>
        <w:rPr>
          <w:rFonts w:eastAsia="仿宋"/>
          <w:color w:val="auto"/>
          <w:spacing w:val="6"/>
          <w:sz w:val="24"/>
          <w:highlight w:val="none"/>
        </w:rPr>
        <w:t>的</w:t>
      </w:r>
      <w:r>
        <w:rPr>
          <w:rFonts w:eastAsia="仿宋"/>
          <w:color w:val="auto"/>
          <w:spacing w:val="6"/>
          <w:sz w:val="24"/>
          <w:highlight w:val="none"/>
          <w:u w:val="single"/>
        </w:rPr>
        <w:t>（项目名称</w:t>
      </w:r>
      <w:r>
        <w:rPr>
          <w:rFonts w:hint="eastAsia" w:eastAsia="仿宋"/>
          <w:color w:val="auto"/>
          <w:spacing w:val="6"/>
          <w:sz w:val="24"/>
          <w:highlight w:val="none"/>
          <w:u w:val="single"/>
          <w:lang w:eastAsia="zh-CN"/>
        </w:rPr>
        <w:t>、</w:t>
      </w:r>
      <w:r>
        <w:rPr>
          <w:rFonts w:hint="eastAsia" w:eastAsia="仿宋"/>
          <w:color w:val="auto"/>
          <w:spacing w:val="6"/>
          <w:sz w:val="24"/>
          <w:highlight w:val="none"/>
          <w:u w:val="single"/>
          <w:lang w:val="en-US" w:eastAsia="zh-CN"/>
        </w:rPr>
        <w:t>包号</w:t>
      </w:r>
      <w:r>
        <w:rPr>
          <w:rFonts w:eastAsia="仿宋"/>
          <w:color w:val="auto"/>
          <w:spacing w:val="6"/>
          <w:sz w:val="24"/>
          <w:highlight w:val="none"/>
          <w:u w:val="single"/>
        </w:rPr>
        <w:t>）</w:t>
      </w:r>
      <w:r>
        <w:rPr>
          <w:rFonts w:eastAsia="仿宋"/>
          <w:color w:val="auto"/>
          <w:spacing w:val="6"/>
          <w:sz w:val="24"/>
          <w:highlight w:val="none"/>
        </w:rPr>
        <w:t>采购活动，提供的货物全部由符合政策要求的中小企业制造。相关企业的具体情况如下：</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1.</w:t>
      </w:r>
      <w:r>
        <w:rPr>
          <w:rFonts w:eastAsia="仿宋"/>
          <w:color w:val="auto"/>
          <w:spacing w:val="6"/>
          <w:sz w:val="24"/>
          <w:highlight w:val="none"/>
          <w:u w:val="single"/>
        </w:rPr>
        <w:t>（标的名称）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2.</w:t>
      </w:r>
      <w:r>
        <w:rPr>
          <w:rFonts w:eastAsia="仿宋"/>
          <w:color w:val="auto"/>
          <w:spacing w:val="6"/>
          <w:sz w:val="24"/>
          <w:highlight w:val="none"/>
          <w:u w:val="single"/>
        </w:rPr>
        <w:t xml:space="preserve"> （标的名称）</w:t>
      </w:r>
      <w:r>
        <w:rPr>
          <w:rFonts w:eastAsia="仿宋"/>
          <w:color w:val="auto"/>
          <w:spacing w:val="6"/>
          <w:sz w:val="24"/>
          <w:highlight w:val="none"/>
        </w:rPr>
        <w:t>，属于</w:t>
      </w:r>
      <w:r>
        <w:rPr>
          <w:rFonts w:eastAsia="仿宋"/>
          <w:color w:val="auto"/>
          <w:spacing w:val="6"/>
          <w:sz w:val="24"/>
          <w:highlight w:val="none"/>
          <w:u w:val="single"/>
        </w:rPr>
        <w:t>（采购文件中明确的所属行业）行业</w:t>
      </w:r>
      <w:r>
        <w:rPr>
          <w:rFonts w:eastAsia="仿宋"/>
          <w:color w:val="auto"/>
          <w:spacing w:val="6"/>
          <w:sz w:val="24"/>
          <w:highlight w:val="none"/>
        </w:rPr>
        <w:t>；制造商为</w:t>
      </w:r>
      <w:r>
        <w:rPr>
          <w:rFonts w:eastAsia="仿宋"/>
          <w:color w:val="auto"/>
          <w:spacing w:val="6"/>
          <w:sz w:val="24"/>
          <w:highlight w:val="none"/>
          <w:u w:val="single"/>
        </w:rPr>
        <w:t>（企业名称）</w:t>
      </w:r>
      <w:r>
        <w:rPr>
          <w:rFonts w:eastAsia="仿宋"/>
          <w:color w:val="auto"/>
          <w:spacing w:val="6"/>
          <w:sz w:val="24"/>
          <w:highlight w:val="none"/>
        </w:rPr>
        <w:t>，从业人员人，营业收入为万元，资产总额为万元，属于</w:t>
      </w:r>
      <w:r>
        <w:rPr>
          <w:rFonts w:eastAsia="仿宋"/>
          <w:color w:val="auto"/>
          <w:spacing w:val="6"/>
          <w:sz w:val="24"/>
          <w:highlight w:val="none"/>
          <w:u w:val="single"/>
        </w:rPr>
        <w:t>（中型企业、小型企业、微型企业）</w:t>
      </w: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以上企业，不属于大企业的分支机构，不存在控股股东为大企业的情形，也不存在与大企业的负责人为同一人的情形。</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本企业对上述声明内容的真实性负责。如有虚假，将依法承担相应责任。</w:t>
      </w:r>
    </w:p>
    <w:p>
      <w:pPr>
        <w:spacing w:line="588" w:lineRule="exact"/>
        <w:ind w:firstLine="504" w:firstLineChars="200"/>
        <w:rPr>
          <w:rFonts w:eastAsia="仿宋"/>
          <w:color w:val="auto"/>
          <w:spacing w:val="6"/>
          <w:sz w:val="24"/>
          <w:highlight w:val="none"/>
        </w:rPr>
      </w:pPr>
    </w:p>
    <w:p>
      <w:pPr>
        <w:spacing w:line="588" w:lineRule="exact"/>
        <w:ind w:firstLine="4961" w:firstLineChars="1969"/>
        <w:rPr>
          <w:rFonts w:eastAsia="仿宋"/>
          <w:color w:val="auto"/>
          <w:spacing w:val="6"/>
          <w:sz w:val="24"/>
          <w:highlight w:val="none"/>
        </w:rPr>
      </w:pPr>
      <w:r>
        <w:rPr>
          <w:rFonts w:eastAsia="仿宋"/>
          <w:color w:val="auto"/>
          <w:spacing w:val="6"/>
          <w:sz w:val="24"/>
          <w:highlight w:val="none"/>
        </w:rPr>
        <w:t>企业名称（盖章）：</w:t>
      </w:r>
    </w:p>
    <w:p>
      <w:pPr>
        <w:ind w:firstLine="4965" w:firstLineChars="2069"/>
        <w:rPr>
          <w:rFonts w:eastAsia="仿宋"/>
          <w:color w:val="auto"/>
          <w:kern w:val="0"/>
          <w:sz w:val="24"/>
          <w:highlight w:val="none"/>
        </w:rPr>
      </w:pPr>
      <w:r>
        <w:rPr>
          <w:rFonts w:eastAsia="仿宋"/>
          <w:color w:val="auto"/>
          <w:kern w:val="0"/>
          <w:sz w:val="24"/>
          <w:highlight w:val="none"/>
        </w:rPr>
        <w:t>日     期：</w:t>
      </w:r>
    </w:p>
    <w:p>
      <w:pPr>
        <w:rPr>
          <w:rFonts w:eastAsia="仿宋"/>
          <w:color w:val="auto"/>
          <w:kern w:val="0"/>
          <w:sz w:val="24"/>
          <w:highlight w:val="none"/>
        </w:rPr>
      </w:pPr>
      <w:bookmarkStart w:id="323" w:name="_Toc495162091"/>
      <w:bookmarkStart w:id="324" w:name="OLE_LINK14"/>
      <w:bookmarkStart w:id="325" w:name="OLE_LINK13"/>
    </w:p>
    <w:p>
      <w:pPr>
        <w:rPr>
          <w:rFonts w:eastAsia="仿宋"/>
          <w:color w:val="auto"/>
          <w:kern w:val="0"/>
          <w:sz w:val="24"/>
          <w:highlight w:val="none"/>
        </w:rPr>
      </w:pPr>
    </w:p>
    <w:p>
      <w:pPr>
        <w:pStyle w:val="37"/>
        <w:spacing w:before="0" w:beforeAutospacing="0" w:after="0" w:afterAutospacing="0" w:line="360" w:lineRule="exact"/>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注：以上从业人员、营业收入、资产总额填报上一年度数据，无上一年度数据的新成立企业可不填报。</w:t>
      </w:r>
      <w:r>
        <w:rPr>
          <w:rFonts w:ascii="Times New Roman" w:hAnsi="Times New Roman" w:eastAsia="仿宋" w:cs="Times New Roman"/>
          <w:color w:val="auto"/>
          <w:highlight w:val="none"/>
        </w:rPr>
        <w:br w:type="page"/>
      </w:r>
      <w:r>
        <w:rPr>
          <w:rFonts w:ascii="Times New Roman" w:hAnsi="Times New Roman" w:eastAsia="仿宋" w:cs="Times New Roman"/>
          <w:color w:val="auto"/>
          <w:highlight w:val="none"/>
        </w:rPr>
        <w:t xml:space="preserve">附表：  </w:t>
      </w:r>
    </w:p>
    <w:p>
      <w:pPr>
        <w:pStyle w:val="37"/>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中小企业划型标准规定</w:t>
      </w:r>
    </w:p>
    <w:p>
      <w:pPr>
        <w:pStyle w:val="37"/>
        <w:spacing w:before="0" w:beforeAutospacing="0" w:after="0" w:afterAutospacing="0" w:line="360" w:lineRule="exact"/>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w:t>
      </w:r>
      <w:r>
        <w:rPr>
          <w:rFonts w:ascii="Times New Roman" w:hAnsi="Times New Roman" w:eastAsia="仿宋" w:cs="Times New Roman"/>
          <w:color w:val="auto"/>
          <w:highlight w:val="none"/>
        </w:rPr>
        <w:t>工信部联企业〔2011〕300号</w:t>
      </w:r>
      <w:r>
        <w:rPr>
          <w:rFonts w:ascii="Times New Roman" w:hAnsi="Times New Roman" w:eastAsia="仿宋" w:cs="Times New Roman"/>
          <w:b/>
          <w:bCs/>
          <w:color w:val="auto"/>
          <w:highlight w:val="none"/>
        </w:rPr>
        <w:t>）</w:t>
      </w:r>
    </w:p>
    <w:p>
      <w:pPr>
        <w:pStyle w:val="37"/>
        <w:spacing w:before="0" w:beforeAutospacing="0" w:after="0" w:afterAutospacing="0" w:line="360" w:lineRule="exact"/>
        <w:jc w:val="right"/>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---（摘要）</w:t>
      </w:r>
    </w:p>
    <w:p>
      <w:pPr>
        <w:pStyle w:val="37"/>
        <w:spacing w:before="0" w:beforeAutospacing="0" w:after="0" w:afterAutospacing="0" w:line="340" w:lineRule="exact"/>
        <w:rPr>
          <w:rFonts w:ascii="Times New Roman" w:hAnsi="Times New Roman" w:eastAsia="仿宋" w:cs="Times New Roman"/>
          <w:color w:val="auto"/>
          <w:highlight w:val="none"/>
        </w:rPr>
      </w:pPr>
      <w:r>
        <w:rPr>
          <w:rFonts w:ascii="Times New Roman" w:hAnsi="Times New Roman" w:eastAsia="仿宋" w:cs="Times New Roman"/>
          <w:color w:val="auto"/>
          <w:highlight w:val="none"/>
        </w:rPr>
        <w:t>一、本规定适用的行业包括：</w:t>
      </w:r>
    </w:p>
    <w:p>
      <w:pPr>
        <w:spacing w:line="340" w:lineRule="exact"/>
        <w:jc w:val="left"/>
        <w:rPr>
          <w:rFonts w:hint="eastAsia" w:eastAsia="仿宋"/>
          <w:color w:val="auto"/>
          <w:sz w:val="24"/>
          <w:highlight w:val="none"/>
          <w:lang w:eastAsia="zh-CN"/>
        </w:rPr>
      </w:pPr>
      <w:r>
        <w:rPr>
          <w:rFonts w:eastAsia="仿宋"/>
          <w:color w:val="auto"/>
          <w:sz w:val="24"/>
          <w:highlight w:val="none"/>
        </w:rPr>
        <w:t>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pPr>
        <w:spacing w:line="340" w:lineRule="exact"/>
        <w:jc w:val="left"/>
        <w:rPr>
          <w:rFonts w:hint="eastAsia" w:eastAsia="仿宋"/>
          <w:color w:val="auto"/>
          <w:sz w:val="24"/>
          <w:highlight w:val="none"/>
          <w:lang w:eastAsia="zh-CN"/>
        </w:rPr>
      </w:pPr>
      <w:r>
        <w:rPr>
          <w:rFonts w:eastAsia="仿宋"/>
          <w:color w:val="auto"/>
          <w:sz w:val="24"/>
          <w:highlight w:val="none"/>
        </w:rPr>
        <w:t>二、各行业划型标准为：</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（一）农、林、牧、渔业。</w:t>
      </w:r>
      <w:r>
        <w:rPr>
          <w:rFonts w:eastAsia="仿宋"/>
          <w:color w:val="auto"/>
          <w:sz w:val="24"/>
          <w:highlight w:val="none"/>
        </w:rPr>
        <w:t>营业收入20000万元以下的为中小微型企业。其中，营业收入500万元及以上的为中型企业，营业收入50万元及以上的为小型企业，营业收入50万元以下的为微型企业。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（二）工业。</w:t>
      </w:r>
      <w:r>
        <w:rPr>
          <w:rFonts w:eastAsia="仿宋"/>
          <w:color w:val="auto"/>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（三）建筑业。</w:t>
      </w:r>
      <w:r>
        <w:rPr>
          <w:rFonts w:eastAsia="仿宋"/>
          <w:color w:val="auto"/>
          <w:sz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（四）批发业。</w:t>
      </w:r>
      <w:r>
        <w:rPr>
          <w:rFonts w:eastAsia="仿宋"/>
          <w:color w:val="auto"/>
          <w:sz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（五）零售业。</w:t>
      </w:r>
      <w:r>
        <w:rPr>
          <w:rFonts w:eastAsia="仿宋"/>
          <w:color w:val="auto"/>
          <w:sz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（六）交通运输业。</w:t>
      </w:r>
      <w:r>
        <w:rPr>
          <w:rFonts w:eastAsia="仿宋"/>
          <w:color w:val="auto"/>
          <w:sz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（七）仓储业。</w:t>
      </w:r>
      <w:r>
        <w:rPr>
          <w:rFonts w:eastAsia="仿宋"/>
          <w:color w:val="auto"/>
          <w:sz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（八）邮政业。</w:t>
      </w:r>
      <w:r>
        <w:rPr>
          <w:rFonts w:eastAsia="仿宋"/>
          <w:color w:val="auto"/>
          <w:sz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（九）住宿业。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（十）餐饮业。</w:t>
      </w:r>
      <w:r>
        <w:rPr>
          <w:rFonts w:eastAsia="仿宋"/>
          <w:color w:val="auto"/>
          <w:sz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（十一）信息传输业。</w:t>
      </w:r>
      <w:r>
        <w:rPr>
          <w:rFonts w:eastAsia="仿宋"/>
          <w:color w:val="auto"/>
          <w:sz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（十二）软件和信息技术服务业。</w:t>
      </w:r>
      <w:r>
        <w:rPr>
          <w:rFonts w:eastAsia="仿宋"/>
          <w:color w:val="auto"/>
          <w:sz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（十三）房地产开发经营。</w:t>
      </w:r>
      <w:r>
        <w:rPr>
          <w:rFonts w:eastAsia="仿宋"/>
          <w:color w:val="auto"/>
          <w:sz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（十四）物业管理。</w:t>
      </w:r>
      <w:r>
        <w:rPr>
          <w:rFonts w:eastAsia="仿宋"/>
          <w:color w:val="auto"/>
          <w:sz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（十五）租赁和商务服务业。</w:t>
      </w:r>
      <w:r>
        <w:rPr>
          <w:rFonts w:eastAsia="仿宋"/>
          <w:color w:val="auto"/>
          <w:sz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keepNext w:val="0"/>
        <w:keepLines w:val="0"/>
        <w:pageBreakBefore w:val="0"/>
        <w:widowControl w:val="0"/>
        <w:kinsoku/>
        <w:wordWrap/>
        <w:overflowPunct/>
        <w:topLinePunct w:val="0"/>
        <w:autoSpaceDE/>
        <w:autoSpaceDN/>
        <w:bidi w:val="0"/>
        <w:adjustRightInd/>
        <w:snapToGrid/>
        <w:spacing w:line="340" w:lineRule="exact"/>
        <w:ind w:firstLine="482" w:firstLineChars="200"/>
        <w:jc w:val="left"/>
        <w:textAlignment w:val="auto"/>
        <w:rPr>
          <w:rFonts w:hint="eastAsia" w:eastAsia="仿宋"/>
          <w:color w:val="auto"/>
          <w:sz w:val="24"/>
          <w:highlight w:val="none"/>
          <w:lang w:eastAsia="zh-CN"/>
        </w:rPr>
      </w:pPr>
      <w:r>
        <w:rPr>
          <w:rFonts w:eastAsia="仿宋"/>
          <w:b/>
          <w:bCs/>
          <w:color w:val="auto"/>
          <w:sz w:val="24"/>
          <w:highlight w:val="none"/>
        </w:rPr>
        <w:t>（十六）其他未列明行业。</w:t>
      </w:r>
      <w:r>
        <w:rPr>
          <w:rFonts w:eastAsia="仿宋"/>
          <w:color w:val="auto"/>
          <w:sz w:val="24"/>
          <w:highlight w:val="none"/>
        </w:rPr>
        <w:t>从业人员300人以下的为中小微型企业。其中，从业人员100人及以上的为中型企业；从业人员10人及以上的为小型企业；从业人员10人以下的为微型企业。</w:t>
      </w:r>
    </w:p>
    <w:p>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三、本规定适用于在中华人民共和国境内依法设立的各类所有制和各种组织形式的企业。个体工商户和本规定以外的行业，参照本规定进行划型。</w:t>
      </w:r>
    </w:p>
    <w:p>
      <w:pPr>
        <w:spacing w:line="340" w:lineRule="exact"/>
        <w:ind w:firstLine="240" w:firstLineChars="100"/>
        <w:jc w:val="left"/>
        <w:rPr>
          <w:rFonts w:hint="eastAsia" w:eastAsia="仿宋"/>
          <w:color w:val="auto"/>
          <w:sz w:val="24"/>
          <w:highlight w:val="none"/>
          <w:lang w:eastAsia="zh-CN"/>
        </w:rPr>
      </w:pPr>
      <w:r>
        <w:rPr>
          <w:rFonts w:eastAsia="仿宋"/>
          <w:color w:val="auto"/>
          <w:sz w:val="24"/>
          <w:highlight w:val="none"/>
        </w:rPr>
        <w:t>四、本规定的中型企业标准上限即为大型企业标准的下限，国家统计部门据此制定大中小微型企业的统计分类。国务院有关部门据此进行相关数据分析，不得制定与本规定不一致的企业划型标准。</w:t>
      </w:r>
    </w:p>
    <w:p>
      <w:pPr>
        <w:spacing w:line="340" w:lineRule="exact"/>
        <w:jc w:val="left"/>
        <w:rPr>
          <w:rFonts w:hint="eastAsia" w:eastAsia="仿宋"/>
          <w:color w:val="auto"/>
          <w:sz w:val="24"/>
          <w:highlight w:val="none"/>
          <w:lang w:eastAsia="zh-CN"/>
        </w:rPr>
      </w:pPr>
    </w:p>
    <w:p>
      <w:pPr>
        <w:spacing w:line="360" w:lineRule="exact"/>
        <w:jc w:val="left"/>
        <w:rPr>
          <w:rFonts w:eastAsia="仿宋"/>
          <w:color w:val="auto"/>
          <w:sz w:val="30"/>
          <w:szCs w:val="30"/>
          <w:highlight w:val="none"/>
        </w:rPr>
      </w:pPr>
    </w:p>
    <w:p>
      <w:pPr>
        <w:spacing w:line="360" w:lineRule="exact"/>
        <w:jc w:val="left"/>
        <w:rPr>
          <w:rFonts w:eastAsia="仿宋"/>
          <w:color w:val="auto"/>
          <w:sz w:val="30"/>
          <w:szCs w:val="30"/>
          <w:highlight w:val="none"/>
        </w:rPr>
      </w:pPr>
    </w:p>
    <w:p>
      <w:pPr>
        <w:spacing w:line="360" w:lineRule="exact"/>
        <w:jc w:val="left"/>
        <w:rPr>
          <w:rFonts w:eastAsia="仿宋"/>
          <w:color w:val="auto"/>
          <w:sz w:val="30"/>
          <w:szCs w:val="30"/>
          <w:highlight w:val="none"/>
        </w:rPr>
      </w:pPr>
    </w:p>
    <w:p>
      <w:pPr>
        <w:jc w:val="center"/>
        <w:rPr>
          <w:rFonts w:eastAsia="仿宋"/>
          <w:b/>
          <w:color w:val="auto"/>
          <w:sz w:val="24"/>
          <w:highlight w:val="none"/>
        </w:rPr>
      </w:pPr>
      <w:r>
        <w:rPr>
          <w:rFonts w:hint="eastAsia" w:eastAsia="仿宋"/>
          <w:b/>
          <w:color w:val="auto"/>
          <w:sz w:val="24"/>
          <w:highlight w:val="none"/>
          <w:lang w:eastAsia="zh-CN"/>
        </w:rPr>
        <w:t>（</w:t>
      </w:r>
      <w:r>
        <w:rPr>
          <w:rFonts w:eastAsia="仿宋"/>
          <w:b/>
          <w:color w:val="auto"/>
          <w:sz w:val="24"/>
          <w:highlight w:val="none"/>
        </w:rPr>
        <w:t>4-2</w:t>
      </w:r>
      <w:r>
        <w:rPr>
          <w:rFonts w:hint="eastAsia" w:eastAsia="仿宋"/>
          <w:b/>
          <w:color w:val="auto"/>
          <w:sz w:val="24"/>
          <w:highlight w:val="none"/>
          <w:lang w:eastAsia="zh-CN"/>
        </w:rPr>
        <w:t>）</w:t>
      </w:r>
      <w:r>
        <w:rPr>
          <w:rFonts w:eastAsia="仿宋"/>
          <w:b/>
          <w:color w:val="auto"/>
          <w:sz w:val="24"/>
          <w:highlight w:val="none"/>
        </w:rPr>
        <w:t>残疾人福利性单位声明函</w:t>
      </w:r>
      <w:bookmarkEnd w:id="323"/>
    </w:p>
    <w:bookmarkEnd w:id="324"/>
    <w:bookmarkEnd w:id="325"/>
    <w:p>
      <w:pPr>
        <w:spacing w:line="588" w:lineRule="exact"/>
        <w:rPr>
          <w:rFonts w:eastAsia="仿宋"/>
          <w:b/>
          <w:color w:val="auto"/>
          <w:spacing w:val="6"/>
          <w:sz w:val="30"/>
          <w:szCs w:val="30"/>
          <w:highlight w:val="none"/>
        </w:rPr>
      </w:pP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p>
    <w:p>
      <w:pPr>
        <w:spacing w:line="588" w:lineRule="exact"/>
        <w:ind w:firstLine="504" w:firstLineChars="200"/>
        <w:rPr>
          <w:rFonts w:eastAsia="仿宋"/>
          <w:color w:val="auto"/>
          <w:spacing w:val="6"/>
          <w:sz w:val="24"/>
          <w:highlight w:val="none"/>
        </w:rPr>
      </w:pPr>
      <w:r>
        <w:rPr>
          <w:rFonts w:eastAsia="仿宋"/>
          <w:color w:val="auto"/>
          <w:spacing w:val="6"/>
          <w:sz w:val="24"/>
          <w:highlight w:val="none"/>
        </w:rPr>
        <w:t>本单位对上述声明的真实性负责。如有虚假，将依法承担相应责任。</w:t>
      </w:r>
    </w:p>
    <w:p>
      <w:pPr>
        <w:spacing w:line="588" w:lineRule="exact"/>
        <w:ind w:firstLine="504" w:firstLineChars="200"/>
        <w:rPr>
          <w:rFonts w:eastAsia="仿宋"/>
          <w:color w:val="auto"/>
          <w:spacing w:val="6"/>
          <w:sz w:val="24"/>
          <w:highlight w:val="none"/>
        </w:rPr>
      </w:pPr>
    </w:p>
    <w:p>
      <w:pPr>
        <w:spacing w:line="588" w:lineRule="exact"/>
        <w:ind w:firstLine="504" w:firstLineChars="200"/>
        <w:rPr>
          <w:rFonts w:eastAsia="仿宋"/>
          <w:color w:val="auto"/>
          <w:spacing w:val="6"/>
          <w:sz w:val="24"/>
          <w:highlight w:val="none"/>
        </w:rPr>
      </w:pPr>
    </w:p>
    <w:p>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单位名称（盖章）：</w:t>
      </w:r>
    </w:p>
    <w:p>
      <w:pPr>
        <w:tabs>
          <w:tab w:val="left" w:pos="4860"/>
        </w:tabs>
        <w:spacing w:line="588" w:lineRule="exact"/>
        <w:ind w:right="1560" w:firstLine="504" w:firstLineChars="200"/>
        <w:jc w:val="center"/>
        <w:rPr>
          <w:rFonts w:eastAsia="仿宋"/>
          <w:color w:val="auto"/>
          <w:spacing w:val="6"/>
          <w:sz w:val="24"/>
          <w:highlight w:val="none"/>
        </w:rPr>
      </w:pPr>
      <w:r>
        <w:rPr>
          <w:rFonts w:eastAsia="仿宋"/>
          <w:color w:val="auto"/>
          <w:spacing w:val="6"/>
          <w:sz w:val="24"/>
          <w:highlight w:val="none"/>
        </w:rPr>
        <w:t>日  期：</w:t>
      </w:r>
    </w:p>
    <w:p>
      <w:pPr>
        <w:tabs>
          <w:tab w:val="left" w:pos="4860"/>
        </w:tabs>
        <w:spacing w:line="588" w:lineRule="exact"/>
        <w:ind w:right="1560" w:firstLine="504" w:firstLineChars="200"/>
        <w:jc w:val="right"/>
        <w:rPr>
          <w:rFonts w:eastAsia="仿宋"/>
          <w:color w:val="auto"/>
          <w:spacing w:val="6"/>
          <w:sz w:val="24"/>
          <w:highlight w:val="none"/>
        </w:rPr>
      </w:pPr>
    </w:p>
    <w:p>
      <w:pPr>
        <w:jc w:val="center"/>
        <w:rPr>
          <w:rFonts w:eastAsia="仿宋"/>
          <w:b/>
          <w:color w:val="auto"/>
          <w:sz w:val="24"/>
          <w:highlight w:val="none"/>
        </w:rPr>
      </w:pPr>
      <w:bookmarkStart w:id="326" w:name="_Toc495162092"/>
      <w:r>
        <w:rPr>
          <w:rFonts w:eastAsia="仿宋"/>
          <w:color w:val="auto"/>
          <w:sz w:val="24"/>
          <w:highlight w:val="none"/>
        </w:rPr>
        <w:br w:type="page"/>
      </w:r>
      <w:r>
        <w:rPr>
          <w:rFonts w:hint="eastAsia" w:eastAsia="仿宋"/>
          <w:b/>
          <w:color w:val="auto"/>
          <w:sz w:val="24"/>
          <w:highlight w:val="none"/>
          <w:lang w:eastAsia="zh-CN"/>
        </w:rPr>
        <w:t>（</w:t>
      </w:r>
      <w:r>
        <w:rPr>
          <w:rFonts w:eastAsia="仿宋"/>
          <w:b/>
          <w:color w:val="auto"/>
          <w:sz w:val="24"/>
          <w:highlight w:val="none"/>
        </w:rPr>
        <w:t>4-3</w:t>
      </w:r>
      <w:r>
        <w:rPr>
          <w:rFonts w:hint="eastAsia" w:eastAsia="仿宋"/>
          <w:b/>
          <w:color w:val="auto"/>
          <w:sz w:val="24"/>
          <w:highlight w:val="none"/>
          <w:lang w:eastAsia="zh-CN"/>
        </w:rPr>
        <w:t>）</w:t>
      </w:r>
      <w:r>
        <w:rPr>
          <w:rFonts w:eastAsia="仿宋"/>
          <w:b/>
          <w:color w:val="auto"/>
          <w:sz w:val="24"/>
          <w:highlight w:val="none"/>
        </w:rPr>
        <w:t>属于监狱企业的证明文件</w:t>
      </w:r>
      <w:bookmarkEnd w:id="326"/>
    </w:p>
    <w:p>
      <w:pPr>
        <w:pStyle w:val="42"/>
        <w:spacing w:after="0"/>
        <w:rPr>
          <w:rFonts w:ascii="仿宋" w:hAnsi="仿宋" w:eastAsia="仿宋"/>
          <w:b/>
          <w:color w:val="auto"/>
          <w:sz w:val="24"/>
          <w:highlight w:val="none"/>
        </w:rPr>
      </w:pPr>
    </w:p>
    <w:p>
      <w:pPr>
        <w:pStyle w:val="42"/>
        <w:spacing w:after="0"/>
        <w:rPr>
          <w:rFonts w:ascii="仿宋" w:hAnsi="仿宋" w:eastAsia="仿宋"/>
          <w:b w:val="0"/>
          <w:bCs/>
          <w:color w:val="auto"/>
          <w:sz w:val="24"/>
          <w:highlight w:val="none"/>
        </w:rPr>
      </w:pPr>
      <w:r>
        <w:rPr>
          <w:rFonts w:hint="eastAsia" w:ascii="仿宋" w:hAnsi="仿宋" w:eastAsia="仿宋"/>
          <w:b w:val="0"/>
          <w:bCs/>
          <w:color w:val="auto"/>
          <w:sz w:val="24"/>
          <w:highlight w:val="none"/>
        </w:rPr>
        <w:t>注：监狱企业参加政府采购活动时，应当提供由省级以上监狱管理局、戒毒管理局（含 新疆生产建设兵团）出具的属于监狱企业的证明文件。</w:t>
      </w:r>
    </w:p>
    <w:p>
      <w:pPr>
        <w:pStyle w:val="42"/>
        <w:spacing w:after="0"/>
        <w:rPr>
          <w:rFonts w:ascii="仿宋" w:hAnsi="仿宋" w:eastAsia="仿宋"/>
          <w:b/>
          <w:color w:val="auto"/>
          <w:sz w:val="24"/>
          <w:highlight w:val="none"/>
        </w:rPr>
      </w:pPr>
    </w:p>
    <w:p>
      <w:pPr>
        <w:pStyle w:val="42"/>
        <w:ind w:firstLine="482"/>
        <w:rPr>
          <w:rFonts w:eastAsia="仿宋"/>
          <w:b/>
          <w:color w:val="auto"/>
          <w:sz w:val="24"/>
          <w:highlight w:val="none"/>
        </w:rPr>
      </w:pPr>
    </w:p>
    <w:p>
      <w:pPr>
        <w:pStyle w:val="42"/>
        <w:ind w:firstLine="482"/>
        <w:rPr>
          <w:rFonts w:eastAsia="仿宋"/>
          <w:b/>
          <w:color w:val="auto"/>
          <w:sz w:val="24"/>
          <w:highlight w:val="none"/>
        </w:rPr>
      </w:pPr>
    </w:p>
    <w:p>
      <w:pPr>
        <w:jc w:val="center"/>
        <w:rPr>
          <w:rFonts w:eastAsia="仿宋"/>
          <w:color w:val="auto"/>
          <w:sz w:val="24"/>
          <w:highlight w:val="none"/>
        </w:rPr>
      </w:pPr>
      <w:bookmarkStart w:id="327" w:name="_Toc495162093"/>
    </w:p>
    <w:p>
      <w:pPr>
        <w:spacing w:line="500" w:lineRule="exact"/>
        <w:jc w:val="center"/>
        <w:rPr>
          <w:rFonts w:eastAsiaTheme="minorEastAsia"/>
          <w:b/>
          <w:color w:val="auto"/>
          <w:highlight w:val="none"/>
        </w:rPr>
      </w:pPr>
      <w:r>
        <w:rPr>
          <w:rFonts w:eastAsia="仿宋"/>
          <w:b/>
          <w:color w:val="auto"/>
          <w:sz w:val="24"/>
          <w:highlight w:val="none"/>
        </w:rPr>
        <w:t xml:space="preserve"> </w:t>
      </w:r>
      <w:r>
        <w:rPr>
          <w:rFonts w:hint="eastAsia" w:eastAsia="仿宋"/>
          <w:b/>
          <w:color w:val="auto"/>
          <w:sz w:val="24"/>
          <w:highlight w:val="none"/>
          <w:lang w:eastAsia="zh-CN"/>
        </w:rPr>
        <w:t>（</w:t>
      </w:r>
      <w:r>
        <w:rPr>
          <w:rFonts w:eastAsia="仿宋"/>
          <w:b/>
          <w:color w:val="auto"/>
          <w:sz w:val="24"/>
          <w:highlight w:val="none"/>
        </w:rPr>
        <w:t>5</w:t>
      </w:r>
      <w:r>
        <w:rPr>
          <w:rFonts w:hint="eastAsia" w:eastAsia="仿宋"/>
          <w:b/>
          <w:color w:val="auto"/>
          <w:sz w:val="24"/>
          <w:highlight w:val="none"/>
          <w:lang w:eastAsia="zh-CN"/>
        </w:rPr>
        <w:t>）</w:t>
      </w:r>
      <w:r>
        <w:rPr>
          <w:rFonts w:eastAsia="仿宋"/>
          <w:b/>
          <w:color w:val="auto"/>
          <w:sz w:val="24"/>
          <w:highlight w:val="none"/>
        </w:rPr>
        <w:t>节能、环保产品证明文件</w:t>
      </w:r>
      <w:bookmarkEnd w:id="327"/>
    </w:p>
    <w:p>
      <w:pPr>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选择“节能产品”和“环境标志产品”参与</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的，应当在</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文件中提供由国家确定的认证机构出具的处于有效期之内的节能产品、环境标志产品认证证书，对获得证书的产品实施政府优先采购或强制采购。</w:t>
      </w:r>
    </w:p>
    <w:p>
      <w:pPr>
        <w:widowControl/>
        <w:spacing w:line="440" w:lineRule="exact"/>
        <w:ind w:left="0" w:leftChars="0" w:firstLine="0" w:firstLineChars="0"/>
        <w:jc w:val="both"/>
        <w:rPr>
          <w:rFonts w:hint="eastAsia" w:ascii="仿宋" w:hAnsi="仿宋" w:eastAsia="仿宋" w:cs="仿宋"/>
          <w:color w:val="auto"/>
          <w:kern w:val="2"/>
          <w:sz w:val="24"/>
          <w:szCs w:val="24"/>
          <w:highlight w:val="none"/>
          <w:lang w:val="en-US" w:eastAsia="zh-CN" w:bidi="ar-SA"/>
        </w:rPr>
      </w:pPr>
    </w:p>
    <w:p>
      <w:pPr>
        <w:shd w:val="clear" w:color="auto" w:fill="auto"/>
        <w:spacing w:line="460" w:lineRule="exact"/>
        <w:jc w:val="lef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t>政府强制采购产品要求：</w:t>
      </w:r>
    </w:p>
    <w:p>
      <w:pPr>
        <w:shd w:val="clear" w:color="auto" w:fill="auto"/>
        <w:spacing w:line="460" w:lineRule="exact"/>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rPr>
        <w:t>如本项目中涉及《节能产品政府采购品目清单》中规定的属实行政府强制采购产品的无论</w:t>
      </w:r>
      <w:r>
        <w:rPr>
          <w:rFonts w:hint="eastAsia" w:ascii="仿宋" w:hAnsi="仿宋" w:eastAsia="仿宋" w:cs="仿宋"/>
          <w:i w:val="0"/>
          <w:iCs w:val="0"/>
          <w:color w:val="auto"/>
          <w:sz w:val="24"/>
          <w:szCs w:val="24"/>
          <w:highlight w:val="none"/>
          <w:lang w:val="en-US" w:eastAsia="zh-CN"/>
        </w:rPr>
        <w:t>招标</w:t>
      </w:r>
      <w:r>
        <w:rPr>
          <w:rFonts w:hint="eastAsia" w:ascii="仿宋" w:hAnsi="仿宋" w:eastAsia="仿宋" w:cs="仿宋"/>
          <w:i w:val="0"/>
          <w:iCs w:val="0"/>
          <w:color w:val="auto"/>
          <w:sz w:val="24"/>
          <w:szCs w:val="24"/>
          <w:highlight w:val="none"/>
        </w:rPr>
        <w:t>文件是否特别指明，</w:t>
      </w:r>
      <w:r>
        <w:rPr>
          <w:rFonts w:hint="eastAsia" w:ascii="仿宋" w:hAnsi="仿宋" w:eastAsia="仿宋" w:cs="仿宋"/>
          <w:i w:val="0"/>
          <w:iCs w:val="0"/>
          <w:color w:val="auto"/>
          <w:sz w:val="24"/>
          <w:szCs w:val="24"/>
          <w:highlight w:val="none"/>
          <w:lang w:val="en-US" w:eastAsia="zh-CN"/>
        </w:rPr>
        <w:t>投标人</w:t>
      </w:r>
      <w:r>
        <w:rPr>
          <w:rFonts w:hint="eastAsia" w:ascii="仿宋" w:hAnsi="仿宋" w:eastAsia="仿宋" w:cs="仿宋"/>
          <w:i w:val="0"/>
          <w:iCs w:val="0"/>
          <w:color w:val="auto"/>
          <w:sz w:val="24"/>
          <w:szCs w:val="24"/>
          <w:highlight w:val="none"/>
        </w:rPr>
        <w:t>均需投报节能产品，须在</w:t>
      </w:r>
      <w:r>
        <w:rPr>
          <w:rFonts w:hint="eastAsia" w:ascii="仿宋" w:hAnsi="仿宋" w:eastAsia="仿宋" w:cs="仿宋"/>
          <w:i w:val="0"/>
          <w:iCs w:val="0"/>
          <w:color w:val="auto"/>
          <w:sz w:val="24"/>
          <w:szCs w:val="24"/>
          <w:highlight w:val="none"/>
          <w:lang w:val="en-US" w:eastAsia="zh-CN"/>
        </w:rPr>
        <w:t>投标</w:t>
      </w:r>
      <w:r>
        <w:rPr>
          <w:rFonts w:hint="eastAsia" w:ascii="仿宋" w:hAnsi="仿宋" w:eastAsia="仿宋" w:cs="仿宋"/>
          <w:i w:val="0"/>
          <w:iCs w:val="0"/>
          <w:color w:val="auto"/>
          <w:sz w:val="24"/>
          <w:szCs w:val="24"/>
          <w:highlight w:val="none"/>
        </w:rPr>
        <w:t>文件中附具有国家确定的认证机构出具的、处于有效期之内的节能产品认证证书，否则将视为</w:t>
      </w:r>
      <w:r>
        <w:rPr>
          <w:rFonts w:hint="eastAsia" w:ascii="仿宋" w:hAnsi="仿宋" w:eastAsia="仿宋" w:cs="仿宋"/>
          <w:i w:val="0"/>
          <w:iCs w:val="0"/>
          <w:color w:val="auto"/>
          <w:sz w:val="24"/>
          <w:szCs w:val="24"/>
          <w:highlight w:val="none"/>
          <w:lang w:val="en-US" w:eastAsia="zh-CN"/>
        </w:rPr>
        <w:t>投标</w:t>
      </w:r>
      <w:r>
        <w:rPr>
          <w:rFonts w:hint="eastAsia" w:ascii="仿宋" w:hAnsi="仿宋" w:eastAsia="仿宋" w:cs="仿宋"/>
          <w:i w:val="0"/>
          <w:iCs w:val="0"/>
          <w:color w:val="auto"/>
          <w:sz w:val="24"/>
          <w:szCs w:val="24"/>
          <w:highlight w:val="none"/>
        </w:rPr>
        <w:t>无效。</w:t>
      </w:r>
    </w:p>
    <w:p>
      <w:pPr>
        <w:bidi w:val="0"/>
        <w:rPr>
          <w:color w:val="auto"/>
          <w:highlight w:val="none"/>
        </w:rPr>
      </w:pPr>
    </w:p>
    <w:p>
      <w:pPr>
        <w:pStyle w:val="3"/>
        <w:jc w:val="center"/>
        <w:rPr>
          <w:rFonts w:ascii="Times New Roman" w:eastAsia="仿宋"/>
          <w:color w:val="auto"/>
          <w:szCs w:val="44"/>
          <w:highlight w:val="none"/>
        </w:rPr>
      </w:pPr>
      <w:r>
        <w:rPr>
          <w:rFonts w:ascii="Times New Roman" w:eastAsia="仿宋"/>
          <w:b/>
          <w:color w:val="auto"/>
          <w:sz w:val="40"/>
          <w:highlight w:val="none"/>
        </w:rPr>
        <w:br w:type="page"/>
      </w:r>
      <w:bookmarkStart w:id="328" w:name="_Toc7016"/>
      <w:bookmarkStart w:id="329" w:name="_Toc25980"/>
      <w:bookmarkStart w:id="330" w:name="_Toc28141"/>
      <w:bookmarkStart w:id="331" w:name="_Toc9047"/>
      <w:bookmarkStart w:id="332" w:name="_Toc16855"/>
      <w:r>
        <w:rPr>
          <w:rFonts w:hint="eastAsia" w:ascii="Times New Roman" w:eastAsia="仿宋"/>
          <w:b/>
          <w:color w:val="auto"/>
          <w:sz w:val="40"/>
          <w:highlight w:val="none"/>
        </w:rPr>
        <w:t>第五章　货物需求表及采购需求</w:t>
      </w:r>
      <w:bookmarkEnd w:id="328"/>
    </w:p>
    <w:bookmarkEnd w:id="329"/>
    <w:bookmarkEnd w:id="330"/>
    <w:bookmarkEnd w:id="331"/>
    <w:bookmarkEnd w:id="332"/>
    <w:p>
      <w:pPr>
        <w:rPr>
          <w:color w:val="auto"/>
          <w:highlight w:val="none"/>
        </w:rPr>
      </w:pPr>
    </w:p>
    <w:p>
      <w:pPr>
        <w:pStyle w:val="2"/>
        <w:jc w:val="center"/>
        <w:rPr>
          <w:rFonts w:ascii="Times New Roman" w:hAnsi="Times New Roman" w:eastAsia="仿宋"/>
          <w:color w:val="auto"/>
          <w:highlight w:val="none"/>
        </w:rPr>
      </w:pPr>
      <w:bookmarkStart w:id="333" w:name="_Toc27443"/>
      <w:bookmarkStart w:id="334" w:name="_Toc5115"/>
      <w:bookmarkStart w:id="335" w:name="_Toc24421"/>
      <w:bookmarkStart w:id="336" w:name="_Toc26093"/>
      <w:bookmarkStart w:id="337" w:name="_Toc21052"/>
      <w:r>
        <w:rPr>
          <w:rFonts w:ascii="Times New Roman" w:hAnsi="Times New Roman" w:eastAsia="仿宋"/>
          <w:color w:val="auto"/>
          <w:highlight w:val="none"/>
        </w:rPr>
        <w:t>一、货物需求表</w:t>
      </w:r>
      <w:bookmarkEnd w:id="333"/>
      <w:bookmarkEnd w:id="334"/>
      <w:bookmarkEnd w:id="335"/>
      <w:bookmarkEnd w:id="336"/>
      <w:bookmarkEnd w:id="337"/>
    </w:p>
    <w:tbl>
      <w:tblPr>
        <w:tblStyle w:val="43"/>
        <w:tblW w:w="9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8"/>
        <w:gridCol w:w="4327"/>
        <w:gridCol w:w="851"/>
        <w:gridCol w:w="992"/>
        <w:gridCol w:w="1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项目编号</w:t>
            </w:r>
          </w:p>
        </w:tc>
        <w:tc>
          <w:tcPr>
            <w:tcW w:w="8166" w:type="dxa"/>
            <w:gridSpan w:val="4"/>
            <w:noWrap w:val="0"/>
            <w:vAlign w:val="center"/>
          </w:tcPr>
          <w:p>
            <w:pPr>
              <w:ind w:firstLine="0" w:firstLineChars="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HSH2024ZG015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项目名称</w:t>
            </w:r>
          </w:p>
        </w:tc>
        <w:tc>
          <w:tcPr>
            <w:tcW w:w="8166" w:type="dxa"/>
            <w:gridSpan w:val="4"/>
            <w:noWrap w:val="0"/>
            <w:vAlign w:val="center"/>
          </w:tcPr>
          <w:p>
            <w:pPr>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江西省消防救援总队自然灾害应急能力提升工程装备配备项目（车辆类）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包号</w:t>
            </w:r>
          </w:p>
        </w:tc>
        <w:tc>
          <w:tcPr>
            <w:tcW w:w="4327"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采购</w:t>
            </w:r>
            <w:r>
              <w:rPr>
                <w:rFonts w:hint="eastAsia" w:ascii="仿宋" w:hAnsi="仿宋" w:eastAsia="仿宋" w:cs="仿宋"/>
                <w:b/>
                <w:color w:val="auto"/>
                <w:sz w:val="24"/>
                <w:szCs w:val="24"/>
                <w:highlight w:val="none"/>
                <w:lang w:val="en-US" w:eastAsia="zh-CN"/>
              </w:rPr>
              <w:t>标的</w:t>
            </w:r>
            <w:r>
              <w:rPr>
                <w:rFonts w:hint="eastAsia" w:ascii="仿宋" w:hAnsi="仿宋" w:eastAsia="仿宋" w:cs="仿宋"/>
                <w:b/>
                <w:color w:val="auto"/>
                <w:sz w:val="24"/>
                <w:szCs w:val="24"/>
                <w:highlight w:val="none"/>
              </w:rPr>
              <w:t>名称</w:t>
            </w:r>
          </w:p>
        </w:tc>
        <w:tc>
          <w:tcPr>
            <w:tcW w:w="851"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992"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1996"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产地类型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抢险救援消防车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干粉消防车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洗消消防车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破冰除雪车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举高破拆消防车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A</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B</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冷藏车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淋浴车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盥洗车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被服洗涤车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装备维修车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Style w:val="79"/>
                <w:rFonts w:hint="eastAsia" w:ascii="仿宋" w:hAnsi="仿宋" w:eastAsia="仿宋" w:cs="仿宋"/>
                <w:color w:val="auto"/>
                <w:highlight w:val="none"/>
                <w:lang w:val="en-US" w:eastAsia="zh-CN" w:bidi="ar"/>
              </w:rPr>
              <w:t>水质净化车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物资运输车</w:t>
            </w:r>
            <w:r>
              <w:rPr>
                <w:rStyle w:val="72"/>
                <w:rFonts w:hint="eastAsia" w:ascii="仿宋" w:hAnsi="仿宋" w:eastAsia="仿宋" w:cs="仿宋"/>
                <w:color w:val="auto"/>
                <w:highlight w:val="none"/>
                <w:lang w:val="en-US" w:eastAsia="zh-CN" w:bidi="ar"/>
              </w:rPr>
              <w:t>C</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泡沫输转消防车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仿宋" w:hAnsi="仿宋" w:eastAsia="仿宋" w:cs="仿宋"/>
                <w:i w:val="0"/>
                <w:iCs w:val="0"/>
                <w:color w:val="auto"/>
                <w:kern w:val="0"/>
                <w:sz w:val="24"/>
                <w:szCs w:val="24"/>
                <w:highlight w:val="none"/>
                <w:u w:val="none"/>
                <w:lang w:val="en-US" w:eastAsia="zh-CN" w:bidi="ar"/>
              </w:rPr>
              <w:t>器材消防车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供气消防车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远程供水系统</w:t>
            </w:r>
            <w:r>
              <w:rPr>
                <w:rFonts w:hint="eastAsia" w:ascii="仿宋" w:hAnsi="仿宋" w:eastAsia="仿宋" w:cs="仿宋"/>
                <w:i w:val="0"/>
                <w:iCs w:val="0"/>
                <w:color w:val="auto"/>
                <w:kern w:val="0"/>
                <w:sz w:val="24"/>
                <w:szCs w:val="24"/>
                <w:highlight w:val="none"/>
                <w:u w:val="none"/>
                <w:lang w:val="en-US" w:eastAsia="zh-CN" w:bidi="ar"/>
              </w:rPr>
              <w:t>A</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大型排涝车</w:t>
            </w:r>
            <w:r>
              <w:rPr>
                <w:rFonts w:hint="eastAsia" w:ascii="仿宋" w:hAnsi="仿宋" w:eastAsia="仿宋" w:cs="仿宋"/>
                <w:i w:val="0"/>
                <w:iCs w:val="0"/>
                <w:color w:val="auto"/>
                <w:kern w:val="0"/>
                <w:sz w:val="24"/>
                <w:szCs w:val="24"/>
                <w:highlight w:val="none"/>
                <w:u w:val="none"/>
                <w:lang w:val="en-US" w:eastAsia="zh-CN" w:bidi="ar"/>
              </w:rPr>
              <w:t>B</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前突皮卡车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145</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指挥通信车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28"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4327"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 w:hAnsi="仿宋" w:eastAsia="仿宋" w:cs="仿宋"/>
                <w:color w:val="auto"/>
                <w:sz w:val="24"/>
                <w:szCs w:val="24"/>
                <w:highlight w:val="none"/>
                <w:lang w:val="en-US" w:eastAsia="zh-CN"/>
              </w:rPr>
            </w:pPr>
            <w:r>
              <w:rPr>
                <w:rFonts w:hint="eastAsia" w:ascii="方正仿宋_GBK" w:hAnsi="方正仿宋_GBK" w:eastAsia="方正仿宋_GBK" w:cs="方正仿宋_GBK"/>
                <w:i w:val="0"/>
                <w:iCs w:val="0"/>
                <w:color w:val="auto"/>
                <w:kern w:val="0"/>
                <w:sz w:val="24"/>
                <w:szCs w:val="24"/>
                <w:highlight w:val="none"/>
                <w:u w:val="none"/>
                <w:lang w:val="en-US" w:eastAsia="zh-CN" w:bidi="ar"/>
              </w:rPr>
              <w:t>指挥方舱车</w:t>
            </w:r>
          </w:p>
        </w:tc>
        <w:tc>
          <w:tcPr>
            <w:tcW w:w="851"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辆</w:t>
            </w:r>
          </w:p>
        </w:tc>
        <w:tc>
          <w:tcPr>
            <w:tcW w:w="992"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96" w:type="dxa"/>
            <w:noWrap w:val="0"/>
            <w:vAlign w:val="center"/>
          </w:tcPr>
          <w:p>
            <w:pPr>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国产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交货时间</w:t>
            </w:r>
          </w:p>
        </w:tc>
        <w:tc>
          <w:tcPr>
            <w:tcW w:w="8166" w:type="dxa"/>
            <w:gridSpan w:val="4"/>
            <w:noWrap w:val="0"/>
            <w:vAlign w:val="center"/>
          </w:tcPr>
          <w:p>
            <w:pPr>
              <w:spacing w:line="460" w:lineRule="exact"/>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自合同签订生效之日起 </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 xml:space="preserve"> 个月</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采用进口底盘的车辆交货期为 10个月</w:t>
            </w:r>
            <w:r>
              <w:rPr>
                <w:rFonts w:hint="eastAsia" w:ascii="仿宋" w:hAnsi="仿宋" w:eastAsia="仿宋" w:cs="仿宋"/>
                <w:color w:val="auto"/>
                <w:sz w:val="24"/>
                <w:szCs w:val="24"/>
                <w:highlight w:val="none"/>
              </w:rPr>
              <w:t>）内必须将所投产品送到江西省消防救援总队指定地点（以采购人到货签收时间作为交货时间），验收合格后由中标人配送至各消防救援支队或消防救援大队指定地点。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交货地点</w:t>
            </w:r>
          </w:p>
        </w:tc>
        <w:tc>
          <w:tcPr>
            <w:tcW w:w="8166" w:type="dxa"/>
            <w:gridSpan w:val="4"/>
            <w:noWrap w:val="0"/>
            <w:vAlign w:val="center"/>
          </w:tcPr>
          <w:p>
            <w:pPr>
              <w:spacing w:line="460" w:lineRule="exact"/>
              <w:ind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江西省消防救援总队指定地点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328" w:type="dxa"/>
            <w:noWrap w:val="0"/>
            <w:vAlign w:val="center"/>
          </w:tcPr>
          <w:p>
            <w:pPr>
              <w:spacing w:line="460" w:lineRule="exact"/>
              <w:ind w:firstLine="0" w:firstLineChars="0"/>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c>
          <w:tcPr>
            <w:tcW w:w="8166" w:type="dxa"/>
            <w:gridSpan w:val="4"/>
            <w:noWrap w:val="0"/>
            <w:vAlign w:val="center"/>
          </w:tcPr>
          <w:p>
            <w:pPr>
              <w:spacing w:line="460" w:lineRule="exact"/>
              <w:ind w:firstLine="0" w:firstLineChars="0"/>
              <w:jc w:val="both"/>
              <w:rPr>
                <w:rFonts w:hint="eastAsia" w:ascii="仿宋" w:hAnsi="仿宋" w:eastAsia="仿宋" w:cs="仿宋"/>
                <w:color w:val="auto"/>
                <w:sz w:val="24"/>
                <w:szCs w:val="24"/>
                <w:highlight w:val="none"/>
              </w:rPr>
            </w:pPr>
          </w:p>
        </w:tc>
      </w:tr>
    </w:tbl>
    <w:p>
      <w:pPr>
        <w:rPr>
          <w:color w:val="auto"/>
          <w:highlight w:val="none"/>
        </w:rPr>
      </w:pPr>
      <w:bookmarkStart w:id="338" w:name="_Toc19437"/>
      <w:bookmarkStart w:id="339" w:name="_Toc27481"/>
      <w:bookmarkStart w:id="340" w:name="_Toc20103"/>
      <w:r>
        <w:rPr>
          <w:color w:val="auto"/>
          <w:highlight w:val="none"/>
        </w:rPr>
        <w:br w:type="page"/>
      </w:r>
    </w:p>
    <w:p>
      <w:pPr>
        <w:pStyle w:val="2"/>
        <w:jc w:val="center"/>
        <w:rPr>
          <w:rFonts w:ascii="Times New Roman" w:hAnsi="Times New Roman" w:eastAsiaTheme="minorEastAsia"/>
          <w:color w:val="auto"/>
          <w:sz w:val="24"/>
          <w:szCs w:val="24"/>
          <w:highlight w:val="none"/>
        </w:rPr>
      </w:pPr>
      <w:bookmarkStart w:id="341" w:name="_Toc2169"/>
      <w:bookmarkStart w:id="342" w:name="_Toc21607"/>
      <w:r>
        <w:rPr>
          <w:rFonts w:ascii="Times New Roman" w:hAnsi="Times New Roman" w:eastAsia="仿宋"/>
          <w:color w:val="auto"/>
          <w:highlight w:val="none"/>
        </w:rPr>
        <w:t>二、采购需求</w:t>
      </w:r>
      <w:bookmarkEnd w:id="338"/>
      <w:bookmarkEnd w:id="339"/>
      <w:bookmarkEnd w:id="340"/>
      <w:bookmarkEnd w:id="341"/>
      <w:bookmarkEnd w:id="342"/>
    </w:p>
    <w:p>
      <w:pPr>
        <w:pStyle w:val="4"/>
        <w:spacing w:line="240" w:lineRule="auto"/>
        <w:outlineLvl w:val="2"/>
        <w:rPr>
          <w:rFonts w:ascii="Times New Roman" w:eastAsia="仿宋"/>
          <w:b/>
          <w:color w:val="auto"/>
          <w:sz w:val="32"/>
          <w:szCs w:val="32"/>
          <w:highlight w:val="none"/>
        </w:rPr>
      </w:pPr>
      <w:bookmarkStart w:id="343" w:name="_Toc30868"/>
      <w:bookmarkStart w:id="344" w:name="_Toc5562"/>
      <w:bookmarkStart w:id="345" w:name="_Toc3556"/>
      <w:bookmarkStart w:id="346" w:name="_Toc7888"/>
      <w:r>
        <w:rPr>
          <w:rFonts w:ascii="Times New Roman" w:eastAsia="仿宋"/>
          <w:b/>
          <w:bCs/>
          <w:color w:val="auto"/>
          <w:sz w:val="32"/>
          <w:szCs w:val="32"/>
          <w:highlight w:val="none"/>
        </w:rPr>
        <w:t>（一）技术要求</w:t>
      </w:r>
      <w:bookmarkEnd w:id="343"/>
      <w:bookmarkEnd w:id="344"/>
      <w:bookmarkEnd w:id="345"/>
      <w:bookmarkEnd w:id="346"/>
    </w:p>
    <w:p>
      <w:pPr>
        <w:pStyle w:val="5"/>
        <w:numPr>
          <w:ilvl w:val="0"/>
          <w:numId w:val="0"/>
        </w:numPr>
        <w:spacing w:before="20" w:after="20" w:line="240" w:lineRule="auto"/>
        <w:ind w:left="0" w:leftChars="0" w:firstLine="0" w:firstLineChars="0"/>
        <w:outlineLvl w:val="3"/>
        <w:rPr>
          <w:rFonts w:hint="eastAsia" w:ascii="仿宋" w:hAnsi="仿宋" w:eastAsia="仿宋" w:cs="仿宋"/>
          <w:color w:val="auto"/>
          <w:sz w:val="28"/>
          <w:szCs w:val="28"/>
          <w:highlight w:val="none"/>
          <w:lang w:eastAsia="zh-CN"/>
        </w:rPr>
      </w:pPr>
      <w:bookmarkStart w:id="347" w:name="_Toc29876"/>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：抢险救援消防车</w:t>
      </w:r>
      <w:bookmarkEnd w:id="347"/>
    </w:p>
    <w:p>
      <w:pPr>
        <w:widowControl/>
        <w:tabs>
          <w:tab w:val="left" w:pos="0"/>
        </w:tabs>
        <w:adjustRightInd w:val="0"/>
        <w:snapToGrid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一、货物名称：抢险救援消防车</w:t>
      </w:r>
    </w:p>
    <w:p>
      <w:pPr>
        <w:widowControl/>
        <w:tabs>
          <w:tab w:val="left" w:pos="0"/>
        </w:tabs>
        <w:adjustRightInd w:val="0"/>
        <w:snapToGrid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辆）</w:t>
      </w:r>
    </w:p>
    <w:p>
      <w:pPr>
        <w:widowControl/>
        <w:tabs>
          <w:tab w:val="left" w:pos="0"/>
        </w:tabs>
        <w:adjustRightInd w:val="0"/>
        <w:snapToGrid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、主要技术参数及要求：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.1.1整车尺寸：长×宽×高（mm）：≤</w:t>
      </w:r>
      <w:r>
        <w:rPr>
          <w:rFonts w:hint="eastAsia" w:ascii="仿宋" w:hAnsi="仿宋" w:eastAsia="仿宋" w:cs="仿宋"/>
          <w:color w:val="auto"/>
          <w:sz w:val="24"/>
          <w:szCs w:val="24"/>
          <w:highlight w:val="none"/>
          <w:shd w:val="clear" w:color="auto" w:fill="auto"/>
        </w:rPr>
        <w:t>1</w:t>
      </w:r>
      <w:r>
        <w:rPr>
          <w:rFonts w:hint="eastAsia" w:ascii="仿宋" w:hAnsi="仿宋" w:eastAsia="仿宋" w:cs="仿宋"/>
          <w:color w:val="auto"/>
          <w:sz w:val="24"/>
          <w:szCs w:val="24"/>
          <w:highlight w:val="none"/>
          <w:shd w:val="clear" w:color="auto" w:fill="auto"/>
          <w:lang w:val="en-US" w:eastAsia="zh-CN"/>
        </w:rPr>
        <w:t>0</w:t>
      </w:r>
      <w:r>
        <w:rPr>
          <w:rFonts w:hint="eastAsia" w:ascii="仿宋" w:hAnsi="仿宋" w:eastAsia="仿宋" w:cs="仿宋"/>
          <w:color w:val="auto"/>
          <w:sz w:val="24"/>
          <w:szCs w:val="24"/>
          <w:highlight w:val="none"/>
          <w:shd w:val="clear" w:color="auto" w:fill="auto"/>
        </w:rPr>
        <w:t>000</w:t>
      </w:r>
      <w:r>
        <w:rPr>
          <w:rFonts w:hint="eastAsia" w:ascii="仿宋" w:hAnsi="仿宋" w:eastAsia="仿宋" w:cs="仿宋"/>
          <w:color w:val="auto"/>
          <w:sz w:val="24"/>
          <w:szCs w:val="24"/>
          <w:highlight w:val="none"/>
        </w:rPr>
        <w:t>×2550×4000；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≥18kw/T；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4.2底盘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.2.1发动机额定功率：≥250kw；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2.2驱动形式：4×2；</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2.3燃料：柴油；油箱容量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2.4尾气排放：符合国Ⅵ标准；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2.5最高车速：≥95km/h；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2.6变速箱操控方式：手动挡；</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2.7配置子午线钢丝轮胎、胎压监测系统、360°全景行车记录仪(内存不小于128G),配备350-400MHz工作频率范围车载台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车辆应安装单北斗卫星定位装置，可接入国家局现有北斗消防综合管理服务平台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带倒车告警蜂鸣器、倒车摄像头和驾驶室内监视器，监视器屏幕≥10英寸；</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.2.8制动系统：前轮盘式制动器，ABS（防抱死制动系统）或EBS（电控制动系统）；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4.3驾乘室</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.1结构：4门双排，全钢冲压件焊接；</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.3.2座位设置：乘员≥6人，后排座位后面设空气呼吸器架和个人防护装备器材架，消防车座椅应全部设置安全带；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.3.3驾驶室设备：除原车设备外，加装电源总开关，取力器控制开关，警报器、警灯开关,设置冷暖空调，车载带USB接口，预留电台电源线桩头、电源接口（220V、12V、24V）等；</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4.4主要性能及配置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4.1牵引绞盘：电驱动，钢丝绳长度≥30m，牵引拉力≥70KN，配有贴合紧密的保护罩；</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4.2随车吊臂：最大起重量≥5000kg，作业幅度≥8m；</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4.3升降照明系统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4.3.1发电机：支持380V和220V电压输出，发电机功率≥12k</w:t>
      </w:r>
      <w:r>
        <w:rPr>
          <w:rFonts w:hint="eastAsia" w:ascii="仿宋" w:hAnsi="仿宋" w:eastAsia="仿宋" w:cs="仿宋"/>
          <w:color w:val="auto"/>
          <w:sz w:val="24"/>
          <w:szCs w:val="24"/>
          <w:highlight w:val="none"/>
          <w:lang w:val="en-US" w:eastAsia="zh-CN"/>
        </w:rPr>
        <w:t>w</w:t>
      </w:r>
      <w:r>
        <w:rPr>
          <w:rFonts w:hint="eastAsia" w:ascii="仿宋" w:hAnsi="仿宋" w:eastAsia="仿宋" w:cs="仿宋"/>
          <w:color w:val="auto"/>
          <w:sz w:val="24"/>
          <w:szCs w:val="24"/>
          <w:highlight w:val="none"/>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4.3.2驱动：汽油发动机；</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4.3.3主照明灯：照明距离≥50米；</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4.3.4灯组升降系统：最大高度（距地）≥7m,主升降杆气动控制；操控方式为控制面板和有线遥控，遥控器线路长≥5m；</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4.3.5照明系统应有发动机供电与外来电源供电之间的切换装置，设置短路保护、过载保护、接地装置、紧急切断按钮以及手动电源总开关；</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4.5总体要求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5.1整车符合GB7956.1-2014《消防车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第1部分：通用技术条件》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GB1589-2016《汽车、挂车及汽车列车外廓尺寸、轴荷及质量限值》和GB7956.14-2015《消防车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第14部分：抢险救援消防车》标准要求；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5.2车身颜色符合GB/T3181-2008《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5.3在确保不影响车辆安全行驶的前提下，根据使用单位需求，对外置车灯、灯具加装防护罩；</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5.4所有功能开关需加功能标签，便于识别；</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5.5器材箱材质：骨架为钢制或铝合金型材，内饰板为≥5mm氧化铝合金板或强度优于它的材质；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投标人在器材箱结构设计布置时需提前与</w:t>
      </w:r>
      <w:r>
        <w:rPr>
          <w:rFonts w:hint="eastAsia" w:ascii="仿宋" w:hAnsi="仿宋" w:eastAsia="仿宋" w:cs="仿宋"/>
          <w:color w:val="auto"/>
          <w:sz w:val="24"/>
          <w:szCs w:val="24"/>
          <w:highlight w:val="none"/>
          <w:lang w:val="en-US" w:eastAsia="zh-CN"/>
        </w:rPr>
        <w:t>使用单位</w:t>
      </w:r>
      <w:r>
        <w:rPr>
          <w:rFonts w:hint="eastAsia" w:ascii="仿宋" w:hAnsi="仿宋" w:eastAsia="仿宋" w:cs="仿宋"/>
          <w:color w:val="auto"/>
          <w:sz w:val="24"/>
          <w:szCs w:val="24"/>
          <w:highlight w:val="none"/>
        </w:rPr>
        <w:t>联系，根据</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单位提供的装载器材种类及数量进行定位、定量设计器材箱结构，设计方案必须经</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单位同意后方可进行生产；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快速充气充电装置：可自动分离；</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4.6其他要求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6.1整车按国家标准配齐随车设备，设备布置合理，固定牢靠；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6.2供货前，须主动对接使用单位，满足使用单位需求；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6.3交付使用单位时，提供操作使用说明书纸质版（含电子版），燃油、尿素等添加液处于满液状态；</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6.4首次保养（含材料、人工、差旅等）免费；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4.7随车附件：</w:t>
      </w:r>
    </w:p>
    <w:tbl>
      <w:tblPr>
        <w:tblStyle w:val="43"/>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2"/>
        <w:gridCol w:w="3191"/>
        <w:gridCol w:w="737"/>
        <w:gridCol w:w="722"/>
        <w:gridCol w:w="37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blHeader/>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序号</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名称</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数量</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单位</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底盘随车工具包</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轮胎打气套管（含压力表）</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根</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手持扩音器</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车轮止动楔</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5</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ABC干粉灭火器</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具</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8kg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6</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备用轮胎</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7</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千斤顶</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20t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8</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三角警示牌</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9</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警戒带</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盘</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10</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绝缘手套</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双</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11</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绝缘胶靴</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双</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12</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支腿垫板</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13</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锥形事故标志柱</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14</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3吨拖车扁带（含D型卸扣）</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条</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15</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铁锹</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16</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六米金属拉梯</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17</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消防车手册(数码打印)</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18</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消防车操作培训视频U盘</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19</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主照明灯备用灯管</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支</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1000w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20</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防滑链</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375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firstLine="0" w:firstLineChars="0"/>
              <w:jc w:val="center"/>
              <w:textAlignment w:val="auto"/>
              <w:rPr>
                <w:rFonts w:hint="default" w:ascii="Arial" w:hAnsi="Calibri" w:eastAsia="宋体" w:cs="Times New Roman"/>
                <w:color w:val="auto"/>
                <w:kern w:val="2"/>
                <w:sz w:val="21"/>
                <w:szCs w:val="22"/>
                <w:highlight w:val="none"/>
                <w:lang w:val="en-US" w:eastAsia="zh-CN" w:bidi="ar-SA"/>
              </w:rPr>
            </w:pPr>
            <w:r>
              <w:rPr>
                <w:rFonts w:hint="eastAsia" w:ascii="Times New Roman" w:hAnsi="Times New Roman" w:eastAsia="方正仿宋_GBK" w:cs="Times New Roman"/>
                <w:color w:val="auto"/>
                <w:sz w:val="24"/>
                <w:szCs w:val="24"/>
                <w:highlight w:val="none"/>
                <w:lang w:eastAsia="zh-CN"/>
              </w:rPr>
              <w:t>与轮胎数量相匹配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86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21</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踏板气弹簧</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每个型号1根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862" w:type="dxa"/>
            <w:noWrap w:val="0"/>
            <w:vAlign w:val="center"/>
          </w:tcPr>
          <w:p>
            <w:pPr>
              <w:widowControl/>
              <w:tabs>
                <w:tab w:val="left" w:pos="0"/>
              </w:tabs>
              <w:adjustRightInd w:val="0"/>
              <w:snapToGrid w:val="0"/>
              <w:spacing w:line="480" w:lineRule="exact"/>
              <w:jc w:val="center"/>
              <w:rPr>
                <w:rFonts w:hint="default" w:ascii="Times New Roman" w:hAnsi="Times New Roman" w:eastAsia="方正仿宋_GBK"/>
                <w:color w:val="auto"/>
                <w:sz w:val="24"/>
                <w:szCs w:val="24"/>
                <w:highlight w:val="none"/>
                <w:lang w:val="en-US" w:eastAsia="zh-CN"/>
              </w:rPr>
            </w:pPr>
            <w:r>
              <w:rPr>
                <w:rFonts w:hint="eastAsia" w:ascii="Times New Roman" w:hAnsi="Times New Roman" w:eastAsia="方正仿宋_GBK"/>
                <w:color w:val="auto"/>
                <w:sz w:val="24"/>
                <w:szCs w:val="24"/>
                <w:highlight w:val="none"/>
                <w:lang w:val="en-US" w:eastAsia="zh-CN"/>
              </w:rPr>
              <w:t>22</w:t>
            </w:r>
          </w:p>
        </w:tc>
        <w:tc>
          <w:tcPr>
            <w:tcW w:w="3191"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移动照明灯</w:t>
            </w:r>
          </w:p>
        </w:tc>
        <w:tc>
          <w:tcPr>
            <w:tcW w:w="737"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722"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3755" w:type="dxa"/>
            <w:noWrap w:val="0"/>
            <w:vAlign w:val="center"/>
          </w:tcPr>
          <w:p>
            <w:pPr>
              <w:widowControl/>
              <w:tabs>
                <w:tab w:val="left" w:pos="0"/>
              </w:tabs>
              <w:adjustRightInd w:val="0"/>
              <w:snapToGrid w:val="0"/>
              <w:spacing w:line="480" w:lineRule="exact"/>
              <w:jc w:val="center"/>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功率≥</w:t>
            </w:r>
            <w:r>
              <w:rPr>
                <w:rFonts w:hint="eastAsia" w:ascii="Times New Roman" w:hAnsi="Times New Roman" w:eastAsia="方正仿宋_GBK"/>
                <w:color w:val="auto"/>
                <w:sz w:val="24"/>
                <w:szCs w:val="24"/>
                <w:highlight w:val="none"/>
                <w:lang w:val="en-US" w:eastAsia="zh-CN"/>
              </w:rPr>
              <w:t>10</w:t>
            </w:r>
            <w:r>
              <w:rPr>
                <w:rFonts w:hint="eastAsia" w:ascii="Times New Roman" w:hAnsi="Times New Roman" w:eastAsia="方正仿宋_GBK"/>
                <w:color w:val="auto"/>
                <w:sz w:val="24"/>
                <w:szCs w:val="24"/>
                <w:highlight w:val="none"/>
              </w:rPr>
              <w:t>00W，2个移动灯架全铝合金制造，升高≥3m</w:t>
            </w:r>
            <w:r>
              <w:rPr>
                <w:rFonts w:hint="eastAsia" w:ascii="Times New Roman" w:hAnsi="Times New Roman" w:eastAsia="方正仿宋_GBK"/>
                <w:color w:val="auto"/>
                <w:sz w:val="24"/>
                <w:szCs w:val="24"/>
                <w:highlight w:val="none"/>
                <w:lang w:eastAsia="zh-CN"/>
              </w:rPr>
              <w:t>，</w:t>
            </w:r>
            <w:r>
              <w:rPr>
                <w:rFonts w:hint="eastAsia" w:ascii="Times New Roman" w:hAnsi="Times New Roman" w:eastAsia="方正仿宋_GBK"/>
                <w:color w:val="auto"/>
                <w:sz w:val="24"/>
                <w:szCs w:val="24"/>
                <w:highlight w:val="none"/>
              </w:rPr>
              <w:t>配置1卷≥35m（380V）线盘和3卷≥35m（220V）线盘，可串联使用；</w:t>
            </w:r>
          </w:p>
        </w:tc>
      </w:tr>
    </w:tbl>
    <w:p>
      <w:pPr>
        <w:widowControl/>
        <w:adjustRightInd/>
        <w:snapToGrid/>
        <w:spacing w:line="240" w:lineRule="auto"/>
        <w:outlineLvl w:val="9"/>
        <w:rPr>
          <w:color w:val="auto"/>
          <w:highlight w:val="none"/>
        </w:rPr>
      </w:pPr>
    </w:p>
    <w:p>
      <w:pPr>
        <w:pStyle w:val="5"/>
        <w:numPr>
          <w:ilvl w:val="0"/>
          <w:numId w:val="0"/>
        </w:numPr>
        <w:spacing w:before="20" w:after="20" w:line="240" w:lineRule="auto"/>
        <w:ind w:left="0" w:leftChars="0" w:firstLine="0" w:firstLineChars="0"/>
        <w:outlineLvl w:val="3"/>
        <w:rPr>
          <w:rFonts w:hint="eastAsia" w:ascii="仿宋" w:hAnsi="仿宋" w:eastAsia="仿宋" w:cs="仿宋"/>
          <w:color w:val="auto"/>
          <w:sz w:val="28"/>
          <w:szCs w:val="28"/>
          <w:highlight w:val="none"/>
          <w:lang w:eastAsia="zh-CN"/>
        </w:rPr>
      </w:pPr>
      <w:bookmarkStart w:id="348" w:name="_Toc1739"/>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：干粉消防车</w:t>
      </w:r>
      <w:bookmarkEnd w:id="348"/>
    </w:p>
    <w:p>
      <w:pPr>
        <w:widowControl/>
        <w:adjustRightInd/>
        <w:snapToGrid/>
        <w:spacing w:line="48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eastAsia="zh-CN"/>
        </w:rPr>
        <w:t>干粉</w:t>
      </w:r>
      <w:r>
        <w:rPr>
          <w:rFonts w:hint="eastAsia" w:ascii="仿宋" w:hAnsi="仿宋" w:eastAsia="仿宋" w:cs="仿宋"/>
          <w:color w:val="auto"/>
          <w:sz w:val="24"/>
          <w:szCs w:val="24"/>
          <w:highlight w:val="none"/>
        </w:rPr>
        <w:t>消防车</w:t>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（辆）</w:t>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四、主要技术参数及要求：</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4.1.1整车</w:t>
      </w:r>
      <w:r>
        <w:rPr>
          <w:rFonts w:hint="eastAsia" w:ascii="仿宋" w:hAnsi="仿宋" w:eastAsia="仿宋" w:cs="仿宋"/>
          <w:color w:val="auto"/>
          <w:sz w:val="24"/>
          <w:szCs w:val="24"/>
          <w:highlight w:val="none"/>
        </w:rPr>
        <w:t>尺寸：长×宽×高（mm）：≤1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000×2550×4000；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kw/T；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4.2.1发动机功率：≥29</w:t>
      </w:r>
      <w:r>
        <w:rPr>
          <w:rFonts w:hint="eastAsia" w:ascii="仿宋" w:hAnsi="仿宋" w:eastAsia="仿宋" w:cs="仿宋"/>
          <w:bCs/>
          <w:color w:val="auto"/>
          <w:sz w:val="24"/>
          <w:szCs w:val="24"/>
          <w:highlight w:val="none"/>
          <w:lang w:val="en-US" w:eastAsia="zh-CN"/>
        </w:rPr>
        <w:t>0</w:t>
      </w:r>
      <w:r>
        <w:rPr>
          <w:rFonts w:hint="eastAsia" w:ascii="仿宋" w:hAnsi="仿宋" w:eastAsia="仿宋" w:cs="仿宋"/>
          <w:bCs/>
          <w:color w:val="auto"/>
          <w:sz w:val="24"/>
          <w:szCs w:val="24"/>
          <w:highlight w:val="none"/>
        </w:rPr>
        <w:t>kw；</w:t>
      </w:r>
    </w:p>
    <w:p>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4.2.2驱动：6×4；</w:t>
      </w:r>
    </w:p>
    <w:p>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4.2.3燃料：柴油；</w:t>
      </w:r>
    </w:p>
    <w:p>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4.2.4尾气排放：符合国Ⅵ标准；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4.2.5最高车速：≥90km/h；</w:t>
      </w:r>
    </w:p>
    <w:p>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4.2.6配置子午线钢丝轮胎、胎压监测系统、360°行车记录仪(内存不小于32G),配备350-400MHz工作频率范围车载台、车辆应安装单北斗卫星定位装置，可接入国家局现有北斗消防综合管理服务平台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带倒车告警蜂鸣器、倒车摄像头和驾驶室内监视器；</w:t>
      </w:r>
    </w:p>
    <w:p>
      <w:pPr>
        <w:keepNext w:val="0"/>
        <w:keepLines w:val="0"/>
        <w:pageBreakBefore w:val="0"/>
        <w:widowControl w:val="0"/>
        <w:kinsoku/>
        <w:wordWrap/>
        <w:overflowPunct/>
        <w:topLinePunct w:val="0"/>
        <w:autoSpaceDE/>
        <w:autoSpaceDN/>
        <w:bidi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4.2.7制动系统：前轮盘式制动器，ABS（防抱死制动系统）或EBS（电控制动系统）；</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4.3驾驶室</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4.3.1结构：</w:t>
      </w:r>
      <w:r>
        <w:rPr>
          <w:rFonts w:hint="eastAsia" w:ascii="仿宋" w:hAnsi="仿宋" w:eastAsia="仿宋" w:cs="仿宋"/>
          <w:color w:val="auto"/>
          <w:sz w:val="24"/>
          <w:szCs w:val="24"/>
          <w:highlight w:val="none"/>
          <w:lang w:eastAsia="zh-CN"/>
        </w:rPr>
        <w:t>单排两门或</w:t>
      </w:r>
      <w:r>
        <w:rPr>
          <w:rFonts w:hint="eastAsia" w:ascii="仿宋" w:hAnsi="仿宋" w:eastAsia="仿宋" w:cs="仿宋"/>
          <w:color w:val="auto"/>
          <w:sz w:val="24"/>
          <w:szCs w:val="24"/>
          <w:highlight w:val="none"/>
        </w:rPr>
        <w:t>双排四门驾驶室，安装适应倾翻驾驶室的油缸液压翻转机构，可向前翻转，装有防回落安全装置；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4.3.2座位设置：乘员≥2人;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4.3.3驾驶室设备：除原车设备外，加装警报器、警灯开关,设置冷暖空调，收音机、车载带USB接口，预留电台电源线桩头、电源接口（220V、12V、24V）等；</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4.4主要性能及配置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4.4.1干粉罐</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4.4.1.1灭火剂总</w:t>
      </w:r>
      <w:r>
        <w:rPr>
          <w:rFonts w:hint="eastAsia" w:ascii="仿宋" w:hAnsi="仿宋" w:eastAsia="仿宋" w:cs="仿宋"/>
          <w:color w:val="auto"/>
          <w:sz w:val="24"/>
          <w:szCs w:val="24"/>
          <w:highlight w:val="none"/>
          <w:lang w:val="en-US" w:eastAsia="zh-CN"/>
        </w:rPr>
        <w:t>容积</w:t>
      </w:r>
      <w:r>
        <w:rPr>
          <w:rFonts w:hint="eastAsia" w:ascii="仿宋" w:hAnsi="仿宋" w:eastAsia="仿宋" w:cs="仿宋"/>
          <w:color w:val="auto"/>
          <w:sz w:val="24"/>
          <w:szCs w:val="24"/>
          <w:highlight w:val="none"/>
        </w:rPr>
        <w:t>：≥6</w:t>
      </w:r>
      <w:r>
        <w:rPr>
          <w:rFonts w:hint="eastAsia" w:ascii="仿宋" w:hAnsi="仿宋" w:eastAsia="仿宋" w:cs="仿宋"/>
          <w:bCs/>
          <w:color w:val="auto"/>
          <w:sz w:val="24"/>
          <w:szCs w:val="24"/>
          <w:highlight w:val="none"/>
        </w:rPr>
        <w:t>m³</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4.4.1.2工作压力：≥1.4Mpa</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4.4.1.3充气时间：≤150s</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4.4.2</w:t>
      </w:r>
      <w:r>
        <w:rPr>
          <w:rFonts w:hint="eastAsia" w:ascii="仿宋" w:hAnsi="仿宋" w:eastAsia="仿宋" w:cs="仿宋"/>
          <w:color w:val="auto"/>
          <w:sz w:val="24"/>
          <w:szCs w:val="24"/>
          <w:highlight w:val="none"/>
          <w:lang w:val="en-US" w:eastAsia="zh-CN"/>
        </w:rPr>
        <w:t>钢</w:t>
      </w:r>
      <w:r>
        <w:rPr>
          <w:rFonts w:hint="eastAsia" w:ascii="仿宋" w:hAnsi="仿宋" w:eastAsia="仿宋" w:cs="仿宋"/>
          <w:color w:val="auto"/>
          <w:sz w:val="24"/>
          <w:szCs w:val="24"/>
          <w:highlight w:val="none"/>
        </w:rPr>
        <w:t>瓶</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4.4.2.1</w:t>
      </w:r>
      <w:r>
        <w:rPr>
          <w:rFonts w:hint="eastAsia" w:ascii="仿宋" w:hAnsi="仿宋" w:eastAsia="仿宋" w:cs="仿宋"/>
          <w:color w:val="auto"/>
          <w:sz w:val="24"/>
          <w:szCs w:val="24"/>
          <w:highlight w:val="none"/>
          <w:lang w:val="en-US" w:eastAsia="zh-CN"/>
        </w:rPr>
        <w:t>工作</w:t>
      </w:r>
      <w:r>
        <w:rPr>
          <w:rFonts w:hint="eastAsia" w:ascii="仿宋" w:hAnsi="仿宋" w:eastAsia="仿宋" w:cs="仿宋"/>
          <w:color w:val="auto"/>
          <w:sz w:val="24"/>
          <w:szCs w:val="24"/>
          <w:highlight w:val="none"/>
        </w:rPr>
        <w:t>压力：≥15Mpa</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4.4.2.2总容量：≥1260L</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4.4.3减压阀</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4.4.3.1数量：≥4个</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▲4.4.3.2最大输入压力：≥15Mpa</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4.4.4干粉炮</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4.4.4.1数量：2门</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4.4.4.2平均喷射速率：≥</w:t>
      </w:r>
      <w:r>
        <w:rPr>
          <w:rFonts w:hint="eastAsia" w:ascii="仿宋" w:hAnsi="仿宋" w:eastAsia="仿宋" w:cs="仿宋"/>
          <w:bCs/>
          <w:color w:val="auto"/>
          <w:sz w:val="24"/>
          <w:szCs w:val="24"/>
          <w:highlight w:val="none"/>
          <w:lang w:val="en-US" w:eastAsia="zh-CN"/>
        </w:rPr>
        <w:t>35</w:t>
      </w:r>
      <w:r>
        <w:rPr>
          <w:rFonts w:hint="eastAsia" w:ascii="仿宋" w:hAnsi="仿宋" w:eastAsia="仿宋" w:cs="仿宋"/>
          <w:bCs/>
          <w:color w:val="auto"/>
          <w:sz w:val="24"/>
          <w:szCs w:val="24"/>
          <w:highlight w:val="none"/>
        </w:rPr>
        <w:t>kg/s</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4.4.4.3</w:t>
      </w:r>
      <w:r>
        <w:rPr>
          <w:rFonts w:hint="eastAsia" w:ascii="仿宋" w:hAnsi="仿宋" w:eastAsia="仿宋" w:cs="仿宋"/>
          <w:bCs/>
          <w:color w:val="auto"/>
          <w:sz w:val="24"/>
          <w:szCs w:val="24"/>
          <w:highlight w:val="none"/>
          <w:lang w:val="en-US" w:eastAsia="zh-CN"/>
        </w:rPr>
        <w:t>有效</w:t>
      </w:r>
      <w:r>
        <w:rPr>
          <w:rFonts w:hint="eastAsia" w:ascii="仿宋" w:hAnsi="仿宋" w:eastAsia="仿宋" w:cs="仿宋"/>
          <w:bCs/>
          <w:color w:val="auto"/>
          <w:sz w:val="24"/>
          <w:szCs w:val="24"/>
          <w:highlight w:val="none"/>
        </w:rPr>
        <w:t>射程：≥40m</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4.4.4.4安装位置：车厢顶部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4.4.5干粉卷盘</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4.4.5.1数量：2只</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4.4.5.2卷盘胶管长：</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25mm×</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0m</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4.4.5.3喷射率：≥2.5kg/s</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80" w:lineRule="exact"/>
        <w:ind w:firstLine="720" w:firstLineChars="3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4.4.5.4干粉枪射程：≥10m</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4.5总体要求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4.5.1整车符合GB7956.1-2014《消防车第1部分：通用技术条件》、GB1589-2016《汽车、挂车及汽车列车外廓尺寸、轴荷及质量限值》和GB7956.4-2019《消防车第4部分：干粉消防车》标准要求；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4.5.2车身颜色符合GB/T3181-2008《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5.3在确保不影响车辆安全行驶的前提下，根据使用单位需求，对外置车灯、灯具加装防护罩；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4.5.4器材箱材质：铝合金型材及合金板材；</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投标人在器材箱结构设计布置时需提前与</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单位联系，根据</w:t>
      </w:r>
      <w:r>
        <w:rPr>
          <w:rFonts w:hint="eastAsia" w:ascii="仿宋" w:hAnsi="仿宋" w:eastAsia="仿宋" w:cs="仿宋"/>
          <w:color w:val="auto"/>
          <w:sz w:val="24"/>
          <w:szCs w:val="24"/>
          <w:highlight w:val="none"/>
          <w:lang w:val="en-US" w:eastAsia="zh-CN"/>
        </w:rPr>
        <w:t>使用单位</w:t>
      </w:r>
      <w:r>
        <w:rPr>
          <w:rFonts w:hint="eastAsia" w:ascii="仿宋" w:hAnsi="仿宋" w:eastAsia="仿宋" w:cs="仿宋"/>
          <w:color w:val="auto"/>
          <w:sz w:val="24"/>
          <w:szCs w:val="24"/>
          <w:highlight w:val="none"/>
        </w:rPr>
        <w:t>提供的装载器材种类及数量进行定位、定量设计器材箱结构，设计方案必须经</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单位同意后方可进行生产；</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4.6.2供货前，须主动对接使用单位，满足</w:t>
      </w:r>
      <w:r>
        <w:rPr>
          <w:rFonts w:hint="eastAsia" w:ascii="仿宋" w:hAnsi="仿宋" w:eastAsia="仿宋" w:cs="仿宋"/>
          <w:color w:val="auto"/>
          <w:sz w:val="24"/>
          <w:szCs w:val="24"/>
          <w:highlight w:val="none"/>
          <w:lang w:val="en-US" w:eastAsia="zh-CN"/>
        </w:rPr>
        <w:t>使用单位</w:t>
      </w:r>
      <w:r>
        <w:rPr>
          <w:rFonts w:hint="eastAsia" w:ascii="仿宋" w:hAnsi="仿宋" w:eastAsia="仿宋" w:cs="仿宋"/>
          <w:color w:val="auto"/>
          <w:sz w:val="24"/>
          <w:szCs w:val="24"/>
          <w:highlight w:val="none"/>
        </w:rPr>
        <w:t>需求；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4.6.3交付使用单位时，燃油、尿素、干粉灭火剂（添加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1T,用于验收）等添加液处于满液状态；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4.6.4首次保养（含材料、人工、差旅等）免费；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4.6.5配备防滑链，防滑链数量与轮胎数量相匹配。</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4.7随车附件</w:t>
      </w:r>
    </w:p>
    <w:tbl>
      <w:tblPr>
        <w:tblStyle w:val="44"/>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693"/>
        <w:gridCol w:w="930"/>
        <w:gridCol w:w="1100"/>
        <w:gridCol w:w="2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序号</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名称</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单位</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数量</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干粉灭火器</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具</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8kg，ABC类灭火器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可充电式手提照明灯</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只</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3</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消防水带</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米</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80</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4</w:t>
            </w:r>
          </w:p>
        </w:tc>
        <w:tc>
          <w:tcPr>
            <w:tcW w:w="2693"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开关直流水枪</w:t>
            </w:r>
          </w:p>
        </w:tc>
        <w:tc>
          <w:tcPr>
            <w:tcW w:w="93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把</w:t>
            </w:r>
          </w:p>
        </w:tc>
        <w:tc>
          <w:tcPr>
            <w:tcW w:w="110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5</w:t>
            </w:r>
          </w:p>
        </w:tc>
        <w:tc>
          <w:tcPr>
            <w:tcW w:w="2693"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消防斧</w:t>
            </w:r>
          </w:p>
        </w:tc>
        <w:tc>
          <w:tcPr>
            <w:tcW w:w="93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件</w:t>
            </w:r>
          </w:p>
        </w:tc>
        <w:tc>
          <w:tcPr>
            <w:tcW w:w="110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6</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异径接口</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个</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4</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7</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eastAsia="zh-CN"/>
              </w:rPr>
              <w:t>水带</w:t>
            </w:r>
            <w:r>
              <w:rPr>
                <w:rFonts w:ascii="Times New Roman" w:hAnsi="Times New Roman" w:eastAsia="方正仿宋_GBK" w:cs="Times New Roman"/>
                <w:color w:val="auto"/>
                <w:sz w:val="24"/>
                <w:szCs w:val="24"/>
                <w:highlight w:val="none"/>
              </w:rPr>
              <w:t>护桥</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副</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8</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水带包布</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件</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r>
              <w:rPr>
                <w:rFonts w:ascii="Times New Roman" w:hAnsi="Times New Roman" w:eastAsia="方正仿宋_GBK" w:cs="Times New Roman"/>
                <w:color w:val="auto"/>
                <w:sz w:val="24"/>
                <w:szCs w:val="24"/>
                <w:highlight w:val="none"/>
              </w:rPr>
              <w:t>4</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9</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lang w:val="en-US" w:eastAsia="zh-CN"/>
              </w:rPr>
            </w:pPr>
            <w:r>
              <w:rPr>
                <w:rFonts w:ascii="Times New Roman" w:hAnsi="Times New Roman" w:eastAsia="方正仿宋_GBK" w:cs="Times New Roman"/>
                <w:color w:val="auto"/>
                <w:sz w:val="24"/>
                <w:szCs w:val="24"/>
                <w:highlight w:val="none"/>
              </w:rPr>
              <w:t>地上消火栓扳手</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lang w:val="en-US" w:eastAsia="zh-CN"/>
              </w:rPr>
            </w:pPr>
            <w:r>
              <w:rPr>
                <w:rFonts w:ascii="Times New Roman" w:hAnsi="Times New Roman" w:eastAsia="方正仿宋_GBK" w:cs="Times New Roman"/>
                <w:color w:val="auto"/>
                <w:sz w:val="24"/>
                <w:szCs w:val="24"/>
                <w:highlight w:val="none"/>
              </w:rPr>
              <w:t>件</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lang w:val="en-US" w:eastAsia="zh-CN"/>
              </w:rPr>
            </w:pPr>
            <w:r>
              <w:rPr>
                <w:rFonts w:ascii="Times New Roman" w:hAnsi="Times New Roman" w:eastAsia="方正仿宋_GBK" w:cs="Times New Roman"/>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10</w:t>
            </w:r>
          </w:p>
        </w:tc>
        <w:tc>
          <w:tcPr>
            <w:tcW w:w="2693"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铁锹</w:t>
            </w:r>
          </w:p>
        </w:tc>
        <w:tc>
          <w:tcPr>
            <w:tcW w:w="93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件</w:t>
            </w:r>
          </w:p>
        </w:tc>
        <w:tc>
          <w:tcPr>
            <w:tcW w:w="110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11</w:t>
            </w:r>
          </w:p>
        </w:tc>
        <w:tc>
          <w:tcPr>
            <w:tcW w:w="2693"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铁铤</w:t>
            </w:r>
          </w:p>
        </w:tc>
        <w:tc>
          <w:tcPr>
            <w:tcW w:w="93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eastAsia="zh-CN"/>
              </w:rPr>
              <w:t>件</w:t>
            </w:r>
          </w:p>
        </w:tc>
        <w:tc>
          <w:tcPr>
            <w:tcW w:w="1100" w:type="dxa"/>
            <w:noWrap w:val="0"/>
            <w:vAlign w:val="center"/>
          </w:tcPr>
          <w:p>
            <w:pPr>
              <w:widowControl/>
              <w:tabs>
                <w:tab w:val="left" w:pos="0"/>
              </w:tabs>
              <w:adjustRightInd w:val="0"/>
              <w:snapToGrid w:val="0"/>
              <w:spacing w:line="480" w:lineRule="exact"/>
              <w:jc w:val="center"/>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cs="Times New Roman"/>
                <w:color w:val="auto"/>
                <w:sz w:val="24"/>
                <w:szCs w:val="24"/>
                <w:highlight w:val="none"/>
              </w:rPr>
            </w:pPr>
          </w:p>
        </w:tc>
      </w:tr>
    </w:tbl>
    <w:p>
      <w:pPr>
        <w:widowControl/>
        <w:adjustRightInd/>
        <w:snapToGrid/>
        <w:spacing w:line="240" w:lineRule="auto"/>
        <w:outlineLvl w:val="9"/>
        <w:rPr>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rPr>
      </w:pPr>
      <w:bookmarkStart w:id="349" w:name="_Toc20242"/>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w:t>
      </w:r>
      <w:r>
        <w:rPr>
          <w:rFonts w:hint="default" w:ascii="仿宋" w:hAnsi="仿宋" w:eastAsia="仿宋" w:cs="仿宋"/>
          <w:color w:val="auto"/>
          <w:sz w:val="28"/>
          <w:szCs w:val="28"/>
          <w:highlight w:val="none"/>
          <w:lang w:val="en-US" w:eastAsia="zh-CN"/>
        </w:rPr>
        <w:t>洗消消防车</w:t>
      </w:r>
      <w:bookmarkEnd w:id="349"/>
    </w:p>
    <w:p>
      <w:pPr>
        <w:adjustRightInd w:val="0"/>
        <w:snapToGrid w:val="0"/>
        <w:spacing w:line="480" w:lineRule="exact"/>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一、货物名称：</w:t>
      </w:r>
      <w:r>
        <w:rPr>
          <w:rFonts w:hint="default" w:ascii="Times New Roman" w:hAnsi="Times New Roman" w:eastAsia="方正仿宋_GBK"/>
          <w:bCs/>
          <w:color w:val="auto"/>
          <w:sz w:val="24"/>
          <w:szCs w:val="24"/>
          <w:highlight w:val="none"/>
          <w:lang w:val="en-US" w:eastAsia="zh-CN"/>
        </w:rPr>
        <w:t>洗消消防车</w:t>
      </w:r>
    </w:p>
    <w:p>
      <w:pPr>
        <w:adjustRightInd w:val="0"/>
        <w:snapToGrid w:val="0"/>
        <w:spacing w:line="480" w:lineRule="exact"/>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二、主要规格：国产底盘、热水锅炉罐≥2m³、预混罐≥0.5m³、残液回收罐≥0.5m³</w:t>
      </w:r>
    </w:p>
    <w:p>
      <w:pPr>
        <w:adjustRightInd w:val="0"/>
        <w:snapToGrid w:val="0"/>
        <w:spacing w:line="480" w:lineRule="exact"/>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三、数量：</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（辆）</w:t>
      </w:r>
    </w:p>
    <w:p>
      <w:pPr>
        <w:adjustRightInd w:val="0"/>
        <w:snapToGrid w:val="0"/>
        <w:spacing w:line="480" w:lineRule="exact"/>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四、主要技术参数及要求：</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b/>
          <w:bCs w:val="0"/>
          <w:color w:val="auto"/>
          <w:sz w:val="24"/>
          <w:szCs w:val="24"/>
          <w:highlight w:val="none"/>
        </w:rPr>
      </w:pPr>
      <w:r>
        <w:rPr>
          <w:rFonts w:ascii="Times New Roman" w:hAnsi="Times New Roman" w:eastAsia="方正仿宋_GBK"/>
          <w:b/>
          <w:bCs w:val="0"/>
          <w:color w:val="auto"/>
          <w:sz w:val="24"/>
          <w:szCs w:val="24"/>
          <w:highlight w:val="none"/>
        </w:rPr>
        <w:t>4.1整车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4.1.1整车尺寸：长×宽×高（mm）：≤11000×2550×4000；</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4.1.2比功率：≥12kw/T；</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4.2.1发动机额定功率：≥300kw</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4.2.2驱动形式：6×</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4.2.3燃料：柴油；油箱容量≥200L；</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4.2.4尾气排放：符合国Ⅵ标准；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4.2.5最高车速：≥90km/h；</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4.2.6变速箱操控方式：手动挡；</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4.2.7配置子午线钢丝轮胎、胎压监测系统、360°全景行车记录仪(内存不小于128G),配备350-400MHz工作频率范围车载台</w:t>
      </w:r>
      <w:r>
        <w:rPr>
          <w:rFonts w:hint="eastAsia" w:ascii="Times New Roman" w:hAnsi="Times New Roman" w:eastAsia="方正仿宋_GBK" w:cs="Times New Roman"/>
          <w:bCs/>
          <w:color w:val="auto"/>
          <w:sz w:val="24"/>
          <w:szCs w:val="24"/>
          <w:highlight w:val="none"/>
          <w:lang w:eastAsia="zh-CN"/>
        </w:rPr>
        <w:t>，</w:t>
      </w:r>
      <w:r>
        <w:rPr>
          <w:rFonts w:hint="eastAsia" w:ascii="Times New Roman" w:hAnsi="Times New Roman" w:eastAsia="方正仿宋_GBK" w:cs="Times New Roman"/>
          <w:bCs/>
          <w:color w:val="auto"/>
          <w:sz w:val="24"/>
          <w:szCs w:val="24"/>
          <w:highlight w:val="none"/>
        </w:rPr>
        <w:t>车辆应安装单北斗卫星定位装置，可接入国家局现有北斗消防综合管理服务平台</w:t>
      </w:r>
      <w:r>
        <w:rPr>
          <w:rFonts w:hint="eastAsia" w:ascii="Times New Roman" w:hAnsi="Times New Roman" w:eastAsia="方正仿宋_GBK" w:cs="Times New Roman"/>
          <w:bCs/>
          <w:color w:val="auto"/>
          <w:sz w:val="24"/>
          <w:szCs w:val="24"/>
          <w:highlight w:val="none"/>
          <w:lang w:eastAsia="zh-CN"/>
        </w:rPr>
        <w:t>，</w:t>
      </w:r>
      <w:r>
        <w:rPr>
          <w:rFonts w:ascii="Times New Roman" w:hAnsi="Times New Roman" w:eastAsia="方正仿宋_GBK"/>
          <w:bCs/>
          <w:color w:val="auto"/>
          <w:sz w:val="24"/>
          <w:szCs w:val="24"/>
          <w:highlight w:val="none"/>
        </w:rPr>
        <w:t>带倒车告警蜂鸣器、倒车摄像头和驾驶室内监视器，监视器屏幕≥10英寸；</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4.2.8制动系统：前轮盘式制动器，ABS（防抱死制动系统）或EBS（电控制动系统）；</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4.3驾乘室</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4.3.1结构：4门双排，全钢冲压件焊接；</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4.3.2座位设置：乘员≥6人，设空气呼吸器架和个人防护装备器材架，车内座椅应全部设置安全带；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4.3.3驾驶室设备：除原车设备外，加装电源总开关，取力器控制开关，指示灯、外照明灯、警灯、暴闪灯、气路开关、器材箱未关闭警示灯、消防泵数显式转速表及其控制开关，道路洗消用前喷洒，控制开关等附加电器；具有倒车雷达、倒车影像系统、蓝牙通信系统和导航仪，具有4G以上通信模块；</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4.4主要性能及配置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4.4.1消防泵</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.1型号：中低压消防泵；</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.2中压工况</w:t>
      </w:r>
      <w:r>
        <w:rPr>
          <w:rFonts w:hint="eastAsia" w:ascii="Times New Roman" w:hAnsi="Times New Roman" w:eastAsia="方正仿宋_GBK"/>
          <w:bCs/>
          <w:color w:val="auto"/>
          <w:sz w:val="24"/>
          <w:szCs w:val="24"/>
          <w:highlight w:val="none"/>
          <w:lang w:eastAsia="zh-CN"/>
        </w:rPr>
        <w:t>：</w:t>
      </w:r>
      <w:r>
        <w:rPr>
          <w:rFonts w:ascii="Times New Roman" w:hAnsi="Times New Roman" w:eastAsia="方正仿宋_GBK"/>
          <w:bCs/>
          <w:color w:val="auto"/>
          <w:sz w:val="24"/>
          <w:szCs w:val="24"/>
          <w:highlight w:val="none"/>
        </w:rPr>
        <w:t>工作压力：≥2.0MPa，工作流量：≥20L/s；</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w:t>
      </w:r>
      <w:r>
        <w:rPr>
          <w:rFonts w:hint="eastAsia" w:ascii="Times New Roman" w:hAnsi="Times New Roman" w:eastAsia="方正仿宋_GBK"/>
          <w:bCs/>
          <w:color w:val="auto"/>
          <w:sz w:val="24"/>
          <w:szCs w:val="24"/>
          <w:highlight w:val="none"/>
          <w:lang w:val="en-US" w:eastAsia="zh-CN"/>
        </w:rPr>
        <w:t>3</w:t>
      </w:r>
      <w:r>
        <w:rPr>
          <w:rFonts w:ascii="Times New Roman" w:hAnsi="Times New Roman" w:eastAsia="方正仿宋_GBK"/>
          <w:bCs/>
          <w:color w:val="auto"/>
          <w:sz w:val="24"/>
          <w:szCs w:val="24"/>
          <w:highlight w:val="none"/>
        </w:rPr>
        <w:t>低压工况</w:t>
      </w:r>
      <w:r>
        <w:rPr>
          <w:rFonts w:hint="eastAsia" w:ascii="Times New Roman" w:hAnsi="Times New Roman" w:eastAsia="方正仿宋_GBK"/>
          <w:bCs/>
          <w:color w:val="auto"/>
          <w:sz w:val="24"/>
          <w:szCs w:val="24"/>
          <w:highlight w:val="none"/>
          <w:lang w:eastAsia="zh-CN"/>
        </w:rPr>
        <w:t>：</w:t>
      </w:r>
      <w:r>
        <w:rPr>
          <w:rFonts w:ascii="Times New Roman" w:hAnsi="Times New Roman" w:eastAsia="方正仿宋_GBK"/>
          <w:bCs/>
          <w:color w:val="auto"/>
          <w:sz w:val="24"/>
          <w:szCs w:val="24"/>
          <w:highlight w:val="none"/>
        </w:rPr>
        <w:t>工作压力：≥1.0MPa，工作流量：≥40L/s；</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引水泵：活塞式；</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2</w:t>
      </w:r>
      <w:r>
        <w:rPr>
          <w:rFonts w:ascii="Times New Roman" w:hAnsi="Times New Roman" w:eastAsia="方正仿宋_GBK"/>
          <w:bCs/>
          <w:color w:val="auto"/>
          <w:sz w:val="24"/>
          <w:szCs w:val="24"/>
          <w:highlight w:val="none"/>
        </w:rPr>
        <w:t>管路系统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2</w:t>
      </w:r>
      <w:r>
        <w:rPr>
          <w:rFonts w:ascii="Times New Roman" w:hAnsi="Times New Roman" w:eastAsia="方正仿宋_GBK"/>
          <w:bCs/>
          <w:color w:val="auto"/>
          <w:sz w:val="24"/>
          <w:szCs w:val="24"/>
          <w:highlight w:val="none"/>
        </w:rPr>
        <w:t>.1</w:t>
      </w:r>
      <w:r>
        <w:rPr>
          <w:rFonts w:hint="eastAsia" w:ascii="Times New Roman" w:hAnsi="Times New Roman" w:eastAsia="方正仿宋_GBK"/>
          <w:bCs/>
          <w:color w:val="auto"/>
          <w:sz w:val="24"/>
          <w:szCs w:val="24"/>
          <w:highlight w:val="none"/>
        </w:rPr>
        <w:t>进水管路：设有DN125mm进水口；设DN125锅炉至泵管路的后进水管路，由DN125气动蝶阀控制；设DN125混液罐至泵管路的后进水管路，由DN125气动蝶阀控制</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2</w:t>
      </w:r>
      <w:r>
        <w:rPr>
          <w:rFonts w:ascii="Times New Roman" w:hAnsi="Times New Roman" w:eastAsia="方正仿宋_GBK"/>
          <w:bCs/>
          <w:color w:val="auto"/>
          <w:sz w:val="24"/>
          <w:szCs w:val="24"/>
          <w:highlight w:val="none"/>
        </w:rPr>
        <w:t>.2出水管路：</w:t>
      </w:r>
      <w:r>
        <w:rPr>
          <w:rFonts w:hint="eastAsia" w:ascii="Times New Roman" w:hAnsi="Times New Roman" w:eastAsia="方正仿宋_GBK"/>
          <w:bCs/>
          <w:color w:val="auto"/>
          <w:sz w:val="24"/>
          <w:szCs w:val="24"/>
          <w:highlight w:val="none"/>
        </w:rPr>
        <w:t>设有不少于4个DN65mm出水口；设有供洗消帐篷出水接口，配置连接到洗消帐篷的管路及接头；在泵上方高压出水口，设不锈钢球阀，可连接卷盘</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2</w:t>
      </w:r>
      <w:r>
        <w:rPr>
          <w:rFonts w:ascii="Times New Roman" w:hAnsi="Times New Roman" w:eastAsia="方正仿宋_GBK"/>
          <w:bCs/>
          <w:color w:val="auto"/>
          <w:sz w:val="24"/>
          <w:szCs w:val="24"/>
          <w:highlight w:val="none"/>
        </w:rPr>
        <w:t>.3注水管路：设不少于2个DN80mm注水管路，可通过消防泵直接向锅炉内注水，由不锈钢气动蝶阀控制；</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2</w:t>
      </w:r>
      <w:r>
        <w:rPr>
          <w:rFonts w:ascii="Times New Roman" w:hAnsi="Times New Roman" w:eastAsia="方正仿宋_GBK"/>
          <w:bCs/>
          <w:color w:val="auto"/>
          <w:sz w:val="24"/>
          <w:szCs w:val="24"/>
          <w:highlight w:val="none"/>
        </w:rPr>
        <w:t>.4</w:t>
      </w:r>
      <w:r>
        <w:rPr>
          <w:rFonts w:hint="eastAsia" w:ascii="Times New Roman" w:hAnsi="Times New Roman" w:eastAsia="方正仿宋_GBK"/>
          <w:bCs/>
          <w:color w:val="auto"/>
          <w:sz w:val="24"/>
          <w:szCs w:val="24"/>
          <w:highlight w:val="none"/>
        </w:rPr>
        <w:t>混液罐注水管路：泵房内设DN50mm气动阀控制的混液罐注水管路</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3</w:t>
      </w:r>
      <w:r>
        <w:rPr>
          <w:rFonts w:ascii="Times New Roman" w:hAnsi="Times New Roman" w:eastAsia="方正仿宋_GBK"/>
          <w:bCs/>
          <w:color w:val="auto"/>
          <w:sz w:val="24"/>
          <w:szCs w:val="24"/>
          <w:highlight w:val="none"/>
        </w:rPr>
        <w:t>道路、车体洗消及自保管路</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3</w:t>
      </w:r>
      <w:r>
        <w:rPr>
          <w:rFonts w:ascii="Times New Roman" w:hAnsi="Times New Roman" w:eastAsia="方正仿宋_GBK"/>
          <w:bCs/>
          <w:color w:val="auto"/>
          <w:sz w:val="24"/>
          <w:szCs w:val="24"/>
          <w:highlight w:val="none"/>
        </w:rPr>
        <w:t>.1驾驶室、车体分别设置洗消及自保管路和喷嘴，驾驶室内设独立开关控制各管路；</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3</w:t>
      </w:r>
      <w:r>
        <w:rPr>
          <w:rFonts w:ascii="Times New Roman" w:hAnsi="Times New Roman" w:eastAsia="方正仿宋_GBK"/>
          <w:bCs/>
          <w:color w:val="auto"/>
          <w:sz w:val="24"/>
          <w:szCs w:val="24"/>
          <w:highlight w:val="none"/>
        </w:rPr>
        <w:t>.2道路洗消及底盘自保：设有</w:t>
      </w:r>
      <w:r>
        <w:rPr>
          <w:rFonts w:hint="eastAsia" w:eastAsia="方正仿宋_GBK"/>
          <w:bCs/>
          <w:color w:val="auto"/>
          <w:sz w:val="24"/>
          <w:szCs w:val="24"/>
          <w:highlight w:val="none"/>
          <w:lang w:eastAsia="zh-CN"/>
        </w:rPr>
        <w:t>≥</w:t>
      </w:r>
      <w:r>
        <w:rPr>
          <w:rFonts w:ascii="Times New Roman" w:hAnsi="Times New Roman" w:eastAsia="方正仿宋_GBK"/>
          <w:bCs/>
          <w:color w:val="auto"/>
          <w:sz w:val="24"/>
          <w:szCs w:val="24"/>
          <w:highlight w:val="none"/>
        </w:rPr>
        <w:t>12个喷嘴，喷头流量≥40L/min，喷头结构型式：内置式雨淋结构；</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洗消枪及卷盘</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.1洗消枪：安装在消防泵室；</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4</w:t>
      </w:r>
      <w:r>
        <w:rPr>
          <w:rFonts w:ascii="Times New Roman" w:hAnsi="Times New Roman" w:eastAsia="方正仿宋_GBK"/>
          <w:bCs/>
          <w:color w:val="auto"/>
          <w:sz w:val="24"/>
          <w:szCs w:val="24"/>
          <w:highlight w:val="none"/>
        </w:rPr>
        <w:t>.2卷盘：泵房两侧各设1个卷盘，固定安装，非旋出式；手动软管刹车装置防止软管滚动，手动回绕；每个卷盘长度30米，直流或雾状开花可调；</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容罐</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.1锅炉罐</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.2罐体容积：≥2m³；</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.3材质：优质304不锈钢，罐体防渗漏、防腐蚀，保修10年；</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.4结构：不锈钢钢板焊接结构，设有液位传感装置、温控开关等装置；</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5</w:t>
      </w:r>
      <w:r>
        <w:rPr>
          <w:rFonts w:ascii="Times New Roman" w:hAnsi="Times New Roman" w:eastAsia="方正仿宋_GBK"/>
          <w:bCs/>
          <w:color w:val="auto"/>
          <w:sz w:val="24"/>
          <w:szCs w:val="24"/>
          <w:highlight w:val="none"/>
        </w:rPr>
        <w:t>.5型式：内藏式；</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6</w:t>
      </w:r>
      <w:r>
        <w:rPr>
          <w:rFonts w:ascii="Times New Roman" w:hAnsi="Times New Roman" w:eastAsia="方正仿宋_GBK"/>
          <w:bCs/>
          <w:color w:val="auto"/>
          <w:sz w:val="24"/>
          <w:szCs w:val="24"/>
          <w:highlight w:val="none"/>
        </w:rPr>
        <w:t>加热器</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6</w:t>
      </w:r>
      <w:r>
        <w:rPr>
          <w:rFonts w:ascii="Times New Roman" w:hAnsi="Times New Roman" w:eastAsia="方正仿宋_GBK"/>
          <w:bCs/>
          <w:color w:val="auto"/>
          <w:sz w:val="24"/>
          <w:szCs w:val="24"/>
          <w:highlight w:val="none"/>
        </w:rPr>
        <w:t>.1输出功率：≥350kw；</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6</w:t>
      </w:r>
      <w:r>
        <w:rPr>
          <w:rFonts w:ascii="Times New Roman" w:hAnsi="Times New Roman" w:eastAsia="方正仿宋_GBK"/>
          <w:bCs/>
          <w:color w:val="auto"/>
          <w:sz w:val="24"/>
          <w:szCs w:val="24"/>
          <w:highlight w:val="none"/>
        </w:rPr>
        <w:t>.2平均温升：≥1.0℃/min(2m³水)；</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6</w:t>
      </w:r>
      <w:r>
        <w:rPr>
          <w:rFonts w:ascii="Times New Roman" w:hAnsi="Times New Roman" w:eastAsia="方正仿宋_GBK"/>
          <w:bCs/>
          <w:color w:val="auto"/>
          <w:sz w:val="24"/>
          <w:szCs w:val="24"/>
          <w:highlight w:val="none"/>
        </w:rPr>
        <w:t>.</w:t>
      </w:r>
      <w:r>
        <w:rPr>
          <w:rFonts w:hint="eastAsia" w:ascii="Times New Roman" w:hAnsi="Times New Roman" w:eastAsia="方正仿宋_GBK"/>
          <w:bCs/>
          <w:color w:val="auto"/>
          <w:sz w:val="24"/>
          <w:szCs w:val="24"/>
          <w:highlight w:val="none"/>
          <w:lang w:val="en-US" w:eastAsia="zh-CN"/>
        </w:rPr>
        <w:t>3</w:t>
      </w:r>
      <w:r>
        <w:rPr>
          <w:rFonts w:ascii="Times New Roman" w:hAnsi="Times New Roman" w:eastAsia="方正仿宋_GBK"/>
          <w:bCs/>
          <w:color w:val="auto"/>
          <w:sz w:val="24"/>
          <w:szCs w:val="24"/>
          <w:highlight w:val="none"/>
        </w:rPr>
        <w:t>加热温度：≥60℃；（温度可以调节）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7</w:t>
      </w:r>
      <w:r>
        <w:rPr>
          <w:rFonts w:ascii="Times New Roman" w:hAnsi="Times New Roman" w:eastAsia="方正仿宋_GBK"/>
          <w:bCs/>
          <w:color w:val="auto"/>
          <w:sz w:val="24"/>
          <w:szCs w:val="24"/>
          <w:highlight w:val="none"/>
        </w:rPr>
        <w:t>混液罐</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7</w:t>
      </w:r>
      <w:r>
        <w:rPr>
          <w:rFonts w:ascii="Times New Roman" w:hAnsi="Times New Roman" w:eastAsia="方正仿宋_GBK"/>
          <w:bCs/>
          <w:color w:val="auto"/>
          <w:sz w:val="24"/>
          <w:szCs w:val="24"/>
          <w:highlight w:val="none"/>
        </w:rPr>
        <w:t>.1罐体容积：≥0.5m³；</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7</w:t>
      </w:r>
      <w:r>
        <w:rPr>
          <w:rFonts w:ascii="Times New Roman" w:hAnsi="Times New Roman" w:eastAsia="方正仿宋_GBK"/>
          <w:bCs/>
          <w:color w:val="auto"/>
          <w:sz w:val="24"/>
          <w:szCs w:val="24"/>
          <w:highlight w:val="none"/>
        </w:rPr>
        <w:t>.2材质：优质304不锈钢，防腐处理，罐顶、罐壁厚≥3mm,底部板厚≥4mm；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7</w:t>
      </w:r>
      <w:r>
        <w:rPr>
          <w:rFonts w:ascii="Times New Roman" w:hAnsi="Times New Roman" w:eastAsia="方正仿宋_GBK"/>
          <w:bCs/>
          <w:color w:val="auto"/>
          <w:sz w:val="24"/>
          <w:szCs w:val="24"/>
          <w:highlight w:val="none"/>
        </w:rPr>
        <w:t>.3结构：采用独立内藏式结构；</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8</w:t>
      </w:r>
      <w:r>
        <w:rPr>
          <w:rFonts w:ascii="Times New Roman" w:hAnsi="Times New Roman" w:eastAsia="方正仿宋_GBK"/>
          <w:bCs/>
          <w:color w:val="auto"/>
          <w:sz w:val="24"/>
          <w:szCs w:val="24"/>
          <w:highlight w:val="none"/>
        </w:rPr>
        <w:t>残液回收罐</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8</w:t>
      </w:r>
      <w:r>
        <w:rPr>
          <w:rFonts w:ascii="Times New Roman" w:hAnsi="Times New Roman" w:eastAsia="方正仿宋_GBK"/>
          <w:bCs/>
          <w:color w:val="auto"/>
          <w:sz w:val="24"/>
          <w:szCs w:val="24"/>
          <w:highlight w:val="none"/>
        </w:rPr>
        <w:t>.1罐体容积：≥0.5m³；</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8</w:t>
      </w:r>
      <w:r>
        <w:rPr>
          <w:rFonts w:ascii="Times New Roman" w:hAnsi="Times New Roman" w:eastAsia="方正仿宋_GBK"/>
          <w:bCs/>
          <w:color w:val="auto"/>
          <w:sz w:val="24"/>
          <w:szCs w:val="24"/>
          <w:highlight w:val="none"/>
        </w:rPr>
        <w:t>.2结构材质：采用304不锈钢钢板无防荡板的圆柱形焊接结构，罐体结构及材料厚度满足刚度和强度；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残液回收系统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.1吸污泵有效吸程：≥6m；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.2真空度：≥</w:t>
      </w:r>
      <w:r>
        <w:rPr>
          <w:rFonts w:hint="eastAsia" w:ascii="Times New Roman" w:hAnsi="Times New Roman" w:eastAsia="方正仿宋_GBK"/>
          <w:bCs/>
          <w:color w:val="auto"/>
          <w:sz w:val="24"/>
          <w:szCs w:val="24"/>
          <w:highlight w:val="none"/>
        </w:rPr>
        <w:t>85kPa</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bCs/>
          <w:color w:val="auto"/>
          <w:sz w:val="24"/>
          <w:szCs w:val="24"/>
          <w:highlight w:val="none"/>
        </w:rPr>
        <w:t>4.4.</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.3抽速：≥50L/s；</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绞盘</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.1钢丝绳长度：≥38m；钢丝绳直径：≥13mm；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.2最大拉力：≥7</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kN；</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.3安装型式：前置式；</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0</w:t>
      </w:r>
      <w:r>
        <w:rPr>
          <w:rFonts w:ascii="Times New Roman" w:hAnsi="Times New Roman" w:eastAsia="方正仿宋_GBK"/>
          <w:bCs/>
          <w:color w:val="auto"/>
          <w:sz w:val="24"/>
          <w:szCs w:val="24"/>
          <w:highlight w:val="none"/>
        </w:rPr>
        <w:t>.4动力源：电动控制，带有安全过载保护器；</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升降照明系统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.1额定功率：≥10kw；</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.2额定电压：220V/380V；</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.3升降照明系统型号：气动升降照明系统；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.4最大工作高度：≥7m；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.5主照明灯功率：主灯：4×1000W</w:t>
      </w:r>
      <w:r>
        <w:rPr>
          <w:rFonts w:hint="eastAsia" w:ascii="Times New Roman" w:hAnsi="Times New Roman" w:eastAsia="方正仿宋_GBK"/>
          <w:bCs/>
          <w:color w:val="auto"/>
          <w:sz w:val="24"/>
          <w:szCs w:val="24"/>
          <w:highlight w:val="none"/>
          <w:lang w:val="en-US" w:eastAsia="zh-CN"/>
        </w:rPr>
        <w:t>；</w:t>
      </w:r>
      <w:r>
        <w:rPr>
          <w:rFonts w:ascii="Times New Roman" w:hAnsi="Times New Roman" w:eastAsia="方正仿宋_GBK"/>
          <w:bCs/>
          <w:color w:val="auto"/>
          <w:sz w:val="24"/>
          <w:szCs w:val="24"/>
          <w:highlight w:val="none"/>
        </w:rPr>
        <w:t>照明距离≥50米；</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4.4.1</w:t>
      </w:r>
      <w:r>
        <w:rPr>
          <w:rFonts w:hint="eastAsia" w:ascii="Times New Roman" w:hAnsi="Times New Roman" w:eastAsia="方正仿宋_GBK"/>
          <w:bCs/>
          <w:color w:val="auto"/>
          <w:sz w:val="24"/>
          <w:szCs w:val="24"/>
          <w:highlight w:val="none"/>
          <w:lang w:val="en-US" w:eastAsia="zh-CN"/>
        </w:rPr>
        <w:t>1</w:t>
      </w:r>
      <w:r>
        <w:rPr>
          <w:rFonts w:ascii="Times New Roman" w:hAnsi="Times New Roman" w:eastAsia="方正仿宋_GBK"/>
          <w:bCs/>
          <w:color w:val="auto"/>
          <w:sz w:val="24"/>
          <w:szCs w:val="24"/>
          <w:highlight w:val="none"/>
        </w:rPr>
        <w:t>.6移动照明灯功率：2×400W；</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4.5总体要求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4.5.1整车符合GB7956.1-2014《消防车第1部分：通用技术条件》、GB1589-2016《汽车、挂车及汽车列车外廓尺寸、轴荷及质量限值》标准要求；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4.5.2车身颜色符合GB/T3181-2008</w:t>
      </w:r>
      <w:r>
        <w:rPr>
          <w:rFonts w:ascii="Times New Roman" w:hAnsi="Times New Roman" w:eastAsia="方正仿宋_GBK"/>
          <w:color w:val="auto"/>
          <w:sz w:val="24"/>
          <w:szCs w:val="24"/>
          <w:highlight w:val="none"/>
        </w:rPr>
        <w:t>《漆膜颜色标准》</w:t>
      </w:r>
      <w:r>
        <w:rPr>
          <w:rFonts w:ascii="Times New Roman" w:hAnsi="Times New Roman" w:eastAsia="方正仿宋_GBK"/>
          <w:bCs/>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4.5.3在确保不影响车辆安全行驶的前提下，根据</w:t>
      </w:r>
      <w:r>
        <w:rPr>
          <w:rFonts w:hint="eastAsia" w:ascii="Times New Roman" w:hAnsi="Times New Roman" w:eastAsia="方正仿宋_GBK"/>
          <w:bCs/>
          <w:color w:val="auto"/>
          <w:sz w:val="24"/>
          <w:szCs w:val="24"/>
          <w:highlight w:val="none"/>
          <w:lang w:val="en-US" w:eastAsia="zh-CN"/>
        </w:rPr>
        <w:t>使用单位</w:t>
      </w:r>
      <w:r>
        <w:rPr>
          <w:rFonts w:ascii="Times New Roman" w:hAnsi="Times New Roman" w:eastAsia="方正仿宋_GBK"/>
          <w:bCs/>
          <w:color w:val="auto"/>
          <w:sz w:val="24"/>
          <w:szCs w:val="24"/>
          <w:highlight w:val="none"/>
        </w:rPr>
        <w:t>需求，对外置车灯、灯具加装防护罩；</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4.5.4器材箱</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4.5.4.1材质：骨架为钢制或铝合金型材，内饰板均为≥5mm氧化铝合金板；车厢外骨架及外蒙皮均为优质铝合金型材，内骨架为铝合金型材，内装饰板及底板均为表面经阳极氧化处理的铝合金板；</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4.5.4.2结构：对车厢内部需要经常检测的部件，在适当部位须安有活门，其他需要进入车内部检查和维修的地方也应敞开或有可移动的板；器材箱应具有排水功能；</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4.5.4.3器材箱门：采用轻型优质铝合金，大幅卷帘门启闭灵活、密封性好、噪音低、轻便可靠，所有卷帘门均可通用一把钥匙开启。每个器材厢内有LED灯带，由卷帘门开闭控制并在驾驶室内有集中控制开关；设置行进途中器材箱门开启、车门开启声光自动报警装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4.5.5警报灯具：车顶前面设置红色警灯（位于驾驶室顶端），车身设置轮廓灯带、爆闪警灯，警报器输出功率≥100W，LED光源；</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4.5.6投标人在器材箱结构设计布置时需提前与</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bCs/>
          <w:color w:val="auto"/>
          <w:sz w:val="24"/>
          <w:szCs w:val="24"/>
          <w:highlight w:val="none"/>
        </w:rPr>
        <w:t>单位联系，根据</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bCs/>
          <w:color w:val="auto"/>
          <w:sz w:val="24"/>
          <w:szCs w:val="24"/>
          <w:highlight w:val="none"/>
        </w:rPr>
        <w:t>单位提供的装载器材种类及数量进行定位、定量设计器材箱结构，设计方案必须经</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bCs/>
          <w:color w:val="auto"/>
          <w:sz w:val="24"/>
          <w:szCs w:val="24"/>
          <w:highlight w:val="none"/>
        </w:rPr>
        <w:t>单位同意后方可进行生产；</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imes New Roman" w:hAnsi="Times New Roman" w:eastAsia="方正仿宋_GBK" w:cs="Times New Roman"/>
          <w:bCs/>
          <w:color w:val="auto"/>
          <w:sz w:val="24"/>
          <w:szCs w:val="24"/>
          <w:highlight w:val="none"/>
          <w:lang w:eastAsia="zh-CN"/>
        </w:rPr>
      </w:pPr>
      <w:r>
        <w:rPr>
          <w:rFonts w:ascii="Times New Roman" w:hAnsi="Times New Roman" w:eastAsia="方正仿宋_GBK" w:cs="Times New Roman"/>
          <w:bCs/>
          <w:color w:val="auto"/>
          <w:sz w:val="24"/>
          <w:szCs w:val="24"/>
          <w:highlight w:val="none"/>
        </w:rPr>
        <w:t>4.5.</w:t>
      </w:r>
      <w:r>
        <w:rPr>
          <w:rFonts w:hint="eastAsia" w:ascii="Times New Roman" w:hAnsi="Times New Roman" w:eastAsia="方正仿宋_GBK" w:cs="Times New Roman"/>
          <w:bCs/>
          <w:color w:val="auto"/>
          <w:sz w:val="24"/>
          <w:szCs w:val="24"/>
          <w:highlight w:val="none"/>
          <w:lang w:val="en-US" w:eastAsia="zh-CN"/>
        </w:rPr>
        <w:t>7</w:t>
      </w:r>
      <w:r>
        <w:rPr>
          <w:rFonts w:hint="eastAsia" w:ascii="Times New Roman" w:hAnsi="Times New Roman" w:eastAsia="方正仿宋_GBK" w:cs="Times New Roman"/>
          <w:bCs/>
          <w:color w:val="auto"/>
          <w:sz w:val="24"/>
          <w:szCs w:val="24"/>
          <w:highlight w:val="none"/>
        </w:rPr>
        <w:t>快速充气充电装置：可自动分离；</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4.6.2供货前，须主动对接使用单位，满足</w:t>
      </w:r>
      <w:r>
        <w:rPr>
          <w:rFonts w:hint="eastAsia" w:ascii="Times New Roman" w:hAnsi="Times New Roman" w:eastAsia="方正仿宋_GBK"/>
          <w:bCs/>
          <w:color w:val="auto"/>
          <w:sz w:val="24"/>
          <w:szCs w:val="24"/>
          <w:highlight w:val="none"/>
          <w:lang w:val="en-US" w:eastAsia="zh-CN"/>
        </w:rPr>
        <w:t>使用单位</w:t>
      </w:r>
      <w:r>
        <w:rPr>
          <w:rFonts w:ascii="Times New Roman" w:hAnsi="Times New Roman" w:eastAsia="方正仿宋_GBK"/>
          <w:bCs/>
          <w:color w:val="auto"/>
          <w:sz w:val="24"/>
          <w:szCs w:val="24"/>
          <w:highlight w:val="none"/>
        </w:rPr>
        <w:t>需求；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bCs/>
          <w:color w:val="auto"/>
          <w:sz w:val="24"/>
          <w:szCs w:val="24"/>
          <w:highlight w:val="none"/>
        </w:rPr>
        <w:t>4.6.3交付使用单位时，提供操作使用说明书纸质版（含电子版），燃油、尿素等添加液处于满液状态；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bCs/>
          <w:color w:val="auto"/>
          <w:sz w:val="24"/>
          <w:szCs w:val="24"/>
          <w:highlight w:val="none"/>
          <w:lang w:val="en-US" w:eastAsia="zh-CN"/>
        </w:rPr>
      </w:pPr>
      <w:r>
        <w:rPr>
          <w:rFonts w:ascii="Times New Roman" w:hAnsi="Times New Roman" w:eastAsia="方正仿宋_GBK"/>
          <w:bCs/>
          <w:color w:val="auto"/>
          <w:sz w:val="24"/>
          <w:szCs w:val="24"/>
          <w:highlight w:val="none"/>
        </w:rPr>
        <w:t>4.6.4首次保养（含材料、人工、差旅等）免费</w:t>
      </w:r>
      <w:r>
        <w:rPr>
          <w:rFonts w:hint="eastAsia" w:ascii="Times New Roman" w:hAnsi="Times New Roman" w:eastAsia="方正仿宋_GBK"/>
          <w:bCs/>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b/>
          <w:bCs/>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4.6.5配备防滑链，防滑链数量与轮胎数量相匹配。</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val="0"/>
          <w:color w:val="auto"/>
          <w:sz w:val="24"/>
          <w:szCs w:val="24"/>
          <w:highlight w:val="none"/>
        </w:rPr>
      </w:pPr>
      <w:r>
        <w:rPr>
          <w:rFonts w:ascii="Times New Roman" w:hAnsi="Times New Roman" w:eastAsia="方正仿宋_GBK" w:cs="Times New Roman"/>
          <w:b/>
          <w:bCs w:val="0"/>
          <w:color w:val="auto"/>
          <w:sz w:val="24"/>
          <w:szCs w:val="24"/>
          <w:highlight w:val="none"/>
        </w:rPr>
        <w:t>4.7随车附件</w:t>
      </w:r>
    </w:p>
    <w:tbl>
      <w:tblPr>
        <w:tblStyle w:val="44"/>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2693"/>
        <w:gridCol w:w="930"/>
        <w:gridCol w:w="1100"/>
        <w:gridCol w:w="2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序号</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名称</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单位</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数量</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干粉灭火器</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具</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8kg，ABC类灭火器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可充电式手提照明灯</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只</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3</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消防水带</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米</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80</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4</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地上消火栓扳手</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件</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5</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地下消火栓扳手</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件</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6</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异径接口</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个</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4</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7</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护带桥</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副</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橡胶型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8</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水带包布</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件</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4</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9</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电动充、排气泵</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台</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10</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洗消排污泵</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套</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11</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温控仪</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个</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12</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洗消喷淋器</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套</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13</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洗消废水回收袋</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套</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14</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单人洗消帐篷</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套</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5平方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15</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洗消喷枪</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支</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2</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5"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16</w:t>
            </w:r>
          </w:p>
        </w:tc>
        <w:tc>
          <w:tcPr>
            <w:tcW w:w="2693"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洗消粉</w:t>
            </w:r>
          </w:p>
        </w:tc>
        <w:tc>
          <w:tcPr>
            <w:tcW w:w="93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袋</w:t>
            </w:r>
          </w:p>
        </w:tc>
        <w:tc>
          <w:tcPr>
            <w:tcW w:w="1100"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r>
              <w:rPr>
                <w:rFonts w:ascii="Times New Roman" w:hAnsi="Times New Roman" w:eastAsia="方正仿宋_GBK"/>
                <w:color w:val="auto"/>
                <w:sz w:val="24"/>
                <w:szCs w:val="24"/>
                <w:highlight w:val="none"/>
              </w:rPr>
              <w:t>5</w:t>
            </w:r>
          </w:p>
        </w:tc>
        <w:tc>
          <w:tcPr>
            <w:tcW w:w="2421" w:type="dxa"/>
            <w:noWrap w:val="0"/>
            <w:vAlign w:val="center"/>
          </w:tcPr>
          <w:p>
            <w:pPr>
              <w:widowControl/>
              <w:tabs>
                <w:tab w:val="left" w:pos="0"/>
              </w:tabs>
              <w:adjustRightInd w:val="0"/>
              <w:snapToGrid w:val="0"/>
              <w:spacing w:line="480" w:lineRule="exact"/>
              <w:jc w:val="center"/>
              <w:rPr>
                <w:rFonts w:ascii="Times New Roman" w:hAnsi="Times New Roman" w:eastAsia="方正仿宋_GBK"/>
                <w:b/>
                <w:bCs/>
                <w:color w:val="auto"/>
                <w:sz w:val="24"/>
                <w:szCs w:val="24"/>
                <w:highlight w:val="none"/>
              </w:rPr>
            </w:pPr>
          </w:p>
        </w:tc>
      </w:tr>
    </w:tbl>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bCs/>
          <w:color w:val="auto"/>
          <w:sz w:val="36"/>
          <w:szCs w:val="36"/>
          <w:highlight w:val="none"/>
          <w:lang w:val="en-US"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eastAsia="zh-CN"/>
        </w:rPr>
      </w:pPr>
      <w:bookmarkStart w:id="350" w:name="_Toc6218"/>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破冰</w:t>
      </w:r>
      <w:r>
        <w:rPr>
          <w:rFonts w:hint="eastAsia" w:ascii="仿宋" w:hAnsi="仿宋" w:eastAsia="仿宋" w:cs="仿宋"/>
          <w:color w:val="auto"/>
          <w:sz w:val="28"/>
          <w:szCs w:val="28"/>
          <w:highlight w:val="none"/>
        </w:rPr>
        <w:t>除雪车</w:t>
      </w:r>
      <w:bookmarkEnd w:id="350"/>
    </w:p>
    <w:p>
      <w:pPr>
        <w:spacing w:line="480" w:lineRule="exact"/>
        <w:jc w:val="left"/>
        <w:rPr>
          <w:rFonts w:hint="eastAsia" w:ascii="Times New Roman" w:hAnsi="Times New Roman" w:eastAsia="方正仿宋_GBK"/>
          <w:color w:val="auto"/>
          <w:sz w:val="24"/>
          <w:szCs w:val="24"/>
          <w:highlight w:val="none"/>
          <w:lang w:val="en-US" w:eastAsia="zh-CN"/>
        </w:rPr>
      </w:pPr>
      <w:r>
        <w:rPr>
          <w:rFonts w:ascii="Times New Roman" w:hAnsi="Times New Roman" w:eastAsia="方正仿宋_GBK"/>
          <w:color w:val="auto"/>
          <w:sz w:val="24"/>
          <w:szCs w:val="24"/>
          <w:highlight w:val="none"/>
        </w:rPr>
        <w:t>一、货物名称：</w:t>
      </w:r>
      <w:r>
        <w:rPr>
          <w:rFonts w:hint="eastAsia" w:ascii="Times New Roman" w:hAnsi="Times New Roman" w:eastAsia="方正仿宋_GBK"/>
          <w:color w:val="auto"/>
          <w:sz w:val="24"/>
          <w:szCs w:val="24"/>
          <w:highlight w:val="none"/>
          <w:lang w:val="en-US" w:eastAsia="zh-CN"/>
        </w:rPr>
        <w:t>破冰</w:t>
      </w:r>
      <w:r>
        <w:rPr>
          <w:rFonts w:ascii="Times New Roman" w:hAnsi="Times New Roman" w:eastAsia="方正仿宋_GBK"/>
          <w:color w:val="auto"/>
          <w:sz w:val="24"/>
          <w:szCs w:val="24"/>
          <w:highlight w:val="none"/>
        </w:rPr>
        <w:t>除雪车</w:t>
      </w:r>
    </w:p>
    <w:p>
      <w:pPr>
        <w:spacing w:line="480" w:lineRule="exact"/>
        <w:jc w:val="lef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二、主要规格：国产底盘</w:t>
      </w:r>
    </w:p>
    <w:p>
      <w:pPr>
        <w:spacing w:line="48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三、数量：1（辆）</w:t>
      </w:r>
    </w:p>
    <w:p>
      <w:pPr>
        <w:spacing w:line="480" w:lineRule="exact"/>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四</w:t>
      </w:r>
      <w:r>
        <w:rPr>
          <w:rFonts w:ascii="Times New Roman" w:hAnsi="Times New Roman" w:eastAsia="方正仿宋_GBK"/>
          <w:color w:val="auto"/>
          <w:sz w:val="24"/>
          <w:szCs w:val="24"/>
          <w:highlight w:val="none"/>
        </w:rPr>
        <w:t>、主要技术规格、参数及要求:</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ascii="Times New Roman" w:hAnsi="Times New Roman" w:eastAsia="方正仿宋_GBK"/>
          <w:b/>
          <w:bCs/>
          <w:color w:val="auto"/>
          <w:sz w:val="24"/>
          <w:szCs w:val="24"/>
          <w:highlight w:val="none"/>
        </w:rPr>
      </w:pPr>
      <w:r>
        <w:rPr>
          <w:rFonts w:hint="eastAsia" w:ascii="Times New Roman" w:hAnsi="Times New Roman" w:eastAsia="方正仿宋_GBK"/>
          <w:b/>
          <w:bCs/>
          <w:color w:val="auto"/>
          <w:sz w:val="24"/>
          <w:szCs w:val="24"/>
          <w:highlight w:val="none"/>
          <w:lang w:eastAsia="zh-CN"/>
        </w:rPr>
        <w:t>4.</w:t>
      </w:r>
      <w:r>
        <w:rPr>
          <w:rFonts w:ascii="Times New Roman" w:hAnsi="Times New Roman" w:eastAsia="方正仿宋_GBK"/>
          <w:b/>
          <w:bCs/>
          <w:color w:val="auto"/>
          <w:sz w:val="24"/>
          <w:szCs w:val="24"/>
          <w:highlight w:val="none"/>
        </w:rPr>
        <w:t>1整车尺寸</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val="en-US" w:eastAsia="zh-CN"/>
        </w:rPr>
        <w:t>4.1.1</w:t>
      </w:r>
      <w:r>
        <w:rPr>
          <w:rFonts w:ascii="Times New Roman" w:hAnsi="Times New Roman" w:eastAsia="方正仿宋_GBK"/>
          <w:color w:val="auto"/>
          <w:sz w:val="24"/>
          <w:szCs w:val="24"/>
          <w:highlight w:val="none"/>
        </w:rPr>
        <w:t>长×宽×高（mm）：≤12000×2550×3650</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4.2底盘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hint="eastAsia" w:ascii="Times New Roman" w:hAnsi="Times New Roman" w:eastAsia="方正仿宋_GBK"/>
          <w:bCs/>
          <w:color w:val="auto"/>
          <w:sz w:val="24"/>
          <w:szCs w:val="24"/>
          <w:highlight w:val="none"/>
          <w:lang w:eastAsia="zh-CN"/>
        </w:rPr>
        <w:t>4.</w:t>
      </w:r>
      <w:r>
        <w:rPr>
          <w:rFonts w:ascii="Times New Roman" w:hAnsi="Times New Roman" w:eastAsia="方正仿宋_GBK"/>
          <w:bCs/>
          <w:color w:val="auto"/>
          <w:sz w:val="24"/>
          <w:szCs w:val="24"/>
          <w:highlight w:val="none"/>
        </w:rPr>
        <w:t>2.1发动机额定功率：≥290kW；</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2.2燃料：柴油；油箱容积：≥100L；</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2.3 驱动形式：6×4；</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Times New Roman" w:hAnsi="Times New Roman" w:eastAsia="方正仿宋_GBK"/>
          <w:bCs/>
          <w:color w:val="auto"/>
          <w:sz w:val="24"/>
          <w:szCs w:val="24"/>
          <w:highlight w:val="none"/>
          <w:lang w:eastAsia="zh-CN"/>
        </w:rPr>
        <w:t>4.</w:t>
      </w:r>
      <w:r>
        <w:rPr>
          <w:rFonts w:ascii="Times New Roman" w:hAnsi="Times New Roman" w:eastAsia="方正仿宋_GBK"/>
          <w:bCs/>
          <w:color w:val="auto"/>
          <w:sz w:val="24"/>
          <w:szCs w:val="24"/>
          <w:highlight w:val="none"/>
        </w:rPr>
        <w:t>2.4排放标准：符合国 VI 标准；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Times New Roman" w:hAnsi="Times New Roman" w:eastAsia="方正仿宋_GBK"/>
          <w:bCs/>
          <w:color w:val="auto"/>
          <w:sz w:val="24"/>
          <w:szCs w:val="24"/>
          <w:highlight w:val="none"/>
          <w:lang w:eastAsia="zh-CN"/>
        </w:rPr>
        <w:t>4.</w:t>
      </w:r>
      <w:r>
        <w:rPr>
          <w:rFonts w:ascii="Times New Roman" w:hAnsi="Times New Roman" w:eastAsia="方正仿宋_GBK"/>
          <w:bCs/>
          <w:color w:val="auto"/>
          <w:sz w:val="24"/>
          <w:szCs w:val="24"/>
          <w:highlight w:val="none"/>
        </w:rPr>
        <w:t>2.5最高车速：≥</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0Km/h；</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2.</w:t>
      </w:r>
      <w:r>
        <w:rPr>
          <w:rFonts w:hint="eastAsia" w:ascii="Times New Roman" w:hAnsi="Times New Roman"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配置子午线钢丝轮胎、胎压监测系统、360°倒车影像、行车记录仪 (内存不小于32G)</w:t>
      </w:r>
      <w:r>
        <w:rPr>
          <w:rFonts w:hint="eastAsia"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配备 350-400MHz 工作频率范围车载台</w:t>
      </w:r>
      <w:r>
        <w:rPr>
          <w:rFonts w:hint="eastAsia" w:ascii="Times New Roman" w:hAnsi="Times New Roman" w:eastAsia="方正仿宋_GBK" w:cs="Times New Roman"/>
          <w:bCs/>
          <w:color w:val="auto"/>
          <w:sz w:val="24"/>
          <w:szCs w:val="24"/>
          <w:highlight w:val="none"/>
          <w:lang w:eastAsia="zh-CN"/>
        </w:rPr>
        <w:t>，</w:t>
      </w:r>
      <w:r>
        <w:rPr>
          <w:rFonts w:hint="eastAsia" w:ascii="Times New Roman" w:hAnsi="Times New Roman" w:eastAsia="方正仿宋_GBK" w:cs="Times New Roman"/>
          <w:bCs/>
          <w:color w:val="auto"/>
          <w:sz w:val="24"/>
          <w:szCs w:val="24"/>
          <w:highlight w:val="none"/>
        </w:rPr>
        <w:t>车辆应安装单北斗卫星定位装置，可接入国家局现有北斗消防综合管理服务平台</w:t>
      </w:r>
      <w:r>
        <w:rPr>
          <w:rFonts w:ascii="Times New Roman" w:hAnsi="Times New Roman" w:eastAsia="方正仿宋_GBK"/>
          <w:color w:val="auto"/>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2.</w:t>
      </w:r>
      <w:r>
        <w:rPr>
          <w:rFonts w:hint="eastAsia" w:ascii="Times New Roman" w:hAnsi="Times New Roman" w:eastAsia="方正仿宋_GBK"/>
          <w:color w:val="auto"/>
          <w:sz w:val="24"/>
          <w:szCs w:val="24"/>
          <w:highlight w:val="none"/>
          <w:lang w:val="en-US" w:eastAsia="zh-CN"/>
        </w:rPr>
        <w:t>7</w:t>
      </w:r>
      <w:r>
        <w:rPr>
          <w:rFonts w:ascii="Times New Roman" w:hAnsi="Times New Roman" w:eastAsia="方正仿宋_GBK"/>
          <w:color w:val="auto"/>
          <w:sz w:val="24"/>
          <w:szCs w:val="24"/>
          <w:highlight w:val="none"/>
        </w:rPr>
        <w:t>制动系统：前盘后鼓式制动器，ABS（防抱死制动系统）或EBS（电控制动系统）；</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4.3.驾乘室</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3.1 座位设置：应为单排双门驾驶室，乘坐人数不小于2人，所有座椅应全部设置安全带；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3.2 驾乘室设备：除原车设备外，内部带有空调、室内 LED 灯，设有电源总开关，预留总线接口，可读取发动机转速、冷却水温等信号，配备两组 12V、两组 24V、一组 220V 电源接口，并配备 2 个 USB 接口；</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4.4液压系统</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.4.1 采用全液压单独、自动控制驱动</w:t>
      </w:r>
      <w:r>
        <w:rPr>
          <w:rFonts w:hint="eastAsia"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.4.2 系统最大压力要求可达到≥16MPa，由各部分独立组成</w:t>
      </w:r>
      <w:r>
        <w:rPr>
          <w:rFonts w:hint="eastAsia" w:ascii="Times New Roman" w:hAnsi="Times New Roman" w:eastAsia="方正仿宋_GBK"/>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4.5前置除雪铲</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仿宋" w:hAnsi="仿宋" w:eastAsia="仿宋" w:cs="仿宋"/>
          <w:color w:val="auto"/>
          <w:sz w:val="24"/>
          <w:szCs w:val="24"/>
          <w:highlight w:val="none"/>
        </w:rPr>
        <w:t>▲</w:t>
      </w:r>
      <w:r>
        <w:rPr>
          <w:rFonts w:hint="eastAsia" w:ascii="Times New Roman" w:hAnsi="Times New Roman" w:eastAsia="方正仿宋_GBK"/>
          <w:bCs/>
          <w:color w:val="auto"/>
          <w:sz w:val="24"/>
          <w:szCs w:val="24"/>
          <w:highlight w:val="none"/>
          <w:lang w:eastAsia="zh-CN"/>
        </w:rPr>
        <w:t>4</w:t>
      </w:r>
      <w:r>
        <w:rPr>
          <w:rFonts w:ascii="Times New Roman" w:hAnsi="Times New Roman" w:eastAsia="方正仿宋_GBK"/>
          <w:bCs/>
          <w:color w:val="auto"/>
          <w:sz w:val="24"/>
          <w:szCs w:val="24"/>
          <w:highlight w:val="none"/>
        </w:rPr>
        <w:t xml:space="preserve">.5.1雪铲长度≥3300mm，摆动角度≥±30º，最大避障高度≥120㎜； </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4.6融雪剂撒布机</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w:t>
      </w:r>
      <w:r>
        <w:rPr>
          <w:rFonts w:hint="eastAsia" w:ascii="Times New Roman" w:hAnsi="Times New Roman"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.1 料仓容积≥12m³；</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w:t>
      </w:r>
      <w:r>
        <w:rPr>
          <w:rFonts w:hint="eastAsia" w:ascii="Times New Roman" w:hAnsi="Times New Roman"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.2 洒布宽度≥5-12m（可调）；</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w:t>
      </w:r>
      <w:r>
        <w:rPr>
          <w:rFonts w:hint="eastAsia" w:ascii="Times New Roman" w:hAnsi="Times New Roman"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.3 撒布量≥5-320g/㎡（可调）</w:t>
      </w:r>
      <w:r>
        <w:rPr>
          <w:rFonts w:hint="eastAsia" w:ascii="Times New Roman" w:hAnsi="Times New Roman" w:eastAsia="方正仿宋_GBK"/>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7</w:t>
      </w:r>
      <w:r>
        <w:rPr>
          <w:rFonts w:hint="eastAsia" w:ascii="Times New Roman" w:hAnsi="Times New Roman" w:eastAsia="方正仿宋_GBK" w:cs="Times New Roman"/>
          <w:b/>
          <w:bCs/>
          <w:color w:val="auto"/>
          <w:sz w:val="24"/>
          <w:szCs w:val="24"/>
          <w:highlight w:val="none"/>
          <w:lang w:eastAsia="zh-CN"/>
        </w:rPr>
        <w:t>破冰机</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w:t>
      </w:r>
      <w:r>
        <w:rPr>
          <w:rFonts w:hint="eastAsia" w:ascii="Times New Roman" w:hAnsi="Times New Roman" w:eastAsia="方正仿宋_GBK"/>
          <w:color w:val="auto"/>
          <w:sz w:val="24"/>
          <w:szCs w:val="24"/>
          <w:highlight w:val="none"/>
          <w:lang w:val="en-US" w:eastAsia="zh-CN"/>
        </w:rPr>
        <w:t>7</w:t>
      </w:r>
      <w:r>
        <w:rPr>
          <w:rFonts w:ascii="Times New Roman" w:hAnsi="Times New Roman" w:eastAsia="方正仿宋_GBK"/>
          <w:color w:val="auto"/>
          <w:sz w:val="24"/>
          <w:szCs w:val="24"/>
          <w:highlight w:val="none"/>
        </w:rPr>
        <w:t>.1 清除压实雪厚度≥150mm，清除容积冰厚度≥30mm；破冰机有减震功能；</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ascii="Times New Roman" w:hAnsi="Times New Roman" w:eastAsia="方正仿宋_GBK"/>
          <w:color w:val="auto"/>
          <w:sz w:val="24"/>
          <w:szCs w:val="24"/>
          <w:highlight w:val="none"/>
        </w:rPr>
        <w:t>.</w:t>
      </w:r>
      <w:r>
        <w:rPr>
          <w:rFonts w:hint="eastAsia" w:ascii="Times New Roman" w:hAnsi="Times New Roman" w:eastAsia="方正仿宋_GBK"/>
          <w:color w:val="auto"/>
          <w:sz w:val="24"/>
          <w:szCs w:val="24"/>
          <w:highlight w:val="none"/>
          <w:lang w:val="en-US" w:eastAsia="zh-CN"/>
        </w:rPr>
        <w:t>7</w:t>
      </w:r>
      <w:r>
        <w:rPr>
          <w:rFonts w:ascii="Times New Roman" w:hAnsi="Times New Roman" w:eastAsia="方正仿宋_GBK"/>
          <w:color w:val="auto"/>
          <w:sz w:val="24"/>
          <w:szCs w:val="24"/>
          <w:highlight w:val="none"/>
        </w:rPr>
        <w:t>.2 破冰机设计有刮冰装置，可浮动、可强制下压, 对路面单纯压实雪有强制刮除功能，宽度≥2400mm</w:t>
      </w:r>
      <w:r>
        <w:rPr>
          <w:rFonts w:hint="eastAsia" w:ascii="Times New Roman" w:hAnsi="Times New Roman" w:eastAsia="方正仿宋_GBK"/>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8</w:t>
      </w:r>
      <w:r>
        <w:rPr>
          <w:rFonts w:hint="eastAsia" w:ascii="Times New Roman" w:hAnsi="Times New Roman" w:eastAsia="方正仿宋_GBK" w:cs="Times New Roman"/>
          <w:b/>
          <w:bCs/>
          <w:color w:val="auto"/>
          <w:sz w:val="24"/>
          <w:szCs w:val="24"/>
          <w:highlight w:val="none"/>
          <w:lang w:eastAsia="zh-CN"/>
        </w:rPr>
        <w:t>后滚刷清扫系统</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8</w:t>
      </w:r>
      <w:r>
        <w:rPr>
          <w:rFonts w:hint="eastAsia"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1总长度≥2400mm 直径≥500mm；</w:t>
      </w:r>
    </w:p>
    <w:p>
      <w:pPr>
        <w:keepNext w:val="0"/>
        <w:keepLines w:val="0"/>
        <w:pageBreakBefore w:val="0"/>
        <w:widowControl w:val="0"/>
        <w:kinsoku/>
        <w:wordWrap/>
        <w:overflowPunct/>
        <w:topLinePunct w:val="0"/>
        <w:autoSpaceDE/>
        <w:autoSpaceDN/>
        <w:bidi w:val="0"/>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8.</w:t>
      </w:r>
      <w:r>
        <w:rPr>
          <w:rFonts w:ascii="Times New Roman" w:hAnsi="Times New Roman" w:eastAsia="方正仿宋_GBK"/>
          <w:color w:val="auto"/>
          <w:sz w:val="24"/>
          <w:szCs w:val="24"/>
          <w:highlight w:val="none"/>
        </w:rPr>
        <w:t>2 加装滚刷对地压力感知器，自动调节滚刷对地压力</w:t>
      </w:r>
      <w:r>
        <w:rPr>
          <w:rFonts w:hint="eastAsia" w:ascii="Times New Roman" w:hAnsi="Times New Roman" w:eastAsia="方正仿宋_GBK"/>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imes New Roman" w:hAnsi="Times New Roman" w:eastAsia="方正仿宋_GBK"/>
          <w:bCs/>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Times New Roman" w:hAnsi="Times New Roman" w:eastAsia="方正仿宋_GBK"/>
          <w:bCs/>
          <w:color w:val="auto"/>
          <w:sz w:val="24"/>
          <w:szCs w:val="24"/>
          <w:highlight w:val="none"/>
          <w:lang w:eastAsia="zh-CN"/>
        </w:rPr>
        <w:t>4.</w:t>
      </w:r>
      <w:r>
        <w:rPr>
          <w:rFonts w:hint="eastAsia" w:ascii="Times New Roman" w:hAnsi="Times New Roman" w:eastAsia="方正仿宋_GBK"/>
          <w:bCs/>
          <w:color w:val="auto"/>
          <w:sz w:val="24"/>
          <w:szCs w:val="24"/>
          <w:highlight w:val="none"/>
          <w:lang w:val="en-US" w:eastAsia="zh-CN"/>
        </w:rPr>
        <w:t>8</w:t>
      </w:r>
      <w:r>
        <w:rPr>
          <w:rFonts w:hint="eastAsia" w:ascii="Times New Roman" w:hAnsi="Times New Roman" w:eastAsia="方正仿宋_GBK"/>
          <w:bCs/>
          <w:color w:val="auto"/>
          <w:sz w:val="24"/>
          <w:szCs w:val="24"/>
          <w:highlight w:val="none"/>
          <w:lang w:eastAsia="zh-CN"/>
        </w:rPr>
        <w:t>.</w:t>
      </w:r>
      <w:r>
        <w:rPr>
          <w:rFonts w:ascii="Times New Roman" w:hAnsi="Times New Roman" w:eastAsia="方正仿宋_GBK"/>
          <w:bCs/>
          <w:color w:val="auto"/>
          <w:sz w:val="24"/>
          <w:szCs w:val="24"/>
          <w:highlight w:val="none"/>
        </w:rPr>
        <w:t>3后置吹雪机：吹雪机最大风压≥3500Pa，吹雪风速≥24m/s，出风口角度及离地高度可调节</w:t>
      </w:r>
      <w:r>
        <w:rPr>
          <w:rFonts w:hint="eastAsia" w:ascii="Times New Roman" w:hAnsi="Times New Roman" w:eastAsia="方正仿宋_GBK"/>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9</w:t>
      </w:r>
      <w:r>
        <w:rPr>
          <w:rFonts w:hint="eastAsia" w:ascii="Times New Roman" w:hAnsi="Times New Roman" w:eastAsia="方正仿宋_GBK" w:cs="Times New Roman"/>
          <w:b/>
          <w:bCs/>
          <w:color w:val="auto"/>
          <w:sz w:val="24"/>
          <w:szCs w:val="24"/>
          <w:highlight w:val="none"/>
          <w:lang w:eastAsia="zh-CN"/>
        </w:rPr>
        <w:t>总体要求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imes New Roman" w:hAnsi="Times New Roman" w:eastAsia="方正仿宋_GBK"/>
          <w:bCs/>
          <w:color w:val="auto"/>
          <w:sz w:val="24"/>
          <w:szCs w:val="24"/>
          <w:highlight w:val="none"/>
        </w:rPr>
      </w:pPr>
      <w:r>
        <w:rPr>
          <w:rFonts w:hint="eastAsia" w:ascii="Times New Roman" w:hAnsi="Times New Roman" w:eastAsia="方正仿宋_GBK"/>
          <w:bCs/>
          <w:color w:val="auto"/>
          <w:sz w:val="24"/>
          <w:szCs w:val="24"/>
          <w:highlight w:val="none"/>
          <w:lang w:eastAsia="zh-CN"/>
        </w:rPr>
        <w:t>4.</w:t>
      </w:r>
      <w:r>
        <w:rPr>
          <w:rFonts w:hint="eastAsia" w:ascii="Times New Roman" w:hAnsi="Times New Roman" w:eastAsia="方正仿宋_GBK"/>
          <w:bCs/>
          <w:color w:val="auto"/>
          <w:sz w:val="24"/>
          <w:szCs w:val="24"/>
          <w:highlight w:val="none"/>
          <w:lang w:val="en-US" w:eastAsia="zh-CN"/>
        </w:rPr>
        <w:t>9</w:t>
      </w:r>
      <w:r>
        <w:rPr>
          <w:rFonts w:ascii="Times New Roman" w:hAnsi="Times New Roman" w:eastAsia="方正仿宋_GBK"/>
          <w:bCs/>
          <w:color w:val="auto"/>
          <w:sz w:val="24"/>
          <w:szCs w:val="24"/>
          <w:highlight w:val="none"/>
        </w:rPr>
        <w:t>.1整车符合</w:t>
      </w:r>
      <w:r>
        <w:rPr>
          <w:rFonts w:hint="eastAsia" w:ascii="Times New Roman" w:hAnsi="Times New Roman" w:eastAsia="方正仿宋_GBK"/>
          <w:bCs/>
          <w:color w:val="auto"/>
          <w:sz w:val="24"/>
          <w:szCs w:val="24"/>
          <w:highlight w:val="none"/>
        </w:rPr>
        <w:t>GB/T 25977-2022</w:t>
      </w:r>
      <w:r>
        <w:rPr>
          <w:rFonts w:ascii="Times New Roman" w:hAnsi="Times New Roman" w:eastAsia="方正仿宋_GBK"/>
          <w:bCs/>
          <w:color w:val="auto"/>
          <w:sz w:val="24"/>
          <w:szCs w:val="24"/>
          <w:highlight w:val="none"/>
        </w:rPr>
        <w:t>《除雪车》标准要求；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9</w:t>
      </w:r>
      <w:r>
        <w:rPr>
          <w:rFonts w:ascii="Times New Roman" w:hAnsi="Times New Roman" w:eastAsia="方正仿宋_GBK"/>
          <w:color w:val="auto"/>
          <w:sz w:val="24"/>
          <w:szCs w:val="24"/>
          <w:highlight w:val="none"/>
        </w:rPr>
        <w:t>.2车身颜色符合GB/T3181</w:t>
      </w:r>
      <w:r>
        <w:rPr>
          <w:rFonts w:ascii="Times New Roman" w:hAnsi="Times New Roman" w:eastAsia="方正仿宋_GBK"/>
          <w:bCs/>
          <w:color w:val="auto"/>
          <w:sz w:val="24"/>
          <w:szCs w:val="24"/>
          <w:highlight w:val="none"/>
        </w:rPr>
        <w:t>-2008</w:t>
      </w:r>
      <w:r>
        <w:rPr>
          <w:rFonts w:ascii="Times New Roman" w:hAnsi="Times New Roman" w:eastAsia="方正仿宋_GBK"/>
          <w:color w:val="auto"/>
          <w:sz w:val="24"/>
          <w:szCs w:val="24"/>
          <w:highlight w:val="none"/>
        </w:rPr>
        <w:t>《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9</w:t>
      </w:r>
      <w:r>
        <w:rPr>
          <w:rFonts w:ascii="Times New Roman" w:hAnsi="Times New Roman" w:eastAsia="方正仿宋_GBK"/>
          <w:color w:val="auto"/>
          <w:sz w:val="24"/>
          <w:szCs w:val="24"/>
          <w:highlight w:val="none"/>
        </w:rPr>
        <w:t>.3</w:t>
      </w:r>
      <w:r>
        <w:rPr>
          <w:rFonts w:hint="eastAsia" w:ascii="Times New Roman" w:hAnsi="Times New Roman" w:eastAsia="方正仿宋_GBK"/>
          <w:color w:val="auto"/>
          <w:sz w:val="24"/>
          <w:szCs w:val="24"/>
          <w:highlight w:val="none"/>
        </w:rPr>
        <w:t>在确保不影响车辆安全行驶的前提下，根据使用单位需求，对外置车灯、灯具加装防护罩</w:t>
      </w:r>
      <w:r>
        <w:rPr>
          <w:rFonts w:ascii="Times New Roman" w:hAnsi="Times New Roman" w:eastAsia="方正仿宋_GBK"/>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9</w:t>
      </w:r>
      <w:r>
        <w:rPr>
          <w:rFonts w:ascii="Times New Roman" w:hAnsi="Times New Roman" w:eastAsia="方正仿宋_GBK"/>
          <w:color w:val="auto"/>
          <w:sz w:val="24"/>
          <w:szCs w:val="24"/>
          <w:highlight w:val="none"/>
        </w:rPr>
        <w:t>.4防腐保护：驾驶室及上装均采用内涂层等进行防腐处理；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9</w:t>
      </w:r>
      <w:r>
        <w:rPr>
          <w:rFonts w:ascii="Times New Roman" w:hAnsi="Times New Roman" w:eastAsia="方正仿宋_GBK"/>
          <w:color w:val="auto"/>
          <w:sz w:val="24"/>
          <w:szCs w:val="24"/>
          <w:highlight w:val="none"/>
        </w:rPr>
        <w:t>.5警示灯具：驾乘室顶部安装消防专用灯具，驾乘室内设置警报器和扩音系统(功率≥200W)，在驾乘室可控制扩音器</w:t>
      </w:r>
      <w:r>
        <w:rPr>
          <w:rFonts w:hint="eastAsia" w:ascii="Times New Roman" w:hAnsi="Times New Roman" w:eastAsia="方正仿宋_GBK"/>
          <w:color w:val="auto"/>
          <w:sz w:val="24"/>
          <w:szCs w:val="24"/>
          <w:highlight w:val="none"/>
          <w:lang w:val="en-US" w:eastAsia="zh-CN"/>
        </w:rPr>
        <w:t>；</w:t>
      </w:r>
      <w:r>
        <w:rPr>
          <w:rFonts w:ascii="Times New Roman" w:hAnsi="Times New Roman" w:eastAsia="方正仿宋_GBK"/>
          <w:color w:val="auto"/>
          <w:sz w:val="24"/>
          <w:szCs w:val="24"/>
          <w:highlight w:val="none"/>
        </w:rPr>
        <w:t xml:space="preserve">在车厢两侧、尾部等并联安装红色爆闪灯，警灯、警报器各自采用独立控制开关，车辆顶端四周安装 LED 灯带； </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cs="Times New Roman"/>
          <w:b/>
          <w:bCs/>
          <w:color w:val="auto"/>
          <w:sz w:val="24"/>
          <w:szCs w:val="24"/>
          <w:highlight w:val="none"/>
          <w:lang w:eastAsia="zh-CN"/>
        </w:rPr>
      </w:pPr>
      <w:r>
        <w:rPr>
          <w:rFonts w:hint="eastAsia" w:ascii="Times New Roman" w:hAnsi="Times New Roman" w:eastAsia="方正仿宋_GBK" w:cs="Times New Roman"/>
          <w:b/>
          <w:bCs/>
          <w:color w:val="auto"/>
          <w:sz w:val="24"/>
          <w:szCs w:val="24"/>
          <w:highlight w:val="none"/>
          <w:lang w:eastAsia="zh-CN"/>
        </w:rPr>
        <w:t>4.</w:t>
      </w:r>
      <w:r>
        <w:rPr>
          <w:rFonts w:hint="eastAsia" w:ascii="Times New Roman" w:hAnsi="Times New Roman" w:eastAsia="方正仿宋_GBK" w:cs="Times New Roman"/>
          <w:b/>
          <w:bCs/>
          <w:color w:val="auto"/>
          <w:sz w:val="24"/>
          <w:szCs w:val="24"/>
          <w:highlight w:val="none"/>
          <w:lang w:val="en-US" w:eastAsia="zh-CN"/>
        </w:rPr>
        <w:t>10</w:t>
      </w:r>
      <w:r>
        <w:rPr>
          <w:rFonts w:hint="eastAsia" w:ascii="Times New Roman" w:hAnsi="Times New Roman" w:eastAsia="方正仿宋_GBK" w:cs="Times New Roman"/>
          <w:b/>
          <w:bCs/>
          <w:color w:val="auto"/>
          <w:sz w:val="24"/>
          <w:szCs w:val="24"/>
          <w:highlight w:val="none"/>
          <w:lang w:eastAsia="zh-CN"/>
        </w:rPr>
        <w:t>其他要求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10</w:t>
      </w:r>
      <w:r>
        <w:rPr>
          <w:rFonts w:ascii="Times New Roman" w:hAnsi="Times New Roman" w:eastAsia="方正仿宋_GBK"/>
          <w:color w:val="auto"/>
          <w:sz w:val="24"/>
          <w:szCs w:val="24"/>
          <w:highlight w:val="none"/>
        </w:rPr>
        <w:t>.1整车按国家标准配齐随车设备，设备布置合理，固定牢靠；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10</w:t>
      </w:r>
      <w:r>
        <w:rPr>
          <w:rFonts w:ascii="Times New Roman" w:hAnsi="Times New Roman" w:eastAsia="方正仿宋_GBK"/>
          <w:color w:val="auto"/>
          <w:sz w:val="24"/>
          <w:szCs w:val="24"/>
          <w:highlight w:val="none"/>
        </w:rPr>
        <w:t>.2供货前，须主动对接</w:t>
      </w:r>
      <w:r>
        <w:rPr>
          <w:rFonts w:hint="eastAsia" w:ascii="Times New Roman" w:hAnsi="Times New Roman" w:eastAsia="方正仿宋_GBK"/>
          <w:color w:val="auto"/>
          <w:sz w:val="24"/>
          <w:szCs w:val="24"/>
          <w:highlight w:val="none"/>
          <w:lang w:val="en-US" w:eastAsia="zh-CN"/>
        </w:rPr>
        <w:t>使用单位</w:t>
      </w:r>
      <w:r>
        <w:rPr>
          <w:rFonts w:ascii="Times New Roman" w:hAnsi="Times New Roman" w:eastAsia="方正仿宋_GBK"/>
          <w:color w:val="auto"/>
          <w:sz w:val="24"/>
          <w:szCs w:val="24"/>
          <w:highlight w:val="none"/>
        </w:rPr>
        <w:t>，满足</w:t>
      </w:r>
      <w:r>
        <w:rPr>
          <w:rFonts w:hint="eastAsia" w:ascii="Times New Roman" w:hAnsi="Times New Roman" w:eastAsia="方正仿宋_GBK"/>
          <w:color w:val="auto"/>
          <w:sz w:val="24"/>
          <w:szCs w:val="24"/>
          <w:highlight w:val="none"/>
          <w:lang w:val="en-US" w:eastAsia="zh-CN"/>
        </w:rPr>
        <w:t>使用单位</w:t>
      </w:r>
      <w:r>
        <w:rPr>
          <w:rFonts w:ascii="Times New Roman" w:hAnsi="Times New Roman" w:eastAsia="方正仿宋_GBK"/>
          <w:color w:val="auto"/>
          <w:sz w:val="24"/>
          <w:szCs w:val="24"/>
          <w:highlight w:val="none"/>
        </w:rPr>
        <w:t>需求；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10</w:t>
      </w:r>
      <w:r>
        <w:rPr>
          <w:rFonts w:ascii="Times New Roman" w:hAnsi="Times New Roman" w:eastAsia="方正仿宋_GBK"/>
          <w:color w:val="auto"/>
          <w:sz w:val="24"/>
          <w:szCs w:val="24"/>
          <w:highlight w:val="none"/>
        </w:rPr>
        <w:t>.3交付采购人时，燃油、尿素、融雪剂等添加液处于满液状态；</w:t>
      </w:r>
    </w:p>
    <w:p>
      <w:pPr>
        <w:pageBreakBefore w:val="0"/>
        <w:kinsoku/>
        <w:wordWrap/>
        <w:overflowPunct/>
        <w:topLinePunct w:val="0"/>
        <w:bidi w:val="0"/>
        <w:adjustRightInd w:val="0"/>
        <w:snapToGrid w:val="0"/>
        <w:spacing w:line="460" w:lineRule="exact"/>
        <w:ind w:left="1199" w:leftChars="228" w:hanging="720" w:hangingChars="300"/>
        <w:jc w:val="left"/>
        <w:outlineLvl w:val="9"/>
        <w:rPr>
          <w:rFonts w:hint="eastAsia" w:ascii="Times New Roman" w:hAnsi="Times New Roman" w:eastAsia="方正仿宋_GBK"/>
          <w:color w:val="auto"/>
          <w:sz w:val="24"/>
          <w:szCs w:val="24"/>
          <w:highlight w:val="none"/>
          <w:lang w:val="en-US" w:eastAsia="zh-CN"/>
        </w:rPr>
      </w:pPr>
      <w:r>
        <w:rPr>
          <w:rFonts w:hint="eastAsia" w:ascii="Times New Roman" w:hAnsi="Times New Roman" w:eastAsia="方正仿宋_GBK"/>
          <w:color w:val="auto"/>
          <w:sz w:val="24"/>
          <w:szCs w:val="24"/>
          <w:highlight w:val="none"/>
          <w:lang w:eastAsia="zh-CN"/>
        </w:rPr>
        <w:t>4.</w:t>
      </w:r>
      <w:r>
        <w:rPr>
          <w:rFonts w:hint="eastAsia" w:ascii="Times New Roman" w:hAnsi="Times New Roman" w:eastAsia="方正仿宋_GBK"/>
          <w:color w:val="auto"/>
          <w:sz w:val="24"/>
          <w:szCs w:val="24"/>
          <w:highlight w:val="none"/>
          <w:lang w:val="en-US" w:eastAsia="zh-CN"/>
        </w:rPr>
        <w:t>10</w:t>
      </w:r>
      <w:r>
        <w:rPr>
          <w:rFonts w:ascii="Times New Roman" w:hAnsi="Times New Roman" w:eastAsia="方正仿宋_GBK"/>
          <w:color w:val="auto"/>
          <w:sz w:val="24"/>
          <w:szCs w:val="24"/>
          <w:highlight w:val="none"/>
        </w:rPr>
        <w:t>.4首次保养（含材料、人工、差旅等）免费</w:t>
      </w:r>
      <w:r>
        <w:rPr>
          <w:rFonts w:hint="eastAsia" w:ascii="Times New Roman" w:hAnsi="Times New Roman" w:eastAsia="方正仿宋_GBK"/>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4.10.5配备防滑链，防滑链数量与轮胎数量相匹配。</w:t>
      </w:r>
    </w:p>
    <w:p>
      <w:pPr>
        <w:adjustRightInd/>
        <w:snapToGrid/>
        <w:spacing w:line="240" w:lineRule="auto"/>
        <w:jc w:val="left"/>
        <w:outlineLvl w:val="9"/>
        <w:rPr>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51" w:name="_Toc15721"/>
      <w:r>
        <w:rPr>
          <w:rFonts w:hint="eastAsia" w:ascii="仿宋" w:hAnsi="仿宋" w:eastAsia="仿宋" w:cs="仿宋"/>
          <w:color w:val="auto"/>
          <w:sz w:val="28"/>
          <w:szCs w:val="28"/>
          <w:highlight w:val="none"/>
        </w:rPr>
        <w:t>品目</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w:t>
      </w:r>
      <w:bookmarkEnd w:id="351"/>
      <w:r>
        <w:rPr>
          <w:rFonts w:hint="eastAsia" w:ascii="仿宋" w:hAnsi="仿宋" w:eastAsia="仿宋" w:cs="仿宋"/>
          <w:color w:val="auto"/>
          <w:sz w:val="28"/>
          <w:szCs w:val="28"/>
          <w:highlight w:val="none"/>
          <w:lang w:val="en-US" w:eastAsia="zh-CN"/>
        </w:rPr>
        <w:t>举高破拆消防车</w:t>
      </w:r>
    </w:p>
    <w:p>
      <w:pPr>
        <w:adjustRightInd w:val="0"/>
        <w:snapToGrid w:val="0"/>
        <w:spacing w:line="480" w:lineRule="exact"/>
        <w:rPr>
          <w:rFonts w:hint="eastAsia" w:ascii="Times New Roman" w:hAnsi="Times New Roman" w:eastAsia="方正仿宋_GBK"/>
          <w:color w:val="auto"/>
          <w:sz w:val="24"/>
          <w:szCs w:val="24"/>
          <w:highlight w:val="none"/>
          <w:lang w:val="en-US" w:eastAsia="zh-CN"/>
        </w:rPr>
      </w:pPr>
      <w:r>
        <w:rPr>
          <w:rFonts w:ascii="Times New Roman" w:hAnsi="Times New Roman" w:eastAsia="方正仿宋_GBK"/>
          <w:color w:val="auto"/>
          <w:sz w:val="24"/>
          <w:szCs w:val="24"/>
          <w:highlight w:val="none"/>
        </w:rPr>
        <w:t>一、货物名称：</w:t>
      </w:r>
      <w:r>
        <w:rPr>
          <w:rFonts w:hint="eastAsia" w:ascii="Times New Roman" w:hAnsi="Times New Roman" w:eastAsia="方正仿宋_GBK" w:cs="Times New Roman"/>
          <w:color w:val="auto"/>
          <w:sz w:val="24"/>
          <w:szCs w:val="24"/>
          <w:highlight w:val="none"/>
          <w:lang w:val="en-US" w:eastAsia="zh-CN"/>
        </w:rPr>
        <w:t>举高破拆消防车</w:t>
      </w:r>
    </w:p>
    <w:p>
      <w:pPr>
        <w:adjustRightInd w:val="0"/>
        <w:snapToGrid w:val="0"/>
        <w:spacing w:line="48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二、主要规格：国际知名品牌底盘，工作高度≥18m</w:t>
      </w:r>
    </w:p>
    <w:p>
      <w:pPr>
        <w:adjustRightInd w:val="0"/>
        <w:snapToGrid w:val="0"/>
        <w:spacing w:line="480" w:lineRule="exact"/>
        <w:rPr>
          <w:rFonts w:hint="default" w:ascii="Times New Roman" w:hAnsi="Times New Roman" w:eastAsia="方正仿宋_GBK"/>
          <w:color w:val="auto"/>
          <w:sz w:val="24"/>
          <w:szCs w:val="24"/>
          <w:highlight w:val="none"/>
          <w:lang w:val="en-US" w:eastAsia="zh-CN"/>
        </w:rPr>
      </w:pPr>
      <w:r>
        <w:rPr>
          <w:rFonts w:ascii="Times New Roman" w:hAnsi="Times New Roman" w:eastAsia="方正仿宋_GBK"/>
          <w:color w:val="auto"/>
          <w:sz w:val="24"/>
          <w:szCs w:val="24"/>
          <w:highlight w:val="none"/>
        </w:rPr>
        <w:t>三、数量：</w:t>
      </w:r>
      <w:r>
        <w:rPr>
          <w:rFonts w:hint="eastAsia" w:ascii="Times New Roman" w:hAnsi="Times New Roman" w:eastAsia="方正仿宋_GBK"/>
          <w:color w:val="auto"/>
          <w:sz w:val="24"/>
          <w:szCs w:val="24"/>
          <w:highlight w:val="none"/>
          <w:lang w:val="en-US" w:eastAsia="zh-CN"/>
        </w:rPr>
        <w:t>1(辆)</w:t>
      </w:r>
    </w:p>
    <w:p>
      <w:pPr>
        <w:adjustRightInd w:val="0"/>
        <w:snapToGrid w:val="0"/>
        <w:spacing w:line="48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四、主要技术参数及要求：</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b/>
          <w:bCs/>
          <w:color w:val="auto"/>
          <w:sz w:val="24"/>
          <w:szCs w:val="24"/>
          <w:highlight w:val="none"/>
        </w:rPr>
      </w:pPr>
      <w:r>
        <w:rPr>
          <w:rFonts w:ascii="Times New Roman" w:hAnsi="Times New Roman" w:eastAsia="方正仿宋_GBK"/>
          <w:b/>
          <w:bCs/>
          <w:color w:val="auto"/>
          <w:sz w:val="24"/>
          <w:szCs w:val="24"/>
          <w:highlight w:val="none"/>
        </w:rPr>
        <w:t>4.1整车尺寸</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Times New Roman" w:hAnsi="Times New Roman" w:eastAsia="方正仿宋_GBK"/>
          <w:color w:val="auto"/>
          <w:sz w:val="24"/>
          <w:szCs w:val="24"/>
          <w:highlight w:val="none"/>
          <w:lang w:val="en-US" w:eastAsia="zh-CN"/>
        </w:rPr>
      </w:pPr>
      <w:r>
        <w:rPr>
          <w:rFonts w:hint="eastAsia" w:ascii="Times New Roman" w:hAnsi="Times New Roman" w:eastAsia="方正仿宋_GBK"/>
          <w:bCs/>
          <w:color w:val="auto"/>
          <w:sz w:val="24"/>
          <w:szCs w:val="24"/>
          <w:highlight w:val="none"/>
          <w:lang w:val="en-US" w:eastAsia="zh-CN"/>
        </w:rPr>
        <w:t>4.1.1</w:t>
      </w:r>
      <w:r>
        <w:rPr>
          <w:rFonts w:ascii="Times New Roman" w:hAnsi="Times New Roman" w:eastAsia="方正仿宋_GBK"/>
          <w:bCs/>
          <w:color w:val="auto"/>
          <w:sz w:val="24"/>
          <w:szCs w:val="24"/>
          <w:highlight w:val="none"/>
        </w:rPr>
        <w:t>长×宽×高</w:t>
      </w:r>
      <w:r>
        <w:rPr>
          <w:rFonts w:ascii="Times New Roman" w:hAnsi="Times New Roman" w:eastAsia="方正仿宋_GBK"/>
          <w:color w:val="auto"/>
          <w:sz w:val="24"/>
          <w:szCs w:val="24"/>
          <w:highlight w:val="none"/>
        </w:rPr>
        <w:t>≤12500×2550×4000（mm）；</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4.2.1发动机功率：≥330kw；</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4.2.2驱动：6×4或</w:t>
      </w:r>
      <w:r>
        <w:rPr>
          <w:rFonts w:hint="eastAsia" w:ascii="Times New Roman" w:hAnsi="Times New Roman" w:eastAsia="方正仿宋_GBK"/>
          <w:color w:val="auto"/>
          <w:sz w:val="24"/>
          <w:szCs w:val="24"/>
          <w:highlight w:val="none"/>
          <w:lang w:val="en-US" w:eastAsia="zh-CN"/>
        </w:rPr>
        <w:t>8</w:t>
      </w:r>
      <w:r>
        <w:rPr>
          <w:rFonts w:ascii="Times New Roman" w:hAnsi="Times New Roman" w:eastAsia="方正仿宋_GBK"/>
          <w:color w:val="auto"/>
          <w:sz w:val="24"/>
          <w:szCs w:val="24"/>
          <w:highlight w:val="none"/>
        </w:rPr>
        <w:t>×4；</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bCs/>
          <w:color w:val="auto"/>
          <w:sz w:val="24"/>
          <w:szCs w:val="24"/>
          <w:highlight w:val="none"/>
        </w:rPr>
      </w:pPr>
      <w:r>
        <w:rPr>
          <w:rFonts w:ascii="Times New Roman" w:hAnsi="Times New Roman" w:eastAsia="方正仿宋_GBK"/>
          <w:color w:val="auto"/>
          <w:sz w:val="24"/>
          <w:szCs w:val="24"/>
          <w:highlight w:val="none"/>
        </w:rPr>
        <w:t>4.2.3燃料：柴油；</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4.2.4尾气排放：符合</w:t>
      </w:r>
      <w:r>
        <w:rPr>
          <w:rFonts w:ascii="Times New Roman" w:hAnsi="Times New Roman" w:eastAsia="方正仿宋_GBK" w:cs="Times New Roman"/>
          <w:color w:val="auto"/>
          <w:sz w:val="24"/>
          <w:szCs w:val="24"/>
          <w:highlight w:val="none"/>
        </w:rPr>
        <w:t>国Ⅵ标准；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4.2.5最高车速：≥85km/h；</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4.2.6配置子午线钢丝轮胎、胎压监测系统、360°倒车影像、行车记录仪(内存不小于32G),配备350-400MHz工作频率范围车载台</w:t>
      </w:r>
      <w:r>
        <w:rPr>
          <w:rFonts w:hint="eastAsia" w:ascii="Times New Roman" w:hAnsi="Times New Roman" w:eastAsia="方正仿宋_GBK"/>
          <w:color w:val="auto"/>
          <w:sz w:val="24"/>
          <w:szCs w:val="24"/>
          <w:highlight w:val="none"/>
          <w:lang w:eastAsia="zh-CN"/>
        </w:rPr>
        <w:t>，</w:t>
      </w:r>
      <w:r>
        <w:rPr>
          <w:rFonts w:hint="eastAsia" w:ascii="Times New Roman" w:hAnsi="Times New Roman" w:eastAsia="方正仿宋_GBK" w:cs="Times New Roman"/>
          <w:bCs/>
          <w:color w:val="auto"/>
          <w:sz w:val="24"/>
          <w:szCs w:val="24"/>
          <w:highlight w:val="none"/>
        </w:rPr>
        <w:t>车辆应安装单北斗卫星定位装置，可接入国家局现有北斗消防综合管理服务平台</w:t>
      </w:r>
      <w:r>
        <w:rPr>
          <w:rFonts w:ascii="Times New Roman" w:hAnsi="Times New Roman" w:eastAsia="方正仿宋_GBK"/>
          <w:color w:val="auto"/>
          <w:sz w:val="24"/>
          <w:szCs w:val="24"/>
          <w:highlight w:val="none"/>
        </w:rPr>
        <w:t>，带倒车告警蜂鸣器、倒车摄像头和驾驶室内监视器，监视器屏幕≥10</w:t>
      </w:r>
      <w:r>
        <w:rPr>
          <w:rFonts w:hint="eastAsia" w:ascii="Times New Roman" w:hAnsi="Times New Roman" w:eastAsia="方正仿宋_GBK"/>
          <w:color w:val="auto"/>
          <w:sz w:val="24"/>
          <w:szCs w:val="24"/>
          <w:highlight w:val="none"/>
          <w:lang w:eastAsia="zh-CN"/>
        </w:rPr>
        <w:t>英</w:t>
      </w:r>
      <w:r>
        <w:rPr>
          <w:rFonts w:ascii="Times New Roman" w:hAnsi="Times New Roman" w:eastAsia="方正仿宋_GBK"/>
          <w:color w:val="auto"/>
          <w:sz w:val="24"/>
          <w:szCs w:val="24"/>
          <w:highlight w:val="none"/>
        </w:rPr>
        <w:t>寸；</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4.2.7制动系统：前轮盘式制动器，ABS（防抱死制动系统）或EBS（电控制动系统）；</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4.2.8比功率：≥9KW/T；</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4.3驾驶室</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4.3.1结构：单排，全钢冲压件焊接结构，安装适应倾翻驾驶室的油缸液压翻转机构，可向前翻转，翻转角度≥45°，装有防回落安全装置；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4.3.2座位设置：乘员≥2人，消防车座椅应全部设置安全带；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4.3.3驾驶室设备：除原车设备外，加装取力器控制开关，警报器、警灯开关,设置冷暖空调，车载多媒体显示屏≥10英寸、车载带USB接口，预留电台电源线桩头、电源接口（220V、12V、24V）等；</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4.4主要性能及配置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4.4.1臂架</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4.4.1.1最大作业高度：≥18m；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4.4.1.2最大作业幅度：≥1</w:t>
      </w:r>
      <w:r>
        <w:rPr>
          <w:rFonts w:hint="default" w:ascii="Times New Roman" w:hAnsi="Times New Roman" w:eastAsia="方正仿宋_GBK"/>
          <w:color w:val="auto"/>
          <w:sz w:val="24"/>
          <w:szCs w:val="24"/>
          <w:highlight w:val="none"/>
          <w:lang w:val="en-US" w:eastAsia="zh-CN"/>
        </w:rPr>
        <w:t>4</w:t>
      </w:r>
      <w:r>
        <w:rPr>
          <w:rFonts w:ascii="Times New Roman" w:hAnsi="Times New Roman" w:eastAsia="方正仿宋_GBK"/>
          <w:color w:val="auto"/>
          <w:sz w:val="24"/>
          <w:szCs w:val="24"/>
          <w:highlight w:val="none"/>
        </w:rPr>
        <w:t>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4.4.1.3臂架操作方式：尾部操作面板近控、手动多路阀操作,标配50米有线遥控及150米无线遥控，可控制消防炮和臂架所有动作，有线/无线可任意切换；臂架末端配备高清摄像装置，车尾部操作面板及遥控器配备高清显示屏；</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4.4.2支腿</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4.4.2.1型式：XH型（前后伸缩）；</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4.4.2.2最大展开横向跨距：≤</w:t>
      </w:r>
      <w:r>
        <w:rPr>
          <w:rFonts w:hint="eastAsia" w:eastAsia="方正仿宋_GBK"/>
          <w:color w:val="auto"/>
          <w:sz w:val="24"/>
          <w:szCs w:val="24"/>
          <w:highlight w:val="none"/>
          <w:lang w:val="en-US" w:eastAsia="zh-CN"/>
        </w:rPr>
        <w:t>11</w:t>
      </w:r>
      <w:r>
        <w:rPr>
          <w:rFonts w:ascii="Times New Roman" w:hAnsi="Times New Roman" w:eastAsia="方正仿宋_GBK"/>
          <w:color w:val="auto"/>
          <w:sz w:val="24"/>
          <w:szCs w:val="24"/>
          <w:highlight w:val="none"/>
        </w:rPr>
        <w:t>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4.4.2.3作业支撑：自动展开调平和自动收拢，应急状态可以手动操作；</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default" w:ascii="Times New Roman" w:hAnsi="Times New Roman" w:eastAsia="方正仿宋_GBK"/>
          <w:color w:val="auto"/>
          <w:sz w:val="24"/>
          <w:szCs w:val="24"/>
          <w:highlight w:val="none"/>
          <w:lang w:val="en-US" w:eastAsia="zh-CN"/>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4.4.3破拆工具</w:t>
      </w:r>
      <w:r>
        <w:rPr>
          <w:rFonts w:hint="eastAsia" w:ascii="Times New Roman" w:hAnsi="Times New Roman" w:eastAsia="方正仿宋_GBK"/>
          <w:color w:val="auto"/>
          <w:sz w:val="24"/>
          <w:szCs w:val="24"/>
          <w:highlight w:val="none"/>
          <w:lang w:eastAsia="zh-CN"/>
        </w:rPr>
        <w:t>：</w:t>
      </w:r>
      <w:r>
        <w:rPr>
          <w:rFonts w:hint="eastAsia" w:ascii="Times New Roman" w:hAnsi="Times New Roman" w:eastAsia="方正仿宋_GBK"/>
          <w:color w:val="auto"/>
          <w:sz w:val="24"/>
          <w:szCs w:val="24"/>
          <w:highlight w:val="none"/>
          <w:lang w:val="en-US" w:eastAsia="zh-CN"/>
        </w:rPr>
        <w:t>具备</w:t>
      </w:r>
      <w:r>
        <w:rPr>
          <w:rFonts w:ascii="Times New Roman" w:hAnsi="Times New Roman" w:eastAsia="方正仿宋_GBK"/>
          <w:color w:val="auto"/>
          <w:sz w:val="24"/>
          <w:szCs w:val="24"/>
          <w:highlight w:val="none"/>
        </w:rPr>
        <w:t>锤</w:t>
      </w:r>
      <w:r>
        <w:rPr>
          <w:rFonts w:hint="eastAsia"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抓</w:t>
      </w:r>
      <w:r>
        <w:rPr>
          <w:rFonts w:hint="eastAsia" w:ascii="Times New Roman" w:hAnsi="Times New Roman" w:eastAsia="方正仿宋_GBK"/>
          <w:color w:val="auto"/>
          <w:sz w:val="24"/>
          <w:szCs w:val="24"/>
          <w:highlight w:val="none"/>
          <w:lang w:val="en-US" w:eastAsia="zh-CN"/>
        </w:rPr>
        <w:t>等破拆功能；</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4.4.3.1液压锤冲击功：≥1200J；</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4.4.3.2液压抓开口宽度：≥1m；</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eastAsia" w:ascii="仿宋" w:hAnsi="仿宋" w:eastAsia="仿宋" w:cs="仿宋"/>
          <w:color w:val="auto"/>
          <w:sz w:val="24"/>
          <w:szCs w:val="24"/>
          <w:highlight w:val="none"/>
        </w:rPr>
        <w:t>▲</w:t>
      </w:r>
      <w:r>
        <w:rPr>
          <w:rFonts w:ascii="Times New Roman" w:hAnsi="Times New Roman" w:eastAsia="方正仿宋_GBK"/>
          <w:color w:val="auto"/>
          <w:sz w:val="24"/>
          <w:szCs w:val="24"/>
          <w:highlight w:val="none"/>
        </w:rPr>
        <w:t>4.4.3.3液压抓最大抓取重量：≥1吨；</w:t>
      </w:r>
    </w:p>
    <w:p>
      <w:pPr>
        <w:keepNext w:val="0"/>
        <w:keepLines w:val="0"/>
        <w:adjustRightInd w:val="0"/>
        <w:snapToGrid w:val="0"/>
        <w:spacing w:line="480" w:lineRule="exact"/>
        <w:ind w:firstLine="720" w:firstLineChars="300"/>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4.4.4水路系统</w:t>
      </w:r>
    </w:p>
    <w:p>
      <w:pPr>
        <w:keepNext w:val="0"/>
        <w:keepLines w:val="0"/>
        <w:adjustRightInd w:val="0"/>
        <w:snapToGrid w:val="0"/>
        <w:spacing w:line="480" w:lineRule="exact"/>
        <w:ind w:firstLine="720" w:firstLineChars="300"/>
        <w:outlineLvl w:val="9"/>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4.4.4.1消防泵:国际知名品牌； </w:t>
      </w:r>
    </w:p>
    <w:p>
      <w:pPr>
        <w:keepNext w:val="0"/>
        <w:keepLines w:val="0"/>
        <w:adjustRightInd w:val="0"/>
        <w:snapToGrid w:val="0"/>
        <w:spacing w:line="480" w:lineRule="exact"/>
        <w:ind w:firstLine="720" w:firstLineChars="300"/>
        <w:outlineLvl w:val="9"/>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4.4.4.1.1消防泵驱动型式：底盘动力经取力器通过传动轴传输到消防水泵；</w:t>
      </w:r>
    </w:p>
    <w:p>
      <w:pPr>
        <w:keepNext w:val="0"/>
        <w:keepLines w:val="0"/>
        <w:adjustRightInd w:val="0"/>
        <w:snapToGrid w:val="0"/>
        <w:spacing w:line="480" w:lineRule="exact"/>
        <w:ind w:firstLine="720" w:firstLineChars="300"/>
        <w:outlineLvl w:val="9"/>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4.4.4.1.2额定流量：≥100L/s；</w:t>
      </w:r>
    </w:p>
    <w:p>
      <w:pPr>
        <w:keepNext w:val="0"/>
        <w:keepLines w:val="0"/>
        <w:adjustRightInd w:val="0"/>
        <w:snapToGrid w:val="0"/>
        <w:spacing w:line="480" w:lineRule="exact"/>
        <w:ind w:firstLine="720" w:firstLineChars="300"/>
        <w:outlineLvl w:val="9"/>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4.4.4.1.3额定压力：≥1.0MPa；</w:t>
      </w:r>
    </w:p>
    <w:p>
      <w:pPr>
        <w:keepNext w:val="0"/>
        <w:keepLines w:val="0"/>
        <w:adjustRightInd w:val="0"/>
        <w:snapToGrid w:val="0"/>
        <w:spacing w:line="480" w:lineRule="exact"/>
        <w:ind w:firstLine="720" w:firstLineChars="300"/>
        <w:outlineLvl w:val="9"/>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4.4.4.1.4连接管路：后侧设直径≥1</w:t>
      </w:r>
      <w:r>
        <w:rPr>
          <w:rFonts w:hint="eastAsia" w:ascii="仿宋" w:hAnsi="仿宋" w:eastAsia="仿宋" w:cs="仿宋"/>
          <w:color w:val="auto"/>
          <w:sz w:val="24"/>
          <w:szCs w:val="24"/>
          <w:highlight w:val="none"/>
        </w:rPr>
        <w:t>50毫米的吸水口，泵进口既可负压吸水，也可正压供水；左右两侧各2个或大于2个直径80毫米</w:t>
      </w:r>
      <w:r>
        <w:rPr>
          <w:rFonts w:hint="default" w:ascii="Times New Roman" w:hAnsi="Times New Roman" w:eastAsia="方正仿宋_GBK" w:cs="Times New Roman"/>
          <w:color w:val="auto"/>
          <w:sz w:val="24"/>
          <w:szCs w:val="24"/>
          <w:highlight w:val="none"/>
        </w:rPr>
        <w:t>的出水口；设气动蝶阀出口与水炮连接，所有管路阀门均采用防腐处理。</w:t>
      </w:r>
    </w:p>
    <w:p>
      <w:pPr>
        <w:keepNext w:val="0"/>
        <w:keepLines w:val="0"/>
        <w:pageBreakBefore w:val="0"/>
        <w:widowControl/>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hint="default" w:ascii="Times New Roman" w:hAnsi="Times New Roman" w:eastAsia="方正仿宋_GBK" w:cs="Times New Roman"/>
          <w:color w:val="auto"/>
          <w:sz w:val="24"/>
          <w:szCs w:val="24"/>
          <w:highlight w:val="none"/>
        </w:rPr>
        <w:t>4.4.4.1.5真空性能：最大吸</w:t>
      </w:r>
      <w:r>
        <w:rPr>
          <w:rFonts w:hint="eastAsia" w:ascii="仿宋" w:hAnsi="仿宋" w:eastAsia="仿宋" w:cs="仿宋"/>
          <w:color w:val="auto"/>
          <w:sz w:val="24"/>
          <w:szCs w:val="24"/>
          <w:highlight w:val="none"/>
        </w:rPr>
        <w:t>深为7m，真空度</w:t>
      </w:r>
      <w:r>
        <w:rPr>
          <w:rFonts w:hint="default" w:ascii="Times New Roman" w:hAnsi="Times New Roman" w:eastAsia="方正仿宋_GBK" w:cs="Times New Roman"/>
          <w:color w:val="auto"/>
          <w:sz w:val="24"/>
          <w:szCs w:val="24"/>
          <w:highlight w:val="none"/>
        </w:rPr>
        <w:t>≥85%。</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4.4.4.</w:t>
      </w:r>
      <w:r>
        <w:rPr>
          <w:rFonts w:hint="eastAsia" w:eastAsia="方正仿宋_GBK"/>
          <w:color w:val="auto"/>
          <w:sz w:val="24"/>
          <w:szCs w:val="24"/>
          <w:highlight w:val="none"/>
          <w:lang w:val="en-US" w:eastAsia="zh-CN"/>
        </w:rPr>
        <w:t>2</w:t>
      </w:r>
      <w:r>
        <w:rPr>
          <w:rFonts w:ascii="Times New Roman" w:hAnsi="Times New Roman" w:eastAsia="方正仿宋_GBK"/>
          <w:color w:val="auto"/>
          <w:sz w:val="24"/>
          <w:szCs w:val="24"/>
          <w:highlight w:val="none"/>
        </w:rPr>
        <w:t>消防炮：国际知名品牌；</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4.4.4.</w:t>
      </w:r>
      <w:r>
        <w:rPr>
          <w:rFonts w:hint="eastAsia" w:eastAsia="方正仿宋_GBK"/>
          <w:color w:val="auto"/>
          <w:sz w:val="24"/>
          <w:szCs w:val="24"/>
          <w:highlight w:val="none"/>
          <w:lang w:val="en-US" w:eastAsia="zh-CN"/>
        </w:rPr>
        <w:t>3</w:t>
      </w:r>
      <w:r>
        <w:rPr>
          <w:rFonts w:ascii="Times New Roman" w:hAnsi="Times New Roman" w:eastAsia="方正仿宋_GBK"/>
          <w:color w:val="auto"/>
          <w:sz w:val="24"/>
          <w:szCs w:val="24"/>
          <w:highlight w:val="none"/>
        </w:rPr>
        <w:t>消防炮额定流量：≥80L/s；</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4.4.4.</w:t>
      </w:r>
      <w:r>
        <w:rPr>
          <w:rFonts w:hint="eastAsia" w:eastAsia="方正仿宋_GBK"/>
          <w:color w:val="auto"/>
          <w:sz w:val="24"/>
          <w:szCs w:val="24"/>
          <w:highlight w:val="none"/>
          <w:lang w:val="en-US" w:eastAsia="zh-CN"/>
        </w:rPr>
        <w:t>4</w:t>
      </w:r>
      <w:r>
        <w:rPr>
          <w:rFonts w:ascii="Times New Roman" w:hAnsi="Times New Roman" w:eastAsia="方正仿宋_GBK"/>
          <w:color w:val="auto"/>
          <w:sz w:val="24"/>
          <w:szCs w:val="24"/>
          <w:highlight w:val="none"/>
        </w:rPr>
        <w:t>消防炮型式：电动遥控炮，可实现仰俯、摆动及直流-喷雾转换；</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4.4.4.</w:t>
      </w:r>
      <w:r>
        <w:rPr>
          <w:rFonts w:hint="eastAsia" w:eastAsia="方正仿宋_GBK"/>
          <w:color w:val="auto"/>
          <w:sz w:val="24"/>
          <w:szCs w:val="24"/>
          <w:highlight w:val="none"/>
          <w:lang w:val="en-US" w:eastAsia="zh-CN"/>
        </w:rPr>
        <w:t>5</w:t>
      </w:r>
      <w:r>
        <w:rPr>
          <w:rFonts w:ascii="Times New Roman" w:hAnsi="Times New Roman" w:eastAsia="方正仿宋_GBK"/>
          <w:color w:val="auto"/>
          <w:sz w:val="24"/>
          <w:szCs w:val="24"/>
          <w:highlight w:val="none"/>
        </w:rPr>
        <w:t>臂架管道承压能力：≥2.5MPa；</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4.4.5安全保护系统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w:t>
      </w:r>
      <w:r>
        <w:rPr>
          <w:rFonts w:hint="eastAsia"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上下车互锁：支腿未展开，臂架不能离开支架；臂架离开支架，支腿不能动作；</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4.4.5.2臂架的缓冲：极限位置以及突然操作手柄，系统能自动实现加减速；</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4.4.5.3臂架限幅:根据不同的支腿支撑位置，程序自动限制臂架在允许的工作姿态下运动；</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4.4.5.4软腿保护:当臂架在动作过程中，若支腿出现离地，自动声光报警，并只允许臂架向安全方向运动；</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4.4.5.5应急功能:所有液压阀都带有应急机械操作；系统带有应急动力单元，发动机、油泵出现故障时，用于收拢臂架和支腿；</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4.4.5.6臂架限制:臂架接近极限幅度时，能自动缓慢停止;</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4.4.5.7回转缓冲:回转突然停止时，系统能够有效实现缓冲;</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4.4.5.8臂架防干涉:对臂架可能发生相互干涉、与车体干涉的点进行固有程序限制，保证误操作时，不发生干涉与碰撞;</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4.4.6电气系统</w:t>
      </w:r>
    </w:p>
    <w:p>
      <w:pPr>
        <w:keepNext w:val="0"/>
        <w:keepLines w:val="0"/>
        <w:pageBreakBefore w:val="0"/>
        <w:widowControl/>
        <w:kinsoku/>
        <w:wordWrap/>
        <w:overflowPunct/>
        <w:topLinePunct w:val="0"/>
        <w:autoSpaceDE/>
        <w:autoSpaceDN/>
        <w:bidi w:val="0"/>
        <w:adjustRightInd w:val="0"/>
        <w:snapToGrid w:val="0"/>
        <w:spacing w:line="480" w:lineRule="exact"/>
        <w:ind w:firstLine="720" w:firstLineChars="300"/>
        <w:jc w:val="left"/>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bookmarkStart w:id="352" w:name="OLE_LINK2"/>
      <w:bookmarkEnd w:id="352"/>
      <w:r>
        <w:rPr>
          <w:rFonts w:ascii="Times New Roman" w:hAnsi="Times New Roman" w:eastAsia="方正仿宋_GBK"/>
          <w:color w:val="auto"/>
          <w:sz w:val="24"/>
          <w:szCs w:val="24"/>
          <w:highlight w:val="none"/>
        </w:rPr>
        <w:t>专用运动控制器，适应于温度变化范围大、高振动、高冲击等恶劣的工作环境；</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4.4.6.2工业级显示屏，坚固、防水抗震，适应高低温环境等恶劣的作业环境；</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4.4.6.3视频监视系统，遥控器</w:t>
      </w:r>
      <w:r>
        <w:rPr>
          <w:rFonts w:hint="default" w:ascii="Times New Roman" w:hAnsi="Times New Roman" w:eastAsia="方正仿宋_GBK"/>
          <w:color w:val="auto"/>
          <w:sz w:val="24"/>
          <w:szCs w:val="24"/>
          <w:highlight w:val="none"/>
          <w:lang w:eastAsia="zh-CN"/>
        </w:rPr>
        <w:t>≥</w:t>
      </w:r>
      <w:r>
        <w:rPr>
          <w:rFonts w:ascii="Times New Roman" w:hAnsi="Times New Roman" w:eastAsia="方正仿宋_GBK"/>
          <w:color w:val="auto"/>
          <w:sz w:val="24"/>
          <w:szCs w:val="24"/>
          <w:highlight w:val="none"/>
        </w:rPr>
        <w:t>10</w:t>
      </w:r>
      <w:r>
        <w:rPr>
          <w:rFonts w:hint="default" w:ascii="Times New Roman" w:hAnsi="Times New Roman" w:eastAsia="方正仿宋_GBK"/>
          <w:color w:val="auto"/>
          <w:sz w:val="24"/>
          <w:szCs w:val="24"/>
          <w:highlight w:val="none"/>
          <w:lang w:eastAsia="zh-CN"/>
        </w:rPr>
        <w:t>英</w:t>
      </w:r>
      <w:r>
        <w:rPr>
          <w:rFonts w:ascii="Times New Roman" w:hAnsi="Times New Roman" w:eastAsia="方正仿宋_GBK"/>
          <w:color w:val="auto"/>
          <w:sz w:val="24"/>
          <w:szCs w:val="24"/>
          <w:highlight w:val="none"/>
        </w:rPr>
        <w:t>寸高亮液晶彩色显示屏；</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4.4.6.4远程数据监控模块，具备实时定位功能，工况数据监控；</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default" w:ascii="Times New Roman" w:hAnsi="Times New Roman" w:eastAsia="方正仿宋_GBK"/>
          <w:color w:val="auto"/>
          <w:sz w:val="24"/>
          <w:szCs w:val="24"/>
          <w:highlight w:val="none"/>
          <w:lang w:val="en-US" w:eastAsia="zh-CN"/>
        </w:rPr>
        <w:t>5</w:t>
      </w:r>
      <w:r>
        <w:rPr>
          <w:rFonts w:ascii="Times New Roman" w:hAnsi="Times New Roman" w:eastAsia="方正仿宋_GBK"/>
          <w:color w:val="auto"/>
          <w:sz w:val="24"/>
          <w:szCs w:val="24"/>
          <w:highlight w:val="none"/>
        </w:rPr>
        <w:t>整车线束，全车采用线束及防护等级IP67接插件设计；</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default" w:ascii="Times New Roman" w:hAnsi="Times New Roman" w:eastAsia="方正仿宋_GBK"/>
          <w:color w:val="auto"/>
          <w:sz w:val="24"/>
          <w:szCs w:val="24"/>
          <w:highlight w:val="none"/>
          <w:lang w:val="en-US" w:eastAsia="zh-CN"/>
        </w:rPr>
        <w:t>6</w:t>
      </w:r>
      <w:r>
        <w:rPr>
          <w:rFonts w:ascii="Times New Roman" w:hAnsi="Times New Roman" w:eastAsia="方正仿宋_GBK"/>
          <w:color w:val="auto"/>
          <w:sz w:val="24"/>
          <w:szCs w:val="24"/>
          <w:highlight w:val="none"/>
        </w:rPr>
        <w:t>电控支腿操作盒</w:t>
      </w:r>
      <w:bookmarkStart w:id="353" w:name="OLE_LINK8"/>
      <w:bookmarkEnd w:id="353"/>
      <w:bookmarkStart w:id="354" w:name="OLE_LINK7"/>
      <w:r>
        <w:rPr>
          <w:rFonts w:ascii="Times New Roman" w:hAnsi="Times New Roman" w:eastAsia="方正仿宋_GBK"/>
          <w:color w:val="auto"/>
          <w:sz w:val="24"/>
          <w:szCs w:val="24"/>
          <w:highlight w:val="none"/>
        </w:rPr>
        <w:t>，集成支腿展开、收回及调平操作</w:t>
      </w:r>
      <w:bookmarkEnd w:id="354"/>
      <w:r>
        <w:rPr>
          <w:rFonts w:ascii="Times New Roman" w:hAnsi="Times New Roman" w:eastAsia="方正仿宋_GBK"/>
          <w:color w:val="auto"/>
          <w:sz w:val="24"/>
          <w:szCs w:val="24"/>
          <w:highlight w:val="none"/>
        </w:rPr>
        <w:t>；</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eastAsia" w:ascii="Times New Roman" w:hAnsi="Times New Roman" w:eastAsia="方正仿宋_GBK"/>
          <w:color w:val="auto"/>
          <w:sz w:val="24"/>
          <w:szCs w:val="24"/>
          <w:highlight w:val="none"/>
          <w:lang w:val="en-US" w:eastAsia="zh-CN"/>
        </w:rPr>
        <w:t>7</w:t>
      </w:r>
      <w:r>
        <w:rPr>
          <w:rFonts w:ascii="Times New Roman" w:hAnsi="Times New Roman" w:eastAsia="方正仿宋_GBK"/>
          <w:color w:val="auto"/>
          <w:sz w:val="24"/>
          <w:szCs w:val="24"/>
          <w:highlight w:val="none"/>
        </w:rPr>
        <w:t>集中式配电盒，整车采用独立电源配电系统设计；</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outlineLvl w:val="9"/>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eastAsia" w:ascii="Times New Roman" w:hAnsi="Times New Roman" w:eastAsia="方正仿宋_GBK"/>
          <w:color w:val="auto"/>
          <w:sz w:val="24"/>
          <w:szCs w:val="24"/>
          <w:highlight w:val="none"/>
          <w:lang w:val="en-US" w:eastAsia="zh-CN"/>
        </w:rPr>
        <w:t>8</w:t>
      </w:r>
      <w:r>
        <w:rPr>
          <w:rFonts w:ascii="Times New Roman" w:hAnsi="Times New Roman" w:eastAsia="方正仿宋_GBK"/>
          <w:color w:val="auto"/>
          <w:sz w:val="24"/>
          <w:szCs w:val="24"/>
          <w:highlight w:val="none"/>
        </w:rPr>
        <w:t>近控操作面板</w:t>
      </w:r>
      <w:bookmarkStart w:id="355" w:name="OLE_LINK10"/>
      <w:bookmarkEnd w:id="355"/>
      <w:bookmarkStart w:id="356" w:name="OLE_LINK9"/>
      <w:r>
        <w:rPr>
          <w:rFonts w:ascii="Times New Roman" w:hAnsi="Times New Roman" w:eastAsia="方正仿宋_GBK"/>
          <w:color w:val="auto"/>
          <w:sz w:val="24"/>
          <w:szCs w:val="24"/>
          <w:highlight w:val="none"/>
        </w:rPr>
        <w:t>，车身尾部</w:t>
      </w:r>
      <w:bookmarkEnd w:id="356"/>
      <w:r>
        <w:rPr>
          <w:rFonts w:ascii="Times New Roman" w:hAnsi="Times New Roman" w:eastAsia="方正仿宋_GBK"/>
          <w:color w:val="auto"/>
          <w:sz w:val="24"/>
          <w:szCs w:val="24"/>
          <w:highlight w:val="none"/>
        </w:rPr>
        <w:t>配置集成近控操作面板；</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eastAsia" w:ascii="Times New Roman" w:hAnsi="Times New Roman" w:eastAsia="方正仿宋_GBK"/>
          <w:color w:val="auto"/>
          <w:sz w:val="24"/>
          <w:szCs w:val="24"/>
          <w:highlight w:val="none"/>
          <w:lang w:val="en-US" w:eastAsia="zh-CN"/>
        </w:rPr>
        <w:t>9</w:t>
      </w:r>
      <w:r>
        <w:rPr>
          <w:rFonts w:ascii="Times New Roman" w:hAnsi="Times New Roman" w:eastAsia="方正仿宋_GBK"/>
          <w:color w:val="auto"/>
          <w:sz w:val="24"/>
          <w:szCs w:val="24"/>
          <w:highlight w:val="none"/>
        </w:rPr>
        <w:t>臂架应急电控操作，近控面板电控操作，作为遥控器操作的备份；</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w:t>
      </w:r>
      <w:r>
        <w:rPr>
          <w:rFonts w:hint="eastAsia" w:ascii="Times New Roman" w:hAnsi="Times New Roman" w:eastAsia="方正仿宋_GBK"/>
          <w:color w:val="auto"/>
          <w:sz w:val="24"/>
          <w:szCs w:val="24"/>
          <w:highlight w:val="none"/>
          <w:lang w:val="en-US" w:eastAsia="zh-CN"/>
        </w:rPr>
        <w:t>10</w:t>
      </w:r>
      <w:r>
        <w:rPr>
          <w:rFonts w:ascii="Times New Roman" w:hAnsi="Times New Roman" w:eastAsia="方正仿宋_GBK"/>
          <w:color w:val="auto"/>
          <w:sz w:val="24"/>
          <w:szCs w:val="24"/>
          <w:highlight w:val="none"/>
        </w:rPr>
        <w:t>臂架便捷操作，臂架一键自动定位抓取工具，一键自动取出放回工具；</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r>
        <w:rPr>
          <w:rFonts w:hint="eastAsia" w:ascii="Times New Roman" w:hAnsi="Times New Roman" w:eastAsia="方正仿宋_GBK"/>
          <w:color w:val="auto"/>
          <w:sz w:val="24"/>
          <w:szCs w:val="24"/>
          <w:highlight w:val="none"/>
          <w:lang w:val="en-US" w:eastAsia="zh-CN"/>
        </w:rPr>
        <w:t>1</w:t>
      </w:r>
      <w:r>
        <w:rPr>
          <w:rFonts w:ascii="Times New Roman" w:hAnsi="Times New Roman" w:eastAsia="方正仿宋_GBK"/>
          <w:color w:val="auto"/>
          <w:sz w:val="24"/>
          <w:szCs w:val="24"/>
          <w:highlight w:val="none"/>
        </w:rPr>
        <w:t>警示灯具，各支腿侧面及臂架上配置黄色频闪灯；</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r>
        <w:rPr>
          <w:rFonts w:hint="eastAsia" w:ascii="Times New Roman" w:hAnsi="Times New Roman" w:eastAsia="方正仿宋_GBK"/>
          <w:color w:val="auto"/>
          <w:sz w:val="24"/>
          <w:szCs w:val="24"/>
          <w:highlight w:val="none"/>
          <w:lang w:val="en-US" w:eastAsia="zh-CN"/>
        </w:rPr>
        <w:t>2</w:t>
      </w:r>
      <w:r>
        <w:rPr>
          <w:rFonts w:ascii="Times New Roman" w:hAnsi="Times New Roman" w:eastAsia="方正仿宋_GBK"/>
          <w:color w:val="auto"/>
          <w:sz w:val="24"/>
          <w:szCs w:val="24"/>
          <w:highlight w:val="none"/>
        </w:rPr>
        <w:t>照明灯具，各操作处及器材箱内均配置照明灯；</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r>
        <w:rPr>
          <w:rFonts w:hint="eastAsia" w:ascii="Times New Roman" w:hAnsi="Times New Roman" w:eastAsia="方正仿宋_GBK"/>
          <w:color w:val="auto"/>
          <w:sz w:val="24"/>
          <w:szCs w:val="24"/>
          <w:highlight w:val="none"/>
          <w:lang w:val="en-US" w:eastAsia="zh-CN"/>
        </w:rPr>
        <w:t>3</w:t>
      </w:r>
      <w:r>
        <w:rPr>
          <w:rFonts w:ascii="Times New Roman" w:hAnsi="Times New Roman" w:eastAsia="方正仿宋_GBK"/>
          <w:color w:val="auto"/>
          <w:sz w:val="24"/>
          <w:szCs w:val="24"/>
          <w:highlight w:val="none"/>
        </w:rPr>
        <w:t>倒车视频系统，驾驶室内10</w:t>
      </w:r>
      <w:r>
        <w:rPr>
          <w:rFonts w:hint="eastAsia" w:ascii="Times New Roman" w:hAnsi="Times New Roman" w:eastAsia="方正仿宋_GBK"/>
          <w:color w:val="auto"/>
          <w:sz w:val="24"/>
          <w:szCs w:val="24"/>
          <w:highlight w:val="none"/>
          <w:lang w:eastAsia="zh-CN"/>
        </w:rPr>
        <w:t>英</w:t>
      </w:r>
      <w:r>
        <w:rPr>
          <w:rFonts w:ascii="Times New Roman" w:hAnsi="Times New Roman" w:eastAsia="方正仿宋_GBK"/>
          <w:color w:val="auto"/>
          <w:sz w:val="24"/>
          <w:szCs w:val="24"/>
          <w:highlight w:val="none"/>
        </w:rPr>
        <w:t>寸高清倒车显示屏+车尾摄像头；</w:t>
      </w:r>
    </w:p>
    <w:p>
      <w:pPr>
        <w:keepNext w:val="0"/>
        <w:keepLines w:val="0"/>
        <w:pageBreakBefore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r>
        <w:rPr>
          <w:rFonts w:hint="eastAsia" w:ascii="Times New Roman" w:hAnsi="Times New Roman" w:eastAsia="方正仿宋_GBK"/>
          <w:color w:val="auto"/>
          <w:sz w:val="24"/>
          <w:szCs w:val="24"/>
          <w:highlight w:val="none"/>
          <w:lang w:val="en-US" w:eastAsia="zh-CN"/>
        </w:rPr>
        <w:t>4</w:t>
      </w:r>
      <w:r>
        <w:rPr>
          <w:rFonts w:ascii="Times New Roman" w:hAnsi="Times New Roman" w:eastAsia="方正仿宋_GBK"/>
          <w:color w:val="auto"/>
          <w:sz w:val="24"/>
          <w:szCs w:val="24"/>
          <w:highlight w:val="none"/>
        </w:rPr>
        <w:t>自动充电分离装置，配置蓄电池自动分离式充电装置；</w:t>
      </w:r>
    </w:p>
    <w:p>
      <w:pPr>
        <w:keepNext w:val="0"/>
        <w:keepLines w:val="0"/>
        <w:pageBreakBefore w:val="0"/>
        <w:widowControl/>
        <w:kinsoku/>
        <w:wordWrap/>
        <w:overflowPunct/>
        <w:topLinePunct w:val="0"/>
        <w:autoSpaceDE/>
        <w:autoSpaceDN/>
        <w:bidi w:val="0"/>
        <w:adjustRightInd w:val="0"/>
        <w:snapToGrid w:val="0"/>
        <w:spacing w:line="480" w:lineRule="exact"/>
        <w:ind w:firstLine="720" w:firstLineChars="300"/>
        <w:jc w:val="left"/>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4.4.6.1</w:t>
      </w:r>
      <w:r>
        <w:rPr>
          <w:rFonts w:hint="eastAsia" w:ascii="Times New Roman" w:hAnsi="Times New Roman" w:eastAsia="方正仿宋_GBK"/>
          <w:color w:val="auto"/>
          <w:sz w:val="24"/>
          <w:szCs w:val="24"/>
          <w:highlight w:val="none"/>
          <w:lang w:val="en-US" w:eastAsia="zh-CN"/>
        </w:rPr>
        <w:t>5</w:t>
      </w:r>
      <w:r>
        <w:rPr>
          <w:rFonts w:ascii="Times New Roman" w:hAnsi="Times New Roman" w:eastAsia="方正仿宋_GBK"/>
          <w:color w:val="auto"/>
          <w:sz w:val="24"/>
          <w:szCs w:val="24"/>
          <w:highlight w:val="none"/>
        </w:rPr>
        <w:t>遥控器，集成视频监控、臂架操作、消防炮操作等功能；</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4.5总体要求</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bCs/>
          <w:color w:val="auto"/>
          <w:sz w:val="24"/>
          <w:szCs w:val="24"/>
          <w:highlight w:val="none"/>
        </w:rPr>
      </w:pPr>
      <w:r>
        <w:rPr>
          <w:rFonts w:hint="eastAsia" w:ascii="Times New Roman" w:hAnsi="Times New Roman" w:eastAsia="方正仿宋_GBK"/>
          <w:bCs/>
          <w:color w:val="auto"/>
          <w:sz w:val="24"/>
          <w:szCs w:val="24"/>
          <w:highlight w:val="none"/>
        </w:rPr>
        <w:t>4.5.1整车符合GB7956.12-2015《消防车第12部分：举高消防车》、GB7956.1-2014《消防车第1部分：通用技术条件》、GB1589-2016《汽车、挂车及汽车列车外廓尺寸、轴荷及质量限值》标准要求</w:t>
      </w:r>
      <w:r>
        <w:rPr>
          <w:rFonts w:ascii="Times New Roman" w:hAnsi="Times New Roman" w:eastAsia="方正仿宋_GBK"/>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4.5.2车身颜色符合GB/T3181-2008《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4.5.</w:t>
      </w:r>
      <w:r>
        <w:rPr>
          <w:rFonts w:hint="eastAsia" w:ascii="Times New Roman" w:hAnsi="Times New Roman" w:eastAsia="方正仿宋_GBK"/>
          <w:color w:val="auto"/>
          <w:sz w:val="24"/>
          <w:szCs w:val="24"/>
          <w:highlight w:val="none"/>
          <w:lang w:val="en-US" w:eastAsia="zh-CN"/>
        </w:rPr>
        <w:t>3</w:t>
      </w:r>
      <w:r>
        <w:rPr>
          <w:rFonts w:ascii="Times New Roman" w:hAnsi="Times New Roman" w:eastAsia="方正仿宋_GBK"/>
          <w:color w:val="auto"/>
          <w:sz w:val="24"/>
          <w:szCs w:val="24"/>
          <w:highlight w:val="none"/>
        </w:rPr>
        <w:t>器材箱材质：骨架采用高强度铝合金专用型材，蒙板为全铝合金板进行阳极氧化处理；</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4.5.</w:t>
      </w:r>
      <w:r>
        <w:rPr>
          <w:rFonts w:hint="eastAsia" w:ascii="Times New Roman" w:hAnsi="Times New Roman" w:eastAsia="方正仿宋_GBK"/>
          <w:color w:val="auto"/>
          <w:sz w:val="24"/>
          <w:szCs w:val="24"/>
          <w:highlight w:val="none"/>
          <w:lang w:val="en-US" w:eastAsia="zh-CN"/>
        </w:rPr>
        <w:t>4</w:t>
      </w:r>
      <w:r>
        <w:rPr>
          <w:rFonts w:ascii="Times New Roman" w:hAnsi="Times New Roman" w:eastAsia="方正仿宋_GBK"/>
          <w:bCs/>
          <w:color w:val="auto"/>
          <w:sz w:val="24"/>
          <w:szCs w:val="24"/>
          <w:highlight w:val="none"/>
        </w:rPr>
        <w:t>投标人在器材</w:t>
      </w:r>
      <w:r>
        <w:rPr>
          <w:rFonts w:ascii="Times New Roman" w:hAnsi="Times New Roman" w:eastAsia="方正仿宋_GBK"/>
          <w:color w:val="auto"/>
          <w:sz w:val="24"/>
          <w:szCs w:val="24"/>
          <w:highlight w:val="none"/>
        </w:rPr>
        <w:t>箱结构设计布置时需提前与</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color w:val="auto"/>
          <w:sz w:val="24"/>
          <w:szCs w:val="24"/>
          <w:highlight w:val="none"/>
        </w:rPr>
        <w:t>单位联系，根据</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color w:val="auto"/>
          <w:sz w:val="24"/>
          <w:szCs w:val="24"/>
          <w:highlight w:val="none"/>
        </w:rPr>
        <w:t>单位提供的装载器材种类及数量进行定位、定量设计器材箱结构，设计方案必须经</w:t>
      </w:r>
      <w:r>
        <w:rPr>
          <w:rFonts w:hint="eastAsia" w:ascii="Times New Roman" w:hAnsi="Times New Roman" w:eastAsia="方正仿宋_GBK"/>
          <w:bCs/>
          <w:color w:val="auto"/>
          <w:sz w:val="24"/>
          <w:szCs w:val="24"/>
          <w:highlight w:val="none"/>
          <w:lang w:val="en-US" w:eastAsia="zh-CN"/>
        </w:rPr>
        <w:t>使用</w:t>
      </w:r>
      <w:r>
        <w:rPr>
          <w:rFonts w:ascii="Times New Roman" w:hAnsi="Times New Roman" w:eastAsia="方正仿宋_GBK"/>
          <w:color w:val="auto"/>
          <w:sz w:val="24"/>
          <w:szCs w:val="24"/>
          <w:highlight w:val="none"/>
        </w:rPr>
        <w:t>单位同意后方可进行生产；</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4.6.2供货前，须主动对接使用单位，满足用户需求；</w:t>
      </w:r>
    </w:p>
    <w:p>
      <w:pPr>
        <w:keepNext w:val="0"/>
        <w:keepLines w:val="0"/>
        <w:pageBreakBefore w:val="0"/>
        <w:widowControl w:val="0"/>
        <w:kinsoku/>
        <w:wordWrap/>
        <w:overflowPunct/>
        <w:topLinePunct w:val="0"/>
        <w:autoSpaceDE/>
        <w:autoSpaceDN/>
        <w:bidi w:val="0"/>
        <w:adjustRightInd w:val="0"/>
        <w:snapToGrid w:val="0"/>
        <w:spacing w:line="480" w:lineRule="exact"/>
        <w:ind w:firstLine="720" w:firstLineChars="300"/>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4.6.3交付使用单位时，燃油、尿素等添加液处于满液状态；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4.6.4首次保养（含材料、人工、差旅等）免费；</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color w:val="auto"/>
          <w:highlight w:val="none"/>
        </w:rPr>
      </w:pPr>
      <w:r>
        <w:rPr>
          <w:rFonts w:hint="eastAsia" w:ascii="Times New Roman" w:hAnsi="Times New Roman" w:eastAsia="方正仿宋_GBK" w:cs="Times New Roman"/>
          <w:color w:val="auto"/>
          <w:sz w:val="24"/>
          <w:szCs w:val="24"/>
          <w:highlight w:val="none"/>
          <w:lang w:val="en-US" w:eastAsia="zh-CN"/>
        </w:rPr>
        <w:t>4.6.5配备防滑链，防滑链数量与轮胎数量相匹配。</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textAlignment w:val="auto"/>
        <w:rPr>
          <w:rFonts w:ascii="Times New Roman" w:hAnsi="Times New Roman" w:eastAsia="方正仿宋_GBK" w:cs="Times New Roman"/>
          <w:b/>
          <w:bCs/>
          <w:color w:val="auto"/>
          <w:sz w:val="24"/>
          <w:szCs w:val="24"/>
          <w:highlight w:val="none"/>
        </w:rPr>
      </w:pPr>
      <w:r>
        <w:rPr>
          <w:rFonts w:ascii="Times New Roman" w:hAnsi="Times New Roman" w:eastAsia="方正仿宋_GBK" w:cs="Times New Roman"/>
          <w:b/>
          <w:bCs/>
          <w:color w:val="auto"/>
          <w:sz w:val="24"/>
          <w:szCs w:val="24"/>
          <w:highlight w:val="none"/>
        </w:rPr>
        <w:t>4.7随车附件</w:t>
      </w:r>
    </w:p>
    <w:tbl>
      <w:tblPr>
        <w:tblStyle w:val="43"/>
        <w:tblW w:w="903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93"/>
        <w:gridCol w:w="3806"/>
        <w:gridCol w:w="1028"/>
        <w:gridCol w:w="1104"/>
        <w:gridCol w:w="219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tblHeader/>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序号</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名称</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数量</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单位</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80mm水带</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10</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盘</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卡式接口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可充电式手提照明灯</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ABC干粉灭火器</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具</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8kg</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吸水管扳手</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5</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地上消火栓扳手</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6</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集水器</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7</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橡皮锤</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8</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异型接口KXK80内扣/80雄</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9</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异型接口KXK80内扣/80雌</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10</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异径接口KJK65雄/80雌</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11</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异径接口KJK80雄/65雌</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12</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自动绕线器YD</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13</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支腿垫板</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4</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14</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常用密封件一套</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15</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消防车手册(数码打印)</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16</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消防车操作培训视频U盘</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17</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活扳手</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18</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内六角扳手10件组</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19</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钢丝钳</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20</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尖嘴钳</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21</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双头呆扳手</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22</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高压黄油枪</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23</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随机工具箱</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24</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呆扳手套装件组</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25</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梅花扳手套装</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26</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一字螺丝刀</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27</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十字螺丝刀</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把</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6"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28</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备胎</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29</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防滑链</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30</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泡沫炮头</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ascii="Times New Roman" w:hAnsi="Times New Roman" w:eastAsia="方正仿宋_GBK"/>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31</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踏板气弹簧</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1</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套</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每个型号1根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89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32</w:t>
            </w:r>
          </w:p>
        </w:tc>
        <w:tc>
          <w:tcPr>
            <w:tcW w:w="3806"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千斤顶</w:t>
            </w:r>
          </w:p>
        </w:tc>
        <w:tc>
          <w:tcPr>
            <w:tcW w:w="1028"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2</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个</w:t>
            </w:r>
          </w:p>
        </w:tc>
        <w:tc>
          <w:tcPr>
            <w:tcW w:w="219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t>32t</w:t>
            </w:r>
          </w:p>
        </w:tc>
      </w:tr>
    </w:tbl>
    <w:p>
      <w:pPr>
        <w:bidi w:val="0"/>
        <w:rPr>
          <w:rFonts w:hint="eastAsia"/>
          <w:color w:val="auto"/>
          <w:highlight w:val="none"/>
          <w:lang w:val="en-US"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57" w:name="_Toc22241"/>
      <w:r>
        <w:rPr>
          <w:rFonts w:hint="eastAsia" w:ascii="仿宋" w:hAnsi="仿宋" w:eastAsia="仿宋" w:cs="仿宋"/>
          <w:color w:val="auto"/>
          <w:sz w:val="28"/>
          <w:szCs w:val="28"/>
          <w:highlight w:val="none"/>
          <w:lang w:val="en-US" w:eastAsia="zh-CN"/>
        </w:rPr>
        <w:t>品目6：物资运输车A</w:t>
      </w:r>
      <w:bookmarkEnd w:id="357"/>
    </w:p>
    <w:p>
      <w:pPr>
        <w:pageBreakBefore w:val="0"/>
        <w:numPr>
          <w:ilvl w:val="0"/>
          <w:numId w:val="17"/>
        </w:numPr>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货物名称：</w:t>
      </w:r>
      <w:r>
        <w:rPr>
          <w:rFonts w:hint="eastAsia" w:ascii="仿宋" w:hAnsi="仿宋" w:eastAsia="仿宋" w:cs="仿宋"/>
          <w:color w:val="auto"/>
          <w:sz w:val="24"/>
          <w:szCs w:val="24"/>
          <w:highlight w:val="none"/>
          <w:lang w:val="en-US" w:eastAsia="zh-CN"/>
        </w:rPr>
        <w:t>物资运输车A</w:t>
      </w:r>
    </w:p>
    <w:p>
      <w:pPr>
        <w:pageBreakBefore w:val="0"/>
        <w:numPr>
          <w:ilvl w:val="0"/>
          <w:numId w:val="0"/>
        </w:numPr>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二、主要规格：国产底盘</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三、数量：1(辆)</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四、主要技术规格、参数及要求</w:t>
      </w:r>
    </w:p>
    <w:p>
      <w:pPr>
        <w:keepNext w:val="0"/>
        <w:keepLines w:val="0"/>
        <w:pageBreakBefore w:val="0"/>
        <w:widowControl w:val="0"/>
        <w:kinsoku/>
        <w:wordWrap/>
        <w:overflowPunct/>
        <w:topLinePunct w:val="0"/>
        <w:autoSpaceDE/>
        <w:autoSpaceDN/>
        <w:bidi w:val="0"/>
        <w:adjustRightInd w:val="0"/>
        <w:snapToGrid w:val="0"/>
        <w:spacing w:line="46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4.1</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整车尺寸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长×宽×高（mm)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≤6000mm×2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00mm×2900mm</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比功率：≥</w:t>
      </w:r>
      <w:r>
        <w:rPr>
          <w:rFonts w:hint="eastAsia" w:ascii="仿宋" w:hAnsi="仿宋" w:eastAsia="仿宋" w:cs="仿宋"/>
          <w:b w:val="0"/>
          <w:bCs w:val="0"/>
          <w:color w:val="auto"/>
          <w:sz w:val="24"/>
          <w:szCs w:val="24"/>
          <w:highlight w:val="none"/>
          <w:lang w:val="en-US" w:eastAsia="zh-CN"/>
        </w:rPr>
        <w:t>10</w:t>
      </w:r>
      <w:r>
        <w:rPr>
          <w:rFonts w:hint="eastAsia" w:ascii="仿宋" w:hAnsi="仿宋" w:eastAsia="仿宋" w:cs="仿宋"/>
          <w:b w:val="0"/>
          <w:bCs w:val="0"/>
          <w:color w:val="auto"/>
          <w:sz w:val="24"/>
          <w:szCs w:val="24"/>
          <w:highlight w:val="none"/>
        </w:rPr>
        <w:t>KW/T；</w:t>
      </w:r>
    </w:p>
    <w:p>
      <w:pPr>
        <w:keepNext w:val="0"/>
        <w:keepLines w:val="0"/>
        <w:pageBreakBefore w:val="0"/>
        <w:widowControl w:val="0"/>
        <w:kinsoku/>
        <w:wordWrap/>
        <w:overflowPunct/>
        <w:topLinePunct w:val="0"/>
        <w:autoSpaceDE/>
        <w:autoSpaceDN/>
        <w:bidi w:val="0"/>
        <w:adjustRightInd w:val="0"/>
        <w:snapToGrid w:val="0"/>
        <w:spacing w:line="46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▲4.2.1发动机额定功率≥</w:t>
      </w:r>
      <w:r>
        <w:rPr>
          <w:rFonts w:hint="eastAsia" w:ascii="仿宋" w:hAnsi="仿宋" w:eastAsia="仿宋" w:cs="仿宋"/>
          <w:color w:val="auto"/>
          <w:sz w:val="24"/>
          <w:szCs w:val="24"/>
          <w:highlight w:val="none"/>
          <w:lang w:val="en-US" w:eastAsia="zh-CN"/>
        </w:rPr>
        <w:t>120</w:t>
      </w:r>
      <w:r>
        <w:rPr>
          <w:rFonts w:hint="eastAsia" w:ascii="仿宋" w:hAnsi="仿宋" w:eastAsia="仿宋" w:cs="仿宋"/>
          <w:color w:val="auto"/>
          <w:sz w:val="24"/>
          <w:szCs w:val="24"/>
          <w:highlight w:val="none"/>
        </w:rPr>
        <w:t>kW；</w:t>
      </w:r>
    </w:p>
    <w:p>
      <w:pPr>
        <w:keepNext w:val="0"/>
        <w:keepLines w:val="0"/>
        <w:pageBreakBefore w:val="0"/>
        <w:widowControl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4.2.2燃料：柴油；油箱容积：≥</w:t>
      </w:r>
      <w:r>
        <w:rPr>
          <w:rFonts w:hint="eastAsia" w:ascii="仿宋" w:hAnsi="仿宋" w:eastAsia="仿宋" w:cs="仿宋"/>
          <w:color w:val="auto"/>
          <w:sz w:val="24"/>
          <w:szCs w:val="24"/>
          <w:highlight w:val="none"/>
          <w:lang w:val="en-US" w:eastAsia="zh-CN"/>
        </w:rPr>
        <w:t>70</w:t>
      </w:r>
      <w:r>
        <w:rPr>
          <w:rFonts w:hint="eastAsia" w:ascii="仿宋" w:hAnsi="仿宋" w:eastAsia="仿宋" w:cs="仿宋"/>
          <w:color w:val="auto"/>
          <w:sz w:val="24"/>
          <w:szCs w:val="24"/>
          <w:highlight w:val="none"/>
        </w:rPr>
        <w:t>L；</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尾气排放：国VI标准；</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4.2.4最高车速≥</w:t>
      </w:r>
      <w:r>
        <w:rPr>
          <w:rFonts w:hint="eastAsia" w:ascii="仿宋" w:hAnsi="仿宋" w:eastAsia="仿宋" w:cs="仿宋"/>
          <w:color w:val="auto"/>
          <w:sz w:val="24"/>
          <w:szCs w:val="24"/>
          <w:highlight w:val="none"/>
          <w:lang w:val="en-US" w:eastAsia="zh-CN"/>
        </w:rPr>
        <w:t>100</w:t>
      </w:r>
      <w:r>
        <w:rPr>
          <w:rFonts w:hint="eastAsia" w:ascii="仿宋" w:hAnsi="仿宋" w:eastAsia="仿宋" w:cs="仿宋"/>
          <w:color w:val="auto"/>
          <w:sz w:val="24"/>
          <w:szCs w:val="24"/>
          <w:highlight w:val="none"/>
        </w:rPr>
        <w:t>Km/h；</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驱动形式：4×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最大</w:t>
      </w:r>
      <w:r>
        <w:rPr>
          <w:rFonts w:hint="eastAsia" w:ascii="仿宋" w:hAnsi="仿宋" w:eastAsia="仿宋" w:cs="仿宋"/>
          <w:color w:val="auto"/>
          <w:sz w:val="24"/>
          <w:szCs w:val="24"/>
          <w:highlight w:val="none"/>
        </w:rPr>
        <w:t>排量≥</w:t>
      </w:r>
      <w:r>
        <w:rPr>
          <w:rFonts w:hint="eastAsia" w:ascii="仿宋" w:hAnsi="仿宋" w:eastAsia="仿宋" w:cs="仿宋"/>
          <w:color w:val="auto"/>
          <w:sz w:val="24"/>
          <w:szCs w:val="24"/>
          <w:highlight w:val="none"/>
          <w:lang w:val="en-US" w:eastAsia="zh-CN"/>
        </w:rPr>
        <w:t>2.0L</w:t>
      </w:r>
      <w:r>
        <w:rPr>
          <w:rFonts w:hint="eastAsia" w:ascii="仿宋" w:hAnsi="仿宋" w:eastAsia="仿宋" w:cs="仿宋"/>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最大总质量≥</w:t>
      </w:r>
      <w:r>
        <w:rPr>
          <w:rFonts w:hint="eastAsia" w:ascii="仿宋" w:hAnsi="仿宋" w:eastAsia="仿宋" w:cs="仿宋"/>
          <w:color w:val="auto"/>
          <w:sz w:val="24"/>
          <w:szCs w:val="24"/>
          <w:highlight w:val="none"/>
          <w:lang w:val="en-US" w:eastAsia="zh-CN"/>
        </w:rPr>
        <w:t>390</w:t>
      </w:r>
      <w:r>
        <w:rPr>
          <w:rFonts w:hint="eastAsia" w:ascii="仿宋" w:hAnsi="仿宋" w:eastAsia="仿宋" w:cs="仿宋"/>
          <w:color w:val="auto"/>
          <w:sz w:val="24"/>
          <w:szCs w:val="24"/>
          <w:highlight w:val="none"/>
        </w:rPr>
        <w:t>0kg；</w:t>
      </w:r>
    </w:p>
    <w:p>
      <w:pPr>
        <w:keepNext w:val="0"/>
        <w:keepLines w:val="0"/>
        <w:pageBreakBefore w:val="0"/>
        <w:widowControl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4.2.8</w:t>
      </w:r>
      <w:r>
        <w:rPr>
          <w:rFonts w:hint="eastAsia" w:ascii="仿宋" w:hAnsi="仿宋" w:eastAsia="仿宋" w:cs="仿宋"/>
          <w:color w:val="auto"/>
          <w:kern w:val="0"/>
          <w:sz w:val="24"/>
          <w:szCs w:val="24"/>
          <w:highlight w:val="none"/>
        </w:rPr>
        <w:t>配置子午线钢丝轮胎、胎压监测系统、360°倒车影像、行车记录仪 (内存</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strike w:val="0"/>
          <w:dstrike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strike w:val="0"/>
          <w:dstrike w:val="0"/>
          <w:color w:val="auto"/>
          <w:sz w:val="24"/>
          <w:szCs w:val="24"/>
          <w:highlight w:val="none"/>
        </w:rPr>
        <w:t>4.2.9变速箱：</w:t>
      </w:r>
      <w:r>
        <w:rPr>
          <w:rFonts w:hint="eastAsia" w:ascii="仿宋" w:hAnsi="仿宋" w:eastAsia="仿宋" w:cs="仿宋"/>
          <w:strike w:val="0"/>
          <w:dstrike w:val="0"/>
          <w:color w:val="auto"/>
          <w:sz w:val="24"/>
          <w:szCs w:val="24"/>
          <w:highlight w:val="none"/>
          <w:lang w:val="en-US" w:eastAsia="zh-CN"/>
        </w:rPr>
        <w:t>自动</w:t>
      </w:r>
      <w:r>
        <w:rPr>
          <w:rFonts w:hint="eastAsia" w:ascii="仿宋" w:hAnsi="仿宋" w:eastAsia="仿宋" w:cs="仿宋"/>
          <w:strike w:val="0"/>
          <w:dstrike w:val="0"/>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4.2.10</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color w:val="auto"/>
          <w:sz w:val="24"/>
          <w:highlight w:val="none"/>
          <w:lang w:eastAsia="zh-CN"/>
        </w:rPr>
        <w:t>；</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1" w:firstLineChars="1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4.3</w:t>
      </w:r>
      <w:r>
        <w:rPr>
          <w:rFonts w:hint="eastAsia" w:ascii="仿宋" w:hAnsi="仿宋" w:eastAsia="仿宋" w:cs="仿宋"/>
          <w:b/>
          <w:bCs/>
          <w:color w:val="auto"/>
          <w:sz w:val="24"/>
          <w:szCs w:val="24"/>
          <w:highlight w:val="none"/>
        </w:rPr>
        <w:t>驾乘室</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w:t>
      </w:r>
      <w:r>
        <w:rPr>
          <w:rFonts w:hint="eastAsia" w:ascii="仿宋" w:hAnsi="仿宋" w:eastAsia="仿宋" w:cs="仿宋"/>
          <w:color w:val="auto"/>
          <w:sz w:val="24"/>
          <w:szCs w:val="24"/>
          <w:highlight w:val="none"/>
        </w:rPr>
        <w:t>.1座位设置：乘员≥</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人，座椅应全部设置安全带；</w:t>
      </w:r>
    </w:p>
    <w:p>
      <w:pPr>
        <w:keepNext w:val="0"/>
        <w:keepLines w:val="0"/>
        <w:pageBreakBefore w:val="0"/>
        <w:widowControl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4.3.2驾乘室设备：除原车设备外，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4.4</w:t>
      </w:r>
      <w:r>
        <w:rPr>
          <w:rFonts w:hint="eastAsia" w:ascii="仿宋" w:hAnsi="仿宋" w:eastAsia="仿宋" w:cs="仿宋"/>
          <w:b/>
          <w:bCs/>
          <w:color w:val="auto"/>
          <w:sz w:val="24"/>
          <w:szCs w:val="24"/>
          <w:highlight w:val="none"/>
        </w:rPr>
        <w:t>器材</w:t>
      </w:r>
      <w:r>
        <w:rPr>
          <w:rFonts w:hint="eastAsia" w:ascii="仿宋" w:hAnsi="仿宋" w:eastAsia="仿宋" w:cs="仿宋"/>
          <w:b/>
          <w:bCs/>
          <w:color w:val="auto"/>
          <w:sz w:val="24"/>
          <w:szCs w:val="24"/>
          <w:highlight w:val="none"/>
          <w:lang w:val="en-US" w:eastAsia="zh-CN"/>
        </w:rPr>
        <w:t>存放区</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车内器材存放区</w:t>
      </w:r>
      <w:r>
        <w:rPr>
          <w:rFonts w:hint="eastAsia" w:ascii="仿宋" w:hAnsi="仿宋" w:eastAsia="仿宋" w:cs="仿宋"/>
          <w:color w:val="auto"/>
          <w:sz w:val="24"/>
          <w:szCs w:val="24"/>
          <w:highlight w:val="none"/>
        </w:rPr>
        <w:t>整体为铝合金骨架结构，设置铝合金型材框架器材柜，</w:t>
      </w:r>
      <w:r>
        <w:rPr>
          <w:rFonts w:hint="eastAsia" w:ascii="仿宋" w:hAnsi="仿宋" w:eastAsia="仿宋" w:cs="仿宋"/>
          <w:color w:val="auto"/>
          <w:sz w:val="24"/>
          <w:szCs w:val="24"/>
          <w:highlight w:val="none"/>
          <w:lang w:val="en-US" w:eastAsia="zh-CN"/>
        </w:rPr>
        <w:t>器材柜</w:t>
      </w:r>
      <w:r>
        <w:rPr>
          <w:rFonts w:hint="eastAsia" w:ascii="仿宋" w:hAnsi="仿宋" w:eastAsia="仿宋" w:cs="仿宋"/>
          <w:color w:val="auto"/>
          <w:sz w:val="24"/>
          <w:szCs w:val="24"/>
          <w:highlight w:val="none"/>
        </w:rPr>
        <w:t>以立柱片+横梁形式</w:t>
      </w:r>
      <w:r>
        <w:rPr>
          <w:rFonts w:hint="eastAsia" w:ascii="仿宋" w:hAnsi="仿宋" w:eastAsia="仿宋" w:cs="仿宋"/>
          <w:color w:val="auto"/>
          <w:sz w:val="24"/>
          <w:szCs w:val="24"/>
          <w:highlight w:val="none"/>
          <w:lang w:val="en-US" w:eastAsia="zh-CN"/>
        </w:rPr>
        <w:t>及抽屉等</w:t>
      </w:r>
      <w:r>
        <w:rPr>
          <w:rFonts w:hint="eastAsia" w:ascii="仿宋" w:hAnsi="仿宋" w:eastAsia="仿宋" w:cs="仿宋"/>
          <w:color w:val="auto"/>
          <w:sz w:val="24"/>
          <w:szCs w:val="24"/>
          <w:highlight w:val="none"/>
        </w:rPr>
        <w:t>结构</w:t>
      </w:r>
      <w:r>
        <w:rPr>
          <w:rFonts w:hint="eastAsia" w:ascii="仿宋" w:hAnsi="仿宋" w:eastAsia="仿宋" w:cs="仿宋"/>
          <w:color w:val="auto"/>
          <w:sz w:val="24"/>
          <w:szCs w:val="24"/>
          <w:highlight w:val="none"/>
          <w:lang w:val="en-US" w:eastAsia="zh-CN"/>
        </w:rPr>
        <w:t>形式构成，</w:t>
      </w:r>
      <w:r>
        <w:rPr>
          <w:rFonts w:hint="eastAsia" w:ascii="仿宋" w:hAnsi="仿宋" w:eastAsia="仿宋" w:cs="仿宋"/>
          <w:color w:val="auto"/>
          <w:sz w:val="24"/>
          <w:szCs w:val="24"/>
          <w:highlight w:val="none"/>
        </w:rPr>
        <w:t>可根据存储单元集装设备的特性加装如：隔档、钢层板（钢格板）、金属丝网层、仓储笼导轨、油桶架等功能性附件，能够满足不同单元集装设备形式的货物</w:t>
      </w:r>
      <w:r>
        <w:rPr>
          <w:rFonts w:hint="eastAsia" w:ascii="仿宋" w:hAnsi="仿宋" w:eastAsia="仿宋" w:cs="仿宋"/>
          <w:color w:val="auto"/>
          <w:sz w:val="24"/>
          <w:szCs w:val="24"/>
          <w:highlight w:val="none"/>
          <w:lang w:eastAsia="zh-CN"/>
        </w:rPr>
        <w:t>（主要</w:t>
      </w:r>
      <w:r>
        <w:rPr>
          <w:rFonts w:hint="eastAsia" w:ascii="仿宋" w:hAnsi="仿宋" w:eastAsia="仿宋" w:cs="仿宋"/>
          <w:color w:val="auto"/>
          <w:sz w:val="24"/>
          <w:szCs w:val="24"/>
          <w:highlight w:val="none"/>
          <w:lang w:val="en-US" w:eastAsia="zh-CN"/>
        </w:rPr>
        <w:t>包含</w:t>
      </w:r>
      <w:r>
        <w:rPr>
          <w:rFonts w:hint="eastAsia" w:ascii="仿宋" w:hAnsi="仿宋" w:eastAsia="仿宋" w:cs="仿宋"/>
          <w:color w:val="auto"/>
          <w:sz w:val="24"/>
          <w:szCs w:val="24"/>
          <w:highlight w:val="none"/>
          <w:lang w:eastAsia="zh-CN"/>
        </w:rPr>
        <w:t>m300系留无人机、语音</w:t>
      </w:r>
      <w:r>
        <w:rPr>
          <w:rFonts w:hint="eastAsia" w:ascii="仿宋" w:hAnsi="仿宋" w:eastAsia="仿宋" w:cs="仿宋"/>
          <w:color w:val="auto"/>
          <w:sz w:val="24"/>
          <w:szCs w:val="24"/>
          <w:highlight w:val="none"/>
          <w:lang w:val="en-US" w:eastAsia="zh-CN"/>
        </w:rPr>
        <w:t>和</w:t>
      </w:r>
      <w:r>
        <w:rPr>
          <w:rFonts w:hint="eastAsia" w:ascii="仿宋" w:hAnsi="仿宋" w:eastAsia="仿宋" w:cs="仿宋"/>
          <w:color w:val="auto"/>
          <w:sz w:val="24"/>
          <w:szCs w:val="24"/>
          <w:highlight w:val="none"/>
          <w:lang w:eastAsia="zh-CN"/>
        </w:rPr>
        <w:t>图像自组网、卫星便携站、</w:t>
      </w:r>
      <w:r>
        <w:rPr>
          <w:rFonts w:hint="eastAsia" w:ascii="仿宋" w:hAnsi="仿宋" w:eastAsia="仿宋" w:cs="仿宋"/>
          <w:color w:val="auto"/>
          <w:sz w:val="24"/>
          <w:szCs w:val="24"/>
          <w:highlight w:val="none"/>
        </w:rPr>
        <w:t>个人防护装置、照明器材、设精密仪器专用箱等消防装备</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存储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运用专用夹头、托架、拖板、铝合金盒及塑料盒</w:t>
      </w:r>
      <w:r>
        <w:rPr>
          <w:rFonts w:hint="eastAsia" w:ascii="仿宋" w:hAnsi="仿宋" w:eastAsia="仿宋" w:cs="仿宋"/>
          <w:color w:val="auto"/>
          <w:sz w:val="24"/>
          <w:szCs w:val="24"/>
          <w:highlight w:val="none"/>
          <w:lang w:val="en-US" w:eastAsia="zh-CN"/>
        </w:rPr>
        <w:t>等方式</w:t>
      </w:r>
      <w:r>
        <w:rPr>
          <w:rFonts w:hint="eastAsia" w:ascii="仿宋" w:hAnsi="仿宋" w:eastAsia="仿宋" w:cs="仿宋"/>
          <w:color w:val="auto"/>
          <w:sz w:val="24"/>
          <w:szCs w:val="24"/>
          <w:highlight w:val="none"/>
        </w:rPr>
        <w:t>对器材进行固定。</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2材料：</w:t>
      </w:r>
      <w:r>
        <w:rPr>
          <w:rFonts w:hint="eastAsia" w:ascii="仿宋" w:hAnsi="仿宋" w:eastAsia="仿宋" w:cs="仿宋"/>
          <w:color w:val="auto"/>
          <w:sz w:val="24"/>
          <w:szCs w:val="24"/>
          <w:highlight w:val="none"/>
          <w:lang w:val="en-US" w:eastAsia="zh-CN"/>
        </w:rPr>
        <w:t>车厢</w:t>
      </w:r>
      <w:r>
        <w:rPr>
          <w:rFonts w:hint="eastAsia" w:ascii="仿宋" w:hAnsi="仿宋" w:eastAsia="仿宋" w:cs="仿宋"/>
          <w:color w:val="auto"/>
          <w:sz w:val="24"/>
          <w:szCs w:val="24"/>
          <w:highlight w:val="none"/>
        </w:rPr>
        <w:t>全部采用高强度铝合金型材，内饰板采用光面拉丝氧化铝板</w:t>
      </w:r>
      <w:r>
        <w:rPr>
          <w:rFonts w:hint="eastAsia" w:ascii="仿宋" w:hAnsi="仿宋" w:eastAsia="仿宋" w:cs="仿宋"/>
          <w:color w:val="auto"/>
          <w:sz w:val="24"/>
          <w:szCs w:val="24"/>
          <w:highlight w:val="none"/>
          <w:lang w:eastAsia="zh-CN"/>
        </w:rPr>
        <w:t>；</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3布局：车后部设置铝合金型材框架器材柜，要求器材存放空间</w:t>
      </w:r>
      <w:r>
        <w:rPr>
          <w:rFonts w:hint="eastAsia" w:ascii="仿宋" w:hAnsi="仿宋" w:eastAsia="仿宋" w:cs="仿宋"/>
          <w:color w:val="auto"/>
          <w:sz w:val="24"/>
          <w:szCs w:val="24"/>
          <w:highlight w:val="none"/>
          <w:lang w:val="en-US" w:eastAsia="zh-CN"/>
        </w:rPr>
        <w:t>丰富</w:t>
      </w:r>
      <w:r>
        <w:rPr>
          <w:rFonts w:hint="eastAsia" w:ascii="仿宋" w:hAnsi="仿宋" w:eastAsia="仿宋" w:cs="仿宋"/>
          <w:color w:val="auto"/>
          <w:sz w:val="24"/>
          <w:szCs w:val="24"/>
          <w:highlight w:val="none"/>
        </w:rPr>
        <w:t>，其前后均有车门，驾驶员室、乘员室及器材均置于汽车内部，确保乘坐舒适、安全、器材取用方便快捷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厢内设照明装置</w:t>
      </w:r>
      <w:r>
        <w:rPr>
          <w:rFonts w:hint="eastAsia" w:ascii="仿宋" w:hAnsi="仿宋" w:eastAsia="仿宋" w:cs="仿宋"/>
          <w:color w:val="auto"/>
          <w:sz w:val="24"/>
          <w:szCs w:val="24"/>
          <w:highlight w:val="none"/>
          <w:lang w:eastAsia="zh-CN"/>
        </w:rPr>
        <w:t>。</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4.5配套设备</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4.5.1</w:t>
      </w:r>
      <w:r>
        <w:rPr>
          <w:rFonts w:hint="eastAsia" w:ascii="仿宋" w:hAnsi="仿宋" w:eastAsia="仿宋" w:cs="仿宋"/>
          <w:color w:val="auto"/>
          <w:sz w:val="24"/>
          <w:szCs w:val="24"/>
          <w:highlight w:val="none"/>
          <w:lang w:val="en-US" w:eastAsia="zh-CN"/>
        </w:rPr>
        <w:t>配备无人机制图终端：提供2套配备正版三维建模技术支持（包括但不限于建模、出图、高精度 3D 显示等功能）及可三维建模硬件设备，实现100张原图8分钟之内完成三维图像合成，所属建模软件永久性授权和三年免费软件迭代服务；</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4.5.1.1三维建模硬件：铝合金机身、屏幕14~16英寸，独立显卡≥3000 CUDA，Boost 频率≥2300MHz，显存≥8GB 128bit ，电池≥80Wh,内存≥32G，固态硬盘≥1TB,cpu≥10核心16线程，含三模鼠标、背包等配件）</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4.5.2配备移动电源：功率≥2200w,容量≥640000mAh，自充时间≤1.5h充满，含智能APP控制，搭配加电包，Type-c≥2、USB-A≥2、DC5521≥2、车充口≥1、AC口≥4；</w:t>
      </w:r>
    </w:p>
    <w:p>
      <w:pPr>
        <w:pStyle w:val="80"/>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4.5.3配备5G全网通路由，峰值下载速度≥3.6G,配备≥2个千兆网口，支持插入SIM卡上网和宽带上网两种方式同步进行，可在APP中选择上网方式，包含1张可使用3年的5G不限速套餐流量卡；</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4.6</w:t>
      </w:r>
      <w:r>
        <w:rPr>
          <w:rFonts w:hint="eastAsia" w:ascii="仿宋" w:hAnsi="仿宋" w:eastAsia="仿宋" w:cs="仿宋"/>
          <w:b/>
          <w:bCs/>
          <w:color w:val="auto"/>
          <w:sz w:val="24"/>
          <w:szCs w:val="24"/>
          <w:highlight w:val="none"/>
        </w:rPr>
        <w:t>总体要求</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.1整车性能符合GB7956.1-2014《消防车 第1部分：通用技术条件》；</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color w:val="auto"/>
          <w:highlight w:val="none"/>
          <w:lang w:val="en-US" w:eastAsia="zh-CN"/>
        </w:rPr>
        <w:t>-</w:t>
      </w:r>
      <w:r>
        <w:rPr>
          <w:rFonts w:hint="eastAsia" w:ascii="仿宋" w:hAnsi="仿宋" w:eastAsia="仿宋" w:cs="仿宋"/>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highlight w:val="none"/>
        </w:rPr>
        <w:t>单位需求，对外置车灯、灯具加装防护罩；</w:t>
      </w:r>
      <w:r>
        <w:rPr>
          <w:rFonts w:hint="eastAsia" w:ascii="仿宋" w:hAnsi="仿宋" w:eastAsia="仿宋" w:cs="仿宋"/>
          <w:color w:val="auto"/>
          <w:sz w:val="24"/>
          <w:szCs w:val="24"/>
          <w:highlight w:val="none"/>
        </w:rPr>
        <w:t xml:space="preserve"> </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，在驾乘室可控制扩音器。在车厢两侧、尾部等并联安装红色爆闪灯，警灯、警报器各自采用独立控制开关，车辆顶端四周安装LED灯带；</w:t>
      </w:r>
    </w:p>
    <w:p>
      <w:pPr>
        <w:pStyle w:val="80"/>
        <w:keepNext w:val="0"/>
        <w:keepLines w:val="0"/>
        <w:pageBreakBefore w:val="0"/>
        <w:widowControl w:val="0"/>
        <w:numPr>
          <w:ilvl w:val="0"/>
          <w:numId w:val="0"/>
        </w:numPr>
        <w:kinsoku/>
        <w:wordWrap/>
        <w:overflowPunct/>
        <w:topLinePunct w:val="0"/>
        <w:autoSpaceDE/>
        <w:autoSpaceDN/>
        <w:bidi w:val="0"/>
        <w:spacing w:line="460" w:lineRule="exact"/>
        <w:ind w:left="0" w:leftChars="0" w:right="0" w:rightChars="0" w:firstLine="241" w:firstLineChars="1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4.7</w:t>
      </w:r>
      <w:r>
        <w:rPr>
          <w:rFonts w:hint="eastAsia" w:ascii="仿宋" w:hAnsi="仿宋" w:eastAsia="仿宋" w:cs="仿宋"/>
          <w:b/>
          <w:bCs/>
          <w:color w:val="auto"/>
          <w:sz w:val="24"/>
          <w:szCs w:val="24"/>
          <w:highlight w:val="none"/>
        </w:rPr>
        <w:t>随车器材</w:t>
      </w:r>
    </w:p>
    <w:tbl>
      <w:tblPr>
        <w:tblStyle w:val="43"/>
        <w:tblW w:w="9782" w:type="dxa"/>
        <w:tblInd w:w="0" w:type="dxa"/>
        <w:tblLayout w:type="fixed"/>
        <w:tblCellMar>
          <w:top w:w="0" w:type="dxa"/>
          <w:left w:w="108" w:type="dxa"/>
          <w:bottom w:w="0" w:type="dxa"/>
          <w:right w:w="108" w:type="dxa"/>
        </w:tblCellMar>
      </w:tblPr>
      <w:tblGrid>
        <w:gridCol w:w="696"/>
        <w:gridCol w:w="2994"/>
        <w:gridCol w:w="1230"/>
        <w:gridCol w:w="1231"/>
        <w:gridCol w:w="3631"/>
      </w:tblGrid>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随车工具</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千斤顶</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2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三角警示牌</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2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反光背心</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车辆使用说明书</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打包件清单</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994"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手提式干粉灭火器</w:t>
            </w:r>
          </w:p>
        </w:tc>
        <w:tc>
          <w:tcPr>
            <w:tcW w:w="1230"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w:t>
            </w:r>
          </w:p>
        </w:tc>
        <w:tc>
          <w:tcPr>
            <w:tcW w:w="12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spacing w:line="36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pageBreakBefore w:val="0"/>
              <w:kinsoku/>
              <w:wordWrap/>
              <w:overflowPunct w:val="0"/>
              <w:topLinePunct w:val="0"/>
              <w:bidi w:val="0"/>
              <w:spacing w:line="360" w:lineRule="auto"/>
              <w:ind w:firstLine="0" w:firstLineChars="0"/>
              <w:jc w:val="center"/>
              <w:rPr>
                <w:rFonts w:hint="eastAsia" w:ascii="仿宋" w:hAnsi="仿宋" w:eastAsia="仿宋" w:cs="仿宋"/>
                <w:color w:val="auto"/>
                <w:sz w:val="24"/>
                <w:szCs w:val="24"/>
                <w:highlight w:val="none"/>
              </w:rPr>
            </w:pPr>
          </w:p>
        </w:tc>
      </w:tr>
      <w:tr>
        <w:tblPrEx>
          <w:tblCellMar>
            <w:top w:w="0" w:type="dxa"/>
            <w:left w:w="108" w:type="dxa"/>
            <w:bottom w:w="0" w:type="dxa"/>
            <w:right w:w="108" w:type="dxa"/>
          </w:tblCellMar>
        </w:tblPrEx>
        <w:trPr>
          <w:trHeight w:val="440" w:hRule="atLeast"/>
        </w:trPr>
        <w:tc>
          <w:tcPr>
            <w:tcW w:w="696"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994"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pacing w:line="240" w:lineRule="auto"/>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防滑链</w:t>
            </w:r>
          </w:p>
        </w:tc>
        <w:tc>
          <w:tcPr>
            <w:tcW w:w="1230"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pacing w:line="240" w:lineRule="auto"/>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套</w:t>
            </w:r>
          </w:p>
        </w:tc>
        <w:tc>
          <w:tcPr>
            <w:tcW w:w="123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pacing w:line="240" w:lineRule="auto"/>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3631" w:type="dxa"/>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kinsoku/>
              <w:wordWrap/>
              <w:overflowPunct/>
              <w:topLinePunct w:val="0"/>
              <w:bidi w:val="0"/>
              <w:spacing w:line="240" w:lineRule="auto"/>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keepNext w:val="0"/>
        <w:keepLines w:val="0"/>
        <w:pageBreakBefore w:val="0"/>
        <w:widowControl w:val="0"/>
        <w:kinsoku/>
        <w:wordWrap/>
        <w:overflowPunct/>
        <w:topLinePunct w:val="0"/>
        <w:autoSpaceDE/>
        <w:autoSpaceDN/>
        <w:bidi w:val="0"/>
        <w:adjustRightInd w:val="0"/>
        <w:snapToGrid w:val="0"/>
        <w:spacing w:line="460" w:lineRule="exact"/>
        <w:ind w:firstLine="241" w:firstLineChars="100"/>
        <w:jc w:val="left"/>
        <w:textAlignment w:val="auto"/>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4.8其他要求</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4.8.1整车按国家标准配齐随车设备，设备布置合理，固定牢靠；</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4.8.2供货前，须主动对接使用单位，满足用户需求；</w:t>
      </w:r>
    </w:p>
    <w:p>
      <w:pPr>
        <w:keepNext w:val="0"/>
        <w:keepLines w:val="0"/>
        <w:pageBreakBefore w:val="0"/>
        <w:widowControl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4.8.3交付使用单位时，燃油等添加液处于满液状态；</w:t>
      </w:r>
    </w:p>
    <w:p>
      <w:pPr>
        <w:adjustRightInd w:val="0"/>
        <w:snapToGrid w:val="0"/>
        <w:spacing w:line="460" w:lineRule="exact"/>
        <w:ind w:firstLine="480" w:firstLineChars="20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4.8.4首次保养(含材料、人工、差旅等）免费。</w:t>
      </w:r>
    </w:p>
    <w:p>
      <w:pPr>
        <w:spacing w:line="360" w:lineRule="auto"/>
        <w:rPr>
          <w:rFonts w:hint="eastAsia" w:ascii="仿宋" w:hAnsi="仿宋" w:eastAsia="仿宋" w:cs="仿宋"/>
          <w:color w:val="auto"/>
          <w:sz w:val="24"/>
          <w:szCs w:val="24"/>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58" w:name="_Toc3692"/>
      <w:r>
        <w:rPr>
          <w:rFonts w:hint="eastAsia" w:ascii="仿宋" w:hAnsi="仿宋" w:eastAsia="仿宋" w:cs="仿宋"/>
          <w:color w:val="auto"/>
          <w:sz w:val="28"/>
          <w:szCs w:val="28"/>
          <w:highlight w:val="none"/>
          <w:lang w:val="en-US" w:eastAsia="zh-CN"/>
        </w:rPr>
        <w:t>品目7：物资运输车B</w:t>
      </w:r>
      <w:bookmarkEnd w:id="358"/>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一、货物名称：物资运输车B </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三、数量：4（辆）</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rPr>
        <w:t>4.1</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color w:val="auto"/>
          <w:kern w:val="0"/>
          <w:sz w:val="24"/>
          <w:szCs w:val="24"/>
          <w:highlight w:val="none"/>
        </w:rPr>
        <w:t>整车尺寸：长×宽×高（mm）</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r>
        <w:rPr>
          <w:rFonts w:hint="eastAsia" w:ascii="仿宋" w:hAnsi="仿宋" w:eastAsia="仿宋" w:cs="仿宋"/>
          <w:color w:val="auto"/>
          <w:sz w:val="24"/>
          <w:szCs w:val="24"/>
          <w:highlight w:val="none"/>
        </w:rPr>
        <w:t>12000×2550×</w:t>
      </w:r>
      <w:r>
        <w:rPr>
          <w:rFonts w:hint="eastAsia" w:ascii="仿宋" w:hAnsi="仿宋" w:eastAsia="仿宋" w:cs="仿宋"/>
          <w:color w:val="auto"/>
          <w:sz w:val="24"/>
          <w:szCs w:val="24"/>
          <w:highlight w:val="none"/>
          <w:lang w:val="en-US" w:eastAsia="zh-CN"/>
        </w:rPr>
        <w:t>4000；</w:t>
      </w:r>
    </w:p>
    <w:p>
      <w:pPr>
        <w:keepNext w:val="0"/>
        <w:keepLines w:val="0"/>
        <w:pageBreakBefore w:val="0"/>
        <w:kinsoku/>
        <w:wordWrap/>
        <w:overflowPunct/>
        <w:topLinePunct w:val="0"/>
        <w:autoSpaceDE/>
        <w:autoSpaceDN/>
        <w:bidi w:val="0"/>
        <w:adjustRightInd/>
        <w:snapToGrid/>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比功率：≥12KW/T；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▲4.2.1发动机额定功率≥310kw；</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燃料：柴油；油箱容积：≥300L；</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排放标准：符合国Ⅵ标准；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最高车速≥8</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km/h；</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驱动形式：6×4；</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配置子午线钢丝轮胎、胎压监测系统、360°倒车影像、行车记录仪 (内存不小于32G),配备350-400MHz工作频率范围车载台、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sz w:val="24"/>
          <w:szCs w:val="24"/>
          <w:highlight w:val="none"/>
        </w:rPr>
        <w:t>，带倒车告警蜂鸣器、倒车摄像头</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变速箱：手动</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4.3驾乘室</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val="0"/>
          <w:bCs w:val="0"/>
          <w:color w:val="auto"/>
          <w:kern w:val="0"/>
          <w:sz w:val="24"/>
          <w:szCs w:val="22"/>
          <w:highlight w:val="none"/>
          <w:lang w:val="en-US"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.1结构：</w:t>
      </w:r>
      <w:r>
        <w:rPr>
          <w:rFonts w:hint="eastAsia" w:ascii="仿宋" w:hAnsi="仿宋" w:eastAsia="仿宋" w:cs="仿宋"/>
          <w:color w:val="auto"/>
          <w:kern w:val="0"/>
          <w:sz w:val="24"/>
          <w:highlight w:val="none"/>
        </w:rPr>
        <w:t>全钢框架焊接结构</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2"/>
          <w:highlight w:val="none"/>
          <w:lang w:val="en-US" w:eastAsia="zh-CN" w:bidi="ar"/>
        </w:rPr>
        <w:t>带液压缸倾翻、带安全锁止装置，电动液压泵；</w:t>
      </w:r>
    </w:p>
    <w:p>
      <w:pPr>
        <w:keepNext w:val="0"/>
        <w:keepLines w:val="0"/>
        <w:pageBreakBefore w:val="0"/>
        <w:widowControl w:val="0"/>
        <w:numPr>
          <w:ilvl w:val="0"/>
          <w:numId w:val="18"/>
        </w:numPr>
        <w:kinsoku/>
        <w:wordWrap/>
        <w:overflowPunct/>
        <w:topLinePunct w:val="0"/>
        <w:autoSpaceDE/>
        <w:autoSpaceDN/>
        <w:bidi w:val="0"/>
        <w:adjustRightInd/>
        <w:snapToGrid/>
        <w:spacing w:line="480" w:lineRule="exact"/>
        <w:ind w:left="0" w:leftChars="0" w:right="0" w:righ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座位设置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门单排座，乘员人数≥2人，电控窗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座椅应全部设置安全带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主驾空气悬挂座椅、副驾单人可调节座椅</w:t>
      </w:r>
      <w:r>
        <w:rPr>
          <w:rFonts w:hint="eastAsia" w:ascii="仿宋" w:hAnsi="仿宋" w:eastAsia="仿宋" w:cs="仿宋"/>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 xml:space="preserve"> 驾乘室设备：除原车设备外，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both"/>
        <w:textAlignment w:val="baseline"/>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4</w:t>
      </w:r>
      <w:r>
        <w:rPr>
          <w:rFonts w:hint="eastAsia" w:ascii="仿宋" w:hAnsi="仿宋" w:eastAsia="仿宋" w:cs="仿宋"/>
          <w:b/>
          <w:bCs/>
          <w:color w:val="auto"/>
          <w:sz w:val="24"/>
          <w:szCs w:val="24"/>
          <w:highlight w:val="none"/>
        </w:rPr>
        <w:t>主要性能及配置</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4.4.1</w:t>
      </w:r>
      <w:r>
        <w:rPr>
          <w:rFonts w:hint="eastAsia" w:ascii="仿宋" w:hAnsi="仿宋" w:eastAsia="仿宋" w:cs="仿宋"/>
          <w:b w:val="0"/>
          <w:bCs w:val="0"/>
          <w:color w:val="auto"/>
          <w:sz w:val="24"/>
          <w:szCs w:val="24"/>
          <w:highlight w:val="none"/>
        </w:rPr>
        <w:t>厢体</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材质：厢体结构为骨架钢制或铝合金型材，器材架为全铝结构</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结构：钢制框架和铝合金型材专用连接件结构，确保其强度和刚度。合理设计增加器材放置空间，放置器材隔断空间可调整</w:t>
      </w:r>
      <w:r>
        <w:rPr>
          <w:rFonts w:hint="eastAsia" w:ascii="仿宋" w:hAnsi="仿宋" w:eastAsia="仿宋" w:cs="仿宋"/>
          <w:color w:val="auto"/>
          <w:sz w:val="24"/>
          <w:szCs w:val="24"/>
          <w:highlight w:val="none"/>
          <w:lang w:eastAsia="zh-CN"/>
        </w:rPr>
        <w:t>；</w:t>
      </w:r>
    </w:p>
    <w:p>
      <w:pPr>
        <w:pStyle w:val="81"/>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2"/>
          <w:sz w:val="24"/>
          <w:szCs w:val="24"/>
          <w:highlight w:val="none"/>
          <w:lang w:val="en-US"/>
        </w:rPr>
      </w:pPr>
      <w:r>
        <w:rPr>
          <w:rFonts w:hint="eastAsia" w:ascii="仿宋" w:hAnsi="仿宋" w:eastAsia="仿宋" w:cs="仿宋"/>
          <w:color w:val="auto"/>
          <w:kern w:val="2"/>
          <w:sz w:val="24"/>
          <w:szCs w:val="24"/>
          <w:highlight w:val="none"/>
          <w:lang w:val="en-US" w:eastAsia="zh-CN"/>
        </w:rPr>
        <w:t>4.4.1.</w:t>
      </w:r>
      <w:r>
        <w:rPr>
          <w:rFonts w:hint="eastAsia" w:ascii="仿宋" w:hAnsi="仿宋" w:eastAsia="仿宋" w:cs="仿宋"/>
          <w:color w:val="auto"/>
          <w:kern w:val="2"/>
          <w:sz w:val="24"/>
          <w:szCs w:val="24"/>
          <w:highlight w:val="none"/>
          <w:lang w:val="en-US"/>
        </w:rPr>
        <w:t>3厢体左右两侧采用翼开门结构，翼开门开启90度后，可以从左右两侧快速拿取器材厢内的器材装备；厢体尾部采用双开门结构</w:t>
      </w:r>
      <w:r>
        <w:rPr>
          <w:rFonts w:hint="eastAsia" w:ascii="仿宋" w:hAnsi="仿宋" w:eastAsia="仿宋" w:cs="仿宋"/>
          <w:color w:val="auto"/>
          <w:kern w:val="2"/>
          <w:sz w:val="24"/>
          <w:szCs w:val="24"/>
          <w:highlight w:val="none"/>
          <w:lang w:val="en-US" w:eastAsia="zh-CN"/>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720" w:firstLineChars="300"/>
        <w:jc w:val="left"/>
        <w:textAlignment w:val="auto"/>
        <w:rPr>
          <w:rFonts w:hint="eastAsia" w:ascii="仿宋" w:hAnsi="仿宋" w:eastAsia="仿宋" w:cs="仿宋"/>
          <w:color w:val="auto"/>
          <w:kern w:val="2"/>
          <w:sz w:val="24"/>
          <w:szCs w:val="24"/>
          <w:highlight w:val="none"/>
          <w:lang w:val="en-US"/>
        </w:rPr>
      </w:pPr>
      <w:r>
        <w:rPr>
          <w:rFonts w:hint="eastAsia" w:ascii="仿宋" w:hAnsi="仿宋" w:eastAsia="仿宋" w:cs="仿宋"/>
          <w:color w:val="auto"/>
          <w:kern w:val="2"/>
          <w:sz w:val="24"/>
          <w:szCs w:val="24"/>
          <w:highlight w:val="none"/>
          <w:lang w:val="en-US" w:eastAsia="zh-CN"/>
        </w:rPr>
        <w:t>4.4.1.</w:t>
      </w:r>
      <w:r>
        <w:rPr>
          <w:rFonts w:hint="eastAsia" w:ascii="仿宋" w:hAnsi="仿宋" w:eastAsia="仿宋" w:cs="仿宋"/>
          <w:color w:val="auto"/>
          <w:kern w:val="2"/>
          <w:sz w:val="24"/>
          <w:szCs w:val="24"/>
          <w:highlight w:val="none"/>
          <w:lang w:val="en-US"/>
        </w:rPr>
        <w:t>4厢体内照明：厢体内部设置照明灯</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rPr>
        <w:t>数量</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rPr>
        <w:t>3个</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sz w:val="24"/>
          <w:szCs w:val="24"/>
          <w:highlight w:val="none"/>
        </w:rPr>
        <w:t>单个功率≥50W</w:t>
      </w:r>
      <w:r>
        <w:rPr>
          <w:rFonts w:hint="eastAsia" w:ascii="仿宋" w:hAnsi="仿宋" w:eastAsia="仿宋" w:cs="仿宋"/>
          <w:color w:val="auto"/>
          <w:kern w:val="2"/>
          <w:sz w:val="24"/>
          <w:szCs w:val="24"/>
          <w:highlight w:val="none"/>
          <w:lang w:val="en-US"/>
        </w:rPr>
        <w:t>，车厢内部照明灯加装防护罩</w:t>
      </w:r>
      <w:r>
        <w:rPr>
          <w:rFonts w:hint="eastAsia" w:ascii="仿宋" w:hAnsi="仿宋" w:eastAsia="仿宋" w:cs="仿宋"/>
          <w:color w:val="auto"/>
          <w:kern w:val="2"/>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液压尾板</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.1板面尺寸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mm</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：≥2400×1800 ；</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.2板面材质：钢；</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.3板面结构：整体式；</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.4额定载重：≥</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000kg ；</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.5最大举升高度：≥1500mm；</w:t>
      </w:r>
    </w:p>
    <w:p>
      <w:pPr>
        <w:pStyle w:val="81"/>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.6液压系统：</w:t>
      </w: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缸配置，液压自动调平；</w:t>
      </w:r>
    </w:p>
    <w:p>
      <w:pPr>
        <w:pStyle w:val="81"/>
        <w:keepNext w:val="0"/>
        <w:keepLines w:val="0"/>
        <w:pageBreakBefore w:val="0"/>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仿宋" w:hAnsi="仿宋" w:eastAsia="仿宋" w:cs="仿宋"/>
          <w:color w:val="auto"/>
          <w:sz w:val="24"/>
          <w:szCs w:val="24"/>
          <w:highlight w:val="none"/>
          <w:lang w:val="en-US" w:bidi="ar"/>
        </w:rPr>
      </w:pPr>
      <w:r>
        <w:rPr>
          <w:rFonts w:hint="eastAsia" w:ascii="仿宋" w:hAnsi="仿宋" w:eastAsia="仿宋" w:cs="仿宋"/>
          <w:color w:val="auto"/>
          <w:kern w:val="2"/>
          <w:sz w:val="24"/>
          <w:szCs w:val="24"/>
          <w:highlight w:val="none"/>
          <w:lang w:val="en-US" w:eastAsia="zh-CN"/>
        </w:rPr>
        <w:t>4.4.3</w:t>
      </w:r>
      <w:r>
        <w:rPr>
          <w:rFonts w:hint="eastAsia" w:ascii="仿宋" w:hAnsi="仿宋" w:eastAsia="仿宋" w:cs="仿宋"/>
          <w:color w:val="auto"/>
          <w:kern w:val="2"/>
          <w:sz w:val="24"/>
          <w:szCs w:val="24"/>
          <w:highlight w:val="none"/>
          <w:lang w:val="en-US"/>
        </w:rPr>
        <w:t>随车配备≥</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lang w:val="en-US"/>
        </w:rPr>
        <w:t>个滚塑箱，滚塑箱尺寸</w:t>
      </w:r>
      <w:r>
        <w:rPr>
          <w:rFonts w:hint="eastAsia" w:ascii="仿宋" w:hAnsi="仿宋" w:eastAsia="仿宋" w:cs="仿宋"/>
          <w:b w:val="0"/>
          <w:bCs w:val="0"/>
          <w:color w:val="auto"/>
          <w:sz w:val="24"/>
          <w:szCs w:val="24"/>
          <w:highlight w:val="none"/>
        </w:rPr>
        <w:t>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宽</w:t>
      </w:r>
      <w:r>
        <w:rPr>
          <w:rFonts w:hint="eastAsia" w:ascii="仿宋" w:hAnsi="仿宋" w:eastAsia="仿宋" w:cs="仿宋"/>
          <w:b w:val="0"/>
          <w:bCs w:val="0"/>
          <w:color w:val="auto"/>
          <w:sz w:val="24"/>
          <w:szCs w:val="24"/>
          <w:highlight w:val="none"/>
          <w:lang w:val="en-US" w:eastAsia="zh-CN"/>
        </w:rPr>
        <w:t>×高</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b w:val="0"/>
          <w:bCs w:val="0"/>
          <w:color w:val="auto"/>
          <w:sz w:val="24"/>
          <w:szCs w:val="24"/>
          <w:highlight w:val="none"/>
        </w:rPr>
        <w:t>mm</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rPr>
        <w:t>：</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val="en-US"/>
        </w:rPr>
        <w:t>1</w:t>
      </w:r>
      <w:r>
        <w:rPr>
          <w:rFonts w:hint="eastAsia" w:ascii="仿宋" w:hAnsi="仿宋" w:eastAsia="仿宋" w:cs="仿宋"/>
          <w:color w:val="auto"/>
          <w:kern w:val="2"/>
          <w:sz w:val="24"/>
          <w:szCs w:val="24"/>
          <w:highlight w:val="none"/>
          <w:lang w:val="en-US" w:eastAsia="zh-CN"/>
        </w:rPr>
        <w:t>20</w:t>
      </w:r>
      <w:r>
        <w:rPr>
          <w:rFonts w:hint="eastAsia" w:ascii="仿宋" w:hAnsi="仿宋" w:eastAsia="仿宋" w:cs="仿宋"/>
          <w:color w:val="auto"/>
          <w:kern w:val="2"/>
          <w:sz w:val="24"/>
          <w:szCs w:val="24"/>
          <w:highlight w:val="none"/>
          <w:lang w:val="en-US"/>
        </w:rPr>
        <w:t>0×</w:t>
      </w: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lang w:val="en-US"/>
        </w:rPr>
        <w:t>00×</w:t>
      </w:r>
      <w:r>
        <w:rPr>
          <w:rFonts w:hint="eastAsia" w:ascii="仿宋" w:hAnsi="仿宋" w:eastAsia="仿宋" w:cs="仿宋"/>
          <w:color w:val="auto"/>
          <w:kern w:val="2"/>
          <w:sz w:val="24"/>
          <w:szCs w:val="24"/>
          <w:highlight w:val="none"/>
          <w:lang w:val="en-US" w:eastAsia="zh-CN"/>
        </w:rPr>
        <w:t>600；</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配备≥2辆电动推车，</w:t>
      </w:r>
      <w:r>
        <w:rPr>
          <w:rFonts w:hint="eastAsia" w:ascii="仿宋" w:hAnsi="仿宋" w:eastAsia="仿宋" w:cs="仿宋"/>
          <w:color w:val="auto"/>
          <w:sz w:val="24"/>
          <w:szCs w:val="24"/>
          <w:highlight w:val="none"/>
          <w:lang w:val="en-US" w:eastAsia="zh-CN"/>
        </w:rPr>
        <w:t>两辆总</w:t>
      </w:r>
      <w:r>
        <w:rPr>
          <w:rFonts w:hint="eastAsia" w:ascii="仿宋" w:hAnsi="仿宋" w:eastAsia="仿宋" w:cs="仿宋"/>
          <w:color w:val="auto"/>
          <w:sz w:val="24"/>
          <w:szCs w:val="24"/>
          <w:highlight w:val="none"/>
        </w:rPr>
        <w:t>额定载重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500kg；</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车辆左右侧面各安装一套便携式</w:t>
      </w:r>
      <w:r>
        <w:rPr>
          <w:rFonts w:hint="eastAsia" w:ascii="仿宋" w:hAnsi="仿宋" w:eastAsia="仿宋" w:cs="仿宋"/>
          <w:color w:val="auto"/>
          <w:sz w:val="24"/>
          <w:szCs w:val="24"/>
          <w:highlight w:val="none"/>
          <w:lang w:eastAsia="zh-CN"/>
        </w:rPr>
        <w:t>自动</w:t>
      </w:r>
      <w:r>
        <w:rPr>
          <w:rFonts w:hint="eastAsia" w:ascii="仿宋" w:hAnsi="仿宋" w:eastAsia="仿宋" w:cs="仿宋"/>
          <w:color w:val="auto"/>
          <w:sz w:val="24"/>
          <w:szCs w:val="24"/>
          <w:highlight w:val="none"/>
        </w:rPr>
        <w:t>升降照明灯，固定在车辆侧面，满足快速拆卸，灯头功率≥10</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W，灯头水平旋转≥360°</w:t>
      </w:r>
      <w:r>
        <w:rPr>
          <w:rFonts w:hint="eastAsia" w:ascii="仿宋" w:hAnsi="仿宋" w:eastAsia="仿宋" w:cs="仿宋"/>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牵引绞盘：采用国际知名品牌电驱动的牵引绞盘，钢丝绳长度≥30m，额定拉力≥70KN，钢丝绳径≥13mm；</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4.5</w:t>
      </w:r>
      <w:r>
        <w:rPr>
          <w:rFonts w:hint="eastAsia" w:ascii="仿宋" w:hAnsi="仿宋" w:eastAsia="仿宋" w:cs="仿宋"/>
          <w:b/>
          <w:bCs/>
          <w:color w:val="auto"/>
          <w:sz w:val="24"/>
          <w:szCs w:val="24"/>
          <w:highlight w:val="none"/>
        </w:rPr>
        <w:t>总体要求</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4.5.1整车性能符合GB7956.1-2014《消防车 第1部分：通用技术条件》；</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4.5.</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color w:val="auto"/>
          <w:highlight w:val="none"/>
          <w:lang w:val="en-US" w:eastAsia="zh-CN"/>
        </w:rPr>
        <w:t>-</w:t>
      </w:r>
      <w:r>
        <w:rPr>
          <w:rFonts w:hint="eastAsia" w:ascii="仿宋" w:hAnsi="仿宋" w:eastAsia="仿宋" w:cs="仿宋"/>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4.5.</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highlight w:val="none"/>
        </w:rPr>
        <w:t>单位需求，对外置车灯、灯具加装防护罩；</w:t>
      </w:r>
      <w:r>
        <w:rPr>
          <w:rFonts w:hint="eastAsia" w:ascii="仿宋" w:hAnsi="仿宋" w:eastAsia="仿宋" w:cs="仿宋"/>
          <w:color w:val="auto"/>
          <w:sz w:val="24"/>
          <w:szCs w:val="24"/>
          <w:highlight w:val="none"/>
        </w:rPr>
        <w:t xml:space="preserve"> </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4.5.</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kinsoku/>
        <w:wordWrap/>
        <w:overflowPunct/>
        <w:topLinePunct w:val="0"/>
        <w:autoSpaceDE/>
        <w:autoSpaceDN/>
        <w:bidi w:val="0"/>
        <w:spacing w:line="460" w:lineRule="exact"/>
        <w:ind w:left="0" w:leftChars="0" w:right="0" w:rightChars="0"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4.5.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val="0"/>
        <w:kinsoku/>
        <w:wordWrap/>
        <w:overflowPunct/>
        <w:topLinePunct w:val="0"/>
        <w:autoSpaceDE/>
        <w:autoSpaceDN/>
        <w:bidi w:val="0"/>
        <w:adjustRightInd w:val="0"/>
        <w:snapToGrid w:val="0"/>
        <w:spacing w:line="460" w:lineRule="exact"/>
        <w:ind w:firstLine="241" w:firstLineChars="100"/>
        <w:jc w:val="left"/>
        <w:outlineLvl w:val="9"/>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4.6其他要求</w:t>
      </w:r>
    </w:p>
    <w:p>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4.6.1整车按国家标准配齐随车设备，设备布置合理，固定牢靠：</w:t>
      </w:r>
    </w:p>
    <w:p>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4.6.2供货前，须主动对接使用单位，满足用户需求；</w:t>
      </w:r>
    </w:p>
    <w:p>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4.6.3交付使用单位时，燃油等添加液处于满液状态：</w:t>
      </w:r>
    </w:p>
    <w:p>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4.6.4首次保养(含材料、人工、差旅等）免费；</w:t>
      </w:r>
    </w:p>
    <w:p>
      <w:pPr>
        <w:keepNext w:val="0"/>
        <w:keepLines w:val="0"/>
        <w:pageBreakBefore w:val="0"/>
        <w:widowControl w:val="0"/>
        <w:kinsoku/>
        <w:wordWrap/>
        <w:overflowPunct/>
        <w:topLinePunct w:val="0"/>
        <w:autoSpaceDE/>
        <w:autoSpaceDN/>
        <w:bidi w:val="0"/>
        <w:adjustRightInd/>
        <w:snapToGrid/>
        <w:spacing w:line="460" w:lineRule="exact"/>
        <w:ind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4.7随车附件</w:t>
      </w:r>
    </w:p>
    <w:tbl>
      <w:tblPr>
        <w:tblStyle w:val="43"/>
        <w:tblW w:w="0" w:type="auto"/>
        <w:jc w:val="center"/>
        <w:tblLayout w:type="fixed"/>
        <w:tblCellMar>
          <w:top w:w="0" w:type="dxa"/>
          <w:left w:w="30" w:type="dxa"/>
          <w:bottom w:w="0" w:type="dxa"/>
          <w:right w:w="30" w:type="dxa"/>
        </w:tblCellMar>
      </w:tblPr>
      <w:tblGrid>
        <w:gridCol w:w="894"/>
        <w:gridCol w:w="2839"/>
        <w:gridCol w:w="804"/>
        <w:gridCol w:w="867"/>
        <w:gridCol w:w="3975"/>
      </w:tblGrid>
      <w:tr>
        <w:tblPrEx>
          <w:tblCellMar>
            <w:top w:w="0" w:type="dxa"/>
            <w:left w:w="30" w:type="dxa"/>
            <w:bottom w:w="0" w:type="dxa"/>
            <w:right w:w="30" w:type="dxa"/>
          </w:tblCellMar>
        </w:tblPrEx>
        <w:trPr>
          <w:trHeight w:val="397" w:hRule="atLeast"/>
          <w:tblHeader/>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97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3975"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rPr>
          <w:rFonts w:hint="eastAsia"/>
          <w:color w:val="auto"/>
          <w:highlight w:val="none"/>
          <w:lang w:val="en-US"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59" w:name="_Toc16551"/>
      <w:r>
        <w:rPr>
          <w:rFonts w:hint="eastAsia" w:ascii="仿宋" w:hAnsi="仿宋" w:eastAsia="仿宋" w:cs="仿宋"/>
          <w:color w:val="auto"/>
          <w:sz w:val="28"/>
          <w:szCs w:val="28"/>
          <w:highlight w:val="none"/>
          <w:lang w:val="en-US" w:eastAsia="zh-CN"/>
        </w:rPr>
        <w:t>品目8：冷藏车</w:t>
      </w:r>
      <w:bookmarkEnd w:id="359"/>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0" w:firstLineChars="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一、货物名称：冷藏车</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0" w:firstLineChars="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二、主要规格：国产底盘</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0" w:firstLineChars="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三、数量：</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(辆)</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0" w:firstLineChars="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四、主要技术规格、参数及要求:</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4.1 整车</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4.1.1 整车尺寸：长×宽×高（mm）</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≤11000×2</w:t>
      </w:r>
      <w:r>
        <w:rPr>
          <w:rFonts w:hint="eastAsia" w:ascii="仿宋" w:hAnsi="仿宋" w:eastAsia="仿宋" w:cs="仿宋"/>
          <w:color w:val="auto"/>
          <w:kern w:val="0"/>
          <w:sz w:val="24"/>
          <w:szCs w:val="24"/>
          <w:highlight w:val="none"/>
          <w:lang w:val="en-US" w:eastAsia="zh-CN"/>
        </w:rPr>
        <w:t>55</w:t>
      </w:r>
      <w:r>
        <w:rPr>
          <w:rFonts w:hint="eastAsia" w:ascii="仿宋" w:hAnsi="仿宋" w:eastAsia="仿宋" w:cs="仿宋"/>
          <w:color w:val="auto"/>
          <w:kern w:val="0"/>
          <w:sz w:val="24"/>
          <w:szCs w:val="24"/>
          <w:highlight w:val="none"/>
        </w:rPr>
        <w:t>0×4000；</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比功率≥10KW/T；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4.2 底盘</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4.2.1发动机额定功率≥180KW；</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4.2.2 燃料：柴油；油箱容积：≥</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00L;</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4.2.3排放标准：符合国Ⅵ标准；</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4.2.4 驱动形式：4×2；</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4.2.5 最高车速≥90km/h；</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4.2.6 配置子午线钢丝轮胎、胎压监测系统、360°倒车影像、行车记录仪 (内存</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4.2.7 变速箱：手动；</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b w:val="0"/>
          <w:bCs w:val="0"/>
          <w:color w:val="auto"/>
          <w:kern w:val="0"/>
          <w:sz w:val="24"/>
          <w:szCs w:val="24"/>
          <w:highlight w:val="none"/>
        </w:rPr>
      </w:pPr>
      <w:r>
        <w:rPr>
          <w:rFonts w:hint="eastAsia" w:ascii="仿宋" w:hAnsi="仿宋" w:eastAsia="仿宋" w:cs="仿宋"/>
          <w:color w:val="auto"/>
          <w:kern w:val="0"/>
          <w:sz w:val="24"/>
          <w:highlight w:val="none"/>
        </w:rPr>
        <w:t>4.2.8制动系统：前轮盘式制动器，ABS（防抱死制动系统）或EBS（电控制动系统）</w:t>
      </w:r>
      <w:r>
        <w:rPr>
          <w:rFonts w:hint="eastAsia" w:ascii="仿宋" w:hAnsi="仿宋" w:eastAsia="仿宋" w:cs="仿宋"/>
          <w:color w:val="auto"/>
          <w:kern w:val="0"/>
          <w:sz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4.3 驾乘室</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4.3.1 结构：</w:t>
      </w:r>
      <w:r>
        <w:rPr>
          <w:rFonts w:hint="eastAsia" w:ascii="仿宋" w:hAnsi="仿宋" w:eastAsia="仿宋" w:cs="仿宋"/>
          <w:color w:val="auto"/>
          <w:kern w:val="0"/>
          <w:sz w:val="24"/>
          <w:highlight w:val="none"/>
        </w:rPr>
        <w:t>全钢框架焊接结构，带液压缸倾翻、带安全锁止装置</w:t>
      </w:r>
      <w:r>
        <w:rPr>
          <w:rFonts w:hint="eastAsia" w:ascii="仿宋" w:hAnsi="仿宋" w:eastAsia="仿宋" w:cs="仿宋"/>
          <w:color w:val="auto"/>
          <w:kern w:val="0"/>
          <w:sz w:val="24"/>
          <w:highlight w:val="none"/>
          <w:lang w:eastAsia="zh-CN"/>
        </w:rPr>
        <w:t>，</w:t>
      </w:r>
      <w:r>
        <w:rPr>
          <w:rFonts w:hint="eastAsia" w:ascii="仿宋" w:hAnsi="仿宋" w:eastAsia="仿宋" w:cs="仿宋"/>
          <w:b w:val="0"/>
          <w:bCs w:val="0"/>
          <w:color w:val="auto"/>
          <w:sz w:val="24"/>
          <w:szCs w:val="24"/>
          <w:highlight w:val="none"/>
          <w:lang w:val="en-US" w:eastAsia="zh-CN"/>
        </w:rPr>
        <w:t>电动液压泵</w:t>
      </w:r>
      <w:r>
        <w:rPr>
          <w:rFonts w:hint="eastAsia" w:ascii="仿宋" w:hAnsi="仿宋" w:eastAsia="仿宋" w:cs="仿宋"/>
          <w:color w:val="auto"/>
          <w:kern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4.3.2 座位设置：乘员≥3 人，所有座椅应全部设置安全带；</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4.3.3 驾乘室设备：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4.4 主要性能及配置</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 车厢性能具有优良隔热保温性能，漏气倍数达到Ⅰ级、总传热系数达到A 级；</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4.4.1.1 车厢采用双舱布局型式，其中前后舱安装固定货物架，配备相应数量的保温箱，具体设计与使用单位对接；前舱容积≥10m³，后舱容积≥20m³，前后舱分别设置车厢门，均可分别用于冷藏或者冷冻，冷冻温度可由司机在驾乘室内单独控制调节；</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4.4.1.2 厢体内设置温度监测仪，随时监测厢体内的温度变化；</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4.4.1.3 侧门和后门处均安装风幕机，用于隔离冷热空气的对流交换，阻止蚊虫进入厢内；</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4.4.1.4 车厢内安装消毒灯，侧门及后门处配置 LED 照明灯，照明灯安装为内嵌式并附带不锈钢护罩，侧门及后门侧壁板上设有防水开关，并可与驾乘室内开关实现单联双控；</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4.4.1.5 车身下部设置裙箱，作为专用工具箱存放工具、配件及其他物品；</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4.4.1.</w:t>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存储量满足≥300人≥3天所需的肉蛋蔬菜水果及主副食品</w:t>
      </w:r>
      <w:r>
        <w:rPr>
          <w:rFonts w:hint="eastAsia" w:ascii="仿宋" w:hAnsi="仿宋" w:eastAsia="仿宋" w:cs="仿宋"/>
          <w:color w:val="auto"/>
          <w:kern w:val="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 制冷设备</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4.4.2.1 车厢前部安装制冷机组，保持厢体内低温，型式：多温独立制冷机组，两台蒸发器可独立运行，相互之间不受影响；</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4.4.2.2制冷量≥3600W，可手动、自动除霜；</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4.4.2.3 驱动：自带发动机，无需底盘发动机驱动；</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4.4.2.4 燃料为柴油，配备独立副油箱，保证不间断工作</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 xml:space="preserve"> 3 天，且补充燃油方便；</w:t>
      </w:r>
    </w:p>
    <w:p>
      <w:pPr>
        <w:keepNext w:val="0"/>
        <w:keepLines w:val="0"/>
        <w:pageBreakBefore w:val="0"/>
        <w:widowControl/>
        <w:kinsoku/>
        <w:wordWrap/>
        <w:overflowPunct/>
        <w:topLinePunct w:val="0"/>
        <w:autoSpaceDE/>
        <w:autoSpaceDN/>
        <w:bidi w:val="0"/>
        <w:adjustRightInd w:val="0"/>
        <w:snapToGrid/>
        <w:spacing w:line="46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4.4.2.</w:t>
      </w:r>
      <w:r>
        <w:rPr>
          <w:rFonts w:hint="eastAsia" w:ascii="仿宋" w:hAnsi="仿宋" w:eastAsia="仿宋" w:cs="仿宋"/>
          <w:color w:val="auto"/>
          <w:kern w:val="0"/>
          <w:sz w:val="24"/>
          <w:szCs w:val="24"/>
          <w:highlight w:val="none"/>
          <w:lang w:val="en-US" w:eastAsia="zh-CN"/>
        </w:rPr>
        <w:t xml:space="preserve">5 </w:t>
      </w:r>
      <w:r>
        <w:rPr>
          <w:rFonts w:hint="eastAsia" w:ascii="仿宋" w:hAnsi="仿宋" w:eastAsia="仿宋" w:cs="仿宋"/>
          <w:color w:val="auto"/>
          <w:kern w:val="0"/>
          <w:sz w:val="24"/>
          <w:szCs w:val="24"/>
          <w:highlight w:val="none"/>
        </w:rPr>
        <w:t>制冷机组工作温度范围</w:t>
      </w:r>
      <w:r>
        <w:rPr>
          <w:rFonts w:hint="eastAsia" w:ascii="仿宋" w:hAnsi="仿宋" w:eastAsia="仿宋" w:cs="仿宋"/>
          <w:color w:val="auto"/>
          <w:kern w:val="0"/>
          <w:sz w:val="24"/>
          <w:szCs w:val="24"/>
          <w:highlight w:val="none"/>
          <w:lang w:eastAsia="zh-CN"/>
        </w:rPr>
        <w:t>至少包含</w:t>
      </w:r>
      <w:r>
        <w:rPr>
          <w:rFonts w:hint="eastAsia" w:ascii="仿宋" w:hAnsi="仿宋" w:eastAsia="仿宋" w:cs="仿宋"/>
          <w:color w:val="auto"/>
          <w:kern w:val="0"/>
          <w:sz w:val="24"/>
          <w:szCs w:val="24"/>
          <w:highlight w:val="none"/>
        </w:rPr>
        <w:t>-29℃~+30℃</w:t>
      </w:r>
      <w:r>
        <w:rPr>
          <w:rFonts w:hint="eastAsia" w:ascii="仿宋" w:hAnsi="仿宋" w:eastAsia="仿宋" w:cs="仿宋"/>
          <w:color w:val="auto"/>
          <w:kern w:val="0"/>
          <w:sz w:val="24"/>
          <w:szCs w:val="24"/>
          <w:highlight w:val="none"/>
          <w:lang w:eastAsia="zh-CN"/>
        </w:rPr>
        <w:t>，且</w:t>
      </w:r>
      <w:r>
        <w:rPr>
          <w:rFonts w:hint="eastAsia" w:ascii="仿宋" w:hAnsi="仿宋" w:eastAsia="仿宋" w:cs="仿宋"/>
          <w:color w:val="auto"/>
          <w:kern w:val="0"/>
          <w:sz w:val="24"/>
          <w:szCs w:val="24"/>
          <w:highlight w:val="none"/>
        </w:rPr>
        <w:t>可调节</w:t>
      </w:r>
      <w:r>
        <w:rPr>
          <w:rFonts w:hint="eastAsia" w:ascii="仿宋" w:hAnsi="仿宋" w:eastAsia="仿宋" w:cs="仿宋"/>
          <w:color w:val="auto"/>
          <w:kern w:val="0"/>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4.4.3 车厢门、压缩机上方各配有照明灯（照度保证人员搬运货物和正常操作设备）；</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4.5 总体要求</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lang w:eastAsia="zh-CN"/>
        </w:rPr>
        <w:t>4.5.1整车性能符合GB7956.1-2014《消防车 第1部分：通用技术条件》；</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 xml:space="preserve"> 车身颜色符合GB/T3181</w:t>
      </w:r>
      <w:r>
        <w:rPr>
          <w:rFonts w:ascii="Times New Roman" w:hAnsi="Times New Roman" w:eastAsia="方正仿宋_GBK"/>
          <w:color w:val="auto"/>
          <w:sz w:val="24"/>
          <w:szCs w:val="24"/>
          <w:highlight w:val="none"/>
        </w:rPr>
        <w:t>-2008《漆膜颜色标准》</w:t>
      </w:r>
      <w:r>
        <w:rPr>
          <w:rFonts w:hint="eastAsia" w:ascii="仿宋" w:hAnsi="仿宋" w:eastAsia="仿宋" w:cs="仿宋"/>
          <w:color w:val="auto"/>
          <w:kern w:val="0"/>
          <w:sz w:val="24"/>
          <w:szCs w:val="24"/>
          <w:highlight w:val="none"/>
        </w:rPr>
        <w:t>中规定的 R03 红色，符合《国务院办公厅关于国家综合性消防救援车辆悬挂应急救援专用号牌有关事项的通知》（国办发【2018】114 号）、《消防救援局关于做好消防救援车辆外观制式涂装工作的通知》（应急消【2019】76 号）等要求；</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kern w:val="0"/>
          <w:sz w:val="24"/>
          <w:highlight w:val="none"/>
        </w:rPr>
        <w:t>单位需求，对外置车灯、灯具加装防护罩；</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 xml:space="preserve"> 防腐保护：驾乘室及上装均采用内涂层等进行防腐处理；</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 xml:space="preserve"> 警报灯具：驾乘室顶部安装消防专用灯具，驾乘室内设置警报器和扩音系统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4.6 其他要求</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4.6.1 整车按国家标准配齐随车设备，设备布置合理，固定牢靠；</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4.6.2 供货前，须主动对接采购人，满足采购人需求；</w:t>
      </w:r>
    </w:p>
    <w:p>
      <w:pPr>
        <w:keepNext w:val="0"/>
        <w:keepLines w:val="0"/>
        <w:pageBreakBefore w:val="0"/>
        <w:widowControl/>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4.6.3 交付采购人时，提供操作使用说明书纸质版（含电子版）</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燃油、尿素等添加液处于满液状态；</w:t>
      </w:r>
    </w:p>
    <w:p>
      <w:pPr>
        <w:keepNext w:val="0"/>
        <w:keepLines w:val="0"/>
        <w:pageBreakBefore w:val="0"/>
        <w:widowControl/>
        <w:kinsoku/>
        <w:wordWrap/>
        <w:overflowPunct/>
        <w:topLinePunct w:val="0"/>
        <w:autoSpaceDE/>
        <w:autoSpaceDN/>
        <w:bidi w:val="0"/>
        <w:adjustRightInd/>
        <w:snapToGrid/>
        <w:spacing w:line="460" w:lineRule="exact"/>
        <w:ind w:left="0" w:firstLine="480" w:firstLineChars="200"/>
        <w:jc w:val="left"/>
        <w:textAlignment w:val="auto"/>
        <w:outlineLvl w:val="9"/>
        <w:rPr>
          <w:rFonts w:hint="eastAsia" w:eastAsia="仿宋"/>
          <w:color w:val="auto"/>
          <w:highlight w:val="none"/>
          <w:lang w:eastAsia="zh-CN"/>
        </w:rPr>
      </w:pPr>
      <w:r>
        <w:rPr>
          <w:rFonts w:hint="eastAsia" w:ascii="仿宋" w:hAnsi="仿宋" w:eastAsia="仿宋" w:cs="仿宋"/>
          <w:color w:val="auto"/>
          <w:kern w:val="0"/>
          <w:sz w:val="24"/>
          <w:szCs w:val="24"/>
          <w:highlight w:val="none"/>
        </w:rPr>
        <w:t>4.6.4 首次保养（含材料、人工、差旅等）免费</w:t>
      </w:r>
      <w:r>
        <w:rPr>
          <w:rFonts w:hint="eastAsia" w:ascii="仿宋" w:hAnsi="仿宋" w:eastAsia="仿宋" w:cs="仿宋"/>
          <w:color w:val="auto"/>
          <w:kern w:val="0"/>
          <w:sz w:val="24"/>
          <w:szCs w:val="24"/>
          <w:highlight w:val="none"/>
          <w:lang w:val="en-US" w:eastAsia="zh-CN"/>
        </w:rPr>
        <w:t>；</w:t>
      </w:r>
    </w:p>
    <w:p>
      <w:pPr>
        <w:keepNext w:val="0"/>
        <w:keepLines w:val="0"/>
        <w:pageBreakBefore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kern w:val="0"/>
          <w:sz w:val="24"/>
          <w:szCs w:val="24"/>
          <w:highlight w:val="none"/>
        </w:rPr>
        <w:t>4.7 随车附件</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571"/>
        <w:gridCol w:w="987"/>
        <w:gridCol w:w="1093"/>
        <w:gridCol w:w="3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bookmarkStart w:id="360" w:name="_Hlk136975192"/>
            <w:r>
              <w:rPr>
                <w:rFonts w:hint="eastAsia" w:ascii="仿宋" w:hAnsi="仿宋" w:eastAsia="仿宋" w:cs="仿宋"/>
                <w:color w:val="auto"/>
                <w:sz w:val="24"/>
                <w:szCs w:val="24"/>
                <w:highlight w:val="none"/>
              </w:rPr>
              <w:t>序号</w:t>
            </w:r>
          </w:p>
        </w:tc>
        <w:tc>
          <w:tcPr>
            <w:tcW w:w="2571" w:type="dxa"/>
            <w:noWrap w:val="0"/>
            <w:vAlign w:val="top"/>
          </w:tcPr>
          <w:p>
            <w:pPr>
              <w:keepNext w:val="0"/>
              <w:keepLines w:val="0"/>
              <w:pageBreakBefore w:val="0"/>
              <w:kinsoku/>
              <w:wordWrap/>
              <w:overflowPunct/>
              <w:topLinePunct w:val="0"/>
              <w:bidi w:val="0"/>
              <w:spacing w:line="460" w:lineRule="exact"/>
              <w:ind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底盘随车工具</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干粉灭火器</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8Kg,ABC干粉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轮胎打气套管</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千斤顶</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三角警示牌</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备用轮胎</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车辆限位块</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571"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警戒带</w:t>
            </w:r>
          </w:p>
        </w:tc>
        <w:tc>
          <w:tcPr>
            <w:tcW w:w="9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93"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盘</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571"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防滑链</w:t>
            </w:r>
          </w:p>
        </w:tc>
        <w:tc>
          <w:tcPr>
            <w:tcW w:w="987"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93"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套</w:t>
            </w:r>
          </w:p>
        </w:tc>
        <w:tc>
          <w:tcPr>
            <w:tcW w:w="3652"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防滑链数量与轮胎数量相匹配</w:t>
            </w:r>
          </w:p>
        </w:tc>
      </w:tr>
      <w:bookmarkEnd w:id="360"/>
    </w:tbl>
    <w:p>
      <w:pPr>
        <w:keepNext w:val="0"/>
        <w:keepLines w:val="0"/>
        <w:pageBreakBefore w:val="0"/>
        <w:kinsoku/>
        <w:wordWrap/>
        <w:overflowPunct/>
        <w:topLinePunct w:val="0"/>
        <w:autoSpaceDE/>
        <w:autoSpaceDN/>
        <w:bidi w:val="0"/>
        <w:spacing w:line="240" w:lineRule="auto"/>
        <w:ind w:left="0" w:leftChars="0" w:right="0" w:rightChars="0" w:firstLine="0" w:firstLineChars="0"/>
        <w:jc w:val="left"/>
        <w:textAlignment w:val="auto"/>
        <w:outlineLvl w:val="9"/>
        <w:rPr>
          <w:rFonts w:hint="eastAsia"/>
          <w:color w:val="auto"/>
          <w:highlight w:val="none"/>
          <w:lang w:eastAsia="zh-CN"/>
        </w:rPr>
      </w:pPr>
      <w:bookmarkStart w:id="361" w:name="_Toc9440"/>
      <w:bookmarkStart w:id="362" w:name="_Toc11201"/>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63" w:name="_Toc12625"/>
      <w:r>
        <w:rPr>
          <w:rFonts w:hint="eastAsia" w:ascii="仿宋" w:hAnsi="仿宋" w:eastAsia="仿宋" w:cs="仿宋"/>
          <w:color w:val="auto"/>
          <w:sz w:val="28"/>
          <w:szCs w:val="28"/>
          <w:highlight w:val="none"/>
          <w:lang w:val="en-US" w:eastAsia="zh-CN"/>
        </w:rPr>
        <w:t>品目9：淋浴车</w:t>
      </w:r>
      <w:bookmarkEnd w:id="361"/>
      <w:bookmarkEnd w:id="362"/>
      <w:bookmarkEnd w:id="363"/>
    </w:p>
    <w:p>
      <w:pPr>
        <w:keepNext w:val="0"/>
        <w:keepLines w:val="0"/>
        <w:pageBreakBefore w:val="0"/>
        <w:kinsoku/>
        <w:wordWrap/>
        <w:overflowPunct/>
        <w:topLinePunct w:val="0"/>
        <w:autoSpaceDE w:val="0"/>
        <w:autoSpaceDN w:val="0"/>
        <w:bidi w:val="0"/>
        <w:spacing w:line="460" w:lineRule="exact"/>
        <w:ind w:left="0" w:leftChars="0" w:right="0" w:rightChars="0" w:firstLine="0" w:firstLineChars="0"/>
        <w:jc w:val="left"/>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一、货物名称：淋浴车</w:t>
      </w:r>
    </w:p>
    <w:p>
      <w:pPr>
        <w:keepNext w:val="0"/>
        <w:keepLines w:val="0"/>
        <w:pageBreakBefore w:val="0"/>
        <w:kinsoku/>
        <w:wordWrap/>
        <w:overflowPunct/>
        <w:topLinePunct w:val="0"/>
        <w:autoSpaceDE w:val="0"/>
        <w:autoSpaceDN w:val="0"/>
        <w:bidi w:val="0"/>
        <w:spacing w:line="460" w:lineRule="exact"/>
        <w:ind w:left="0" w:leftChars="0" w:right="0" w:rightChars="0" w:firstLine="0" w:firstLineChars="0"/>
        <w:jc w:val="left"/>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keepNext w:val="0"/>
        <w:keepLines w:val="0"/>
        <w:pageBreakBefore w:val="0"/>
        <w:kinsoku/>
        <w:wordWrap/>
        <w:overflowPunct/>
        <w:topLinePunct w:val="0"/>
        <w:autoSpaceDE w:val="0"/>
        <w:autoSpaceDN w:val="0"/>
        <w:bidi w:val="0"/>
        <w:spacing w:line="460" w:lineRule="exact"/>
        <w:ind w:left="0" w:leftChars="0" w:right="0" w:rightChars="0" w:firstLine="0" w:firstLineChars="0"/>
        <w:jc w:val="left"/>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（辆）</w:t>
      </w:r>
    </w:p>
    <w:p>
      <w:pPr>
        <w:keepNext w:val="0"/>
        <w:keepLines w:val="0"/>
        <w:pageBreakBefore w:val="0"/>
        <w:kinsoku/>
        <w:wordWrap/>
        <w:overflowPunct/>
        <w:topLinePunct w:val="0"/>
        <w:autoSpaceDE w:val="0"/>
        <w:autoSpaceDN w:val="0"/>
        <w:bidi w:val="0"/>
        <w:spacing w:line="460" w:lineRule="exact"/>
        <w:ind w:left="0" w:leftChars="0" w:right="0" w:rightChars="0" w:firstLine="0" w:firstLineChars="0"/>
        <w:jc w:val="left"/>
        <w:textAlignment w:val="baseline"/>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baseline"/>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4.1</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整车尺寸：长×宽×高（mm）</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≤9500×2550×3700；</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比功率≥10KW/T；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4.2.1发动机功率≥24</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KW；</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4.2.2燃料：柴油；</w:t>
      </w:r>
      <w:r>
        <w:rPr>
          <w:rFonts w:hint="eastAsia" w:ascii="仿宋" w:hAnsi="仿宋" w:eastAsia="仿宋" w:cs="仿宋"/>
          <w:color w:val="auto"/>
          <w:kern w:val="0"/>
          <w:sz w:val="24"/>
          <w:szCs w:val="24"/>
          <w:highlight w:val="none"/>
        </w:rPr>
        <w:t>油箱容积：≥</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00L；</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4.2.3排放标准：符合国Ⅵ标准；</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4.2.4驱动形式：4×2；</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4.2.5最高车速≥90km/h；</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4.2.6</w:t>
      </w:r>
      <w:r>
        <w:rPr>
          <w:rFonts w:hint="eastAsia" w:ascii="仿宋" w:hAnsi="仿宋" w:eastAsia="仿宋" w:cs="仿宋"/>
          <w:color w:val="auto"/>
          <w:kern w:val="0"/>
          <w:sz w:val="24"/>
          <w:szCs w:val="24"/>
          <w:highlight w:val="none"/>
        </w:rPr>
        <w:t>配置子午线钢丝轮胎、胎压监测系统、360°倒车影像、行车记录仪 (内存</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color w:val="auto"/>
          <w:sz w:val="24"/>
          <w:highlight w:val="none"/>
        </w:rPr>
        <w:t>4.2.</w:t>
      </w:r>
      <w:r>
        <w:rPr>
          <w:rFonts w:hint="eastAsia" w:ascii="仿宋" w:hAnsi="仿宋" w:eastAsia="仿宋" w:cs="仿宋"/>
          <w:color w:val="auto"/>
          <w:sz w:val="24"/>
          <w:highlight w:val="none"/>
          <w:lang w:eastAsia="zh-CN"/>
        </w:rPr>
        <w:t>7</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4.3驾乘室</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4.3.1</w:t>
      </w:r>
      <w:r>
        <w:rPr>
          <w:rFonts w:hint="eastAsia" w:ascii="仿宋" w:hAnsi="仿宋" w:eastAsia="仿宋" w:cs="仿宋"/>
          <w:color w:val="auto"/>
          <w:sz w:val="24"/>
          <w:highlight w:val="none"/>
        </w:rPr>
        <w:t>结构：全钢框架焊接结构，带液压缸倾翻、带安全锁止装置</w:t>
      </w:r>
      <w:r>
        <w:rPr>
          <w:rFonts w:hint="eastAsia" w:ascii="仿宋" w:hAnsi="仿宋" w:eastAsia="仿宋" w:cs="仿宋"/>
          <w:color w:val="auto"/>
          <w:sz w:val="24"/>
          <w:highlight w:val="none"/>
          <w:lang w:eastAsia="zh-CN"/>
        </w:rPr>
        <w:t>，</w:t>
      </w:r>
      <w:r>
        <w:rPr>
          <w:rFonts w:hint="eastAsia" w:ascii="仿宋" w:hAnsi="仿宋" w:eastAsia="仿宋" w:cs="仿宋"/>
          <w:b w:val="0"/>
          <w:bCs w:val="0"/>
          <w:color w:val="auto"/>
          <w:sz w:val="24"/>
          <w:szCs w:val="24"/>
          <w:highlight w:val="none"/>
          <w:lang w:val="en-US" w:eastAsia="zh-CN"/>
        </w:rPr>
        <w:t>电动液压泵</w:t>
      </w:r>
      <w:r>
        <w:rPr>
          <w:rFonts w:hint="eastAsia" w:ascii="仿宋" w:hAnsi="仿宋" w:eastAsia="仿宋" w:cs="仿宋"/>
          <w:b w:val="0"/>
          <w:bCs w:val="0"/>
          <w:color w:val="auto"/>
          <w:sz w:val="24"/>
          <w:szCs w:val="24"/>
          <w:highlight w:val="none"/>
        </w:rPr>
        <w:t>；</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4.3.2座位设置：单排，乘员≥2人，所有座椅应全部设置安全带；</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4.3.3 驾乘室设备：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tabs>
          <w:tab w:val="left" w:pos="720"/>
        </w:tabs>
        <w:kinsoku/>
        <w:wordWrap/>
        <w:overflowPunct/>
        <w:topLinePunct w:val="0"/>
        <w:autoSpaceDE/>
        <w:autoSpaceDN/>
        <w:bidi w:val="0"/>
        <w:adjustRightInd/>
        <w:snapToGrid/>
        <w:spacing w:line="460" w:lineRule="exact"/>
        <w:ind w:left="0" w:leftChars="0" w:right="0" w:rightChars="0" w:firstLine="241" w:firstLineChars="100"/>
        <w:jc w:val="left"/>
        <w:outlineLvl w:val="9"/>
        <w:rPr>
          <w:rFonts w:hint="eastAsia" w:ascii="仿宋" w:hAnsi="仿宋" w:eastAsia="仿宋" w:cs="仿宋"/>
          <w:b/>
          <w:bCs/>
          <w:color w:val="auto"/>
          <w:sz w:val="24"/>
          <w:szCs w:val="24"/>
          <w:highlight w:val="none"/>
          <w:shd w:val="clear" w:color="auto" w:fill="FFFFFF"/>
        </w:rPr>
      </w:pPr>
      <w:r>
        <w:rPr>
          <w:rFonts w:hint="eastAsia" w:ascii="仿宋" w:hAnsi="仿宋" w:eastAsia="仿宋" w:cs="仿宋"/>
          <w:b/>
          <w:bCs/>
          <w:color w:val="auto"/>
          <w:sz w:val="24"/>
          <w:szCs w:val="24"/>
          <w:highlight w:val="none"/>
          <w:shd w:val="clear" w:color="auto" w:fill="FFFFFF"/>
        </w:rPr>
        <w:t>4.4主要性能及配置</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4.4.1车厢由设备间、更衣间及淋浴间组成，一次性满足≥8人同时淋浴需求；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4.4.1.1设备间内安装智能热水加热器、电控箱、供水管路等设备</w:t>
      </w:r>
      <w:r>
        <w:rPr>
          <w:rFonts w:hint="eastAsia" w:ascii="仿宋" w:hAnsi="仿宋" w:eastAsia="仿宋" w:cs="仿宋"/>
          <w:b w:val="0"/>
          <w:bCs w:val="0"/>
          <w:color w:val="auto"/>
          <w:sz w:val="24"/>
          <w:szCs w:val="24"/>
          <w:highlight w:val="none"/>
          <w:lang w:eastAsia="zh-CN"/>
        </w:rPr>
        <w:t>；配备智能自动控制面板，可对电压电流、车厢温度、运行状态实时显示，并可对异常情况声光报警；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4.4.1.2更衣间至少配备洗手池、仪容镜、电动换气扇及取暖设备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8组更衣柜（配备门锁）；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4.4.1.3配备2台洗烘一体机</w:t>
      </w:r>
      <w:r>
        <w:rPr>
          <w:rFonts w:hint="eastAsia" w:ascii="仿宋" w:hAnsi="仿宋" w:eastAsia="仿宋" w:cs="仿宋"/>
          <w:b w:val="0"/>
          <w:bCs w:val="0"/>
          <w:color w:val="auto"/>
          <w:sz w:val="24"/>
          <w:szCs w:val="24"/>
          <w:highlight w:val="none"/>
          <w:lang w:eastAsia="zh-CN"/>
        </w:rPr>
        <w:t>，单台洗衣量≥</w:t>
      </w:r>
      <w:r>
        <w:rPr>
          <w:rFonts w:hint="eastAsia" w:ascii="仿宋" w:hAnsi="仿宋" w:eastAsia="仿宋" w:cs="仿宋"/>
          <w:b w:val="0"/>
          <w:bCs w:val="0"/>
          <w:color w:val="auto"/>
          <w:sz w:val="24"/>
          <w:szCs w:val="24"/>
          <w:highlight w:val="none"/>
        </w:rPr>
        <w:t>10kg；</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4.4.2淋浴设备</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4.4.2.1结构：高度集成式、封闭式燃烧结构；</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4.4.2.2</w:t>
      </w:r>
      <w:r>
        <w:rPr>
          <w:rFonts w:hint="eastAsia" w:ascii="仿宋" w:hAnsi="仿宋" w:eastAsia="仿宋" w:cs="仿宋"/>
          <w:b w:val="0"/>
          <w:color w:val="auto"/>
          <w:kern w:val="2"/>
          <w:sz w:val="24"/>
          <w:szCs w:val="24"/>
          <w:highlight w:val="none"/>
        </w:rPr>
        <w:t>锅炉：燃烧机≥10万大卡，</w:t>
      </w:r>
      <w:r>
        <w:rPr>
          <w:rFonts w:hint="eastAsia" w:ascii="仿宋" w:hAnsi="仿宋" w:eastAsia="仿宋" w:cs="仿宋"/>
          <w:b w:val="0"/>
          <w:bCs w:val="0"/>
          <w:color w:val="auto"/>
          <w:sz w:val="24"/>
          <w:szCs w:val="24"/>
          <w:highlight w:val="none"/>
        </w:rPr>
        <w:t>热功率≥120kw，热效率≥</w:t>
      </w:r>
      <w:r>
        <w:rPr>
          <w:rFonts w:hint="eastAsia" w:ascii="仿宋" w:hAnsi="仿宋" w:eastAsia="仿宋" w:cs="仿宋"/>
          <w:b w:val="0"/>
          <w:bCs w:val="0"/>
          <w:color w:val="auto"/>
          <w:sz w:val="24"/>
          <w:szCs w:val="24"/>
          <w:highlight w:val="none"/>
          <w:lang w:val="en-US" w:eastAsia="zh-CN"/>
        </w:rPr>
        <w:t>90</w:t>
      </w:r>
      <w:r>
        <w:rPr>
          <w:rFonts w:hint="eastAsia" w:ascii="仿宋" w:hAnsi="仿宋" w:eastAsia="仿宋" w:cs="仿宋"/>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4.4.2.3燃料：柴油，配备副油箱，保证全负荷使用</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10个小时；</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4.4.2.4温度调节：热水器能根据实际需求自由设定加热温度，热水器的工作过程由程序自动控制；</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4.4.2.5淋浴设备、更衣柜均采用不锈钢材质，淋浴喷头应包含顶喷花洒、手持花洒，淋浴管路采用冷热水混合型式；</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4.4.3水箱及管路</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color w:val="auto"/>
          <w:kern w:val="2"/>
          <w:sz w:val="24"/>
          <w:szCs w:val="24"/>
          <w:highlight w:val="none"/>
          <w:lang w:eastAsia="zh-CN"/>
        </w:rPr>
      </w:pPr>
      <w:r>
        <w:rPr>
          <w:rFonts w:hint="eastAsia" w:ascii="仿宋" w:hAnsi="仿宋" w:eastAsia="仿宋" w:cs="仿宋"/>
          <w:b w:val="0"/>
          <w:bCs w:val="0"/>
          <w:color w:val="auto"/>
          <w:sz w:val="24"/>
          <w:szCs w:val="24"/>
          <w:highlight w:val="none"/>
        </w:rPr>
        <w:t>4.4.3.1</w:t>
      </w:r>
      <w:r>
        <w:rPr>
          <w:rFonts w:hint="eastAsia" w:ascii="仿宋" w:hAnsi="仿宋" w:eastAsia="仿宋" w:cs="仿宋"/>
          <w:b w:val="0"/>
          <w:bCs w:val="0"/>
          <w:color w:val="auto"/>
          <w:sz w:val="24"/>
          <w:szCs w:val="24"/>
          <w:highlight w:val="none"/>
          <w:lang w:val="en-US" w:eastAsia="zh-CN"/>
        </w:rPr>
        <w:t>净</w:t>
      </w:r>
      <w:r>
        <w:rPr>
          <w:rFonts w:hint="eastAsia" w:ascii="仿宋" w:hAnsi="仿宋" w:eastAsia="仿宋" w:cs="仿宋"/>
          <w:b w:val="0"/>
          <w:bCs w:val="0"/>
          <w:color w:val="auto"/>
          <w:sz w:val="24"/>
          <w:szCs w:val="24"/>
          <w:highlight w:val="none"/>
        </w:rPr>
        <w:t>水箱储水量≥</w:t>
      </w:r>
      <w:r>
        <w:rPr>
          <w:rFonts w:hint="eastAsia" w:ascii="仿宋" w:hAnsi="仿宋" w:eastAsia="仿宋" w:cs="仿宋"/>
          <w:b w:val="0"/>
          <w:bCs w:val="0"/>
          <w:color w:val="auto"/>
          <w:sz w:val="24"/>
          <w:szCs w:val="24"/>
          <w:highlight w:val="none"/>
          <w:lang w:val="en-US" w:eastAsia="zh-CN"/>
        </w:rPr>
        <w:t>18</w:t>
      </w:r>
      <w:r>
        <w:rPr>
          <w:rFonts w:hint="eastAsia" w:ascii="仿宋" w:hAnsi="仿宋" w:eastAsia="仿宋" w:cs="仿宋"/>
          <w:b w:val="0"/>
          <w:bCs w:val="0"/>
          <w:color w:val="auto"/>
          <w:sz w:val="24"/>
          <w:szCs w:val="24"/>
          <w:highlight w:val="none"/>
        </w:rPr>
        <w:t>00L；</w:t>
      </w:r>
      <w:r>
        <w:rPr>
          <w:rFonts w:hint="eastAsia" w:ascii="仿宋" w:hAnsi="仿宋" w:eastAsia="仿宋" w:cs="仿宋"/>
          <w:b w:val="0"/>
          <w:color w:val="auto"/>
          <w:kern w:val="2"/>
          <w:sz w:val="24"/>
          <w:szCs w:val="24"/>
          <w:highlight w:val="none"/>
        </w:rPr>
        <w:t>不锈钢保温水箱≥1000L</w:t>
      </w:r>
      <w:r>
        <w:rPr>
          <w:rFonts w:hint="eastAsia" w:ascii="仿宋" w:hAnsi="仿宋" w:eastAsia="仿宋" w:cs="仿宋"/>
          <w:b w:val="0"/>
          <w:color w:val="auto"/>
          <w:kern w:val="2"/>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4.4.3.2</w:t>
      </w:r>
      <w:r>
        <w:rPr>
          <w:rFonts w:hint="eastAsia" w:ascii="仿宋" w:hAnsi="仿宋" w:eastAsia="仿宋" w:cs="仿宋"/>
          <w:b w:val="0"/>
          <w:bCs w:val="0"/>
          <w:color w:val="auto"/>
          <w:sz w:val="24"/>
          <w:szCs w:val="24"/>
          <w:highlight w:val="none"/>
          <w:lang w:val="en-US" w:eastAsia="zh-CN"/>
        </w:rPr>
        <w:t>净</w:t>
      </w:r>
      <w:r>
        <w:rPr>
          <w:rFonts w:hint="eastAsia" w:ascii="仿宋" w:hAnsi="仿宋" w:eastAsia="仿宋" w:cs="仿宋"/>
          <w:b w:val="0"/>
          <w:bCs w:val="0"/>
          <w:color w:val="auto"/>
          <w:sz w:val="24"/>
          <w:szCs w:val="24"/>
          <w:highlight w:val="none"/>
        </w:rPr>
        <w:t>水箱采用不锈钢材质，箱体具有足够的强度、刚度，水箱带加热功能，</w:t>
      </w:r>
      <w:r>
        <w:rPr>
          <w:rFonts w:hint="eastAsia" w:ascii="仿宋" w:hAnsi="仿宋" w:eastAsia="仿宋" w:cs="仿宋"/>
          <w:b w:val="0"/>
          <w:color w:val="auto"/>
          <w:kern w:val="2"/>
          <w:sz w:val="24"/>
          <w:szCs w:val="24"/>
          <w:highlight w:val="none"/>
        </w:rPr>
        <w:t>外部设有液位计，可观察水箱内水位</w:t>
      </w:r>
      <w:r>
        <w:rPr>
          <w:rFonts w:hint="eastAsia" w:ascii="仿宋" w:hAnsi="仿宋" w:eastAsia="仿宋" w:cs="仿宋"/>
          <w:b w:val="0"/>
          <w:color w:val="auto"/>
          <w:kern w:val="2"/>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4.4.3.3水路系统配备冷水泵及热水泵，流量≥4000L/h，压力≥0.2MPa；</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4.4.4电源系统</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4.4.4.1配备车载发电机，额定功率≥5kW，电压220V；</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4.4.4.2增加一组蓄电池，满足上装照明、警灯、通信等关键设备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4</w:t>
      </w:r>
      <w:r>
        <w:rPr>
          <w:rFonts w:hint="eastAsia" w:ascii="仿宋" w:hAnsi="仿宋" w:eastAsia="仿宋" w:cs="仿宋"/>
          <w:b w:val="0"/>
          <w:bCs w:val="0"/>
          <w:color w:val="auto"/>
          <w:sz w:val="24"/>
          <w:szCs w:val="24"/>
          <w:highlight w:val="none"/>
          <w:lang w:val="en-US" w:eastAsia="zh-CN"/>
        </w:rPr>
        <w:t>h</w:t>
      </w:r>
      <w:r>
        <w:rPr>
          <w:rFonts w:hint="eastAsia" w:ascii="仿宋" w:hAnsi="仿宋" w:eastAsia="仿宋" w:cs="仿宋"/>
          <w:b w:val="0"/>
          <w:bCs w:val="0"/>
          <w:color w:val="auto"/>
          <w:sz w:val="24"/>
          <w:szCs w:val="24"/>
          <w:highlight w:val="none"/>
        </w:rPr>
        <w:t>用电量；</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4.4.5电器及控制设备</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4.4.5.1车内电气照明应使用防潮灯具，防护等级为≥IP67；</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4.4.5.2整车取暖方式选用电加热膜加热，保障寒冷季节车内温度；</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rPr>
        <w:t>4.4.6设净水系统，净水量≥600L/h，消毒功率≥2000w，；</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4.5总体要求</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4.5.1整车性能符合GB7956.1-2014《消防车 第1部分：通用技术条件》；</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4.5.</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车身颜色符合GB/T3181</w:t>
      </w:r>
      <w:r>
        <w:rPr>
          <w:rFonts w:hint="eastAsia" w:ascii="仿宋" w:hAnsi="仿宋" w:eastAsia="仿宋" w:cs="仿宋"/>
          <w:b w:val="0"/>
          <w:bCs w:val="0"/>
          <w:color w:val="auto"/>
          <w:sz w:val="24"/>
          <w:szCs w:val="24"/>
          <w:highlight w:val="none"/>
          <w:lang w:val="en-US" w:eastAsia="zh-CN"/>
        </w:rPr>
        <w:t>-2008</w:t>
      </w:r>
      <w:r>
        <w:rPr>
          <w:rFonts w:hint="eastAsia" w:ascii="仿宋" w:hAnsi="仿宋" w:eastAsia="仿宋" w:cs="仿宋"/>
          <w:b w:val="0"/>
          <w:bCs w:val="0"/>
          <w:color w:val="auto"/>
          <w:sz w:val="24"/>
          <w:szCs w:val="24"/>
          <w:highlight w:val="none"/>
        </w:rPr>
        <w:t>《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4.5.</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rPr>
        <w:t>在确保不影响车辆安全行驶的前提下，根据</w:t>
      </w:r>
      <w:r>
        <w:rPr>
          <w:rFonts w:hint="eastAsia" w:ascii="仿宋" w:hAnsi="仿宋" w:eastAsia="仿宋" w:cs="仿宋"/>
          <w:b w:val="0"/>
          <w:bCs w:val="0"/>
          <w:color w:val="auto"/>
          <w:sz w:val="24"/>
          <w:szCs w:val="24"/>
          <w:highlight w:val="none"/>
          <w:lang w:val="en-US" w:eastAsia="zh-CN"/>
        </w:rPr>
        <w:t>使用</w:t>
      </w:r>
      <w:r>
        <w:rPr>
          <w:rFonts w:hint="eastAsia" w:ascii="仿宋" w:hAnsi="仿宋" w:eastAsia="仿宋" w:cs="仿宋"/>
          <w:b w:val="0"/>
          <w:bCs w:val="0"/>
          <w:color w:val="auto"/>
          <w:sz w:val="24"/>
          <w:szCs w:val="24"/>
          <w:highlight w:val="none"/>
        </w:rPr>
        <w:t>单位需求，对外置车灯、灯具</w:t>
      </w:r>
      <w:r>
        <w:rPr>
          <w:rFonts w:hint="eastAsia" w:ascii="仿宋" w:hAnsi="仿宋" w:eastAsia="仿宋" w:cs="仿宋"/>
          <w:color w:val="auto"/>
          <w:sz w:val="24"/>
          <w:highlight w:val="none"/>
        </w:rPr>
        <w:t>加装防护罩；</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4.5.</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防腐保护：驾驶室及上装均采用内涂层等进行防腐处理；</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rPr>
        <w:t>4.5.</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警示灯具：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4.5.</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rPr>
        <w:t>投标人在结构设计布置时需提前与采购人联系，根据采购人提供的装载器材种类及数量进行定位、定量设计车厢结构，设计方案必须经采购人同意后方可进行生产；</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4.6.2供货前，须主动对接采购人，满足采购人需求；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4.6.3交付采购人时，提供操作使用说明书纸质版（含电子版）</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4.6.4首次保养（含材料、人工、差旅等）免费</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4.7随车附件</w:t>
      </w:r>
    </w:p>
    <w:tbl>
      <w:tblPr>
        <w:tblStyle w:val="43"/>
        <w:tblW w:w="0" w:type="auto"/>
        <w:jc w:val="center"/>
        <w:tblLayout w:type="fixed"/>
        <w:tblCellMar>
          <w:top w:w="0" w:type="dxa"/>
          <w:left w:w="30" w:type="dxa"/>
          <w:bottom w:w="0" w:type="dxa"/>
          <w:right w:w="30" w:type="dxa"/>
        </w:tblCellMar>
      </w:tblPr>
      <w:tblGrid>
        <w:gridCol w:w="894"/>
        <w:gridCol w:w="2839"/>
        <w:gridCol w:w="804"/>
        <w:gridCol w:w="867"/>
        <w:gridCol w:w="3789"/>
      </w:tblGrid>
      <w:tr>
        <w:tblPrEx>
          <w:tblCellMar>
            <w:top w:w="0" w:type="dxa"/>
            <w:left w:w="30" w:type="dxa"/>
            <w:bottom w:w="0" w:type="dxa"/>
            <w:right w:w="30" w:type="dxa"/>
          </w:tblCellMar>
        </w:tblPrEx>
        <w:trPr>
          <w:trHeight w:val="397" w:hRule="atLeast"/>
          <w:tblHeader/>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8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3789"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keepNext w:val="0"/>
        <w:keepLines w:val="0"/>
        <w:pageBreakBefore w:val="0"/>
        <w:widowControl/>
        <w:kinsoku/>
        <w:wordWrap/>
        <w:overflowPunct/>
        <w:topLinePunct w:val="0"/>
        <w:bidi w:val="0"/>
        <w:adjustRightInd/>
        <w:snapToGrid/>
        <w:spacing w:line="240" w:lineRule="auto"/>
        <w:ind w:firstLine="0" w:firstLineChars="0"/>
        <w:jc w:val="left"/>
        <w:outlineLvl w:val="9"/>
        <w:rPr>
          <w:rFonts w:hint="eastAsia"/>
          <w:color w:val="auto"/>
          <w:highlight w:val="none"/>
          <w:lang w:val="en-US" w:eastAsia="zh-CN"/>
        </w:rPr>
      </w:pPr>
      <w:bookmarkStart w:id="364" w:name="_Toc18109"/>
      <w:bookmarkStart w:id="365" w:name="_Toc24429"/>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66" w:name="_Toc21358"/>
      <w:r>
        <w:rPr>
          <w:rFonts w:hint="eastAsia" w:ascii="仿宋" w:hAnsi="仿宋" w:eastAsia="仿宋" w:cs="仿宋"/>
          <w:color w:val="auto"/>
          <w:sz w:val="28"/>
          <w:szCs w:val="28"/>
          <w:highlight w:val="none"/>
          <w:lang w:val="en-US" w:eastAsia="zh-CN"/>
        </w:rPr>
        <w:t>品目10：盥洗车</w:t>
      </w:r>
      <w:bookmarkEnd w:id="364"/>
      <w:bookmarkEnd w:id="365"/>
      <w:bookmarkEnd w:id="366"/>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一、货物名称：盥洗车</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二、主要规格：国产底盘</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三、数量：</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(辆)</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四、主要技术规格、参数及要求: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4.1.1整车尺寸：长×宽×高（mm）：≤11000×2550×4000；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4.1.2比功率≥ 12KW/T；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4.2 底盘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4.2.1发动机额定功率≥220kw；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4.2.2燃料：柴油；油箱容积：≥200L；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4.2.3尾气排放：符合国Ⅵ标准；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4.2.4驱动形式：4×2;</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4.2.5 最高车速≥95km/h；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4.2.6 配置子午线钢丝轮胎、胎压监测系统、行车记录仪 (内存≥32G),配备350-400MHz工作频率范围车载台、单北斗卫星定位装置（可接入国家局现有北斗消防综合管理服务平台），带倒车告警蜂鸣器、倒车摄像头和驾乘室内监视器，监视器屏幕≥10英寸；</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strike w:val="0"/>
          <w:dstrike w:val="0"/>
          <w:color w:val="auto"/>
          <w:sz w:val="24"/>
          <w:szCs w:val="24"/>
          <w:highlight w:val="none"/>
          <w:lang w:val="en-US" w:eastAsia="zh-CN"/>
        </w:rPr>
      </w:pPr>
      <w:r>
        <w:rPr>
          <w:rFonts w:hint="eastAsia" w:ascii="仿宋" w:hAnsi="仿宋" w:eastAsia="仿宋" w:cs="仿宋"/>
          <w:b w:val="0"/>
          <w:bCs w:val="0"/>
          <w:strike w:val="0"/>
          <w:dstrike w:val="0"/>
          <w:color w:val="auto"/>
          <w:sz w:val="24"/>
          <w:szCs w:val="24"/>
          <w:highlight w:val="none"/>
          <w:lang w:val="en-US" w:eastAsia="zh-CN"/>
        </w:rPr>
        <w:t>4.2.7变速箱：手动；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highlight w:val="none"/>
        </w:rPr>
        <w:t>4.2.8制动系统：前轮盘式制动器，ABS（防抱死制动系统）或EBS（电控制动系统）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4.3 驾乘室</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4.3.1 结构：全钢框架焊接结构，带液压缸倾翻、带安全锁止装置，电动液压泵；</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4.3.2 座位设置：单排，乘员≥2人，所有座椅应全部设置安全带；</w:t>
      </w:r>
    </w:p>
    <w:p>
      <w:pPr>
        <w:keepNext w:val="0"/>
        <w:keepLines w:val="0"/>
        <w:pageBreakBefore w:val="0"/>
        <w:widowControl/>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lang w:val="en-US" w:eastAsia="zh-CN"/>
        </w:rPr>
        <w:t>4.3.3 驾乘室设备：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4.4 主要性能及配置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4.4.1车厢结构</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4.4.1.1车厢前部为水箱、真空系统和水增压设备；中部为洗漱台、卫生间，车厢前部右侧上下梯为隐藏式抽拉梯，使用时直接抽出，无需搬运，更加方便；车尾处设置上下车抽拉梯，车厢前部装有登顶踏板便于上顶部维护设备；车辆裙部设置污水箱，预留发电机等大尺寸设备空间；</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4.4.2设置</w:t>
      </w:r>
      <w:r>
        <w:rPr>
          <w:rFonts w:hint="eastAsia" w:ascii="仿宋" w:hAnsi="仿宋" w:eastAsia="仿宋" w:cs="仿宋"/>
          <w:b w:val="0"/>
          <w:color w:val="auto"/>
          <w:kern w:val="2"/>
          <w:sz w:val="24"/>
          <w:szCs w:val="24"/>
          <w:highlight w:val="none"/>
          <w:lang w:val="en-US" w:eastAsia="zh-CN"/>
        </w:rPr>
        <w:t>≥</w:t>
      </w:r>
      <w:r>
        <w:rPr>
          <w:rFonts w:hint="eastAsia" w:ascii="仿宋" w:hAnsi="仿宋" w:eastAsia="仿宋" w:cs="仿宋"/>
          <w:b w:val="0"/>
          <w:bCs w:val="0"/>
          <w:color w:val="auto"/>
          <w:sz w:val="24"/>
          <w:szCs w:val="24"/>
          <w:highlight w:val="none"/>
          <w:lang w:val="en-US" w:eastAsia="zh-CN"/>
        </w:rPr>
        <w:t>10个独立单人独立卫生间（其中≥2个坐便器，≥8个蹲便器），</w:t>
      </w:r>
      <w:r>
        <w:rPr>
          <w:rFonts w:hint="eastAsia" w:ascii="仿宋" w:hAnsi="仿宋" w:eastAsia="仿宋" w:cs="仿宋"/>
          <w:b w:val="0"/>
          <w:color w:val="auto"/>
          <w:kern w:val="2"/>
          <w:sz w:val="24"/>
          <w:szCs w:val="24"/>
          <w:highlight w:val="none"/>
        </w:rPr>
        <w:t>配备</w:t>
      </w:r>
      <w:r>
        <w:rPr>
          <w:rFonts w:hint="eastAsia" w:ascii="仿宋" w:hAnsi="仿宋" w:eastAsia="仿宋" w:cs="仿宋"/>
          <w:b w:val="0"/>
          <w:color w:val="auto"/>
          <w:kern w:val="2"/>
          <w:sz w:val="24"/>
          <w:szCs w:val="24"/>
          <w:highlight w:val="none"/>
          <w:lang w:val="en-US" w:eastAsia="zh-CN"/>
        </w:rPr>
        <w:t>≥</w:t>
      </w:r>
      <w:r>
        <w:rPr>
          <w:rFonts w:hint="eastAsia" w:ascii="仿宋" w:hAnsi="仿宋" w:eastAsia="仿宋" w:cs="仿宋"/>
          <w:b w:val="0"/>
          <w:color w:val="auto"/>
          <w:kern w:val="2"/>
          <w:sz w:val="24"/>
          <w:szCs w:val="24"/>
          <w:highlight w:val="none"/>
        </w:rPr>
        <w:t>2套洗手槽（盆）及辅助储物柜；</w:t>
      </w:r>
      <w:r>
        <w:rPr>
          <w:rFonts w:hint="eastAsia" w:ascii="仿宋" w:hAnsi="仿宋" w:eastAsia="仿宋" w:cs="仿宋"/>
          <w:b w:val="0"/>
          <w:bCs w:val="0"/>
          <w:color w:val="auto"/>
          <w:sz w:val="24"/>
          <w:szCs w:val="24"/>
          <w:highlight w:val="none"/>
          <w:lang w:val="en-US" w:eastAsia="zh-CN"/>
        </w:rPr>
        <w:t>卫生间内部地面做防滑处理；每个隔间设置通气窗，带有防蚊帘，遮光帘；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4.4.3坐便器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4.4.3.1材质：真空不锈钢；</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4.4.3.2配备红外感应开关，感应冲水，并配备有应急手动冲水按钮；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4.4.4蹲便器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4.4.4.1材质：真空不锈钢；</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4.4.4.2配备红外感应开关，感应冲水，并配备有应急手动冲水按钮；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4.4.5洗漱台配备两套水龙头、镜子等；</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4.4.6清水箱</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4.4.6.1容积：≥1000L；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4.4.6.2材质：304不锈钢；</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4.4.6.3具备液位计及液位报警系统，可对液位情况实时掌握；</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4.4.7污水箱</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4.4.7.1容积：≥1000L；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4.4.7.2材质：304不锈钢；</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4.4.7.3设置冲洗口、排污口，排污口的设置方便排污使用；冲洗阀使用时连接水带，直接外排；</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4.4.8真空集便系统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4.4.8.1功率：≥2kw；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4.4.8.2气体流量：≥16m³/h;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4.4.8.3冲洗负荷：≥120次/h；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4.4.8.4系统控制箱：带PLC控制，带触摸屏；</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4.4.8.5满足室外无排污条件使用，具有负压抽吸、收集、隔臭功能，臭气净化处里，设有粉碎系统，避免管道堵塞；</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4.4.9水增压系统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4.4.9.1功率：≥1.5kw；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4.4.9.2增压泵流量：≥5m³/h；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4.4.9.3增压泵压力：≥30Kpa；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4.4.10发电机</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4.4.10.1功率：≥10kw；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4.4.10.2额定电压：220V；</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4.4.10.3额定频率：50HZ；</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4.4.10.4燃油：汽油；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4.5总体要求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4.5.1整车性能符合GB7956.1-2014《消防车 第1部分：通用技术条件》；</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4.5.2车身颜色符合GB/T3181-2008</w:t>
      </w:r>
      <w:r>
        <w:rPr>
          <w:rFonts w:ascii="Times New Roman" w:hAnsi="Times New Roman" w:eastAsia="方正仿宋_GBK"/>
          <w:color w:val="auto"/>
          <w:sz w:val="24"/>
          <w:szCs w:val="24"/>
          <w:highlight w:val="none"/>
        </w:rPr>
        <w:t>《漆膜颜色标准》</w:t>
      </w:r>
      <w:r>
        <w:rPr>
          <w:rFonts w:hint="eastAsia" w:ascii="仿宋" w:hAnsi="仿宋" w:eastAsia="仿宋" w:cs="仿宋"/>
          <w:b w:val="0"/>
          <w:bCs w:val="0"/>
          <w:color w:val="auto"/>
          <w:sz w:val="24"/>
          <w:szCs w:val="24"/>
          <w:highlight w:val="none"/>
          <w:lang w:val="en-US" w:eastAsia="zh-CN"/>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4.5.3</w:t>
      </w:r>
      <w:r>
        <w:rPr>
          <w:rFonts w:hint="eastAsia" w:ascii="仿宋" w:hAnsi="仿宋" w:eastAsia="仿宋" w:cs="仿宋"/>
          <w:color w:val="auto"/>
          <w:sz w:val="24"/>
          <w:szCs w:val="24"/>
          <w:highlight w:val="none"/>
          <w:lang w:val="en-US" w:eastAsia="zh-CN"/>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lang w:val="en-US" w:eastAsia="zh-CN"/>
        </w:rPr>
        <w:t>单位需求，对</w:t>
      </w:r>
      <w:r>
        <w:rPr>
          <w:rFonts w:hint="eastAsia" w:ascii="仿宋" w:hAnsi="仿宋" w:eastAsia="仿宋" w:cs="仿宋"/>
          <w:color w:val="auto"/>
          <w:sz w:val="24"/>
          <w:szCs w:val="24"/>
          <w:highlight w:val="none"/>
        </w:rPr>
        <w:t>外置车灯、灯具加装防护罩；</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4.5.4防腐保护：驾乘室及上装均采用内涂层等进行防腐处理；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4.5.5厢体：采用高强度碳钢结构骨架及耐腐蚀性好的铝合金板为蒙皮，底板及车厢顶部为铝合金防滑板或经防滑处理的铝合金平板（表面喷涂防滑层）；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4.5.6警报灯具：</w:t>
      </w:r>
      <w:r>
        <w:rPr>
          <w:rFonts w:hint="eastAsia" w:ascii="仿宋" w:hAnsi="仿宋" w:eastAsia="仿宋" w:cs="仿宋"/>
          <w:color w:val="auto"/>
          <w:kern w:val="0"/>
          <w:sz w:val="24"/>
          <w:szCs w:val="24"/>
          <w:highlight w:val="none"/>
        </w:rPr>
        <w:t>警报灯具：驾乘室顶部安装消防专用灯具，驾乘室内设置警报器和扩音系统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4.5.7投标人在车厢结构设计布置时需提前与</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val="en-US" w:eastAsia="zh-CN"/>
        </w:rPr>
        <w:t>单位联系，设计方案必须经</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val="en-US" w:eastAsia="zh-CN"/>
        </w:rPr>
        <w:t>单位同意后方可进行生产；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4.6 其他要求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4.6.1 整车按国家标准配齐随车设备，设备布置合理，固定牢靠；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4.6.2 供货前，须主动对接使用单位，满足用户需求；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4.6.3 交付使用单位时，提供操作使用说明书纸质版（含电子版），燃油、尿素等添加液处于满液状态；</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4.6.4 首次保养（含材料、人工、差旅等）免费。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4.7随车附件</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2617"/>
        <w:gridCol w:w="906"/>
        <w:gridCol w:w="780"/>
        <w:gridCol w:w="705"/>
        <w:gridCol w:w="3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序号</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名称</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规格</w:t>
            </w: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单位</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数量</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灭火器（含支架）</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4kg</w:t>
            </w: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具</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2</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三角警示架</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随车工具</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电路检测工具</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车辆限位块</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随车千斤顶</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7</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备胎</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条</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8</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轮胎充气管</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2"/>
                <w:szCs w:val="22"/>
                <w:highlight w:val="none"/>
                <w:lang w:val="en-US" w:eastAsia="zh-CN"/>
              </w:rPr>
              <w:t>带接头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w:t>
            </w:r>
          </w:p>
        </w:tc>
        <w:tc>
          <w:tcPr>
            <w:tcW w:w="261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备用保险套装</w:t>
            </w:r>
          </w:p>
        </w:tc>
        <w:tc>
          <w:tcPr>
            <w:tcW w:w="90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套</w:t>
            </w:r>
          </w:p>
        </w:tc>
        <w:tc>
          <w:tcPr>
            <w:tcW w:w="705"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6" w:type="dxa"/>
            <w:noWrap w:val="0"/>
            <w:vAlign w:val="center"/>
          </w:tcPr>
          <w:p>
            <w:pPr>
              <w:keepNext w:val="0"/>
              <w:keepLines w:val="0"/>
              <w:pageBreakBefore w:val="0"/>
              <w:widowControl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617" w:type="dxa"/>
            <w:noWrap w:val="0"/>
            <w:vAlign w:val="center"/>
          </w:tcPr>
          <w:p>
            <w:pPr>
              <w:keepNext w:val="0"/>
              <w:keepLines w:val="0"/>
              <w:pageBreakBefore w:val="0"/>
              <w:widowControl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eastAsia="zh-CN"/>
              </w:rPr>
              <w:t>防滑链</w:t>
            </w:r>
          </w:p>
        </w:tc>
        <w:tc>
          <w:tcPr>
            <w:tcW w:w="906" w:type="dxa"/>
            <w:noWrap w:val="0"/>
            <w:vAlign w:val="center"/>
          </w:tcPr>
          <w:p>
            <w:pPr>
              <w:keepNext w:val="0"/>
              <w:keepLines w:val="0"/>
              <w:pageBreakBefore w:val="0"/>
              <w:widowControl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val="en-US" w:eastAsia="zh-CN"/>
              </w:rPr>
            </w:pPr>
          </w:p>
        </w:tc>
        <w:tc>
          <w:tcPr>
            <w:tcW w:w="780" w:type="dxa"/>
            <w:noWrap w:val="0"/>
            <w:vAlign w:val="center"/>
          </w:tcPr>
          <w:p>
            <w:pPr>
              <w:keepNext w:val="0"/>
              <w:keepLines w:val="0"/>
              <w:pageBreakBefore w:val="0"/>
              <w:widowControl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eastAsia="zh-CN"/>
              </w:rPr>
              <w:t>套</w:t>
            </w:r>
          </w:p>
        </w:tc>
        <w:tc>
          <w:tcPr>
            <w:tcW w:w="705" w:type="dxa"/>
            <w:noWrap w:val="0"/>
            <w:vAlign w:val="center"/>
          </w:tcPr>
          <w:p>
            <w:pPr>
              <w:keepNext w:val="0"/>
              <w:keepLines w:val="0"/>
              <w:pageBreakBefore w:val="0"/>
              <w:widowControl w:val="0"/>
              <w:kinsoku/>
              <w:wordWrap/>
              <w:overflowPunct/>
              <w:topLinePunct w:val="0"/>
              <w:bidi w:val="0"/>
              <w:spacing w:line="240" w:lineRule="auto"/>
              <w:ind w:left="0" w:leftChars="0" w:right="0" w:rightChars="0"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3552"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防滑链数量与轮胎数量相匹配</w:t>
            </w:r>
          </w:p>
        </w:tc>
      </w:tr>
    </w:tbl>
    <w:p>
      <w:pPr>
        <w:keepLines w:val="0"/>
        <w:pageBreakBefore w:val="0"/>
        <w:widowControl w:val="0"/>
        <w:kinsoku/>
        <w:wordWrap/>
        <w:overflowPunct/>
        <w:topLinePunct w:val="0"/>
        <w:autoSpaceDE/>
        <w:autoSpaceDN/>
        <w:bidi w:val="0"/>
        <w:adjustRightInd/>
        <w:snapToGrid/>
        <w:ind w:right="0" w:rightChars="0" w:firstLine="0" w:firstLineChars="0"/>
        <w:jc w:val="left"/>
        <w:textAlignment w:val="auto"/>
        <w:rPr>
          <w:rFonts w:hint="eastAsia"/>
          <w:color w:val="auto"/>
          <w:highlight w:val="none"/>
          <w:lang w:eastAsia="zh-CN"/>
        </w:rPr>
      </w:pPr>
      <w:bookmarkStart w:id="367" w:name="_Toc9517"/>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68" w:name="_Toc12859"/>
      <w:r>
        <w:rPr>
          <w:rFonts w:hint="eastAsia" w:ascii="仿宋" w:hAnsi="仿宋" w:eastAsia="仿宋" w:cs="仿宋"/>
          <w:color w:val="auto"/>
          <w:sz w:val="28"/>
          <w:szCs w:val="28"/>
          <w:highlight w:val="none"/>
          <w:lang w:val="en-US" w:eastAsia="zh-CN"/>
        </w:rPr>
        <w:t>品目11：被服洗涤车</w:t>
      </w:r>
      <w:bookmarkEnd w:id="367"/>
      <w:bookmarkEnd w:id="368"/>
    </w:p>
    <w:p>
      <w:pPr>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一、货物名称：被服洗涤车</w:t>
      </w:r>
    </w:p>
    <w:p>
      <w:pPr>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(辆)</w:t>
      </w:r>
    </w:p>
    <w:p>
      <w:pPr>
        <w:keepLines w:val="0"/>
        <w:pageBreakBefore w:val="0"/>
        <w:widowControl w:val="0"/>
        <w:kinsoku/>
        <w:wordWrap/>
        <w:overflowPunct/>
        <w:topLinePunct w:val="0"/>
        <w:autoSpaceDE/>
        <w:autoSpaceDN/>
        <w:bidi w:val="0"/>
        <w:adjustRightInd/>
        <w:snapToGrid/>
        <w:spacing w:line="460" w:lineRule="exact"/>
        <w:ind w:left="0" w:leftChars="0" w:right="0" w:rightChars="0" w:firstLine="0" w:firstLineChars="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4.1.1整车尺寸：长×宽×高（mm）≤9500×25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0×3900；</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比功率：≥12KW/T；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▲4.2.1发动机额定功率≥280kw；</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4.2.2燃油：柴油；油箱容积：≥300L；</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4.2.3尾气排放：符合国Ⅵ标准；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4.2.4驱动形式：4×2；</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4.2.5最高车速≥90km/h；</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4.2.6配置子午线钢丝轮胎、胎压监测系统、360°倒车影像、行车记录仪 (内存不小于32G),配备350-400MHz工作频率范围车载台、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4.2.7变速箱：手动；</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4.2.8制动系统：</w:t>
      </w:r>
      <w:r>
        <w:rPr>
          <w:rFonts w:hint="eastAsia" w:ascii="仿宋" w:hAnsi="仿宋" w:eastAsia="仿宋" w:cs="仿宋"/>
          <w:color w:val="auto"/>
          <w:sz w:val="24"/>
          <w:szCs w:val="24"/>
          <w:highlight w:val="none"/>
          <w:lang w:eastAsia="zh-CN"/>
        </w:rPr>
        <w:t>前轮盘式制动器</w:t>
      </w:r>
      <w:r>
        <w:rPr>
          <w:rFonts w:hint="eastAsia" w:ascii="仿宋" w:hAnsi="仿宋" w:eastAsia="仿宋" w:cs="仿宋"/>
          <w:color w:val="auto"/>
          <w:sz w:val="24"/>
          <w:szCs w:val="24"/>
          <w:highlight w:val="none"/>
        </w:rPr>
        <w:t>，ABS（防抱死制动系统）或EBS（电控制动系统）；</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4.3驾乘室</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4.3.1结构：全钢框架焊接结构，带液压缸倾翻、带安全锁止装置，电动液压泵；</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4.3.2座位设置：单排，乘员≥2人，所有座椅应全部设置安全带；</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4.3.3驾乘室设备：除原车设备外，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4.4主要性能及配置</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4.4.1洗涤设备</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4.4.1.1采用洗脱烘一体机，设置3台，洗衣量分别为≥10kg、≥25kg、≥25kg，具有洗涤、脱水和烘干功能，其中≥10kg机组洗涤贴身衣物，≥25kg机组分别洗涤作训类服装及战斗服等救援衣物；</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▲4.4.1.2单次洗涤</w:t>
      </w:r>
      <w:r>
        <w:rPr>
          <w:rFonts w:hint="eastAsia" w:ascii="仿宋" w:hAnsi="仿宋" w:eastAsia="仿宋" w:cs="仿宋"/>
          <w:color w:val="auto"/>
          <w:sz w:val="24"/>
          <w:szCs w:val="24"/>
          <w:highlight w:val="none"/>
          <w:lang w:eastAsia="zh-CN"/>
        </w:rPr>
        <w:t>总</w:t>
      </w:r>
      <w:r>
        <w:rPr>
          <w:rFonts w:hint="eastAsia" w:ascii="仿宋" w:hAnsi="仿宋" w:eastAsia="仿宋" w:cs="仿宋"/>
          <w:color w:val="auto"/>
          <w:sz w:val="24"/>
          <w:szCs w:val="24"/>
          <w:highlight w:val="none"/>
        </w:rPr>
        <w:t>重量≥60kg；</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4.4.1.3能完成对作训服、战斗服和日常衣物等服装的洗脱烘，同时不损坏衣物原有性能；</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4.4.2电气系统</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4.4.2.1配备市电输入接口，外接市电与发电自动转换，整车配备交直流两种照明，满足工作照明和应急照明需求；</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4.4.2.2配备市电手动线缆盘一套≥30m，线缆规格：4*10mm²；</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▲4.4.2.3配备轴带式取力发电机一台，额定功率≥</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0KW, 电压：380V，频率≥50HZ，防护等级≥IP57；</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4.4.3水箱及管路</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▲4.4.3.1净水箱储水量≥1000L，增配软体水罐及潜水泵；</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4.4.3.2净水箱采用优质不锈钢材质制作，具有保温层，耐腐蚀，经久耐用。净水箱前后设有加强结构，使箱体具有足够的强度、刚度。箱体内设置纵、横防荡板，以减少车辆行驶过程中箱内液体对箱体的冲击；</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净水箱设有液位计，能监测水液位，同时具有低液位报警功能;</w:t>
      </w:r>
      <w:r>
        <w:rPr>
          <w:rFonts w:hint="eastAsia" w:ascii="仿宋" w:hAnsi="仿宋" w:eastAsia="仿宋" w:cs="仿宋"/>
          <w:b w:val="0"/>
          <w:color w:val="auto"/>
          <w:kern w:val="2"/>
          <w:sz w:val="24"/>
          <w:szCs w:val="24"/>
          <w:highlight w:val="none"/>
        </w:rPr>
        <w:t>具有电加热功能，能保证在高寒地区执勤时净水箱内部不结冰；</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污水箱：容积≥1000L，采用304不锈钢，设置检修孔盖；</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b w:val="0"/>
          <w:color w:val="auto"/>
          <w:kern w:val="2"/>
          <w:sz w:val="24"/>
          <w:szCs w:val="24"/>
          <w:highlight w:val="none"/>
          <w:lang w:eastAsia="zh-CN"/>
        </w:rPr>
      </w:pPr>
      <w:r>
        <w:rPr>
          <w:rFonts w:hint="eastAsia" w:ascii="仿宋" w:hAnsi="仿宋" w:eastAsia="仿宋" w:cs="仿宋"/>
          <w:color w:val="auto"/>
          <w:sz w:val="24"/>
          <w:szCs w:val="24"/>
          <w:highlight w:val="none"/>
        </w:rPr>
        <w:t>4.4.3.</w:t>
      </w:r>
      <w:r>
        <w:rPr>
          <w:rFonts w:hint="eastAsia" w:ascii="仿宋" w:hAnsi="仿宋" w:eastAsia="仿宋" w:cs="仿宋"/>
          <w:color w:val="auto"/>
          <w:sz w:val="24"/>
          <w:szCs w:val="24"/>
          <w:highlight w:val="none"/>
          <w:lang w:val="en-US" w:eastAsia="zh-CN"/>
        </w:rPr>
        <w:t>5</w:t>
      </w:r>
      <w:r>
        <w:rPr>
          <w:rFonts w:hint="eastAsia" w:ascii="仿宋" w:hAnsi="仿宋" w:eastAsia="仿宋" w:cs="仿宋"/>
          <w:b w:val="0"/>
          <w:color w:val="auto"/>
          <w:kern w:val="2"/>
          <w:sz w:val="24"/>
          <w:szCs w:val="24"/>
          <w:highlight w:val="none"/>
        </w:rPr>
        <w:t>配有吹扫装置，在不使用时能将管路内液体吹扫干净，防止冬季结冰</w:t>
      </w:r>
      <w:r>
        <w:rPr>
          <w:rFonts w:hint="eastAsia" w:ascii="仿宋" w:hAnsi="仿宋" w:eastAsia="仿宋" w:cs="仿宋"/>
          <w:b w:val="0"/>
          <w:color w:val="auto"/>
          <w:kern w:val="2"/>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4.4.4支腿系统</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4.4.4.1支腿形式：4点液压支腿，整体控制；</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4.4.4.2单腿支撑重量≥8T；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4.4.4.3带手动应急装置；</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4.4.5配备额定功率≥1500w熨烫一体机</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台；</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4.5总体要求</w:t>
      </w:r>
    </w:p>
    <w:p>
      <w:pPr>
        <w:bidi w:val="0"/>
        <w:ind w:firstLine="480" w:firstLineChars="200"/>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4.5.1整车性能符合GB7956.1-2014《消防车 第1部分：通用技术条件》；</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ascii="Times New Roman" w:hAnsi="Times New Roman" w:eastAsia="方正仿宋_GBK"/>
          <w:color w:val="auto"/>
          <w:sz w:val="24"/>
          <w:szCs w:val="24"/>
          <w:highlight w:val="none"/>
        </w:rPr>
        <w:t>-2008《漆膜颜色标准》</w:t>
      </w:r>
      <w:r>
        <w:rPr>
          <w:rFonts w:hint="eastAsia" w:ascii="仿宋" w:hAnsi="仿宋" w:eastAsia="仿宋" w:cs="仿宋"/>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4.5.3</w:t>
      </w:r>
      <w:r>
        <w:rPr>
          <w:rFonts w:hint="eastAsia" w:ascii="仿宋" w:hAnsi="仿宋" w:eastAsia="仿宋" w:cs="仿宋"/>
          <w:color w:val="auto"/>
          <w:sz w:val="24"/>
          <w:szCs w:val="24"/>
          <w:highlight w:val="none"/>
          <w:lang w:val="en-US" w:eastAsia="zh-CN"/>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lang w:val="en-US" w:eastAsia="zh-CN"/>
        </w:rPr>
        <w:t>单位需求，对</w:t>
      </w:r>
      <w:r>
        <w:rPr>
          <w:rFonts w:hint="eastAsia" w:ascii="仿宋" w:hAnsi="仿宋" w:eastAsia="仿宋" w:cs="仿宋"/>
          <w:color w:val="auto"/>
          <w:sz w:val="24"/>
          <w:szCs w:val="24"/>
          <w:highlight w:val="none"/>
        </w:rPr>
        <w:t>外置车灯、灯具加装防护罩；</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警报灯具：驾乘室顶部安装消防专用灯具，驾乘室内设置警报器和扩音系统</w:t>
      </w:r>
      <w:r>
        <w:rPr>
          <w:rFonts w:hint="eastAsia" w:ascii="仿宋" w:hAnsi="仿宋" w:eastAsia="仿宋" w:cs="仿宋"/>
          <w:color w:val="auto"/>
          <w:sz w:val="24"/>
          <w:szCs w:val="24"/>
          <w:highlight w:val="none"/>
          <w:lang w:eastAsia="zh-CN"/>
        </w:rPr>
        <w:t>(功率≥100W)</w:t>
      </w:r>
      <w:r>
        <w:rPr>
          <w:rFonts w:hint="eastAsia" w:ascii="仿宋" w:hAnsi="仿宋" w:eastAsia="仿宋" w:cs="仿宋"/>
          <w:color w:val="auto"/>
          <w:sz w:val="24"/>
          <w:szCs w:val="24"/>
          <w:highlight w:val="none"/>
        </w:rPr>
        <w:t>，在驾乘室可控制扩音器。在车厢两侧、尾部等并联安装红色爆闪灯，警灯、警报器各自采用独立控制开关，车辆顶端四周安装LED灯带；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车厢：采用上下开翼门结构，采用高强度碳钢结构骨架及耐腐蚀性好的铝合金板为蒙皮，底板及车厢顶部为铝合金防滑板或经防滑处理的铝合金平板（表面喷涂防滑层）；</w:t>
      </w:r>
      <w:r>
        <w:rPr>
          <w:rFonts w:hint="eastAsia" w:ascii="仿宋" w:hAnsi="仿宋" w:eastAsia="仿宋" w:cs="仿宋"/>
          <w:b/>
          <w:bCs/>
          <w:color w:val="auto"/>
          <w:sz w:val="24"/>
          <w:szCs w:val="24"/>
          <w:highlight w:val="none"/>
          <w:lang w:val="en-US" w:eastAsia="zh-CN"/>
        </w:rPr>
        <w:t>为保证操作人员的安全，翼门展开后平台与车厢内部底面齐平，且平台外露面设置有折叠护栏。设置操作平台，摆放洗衣液，可对衣物进行预处理；同时配备移动式晾衣架，在翼门上安装晾衣杆便于下雨天晾晒衣服；</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4.6.2供货前，须主动对接采购人，满足采购人需求；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4.6.3交付采购人时，燃油、尿素等添加液处于满液状态；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4.6.4首次保养（含材料、人工、差旅等）免费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4.7随车附件</w:t>
      </w:r>
    </w:p>
    <w:tbl>
      <w:tblPr>
        <w:tblStyle w:val="43"/>
        <w:tblW w:w="0" w:type="auto"/>
        <w:jc w:val="center"/>
        <w:tblLayout w:type="fixed"/>
        <w:tblCellMar>
          <w:top w:w="0" w:type="dxa"/>
          <w:left w:w="30" w:type="dxa"/>
          <w:bottom w:w="0" w:type="dxa"/>
          <w:right w:w="30" w:type="dxa"/>
        </w:tblCellMar>
      </w:tblPr>
      <w:tblGrid>
        <w:gridCol w:w="635"/>
        <w:gridCol w:w="2478"/>
        <w:gridCol w:w="735"/>
        <w:gridCol w:w="1098"/>
        <w:gridCol w:w="4112"/>
      </w:tblGrid>
      <w:tr>
        <w:tblPrEx>
          <w:tblCellMar>
            <w:top w:w="0" w:type="dxa"/>
            <w:left w:w="30" w:type="dxa"/>
            <w:bottom w:w="0" w:type="dxa"/>
            <w:right w:w="30" w:type="dxa"/>
          </w:tblCellMar>
        </w:tblPrEx>
        <w:trPr>
          <w:trHeight w:val="397" w:hRule="atLeast"/>
          <w:tblHeader/>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名称</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单位</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数量</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便携式应急照明灯</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具</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干粉灭火器</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具</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随车工具</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千斤顶</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三角警示牌</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带接头的轮胎充气管</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≥10m</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车辆限位块</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工具箱</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240" w:lineRule="auto"/>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53</w:t>
            </w:r>
            <w:r>
              <w:rPr>
                <w:rFonts w:hint="eastAsia" w:ascii="仿宋" w:hAnsi="仿宋" w:eastAsia="仿宋" w:cs="仿宋"/>
                <w:color w:val="auto"/>
                <w:sz w:val="24"/>
                <w:szCs w:val="24"/>
                <w:highlight w:val="none"/>
                <w:lang w:val="en-US" w:eastAsia="zh-CN"/>
              </w:rPr>
              <w:t>个部件</w:t>
            </w:r>
            <w:r>
              <w:rPr>
                <w:rFonts w:hint="eastAsia" w:ascii="仿宋" w:hAnsi="仿宋" w:eastAsia="仿宋" w:cs="仿宋"/>
                <w:color w:val="auto"/>
                <w:sz w:val="24"/>
                <w:szCs w:val="24"/>
                <w:highlight w:val="none"/>
              </w:rPr>
              <w:t>，含扳手、卷尺、尖嘴钳、套筒</w:t>
            </w:r>
            <w:r>
              <w:rPr>
                <w:rFonts w:hint="eastAsia" w:ascii="仿宋" w:hAnsi="仿宋" w:eastAsia="仿宋" w:cs="仿宋"/>
                <w:color w:val="auto"/>
                <w:sz w:val="24"/>
                <w:szCs w:val="24"/>
                <w:highlight w:val="none"/>
                <w:lang w:eastAsia="zh-CN"/>
              </w:rPr>
              <w:t>等</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便携式折叠晾衣架</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240" w:lineRule="auto"/>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可在室外场地展开晾晒</w:t>
            </w: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衣</w:t>
            </w:r>
            <w:r>
              <w:rPr>
                <w:rFonts w:hint="eastAsia" w:ascii="仿宋" w:hAnsi="仿宋" w:eastAsia="仿宋" w:cs="仿宋"/>
                <w:color w:val="auto"/>
                <w:sz w:val="24"/>
                <w:szCs w:val="24"/>
                <w:highlight w:val="none"/>
                <w:lang w:eastAsia="zh-CN"/>
              </w:rPr>
              <w:t>架</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240" w:lineRule="auto"/>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撑衣架</w:t>
            </w:r>
          </w:p>
        </w:tc>
        <w:tc>
          <w:tcPr>
            <w:tcW w:w="7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个</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112" w:type="dxa"/>
            <w:tcBorders>
              <w:top w:val="single" w:color="auto" w:sz="6" w:space="0"/>
              <w:left w:val="single" w:color="auto" w:sz="6" w:space="0"/>
              <w:bottom w:val="single" w:color="auto" w:sz="6" w:space="0"/>
              <w:right w:val="single" w:color="auto" w:sz="4" w:space="0"/>
            </w:tcBorders>
            <w:noWrap w:val="0"/>
            <w:vAlign w:val="center"/>
          </w:tcPr>
          <w:p>
            <w:pPr>
              <w:pageBreakBefore w:val="0"/>
              <w:kinsoku/>
              <w:wordWrap/>
              <w:topLinePunct w:val="0"/>
              <w:bidi w:val="0"/>
              <w:spacing w:line="460" w:lineRule="exact"/>
              <w:ind w:firstLine="0" w:firstLineChars="0"/>
              <w:jc w:val="center"/>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移动式晾衣架</w:t>
            </w:r>
          </w:p>
        </w:tc>
        <w:tc>
          <w:tcPr>
            <w:tcW w:w="73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个</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p>
        </w:tc>
        <w:tc>
          <w:tcPr>
            <w:tcW w:w="4112"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both"/>
              <w:outlineLvl w:val="9"/>
              <w:rPr>
                <w:rFonts w:ascii="仿宋" w:hAnsi="仿宋" w:eastAsia="仿宋" w:cs="仿宋"/>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635" w:type="dxa"/>
            <w:tcBorders>
              <w:top w:val="single" w:color="auto" w:sz="6" w:space="0"/>
              <w:left w:val="single" w:color="auto" w:sz="6" w:space="0"/>
              <w:bottom w:val="single" w:color="auto" w:sz="6" w:space="0"/>
              <w:right w:val="single" w:color="auto" w:sz="6" w:space="0"/>
            </w:tcBorders>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478"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防滑链</w:t>
            </w:r>
          </w:p>
        </w:tc>
        <w:tc>
          <w:tcPr>
            <w:tcW w:w="735"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1098"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112"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防滑链数量与轮胎数量相匹配</w:t>
            </w:r>
          </w:p>
        </w:tc>
      </w:tr>
    </w:tbl>
    <w:p>
      <w:pPr>
        <w:keepNext w:val="0"/>
        <w:keepLines w:val="0"/>
        <w:pageBreakBefore w:val="0"/>
        <w:widowControl/>
        <w:kinsoku/>
        <w:wordWrap/>
        <w:topLinePunct w:val="0"/>
        <w:bidi w:val="0"/>
        <w:spacing w:line="240" w:lineRule="auto"/>
        <w:ind w:firstLine="0" w:firstLineChars="0"/>
        <w:jc w:val="left"/>
        <w:outlineLvl w:val="9"/>
        <w:rPr>
          <w:rFonts w:hint="eastAsia"/>
          <w:color w:val="auto"/>
          <w:highlight w:val="none"/>
          <w:lang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69" w:name="_Toc8730"/>
      <w:r>
        <w:rPr>
          <w:rFonts w:hint="eastAsia" w:ascii="仿宋" w:hAnsi="仿宋" w:eastAsia="仿宋" w:cs="仿宋"/>
          <w:color w:val="auto"/>
          <w:sz w:val="28"/>
          <w:szCs w:val="28"/>
          <w:highlight w:val="none"/>
          <w:lang w:val="en-US" w:eastAsia="zh-CN"/>
        </w:rPr>
        <w:t>品目12：装备抢修车</w:t>
      </w:r>
      <w:bookmarkEnd w:id="369"/>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货物名称：装备抢修车</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二、主要规格：国产底盘 </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（辆）</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6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val="0"/>
        <w:autoSpaceDN w:val="0"/>
        <w:bidi w:val="0"/>
        <w:adjustRightInd/>
        <w:snapToGrid/>
        <w:spacing w:before="0" w:after="0" w:line="480" w:lineRule="exact"/>
        <w:ind w:left="0" w:right="0" w:firstLine="241" w:firstLineChars="1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widowControl w:val="0"/>
        <w:kinsoku/>
        <w:wordWrap/>
        <w:overflowPunct/>
        <w:topLinePunct w:val="0"/>
        <w:autoSpaceDE w:val="0"/>
        <w:autoSpaceDN w:val="0"/>
        <w:bidi w:val="0"/>
        <w:adjustRightInd/>
        <w:snapToGrid/>
        <w:spacing w:before="0" w:after="0"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en-US" w:bidi="ar-SA"/>
        </w:rPr>
        <w:t>4.1</w:t>
      </w: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kern w:val="2"/>
          <w:sz w:val="24"/>
          <w:szCs w:val="24"/>
          <w:highlight w:val="none"/>
          <w:lang w:val="en-US" w:eastAsia="en-US" w:bidi="ar-SA"/>
        </w:rPr>
        <w:t>整车尺寸：</w:t>
      </w:r>
      <w:r>
        <w:rPr>
          <w:rFonts w:hint="eastAsia" w:ascii="仿宋" w:hAnsi="仿宋" w:eastAsia="仿宋" w:cs="仿宋"/>
          <w:color w:val="auto"/>
          <w:spacing w:val="-1"/>
          <w:sz w:val="24"/>
          <w:szCs w:val="24"/>
          <w:highlight w:val="none"/>
        </w:rPr>
        <w:t>长×宽×高</w:t>
      </w:r>
      <w:r>
        <w:rPr>
          <w:rFonts w:hint="eastAsia" w:ascii="仿宋" w:hAnsi="仿宋" w:eastAsia="仿宋" w:cs="仿宋"/>
          <w:color w:val="auto"/>
          <w:sz w:val="24"/>
          <w:szCs w:val="24"/>
          <w:highlight w:val="none"/>
        </w:rPr>
        <w:t>（mm）≤9500×</w:t>
      </w:r>
      <w:r>
        <w:rPr>
          <w:rFonts w:hint="eastAsia" w:ascii="仿宋" w:hAnsi="仿宋" w:eastAsia="仿宋" w:cs="仿宋"/>
          <w:b w:val="0"/>
          <w:bCs w:val="0"/>
          <w:color w:val="auto"/>
          <w:sz w:val="24"/>
          <w:szCs w:val="24"/>
          <w:highlight w:val="none"/>
        </w:rPr>
        <w:t>25</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rPr>
        <w:t>0</w:t>
      </w:r>
      <w:r>
        <w:rPr>
          <w:rFonts w:hint="eastAsia" w:ascii="仿宋" w:hAnsi="仿宋" w:eastAsia="仿宋" w:cs="仿宋"/>
          <w:color w:val="auto"/>
          <w:sz w:val="24"/>
          <w:szCs w:val="24"/>
          <w:highlight w:val="none"/>
        </w:rPr>
        <w:t>×3700；</w:t>
      </w:r>
    </w:p>
    <w:p>
      <w:pPr>
        <w:keepNext w:val="0"/>
        <w:keepLines w:val="0"/>
        <w:pageBreakBefore w:val="0"/>
        <w:widowControl/>
        <w:kinsoku/>
        <w:wordWrap/>
        <w:overflowPunct/>
        <w:topLinePunct w:val="0"/>
        <w:autoSpaceDE w:val="0"/>
        <w:autoSpaceDN w:val="0"/>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4.1.</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比功率≥10KW/T；</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80" w:lineRule="exact"/>
        <w:ind w:left="0" w:firstLine="241" w:firstLineChars="1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4.2</w:t>
      </w:r>
      <w:r>
        <w:rPr>
          <w:rFonts w:hint="eastAsia" w:ascii="仿宋" w:hAnsi="仿宋" w:eastAsia="仿宋" w:cs="仿宋"/>
          <w:b/>
          <w:bCs/>
          <w:color w:val="auto"/>
          <w:sz w:val="24"/>
          <w:szCs w:val="24"/>
          <w:highlight w:val="none"/>
        </w:rPr>
        <w:t>底盘</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w:t>
      </w:r>
      <w:r>
        <w:rPr>
          <w:rFonts w:hint="eastAsia" w:ascii="仿宋" w:hAnsi="仿宋" w:eastAsia="仿宋" w:cs="仿宋"/>
          <w:b w:val="0"/>
          <w:bCs w:val="0"/>
          <w:color w:val="auto"/>
          <w:sz w:val="24"/>
          <w:szCs w:val="24"/>
          <w:highlight w:val="none"/>
          <w:lang w:eastAsia="zh-CN"/>
        </w:rPr>
        <w:t>发动机额定</w:t>
      </w:r>
      <w:r>
        <w:rPr>
          <w:rFonts w:hint="eastAsia" w:ascii="仿宋" w:hAnsi="仿宋" w:eastAsia="仿宋" w:cs="仿宋"/>
          <w:color w:val="auto"/>
          <w:sz w:val="24"/>
          <w:szCs w:val="24"/>
          <w:highlight w:val="none"/>
        </w:rPr>
        <w:t>功率≥21</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kw；</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4.2.2 燃油：柴油；油箱容积：≥</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 xml:space="preserve">00L； </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r>
        <w:rPr>
          <w:rFonts w:hint="eastAsia" w:ascii="仿宋" w:hAnsi="仿宋" w:eastAsia="仿宋" w:cs="仿宋"/>
          <w:color w:val="auto"/>
          <w:sz w:val="24"/>
          <w:szCs w:val="24"/>
          <w:highlight w:val="none"/>
          <w:lang w:eastAsia="zh-CN"/>
        </w:rPr>
        <w:t>尾气</w:t>
      </w:r>
      <w:r>
        <w:rPr>
          <w:rFonts w:hint="eastAsia" w:ascii="仿宋" w:hAnsi="仿宋" w:eastAsia="仿宋" w:cs="仿宋"/>
          <w:color w:val="auto"/>
          <w:sz w:val="24"/>
          <w:szCs w:val="24"/>
          <w:highlight w:val="none"/>
        </w:rPr>
        <w:t>标准：符合国Ⅵ标准；</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 驱动形式：4×2；</w:t>
      </w:r>
    </w:p>
    <w:p>
      <w:pPr>
        <w:pStyle w:val="14"/>
        <w:keepNext w:val="0"/>
        <w:keepLines w:val="0"/>
        <w:pageBreakBefore w:val="0"/>
        <w:widowControl w:val="0"/>
        <w:numPr>
          <w:ilvl w:val="0"/>
          <w:numId w:val="0"/>
        </w:numPr>
        <w:kinsoku/>
        <w:wordWrap/>
        <w:overflowPunct/>
        <w:topLinePunct w:val="0"/>
        <w:autoSpaceDE w:val="0"/>
        <w:autoSpaceDN w:val="0"/>
        <w:bidi w:val="0"/>
        <w:adjustRightInd/>
        <w:snapToGrid/>
        <w:spacing w:before="0" w:after="0" w:line="48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4.2.4</w:t>
      </w:r>
      <w:r>
        <w:rPr>
          <w:rFonts w:hint="eastAsia" w:ascii="仿宋" w:hAnsi="仿宋" w:eastAsia="仿宋" w:cs="仿宋"/>
          <w:color w:val="auto"/>
          <w:sz w:val="24"/>
          <w:szCs w:val="24"/>
          <w:highlight w:val="none"/>
        </w:rPr>
        <w:t>最高车速≥90km/h；</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 xml:space="preserve"> 配置子午线钢丝轮胎、胎压监测系统、360°倒车影像、行车记录仪 (内存≥32G),配备 350-400MHz 工作频率范围车载台、单北斗卫星定位装置（可接入国家局现有北斗消防综合管理服务平台），带倒车告警蜂鸣器、倒车摄像头和驾乘室内监视器，监视器屏幕≥10英寸； </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firstLine="480" w:firstLineChars="200"/>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4.2.</w:t>
      </w:r>
      <w:r>
        <w:rPr>
          <w:rFonts w:hint="eastAsia" w:ascii="仿宋" w:hAnsi="仿宋" w:eastAsia="仿宋" w:cs="仿宋"/>
          <w:b w:val="0"/>
          <w:bCs w:val="0"/>
          <w:strike w:val="0"/>
          <w:dstrike w:val="0"/>
          <w:color w:val="auto"/>
          <w:sz w:val="24"/>
          <w:szCs w:val="24"/>
          <w:highlight w:val="none"/>
          <w:lang w:val="en-US" w:eastAsia="zh-CN"/>
        </w:rPr>
        <w:t>6</w:t>
      </w:r>
      <w:r>
        <w:rPr>
          <w:rFonts w:hint="eastAsia" w:ascii="仿宋" w:hAnsi="仿宋" w:eastAsia="仿宋" w:cs="仿宋"/>
          <w:b w:val="0"/>
          <w:bCs w:val="0"/>
          <w:strike w:val="0"/>
          <w:dstrike w:val="0"/>
          <w:color w:val="auto"/>
          <w:sz w:val="24"/>
          <w:szCs w:val="24"/>
          <w:highlight w:val="none"/>
          <w:lang w:eastAsia="zh-CN"/>
        </w:rPr>
        <w:t xml:space="preserve"> 变速箱：手动； </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highlight w:val="none"/>
        </w:rPr>
        <w:t>4.2.</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b w:val="0"/>
          <w:bCs w:val="0"/>
          <w:color w:val="auto"/>
          <w:sz w:val="24"/>
          <w:szCs w:val="24"/>
          <w:highlight w:val="none"/>
          <w:lang w:eastAsia="zh-CN"/>
        </w:rPr>
        <w:t xml:space="preserve"> </w:t>
      </w:r>
    </w:p>
    <w:p>
      <w:pPr>
        <w:pStyle w:val="14"/>
        <w:keepNext w:val="0"/>
        <w:keepLines w:val="0"/>
        <w:pageBreakBefore w:val="0"/>
        <w:widowControl w:val="0"/>
        <w:numPr>
          <w:ilvl w:val="0"/>
          <w:numId w:val="0"/>
        </w:numPr>
        <w:tabs>
          <w:tab w:val="left" w:pos="806"/>
        </w:tabs>
        <w:kinsoku/>
        <w:wordWrap/>
        <w:overflowPunct/>
        <w:topLinePunct w:val="0"/>
        <w:autoSpaceDE w:val="0"/>
        <w:autoSpaceDN w:val="0"/>
        <w:bidi w:val="0"/>
        <w:adjustRightInd/>
        <w:snapToGrid/>
        <w:spacing w:before="0" w:after="0" w:line="480" w:lineRule="exact"/>
        <w:ind w:left="0" w:right="0" w:rightChars="0" w:firstLine="241" w:firstLineChars="1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4.3</w:t>
      </w:r>
      <w:r>
        <w:rPr>
          <w:rFonts w:hint="eastAsia" w:ascii="仿宋" w:hAnsi="仿宋" w:eastAsia="仿宋" w:cs="仿宋"/>
          <w:b/>
          <w:bCs/>
          <w:color w:val="auto"/>
          <w:sz w:val="24"/>
          <w:szCs w:val="24"/>
          <w:highlight w:val="none"/>
        </w:rPr>
        <w:t>驾乘室</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4.3.1</w:t>
      </w:r>
      <w:r>
        <w:rPr>
          <w:rFonts w:hint="eastAsia" w:ascii="仿宋" w:hAnsi="仿宋" w:eastAsia="仿宋" w:cs="仿宋"/>
          <w:color w:val="auto"/>
          <w:sz w:val="24"/>
          <w:szCs w:val="24"/>
          <w:highlight w:val="none"/>
        </w:rPr>
        <w:t>结构：驾驶室采用 4 门双排驾驶室，驾驶室带单边双向液压举升翻转系统，带防回落安全装置，前排两侧电动门窗；</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4.3.2</w:t>
      </w:r>
      <w:r>
        <w:rPr>
          <w:rFonts w:hint="eastAsia" w:ascii="仿宋" w:hAnsi="仿宋" w:eastAsia="仿宋" w:cs="仿宋"/>
          <w:color w:val="auto"/>
          <w:sz w:val="24"/>
          <w:szCs w:val="24"/>
          <w:highlight w:val="none"/>
        </w:rPr>
        <w:t>座位设置：乘员 6 人，所有座椅应全部设置安全带；</w:t>
      </w:r>
    </w:p>
    <w:p>
      <w:pPr>
        <w:keepNext w:val="0"/>
        <w:keepLines w:val="0"/>
        <w:pageBreakBefore w:val="0"/>
        <w:kinsoku/>
        <w:wordWrap/>
        <w:overflowPunct/>
        <w:topLinePunct w:val="0"/>
        <w:autoSpaceDE w:val="0"/>
        <w:autoSpaceDN w:val="0"/>
        <w:bidi w:val="0"/>
        <w:spacing w:line="480" w:lineRule="exact"/>
        <w:ind w:left="0" w:leftChars="0" w:firstLine="480" w:firstLineChars="200"/>
        <w:textAlignment w:val="auto"/>
        <w:outlineLvl w:val="9"/>
        <w:rPr>
          <w:rFonts w:hint="eastAsia"/>
          <w:color w:val="auto"/>
          <w:highlight w:val="none"/>
        </w:rPr>
      </w:pPr>
      <w:r>
        <w:rPr>
          <w:rFonts w:hint="eastAsia" w:ascii="仿宋" w:hAnsi="仿宋" w:eastAsia="仿宋" w:cs="仿宋"/>
          <w:b w:val="0"/>
          <w:bCs w:val="0"/>
          <w:color w:val="auto"/>
          <w:sz w:val="24"/>
          <w:szCs w:val="24"/>
          <w:highlight w:val="none"/>
          <w:lang w:eastAsia="zh-CN"/>
        </w:rPr>
        <w:t>4.3.3 驾乘室设备：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pStyle w:val="14"/>
        <w:keepNext w:val="0"/>
        <w:keepLines w:val="0"/>
        <w:pageBreakBefore w:val="0"/>
        <w:widowControl w:val="0"/>
        <w:numPr>
          <w:ilvl w:val="0"/>
          <w:numId w:val="0"/>
        </w:numPr>
        <w:tabs>
          <w:tab w:val="left" w:pos="806"/>
        </w:tabs>
        <w:kinsoku/>
        <w:wordWrap/>
        <w:overflowPunct/>
        <w:topLinePunct w:val="0"/>
        <w:autoSpaceDE w:val="0"/>
        <w:autoSpaceDN w:val="0"/>
        <w:bidi w:val="0"/>
        <w:adjustRightInd/>
        <w:snapToGrid/>
        <w:spacing w:before="0" w:after="0" w:line="480" w:lineRule="exact"/>
        <w:ind w:left="0" w:right="0" w:rightChars="0" w:firstLine="241" w:firstLineChars="100"/>
        <w:jc w:val="both"/>
        <w:textAlignment w:val="auto"/>
        <w:rPr>
          <w:rFonts w:hint="eastAsia" w:ascii="仿宋" w:hAnsi="仿宋" w:eastAsia="仿宋" w:cs="仿宋"/>
          <w:b/>
          <w:bCs/>
          <w:color w:val="auto"/>
          <w:sz w:val="24"/>
          <w:szCs w:val="24"/>
          <w:highlight w:val="none"/>
        </w:rPr>
      </w:pPr>
      <w:r>
        <w:rPr>
          <w:rFonts w:hint="eastAsia" w:cs="仿宋"/>
          <w:b/>
          <w:bCs/>
          <w:color w:val="auto"/>
          <w:sz w:val="24"/>
          <w:szCs w:val="24"/>
          <w:highlight w:val="none"/>
          <w:lang w:val="en-US" w:eastAsia="zh-CN"/>
        </w:rPr>
        <w:t>4.4</w:t>
      </w:r>
      <w:r>
        <w:rPr>
          <w:rFonts w:hint="eastAsia" w:ascii="仿宋" w:hAnsi="仿宋" w:eastAsia="仿宋" w:cs="仿宋"/>
          <w:b/>
          <w:bCs/>
          <w:color w:val="auto"/>
          <w:sz w:val="24"/>
          <w:szCs w:val="24"/>
          <w:highlight w:val="none"/>
        </w:rPr>
        <w:t>主要性能及配置</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4.4.1</w:t>
      </w:r>
      <w:r>
        <w:rPr>
          <w:rFonts w:hint="eastAsia" w:ascii="仿宋" w:hAnsi="仿宋" w:eastAsia="仿宋" w:cs="仿宋"/>
          <w:color w:val="auto"/>
          <w:sz w:val="24"/>
          <w:szCs w:val="24"/>
          <w:highlight w:val="none"/>
        </w:rPr>
        <w:t>供电照明系统</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4.4.1.1</w:t>
      </w:r>
      <w:r>
        <w:rPr>
          <w:rFonts w:hint="eastAsia" w:ascii="仿宋" w:hAnsi="仿宋" w:eastAsia="仿宋" w:cs="仿宋"/>
          <w:color w:val="auto"/>
          <w:sz w:val="24"/>
          <w:szCs w:val="24"/>
          <w:highlight w:val="none"/>
        </w:rPr>
        <w:t>系统组成：整车供电照明系统由车载发电机、配电系统、市电接入装置、车厢供电照明系统、移动灯架、LED 照明灯等组成；车厢内部各舱室、器材箱设置照明系统，工作台配置工作照明灯，工作台旁边设置 220V 插座（</w:t>
      </w:r>
      <w:r>
        <w:rPr>
          <w:rFonts w:hint="eastAsia" w:ascii="仿宋" w:hAnsi="仿宋" w:eastAsia="仿宋" w:cs="仿宋"/>
          <w:color w:val="auto"/>
          <w:spacing w:val="-10"/>
          <w:sz w:val="24"/>
          <w:szCs w:val="24"/>
          <w:highlight w:val="none"/>
        </w:rPr>
        <w:t xml:space="preserve">每侧不少于 </w:t>
      </w:r>
      <w:r>
        <w:rPr>
          <w:rFonts w:hint="eastAsia" w:ascii="仿宋" w:hAnsi="仿宋" w:eastAsia="仿宋" w:cs="仿宋"/>
          <w:color w:val="auto"/>
          <w:sz w:val="24"/>
          <w:szCs w:val="24"/>
          <w:highlight w:val="none"/>
        </w:rPr>
        <w:t>3</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个），配备 36V 安全工作灯；</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▲4.4.1.2发电机：采用取力器驱动,额定功率≥2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kw，额定电压≥</w:t>
      </w:r>
      <w:r>
        <w:rPr>
          <w:rFonts w:hint="eastAsia" w:ascii="仿宋" w:hAnsi="仿宋" w:eastAsia="仿宋" w:cs="仿宋"/>
          <w:color w:val="auto"/>
          <w:sz w:val="24"/>
          <w:szCs w:val="24"/>
          <w:highlight w:val="none"/>
          <w:lang w:val="en-US" w:eastAsia="zh-CN"/>
        </w:rPr>
        <w:t>380</w:t>
      </w:r>
      <w:r>
        <w:rPr>
          <w:rFonts w:hint="eastAsia" w:ascii="仿宋" w:hAnsi="仿宋" w:eastAsia="仿宋" w:cs="仿宋"/>
          <w:color w:val="auto"/>
          <w:sz w:val="24"/>
          <w:szCs w:val="24"/>
          <w:highlight w:val="none"/>
        </w:rPr>
        <w:t>V，额定频率≥50Hz，额定转速≥1500r/min，防护等级≥IP56；</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4.4.1.3 配电系统：配电系统与发电机相匹配，输出电压 380V 和 220V 交流可转换、24V 直流、12V 直流，配独立输出插线板；</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w:t>
      </w:r>
      <w:r>
        <w:rPr>
          <w:rFonts w:hint="eastAsia" w:ascii="仿宋" w:hAnsi="仿宋" w:eastAsia="仿宋" w:cs="仿宋"/>
          <w:color w:val="auto"/>
          <w:sz w:val="24"/>
          <w:szCs w:val="24"/>
          <w:highlight w:val="none"/>
        </w:rPr>
        <w:t>空气压缩机</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4.4.2.1</w:t>
      </w:r>
      <w:r>
        <w:rPr>
          <w:rFonts w:hint="eastAsia" w:ascii="仿宋" w:hAnsi="仿宋" w:eastAsia="仿宋" w:cs="仿宋"/>
          <w:color w:val="auto"/>
          <w:sz w:val="24"/>
          <w:szCs w:val="24"/>
          <w:highlight w:val="none"/>
        </w:rPr>
        <w:t>型号：采用国际知名品牌；</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4.4.2.2</w:t>
      </w:r>
      <w:r>
        <w:rPr>
          <w:rFonts w:hint="eastAsia" w:ascii="仿宋" w:hAnsi="仿宋" w:eastAsia="仿宋" w:cs="仿宋"/>
          <w:color w:val="auto"/>
          <w:sz w:val="24"/>
          <w:szCs w:val="24"/>
          <w:highlight w:val="none"/>
        </w:rPr>
        <w:t>系统组成：活塞式空气压缩机，过滤器，储气罐等组成；</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4.4.2.3</w:t>
      </w:r>
      <w:r>
        <w:rPr>
          <w:rFonts w:hint="eastAsia" w:ascii="仿宋" w:hAnsi="仿宋" w:eastAsia="仿宋" w:cs="仿宋"/>
          <w:color w:val="auto"/>
          <w:sz w:val="24"/>
          <w:szCs w:val="24"/>
          <w:highlight w:val="none"/>
        </w:rPr>
        <w:t>冷却形式：空气冷却；</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4.4.2.4</w:t>
      </w:r>
      <w:r>
        <w:rPr>
          <w:rFonts w:hint="eastAsia" w:ascii="仿宋" w:hAnsi="仿宋" w:eastAsia="仿宋" w:cs="仿宋"/>
          <w:color w:val="auto"/>
          <w:sz w:val="24"/>
          <w:szCs w:val="24"/>
          <w:highlight w:val="none"/>
        </w:rPr>
        <w:t>排气量≥500L/min；</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4.4.2.5</w:t>
      </w:r>
      <w:r>
        <w:rPr>
          <w:rFonts w:hint="eastAsia" w:ascii="仿宋" w:hAnsi="仿宋" w:eastAsia="仿宋" w:cs="仿宋"/>
          <w:color w:val="auto"/>
          <w:sz w:val="24"/>
          <w:szCs w:val="24"/>
          <w:highlight w:val="none"/>
        </w:rPr>
        <w:t>气罐容量≥150L；</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4.4.3</w:t>
      </w:r>
      <w:r>
        <w:rPr>
          <w:rFonts w:hint="eastAsia" w:ascii="仿宋" w:hAnsi="仿宋" w:eastAsia="仿宋" w:cs="仿宋"/>
          <w:color w:val="auto"/>
          <w:sz w:val="24"/>
          <w:szCs w:val="24"/>
          <w:highlight w:val="none"/>
        </w:rPr>
        <w:t>空调及通风系统</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4.4.3.1 电源形式：220V/50Hz；</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4.4.3.2 正常使用环境温度：-30-45℃；</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4.4.3.3 制冷量≥3000w；</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4.4.3.4 制热量≥2000w；</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w:t>
      </w:r>
      <w:r>
        <w:rPr>
          <w:rFonts w:hint="eastAsia" w:ascii="仿宋" w:hAnsi="仿宋" w:eastAsia="仿宋" w:cs="仿宋"/>
          <w:color w:val="auto"/>
          <w:sz w:val="24"/>
          <w:szCs w:val="24"/>
          <w:highlight w:val="none"/>
        </w:rPr>
        <w:t>液压尾板</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4.4.4.1</w:t>
      </w:r>
      <w:r>
        <w:rPr>
          <w:rFonts w:hint="eastAsia" w:ascii="仿宋" w:hAnsi="仿宋" w:eastAsia="仿宋" w:cs="仿宋"/>
          <w:color w:val="auto"/>
          <w:sz w:val="24"/>
          <w:szCs w:val="24"/>
          <w:highlight w:val="none"/>
        </w:rPr>
        <w:t>安装位置：车辆尾部；</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4.4.4.2</w:t>
      </w:r>
      <w:r>
        <w:rPr>
          <w:rFonts w:hint="eastAsia" w:ascii="仿宋" w:hAnsi="仿宋" w:eastAsia="仿宋" w:cs="仿宋"/>
          <w:color w:val="auto"/>
          <w:sz w:val="24"/>
          <w:szCs w:val="24"/>
          <w:highlight w:val="none"/>
        </w:rPr>
        <w:t>驱动：电动液压驱动；</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4.4.4.3</w:t>
      </w:r>
      <w:r>
        <w:rPr>
          <w:rFonts w:hint="eastAsia" w:ascii="仿宋" w:hAnsi="仿宋" w:eastAsia="仿宋" w:cs="仿宋"/>
          <w:color w:val="auto"/>
          <w:sz w:val="24"/>
          <w:szCs w:val="24"/>
          <w:highlight w:val="none"/>
        </w:rPr>
        <w:t>面板：</w:t>
      </w:r>
      <w:r>
        <w:rPr>
          <w:rFonts w:hint="eastAsia" w:ascii="仿宋" w:hAnsi="仿宋" w:eastAsia="仿宋" w:cs="仿宋"/>
          <w:color w:val="auto"/>
          <w:sz w:val="24"/>
          <w:szCs w:val="24"/>
          <w:highlight w:val="none"/>
          <w:lang w:eastAsia="zh-CN"/>
        </w:rPr>
        <w:t>材质为</w:t>
      </w:r>
      <w:r>
        <w:rPr>
          <w:rFonts w:hint="eastAsia" w:ascii="仿宋" w:hAnsi="仿宋" w:eastAsia="仿宋" w:cs="仿宋"/>
          <w:color w:val="auto"/>
          <w:sz w:val="24"/>
          <w:szCs w:val="24"/>
          <w:highlight w:val="none"/>
        </w:rPr>
        <w:t>钢板</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钢板长×宽</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mm</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2400</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1800；</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4.4.4.4</w:t>
      </w:r>
      <w:r>
        <w:rPr>
          <w:rFonts w:hint="eastAsia" w:ascii="仿宋" w:hAnsi="仿宋" w:eastAsia="仿宋" w:cs="仿宋"/>
          <w:color w:val="auto"/>
          <w:sz w:val="24"/>
          <w:szCs w:val="24"/>
          <w:highlight w:val="none"/>
        </w:rPr>
        <w:t>额定载重≥</w:t>
      </w:r>
      <w:r>
        <w:rPr>
          <w:rFonts w:hint="eastAsia" w:cs="仿宋"/>
          <w:color w:val="auto"/>
          <w:sz w:val="24"/>
          <w:szCs w:val="24"/>
          <w:highlight w:val="none"/>
          <w:lang w:val="en-US" w:eastAsia="zh-CN"/>
        </w:rPr>
        <w:t>20</w:t>
      </w:r>
      <w:r>
        <w:rPr>
          <w:rFonts w:hint="eastAsia" w:ascii="仿宋" w:hAnsi="仿宋" w:eastAsia="仿宋" w:cs="仿宋"/>
          <w:color w:val="auto"/>
          <w:sz w:val="24"/>
          <w:szCs w:val="24"/>
          <w:highlight w:val="none"/>
        </w:rPr>
        <w:t>00kg；</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4.4.4.5</w:t>
      </w:r>
      <w:r>
        <w:rPr>
          <w:rFonts w:hint="eastAsia" w:ascii="仿宋" w:hAnsi="仿宋" w:eastAsia="仿宋" w:cs="仿宋"/>
          <w:color w:val="auto"/>
          <w:sz w:val="24"/>
          <w:szCs w:val="24"/>
          <w:highlight w:val="none"/>
        </w:rPr>
        <w:t>最大举升高度≥1050mm；</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720" w:firstLineChars="3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4.4.4.6</w:t>
      </w:r>
      <w:r>
        <w:rPr>
          <w:rFonts w:hint="eastAsia" w:ascii="仿宋" w:hAnsi="仿宋" w:eastAsia="仿宋" w:cs="仿宋"/>
          <w:color w:val="auto"/>
          <w:sz w:val="24"/>
          <w:szCs w:val="24"/>
          <w:highlight w:val="none"/>
        </w:rPr>
        <w:t>控制电压：24VDC；</w:t>
      </w:r>
    </w:p>
    <w:p>
      <w:pPr>
        <w:pStyle w:val="14"/>
        <w:keepNext w:val="0"/>
        <w:keepLines w:val="0"/>
        <w:pageBreakBefore w:val="0"/>
        <w:widowControl w:val="0"/>
        <w:kinsoku/>
        <w:wordWrap/>
        <w:overflowPunct/>
        <w:topLinePunct w:val="0"/>
        <w:autoSpaceDE w:val="0"/>
        <w:autoSpaceDN w:val="0"/>
        <w:bidi w:val="0"/>
        <w:adjustRightInd/>
        <w:snapToGrid/>
        <w:spacing w:before="0" w:after="0" w:line="480" w:lineRule="exact"/>
        <w:ind w:left="0" w:firstLine="241" w:firstLineChars="1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4.5</w:t>
      </w:r>
      <w:r>
        <w:rPr>
          <w:rFonts w:hint="eastAsia" w:ascii="仿宋" w:hAnsi="仿宋" w:eastAsia="仿宋" w:cs="仿宋"/>
          <w:b/>
          <w:bCs/>
          <w:color w:val="auto"/>
          <w:sz w:val="24"/>
          <w:szCs w:val="24"/>
          <w:highlight w:val="none"/>
        </w:rPr>
        <w:t>总体要求</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.1整车性能符合GB7956.1-2014《消防车 第1部分：通用技术条件》；</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车身颜色符合GB/T3181</w:t>
      </w:r>
      <w:r>
        <w:rPr>
          <w:rFonts w:hint="eastAsia"/>
          <w:color w:val="auto"/>
          <w:highlight w:val="none"/>
          <w:lang w:val="en-US" w:eastAsia="zh-CN"/>
        </w:rPr>
        <w:t>-</w:t>
      </w:r>
      <w:r>
        <w:rPr>
          <w:rFonts w:hint="eastAsia" w:ascii="宋体" w:hAnsi="宋体" w:eastAsia="宋体" w:cs="宋体"/>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b w:val="0"/>
          <w:bCs w:val="0"/>
          <w:color w:val="auto"/>
          <w:sz w:val="24"/>
          <w:szCs w:val="24"/>
          <w:highlight w:val="none"/>
          <w:lang w:eastAsia="zh-CN"/>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4.5.3在确保不影响车辆安全行驶的前提下，根据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单位需求，对外置车灯、灯具加装防护罩；</w:t>
      </w:r>
      <w:r>
        <w:rPr>
          <w:rFonts w:hint="eastAsia" w:ascii="仿宋" w:hAnsi="仿宋" w:eastAsia="仿宋" w:cs="仿宋"/>
          <w:color w:val="auto"/>
          <w:sz w:val="24"/>
          <w:szCs w:val="24"/>
          <w:highlight w:val="none"/>
        </w:rPr>
        <w:t xml:space="preserve"> </w:t>
      </w:r>
    </w:p>
    <w:p>
      <w:pPr>
        <w:keepNext w:val="0"/>
        <w:keepLines w:val="0"/>
        <w:pageBreakBefore w:val="0"/>
        <w:kinsoku/>
        <w:wordWrap/>
        <w:overflowPunct/>
        <w:topLinePunct w:val="0"/>
        <w:autoSpaceDE w:val="0"/>
        <w:autoSpaceDN w:val="0"/>
        <w:bidi w:val="0"/>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widowControl/>
        <w:tabs>
          <w:tab w:val="left" w:pos="0"/>
        </w:tabs>
        <w:kinsoku/>
        <w:wordWrap/>
        <w:overflowPunct/>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警报灯具：驾乘室顶部安装消防专用灯具，驾乘室内设置警报器和扩音系统(功率≥100W)，在驾乘室可控制扩音器。在车厢两侧、尾部等并联安装红色爆闪灯，警灯、警报器各自采用独立控制开关，车辆顶端四周安装LED灯带；</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4.5.6</w:t>
      </w:r>
      <w:r>
        <w:rPr>
          <w:rFonts w:hint="eastAsia" w:ascii="仿宋" w:hAnsi="仿宋" w:eastAsia="仿宋" w:cs="仿宋"/>
          <w:color w:val="auto"/>
          <w:sz w:val="24"/>
          <w:szCs w:val="24"/>
          <w:highlight w:val="none"/>
        </w:rPr>
        <w:t>投标人在结构设计布置时需提前与</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rPr>
        <w:t>单位联系，根据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rPr>
        <w:t>单位提供的装载器材种类及数量进行定位、定量设计车厢结构，设计方案必须经</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rPr>
        <w:t>单位同意后方可进行生产；</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4.5.7</w:t>
      </w:r>
      <w:r>
        <w:rPr>
          <w:rFonts w:hint="eastAsia" w:ascii="仿宋" w:hAnsi="仿宋" w:eastAsia="仿宋" w:cs="仿宋"/>
          <w:color w:val="auto"/>
          <w:sz w:val="24"/>
          <w:szCs w:val="24"/>
          <w:highlight w:val="none"/>
        </w:rPr>
        <w:t>结构：车厢主体骨架为高强度铝型材，厢体表面采用铝合金板,外蒙皮采用预喷烤漆附膜铝板；</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4.5.8</w:t>
      </w:r>
      <w:r>
        <w:rPr>
          <w:rFonts w:hint="eastAsia" w:ascii="仿宋" w:hAnsi="仿宋" w:eastAsia="仿宋" w:cs="仿宋"/>
          <w:color w:val="auto"/>
          <w:sz w:val="24"/>
          <w:szCs w:val="24"/>
          <w:highlight w:val="none"/>
        </w:rPr>
        <w:t>分仓设计：由工具配件仓、维修作业仓、设备仓和油品仓等组成；</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4.5.9</w:t>
      </w:r>
      <w:r>
        <w:rPr>
          <w:rFonts w:hint="eastAsia" w:ascii="仿宋" w:hAnsi="仿宋" w:eastAsia="仿宋" w:cs="仿宋"/>
          <w:color w:val="auto"/>
          <w:sz w:val="24"/>
          <w:szCs w:val="24"/>
          <w:highlight w:val="none"/>
        </w:rPr>
        <w:t>工具配件舱：设置配件架（配箱）、工具架及抽屉，工具架及抽屉架，根据配备工具大小规格合理设计；</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4.5.10</w:t>
      </w:r>
      <w:r>
        <w:rPr>
          <w:rFonts w:hint="eastAsia" w:ascii="仿宋" w:hAnsi="仿宋" w:eastAsia="仿宋" w:cs="仿宋"/>
          <w:color w:val="auto"/>
          <w:sz w:val="24"/>
          <w:szCs w:val="24"/>
          <w:highlight w:val="none"/>
        </w:rPr>
        <w:t>维修作业舱：设置维修工作台及工作椅，根据配备工具大小规格合理设计；具体以器材表配备工具为主，符合上轻下重取用方便的特点。</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4.5.11</w:t>
      </w:r>
      <w:r>
        <w:rPr>
          <w:rFonts w:hint="eastAsia" w:ascii="仿宋" w:hAnsi="仿宋" w:eastAsia="仿宋" w:cs="仿宋"/>
          <w:color w:val="auto"/>
          <w:sz w:val="24"/>
          <w:szCs w:val="24"/>
          <w:highlight w:val="none"/>
        </w:rPr>
        <w:t>设备舱：根据设备尺寸合理设计。设备及重型工具舱主要安装或放置启动充电机（含蓄电池搭电线）、逆变手提式电焊机、电动加油泵（含流量枪）、手动葫芦、大风炮（含气管）、小风炮（含气管）、重型套筒、气动千斤顶、立式千斤顶、气动黄油枪、台钻、台钳、卷线器、拖车带、折叠工作台等（集体放置器材种类以器材清单为准）。设备及重型工具舱均装有门锁；</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4.5.12</w:t>
      </w:r>
      <w:r>
        <w:rPr>
          <w:rFonts w:hint="eastAsia" w:ascii="仿宋" w:hAnsi="仿宋" w:eastAsia="仿宋" w:cs="仿宋"/>
          <w:color w:val="auto"/>
          <w:sz w:val="24"/>
          <w:szCs w:val="24"/>
          <w:highlight w:val="none"/>
        </w:rPr>
        <w:t>油品舱：可放置各种类型润滑油品或液压油品等；</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241" w:firstLineChars="1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4.6</w:t>
      </w:r>
      <w:r>
        <w:rPr>
          <w:rFonts w:hint="eastAsia" w:ascii="仿宋" w:hAnsi="仿宋" w:eastAsia="仿宋" w:cs="仿宋"/>
          <w:b/>
          <w:bCs/>
          <w:color w:val="auto"/>
          <w:sz w:val="24"/>
          <w:szCs w:val="24"/>
          <w:highlight w:val="none"/>
        </w:rPr>
        <w:t>其他要求</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4.6.1</w:t>
      </w:r>
      <w:r>
        <w:rPr>
          <w:rFonts w:hint="eastAsia" w:ascii="仿宋" w:hAnsi="仿宋" w:eastAsia="仿宋" w:cs="仿宋"/>
          <w:color w:val="auto"/>
          <w:sz w:val="24"/>
          <w:szCs w:val="24"/>
          <w:highlight w:val="none"/>
        </w:rPr>
        <w:t>整车按国家标准配齐随车设备，设备布置合理，固定牢靠；</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4.6.2</w:t>
      </w:r>
      <w:r>
        <w:rPr>
          <w:rFonts w:hint="eastAsia" w:ascii="仿宋" w:hAnsi="仿宋" w:eastAsia="仿宋" w:cs="仿宋"/>
          <w:color w:val="auto"/>
          <w:sz w:val="24"/>
          <w:szCs w:val="24"/>
          <w:highlight w:val="none"/>
        </w:rPr>
        <w:t>供货前，须主动对接使用单位，满足用户需求；</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4.6.3</w:t>
      </w:r>
      <w:r>
        <w:rPr>
          <w:rFonts w:hint="eastAsia" w:ascii="仿宋" w:hAnsi="仿宋" w:eastAsia="仿宋" w:cs="仿宋"/>
          <w:color w:val="auto"/>
          <w:sz w:val="24"/>
          <w:szCs w:val="24"/>
          <w:highlight w:val="none"/>
        </w:rPr>
        <w:t>交付使用单位时，燃油、尿素等添加液处于满液状态；</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4.6.4</w:t>
      </w:r>
      <w:r>
        <w:rPr>
          <w:rFonts w:hint="eastAsia" w:ascii="仿宋" w:hAnsi="仿宋" w:eastAsia="仿宋" w:cs="仿宋"/>
          <w:color w:val="auto"/>
          <w:sz w:val="24"/>
          <w:szCs w:val="24"/>
          <w:highlight w:val="none"/>
        </w:rPr>
        <w:t>首次保养（含材料、人工、差旅等）免费</w:t>
      </w:r>
      <w:r>
        <w:rPr>
          <w:rFonts w:hint="eastAsia" w:ascii="仿宋" w:hAnsi="仿宋" w:eastAsia="仿宋" w:cs="仿宋"/>
          <w:color w:val="auto"/>
          <w:sz w:val="24"/>
          <w:szCs w:val="24"/>
          <w:highlight w:val="none"/>
          <w:lang w:eastAsia="zh-CN"/>
        </w:rPr>
        <w:t>。</w:t>
      </w:r>
    </w:p>
    <w:p>
      <w:pPr>
        <w:pStyle w:val="80"/>
        <w:keepNext w:val="0"/>
        <w:keepLines w:val="0"/>
        <w:pageBreakBefore w:val="0"/>
        <w:widowControl w:val="0"/>
        <w:numPr>
          <w:ilvl w:val="0"/>
          <w:numId w:val="0"/>
        </w:numPr>
        <w:tabs>
          <w:tab w:val="left" w:pos="1281"/>
        </w:tabs>
        <w:kinsoku/>
        <w:wordWrap/>
        <w:overflowPunct/>
        <w:topLinePunct w:val="0"/>
        <w:autoSpaceDE w:val="0"/>
        <w:autoSpaceDN w:val="0"/>
        <w:bidi w:val="0"/>
        <w:adjustRightInd/>
        <w:snapToGrid/>
        <w:spacing w:before="0" w:after="0" w:line="480" w:lineRule="exact"/>
        <w:ind w:left="0" w:right="0" w:rightChars="0" w:firstLine="241" w:firstLineChars="100"/>
        <w:jc w:val="left"/>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4.7</w:t>
      </w:r>
      <w:r>
        <w:rPr>
          <w:rFonts w:hint="eastAsia" w:ascii="仿宋" w:hAnsi="仿宋" w:eastAsia="仿宋" w:cs="仿宋"/>
          <w:b/>
          <w:bCs/>
          <w:color w:val="auto"/>
          <w:sz w:val="24"/>
          <w:szCs w:val="24"/>
          <w:highlight w:val="none"/>
        </w:rPr>
        <w:t>随车器材</w:t>
      </w:r>
    </w:p>
    <w:tbl>
      <w:tblPr>
        <w:tblStyle w:val="43"/>
        <w:tblW w:w="9762"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20"/>
        <w:gridCol w:w="884"/>
        <w:gridCol w:w="2375"/>
        <w:gridCol w:w="734"/>
        <w:gridCol w:w="760"/>
        <w:gridCol w:w="408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blHeader/>
        </w:trPr>
        <w:tc>
          <w:tcPr>
            <w:tcW w:w="92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类别</w:t>
            </w: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460" w:lineRule="exact"/>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920" w:type="dxa"/>
            <w:vMerge w:val="restart"/>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201" w:right="192"/>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移动设备</w:t>
            </w: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蓄电池搭电线</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电流：600A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逆变手提式电焊机</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220V、380V 双电压供</w:t>
            </w:r>
          </w:p>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电，额定频率50HZ/60HZ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6"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电动加油泵+流量枪</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手动葫芦</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righ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1.5T*3M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可编程线性直流电源</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移动工作灯架</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jc w:val="center"/>
              <w:textAlignment w:val="auto"/>
              <w:rPr>
                <w:rFonts w:hint="eastAsia" w:ascii="仿宋" w:hAnsi="仿宋" w:eastAsia="仿宋" w:cs="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top"/>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375"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手持式工作灯</w:t>
            </w:r>
          </w:p>
        </w:tc>
        <w:tc>
          <w:tcPr>
            <w:tcW w:w="734"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760"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ind w:right="0" w:righ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维修工具</w:t>
            </w: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9"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大风炮</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AB-562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9"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小风炮</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AB-162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大风炮管</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卷</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20m，带两边接头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小风炮管</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卷</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20m，带两边接头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重型套筒</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1寸风炮套筒：22</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24</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27</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30</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32</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36</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气动千斤顶</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起重重量：80/40t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立式千斤顶</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kern w:val="2"/>
                <w:sz w:val="24"/>
                <w:szCs w:val="24"/>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手动扒胎工具组</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37" w:leftChars="0" w:right="132"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适用大型车辆轮胎与轮毂的拆装;适用大型车辆轮胎与轮毂的拆装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吹尘枪（气枪）</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79-058-23C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气动黄油机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12L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7" w:leftChars="0"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手动黄油枪</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支</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01" w:leftChars="0" w:right="9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94-164-1-23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气动铆钉枪</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QC140G</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工作行程为 14mm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手动拉钉枪</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69-799-22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手电钻</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支</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功率</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550W，转速 0-2800rpm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台钻</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最大钻孔直径13mm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角磨机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微型打磨机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1、额定功率：130w</w:t>
            </w:r>
          </w:p>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2、钻速：10000-32000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防水卷线器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32FT;50m、380V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普通卷线器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50m，380V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普通卷线器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25m、220V</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电工维修套装</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92-004-1-23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双梅套装</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pacing w:val="-10"/>
                <w:sz w:val="22"/>
                <w:szCs w:val="22"/>
                <w:highlight w:val="none"/>
              </w:rPr>
              <w:t>5.5-32（10</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82"/>
                <w:sz w:val="22"/>
                <w:szCs w:val="22"/>
                <w:highlight w:val="none"/>
              </w:rPr>
              <w:t>）</w:t>
            </w:r>
            <w:r>
              <w:rPr>
                <w:rFonts w:hint="eastAsia" w:ascii="仿宋" w:hAnsi="仿宋" w:eastAsia="仿宋" w:cs="仿宋"/>
                <w:color w:val="auto"/>
                <w:spacing w:val="-84"/>
                <w:sz w:val="22"/>
                <w:szCs w:val="22"/>
                <w:highlight w:val="none"/>
              </w:rPr>
              <w:t>、</w:t>
            </w:r>
            <w:r>
              <w:rPr>
                <w:rFonts w:hint="eastAsia" w:ascii="仿宋" w:hAnsi="仿宋" w:eastAsia="仿宋" w:cs="仿宋"/>
                <w:color w:val="auto"/>
                <w:spacing w:val="-12"/>
                <w:sz w:val="22"/>
                <w:szCs w:val="22"/>
                <w:highlight w:val="none"/>
              </w:rPr>
              <w:t>32-34（1</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84"/>
                <w:sz w:val="22"/>
                <w:szCs w:val="22"/>
                <w:highlight w:val="none"/>
              </w:rPr>
              <w:t>）</w:t>
            </w:r>
            <w:r>
              <w:rPr>
                <w:rFonts w:hint="eastAsia" w:ascii="仿宋" w:hAnsi="仿宋" w:eastAsia="仿宋" w:cs="仿宋"/>
                <w:color w:val="auto"/>
                <w:sz w:val="22"/>
                <w:szCs w:val="22"/>
                <w:highlight w:val="none"/>
              </w:rPr>
              <w:t>、</w:t>
            </w:r>
            <w:r>
              <w:rPr>
                <w:rFonts w:hint="eastAsia" w:ascii="仿宋" w:hAnsi="仿宋" w:eastAsia="仿宋" w:cs="仿宋"/>
                <w:color w:val="auto"/>
                <w:spacing w:val="-6"/>
                <w:sz w:val="22"/>
                <w:szCs w:val="22"/>
                <w:highlight w:val="none"/>
              </w:rPr>
              <w:t>34-36（1</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4"/>
                <w:sz w:val="22"/>
                <w:szCs w:val="22"/>
                <w:highlight w:val="none"/>
              </w:rPr>
              <w:t>）</w:t>
            </w:r>
            <w:r>
              <w:rPr>
                <w:rFonts w:hint="eastAsia" w:ascii="仿宋" w:hAnsi="仿宋" w:eastAsia="仿宋" w:cs="仿宋"/>
                <w:color w:val="auto"/>
                <w:spacing w:val="-36"/>
                <w:sz w:val="22"/>
                <w:szCs w:val="22"/>
                <w:highlight w:val="none"/>
              </w:rPr>
              <w:t>、</w:t>
            </w:r>
            <w:r>
              <w:rPr>
                <w:rFonts w:hint="eastAsia" w:ascii="仿宋" w:hAnsi="仿宋" w:eastAsia="仿宋" w:cs="仿宋"/>
                <w:color w:val="auto"/>
                <w:spacing w:val="-5"/>
                <w:sz w:val="22"/>
                <w:szCs w:val="22"/>
                <w:highlight w:val="none"/>
              </w:rPr>
              <w:t>36-41（1</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6"/>
                <w:sz w:val="22"/>
                <w:szCs w:val="22"/>
                <w:highlight w:val="none"/>
              </w:rPr>
              <w:t>）</w:t>
            </w:r>
            <w:r>
              <w:rPr>
                <w:rFonts w:hint="eastAsia" w:ascii="仿宋" w:hAnsi="仿宋" w:eastAsia="仿宋" w:cs="仿宋"/>
                <w:color w:val="auto"/>
                <w:sz w:val="22"/>
                <w:szCs w:val="22"/>
                <w:highlight w:val="none"/>
              </w:rPr>
              <w:t>、41-46（1</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双开套装</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pacing w:val="-6"/>
                <w:sz w:val="22"/>
                <w:szCs w:val="22"/>
                <w:highlight w:val="none"/>
              </w:rPr>
              <w:t>6-32（13</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4"/>
                <w:sz w:val="22"/>
                <w:szCs w:val="22"/>
                <w:highlight w:val="none"/>
              </w:rPr>
              <w:t>）</w:t>
            </w:r>
            <w:r>
              <w:rPr>
                <w:rFonts w:hint="eastAsia" w:ascii="仿宋" w:hAnsi="仿宋" w:eastAsia="仿宋" w:cs="仿宋"/>
                <w:color w:val="auto"/>
                <w:spacing w:val="-36"/>
                <w:sz w:val="22"/>
                <w:szCs w:val="22"/>
                <w:highlight w:val="none"/>
              </w:rPr>
              <w:t>、</w:t>
            </w:r>
            <w:r>
              <w:rPr>
                <w:rFonts w:hint="eastAsia" w:ascii="仿宋" w:hAnsi="仿宋" w:eastAsia="仿宋" w:cs="仿宋"/>
                <w:color w:val="auto"/>
                <w:spacing w:val="-5"/>
                <w:sz w:val="22"/>
                <w:szCs w:val="22"/>
                <w:highlight w:val="none"/>
              </w:rPr>
              <w:t>32-34（1</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6"/>
                <w:sz w:val="22"/>
                <w:szCs w:val="22"/>
                <w:highlight w:val="none"/>
              </w:rPr>
              <w:t>）</w:t>
            </w:r>
            <w:r>
              <w:rPr>
                <w:rFonts w:hint="eastAsia" w:ascii="仿宋" w:hAnsi="仿宋" w:eastAsia="仿宋" w:cs="仿宋"/>
                <w:color w:val="auto"/>
                <w:sz w:val="22"/>
                <w:szCs w:val="22"/>
                <w:highlight w:val="none"/>
              </w:rPr>
              <w:t>、</w:t>
            </w:r>
            <w:r>
              <w:rPr>
                <w:rFonts w:hint="eastAsia" w:ascii="仿宋" w:hAnsi="仿宋" w:eastAsia="仿宋" w:cs="仿宋"/>
                <w:color w:val="auto"/>
                <w:spacing w:val="-6"/>
                <w:sz w:val="22"/>
                <w:szCs w:val="22"/>
                <w:highlight w:val="none"/>
              </w:rPr>
              <w:t>34-36（1</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4"/>
                <w:sz w:val="22"/>
                <w:szCs w:val="22"/>
                <w:highlight w:val="none"/>
              </w:rPr>
              <w:t>）</w:t>
            </w:r>
            <w:r>
              <w:rPr>
                <w:rFonts w:hint="eastAsia" w:ascii="仿宋" w:hAnsi="仿宋" w:eastAsia="仿宋" w:cs="仿宋"/>
                <w:color w:val="auto"/>
                <w:spacing w:val="-36"/>
                <w:sz w:val="22"/>
                <w:szCs w:val="22"/>
                <w:highlight w:val="none"/>
              </w:rPr>
              <w:t>、</w:t>
            </w:r>
            <w:r>
              <w:rPr>
                <w:rFonts w:hint="eastAsia" w:ascii="仿宋" w:hAnsi="仿宋" w:eastAsia="仿宋" w:cs="仿宋"/>
                <w:color w:val="auto"/>
                <w:spacing w:val="-5"/>
                <w:sz w:val="22"/>
                <w:szCs w:val="22"/>
                <w:highlight w:val="none"/>
              </w:rPr>
              <w:t>36-41（1</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36"/>
                <w:sz w:val="22"/>
                <w:szCs w:val="22"/>
                <w:highlight w:val="none"/>
              </w:rPr>
              <w:t>）</w:t>
            </w:r>
            <w:r>
              <w:rPr>
                <w:rFonts w:hint="eastAsia" w:ascii="仿宋" w:hAnsi="仿宋" w:eastAsia="仿宋" w:cs="仿宋"/>
                <w:color w:val="auto"/>
                <w:sz w:val="22"/>
                <w:szCs w:val="22"/>
                <w:highlight w:val="none"/>
              </w:rPr>
              <w:t>、41-46（1</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两用扳手套装</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6-32（23把）、34（1</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把）、</w:t>
            </w:r>
            <w:r>
              <w:rPr>
                <w:rFonts w:hint="eastAsia" w:ascii="仿宋" w:hAnsi="仿宋" w:eastAsia="仿宋" w:cs="仿宋"/>
                <w:color w:val="auto"/>
                <w:spacing w:val="-6"/>
                <w:sz w:val="22"/>
                <w:szCs w:val="22"/>
                <w:highlight w:val="none"/>
              </w:rPr>
              <w:t>36（1</w:t>
            </w:r>
            <w:r>
              <w:rPr>
                <w:rFonts w:hint="eastAsia" w:ascii="仿宋" w:hAnsi="仿宋" w:eastAsia="仿宋" w:cs="仿宋"/>
                <w:color w:val="auto"/>
                <w:sz w:val="22"/>
                <w:szCs w:val="22"/>
                <w:highlight w:val="none"/>
              </w:rPr>
              <w:t>把</w:t>
            </w:r>
            <w:r>
              <w:rPr>
                <w:rFonts w:hint="eastAsia" w:ascii="仿宋" w:hAnsi="仿宋" w:eastAsia="仿宋" w:cs="仿宋"/>
                <w:color w:val="auto"/>
                <w:spacing w:val="-24"/>
                <w:sz w:val="22"/>
                <w:szCs w:val="22"/>
                <w:highlight w:val="none"/>
              </w:rPr>
              <w:t>）、</w:t>
            </w:r>
            <w:r>
              <w:rPr>
                <w:rFonts w:hint="eastAsia" w:ascii="仿宋" w:hAnsi="仿宋" w:eastAsia="仿宋" w:cs="仿宋"/>
                <w:color w:val="auto"/>
                <w:spacing w:val="-6"/>
                <w:sz w:val="22"/>
                <w:szCs w:val="22"/>
                <w:highlight w:val="none"/>
              </w:rPr>
              <w:t>38（1</w:t>
            </w:r>
            <w:r>
              <w:rPr>
                <w:rFonts w:hint="eastAsia" w:ascii="仿宋" w:hAnsi="仿宋" w:eastAsia="仿宋" w:cs="仿宋"/>
                <w:color w:val="auto"/>
                <w:spacing w:val="-3"/>
                <w:sz w:val="22"/>
                <w:szCs w:val="22"/>
                <w:highlight w:val="none"/>
              </w:rPr>
              <w:t>把</w:t>
            </w:r>
            <w:r>
              <w:rPr>
                <w:rFonts w:hint="eastAsia" w:ascii="仿宋" w:hAnsi="仿宋" w:eastAsia="仿宋" w:cs="仿宋"/>
                <w:color w:val="auto"/>
                <w:spacing w:val="-27"/>
                <w:sz w:val="22"/>
                <w:szCs w:val="22"/>
                <w:highlight w:val="none"/>
              </w:rPr>
              <w:t>）</w:t>
            </w:r>
            <w:r>
              <w:rPr>
                <w:rFonts w:hint="eastAsia" w:ascii="仿宋" w:hAnsi="仿宋" w:eastAsia="仿宋" w:cs="仿宋"/>
                <w:color w:val="auto"/>
                <w:spacing w:val="-24"/>
                <w:sz w:val="22"/>
                <w:szCs w:val="22"/>
                <w:highlight w:val="none"/>
              </w:rPr>
              <w:t>、</w:t>
            </w:r>
            <w:r>
              <w:rPr>
                <w:rFonts w:hint="eastAsia" w:ascii="仿宋" w:hAnsi="仿宋" w:eastAsia="仿宋" w:cs="仿宋"/>
                <w:color w:val="auto"/>
                <w:spacing w:val="-10"/>
                <w:sz w:val="22"/>
                <w:szCs w:val="22"/>
                <w:highlight w:val="none"/>
              </w:rPr>
              <w:t>41（1</w:t>
            </w:r>
            <w:r>
              <w:rPr>
                <w:rFonts w:hint="eastAsia" w:ascii="仿宋" w:hAnsi="仿宋" w:eastAsia="仿宋" w:cs="仿宋"/>
                <w:color w:val="auto"/>
                <w:sz w:val="22"/>
                <w:szCs w:val="22"/>
                <w:highlight w:val="none"/>
              </w:rPr>
              <w:t>把）、46（1把）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扭力扳手</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96411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活动扳手</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797-23/最大开口 67mm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花匙</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92-625-23/</w:t>
            </w:r>
            <w:r>
              <w:rPr>
                <w:rFonts w:hint="eastAsia" w:ascii="仿宋" w:hAnsi="仿宋" w:eastAsia="仿宋" w:cs="仿宋"/>
                <w:color w:val="auto"/>
                <w:spacing w:val="-2"/>
                <w:sz w:val="22"/>
                <w:szCs w:val="22"/>
                <w:highlight w:val="none"/>
              </w:rPr>
              <w:t>规格：</w:t>
            </w:r>
            <w:r>
              <w:rPr>
                <w:rFonts w:hint="eastAsia" w:ascii="仿宋" w:hAnsi="仿宋" w:eastAsia="仿宋" w:cs="仿宋"/>
                <w:color w:val="auto"/>
                <w:spacing w:val="-6"/>
                <w:sz w:val="22"/>
                <w:szCs w:val="22"/>
                <w:highlight w:val="none"/>
              </w:rPr>
              <w:t>TT10</w:t>
            </w:r>
            <w:r>
              <w:rPr>
                <w:rFonts w:hint="eastAsia" w:ascii="仿宋" w:hAnsi="仿宋" w:eastAsia="仿宋" w:cs="仿宋"/>
                <w:color w:val="auto"/>
                <w:spacing w:val="-26"/>
                <w:sz w:val="22"/>
                <w:szCs w:val="22"/>
                <w:highlight w:val="none"/>
              </w:rPr>
              <w:t>、</w:t>
            </w:r>
            <w:r>
              <w:rPr>
                <w:rFonts w:hint="eastAsia" w:ascii="仿宋" w:hAnsi="仿宋" w:eastAsia="仿宋" w:cs="仿宋"/>
                <w:color w:val="auto"/>
                <w:sz w:val="22"/>
                <w:szCs w:val="22"/>
                <w:highlight w:val="none"/>
              </w:rPr>
              <w:t>TT15</w:t>
            </w:r>
            <w:r>
              <w:rPr>
                <w:rFonts w:hint="eastAsia" w:ascii="仿宋" w:hAnsi="仿宋" w:eastAsia="仿宋" w:cs="仿宋"/>
                <w:color w:val="auto"/>
                <w:spacing w:val="-10"/>
                <w:sz w:val="22"/>
                <w:szCs w:val="22"/>
                <w:highlight w:val="none"/>
              </w:rPr>
              <w:t>、</w:t>
            </w:r>
            <w:r>
              <w:rPr>
                <w:rFonts w:hint="eastAsia" w:ascii="仿宋" w:hAnsi="仿宋" w:eastAsia="仿宋" w:cs="仿宋"/>
                <w:color w:val="auto"/>
                <w:sz w:val="22"/>
                <w:szCs w:val="22"/>
                <w:highlight w:val="none"/>
              </w:rPr>
              <w:t>TT20</w:t>
            </w:r>
            <w:r>
              <w:rPr>
                <w:rFonts w:hint="eastAsia" w:ascii="仿宋" w:hAnsi="仿宋" w:eastAsia="仿宋" w:cs="仿宋"/>
                <w:color w:val="auto"/>
                <w:spacing w:val="-75"/>
                <w:sz w:val="22"/>
                <w:szCs w:val="22"/>
                <w:highlight w:val="none"/>
              </w:rPr>
              <w:t>、</w:t>
            </w:r>
            <w:r>
              <w:rPr>
                <w:rFonts w:hint="eastAsia" w:ascii="仿宋" w:hAnsi="仿宋" w:eastAsia="仿宋" w:cs="仿宋"/>
                <w:color w:val="auto"/>
                <w:sz w:val="22"/>
                <w:szCs w:val="22"/>
                <w:highlight w:val="none"/>
              </w:rPr>
              <w:t>TT25</w:t>
            </w:r>
            <w:r>
              <w:rPr>
                <w:rFonts w:hint="eastAsia" w:ascii="仿宋" w:hAnsi="仿宋" w:eastAsia="仿宋" w:cs="仿宋"/>
                <w:color w:val="auto"/>
                <w:spacing w:val="-75"/>
                <w:sz w:val="22"/>
                <w:szCs w:val="22"/>
                <w:highlight w:val="none"/>
              </w:rPr>
              <w:t>、</w:t>
            </w:r>
            <w:r>
              <w:rPr>
                <w:rFonts w:hint="eastAsia" w:ascii="仿宋" w:hAnsi="仿宋" w:eastAsia="仿宋" w:cs="仿宋"/>
                <w:color w:val="auto"/>
                <w:sz w:val="22"/>
                <w:szCs w:val="22"/>
                <w:highlight w:val="none"/>
              </w:rPr>
              <w:t>TT27</w:t>
            </w:r>
            <w:r>
              <w:rPr>
                <w:rFonts w:hint="eastAsia" w:ascii="仿宋" w:hAnsi="仿宋" w:eastAsia="仿宋" w:cs="仿宋"/>
                <w:color w:val="auto"/>
                <w:spacing w:val="-75"/>
                <w:sz w:val="22"/>
                <w:szCs w:val="22"/>
                <w:highlight w:val="none"/>
              </w:rPr>
              <w:t>、</w:t>
            </w:r>
            <w:r>
              <w:rPr>
                <w:rFonts w:hint="eastAsia" w:ascii="仿宋" w:hAnsi="仿宋" w:eastAsia="仿宋" w:cs="仿宋"/>
                <w:color w:val="auto"/>
                <w:sz w:val="22"/>
                <w:szCs w:val="22"/>
                <w:highlight w:val="none"/>
              </w:rPr>
              <w:t>TT30</w:t>
            </w:r>
            <w:r>
              <w:rPr>
                <w:rFonts w:hint="eastAsia" w:ascii="仿宋" w:hAnsi="仿宋" w:eastAsia="仿宋" w:cs="仿宋"/>
                <w:color w:val="auto"/>
                <w:spacing w:val="-74"/>
                <w:sz w:val="22"/>
                <w:szCs w:val="22"/>
                <w:highlight w:val="none"/>
              </w:rPr>
              <w:t>、</w:t>
            </w:r>
            <w:r>
              <w:rPr>
                <w:rFonts w:hint="eastAsia" w:ascii="仿宋" w:hAnsi="仿宋" w:eastAsia="仿宋" w:cs="仿宋"/>
                <w:color w:val="auto"/>
                <w:sz w:val="22"/>
                <w:szCs w:val="22"/>
                <w:highlight w:val="none"/>
              </w:rPr>
              <w:t>TT40、TT45、TT50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六角匙</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pacing w:val="-8"/>
                <w:sz w:val="22"/>
                <w:szCs w:val="22"/>
                <w:highlight w:val="none"/>
              </w:rPr>
              <w:t>规格：</w:t>
            </w:r>
            <w:r>
              <w:rPr>
                <w:rFonts w:hint="eastAsia" w:ascii="仿宋" w:hAnsi="仿宋" w:eastAsia="仿宋" w:cs="仿宋"/>
                <w:color w:val="auto"/>
                <w:spacing w:val="-22"/>
                <w:sz w:val="22"/>
                <w:szCs w:val="22"/>
                <w:highlight w:val="none"/>
              </w:rPr>
              <w:t>1.5</w:t>
            </w:r>
            <w:r>
              <w:rPr>
                <w:rFonts w:hint="eastAsia" w:ascii="仿宋" w:hAnsi="仿宋" w:eastAsia="仿宋" w:cs="仿宋"/>
                <w:color w:val="auto"/>
                <w:spacing w:val="-87"/>
                <w:sz w:val="22"/>
                <w:szCs w:val="22"/>
                <w:highlight w:val="none"/>
              </w:rPr>
              <w:t>、</w:t>
            </w:r>
            <w:r>
              <w:rPr>
                <w:rFonts w:hint="eastAsia" w:ascii="仿宋" w:hAnsi="仿宋" w:eastAsia="仿宋" w:cs="仿宋"/>
                <w:color w:val="auto"/>
                <w:sz w:val="22"/>
                <w:szCs w:val="22"/>
                <w:highlight w:val="none"/>
              </w:rPr>
              <w:t>2、</w:t>
            </w:r>
          </w:p>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2.5、3、4、5、6、8、10mm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大六角匙</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12mm-36mm（12</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150 件组套工具</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181-1-22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三爪拉玛</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pacing w:val="-60"/>
                <w:sz w:val="22"/>
                <w:szCs w:val="22"/>
                <w:highlight w:val="none"/>
              </w:rPr>
              <w:t>寸</w:t>
            </w:r>
            <w:r>
              <w:rPr>
                <w:rFonts w:hint="eastAsia" w:ascii="仿宋" w:hAnsi="仿宋" w:eastAsia="仿宋" w:cs="仿宋"/>
                <w:color w:val="auto"/>
                <w:spacing w:val="-9"/>
                <w:sz w:val="22"/>
                <w:szCs w:val="22"/>
                <w:highlight w:val="none"/>
              </w:rPr>
              <w:t>（250mm）</w:t>
            </w:r>
            <w:r>
              <w:rPr>
                <w:rFonts w:hint="eastAsia" w:ascii="仿宋" w:hAnsi="仿宋" w:eastAsia="仿宋" w:cs="仿宋"/>
                <w:color w:val="auto"/>
                <w:spacing w:val="-60"/>
                <w:sz w:val="22"/>
                <w:szCs w:val="22"/>
                <w:highlight w:val="none"/>
              </w:rPr>
              <w:t>、</w:t>
            </w:r>
            <w:r>
              <w:rPr>
                <w:rFonts w:hint="eastAsia" w:ascii="仿宋" w:hAnsi="仿宋" w:eastAsia="仿宋" w:cs="仿宋"/>
                <w:color w:val="auto"/>
                <w:sz w:val="22"/>
                <w:szCs w:val="22"/>
                <w:highlight w:val="none"/>
              </w:rPr>
              <w:t>6</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pacing w:val="-60"/>
                <w:sz w:val="22"/>
                <w:szCs w:val="22"/>
                <w:highlight w:val="none"/>
              </w:rPr>
              <w:t>寸</w:t>
            </w:r>
            <w:r>
              <w:rPr>
                <w:rFonts w:hint="eastAsia" w:ascii="仿宋" w:hAnsi="仿宋" w:eastAsia="仿宋" w:cs="仿宋"/>
                <w:color w:val="auto"/>
                <w:spacing w:val="-9"/>
                <w:sz w:val="22"/>
                <w:szCs w:val="22"/>
                <w:highlight w:val="none"/>
              </w:rPr>
              <w:t>（150mm）</w:t>
            </w:r>
            <w:r>
              <w:rPr>
                <w:rFonts w:hint="eastAsia" w:ascii="仿宋" w:hAnsi="仿宋" w:eastAsia="仿宋" w:cs="仿宋"/>
                <w:color w:val="auto"/>
                <w:spacing w:val="-60"/>
                <w:sz w:val="22"/>
                <w:szCs w:val="22"/>
                <w:highlight w:val="none"/>
              </w:rPr>
              <w:t>、</w:t>
            </w:r>
          </w:p>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4</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寸（100mm）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二爪拉玛</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right="0" w:firstLine="0" w:firstLineChars="0"/>
              <w:jc w:val="center"/>
              <w:textAlignment w:val="auto"/>
              <w:outlineLvl w:val="9"/>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10</w:t>
            </w:r>
            <w:r>
              <w:rPr>
                <w:rFonts w:hint="eastAsia" w:ascii="仿宋" w:hAnsi="仿宋" w:eastAsia="仿宋" w:cs="仿宋"/>
                <w:color w:val="auto"/>
                <w:spacing w:val="-57"/>
                <w:sz w:val="22"/>
                <w:szCs w:val="22"/>
                <w:highlight w:val="none"/>
              </w:rPr>
              <w:t xml:space="preserve"> </w:t>
            </w:r>
            <w:r>
              <w:rPr>
                <w:rFonts w:hint="eastAsia" w:ascii="仿宋" w:hAnsi="仿宋" w:eastAsia="仿宋" w:cs="仿宋"/>
                <w:color w:val="auto"/>
                <w:spacing w:val="-60"/>
                <w:sz w:val="22"/>
                <w:szCs w:val="22"/>
                <w:highlight w:val="none"/>
              </w:rPr>
              <w:t>寸</w:t>
            </w:r>
            <w:r>
              <w:rPr>
                <w:rFonts w:hint="eastAsia" w:ascii="仿宋" w:hAnsi="仿宋" w:eastAsia="仿宋" w:cs="仿宋"/>
                <w:color w:val="auto"/>
                <w:spacing w:val="-9"/>
                <w:sz w:val="22"/>
                <w:szCs w:val="22"/>
                <w:highlight w:val="none"/>
              </w:rPr>
              <w:t>（250mm）</w:t>
            </w:r>
            <w:r>
              <w:rPr>
                <w:rFonts w:hint="eastAsia" w:ascii="仿宋" w:hAnsi="仿宋" w:eastAsia="仿宋" w:cs="仿宋"/>
                <w:color w:val="auto"/>
                <w:spacing w:val="-60"/>
                <w:sz w:val="22"/>
                <w:szCs w:val="22"/>
                <w:highlight w:val="none"/>
              </w:rPr>
              <w:t>、</w:t>
            </w:r>
            <w:r>
              <w:rPr>
                <w:rFonts w:hint="eastAsia" w:ascii="仿宋" w:hAnsi="仿宋" w:eastAsia="仿宋" w:cs="仿宋"/>
                <w:color w:val="auto"/>
                <w:sz w:val="22"/>
                <w:szCs w:val="22"/>
                <w:highlight w:val="none"/>
              </w:rPr>
              <w:t>6</w:t>
            </w:r>
            <w:r>
              <w:rPr>
                <w:rFonts w:hint="eastAsia" w:ascii="仿宋" w:hAnsi="仿宋" w:eastAsia="仿宋" w:cs="仿宋"/>
                <w:color w:val="auto"/>
                <w:spacing w:val="-56"/>
                <w:sz w:val="22"/>
                <w:szCs w:val="22"/>
                <w:highlight w:val="none"/>
              </w:rPr>
              <w:t xml:space="preserve"> </w:t>
            </w:r>
            <w:r>
              <w:rPr>
                <w:rFonts w:hint="eastAsia" w:ascii="仿宋" w:hAnsi="仿宋" w:eastAsia="仿宋" w:cs="仿宋"/>
                <w:color w:val="auto"/>
                <w:spacing w:val="-60"/>
                <w:sz w:val="22"/>
                <w:szCs w:val="22"/>
                <w:highlight w:val="none"/>
              </w:rPr>
              <w:t>寸</w:t>
            </w:r>
            <w:r>
              <w:rPr>
                <w:rFonts w:hint="eastAsia" w:ascii="仿宋" w:hAnsi="仿宋" w:eastAsia="仿宋" w:cs="仿宋"/>
                <w:color w:val="auto"/>
                <w:spacing w:val="-9"/>
                <w:sz w:val="22"/>
                <w:szCs w:val="22"/>
                <w:highlight w:val="none"/>
              </w:rPr>
              <w:t>（150mm）</w:t>
            </w:r>
            <w:r>
              <w:rPr>
                <w:rFonts w:hint="eastAsia" w:ascii="仿宋" w:hAnsi="仿宋" w:eastAsia="仿宋" w:cs="仿宋"/>
                <w:color w:val="auto"/>
                <w:spacing w:val="-60"/>
                <w:sz w:val="22"/>
                <w:szCs w:val="22"/>
                <w:highlight w:val="none"/>
              </w:rPr>
              <w:t>、</w:t>
            </w:r>
          </w:p>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4</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寸（100mm）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凿子套装</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2"/>
                <w:szCs w:val="22"/>
                <w:highlight w:val="none"/>
                <w:lang w:val="zh-CN" w:eastAsia="zh-CN" w:bidi="zh-CN"/>
              </w:rPr>
            </w:pPr>
            <w:r>
              <w:rPr>
                <w:rFonts w:hint="eastAsia" w:ascii="仿宋" w:hAnsi="仿宋" w:eastAsia="仿宋" w:cs="仿宋"/>
                <w:color w:val="auto"/>
                <w:sz w:val="22"/>
                <w:szCs w:val="22"/>
                <w:highlight w:val="none"/>
              </w:rPr>
              <w:t>13</w:t>
            </w:r>
            <w:r>
              <w:rPr>
                <w:rFonts w:hint="eastAsia" w:ascii="仿宋" w:hAnsi="仿宋" w:eastAsia="仿宋" w:cs="仿宋"/>
                <w:color w:val="auto"/>
                <w:spacing w:val="-60"/>
                <w:sz w:val="22"/>
                <w:szCs w:val="22"/>
                <w:highlight w:val="none"/>
              </w:rPr>
              <w:t xml:space="preserve"> </w:t>
            </w:r>
            <w:r>
              <w:rPr>
                <w:rFonts w:hint="eastAsia" w:ascii="仿宋" w:hAnsi="仿宋" w:eastAsia="仿宋" w:cs="仿宋"/>
                <w:color w:val="auto"/>
                <w:sz w:val="22"/>
                <w:szCs w:val="22"/>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钢丝钳</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kern w:val="2"/>
                <w:sz w:val="24"/>
                <w:szCs w:val="24"/>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铁锤</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8P</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八角锤、3P、1.5P</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断头螺丝取出器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171-1-23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丝攻</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手用（M3-M10)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油封拆装工具</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配气门油封钳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压管工具</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45、48、50、54、57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气管安装工具</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89-882-23/57</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件套维修工具组套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台钳</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6"/>
                <w:sz w:val="24"/>
                <w:szCs w:val="24"/>
                <w:highlight w:val="none"/>
              </w:rPr>
              <w:t xml:space="preserve">寸、重型、钳口宽度 </w:t>
            </w:r>
            <w:r>
              <w:rPr>
                <w:rFonts w:hint="eastAsia" w:ascii="仿宋" w:hAnsi="仿宋" w:eastAsia="仿宋" w:cs="仿宋"/>
                <w:color w:val="auto"/>
                <w:sz w:val="24"/>
                <w:szCs w:val="24"/>
                <w:highlight w:val="none"/>
              </w:rPr>
              <w:t>150mm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开孔器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16.19.20.22.25.30.32.35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大撬棍</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条</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0.4</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米-1</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米;95-255-23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漏斗</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胶质（大）、胶质（小）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大油盘</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800*500*100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小油盘</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500*380*80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测量工具</w:t>
            </w: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液压表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YN75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转速表</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手持式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红外线测温仪</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游标卡尺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把</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37-150-23C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千分尺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0-100（4</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塞尺</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0" w:leftChars="0" w:right="0"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115-23/23</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noWrap w:val="0"/>
            <w:vAlign w:val="center"/>
          </w:tcPr>
          <w:p>
            <w:pPr>
              <w:jc w:val="center"/>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拖车工具</w:t>
            </w: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78"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145" w:leftChars="0" w:right="13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拖车带</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8"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297"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left="101" w:leftChars="0" w:right="98" w:rightChars="0"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12mm*4m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警戒及防护器材</w:t>
            </w: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警戒灯</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default" w:ascii="仿宋" w:hAnsi="仿宋" w:eastAsia="仿宋" w:cs="仿宋"/>
                <w:color w:val="auto"/>
                <w:kern w:val="2"/>
                <w:sz w:val="21"/>
                <w:szCs w:val="24"/>
                <w:highlight w:val="none"/>
                <w:lang w:val="en-US" w:eastAsia="zh-CN" w:bidi="zh-CN"/>
              </w:rPr>
            </w:pPr>
            <w:r>
              <w:rPr>
                <w:rFonts w:hint="eastAsia" w:cs="仿宋"/>
                <w:color w:val="auto"/>
                <w:kern w:val="2"/>
                <w:sz w:val="21"/>
                <w:szCs w:val="24"/>
                <w:highlight w:val="none"/>
                <w:lang w:val="en-US" w:eastAsia="zh-CN" w:bidi="zh-CN"/>
              </w:rPr>
              <w:t>62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减速标志</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line="240" w:lineRule="auto"/>
              <w:ind w:firstLine="0" w:firstLineChars="0"/>
              <w:jc w:val="center"/>
              <w:textAlignment w:val="auto"/>
              <w:outlineLvl w:val="9"/>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200×300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63</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维修标志</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200×300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64</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安全带</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套</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both"/>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pacing w:val="-27"/>
                <w:sz w:val="24"/>
                <w:szCs w:val="24"/>
                <w:highlight w:val="none"/>
              </w:rPr>
              <w:t>防坠落悬</w:t>
            </w:r>
            <w:r>
              <w:rPr>
                <w:rFonts w:hint="eastAsia" w:ascii="仿宋" w:hAnsi="仿宋" w:eastAsia="仿宋" w:cs="仿宋"/>
                <w:color w:val="auto"/>
                <w:spacing w:val="-14"/>
                <w:sz w:val="24"/>
                <w:szCs w:val="24"/>
                <w:highlight w:val="none"/>
              </w:rPr>
              <w:t>挂安全带，重量</w:t>
            </w:r>
            <w:r>
              <w:rPr>
                <w:rFonts w:hint="eastAsia" w:cs="仿宋"/>
                <w:color w:val="auto"/>
                <w:spacing w:val="-14"/>
                <w:sz w:val="24"/>
                <w:szCs w:val="24"/>
                <w:highlight w:val="none"/>
                <w:lang w:eastAsia="zh-CN"/>
              </w:rPr>
              <w:t>≥</w:t>
            </w:r>
            <w:r>
              <w:rPr>
                <w:rFonts w:hint="eastAsia" w:ascii="仿宋" w:hAnsi="仿宋" w:eastAsia="仿宋" w:cs="仿宋"/>
                <w:color w:val="auto"/>
                <w:spacing w:val="-10"/>
                <w:sz w:val="24"/>
                <w:szCs w:val="24"/>
                <w:highlight w:val="none"/>
              </w:rPr>
              <w:t>2.5Kg</w:t>
            </w:r>
            <w:r>
              <w:rPr>
                <w:rFonts w:hint="eastAsia" w:ascii="仿宋" w:hAnsi="仿宋" w:eastAsia="仿宋" w:cs="仿宋"/>
                <w:color w:val="auto"/>
                <w:spacing w:val="-8"/>
                <w:sz w:val="24"/>
                <w:szCs w:val="24"/>
                <w:highlight w:val="none"/>
              </w:rPr>
              <w:t>，安全</w:t>
            </w:r>
            <w:r>
              <w:rPr>
                <w:rFonts w:hint="eastAsia" w:ascii="仿宋" w:hAnsi="仿宋" w:eastAsia="仿宋" w:cs="仿宋"/>
                <w:color w:val="auto"/>
                <w:sz w:val="24"/>
                <w:szCs w:val="24"/>
                <w:highlight w:val="none"/>
              </w:rPr>
              <w:t>绳加缓冲包加大钩长度</w:t>
            </w:r>
            <w:r>
              <w:rPr>
                <w:rFonts w:hint="eastAsia" w:cs="仿宋"/>
                <w:color w:val="auto"/>
                <w:sz w:val="24"/>
                <w:szCs w:val="24"/>
                <w:highlight w:val="none"/>
                <w:lang w:eastAsia="zh-CN"/>
              </w:rPr>
              <w:t>≥</w:t>
            </w:r>
            <w:r>
              <w:rPr>
                <w:rFonts w:hint="eastAsia" w:ascii="仿宋" w:hAnsi="仿宋" w:eastAsia="仿宋" w:cs="仿宋"/>
                <w:color w:val="auto"/>
                <w:sz w:val="24"/>
                <w:szCs w:val="24"/>
                <w:highlight w:val="none"/>
              </w:rPr>
              <w:t>1.8m，材质：高强度涤纶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65</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安全帽</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顶</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ABS</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材质，V</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型顶带透气孔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w:t>
            </w: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66</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微波炉</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台</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知名品牌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67</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折叠工作台</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张</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pacing w:val="-30"/>
                <w:sz w:val="24"/>
                <w:szCs w:val="24"/>
                <w:highlight w:val="none"/>
              </w:rPr>
              <w:t xml:space="preserve">长 </w:t>
            </w:r>
            <w:r>
              <w:rPr>
                <w:rFonts w:hint="eastAsia" w:ascii="仿宋" w:hAnsi="仿宋" w:eastAsia="仿宋" w:cs="仿宋"/>
                <w:color w:val="auto"/>
                <w:sz w:val="24"/>
                <w:szCs w:val="24"/>
                <w:highlight w:val="none"/>
              </w:rPr>
              <w:t>120CM</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pacing w:val="-30"/>
                <w:sz w:val="24"/>
                <w:szCs w:val="24"/>
                <w:highlight w:val="none"/>
              </w:rPr>
              <w:t xml:space="preserve">宽 </w:t>
            </w:r>
            <w:r>
              <w:rPr>
                <w:rFonts w:hint="eastAsia" w:ascii="仿宋" w:hAnsi="仿宋" w:eastAsia="仿宋" w:cs="仿宋"/>
                <w:color w:val="auto"/>
                <w:sz w:val="24"/>
                <w:szCs w:val="24"/>
                <w:highlight w:val="none"/>
              </w:rPr>
              <w:t>60-80CM</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高80-100CM</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68</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椅子</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4</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张</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折叠椅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69</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凳子</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5</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张</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折叠凳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70</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躺板</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pacing w:val="-12"/>
                <w:sz w:val="24"/>
                <w:szCs w:val="24"/>
                <w:highlight w:val="none"/>
              </w:rPr>
              <w:t xml:space="preserve">修车滑板 </w:t>
            </w:r>
            <w:r>
              <w:rPr>
                <w:rFonts w:hint="eastAsia" w:ascii="仿宋" w:hAnsi="仿宋" w:eastAsia="仿宋" w:cs="仿宋"/>
                <w:color w:val="auto"/>
                <w:sz w:val="24"/>
                <w:szCs w:val="24"/>
                <w:highlight w:val="none"/>
              </w:rPr>
              <w:t>40</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71</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折叠铝梯</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1</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pacing w:val="-20"/>
                <w:sz w:val="24"/>
                <w:szCs w:val="24"/>
                <w:highlight w:val="none"/>
              </w:rPr>
              <w:t xml:space="preserve">梯长 </w:t>
            </w:r>
            <w:r>
              <w:rPr>
                <w:rFonts w:hint="eastAsia" w:ascii="仿宋" w:hAnsi="仿宋" w:eastAsia="仿宋" w:cs="仿宋"/>
                <w:color w:val="auto"/>
                <w:sz w:val="24"/>
                <w:szCs w:val="24"/>
                <w:highlight w:val="none"/>
              </w:rPr>
              <w:t>1.2</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米-4.3</w:t>
            </w:r>
            <w:r>
              <w:rPr>
                <w:rFonts w:hint="eastAsia" w:ascii="仿宋" w:hAnsi="仿宋" w:eastAsia="仿宋" w:cs="仿宋"/>
                <w:color w:val="auto"/>
                <w:spacing w:val="-60"/>
                <w:sz w:val="24"/>
                <w:szCs w:val="24"/>
                <w:highlight w:val="none"/>
              </w:rPr>
              <w:t xml:space="preserve"> </w:t>
            </w:r>
            <w:r>
              <w:rPr>
                <w:rFonts w:hint="eastAsia" w:ascii="仿宋" w:hAnsi="仿宋" w:eastAsia="仿宋" w:cs="仿宋"/>
                <w:color w:val="auto"/>
                <w:sz w:val="24"/>
                <w:szCs w:val="24"/>
                <w:highlight w:val="none"/>
              </w:rPr>
              <w:t>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92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after="0" w:line="240" w:lineRule="auto"/>
              <w:jc w:val="center"/>
              <w:textAlignment w:val="auto"/>
              <w:rPr>
                <w:rFonts w:hint="eastAsia" w:ascii="仿宋" w:hAnsi="仿宋" w:eastAsia="仿宋" w:cs="仿宋"/>
                <w:color w:val="auto"/>
                <w:sz w:val="24"/>
                <w:szCs w:val="24"/>
                <w:highlight w:val="none"/>
              </w:rPr>
            </w:pPr>
          </w:p>
        </w:tc>
        <w:tc>
          <w:tcPr>
            <w:tcW w:w="88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72</w:t>
            </w:r>
          </w:p>
        </w:tc>
        <w:tc>
          <w:tcPr>
            <w:tcW w:w="2375"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灯泡</w:t>
            </w:r>
          </w:p>
        </w:tc>
        <w:tc>
          <w:tcPr>
            <w:tcW w:w="734"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2</w:t>
            </w:r>
          </w:p>
        </w:tc>
        <w:tc>
          <w:tcPr>
            <w:tcW w:w="760"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个</w:t>
            </w:r>
          </w:p>
        </w:tc>
        <w:tc>
          <w:tcPr>
            <w:tcW w:w="4089" w:type="dxa"/>
            <w:noWrap w:val="0"/>
            <w:vAlign w:val="center"/>
          </w:tcPr>
          <w:p>
            <w:pPr>
              <w:pStyle w:val="82"/>
              <w:keepNext w:val="0"/>
              <w:keepLines w:val="0"/>
              <w:pageBreakBefore w:val="0"/>
              <w:widowControl w:val="0"/>
              <w:kinsoku/>
              <w:wordWrap/>
              <w:overflowPunct/>
              <w:topLinePunct w:val="0"/>
              <w:autoSpaceDE w:val="0"/>
              <w:autoSpaceDN w:val="0"/>
              <w:bidi w:val="0"/>
              <w:adjustRightInd/>
              <w:snapToGrid/>
              <w:spacing w:before="0" w:after="0" w:line="240" w:lineRule="auto"/>
              <w:ind w:left="0" w:leftChars="0" w:right="0" w:rightChars="0"/>
              <w:jc w:val="center"/>
              <w:textAlignment w:val="auto"/>
              <w:rPr>
                <w:rFonts w:hint="eastAsia" w:ascii="仿宋" w:hAnsi="仿宋" w:eastAsia="仿宋" w:cs="仿宋"/>
                <w:color w:val="auto"/>
                <w:kern w:val="2"/>
                <w:sz w:val="24"/>
                <w:szCs w:val="24"/>
                <w:highlight w:val="none"/>
                <w:lang w:val="zh-CN" w:eastAsia="zh-CN" w:bidi="zh-CN"/>
              </w:rPr>
            </w:pPr>
            <w:r>
              <w:rPr>
                <w:rFonts w:hint="eastAsia" w:ascii="仿宋" w:hAnsi="仿宋" w:eastAsia="仿宋" w:cs="仿宋"/>
                <w:color w:val="auto"/>
                <w:sz w:val="24"/>
                <w:szCs w:val="24"/>
                <w:highlight w:val="none"/>
              </w:rPr>
              <w:t>70W/工作灯用</w:t>
            </w:r>
          </w:p>
        </w:tc>
      </w:tr>
    </w:tbl>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8</w:t>
      </w:r>
      <w:r>
        <w:rPr>
          <w:rFonts w:hint="eastAsia" w:ascii="仿宋" w:hAnsi="仿宋" w:eastAsia="仿宋" w:cs="仿宋"/>
          <w:b/>
          <w:bCs/>
          <w:color w:val="auto"/>
          <w:sz w:val="24"/>
          <w:szCs w:val="24"/>
          <w:highlight w:val="none"/>
        </w:rPr>
        <w:t>随车附件</w:t>
      </w:r>
    </w:p>
    <w:tbl>
      <w:tblPr>
        <w:tblStyle w:val="43"/>
        <w:tblW w:w="9718" w:type="dxa"/>
        <w:tblInd w:w="0" w:type="dxa"/>
        <w:tblLayout w:type="fixed"/>
        <w:tblCellMar>
          <w:top w:w="0" w:type="dxa"/>
          <w:left w:w="30" w:type="dxa"/>
          <w:bottom w:w="0" w:type="dxa"/>
          <w:right w:w="30" w:type="dxa"/>
        </w:tblCellMar>
      </w:tblPr>
      <w:tblGrid>
        <w:gridCol w:w="894"/>
        <w:gridCol w:w="2839"/>
        <w:gridCol w:w="804"/>
        <w:gridCol w:w="867"/>
        <w:gridCol w:w="4314"/>
      </w:tblGrid>
      <w:tr>
        <w:tblPrEx>
          <w:tblCellMar>
            <w:top w:w="0" w:type="dxa"/>
            <w:left w:w="30" w:type="dxa"/>
            <w:bottom w:w="0" w:type="dxa"/>
            <w:right w:w="30" w:type="dxa"/>
          </w:tblCellMar>
        </w:tblPrEx>
        <w:trPr>
          <w:trHeight w:val="397" w:hRule="atLeast"/>
          <w:tblHead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4314"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4314"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pStyle w:val="15"/>
        <w:ind w:left="0" w:leftChars="0" w:firstLine="0" w:firstLineChars="0"/>
        <w:rPr>
          <w:rFonts w:hint="eastAsia" w:ascii="仿宋" w:hAnsi="仿宋" w:eastAsia="仿宋" w:cs="仿宋"/>
          <w:b/>
          <w:bCs/>
          <w:color w:val="auto"/>
          <w:kern w:val="0"/>
          <w:sz w:val="24"/>
          <w:szCs w:val="24"/>
          <w:highlight w:val="none"/>
          <w:lang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0" w:name="_Toc23193"/>
      <w:r>
        <w:rPr>
          <w:rFonts w:hint="eastAsia" w:ascii="仿宋" w:hAnsi="仿宋" w:eastAsia="仿宋" w:cs="仿宋"/>
          <w:color w:val="auto"/>
          <w:sz w:val="28"/>
          <w:szCs w:val="28"/>
          <w:highlight w:val="none"/>
          <w:lang w:val="en-US" w:eastAsia="zh-CN"/>
        </w:rPr>
        <w:t>品目13：水质净化车</w:t>
      </w:r>
      <w:bookmarkEnd w:id="370"/>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Cs w:val="0"/>
          <w:color w:val="auto"/>
          <w:sz w:val="24"/>
          <w:szCs w:val="24"/>
          <w:highlight w:val="none"/>
          <w:lang w:val="en-US" w:eastAsia="zh-CN"/>
        </w:rPr>
      </w:pPr>
      <w:r>
        <w:rPr>
          <w:rFonts w:hint="eastAsia" w:ascii="仿宋" w:hAnsi="仿宋" w:eastAsia="仿宋" w:cs="仿宋"/>
          <w:bCs/>
          <w:color w:val="auto"/>
          <w:sz w:val="24"/>
          <w:szCs w:val="24"/>
          <w:highlight w:val="none"/>
        </w:rPr>
        <w:t>一、货物名称：</w:t>
      </w:r>
      <w:r>
        <w:rPr>
          <w:rFonts w:hint="eastAsia" w:ascii="仿宋" w:hAnsi="仿宋" w:eastAsia="仿宋" w:cs="仿宋"/>
          <w:b w:val="0"/>
          <w:bCs w:val="0"/>
          <w:color w:val="auto"/>
          <w:sz w:val="24"/>
          <w:szCs w:val="24"/>
          <w:highlight w:val="none"/>
          <w:lang w:val="en-US" w:eastAsia="zh-CN"/>
        </w:rPr>
        <w:t>水质净化车</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二、主要规格：</w:t>
      </w:r>
      <w:r>
        <w:rPr>
          <w:rFonts w:hint="eastAsia" w:ascii="仿宋" w:hAnsi="仿宋" w:eastAsia="仿宋" w:cs="仿宋"/>
          <w:bCs/>
          <w:color w:val="auto"/>
          <w:sz w:val="24"/>
          <w:szCs w:val="24"/>
          <w:highlight w:val="none"/>
          <w:lang w:eastAsia="zh-CN"/>
        </w:rPr>
        <w:t>国产</w:t>
      </w:r>
      <w:r>
        <w:rPr>
          <w:rFonts w:hint="eastAsia" w:ascii="仿宋" w:hAnsi="仿宋" w:eastAsia="仿宋" w:cs="仿宋"/>
          <w:bCs/>
          <w:color w:val="auto"/>
          <w:sz w:val="24"/>
          <w:szCs w:val="24"/>
          <w:highlight w:val="none"/>
        </w:rPr>
        <w:t>底盘</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三、数量：</w:t>
      </w:r>
      <w:r>
        <w:rPr>
          <w:rFonts w:hint="eastAsia" w:ascii="仿宋" w:hAnsi="仿宋" w:eastAsia="仿宋" w:cs="仿宋"/>
          <w:bCs/>
          <w:color w:val="auto"/>
          <w:sz w:val="24"/>
          <w:szCs w:val="24"/>
          <w:highlight w:val="none"/>
          <w:lang w:val="en-US" w:eastAsia="zh-CN"/>
        </w:rPr>
        <w:t>1辆</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四、主要技术参数及要求：</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4.1整车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 w:val="0"/>
          <w:bCs/>
          <w:color w:val="auto"/>
          <w:sz w:val="24"/>
          <w:szCs w:val="24"/>
          <w:highlight w:val="none"/>
        </w:rPr>
        <w:t>4.1</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整车尺寸：</w:t>
      </w:r>
      <w:r>
        <w:rPr>
          <w:rFonts w:hint="eastAsia" w:ascii="仿宋" w:hAnsi="仿宋" w:eastAsia="仿宋" w:cs="仿宋"/>
          <w:bCs/>
          <w:color w:val="auto"/>
          <w:sz w:val="24"/>
          <w:szCs w:val="24"/>
          <w:highlight w:val="none"/>
        </w:rPr>
        <w:t>长×宽×高（mm）：≤10000×2550×4000</w:t>
      </w:r>
    </w:p>
    <w:p>
      <w:pPr>
        <w:keepNext w:val="0"/>
        <w:keepLines w:val="0"/>
        <w:pageBreakBefore w:val="0"/>
        <w:widowControl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比功率：≥12KW/T；</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default" w:ascii="仿宋" w:hAnsi="仿宋" w:eastAsia="仿宋" w:cs="仿宋"/>
          <w:bCs/>
          <w:color w:val="auto"/>
          <w:sz w:val="24"/>
          <w:szCs w:val="24"/>
          <w:highlight w:val="none"/>
          <w:lang w:val="en-US"/>
        </w:rPr>
      </w:pP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4.2.1发动机</w:t>
      </w:r>
      <w:r>
        <w:rPr>
          <w:rFonts w:ascii="仿宋" w:hAnsi="仿宋" w:eastAsia="仿宋" w:cs="仿宋"/>
          <w:color w:val="auto"/>
          <w:sz w:val="24"/>
          <w:szCs w:val="24"/>
          <w:highlight w:val="none"/>
        </w:rPr>
        <w:t>额定</w:t>
      </w:r>
      <w:r>
        <w:rPr>
          <w:rFonts w:hint="eastAsia" w:ascii="仿宋" w:hAnsi="仿宋" w:eastAsia="仿宋" w:cs="仿宋"/>
          <w:bCs/>
          <w:color w:val="auto"/>
          <w:sz w:val="24"/>
          <w:szCs w:val="24"/>
          <w:highlight w:val="none"/>
        </w:rPr>
        <w:t>功率：</w:t>
      </w:r>
      <w:r>
        <w:rPr>
          <w:rFonts w:hint="eastAsia" w:ascii="仿宋" w:hAnsi="仿宋" w:eastAsia="仿宋" w:cs="仿宋"/>
          <w:bCs/>
          <w:color w:val="auto"/>
          <w:sz w:val="24"/>
          <w:szCs w:val="24"/>
          <w:highlight w:val="none"/>
          <w:lang w:val="en-US" w:eastAsia="zh-CN"/>
        </w:rPr>
        <w:t>≥240 KW</w:t>
      </w:r>
      <w:r>
        <w:rPr>
          <w:rFonts w:hint="eastAsia" w:ascii="仿宋" w:hAnsi="仿宋" w:eastAsia="仿宋" w:cs="仿宋"/>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燃料：柴油</w:t>
      </w:r>
      <w:r>
        <w:rPr>
          <w:rFonts w:hint="eastAsia" w:ascii="仿宋" w:hAnsi="仿宋" w:eastAsia="仿宋" w:cs="仿宋"/>
          <w:bCs/>
          <w:color w:val="auto"/>
          <w:sz w:val="24"/>
          <w:szCs w:val="24"/>
          <w:highlight w:val="none"/>
          <w:lang w:eastAsia="zh-CN"/>
        </w:rPr>
        <w:t xml:space="preserve">，油箱容积≥200L </w:t>
      </w:r>
      <w:r>
        <w:rPr>
          <w:rFonts w:hint="eastAsia" w:ascii="仿宋" w:hAnsi="仿宋" w:eastAsia="仿宋" w:cs="仿宋"/>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尾气排放：符合国Ⅵ标准；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最高车速：≥90km/h；</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4.2.</w:t>
      </w: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驱动</w:t>
      </w:r>
      <w:r>
        <w:rPr>
          <w:rFonts w:hint="eastAsia" w:ascii="仿宋" w:hAnsi="仿宋" w:eastAsia="仿宋" w:cs="仿宋"/>
          <w:bCs/>
          <w:color w:val="auto"/>
          <w:sz w:val="24"/>
          <w:szCs w:val="24"/>
          <w:highlight w:val="none"/>
          <w:lang w:eastAsia="zh-CN"/>
        </w:rPr>
        <w:t>形式</w:t>
      </w:r>
      <w:r>
        <w:rPr>
          <w:rFonts w:hint="eastAsia" w:ascii="仿宋" w:hAnsi="仿宋" w:eastAsia="仿宋" w:cs="仿宋"/>
          <w:bCs/>
          <w:color w:val="auto"/>
          <w:sz w:val="24"/>
          <w:szCs w:val="24"/>
          <w:highlight w:val="none"/>
        </w:rPr>
        <w:t>：4×2；</w:t>
      </w:r>
    </w:p>
    <w:p>
      <w:pPr>
        <w:keepNext w:val="0"/>
        <w:keepLines w:val="0"/>
        <w:pageBreakBefore w:val="0"/>
        <w:widowControl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4.2.6</w:t>
      </w:r>
      <w:r>
        <w:rPr>
          <w:rFonts w:hint="eastAsia" w:ascii="仿宋" w:hAnsi="仿宋" w:eastAsia="仿宋" w:cs="仿宋"/>
          <w:color w:val="auto"/>
          <w:kern w:val="0"/>
          <w:sz w:val="24"/>
          <w:szCs w:val="24"/>
          <w:highlight w:val="none"/>
        </w:rPr>
        <w:t>配置子午线钢丝轮胎、胎压监测系统、360°倒车影像、行车记录仪 (内存</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4.2.</w:t>
      </w:r>
      <w:r>
        <w:rPr>
          <w:rFonts w:hint="eastAsia" w:ascii="仿宋" w:hAnsi="仿宋" w:eastAsia="仿宋" w:cs="仿宋"/>
          <w:strike w:val="0"/>
          <w:dstrike w:val="0"/>
          <w:color w:val="auto"/>
          <w:sz w:val="24"/>
          <w:szCs w:val="24"/>
          <w:highlight w:val="none"/>
          <w:lang w:val="en-US" w:eastAsia="zh-CN"/>
        </w:rPr>
        <w:t>7</w:t>
      </w:r>
      <w:r>
        <w:rPr>
          <w:rFonts w:hint="eastAsia" w:ascii="仿宋" w:hAnsi="仿宋" w:eastAsia="仿宋" w:cs="仿宋"/>
          <w:strike w:val="0"/>
          <w:dstrike w:val="0"/>
          <w:color w:val="auto"/>
          <w:sz w:val="24"/>
          <w:szCs w:val="24"/>
          <w:highlight w:val="none"/>
        </w:rPr>
        <w:t>变速箱：手动；</w:t>
      </w:r>
    </w:p>
    <w:p>
      <w:pPr>
        <w:keepNext w:val="0"/>
        <w:keepLines w:val="0"/>
        <w:pageBreakBefore w:val="0"/>
        <w:widowControl w:val="0"/>
        <w:kinsoku/>
        <w:wordWrap/>
        <w:overflowPunct/>
        <w:topLinePunct w:val="0"/>
        <w:autoSpaceDE/>
        <w:autoSpaceDN/>
        <w:bidi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4.3驾驶室</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4.3.1 结构：全钢冲压件焊接结构，</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门</w:t>
      </w:r>
      <w:r>
        <w:rPr>
          <w:rFonts w:hint="eastAsia" w:ascii="仿宋" w:hAnsi="仿宋" w:eastAsia="仿宋" w:cs="仿宋"/>
          <w:bCs/>
          <w:color w:val="auto"/>
          <w:sz w:val="24"/>
          <w:szCs w:val="24"/>
          <w:highlight w:val="none"/>
          <w:lang w:val="en-US" w:eastAsia="zh-CN"/>
        </w:rPr>
        <w:t>单</w:t>
      </w:r>
      <w:r>
        <w:rPr>
          <w:rFonts w:hint="eastAsia" w:ascii="仿宋" w:hAnsi="仿宋" w:eastAsia="仿宋" w:cs="仿宋"/>
          <w:bCs/>
          <w:color w:val="auto"/>
          <w:sz w:val="24"/>
          <w:szCs w:val="24"/>
          <w:highlight w:val="none"/>
        </w:rPr>
        <w:t>排；</w:t>
      </w:r>
      <w:r>
        <w:rPr>
          <w:rFonts w:hint="eastAsia" w:ascii="仿宋" w:hAnsi="仿宋" w:eastAsia="仿宋" w:cs="仿宋"/>
          <w:color w:val="auto"/>
          <w:sz w:val="24"/>
          <w:szCs w:val="24"/>
          <w:highlight w:val="none"/>
        </w:rPr>
        <w:t>安装适应倾翻油缸液压翻转机构，</w:t>
      </w:r>
      <w:r>
        <w:rPr>
          <w:rFonts w:hint="eastAsia" w:ascii="仿宋" w:hAnsi="仿宋" w:eastAsia="仿宋" w:cs="仿宋"/>
          <w:b w:val="0"/>
          <w:bCs w:val="0"/>
          <w:color w:val="auto"/>
          <w:sz w:val="24"/>
          <w:szCs w:val="24"/>
          <w:highlight w:val="none"/>
          <w:lang w:eastAsia="zh-CN"/>
        </w:rPr>
        <w:t>可向前翻转，</w:t>
      </w:r>
      <w:r>
        <w:rPr>
          <w:rFonts w:hint="eastAsia" w:ascii="仿宋" w:hAnsi="仿宋" w:eastAsia="仿宋" w:cs="仿宋"/>
          <w:color w:val="auto"/>
          <w:sz w:val="24"/>
          <w:szCs w:val="24"/>
          <w:highlight w:val="none"/>
        </w:rPr>
        <w:t>装有防回落安全装置；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4.3.2 座位设置：乘员≥</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人，驾驶员座椅为气动调节座椅，配置暖风/通风系统，空调系统；乘员室内每个座位加装安全带</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Cs/>
          <w:color w:val="auto"/>
          <w:sz w:val="24"/>
          <w:szCs w:val="24"/>
          <w:highlight w:val="none"/>
        </w:rPr>
        <w:t>4.3.3驾驶室设备：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w:t>
      </w:r>
    </w:p>
    <w:p>
      <w:pPr>
        <w:keepNext w:val="0"/>
        <w:keepLines w:val="0"/>
        <w:pageBreakBefore w:val="0"/>
        <w:widowControl w:val="0"/>
        <w:numPr>
          <w:ilvl w:val="0"/>
          <w:numId w:val="0"/>
        </w:numPr>
        <w:tabs>
          <w:tab w:val="left" w:pos="806"/>
        </w:tabs>
        <w:kinsoku/>
        <w:wordWrap/>
        <w:overflowPunct/>
        <w:topLinePunct w:val="0"/>
        <w:autoSpaceDE/>
        <w:autoSpaceDN/>
        <w:bidi w:val="0"/>
        <w:adjustRightInd/>
        <w:snapToGrid/>
        <w:spacing w:before="0" w:after="0" w:line="480" w:lineRule="exact"/>
        <w:ind w:right="0" w:rightChars="0" w:firstLine="241" w:firstLineChars="100"/>
        <w:jc w:val="left"/>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t>4.4</w:t>
      </w:r>
      <w:r>
        <w:rPr>
          <w:rFonts w:hint="eastAsia" w:ascii="仿宋" w:hAnsi="仿宋" w:eastAsia="仿宋" w:cs="仿宋"/>
          <w:b/>
          <w:bCs w:val="0"/>
          <w:color w:val="auto"/>
          <w:sz w:val="24"/>
          <w:szCs w:val="24"/>
          <w:highlight w:val="none"/>
          <w:lang w:eastAsia="zh-CN"/>
        </w:rPr>
        <w:t>厢体</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4.4.</w:t>
      </w: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厢体结构：总体布置形式为水罐水箱区，设备装置区，供水取水区，配套设备及工具存放区；器材箱应具有排水功能</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合理设计并增加器材放置空间</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4.4.2</w:t>
      </w:r>
      <w:r>
        <w:rPr>
          <w:rFonts w:hint="eastAsia" w:ascii="仿宋" w:hAnsi="仿宋" w:eastAsia="仿宋" w:cs="仿宋"/>
          <w:bCs/>
          <w:color w:val="auto"/>
          <w:sz w:val="24"/>
          <w:szCs w:val="24"/>
          <w:highlight w:val="none"/>
        </w:rPr>
        <w:t>车尾部</w:t>
      </w:r>
      <w:r>
        <w:rPr>
          <w:rFonts w:hint="eastAsia" w:ascii="仿宋" w:hAnsi="仿宋" w:eastAsia="仿宋" w:cs="仿宋"/>
          <w:bCs/>
          <w:color w:val="auto"/>
          <w:sz w:val="24"/>
          <w:szCs w:val="24"/>
          <w:highlight w:val="none"/>
          <w:lang w:eastAsia="zh-CN"/>
        </w:rPr>
        <w:t>设置</w:t>
      </w:r>
      <w:r>
        <w:rPr>
          <w:rFonts w:hint="eastAsia" w:ascii="仿宋" w:hAnsi="仿宋" w:eastAsia="仿宋" w:cs="仿宋"/>
          <w:bCs/>
          <w:color w:val="auto"/>
          <w:sz w:val="24"/>
          <w:szCs w:val="24"/>
          <w:highlight w:val="none"/>
        </w:rPr>
        <w:t>1个登入车顶的折叠式爬梯</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车顶具有防滑涂层，充分防滑；</w:t>
      </w:r>
    </w:p>
    <w:p>
      <w:pPr>
        <w:keepNext w:val="0"/>
        <w:keepLines w:val="0"/>
        <w:pageBreakBefore w:val="0"/>
        <w:widowControl w:val="0"/>
        <w:tabs>
          <w:tab w:val="left" w:pos="806"/>
        </w:tabs>
        <w:kinsoku/>
        <w:wordWrap/>
        <w:overflowPunct/>
        <w:topLinePunct w:val="0"/>
        <w:autoSpaceDE/>
        <w:autoSpaceDN/>
        <w:bidi w:val="0"/>
        <w:adjustRightInd/>
        <w:snapToGrid/>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4.5 </w:t>
      </w:r>
      <w:r>
        <w:rPr>
          <w:rFonts w:hint="eastAsia" w:ascii="仿宋" w:hAnsi="仿宋" w:eastAsia="仿宋" w:cs="仿宋"/>
          <w:b/>
          <w:bCs w:val="0"/>
          <w:color w:val="auto"/>
          <w:sz w:val="24"/>
          <w:szCs w:val="24"/>
          <w:highlight w:val="none"/>
        </w:rPr>
        <w:t>主要性能及配置</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设备装置区内安装存放水箱、净水系统、电控箱、消毒设备、水质检测设备、供水管路、增压泵、潜水泵或浮艇泵、发电机</w:t>
      </w:r>
      <w:r>
        <w:rPr>
          <w:rFonts w:hint="eastAsia" w:ascii="仿宋" w:hAnsi="仿宋" w:eastAsia="仿宋" w:cs="仿宋"/>
          <w:bCs/>
          <w:color w:val="auto"/>
          <w:sz w:val="24"/>
          <w:szCs w:val="24"/>
          <w:highlight w:val="none"/>
          <w:lang w:eastAsia="zh-CN"/>
        </w:rPr>
        <w:t>等</w:t>
      </w:r>
      <w:r>
        <w:rPr>
          <w:rFonts w:hint="eastAsia" w:ascii="仿宋" w:hAnsi="仿宋" w:eastAsia="仿宋" w:cs="仿宋"/>
          <w:bCs/>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lang w:eastAsia="zh-CN"/>
        </w:rPr>
        <w:t>设置≥2个储水罐，总储水量≥3</w:t>
      </w:r>
      <w:r>
        <w:rPr>
          <w:rFonts w:hint="eastAsia" w:ascii="仿宋" w:hAnsi="仿宋" w:eastAsia="仿宋" w:cs="仿宋"/>
          <w:bCs/>
          <w:color w:val="auto"/>
          <w:sz w:val="24"/>
          <w:szCs w:val="24"/>
          <w:highlight w:val="none"/>
          <w:lang w:val="en-US" w:eastAsia="zh-CN"/>
        </w:rPr>
        <w:t>T</w:t>
      </w:r>
      <w:r>
        <w:rPr>
          <w:rFonts w:hint="eastAsia" w:ascii="仿宋" w:hAnsi="仿宋" w:eastAsia="仿宋" w:cs="仿宋"/>
          <w:bCs/>
          <w:color w:val="auto"/>
          <w:sz w:val="24"/>
          <w:szCs w:val="24"/>
          <w:highlight w:val="none"/>
          <w:lang w:eastAsia="zh-CN"/>
        </w:rPr>
        <w:t>；其中饮用水罐容量：≥1.5</w:t>
      </w:r>
      <w:r>
        <w:rPr>
          <w:rFonts w:hint="eastAsia" w:ascii="仿宋" w:hAnsi="仿宋" w:eastAsia="仿宋" w:cs="仿宋"/>
          <w:bCs/>
          <w:color w:val="auto"/>
          <w:sz w:val="24"/>
          <w:szCs w:val="24"/>
          <w:highlight w:val="none"/>
          <w:lang w:val="en-US" w:eastAsia="zh-CN"/>
        </w:rPr>
        <w:t>T</w:t>
      </w:r>
      <w:r>
        <w:rPr>
          <w:rFonts w:hint="eastAsia" w:ascii="仿宋" w:hAnsi="仿宋" w:eastAsia="仿宋" w:cs="仿宋"/>
          <w:bCs/>
          <w:color w:val="auto"/>
          <w:sz w:val="24"/>
          <w:szCs w:val="24"/>
          <w:highlight w:val="none"/>
          <w:lang w:eastAsia="zh-CN"/>
        </w:rPr>
        <w:t>、生活用水罐容量≥1.5</w:t>
      </w:r>
      <w:r>
        <w:rPr>
          <w:rFonts w:hint="eastAsia" w:ascii="仿宋" w:hAnsi="仿宋" w:eastAsia="仿宋" w:cs="仿宋"/>
          <w:bCs/>
          <w:color w:val="auto"/>
          <w:sz w:val="24"/>
          <w:szCs w:val="24"/>
          <w:highlight w:val="none"/>
          <w:lang w:val="en-US" w:eastAsia="zh-CN"/>
        </w:rPr>
        <w:t>T</w:t>
      </w:r>
      <w:r>
        <w:rPr>
          <w:rFonts w:hint="eastAsia" w:ascii="仿宋" w:hAnsi="仿宋" w:eastAsia="仿宋" w:cs="仿宋"/>
          <w:bCs/>
          <w:color w:val="auto"/>
          <w:sz w:val="24"/>
          <w:szCs w:val="24"/>
          <w:highlight w:val="none"/>
          <w:lang w:eastAsia="zh-CN"/>
        </w:rPr>
        <w:t>；水箱底部设排污口，设液位计、溢流管；</w:t>
      </w:r>
      <w:r>
        <w:rPr>
          <w:rFonts w:hint="eastAsia" w:ascii="仿宋" w:hAnsi="仿宋" w:eastAsia="仿宋" w:cs="仿宋"/>
          <w:bCs/>
          <w:color w:val="auto"/>
          <w:sz w:val="24"/>
          <w:szCs w:val="24"/>
          <w:highlight w:val="none"/>
        </w:rPr>
        <w:t>水箱及管路采用</w:t>
      </w:r>
      <w:r>
        <w:rPr>
          <w:rFonts w:hint="eastAsia" w:ascii="仿宋" w:hAnsi="仿宋" w:eastAsia="仿宋" w:cs="仿宋"/>
          <w:bCs/>
          <w:color w:val="auto"/>
          <w:sz w:val="24"/>
          <w:szCs w:val="24"/>
          <w:highlight w:val="none"/>
          <w:lang w:val="en-US" w:eastAsia="zh-CN"/>
        </w:rPr>
        <w:t>304</w:t>
      </w:r>
      <w:r>
        <w:rPr>
          <w:rFonts w:hint="eastAsia" w:ascii="仿宋" w:hAnsi="仿宋" w:eastAsia="仿宋" w:cs="仿宋"/>
          <w:bCs/>
          <w:color w:val="auto"/>
          <w:sz w:val="24"/>
          <w:szCs w:val="24"/>
          <w:highlight w:val="none"/>
        </w:rPr>
        <w:t>不锈钢</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净水系统：产水量</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生活用水</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3T</w:t>
      </w:r>
      <w:r>
        <w:rPr>
          <w:rFonts w:hint="eastAsia" w:ascii="仿宋" w:hAnsi="仿宋" w:eastAsia="仿宋" w:cs="仿宋"/>
          <w:bCs/>
          <w:color w:val="auto"/>
          <w:sz w:val="24"/>
          <w:szCs w:val="24"/>
          <w:highlight w:val="none"/>
        </w:rPr>
        <w:t>/h、产水量</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饮用水</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1.5</w:t>
      </w:r>
      <w:r>
        <w:rPr>
          <w:rFonts w:hint="eastAsia" w:ascii="仿宋" w:hAnsi="仿宋" w:eastAsia="仿宋" w:cs="仿宋"/>
          <w:bCs/>
          <w:color w:val="auto"/>
          <w:sz w:val="24"/>
          <w:szCs w:val="24"/>
          <w:highlight w:val="none"/>
        </w:rPr>
        <w:t>T/h</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净化能力：能处理地表水、地下水、苦咸水及符合国家取水标准规的常规污染水制成饮用水</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有粗滤、精滤、反渗透、紫外线杀菌消毒。地表水通过净化后可直接饮用，达到生活饮用水卫生标准要求</w:t>
      </w:r>
      <w:r>
        <w:rPr>
          <w:rFonts w:hint="eastAsia" w:ascii="仿宋" w:hAnsi="仿宋" w:eastAsia="仿宋" w:cs="仿宋"/>
          <w:bCs/>
          <w:color w:val="auto"/>
          <w:sz w:val="24"/>
          <w:szCs w:val="24"/>
          <w:highlight w:val="none"/>
          <w:lang w:eastAsia="zh-CN"/>
        </w:rPr>
        <w:t>，生活用水净水能力≥2</w:t>
      </w:r>
      <w:r>
        <w:rPr>
          <w:rFonts w:hint="eastAsia" w:ascii="仿宋" w:hAnsi="仿宋" w:eastAsia="仿宋" w:cs="仿宋"/>
          <w:bCs/>
          <w:color w:val="auto"/>
          <w:sz w:val="24"/>
          <w:szCs w:val="24"/>
          <w:highlight w:val="none"/>
          <w:lang w:val="en-US" w:eastAsia="zh-CN"/>
        </w:rPr>
        <w:t>.5T</w:t>
      </w:r>
      <w:r>
        <w:rPr>
          <w:rFonts w:hint="eastAsia" w:ascii="仿宋" w:hAnsi="仿宋" w:eastAsia="仿宋" w:cs="仿宋"/>
          <w:bCs/>
          <w:color w:val="auto"/>
          <w:sz w:val="24"/>
          <w:szCs w:val="24"/>
          <w:highlight w:val="none"/>
          <w:lang w:eastAsia="zh-CN"/>
        </w:rPr>
        <w:t>L/h，饮用水净水能力≥1</w:t>
      </w:r>
      <w:r>
        <w:rPr>
          <w:rFonts w:hint="eastAsia" w:ascii="仿宋" w:hAnsi="仿宋" w:eastAsia="仿宋" w:cs="仿宋"/>
          <w:bCs/>
          <w:color w:val="auto"/>
          <w:sz w:val="24"/>
          <w:szCs w:val="24"/>
          <w:highlight w:val="none"/>
          <w:lang w:val="en-US" w:eastAsia="zh-CN"/>
        </w:rPr>
        <w:t>T</w:t>
      </w:r>
      <w:r>
        <w:rPr>
          <w:rFonts w:hint="eastAsia" w:ascii="仿宋" w:hAnsi="仿宋" w:eastAsia="仿宋" w:cs="仿宋"/>
          <w:bCs/>
          <w:color w:val="auto"/>
          <w:sz w:val="24"/>
          <w:szCs w:val="24"/>
          <w:highlight w:val="none"/>
          <w:lang w:eastAsia="zh-CN"/>
        </w:rPr>
        <w:t>L/h；</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粗滤、精滤、反渗透、紫外线杀菌消毒等消毒设备均提供≥3次无偿更换保养（含材料、人工、差旅费用等）；</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6</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电控箱：确保各系统供电安全，并可对过程参数进行监控；</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7</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水质检测设备：可对原水水样和净水水样进行检测，确保饮用水的安全；</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8</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增压泵采用不锈钢材料；</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4.5.</w:t>
      </w:r>
      <w:r>
        <w:rPr>
          <w:rFonts w:hint="eastAsia" w:ascii="仿宋" w:hAnsi="仿宋" w:eastAsia="仿宋" w:cs="仿宋"/>
          <w:bCs/>
          <w:color w:val="auto"/>
          <w:sz w:val="24"/>
          <w:szCs w:val="24"/>
          <w:highlight w:val="none"/>
        </w:rPr>
        <w:t>9</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供水出水装置区：设置≥4个生活用水取水口和≥3个直饮水取水口；水龙头采用不锈钢材料。直饮水分热水、冷水，热水储水量≥30L、水温≥90℃，冷热水出口用颜色及金属蚀刻标识区分。净水车内配备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0个容积为</w:t>
      </w:r>
      <w:r>
        <w:rPr>
          <w:rFonts w:hint="eastAsia" w:ascii="仿宋" w:hAnsi="仿宋" w:eastAsia="仿宋" w:cs="仿宋"/>
          <w:bCs/>
          <w:color w:val="auto"/>
          <w:sz w:val="24"/>
          <w:szCs w:val="24"/>
          <w:highlight w:val="none"/>
          <w:lang w:val="en-US" w:eastAsia="zh-CN"/>
        </w:rPr>
        <w:t>25</w:t>
      </w:r>
      <w:r>
        <w:rPr>
          <w:rFonts w:hint="eastAsia" w:ascii="仿宋" w:hAnsi="仿宋" w:eastAsia="仿宋" w:cs="仿宋"/>
          <w:bCs/>
          <w:color w:val="auto"/>
          <w:sz w:val="24"/>
          <w:szCs w:val="24"/>
          <w:highlight w:val="none"/>
        </w:rPr>
        <w:t>L 的不锈钢水桶</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配备可以运输</w:t>
      </w:r>
      <w:r>
        <w:rPr>
          <w:rFonts w:hint="eastAsia" w:ascii="仿宋" w:hAnsi="仿宋" w:eastAsia="仿宋" w:cs="仿宋"/>
          <w:bCs/>
          <w:color w:val="auto"/>
          <w:sz w:val="24"/>
          <w:szCs w:val="24"/>
          <w:highlight w:val="none"/>
          <w:lang w:val="en-US" w:eastAsia="zh-CN"/>
        </w:rPr>
        <w:t>25</w:t>
      </w:r>
      <w:r>
        <w:rPr>
          <w:rFonts w:hint="eastAsia" w:ascii="仿宋" w:hAnsi="仿宋" w:eastAsia="仿宋" w:cs="仿宋"/>
          <w:bCs/>
          <w:color w:val="auto"/>
          <w:sz w:val="24"/>
          <w:szCs w:val="24"/>
          <w:highlight w:val="none"/>
        </w:rPr>
        <w:t>L水桶的折叠推车</w:t>
      </w:r>
      <w:r>
        <w:rPr>
          <w:rFonts w:hint="eastAsia" w:ascii="仿宋" w:hAnsi="仿宋" w:eastAsia="仿宋" w:cs="仿宋"/>
          <w:bCs/>
          <w:color w:val="auto"/>
          <w:sz w:val="24"/>
          <w:szCs w:val="24"/>
          <w:highlight w:val="none"/>
          <w:lang w:val="en-US" w:eastAsia="zh-CN"/>
        </w:rPr>
        <w:t>5个。</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4.6 </w:t>
      </w:r>
      <w:r>
        <w:rPr>
          <w:rFonts w:hint="eastAsia" w:ascii="仿宋" w:hAnsi="仿宋" w:eastAsia="仿宋" w:cs="仿宋"/>
          <w:b/>
          <w:bCs w:val="0"/>
          <w:color w:val="auto"/>
          <w:sz w:val="24"/>
          <w:szCs w:val="24"/>
          <w:highlight w:val="none"/>
        </w:rPr>
        <w:t>供电配电设备</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4.6.</w:t>
      </w: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静音发电机：柴油发电机，电启动，额定电压220V，额定功率≥15KW </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4.6.</w:t>
      </w: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配电箱：总电源与各分路过电压过电流保护、漏电流保护</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4.6.</w:t>
      </w: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手提线缆盘（含线缆）配电缆≥30m，含手动线缆盘</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4.6.4市供电为380V/50HZ。可外接AC380V/50HZ电源供给车内设备使用，电源引入处采用航插连接，安全可靠；</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4.7 照明系统</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4.7.</w:t>
      </w: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 xml:space="preserve"> </w:t>
      </w:r>
      <w:r>
        <w:rPr>
          <w:rFonts w:hint="eastAsia" w:ascii="仿宋" w:hAnsi="仿宋" w:eastAsia="仿宋" w:cs="仿宋"/>
          <w:bCs/>
          <w:color w:val="auto"/>
          <w:sz w:val="24"/>
          <w:szCs w:val="24"/>
          <w:highlight w:val="none"/>
        </w:rPr>
        <w:t>照明灯：≥4个</w:t>
      </w:r>
      <w:r>
        <w:rPr>
          <w:rFonts w:hint="eastAsia" w:ascii="仿宋" w:hAnsi="仿宋" w:eastAsia="仿宋" w:cs="仿宋"/>
          <w:bCs/>
          <w:color w:val="auto"/>
          <w:sz w:val="24"/>
          <w:szCs w:val="24"/>
          <w:highlight w:val="none"/>
          <w:lang w:eastAsia="zh-CN"/>
        </w:rPr>
        <w:t>，单个</w:t>
      </w:r>
      <w:r>
        <w:rPr>
          <w:rFonts w:hint="eastAsia" w:ascii="仿宋" w:hAnsi="仿宋" w:eastAsia="仿宋" w:cs="仿宋"/>
          <w:bCs/>
          <w:color w:val="auto"/>
          <w:sz w:val="24"/>
          <w:szCs w:val="24"/>
          <w:highlight w:val="none"/>
        </w:rPr>
        <w:t>照明灯</w:t>
      </w:r>
      <w:r>
        <w:rPr>
          <w:rFonts w:hint="eastAsia" w:ascii="仿宋" w:hAnsi="仿宋" w:eastAsia="仿宋" w:cs="仿宋"/>
          <w:bCs/>
          <w:color w:val="auto"/>
          <w:sz w:val="24"/>
          <w:szCs w:val="24"/>
          <w:highlight w:val="none"/>
          <w:lang w:eastAsia="zh-CN"/>
        </w:rPr>
        <w:t>功率≥</w:t>
      </w:r>
      <w:r>
        <w:rPr>
          <w:rFonts w:hint="eastAsia" w:ascii="仿宋" w:hAnsi="仿宋" w:eastAsia="仿宋" w:cs="仿宋"/>
          <w:bCs/>
          <w:color w:val="auto"/>
          <w:sz w:val="24"/>
          <w:szCs w:val="24"/>
          <w:highlight w:val="none"/>
          <w:lang w:val="en-US" w:eastAsia="zh-CN"/>
        </w:rPr>
        <w:t>100W，安装于厢体内部</w:t>
      </w:r>
      <w:r>
        <w:rPr>
          <w:rFonts w:hint="eastAsia" w:ascii="仿宋" w:hAnsi="仿宋" w:eastAsia="仿宋" w:cs="仿宋"/>
          <w:bCs/>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val="0"/>
          <w:color w:val="auto"/>
          <w:sz w:val="24"/>
          <w:szCs w:val="24"/>
          <w:highlight w:val="none"/>
          <w:lang w:val="en-US" w:eastAsia="zh-CN"/>
        </w:rPr>
        <w:t>4.8 总体要求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4.8.1整车性能符合GB7956.1-2014《消防车 第1部分：通用技术条件》；</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4.8.2车身颜色符合GB/T3181-2008《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4.8.3在确保不影响车辆安全行驶的前提下，根据使用单位需求，对外置车灯、灯具加装防护罩； </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4.8.4防腐保护：驾乘室及上装均采用内涂层等进行防腐处理；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4.8.5警报灯具：驾乘室顶部安装消防专用灯具，驾乘室内设置警报器和扩音系统(功率≥100W)，在驾乘室可控制扩音器。在车厢两侧、尾部等并联安装红色爆闪灯，警灯、警</w:t>
      </w:r>
      <w:r>
        <w:rPr>
          <w:rFonts w:hint="eastAsia" w:ascii="仿宋" w:hAnsi="仿宋" w:eastAsia="仿宋" w:cs="仿宋"/>
          <w:color w:val="auto"/>
          <w:kern w:val="0"/>
          <w:sz w:val="24"/>
          <w:szCs w:val="24"/>
          <w:highlight w:val="none"/>
        </w:rPr>
        <w:t xml:space="preserve">报器各自采用独立控制开关，车辆顶端四周安装 LED 灯带； </w:t>
      </w:r>
    </w:p>
    <w:p>
      <w:pPr>
        <w:keepNext w:val="0"/>
        <w:keepLines w:val="0"/>
        <w:pageBreakBefore w:val="0"/>
        <w:widowControl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厢体：厢式结构，厢体内部安装照明灯；</w:t>
      </w:r>
    </w:p>
    <w:p>
      <w:pPr>
        <w:keepNext w:val="0"/>
        <w:keepLines w:val="0"/>
        <w:pageBreakBefore w:val="0"/>
        <w:widowControl w:val="0"/>
        <w:kinsoku/>
        <w:wordWrap/>
        <w:overflowPunct/>
        <w:topLinePunct w:val="0"/>
        <w:autoSpaceDE/>
        <w:autoSpaceDN/>
        <w:bidi w:val="0"/>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9</w:t>
      </w:r>
      <w:r>
        <w:rPr>
          <w:rFonts w:hint="eastAsia" w:ascii="仿宋" w:hAnsi="仿宋" w:eastAsia="仿宋" w:cs="仿宋"/>
          <w:b/>
          <w:bCs/>
          <w:color w:val="auto"/>
          <w:sz w:val="24"/>
          <w:szCs w:val="24"/>
          <w:highlight w:val="none"/>
        </w:rPr>
        <w:t>其他要求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.2供货前，须主动对接采购人，满足采购人需求；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.3交付采购人时，提供操作使用说明书纸质版（含电子版）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color w:val="auto"/>
          <w:highlight w:val="none"/>
          <w:lang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.4首次保养（含材料、人工、差旅等）免费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10</w:t>
      </w:r>
      <w:r>
        <w:rPr>
          <w:rFonts w:hint="eastAsia" w:ascii="仿宋" w:hAnsi="仿宋" w:eastAsia="仿宋" w:cs="仿宋"/>
          <w:b/>
          <w:bCs/>
          <w:color w:val="auto"/>
          <w:sz w:val="24"/>
          <w:szCs w:val="24"/>
          <w:highlight w:val="none"/>
        </w:rPr>
        <w:t>随车附件</w:t>
      </w:r>
    </w:p>
    <w:tbl>
      <w:tblPr>
        <w:tblStyle w:val="43"/>
        <w:tblW w:w="0" w:type="auto"/>
        <w:jc w:val="center"/>
        <w:tblLayout w:type="fixed"/>
        <w:tblCellMar>
          <w:top w:w="0" w:type="dxa"/>
          <w:left w:w="30" w:type="dxa"/>
          <w:bottom w:w="0" w:type="dxa"/>
          <w:right w:w="30" w:type="dxa"/>
        </w:tblCellMar>
      </w:tblPr>
      <w:tblGrid>
        <w:gridCol w:w="894"/>
        <w:gridCol w:w="2839"/>
        <w:gridCol w:w="804"/>
        <w:gridCol w:w="867"/>
        <w:gridCol w:w="3695"/>
      </w:tblGrid>
      <w:tr>
        <w:tblPrEx>
          <w:tblCellMar>
            <w:top w:w="0" w:type="dxa"/>
            <w:left w:w="30" w:type="dxa"/>
            <w:bottom w:w="0" w:type="dxa"/>
            <w:right w:w="30" w:type="dxa"/>
          </w:tblCellMar>
        </w:tblPrEx>
        <w:trPr>
          <w:trHeight w:val="397" w:hRule="atLeast"/>
          <w:tblHeader/>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 w:val="0"/>
                <w:bCs w:val="0"/>
                <w:color w:val="auto"/>
                <w:sz w:val="24"/>
                <w:szCs w:val="24"/>
                <w:highlight w:val="none"/>
                <w:lang w:val="en-US" w:eastAsia="zh-CN"/>
              </w:rPr>
              <w:t>配备原车同尺寸</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3695"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keepNext w:val="0"/>
        <w:keepLines w:val="0"/>
        <w:pageBreakBefore w:val="0"/>
        <w:widowControl w:val="0"/>
        <w:kinsoku/>
        <w:wordWrap/>
        <w:overflowPunct/>
        <w:topLinePunct w:val="0"/>
        <w:bidi w:val="0"/>
        <w:adjustRightInd/>
        <w:snapToGrid/>
        <w:spacing w:line="480" w:lineRule="exact"/>
        <w:ind w:left="0" w:leftChars="0" w:right="0" w:rightChars="0" w:firstLine="0" w:firstLineChars="0"/>
        <w:jc w:val="both"/>
        <w:outlineLvl w:val="9"/>
        <w:rPr>
          <w:rFonts w:hint="eastAsia" w:ascii="仿宋" w:hAnsi="仿宋" w:eastAsia="仿宋" w:cs="仿宋"/>
          <w:color w:val="auto"/>
          <w:sz w:val="24"/>
          <w:szCs w:val="24"/>
          <w:highlight w:val="none"/>
          <w:lang w:val="en-US"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1" w:name="_Toc20984"/>
      <w:r>
        <w:rPr>
          <w:rFonts w:hint="eastAsia" w:ascii="仿宋" w:hAnsi="仿宋" w:eastAsia="仿宋" w:cs="仿宋"/>
          <w:color w:val="auto"/>
          <w:sz w:val="28"/>
          <w:szCs w:val="28"/>
          <w:highlight w:val="none"/>
          <w:lang w:val="en-US" w:eastAsia="zh-CN"/>
        </w:rPr>
        <w:t>品目14：物资运输车C</w:t>
      </w:r>
      <w:bookmarkEnd w:id="371"/>
    </w:p>
    <w:p>
      <w:pPr>
        <w:keepNext w:val="0"/>
        <w:keepLines w:val="0"/>
        <w:pageBreakBefore w:val="0"/>
        <w:widowControl/>
        <w:kinsoku/>
        <w:wordWrap/>
        <w:overflowPunct/>
        <w:topLinePunct w:val="0"/>
        <w:bidi w:val="0"/>
        <w:adjustRightInd/>
        <w:snapToGrid/>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eastAsia="zh-CN"/>
        </w:rPr>
        <w:t>物资运输</w:t>
      </w:r>
      <w:r>
        <w:rPr>
          <w:rFonts w:hint="eastAsia" w:ascii="仿宋" w:hAnsi="仿宋" w:eastAsia="仿宋" w:cs="仿宋"/>
          <w:color w:val="auto"/>
          <w:sz w:val="24"/>
          <w:szCs w:val="24"/>
          <w:highlight w:val="none"/>
        </w:rPr>
        <w:t>车</w:t>
      </w:r>
      <w:r>
        <w:rPr>
          <w:rFonts w:hint="eastAsia" w:ascii="仿宋" w:hAnsi="仿宋" w:eastAsia="仿宋" w:cs="仿宋"/>
          <w:color w:val="auto"/>
          <w:sz w:val="24"/>
          <w:szCs w:val="24"/>
          <w:highlight w:val="none"/>
          <w:lang w:val="en-US" w:eastAsia="zh-CN"/>
        </w:rPr>
        <w:t>C</w:t>
      </w:r>
    </w:p>
    <w:p>
      <w:pPr>
        <w:pageBreakBefore w:val="0"/>
        <w:kinsoku/>
        <w:wordWrap/>
        <w:overflowPunct/>
        <w:topLinePunct w:val="0"/>
        <w:bidi w:val="0"/>
        <w:adjustRightInd/>
        <w:snapToGrid/>
        <w:spacing w:line="460" w:lineRule="exact"/>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pageBreakBefore w:val="0"/>
        <w:kinsoku/>
        <w:wordWrap/>
        <w:overflowPunct/>
        <w:topLinePunct w:val="0"/>
        <w:bidi w:val="0"/>
        <w:adjustRightInd/>
        <w:snapToGrid/>
        <w:spacing w:line="460" w:lineRule="exact"/>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（辆)</w:t>
      </w:r>
    </w:p>
    <w:p>
      <w:pPr>
        <w:pageBreakBefore w:val="0"/>
        <w:kinsoku/>
        <w:wordWrap/>
        <w:overflowPunct/>
        <w:topLinePunct w:val="0"/>
        <w:bidi w:val="0"/>
        <w:adjustRightInd/>
        <w:snapToGrid/>
        <w:spacing w:line="460" w:lineRule="exact"/>
        <w:ind w:left="0" w:leftChars="0" w:right="0" w:rightChars="0"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4.1.1整车尺寸：长×宽×高（mm）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00×2550×</w:t>
      </w:r>
      <w:r>
        <w:rPr>
          <w:rFonts w:hint="eastAsia" w:ascii="仿宋" w:hAnsi="仿宋" w:eastAsia="仿宋" w:cs="仿宋"/>
          <w:color w:val="auto"/>
          <w:sz w:val="24"/>
          <w:szCs w:val="24"/>
          <w:highlight w:val="none"/>
          <w:lang w:val="en-US" w:eastAsia="zh-CN"/>
        </w:rPr>
        <w:t>400</w:t>
      </w:r>
      <w:r>
        <w:rPr>
          <w:rFonts w:hint="eastAsia" w:ascii="仿宋" w:hAnsi="仿宋" w:eastAsia="仿宋" w:cs="仿宋"/>
          <w:color w:val="auto"/>
          <w:sz w:val="24"/>
          <w:szCs w:val="24"/>
          <w:highlight w:val="none"/>
        </w:rPr>
        <w:t>0；</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比功率：≥12KW/T；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▲4.2.1发动机额定功率：≥</w:t>
      </w:r>
      <w:r>
        <w:rPr>
          <w:rFonts w:hint="eastAsia" w:ascii="仿宋" w:hAnsi="仿宋" w:eastAsia="仿宋" w:cs="仿宋"/>
          <w:color w:val="auto"/>
          <w:sz w:val="24"/>
          <w:szCs w:val="24"/>
          <w:highlight w:val="none"/>
          <w:lang w:val="en-US" w:eastAsia="zh-CN"/>
        </w:rPr>
        <w:t>32</w:t>
      </w:r>
      <w:r>
        <w:rPr>
          <w:rFonts w:hint="eastAsia" w:ascii="仿宋" w:hAnsi="仿宋" w:eastAsia="仿宋" w:cs="仿宋"/>
          <w:color w:val="auto"/>
          <w:sz w:val="24"/>
          <w:szCs w:val="24"/>
          <w:highlight w:val="none"/>
        </w:rPr>
        <w:t>0kw；</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4.2.2燃料：柴油；油箱容积：≥300L；</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4.2.3尾气排放：符合国Ⅵ标准；</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4.2.4最高车速：≥90km/h；</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4.2.5驱动型式：</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kern w:val="0"/>
          <w:sz w:val="24"/>
          <w:szCs w:val="24"/>
          <w:highlight w:val="none"/>
        </w:rPr>
        <w:t>配置子午线钢丝轮胎、胎压监测系统、360°倒车影像、行车记录仪 (内存不小于32G),配备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变速箱：手动；</w:t>
      </w:r>
    </w:p>
    <w:p>
      <w:pPr>
        <w:keepNext w:val="0"/>
        <w:keepLines w:val="0"/>
        <w:pageBreakBefore w:val="0"/>
        <w:widowControl/>
        <w:tabs>
          <w:tab w:val="left" w:pos="0"/>
        </w:tabs>
        <w:kinsoku/>
        <w:wordWrap/>
        <w:overflowPunct/>
        <w:topLinePunct w:val="0"/>
        <w:autoSpaceDE/>
        <w:autoSpaceDN/>
        <w:bidi w:val="0"/>
        <w:adjustRightInd/>
        <w:snapToGrid/>
        <w:spacing w:line="480" w:lineRule="exact"/>
        <w:ind w:firstLine="480" w:firstLineChars="200"/>
        <w:textAlignment w:val="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4.3驾乘室</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4.3.1座位设置：乘员≥2人，座椅应全部设置安全带</w:t>
      </w:r>
      <w:r>
        <w:rPr>
          <w:rFonts w:hint="eastAsia" w:ascii="仿宋" w:hAnsi="仿宋" w:eastAsia="仿宋" w:cs="仿宋"/>
          <w:color w:val="auto"/>
          <w:sz w:val="24"/>
          <w:szCs w:val="24"/>
          <w:highlight w:val="none"/>
          <w:lang w:eastAsia="zh-CN"/>
        </w:rPr>
        <w:t>，驾驶员座椅高度、角度、前后位置可调、为空气悬浮座椅</w:t>
      </w:r>
      <w:r>
        <w:rPr>
          <w:rFonts w:hint="eastAsia" w:ascii="仿宋" w:hAnsi="仿宋" w:eastAsia="仿宋" w:cs="仿宋"/>
          <w:color w:val="auto"/>
          <w:sz w:val="24"/>
          <w:szCs w:val="24"/>
          <w:highlight w:val="none"/>
        </w:rPr>
        <w:t>；</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4.3.2 驾乘室设备：除原车设备外，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4.4主要性能及配置</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液压尾板</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板面尺寸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mm</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：≥2400×1800；</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2板面材质：钢；</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3板面结构：整体式；</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4额定载重：≥2000kg；</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5最大举升高度：≥1500mm；</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6液压系统：</w:t>
      </w: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缸配置，液压自动调平；</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4.4.2牵引绞盘</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4.4.2.1钢丝绳长度：≥30m；</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4.4.2.2最大牵引力：≥70KN；</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4.4.2.3驱动形式：液压；</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4.4.2.4安装位置：车辆前端；</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4.4.3厢体</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4.4.3.1厢体采用高强度铝合金型材制作；</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4.4.3.2器材箱两侧设有全开启上翻门和下翻门；</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4.4.3.3厢体内部安装LED照明灯，随门启闭控制，并在驾驶室内有集中控制开关；</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4.4.3.4配备材质为高强度铝板移动式器材盒≥10个，尺寸与器材箱货架相匹配可直接拿出，滚轮式锁止；</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4.4.3.5投标人在器材箱结构设计布置时需提前与采购人联系，根据采购人提供的装载器材种类及数量进行定位、定量设计器材箱结构，设计方案必须经采购人同意后方可进行生产；</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总体要求</w:t>
      </w:r>
    </w:p>
    <w:p>
      <w:pPr>
        <w:keepNext w:val="0"/>
        <w:keepLines w:val="0"/>
        <w:pageBreakBefore w:val="0"/>
        <w:kinsoku/>
        <w:wordWrap/>
        <w:overflowPunct/>
        <w:topLinePunct w:val="0"/>
        <w:autoSpaceDE/>
        <w:autoSpaceDN/>
        <w:bidi w:val="0"/>
        <w:adjustRightInd/>
        <w:snapToGrid/>
        <w:spacing w:line="480" w:lineRule="exact"/>
        <w:ind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.1车身颜色符合GB/T3181</w:t>
      </w:r>
      <w:r>
        <w:rPr>
          <w:rFonts w:hint="eastAsia"/>
          <w:color w:val="auto"/>
          <w:highlight w:val="none"/>
          <w:lang w:val="en-US" w:eastAsia="zh-CN"/>
        </w:rPr>
        <w:t>-</w:t>
      </w:r>
      <w:r>
        <w:rPr>
          <w:rFonts w:hint="eastAsia" w:ascii="仿宋" w:hAnsi="仿宋" w:eastAsia="仿宋" w:cs="仿宋"/>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.2</w:t>
      </w:r>
      <w:r>
        <w:rPr>
          <w:rFonts w:hint="eastAsia" w:ascii="仿宋" w:hAnsi="仿宋" w:eastAsia="仿宋" w:cs="仿宋"/>
          <w:color w:val="auto"/>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highlight w:val="none"/>
        </w:rPr>
        <w:t>单位需求，对外置车灯、灯具加装防护罩；</w:t>
      </w:r>
      <w:r>
        <w:rPr>
          <w:rFonts w:hint="eastAsia" w:ascii="仿宋" w:hAnsi="仿宋" w:eastAsia="仿宋" w:cs="仿宋"/>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.3防腐保护：驾乘室及上装均采用内涂层等进行防腐处理；</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.4警报灯具：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 xml:space="preserve">，在驾乘室可控制扩音器。在车厢两侧、尾部等并联安装红色爆闪灯，警灯、警报器各自采用独立控制开关，车辆顶端四周安装 LED 灯带； </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其他要求</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.1整车按国家标准配齐随车设备，设备布置合理，固定牢靠；</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.2供货前，须主动对接采购人，满足采购人需求；</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.3交付采购人时，提供操作使用说明书纸质版（含电子版）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燃油、尿素等添加液处于满液状态；</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.4首次保养（含材料、人工、差旅等）免费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4.7随车附件</w:t>
      </w:r>
    </w:p>
    <w:tbl>
      <w:tblPr>
        <w:tblStyle w:val="43"/>
        <w:tblW w:w="0" w:type="auto"/>
        <w:jc w:val="center"/>
        <w:tblLayout w:type="fixed"/>
        <w:tblCellMar>
          <w:top w:w="0" w:type="dxa"/>
          <w:left w:w="30" w:type="dxa"/>
          <w:bottom w:w="0" w:type="dxa"/>
          <w:right w:w="30" w:type="dxa"/>
        </w:tblCellMar>
      </w:tblPr>
      <w:tblGrid>
        <w:gridCol w:w="894"/>
        <w:gridCol w:w="2839"/>
        <w:gridCol w:w="804"/>
        <w:gridCol w:w="867"/>
        <w:gridCol w:w="3695"/>
      </w:tblGrid>
      <w:tr>
        <w:tblPrEx>
          <w:tblCellMar>
            <w:top w:w="0" w:type="dxa"/>
            <w:left w:w="30" w:type="dxa"/>
            <w:bottom w:w="0" w:type="dxa"/>
            <w:right w:w="30" w:type="dxa"/>
          </w:tblCellMar>
        </w:tblPrEx>
        <w:trPr>
          <w:trHeight w:val="397" w:hRule="atLeast"/>
          <w:tblHeader/>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 w:val="0"/>
                <w:bCs w:val="0"/>
                <w:color w:val="auto"/>
                <w:sz w:val="24"/>
                <w:szCs w:val="24"/>
                <w:highlight w:val="none"/>
                <w:lang w:val="en-US" w:eastAsia="zh-CN"/>
              </w:rPr>
              <w:t>配备原车同尺寸</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695"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3695"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rPr>
          <w:rFonts w:hint="eastAsia"/>
          <w:color w:val="auto"/>
          <w:highlight w:val="none"/>
          <w:lang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2" w:name="_Toc7611"/>
      <w:r>
        <w:rPr>
          <w:rFonts w:hint="eastAsia" w:ascii="仿宋" w:hAnsi="仿宋" w:eastAsia="仿宋" w:cs="仿宋"/>
          <w:color w:val="auto"/>
          <w:sz w:val="28"/>
          <w:szCs w:val="28"/>
          <w:highlight w:val="none"/>
          <w:lang w:val="en-US" w:eastAsia="zh-CN"/>
        </w:rPr>
        <w:t>品目15：泡沫输转消防车</w:t>
      </w:r>
      <w:bookmarkEnd w:id="372"/>
    </w:p>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default" w:ascii="仿宋" w:hAnsi="仿宋" w:eastAsia="仿宋" w:cs="仿宋"/>
          <w:b w:val="0"/>
          <w:bCs w:val="0"/>
          <w:color w:val="auto"/>
          <w:sz w:val="24"/>
          <w:szCs w:val="24"/>
          <w:highlight w:val="none"/>
          <w:lang w:val="en-US" w:eastAsia="zh-CN"/>
        </w:rPr>
      </w:pPr>
      <w:bookmarkStart w:id="373" w:name="_Toc8541"/>
      <w:bookmarkStart w:id="374" w:name="_Toc19484"/>
      <w:r>
        <w:rPr>
          <w:rFonts w:hint="eastAsia" w:ascii="仿宋" w:hAnsi="仿宋" w:eastAsia="仿宋" w:cs="仿宋"/>
          <w:b w:val="0"/>
          <w:bCs w:val="0"/>
          <w:color w:val="auto"/>
          <w:sz w:val="24"/>
          <w:szCs w:val="24"/>
          <w:highlight w:val="none"/>
          <w:lang w:eastAsia="zh-CN"/>
        </w:rPr>
        <w:t>一、货物名称：泡沫输转消防车</w:t>
      </w:r>
    </w:p>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二、主要规格：</w:t>
      </w:r>
      <w:r>
        <w:rPr>
          <w:rFonts w:hint="eastAsia" w:ascii="仿宋" w:hAnsi="仿宋" w:eastAsia="仿宋" w:cs="仿宋"/>
          <w:b w:val="0"/>
          <w:bCs w:val="0"/>
          <w:color w:val="auto"/>
          <w:sz w:val="24"/>
          <w:szCs w:val="24"/>
          <w:highlight w:val="none"/>
          <w:lang w:val="en-US" w:eastAsia="zh-CN"/>
        </w:rPr>
        <w:t>国际知名品牌</w:t>
      </w:r>
      <w:r>
        <w:rPr>
          <w:rFonts w:hint="eastAsia" w:ascii="仿宋" w:hAnsi="仿宋" w:eastAsia="仿宋" w:cs="仿宋"/>
          <w:b w:val="0"/>
          <w:bCs w:val="0"/>
          <w:color w:val="auto"/>
          <w:sz w:val="24"/>
          <w:szCs w:val="24"/>
          <w:highlight w:val="none"/>
          <w:lang w:eastAsia="zh-CN"/>
        </w:rPr>
        <w:t>底盘，载液量：≥</w:t>
      </w:r>
      <w:r>
        <w:rPr>
          <w:rFonts w:hint="eastAsia" w:ascii="仿宋" w:hAnsi="仿宋" w:eastAsia="仿宋" w:cs="仿宋"/>
          <w:b w:val="0"/>
          <w:bCs w:val="0"/>
          <w:color w:val="auto"/>
          <w:sz w:val="24"/>
          <w:szCs w:val="24"/>
          <w:highlight w:val="none"/>
          <w:lang w:val="en-US" w:eastAsia="zh-CN"/>
        </w:rPr>
        <w:t>22T；</w:t>
      </w:r>
    </w:p>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三、数量：</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（辆）</w:t>
      </w:r>
    </w:p>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四、主要技术参数及要求：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4.1整车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4.1.1整车尺寸：长×宽×高（mm）：≤12000×2550×4000；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4.1.2比功率≥</w:t>
      </w:r>
      <w:r>
        <w:rPr>
          <w:rFonts w:hint="eastAsia" w:ascii="仿宋" w:hAnsi="仿宋" w:eastAsia="仿宋" w:cs="仿宋"/>
          <w:b w:val="0"/>
          <w:bCs w:val="0"/>
          <w:color w:val="auto"/>
          <w:sz w:val="24"/>
          <w:szCs w:val="24"/>
          <w:highlight w:val="none"/>
          <w:lang w:val="en-US" w:eastAsia="zh-CN"/>
        </w:rPr>
        <w:t>7.5</w:t>
      </w:r>
      <w:r>
        <w:rPr>
          <w:rFonts w:hint="eastAsia" w:ascii="仿宋" w:hAnsi="仿宋" w:eastAsia="仿宋" w:cs="仿宋"/>
          <w:b w:val="0"/>
          <w:bCs w:val="0"/>
          <w:color w:val="auto"/>
          <w:sz w:val="24"/>
          <w:szCs w:val="24"/>
          <w:highlight w:val="none"/>
          <w:lang w:eastAsia="zh-CN"/>
        </w:rPr>
        <w:t>kw/T；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4.2底盘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4.2.1发动机额定功率：≥</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00kw；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燃料：柴油；油箱容量≥300L；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尾气排放：符合国Ⅵ标准；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最高车速：≥</w:t>
      </w:r>
      <w:r>
        <w:rPr>
          <w:rFonts w:hint="eastAsia" w:ascii="仿宋" w:hAnsi="仿宋" w:eastAsia="仿宋" w:cs="仿宋"/>
          <w:b w:val="0"/>
          <w:bCs w:val="0"/>
          <w:color w:val="auto"/>
          <w:sz w:val="24"/>
          <w:szCs w:val="24"/>
          <w:highlight w:val="none"/>
          <w:lang w:val="en-US" w:eastAsia="zh-CN"/>
        </w:rPr>
        <w:t>85</w:t>
      </w:r>
      <w:r>
        <w:rPr>
          <w:rFonts w:hint="eastAsia" w:ascii="仿宋" w:hAnsi="仿宋" w:eastAsia="仿宋" w:cs="仿宋"/>
          <w:b w:val="0"/>
          <w:bCs w:val="0"/>
          <w:color w:val="auto"/>
          <w:sz w:val="24"/>
          <w:szCs w:val="24"/>
          <w:highlight w:val="none"/>
          <w:lang w:eastAsia="zh-CN"/>
        </w:rPr>
        <w:t>km/h；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驱动：8×4；</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textAlignment w:val="auto"/>
        <w:outlineLvl w:val="9"/>
        <w:rPr>
          <w:rFonts w:hint="eastAsia" w:ascii="仿宋" w:hAnsi="仿宋" w:eastAsia="仿宋" w:cs="仿宋"/>
          <w:color w:val="auto"/>
          <w:kern w:val="2"/>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kern w:val="2"/>
          <w:sz w:val="24"/>
          <w:szCs w:val="24"/>
          <w:highlight w:val="none"/>
        </w:rPr>
        <w:t>配置子午线钢丝轮胎、胎压监测系统、360°倒车影像、行车记录仪 (内存</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32G),配备 350-400MHz 工作频率范围车载台、</w:t>
      </w:r>
      <w:r>
        <w:rPr>
          <w:rFonts w:hint="eastAsia" w:ascii="仿宋" w:hAnsi="仿宋" w:eastAsia="仿宋" w:cs="仿宋"/>
          <w:color w:val="auto"/>
          <w:kern w:val="2"/>
          <w:sz w:val="24"/>
          <w:szCs w:val="24"/>
          <w:highlight w:val="none"/>
          <w:lang w:eastAsia="zh-CN"/>
        </w:rPr>
        <w:t>单北斗卫星定位装置（可接入国家局现有北斗消防综合管理服务平台）</w:t>
      </w:r>
      <w:r>
        <w:rPr>
          <w:rFonts w:hint="eastAsia" w:ascii="仿宋" w:hAnsi="仿宋" w:eastAsia="仿宋" w:cs="仿宋"/>
          <w:color w:val="auto"/>
          <w:kern w:val="2"/>
          <w:sz w:val="24"/>
          <w:szCs w:val="24"/>
          <w:highlight w:val="none"/>
        </w:rPr>
        <w:t>，带倒车告警蜂鸣器、倒车摄像头和驾乘室内监视器，监视器屏幕≥10英寸；</w:t>
      </w:r>
    </w:p>
    <w:p>
      <w:pPr>
        <w:keepNext w:val="0"/>
        <w:keepLines w:val="0"/>
        <w:pageBreakBefore w:val="0"/>
        <w:kinsoku/>
        <w:wordWrap/>
        <w:overflowPunct/>
        <w:topLinePunct w:val="0"/>
        <w:autoSpaceDE/>
        <w:autoSpaceDN/>
        <w:bidi w:val="0"/>
        <w:spacing w:line="480" w:lineRule="exact"/>
        <w:ind w:left="0" w:leftChars="0" w:right="0" w:rightChars="0" w:firstLine="720" w:firstLineChars="300"/>
        <w:textAlignment w:val="auto"/>
        <w:outlineLvl w:val="9"/>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4.2.</w:t>
      </w:r>
      <w:r>
        <w:rPr>
          <w:rFonts w:hint="eastAsia" w:ascii="仿宋" w:hAnsi="仿宋" w:eastAsia="仿宋" w:cs="仿宋"/>
          <w:strike w:val="0"/>
          <w:dstrike w:val="0"/>
          <w:color w:val="auto"/>
          <w:sz w:val="24"/>
          <w:szCs w:val="24"/>
          <w:highlight w:val="none"/>
          <w:lang w:val="en-US" w:eastAsia="zh-CN"/>
        </w:rPr>
        <w:t>7</w:t>
      </w:r>
      <w:r>
        <w:rPr>
          <w:rFonts w:hint="eastAsia" w:ascii="仿宋" w:hAnsi="仿宋" w:eastAsia="仿宋" w:cs="仿宋"/>
          <w:strike w:val="0"/>
          <w:dstrike w:val="0"/>
          <w:color w:val="auto"/>
          <w:sz w:val="24"/>
          <w:szCs w:val="24"/>
          <w:highlight w:val="none"/>
        </w:rPr>
        <w:t>变速箱：手动；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制动系统：前轮盘式制动器，ABS（防抱死制动系统）或EBS（电控制动系统）</w:t>
      </w:r>
      <w:r>
        <w:rPr>
          <w:rFonts w:hint="eastAsia" w:ascii="仿宋" w:hAnsi="仿宋" w:eastAsia="仿宋" w:cs="仿宋"/>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4.3驾乘室</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4.3.1 结构：全钢冲压件焊接结构，单排2门，安装适应倾翻油缸液压翻转机构，可向前翻转，装有防回落安全装置；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4.3.2 座位设置：乘员≥2人，车内座椅应全部设置安全带；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textAlignment w:val="auto"/>
        <w:outlineLvl w:val="9"/>
        <w:rPr>
          <w:rFonts w:hint="eastAsia" w:ascii="仿宋" w:hAnsi="仿宋" w:eastAsia="仿宋" w:cs="仿宋"/>
          <w:color w:val="auto"/>
          <w:kern w:val="2"/>
          <w:sz w:val="24"/>
          <w:szCs w:val="24"/>
          <w:highlight w:val="none"/>
        </w:rPr>
      </w:pPr>
      <w:r>
        <w:rPr>
          <w:rFonts w:hint="eastAsia" w:ascii="仿宋" w:hAnsi="仿宋" w:eastAsia="仿宋" w:cs="仿宋"/>
          <w:b w:val="0"/>
          <w:bCs w:val="0"/>
          <w:color w:val="auto"/>
          <w:sz w:val="24"/>
          <w:szCs w:val="24"/>
          <w:highlight w:val="none"/>
          <w:lang w:eastAsia="zh-CN"/>
        </w:rPr>
        <w:t>4.3.3驾驶室设备：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2"/>
          <w:sz w:val="24"/>
          <w:szCs w:val="24"/>
          <w:highlight w:val="none"/>
        </w:rPr>
        <w:t>配备两组 12V、两组 24V、一组 220V 电源接口</w:t>
      </w:r>
      <w:r>
        <w:rPr>
          <w:rFonts w:hint="eastAsia" w:ascii="仿宋" w:hAnsi="仿宋" w:eastAsia="仿宋" w:cs="仿宋"/>
          <w:color w:val="auto"/>
          <w:kern w:val="2"/>
          <w:sz w:val="24"/>
          <w:szCs w:val="24"/>
          <w:highlight w:val="none"/>
          <w:lang w:val="en-US" w:eastAsia="zh-CN"/>
        </w:rPr>
        <w:t>等</w:t>
      </w:r>
      <w:r>
        <w:rPr>
          <w:rFonts w:hint="eastAsia" w:ascii="仿宋" w:hAnsi="仿宋" w:eastAsia="仿宋" w:cs="仿宋"/>
          <w:color w:val="auto"/>
          <w:kern w:val="2"/>
          <w:sz w:val="24"/>
          <w:szCs w:val="24"/>
          <w:highlight w:val="none"/>
        </w:rPr>
        <w:t xml:space="preserve">； </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4.4主要性能及配置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 xml:space="preserve"> 罐体</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.1容积：≥</w:t>
      </w:r>
      <w:r>
        <w:rPr>
          <w:rFonts w:hint="eastAsia" w:ascii="仿宋" w:hAnsi="仿宋" w:eastAsia="仿宋" w:cs="仿宋"/>
          <w:b w:val="0"/>
          <w:bCs w:val="0"/>
          <w:color w:val="auto"/>
          <w:sz w:val="24"/>
          <w:szCs w:val="24"/>
          <w:highlight w:val="none"/>
          <w:lang w:val="en-US" w:eastAsia="zh-CN"/>
        </w:rPr>
        <w:t>22T</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.2结构：</w:t>
      </w:r>
      <w:r>
        <w:rPr>
          <w:rFonts w:hint="eastAsia" w:ascii="仿宋" w:hAnsi="仿宋" w:eastAsia="仿宋" w:cs="仿宋"/>
          <w:b w:val="0"/>
          <w:bCs w:val="0"/>
          <w:color w:val="auto"/>
          <w:sz w:val="24"/>
          <w:szCs w:val="24"/>
          <w:highlight w:val="none"/>
          <w:lang w:val="en-US" w:eastAsia="zh-CN"/>
        </w:rPr>
        <w:t>可分隔成两个独立储液仓，</w:t>
      </w:r>
      <w:r>
        <w:rPr>
          <w:rFonts w:hint="eastAsia" w:ascii="仿宋" w:hAnsi="仿宋" w:eastAsia="仿宋" w:cs="仿宋"/>
          <w:b w:val="0"/>
          <w:bCs w:val="0"/>
          <w:color w:val="auto"/>
          <w:sz w:val="24"/>
          <w:szCs w:val="24"/>
          <w:highlight w:val="none"/>
          <w:lang w:eastAsia="zh-CN"/>
        </w:rPr>
        <w:t>带纵横防荡板，内部维修人孔方便进出，罐体防渗漏保修10年；</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.3材质：304不锈钢、</w:t>
      </w:r>
      <w:r>
        <w:rPr>
          <w:rFonts w:hint="eastAsia" w:ascii="仿宋" w:hAnsi="仿宋" w:eastAsia="仿宋" w:cs="仿宋"/>
          <w:color w:val="auto"/>
          <w:kern w:val="2"/>
          <w:sz w:val="24"/>
          <w:szCs w:val="24"/>
          <w:highlight w:val="none"/>
          <w:lang w:val="en-US" w:eastAsia="zh-CN" w:bidi="ar-SA"/>
        </w:rPr>
        <w:t>或优于304不锈钢、</w:t>
      </w:r>
      <w:r>
        <w:rPr>
          <w:rFonts w:hint="eastAsia" w:ascii="仿宋" w:hAnsi="仿宋" w:eastAsia="仿宋" w:cs="仿宋"/>
          <w:b w:val="0"/>
          <w:bCs w:val="0"/>
          <w:color w:val="auto"/>
          <w:sz w:val="24"/>
          <w:szCs w:val="24"/>
          <w:highlight w:val="none"/>
          <w:lang w:val="en-US" w:eastAsia="zh-CN"/>
        </w:rPr>
        <w:t>或高分子复合材料材质</w:t>
      </w:r>
      <w:r>
        <w:rPr>
          <w:rFonts w:hint="eastAsia" w:ascii="仿宋" w:hAnsi="仿宋" w:eastAsia="仿宋" w:cs="仿宋"/>
          <w:b w:val="0"/>
          <w:bCs w:val="0"/>
          <w:color w:val="auto"/>
          <w:sz w:val="24"/>
          <w:szCs w:val="24"/>
          <w:highlight w:val="none"/>
          <w:lang w:eastAsia="zh-CN"/>
        </w:rPr>
        <w:t>，侧壁板厚≥3mm,顶部、底部板厚≥4mm；</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1.4</w:t>
      </w:r>
      <w:r>
        <w:rPr>
          <w:rFonts w:hint="eastAsia" w:ascii="仿宋" w:hAnsi="仿宋" w:eastAsia="仿宋" w:cs="仿宋"/>
          <w:b w:val="0"/>
          <w:bCs w:val="0"/>
          <w:color w:val="auto"/>
          <w:sz w:val="24"/>
          <w:szCs w:val="24"/>
          <w:highlight w:val="none"/>
          <w:lang w:eastAsia="zh-CN"/>
        </w:rPr>
        <w:t>设备：人孔入口孔带有快速锁紧及开启装置；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2供液泵</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.1额定流量：≥1</w:t>
      </w:r>
      <w:r>
        <w:rPr>
          <w:rFonts w:hint="eastAsia" w:ascii="仿宋" w:hAnsi="仿宋" w:eastAsia="仿宋" w:cs="仿宋"/>
          <w:b w:val="0"/>
          <w:bCs w:val="0"/>
          <w:color w:val="auto"/>
          <w:sz w:val="24"/>
          <w:szCs w:val="24"/>
          <w:highlight w:val="none"/>
          <w:lang w:val="en-US" w:eastAsia="zh-CN"/>
        </w:rPr>
        <w:t>800</w:t>
      </w:r>
      <w:r>
        <w:rPr>
          <w:rFonts w:hint="eastAsia" w:ascii="仿宋" w:hAnsi="仿宋" w:eastAsia="仿宋" w:cs="仿宋"/>
          <w:b w:val="0"/>
          <w:bCs w:val="0"/>
          <w:color w:val="auto"/>
          <w:sz w:val="24"/>
          <w:szCs w:val="24"/>
          <w:highlight w:val="none"/>
          <w:lang w:eastAsia="zh-CN"/>
        </w:rPr>
        <w:t>L/</w:t>
      </w:r>
      <w:r>
        <w:rPr>
          <w:rFonts w:hint="eastAsia" w:ascii="仿宋" w:hAnsi="仿宋" w:eastAsia="仿宋" w:cs="仿宋"/>
          <w:b w:val="0"/>
          <w:bCs w:val="0"/>
          <w:color w:val="auto"/>
          <w:sz w:val="24"/>
          <w:szCs w:val="24"/>
          <w:highlight w:val="none"/>
          <w:lang w:val="en-US" w:eastAsia="zh-CN"/>
        </w:rPr>
        <w:t>min</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.2</w:t>
      </w:r>
      <w:r>
        <w:rPr>
          <w:rFonts w:hint="eastAsia" w:ascii="仿宋" w:hAnsi="仿宋" w:eastAsia="仿宋" w:cs="仿宋"/>
          <w:b w:val="0"/>
          <w:bCs w:val="0"/>
          <w:color w:val="auto"/>
          <w:sz w:val="24"/>
          <w:szCs w:val="24"/>
          <w:highlight w:val="none"/>
          <w:lang w:val="en-US" w:eastAsia="zh-CN"/>
        </w:rPr>
        <w:t>工作压力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≥0.5MPa；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4.4.3吸液泵</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4.4.3.1</w:t>
      </w:r>
      <w:r>
        <w:rPr>
          <w:rFonts w:hint="eastAsia" w:ascii="仿宋" w:hAnsi="仿宋" w:eastAsia="仿宋" w:cs="仿宋"/>
          <w:b w:val="0"/>
          <w:bCs w:val="0"/>
          <w:color w:val="auto"/>
          <w:sz w:val="24"/>
          <w:szCs w:val="24"/>
          <w:highlight w:val="none"/>
          <w:lang w:eastAsia="zh-CN"/>
        </w:rPr>
        <w:t>额定流量：≥1</w:t>
      </w:r>
      <w:r>
        <w:rPr>
          <w:rFonts w:hint="eastAsia" w:ascii="仿宋" w:hAnsi="仿宋" w:eastAsia="仿宋" w:cs="仿宋"/>
          <w:b w:val="0"/>
          <w:bCs w:val="0"/>
          <w:color w:val="auto"/>
          <w:sz w:val="24"/>
          <w:szCs w:val="24"/>
          <w:highlight w:val="none"/>
          <w:lang w:val="en-US" w:eastAsia="zh-CN"/>
        </w:rPr>
        <w:t>800</w:t>
      </w:r>
      <w:r>
        <w:rPr>
          <w:rFonts w:hint="eastAsia" w:ascii="仿宋" w:hAnsi="仿宋" w:eastAsia="仿宋" w:cs="仿宋"/>
          <w:b w:val="0"/>
          <w:bCs w:val="0"/>
          <w:color w:val="auto"/>
          <w:sz w:val="24"/>
          <w:szCs w:val="24"/>
          <w:highlight w:val="none"/>
          <w:lang w:eastAsia="zh-CN"/>
        </w:rPr>
        <w:t>L/</w:t>
      </w:r>
      <w:r>
        <w:rPr>
          <w:rFonts w:hint="eastAsia" w:ascii="仿宋" w:hAnsi="仿宋" w:eastAsia="仿宋" w:cs="仿宋"/>
          <w:b w:val="0"/>
          <w:bCs w:val="0"/>
          <w:color w:val="auto"/>
          <w:sz w:val="24"/>
          <w:szCs w:val="24"/>
          <w:highlight w:val="none"/>
          <w:lang w:val="en-US" w:eastAsia="zh-CN"/>
        </w:rPr>
        <w:t>min</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4.4.3.2工作压力</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≥0.3MPa；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管路系统：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.1</w:t>
      </w:r>
      <w:r>
        <w:rPr>
          <w:rFonts w:hint="eastAsia" w:ascii="仿宋" w:hAnsi="仿宋" w:eastAsia="仿宋" w:cs="仿宋"/>
          <w:b w:val="0"/>
          <w:bCs w:val="0"/>
          <w:color w:val="auto"/>
          <w:sz w:val="24"/>
          <w:szCs w:val="24"/>
          <w:highlight w:val="none"/>
          <w:lang w:val="en-US" w:eastAsia="zh-CN"/>
        </w:rPr>
        <w:t>供液</w:t>
      </w:r>
      <w:r>
        <w:rPr>
          <w:rFonts w:hint="eastAsia" w:ascii="仿宋" w:hAnsi="仿宋" w:eastAsia="仿宋" w:cs="仿宋"/>
          <w:b w:val="0"/>
          <w:bCs w:val="0"/>
          <w:color w:val="auto"/>
          <w:sz w:val="24"/>
          <w:szCs w:val="24"/>
          <w:highlight w:val="none"/>
          <w:lang w:eastAsia="zh-CN"/>
        </w:rPr>
        <w:t>管路：车两侧</w:t>
      </w:r>
      <w:r>
        <w:rPr>
          <w:rFonts w:hint="eastAsia" w:ascii="仿宋" w:hAnsi="仿宋" w:eastAsia="仿宋" w:cs="仿宋"/>
          <w:b w:val="0"/>
          <w:bCs w:val="0"/>
          <w:color w:val="auto"/>
          <w:sz w:val="24"/>
          <w:szCs w:val="24"/>
          <w:highlight w:val="none"/>
          <w:lang w:val="en-US" w:eastAsia="zh-CN"/>
        </w:rPr>
        <w:t>和尾部共4</w:t>
      </w:r>
      <w:r>
        <w:rPr>
          <w:rFonts w:hint="eastAsia" w:ascii="仿宋" w:hAnsi="仿宋" w:eastAsia="仿宋" w:cs="仿宋"/>
          <w:b w:val="0"/>
          <w:bCs w:val="0"/>
          <w:color w:val="auto"/>
          <w:sz w:val="24"/>
          <w:szCs w:val="24"/>
          <w:highlight w:val="none"/>
          <w:lang w:eastAsia="zh-CN"/>
        </w:rPr>
        <w:t>个DN80</w:t>
      </w:r>
      <w:r>
        <w:rPr>
          <w:rFonts w:hint="eastAsia" w:ascii="仿宋" w:hAnsi="仿宋" w:eastAsia="仿宋" w:cs="仿宋"/>
          <w:b w:val="0"/>
          <w:bCs w:val="0"/>
          <w:color w:val="auto"/>
          <w:sz w:val="24"/>
          <w:szCs w:val="24"/>
          <w:highlight w:val="none"/>
          <w:lang w:val="en-US" w:eastAsia="zh-CN"/>
        </w:rPr>
        <w:t>接口</w:t>
      </w:r>
      <w:r>
        <w:rPr>
          <w:rFonts w:hint="eastAsia" w:ascii="仿宋" w:hAnsi="仿宋" w:eastAsia="仿宋" w:cs="仿宋"/>
          <w:b w:val="0"/>
          <w:bCs w:val="0"/>
          <w:color w:val="auto"/>
          <w:sz w:val="24"/>
          <w:szCs w:val="24"/>
          <w:highlight w:val="none"/>
          <w:lang w:eastAsia="zh-CN"/>
        </w:rPr>
        <w:t>，采用卡式接口；</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 xml:space="preserve">.2 </w:t>
      </w:r>
      <w:r>
        <w:rPr>
          <w:rFonts w:hint="eastAsia" w:ascii="仿宋" w:hAnsi="仿宋" w:eastAsia="仿宋" w:cs="仿宋"/>
          <w:b w:val="0"/>
          <w:bCs w:val="0"/>
          <w:color w:val="auto"/>
          <w:sz w:val="24"/>
          <w:szCs w:val="24"/>
          <w:highlight w:val="none"/>
          <w:lang w:val="en-US" w:eastAsia="zh-CN"/>
        </w:rPr>
        <w:t>注液</w:t>
      </w:r>
      <w:r>
        <w:rPr>
          <w:rFonts w:hint="eastAsia" w:ascii="仿宋" w:hAnsi="仿宋" w:eastAsia="仿宋" w:cs="仿宋"/>
          <w:b w:val="0"/>
          <w:bCs w:val="0"/>
          <w:color w:val="auto"/>
          <w:sz w:val="24"/>
          <w:szCs w:val="24"/>
          <w:highlight w:val="none"/>
          <w:lang w:eastAsia="zh-CN"/>
        </w:rPr>
        <w:t>管路：车两侧</w:t>
      </w:r>
      <w:r>
        <w:rPr>
          <w:rFonts w:hint="eastAsia" w:ascii="仿宋" w:hAnsi="仿宋" w:eastAsia="仿宋" w:cs="仿宋"/>
          <w:b w:val="0"/>
          <w:bCs w:val="0"/>
          <w:color w:val="auto"/>
          <w:sz w:val="24"/>
          <w:szCs w:val="24"/>
          <w:highlight w:val="none"/>
          <w:lang w:val="en-US" w:eastAsia="zh-CN"/>
        </w:rPr>
        <w:t>和尾部共4</w:t>
      </w:r>
      <w:r>
        <w:rPr>
          <w:rFonts w:hint="eastAsia" w:ascii="仿宋" w:hAnsi="仿宋" w:eastAsia="仿宋" w:cs="仿宋"/>
          <w:b w:val="0"/>
          <w:bCs w:val="0"/>
          <w:color w:val="auto"/>
          <w:sz w:val="24"/>
          <w:szCs w:val="24"/>
          <w:highlight w:val="none"/>
          <w:lang w:eastAsia="zh-CN"/>
        </w:rPr>
        <w:t>个DN</w:t>
      </w:r>
      <w:r>
        <w:rPr>
          <w:rFonts w:hint="eastAsia" w:ascii="仿宋" w:hAnsi="仿宋" w:eastAsia="仿宋" w:cs="仿宋"/>
          <w:b w:val="0"/>
          <w:bCs w:val="0"/>
          <w:color w:val="auto"/>
          <w:sz w:val="24"/>
          <w:szCs w:val="24"/>
          <w:highlight w:val="none"/>
          <w:lang w:val="en-US" w:eastAsia="zh-CN"/>
        </w:rPr>
        <w:t>65接口</w:t>
      </w:r>
      <w:r>
        <w:rPr>
          <w:rFonts w:hint="eastAsia" w:ascii="仿宋" w:hAnsi="仿宋" w:eastAsia="仿宋" w:cs="仿宋"/>
          <w:b w:val="0"/>
          <w:bCs w:val="0"/>
          <w:color w:val="auto"/>
          <w:sz w:val="24"/>
          <w:szCs w:val="24"/>
          <w:highlight w:val="none"/>
          <w:lang w:eastAsia="zh-CN"/>
        </w:rPr>
        <w:t>，采用卡式接口；</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4.4.</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3外吸液</w:t>
      </w:r>
      <w:r>
        <w:rPr>
          <w:rFonts w:hint="eastAsia" w:ascii="仿宋" w:hAnsi="仿宋" w:eastAsia="仿宋" w:cs="仿宋"/>
          <w:b w:val="0"/>
          <w:bCs w:val="0"/>
          <w:color w:val="auto"/>
          <w:sz w:val="24"/>
          <w:szCs w:val="24"/>
          <w:highlight w:val="none"/>
          <w:lang w:eastAsia="zh-CN"/>
        </w:rPr>
        <w:t>管路：车两侧</w:t>
      </w:r>
      <w:r>
        <w:rPr>
          <w:rFonts w:hint="eastAsia" w:ascii="仿宋" w:hAnsi="仿宋" w:eastAsia="仿宋" w:cs="仿宋"/>
          <w:b w:val="0"/>
          <w:bCs w:val="0"/>
          <w:color w:val="auto"/>
          <w:sz w:val="24"/>
          <w:szCs w:val="24"/>
          <w:highlight w:val="none"/>
          <w:lang w:val="en-US" w:eastAsia="zh-CN"/>
        </w:rPr>
        <w:t>和尾部共2</w:t>
      </w:r>
      <w:r>
        <w:rPr>
          <w:rFonts w:hint="eastAsia" w:ascii="仿宋" w:hAnsi="仿宋" w:eastAsia="仿宋" w:cs="仿宋"/>
          <w:b w:val="0"/>
          <w:bCs w:val="0"/>
          <w:color w:val="auto"/>
          <w:sz w:val="24"/>
          <w:szCs w:val="24"/>
          <w:highlight w:val="none"/>
          <w:lang w:eastAsia="zh-CN"/>
        </w:rPr>
        <w:t>个DN</w:t>
      </w:r>
      <w:r>
        <w:rPr>
          <w:rFonts w:hint="eastAsia" w:ascii="仿宋" w:hAnsi="仿宋" w:eastAsia="仿宋" w:cs="仿宋"/>
          <w:b w:val="0"/>
          <w:bCs w:val="0"/>
          <w:color w:val="auto"/>
          <w:sz w:val="24"/>
          <w:szCs w:val="24"/>
          <w:highlight w:val="none"/>
          <w:lang w:val="en-US" w:eastAsia="zh-CN"/>
        </w:rPr>
        <w:t>125接口</w:t>
      </w:r>
      <w:r>
        <w:rPr>
          <w:rFonts w:hint="eastAsia" w:ascii="仿宋" w:hAnsi="仿宋" w:eastAsia="仿宋" w:cs="仿宋"/>
          <w:b w:val="0"/>
          <w:bCs w:val="0"/>
          <w:color w:val="auto"/>
          <w:sz w:val="24"/>
          <w:szCs w:val="24"/>
          <w:highlight w:val="none"/>
          <w:lang w:eastAsia="zh-CN"/>
        </w:rPr>
        <w:t>，采用</w:t>
      </w:r>
      <w:r>
        <w:rPr>
          <w:rFonts w:hint="eastAsia" w:ascii="仿宋" w:hAnsi="仿宋" w:eastAsia="仿宋" w:cs="仿宋"/>
          <w:b w:val="0"/>
          <w:bCs w:val="0"/>
          <w:color w:val="auto"/>
          <w:sz w:val="24"/>
          <w:szCs w:val="24"/>
          <w:highlight w:val="none"/>
          <w:lang w:val="en-US" w:eastAsia="zh-CN"/>
        </w:rPr>
        <w:t>内扣式接口</w:t>
      </w:r>
      <w:r>
        <w:rPr>
          <w:rFonts w:hint="eastAsia" w:ascii="仿宋" w:hAnsi="仿宋" w:eastAsia="仿宋" w:cs="仿宋"/>
          <w:b w:val="0"/>
          <w:bCs w:val="0"/>
          <w:color w:val="auto"/>
          <w:sz w:val="24"/>
          <w:szCs w:val="24"/>
          <w:highlight w:val="none"/>
          <w:lang w:eastAsia="zh-CN"/>
        </w:rPr>
        <w:t>；车两侧</w:t>
      </w:r>
      <w:r>
        <w:rPr>
          <w:rFonts w:hint="eastAsia" w:ascii="仿宋" w:hAnsi="仿宋" w:eastAsia="仿宋" w:cs="仿宋"/>
          <w:b w:val="0"/>
          <w:bCs w:val="0"/>
          <w:color w:val="auto"/>
          <w:sz w:val="24"/>
          <w:szCs w:val="24"/>
          <w:highlight w:val="none"/>
          <w:lang w:val="en-US" w:eastAsia="zh-CN"/>
        </w:rPr>
        <w:t>共10个DN50接口，采用快换式接口；</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4.5总体要求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7956.1-2014《消防车 第1部分：通用技术条件》、GB</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1589-2016《汽车、挂车及汽车列车外廓尺寸、轴荷及质量限值》标准要求；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4.5.2车身颜色符合GB/T</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3181</w:t>
      </w:r>
      <w:r>
        <w:rPr>
          <w:rFonts w:hint="eastAsia" w:ascii="仿宋" w:hAnsi="仿宋" w:eastAsia="仿宋" w:cs="仿宋"/>
          <w:b w:val="0"/>
          <w:bCs w:val="0"/>
          <w:color w:val="auto"/>
          <w:sz w:val="24"/>
          <w:szCs w:val="24"/>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b w:val="0"/>
          <w:bCs w:val="0"/>
          <w:color w:val="auto"/>
          <w:sz w:val="24"/>
          <w:szCs w:val="24"/>
          <w:highlight w:val="none"/>
          <w:lang w:eastAsia="zh-CN"/>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kinsoku/>
        <w:wordWrap/>
        <w:overflowPunct/>
        <w:topLinePunct w:val="0"/>
        <w:autoSpaceDE/>
        <w:autoSpaceDN/>
        <w:bidi w:val="0"/>
        <w:spacing w:line="480" w:lineRule="exact"/>
        <w:ind w:firstLine="480" w:firstLineChars="200"/>
        <w:jc w:val="left"/>
        <w:textAlignment w:val="auto"/>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lang w:eastAsia="zh-CN"/>
        </w:rPr>
        <w:t>4.5.3</w:t>
      </w:r>
      <w:r>
        <w:rPr>
          <w:rFonts w:hint="eastAsia" w:ascii="仿宋" w:hAnsi="仿宋" w:eastAsia="仿宋" w:cs="仿宋"/>
          <w:b w:val="0"/>
          <w:bCs w:val="0"/>
          <w:color w:val="auto"/>
          <w:kern w:val="2"/>
          <w:sz w:val="24"/>
          <w:szCs w:val="24"/>
          <w:highlight w:val="none"/>
          <w:lang w:val="en-US" w:eastAsia="zh-CN" w:bidi="ar-SA"/>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kern w:val="2"/>
          <w:sz w:val="24"/>
          <w:szCs w:val="24"/>
          <w:highlight w:val="none"/>
          <w:lang w:val="en-US" w:eastAsia="zh-CN" w:bidi="ar-SA"/>
        </w:rPr>
        <w:t>单位需求，对外置车灯、灯具加装防护罩；</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4.5.4器材箱</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4.5.4.1材质：铝合金型材及合金板材；</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4.5.4.2结构：车厢外骨架及外蒙皮均为优质铝合金型材，内骨架壁厚≥5mm铝合金型材，内装饰板及底板均为表面经阳极氧化处理的壁厚≥5mm铝合金板；</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4.5.4.3器材箱门：采用轻型优质铝合金，所有卷帘门均可通用一把钥匙开启；每个器材厢内有LED灯带，由卷帘门开闭控制并在驾驶室内有集中控制开关；设置行进途中器材箱门开启、车门开启声光自动报警装置；</w:t>
      </w:r>
    </w:p>
    <w:p>
      <w:pPr>
        <w:keepNext w:val="0"/>
        <w:keepLines w:val="0"/>
        <w:pageBreakBefore w:val="0"/>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4.5.5警报灯具：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 xml:space="preserve">，在驾乘室可控制扩音器。在车厢两侧、尾部等并联安装红色爆闪灯，警灯、警报器各自采用独立控制开关，车辆顶端四周安装 LED 灯带； </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4.5.6投标人在器材箱结构设计布置时需提前与</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单位联系，根据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单位提供的装载器材种类及数量进行定位、定量设计器材箱结构，设计方案必须经</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单位同意后方可进行生产；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4.5.7电、气路系统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4.5.7.1电路系统：电气设备，符合国家相关标准；所有操作开关、仪表、器材架及车辆均有符合标准、规范的铭牌标志，显示值采用中国通用图标符号和计量标准，各类标牌牢固、清晰；</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720" w:firstLineChars="3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4.5.7.</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快速充气充电装置：可自动分离</w:t>
      </w:r>
      <w:r>
        <w:rPr>
          <w:rFonts w:hint="eastAsia" w:ascii="仿宋" w:hAnsi="仿宋" w:eastAsia="仿宋" w:cs="仿宋"/>
          <w:b w:val="0"/>
          <w:bCs w:val="0"/>
          <w:color w:val="auto"/>
          <w:sz w:val="24"/>
          <w:szCs w:val="24"/>
          <w:highlight w:val="none"/>
          <w:lang w:val="en-US"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4.6其他要求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4.6.1整车按国家标准配齐随车设备，设备布置合理，固定牢靠；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4.6.2供货前，须主动对接使用单位，满足用户需求；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4.6.3交付使用单位时，</w:t>
      </w:r>
      <w:r>
        <w:rPr>
          <w:rFonts w:hint="eastAsia" w:ascii="仿宋" w:hAnsi="仿宋" w:eastAsia="仿宋" w:cs="仿宋"/>
          <w:color w:val="auto"/>
          <w:sz w:val="24"/>
          <w:szCs w:val="24"/>
          <w:highlight w:val="none"/>
          <w:lang w:val="en-US" w:eastAsia="zh-CN"/>
        </w:rPr>
        <w:t>提供操作使用说明书纸质版（含电子版），</w:t>
      </w:r>
      <w:r>
        <w:rPr>
          <w:rFonts w:hint="eastAsia" w:ascii="仿宋" w:hAnsi="仿宋" w:eastAsia="仿宋" w:cs="仿宋"/>
          <w:b w:val="0"/>
          <w:bCs w:val="0"/>
          <w:color w:val="auto"/>
          <w:sz w:val="24"/>
          <w:szCs w:val="24"/>
          <w:highlight w:val="none"/>
          <w:lang w:eastAsia="zh-CN"/>
        </w:rPr>
        <w:t>燃油、尿素等添加液处于满液状态；</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4.6.4首次保养（含材料、人工、差旅等）免费。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4.7随车附件</w:t>
      </w:r>
    </w:p>
    <w:tbl>
      <w:tblPr>
        <w:tblStyle w:val="4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5"/>
        <w:gridCol w:w="4255"/>
        <w:gridCol w:w="760"/>
        <w:gridCol w:w="866"/>
        <w:gridCol w:w="222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tblHeader/>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序号</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名  称</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数量</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单位</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备 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65mm水带</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10</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盘</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卡式接口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80mm水带</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5</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盘</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卡式接口</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开关直流水枪</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支</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喷嘴直径19mm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多功能水枪</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支</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8"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5</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空气泡沫枪</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支</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6</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干粉灭火器</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具</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8kg，ABC干粉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7</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集水器</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8</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分水器</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9</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吸水管扳手</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10</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橡皮锤</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11</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地上消火栓扳手</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12</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6米拉梯</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架</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13</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异径接口65mm(内扣)/80mm(卡式雄)</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14</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异径接口65mm(卡式)/80mm(卡式雌)</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15</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异型接口65mm(内扣)/65mm(卡式雄)</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16</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异型接口65mm(内扣)/65mm(卡式雌)</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17</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异型接口80mm(内扣)/80mm(卡式雄)</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18</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异型接口80mm(内扣)/80mm(卡式雌)</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19</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异径接口80mm(卡式雄)/80mm(卡式雌)</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1"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20</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异径接口65mm(卡式雄)/80mm(卡式雄)</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21</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吸水管异径接口150mm转100m</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22</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水带护桥</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副</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橡胶材质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23</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水带包布</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24</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水带挂钩</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25</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消防斧</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26</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可充电式手提照明灯</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27</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泡沫外吸管（快换）50mm</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根</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28</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滤水器及引绳</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29</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备用轮胎</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个</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30</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三角警示牌</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31</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警戒带</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盘</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32</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铁铤</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33</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铁锹</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把</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34</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底盘随车工具</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35</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轮胎打气套管</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根</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36</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车轮止动楔</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3</w:t>
            </w:r>
            <w:r>
              <w:rPr>
                <w:rFonts w:hint="eastAsia" w:ascii="仿宋" w:hAnsi="仿宋" w:eastAsia="仿宋" w:cs="仿宋"/>
                <w:b w:val="0"/>
                <w:bCs w:val="0"/>
                <w:color w:val="auto"/>
                <w:sz w:val="24"/>
                <w:szCs w:val="24"/>
                <w:highlight w:val="none"/>
                <w:lang w:val="en-US" w:eastAsia="zh-CN"/>
              </w:rPr>
              <w:t>7</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防滑链</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防滑链数量与轮胎数量相匹配</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27" w:hRule="atLeast"/>
          <w:jc w:val="center"/>
        </w:trPr>
        <w:tc>
          <w:tcPr>
            <w:tcW w:w="7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38</w:t>
            </w:r>
          </w:p>
        </w:tc>
        <w:tc>
          <w:tcPr>
            <w:tcW w:w="4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泡沫输转泵</w:t>
            </w:r>
          </w:p>
        </w:tc>
        <w:tc>
          <w:tcPr>
            <w:tcW w:w="7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w:t>
            </w:r>
          </w:p>
        </w:tc>
        <w:tc>
          <w:tcPr>
            <w:tcW w:w="86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台</w:t>
            </w:r>
          </w:p>
        </w:tc>
        <w:tc>
          <w:tcPr>
            <w:tcW w:w="222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tabs>
                <w:tab w:val="left" w:pos="0"/>
              </w:tabs>
              <w:kinsoku/>
              <w:wordWrap/>
              <w:overflowPunct/>
              <w:topLinePunct w:val="0"/>
              <w:bidi w:val="0"/>
              <w:adjustRightInd w:val="0"/>
              <w:snapToGrid w:val="0"/>
              <w:spacing w:line="240" w:lineRule="auto"/>
              <w:ind w:firstLine="0" w:firstLineChars="0"/>
              <w:jc w:val="center"/>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流量≥200L/min，口径50mm，自吸深度≥3m</w:t>
            </w:r>
          </w:p>
        </w:tc>
      </w:tr>
      <w:bookmarkEnd w:id="373"/>
      <w:bookmarkEnd w:id="374"/>
    </w:tbl>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b/>
          <w:bCs/>
          <w:color w:val="auto"/>
          <w:sz w:val="24"/>
          <w:szCs w:val="24"/>
          <w:highlight w:val="none"/>
          <w:lang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5" w:name="_Toc10111"/>
      <w:r>
        <w:rPr>
          <w:rFonts w:hint="eastAsia" w:ascii="仿宋" w:hAnsi="仿宋" w:eastAsia="仿宋" w:cs="仿宋"/>
          <w:color w:val="auto"/>
          <w:sz w:val="28"/>
          <w:szCs w:val="28"/>
          <w:highlight w:val="none"/>
          <w:lang w:val="en-US" w:eastAsia="zh-CN"/>
        </w:rPr>
        <w:t>品目16：器材消防车</w:t>
      </w:r>
      <w:bookmarkEnd w:id="375"/>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一、货物名称：器材消防车</w:t>
      </w:r>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辆</w:t>
      </w:r>
      <w:r>
        <w:rPr>
          <w:rFonts w:hint="eastAsia" w:ascii="仿宋" w:hAnsi="仿宋" w:eastAsia="仿宋" w:cs="仿宋"/>
          <w:color w:val="auto"/>
          <w:sz w:val="24"/>
          <w:szCs w:val="24"/>
          <w:highlight w:val="none"/>
          <w:lang w:val="en-US" w:eastAsia="zh-CN"/>
        </w:rPr>
        <w:t>）</w:t>
      </w:r>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4.1.1整车尺寸：长×宽×高（mm）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≤10500×2550×3800；</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4.1.2厢体尺寸（内部）：长×宽×高（mm）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≥7000×2100×2200；</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比功率：≥12KW/T；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▲4.2.1发动机额定功率：≥290kw；</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4.2.2燃料：柴油；油箱容积：≥300L；</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4.2.3尾气排放：符合国Ⅵ标准；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4.2.4最高车速：≥90km/h；</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4.2.5驱动型式：4×4；</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最大排量≥10L；</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4.2.8</w:t>
      </w:r>
      <w:r>
        <w:rPr>
          <w:rFonts w:hint="eastAsia" w:ascii="仿宋" w:hAnsi="仿宋" w:eastAsia="仿宋" w:cs="仿宋"/>
          <w:color w:val="auto"/>
          <w:kern w:val="0"/>
          <w:sz w:val="24"/>
          <w:szCs w:val="24"/>
          <w:highlight w:val="none"/>
        </w:rPr>
        <w:t>配置子午线钢丝轮胎、胎压监测系统、360°倒车影像、行车记录仪 (内存不小于32G),配备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4.2.9变速箱：手动；</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4.2.10</w:t>
      </w:r>
      <w:r>
        <w:rPr>
          <w:rFonts w:hint="eastAsia" w:ascii="仿宋" w:hAnsi="仿宋" w:eastAsia="仿宋" w:cs="仿宋"/>
          <w:color w:val="auto"/>
          <w:sz w:val="24"/>
          <w:highlight w:val="none"/>
        </w:rPr>
        <w:t>制动系统：ABS（防抱死制动系统）或EBS（电控制动系统）</w:t>
      </w:r>
      <w:r>
        <w:rPr>
          <w:rFonts w:hint="eastAsia" w:ascii="仿宋" w:hAnsi="仿宋" w:eastAsia="仿宋" w:cs="仿宋"/>
          <w:color w:val="auto"/>
          <w:sz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4.3驾乘室</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4.3.1座位设置：乘员≥2人，座椅应全部设置安全带；</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outlineLvl w:val="9"/>
        <w:rPr>
          <w:rFonts w:hint="eastAsia"/>
          <w:color w:val="auto"/>
          <w:highlight w:val="none"/>
        </w:rPr>
      </w:pPr>
      <w:r>
        <w:rPr>
          <w:rFonts w:hint="eastAsia" w:ascii="仿宋" w:hAnsi="仿宋" w:eastAsia="仿宋" w:cs="仿宋"/>
          <w:color w:val="auto"/>
          <w:sz w:val="24"/>
          <w:szCs w:val="24"/>
          <w:highlight w:val="none"/>
        </w:rPr>
        <w:t>4.3.2 驾乘室设备：除原车设备外，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4.4液压尾板</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4.4.1板面尺寸</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长</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宽</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mm</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color w:val="auto"/>
          <w:sz w:val="24"/>
          <w:szCs w:val="24"/>
          <w:highlight w:val="none"/>
        </w:rPr>
        <w:t>：≥2400×1800；</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4.4.2板面材质：钢；</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4.4.3板面结构：整体式；</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▲4.4.4额定载重：≥2000kg；</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4.4.5最大举升高度：≥1500mm；</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4.4.6液压系统：</w:t>
      </w:r>
      <w:r>
        <w:rPr>
          <w:rFonts w:hint="eastAsia" w:ascii="仿宋" w:hAnsi="仿宋" w:eastAsia="仿宋" w:cs="仿宋"/>
          <w:color w:val="auto"/>
          <w:sz w:val="24"/>
          <w:szCs w:val="24"/>
          <w:highlight w:val="none"/>
          <w:lang w:eastAsia="zh-CN"/>
        </w:rPr>
        <w:t>≥四</w:t>
      </w:r>
      <w:r>
        <w:rPr>
          <w:rFonts w:hint="eastAsia" w:ascii="仿宋" w:hAnsi="仿宋" w:eastAsia="仿宋" w:cs="仿宋"/>
          <w:color w:val="auto"/>
          <w:sz w:val="24"/>
          <w:szCs w:val="24"/>
          <w:highlight w:val="none"/>
        </w:rPr>
        <w:t>缸配置，液压自动调平；</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4.5总体要求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4.5.1</w:t>
      </w:r>
      <w:r>
        <w:rPr>
          <w:rFonts w:hint="eastAsia" w:ascii="仿宋" w:hAnsi="仿宋" w:eastAsia="仿宋" w:cs="仿宋"/>
          <w:b w:val="0"/>
          <w:bCs w:val="0"/>
          <w:color w:val="auto"/>
          <w:sz w:val="24"/>
          <w:szCs w:val="24"/>
          <w:highlight w:val="none"/>
          <w:lang w:eastAsia="zh-CN"/>
        </w:rPr>
        <w:t>整车性能符合GB7956.1-2014《消防车 第1部分：通用技术条件》</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color w:val="auto"/>
          <w:highlight w:val="none"/>
          <w:lang w:val="en-US" w:eastAsia="zh-CN"/>
        </w:rPr>
        <w:t>-</w:t>
      </w:r>
      <w:r>
        <w:rPr>
          <w:rFonts w:hint="eastAsia" w:ascii="仿宋" w:hAnsi="仿宋" w:eastAsia="仿宋" w:cs="仿宋"/>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color w:val="auto"/>
          <w:sz w:val="24"/>
          <w:szCs w:val="24"/>
          <w:highlight w:val="none"/>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highlight w:val="none"/>
        </w:rPr>
        <w:t>单位需求，对外置车灯、灯具加装防护罩；</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厢体：厢式结构，厢体内部安装照明灯；</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4.6.2供货前，须主动对接采购人，满足采购人需求；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4.6.3交付采购人时，提供操作使用说明书纸质版（含电子版）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4.6.4首次保养（含材料、人工、差旅等）免费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4.7随车附件</w:t>
      </w:r>
    </w:p>
    <w:tbl>
      <w:tblPr>
        <w:tblStyle w:val="43"/>
        <w:tblW w:w="0" w:type="auto"/>
        <w:jc w:val="center"/>
        <w:tblLayout w:type="fixed"/>
        <w:tblCellMar>
          <w:top w:w="0" w:type="dxa"/>
          <w:left w:w="30" w:type="dxa"/>
          <w:bottom w:w="0" w:type="dxa"/>
          <w:right w:w="30" w:type="dxa"/>
        </w:tblCellMar>
      </w:tblPr>
      <w:tblGrid>
        <w:gridCol w:w="894"/>
        <w:gridCol w:w="2839"/>
        <w:gridCol w:w="804"/>
        <w:gridCol w:w="867"/>
        <w:gridCol w:w="3709"/>
      </w:tblGrid>
      <w:tr>
        <w:tblPrEx>
          <w:tblCellMar>
            <w:top w:w="0" w:type="dxa"/>
            <w:left w:w="30" w:type="dxa"/>
            <w:bottom w:w="0" w:type="dxa"/>
            <w:right w:w="30" w:type="dxa"/>
          </w:tblCellMar>
        </w:tblPrEx>
        <w:trPr>
          <w:trHeight w:val="397" w:hRule="atLeast"/>
          <w:tblHeader/>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名称</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单位</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数量</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备注</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防滑垫</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底盘随车工具</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轮胎打气套管</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根</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车轮止动楔</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干粉灭火器</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具</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8kg，ABC干粉</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备用轮胎</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 w:val="0"/>
                <w:bCs w:val="0"/>
                <w:color w:val="auto"/>
                <w:sz w:val="24"/>
                <w:szCs w:val="24"/>
                <w:highlight w:val="none"/>
                <w:lang w:val="en-US" w:eastAsia="zh-CN"/>
              </w:rPr>
              <w:t>配备原车同尺寸</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千斤顶</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个</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15t</w:t>
            </w: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三角警示牌</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块</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9</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随车维修保养说明书</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份</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p>
        </w:tc>
        <w:tc>
          <w:tcPr>
            <w:tcW w:w="3709"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tabs>
                <w:tab w:val="left" w:pos="540"/>
              </w:tabs>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p>
        </w:tc>
      </w:tr>
      <w:tr>
        <w:tblPrEx>
          <w:tblCellMar>
            <w:top w:w="0" w:type="dxa"/>
            <w:left w:w="30" w:type="dxa"/>
            <w:bottom w:w="0" w:type="dxa"/>
            <w:right w:w="30" w:type="dxa"/>
          </w:tblCellMar>
        </w:tblPrEx>
        <w:trPr>
          <w:trHeight w:val="397" w:hRule="atLeast"/>
          <w:jc w:val="center"/>
        </w:trPr>
        <w:tc>
          <w:tcPr>
            <w:tcW w:w="89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10</w:t>
            </w:r>
          </w:p>
        </w:tc>
        <w:tc>
          <w:tcPr>
            <w:tcW w:w="2839"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防滑链</w:t>
            </w:r>
          </w:p>
        </w:tc>
        <w:tc>
          <w:tcPr>
            <w:tcW w:w="804" w:type="dxa"/>
            <w:tcBorders>
              <w:top w:val="single" w:color="auto" w:sz="6" w:space="0"/>
              <w:left w:val="single" w:color="auto" w:sz="6" w:space="0"/>
              <w:bottom w:val="single" w:color="auto" w:sz="6" w:space="0"/>
              <w:right w:val="single" w:color="auto" w:sz="6"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1</w:t>
            </w:r>
          </w:p>
        </w:tc>
        <w:tc>
          <w:tcPr>
            <w:tcW w:w="867" w:type="dxa"/>
            <w:tcBorders>
              <w:top w:val="single" w:color="auto" w:sz="6" w:space="0"/>
              <w:left w:val="single" w:color="auto" w:sz="6" w:space="0"/>
              <w:bottom w:val="single" w:color="auto" w:sz="6" w:space="0"/>
              <w:right w:val="single" w:color="auto" w:sz="4" w:space="0"/>
            </w:tcBorders>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eastAsia="zh-CN"/>
              </w:rPr>
              <w:t>套</w:t>
            </w:r>
          </w:p>
        </w:tc>
        <w:tc>
          <w:tcPr>
            <w:tcW w:w="3709" w:type="dxa"/>
            <w:tcBorders>
              <w:top w:val="single" w:color="auto" w:sz="6" w:space="0"/>
              <w:left w:val="single" w:color="auto" w:sz="6" w:space="0"/>
              <w:bottom w:val="single" w:color="auto" w:sz="6" w:space="0"/>
              <w:right w:val="single" w:color="auto" w:sz="4" w:space="0"/>
            </w:tcBorders>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bl>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6" w:name="_Toc31483"/>
      <w:r>
        <w:rPr>
          <w:rFonts w:hint="eastAsia" w:ascii="仿宋" w:hAnsi="仿宋" w:eastAsia="仿宋" w:cs="仿宋"/>
          <w:color w:val="auto"/>
          <w:sz w:val="28"/>
          <w:szCs w:val="28"/>
          <w:highlight w:val="none"/>
          <w:lang w:val="en-US" w:eastAsia="zh-CN"/>
        </w:rPr>
        <w:t>品目17：供气消防车</w:t>
      </w:r>
      <w:bookmarkEnd w:id="376"/>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一、货物名称：供气消防车；</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二、主要规格：国产底盘；</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三、数量：</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（辆）；</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四、主要技术规格、参数及要求：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4.1整车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4.1</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lang w:eastAsia="zh-CN"/>
        </w:rPr>
        <w:t>整车尺寸：长×宽×高（mm）：≤9000×2550×3600；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4.1.2比功率：</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12KW/T;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4.2底盘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4.2.1发动机额定功率：≥250kw；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4.2.2燃料：柴油 ；油箱容积：≥</w:t>
      </w:r>
      <w:r>
        <w:rPr>
          <w:rFonts w:hint="eastAsia" w:ascii="仿宋" w:hAnsi="仿宋" w:eastAsia="仿宋" w:cs="仿宋"/>
          <w:b w:val="0"/>
          <w:bCs w:val="0"/>
          <w:color w:val="auto"/>
          <w:sz w:val="24"/>
          <w:szCs w:val="24"/>
          <w:highlight w:val="none"/>
          <w:lang w:val="en-US" w:eastAsia="zh-CN"/>
        </w:rPr>
        <w:t>200L；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4.2.3尾气排放：符合国Ⅵ标准；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4.2.4最高车速：≥90km/h；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4.2.5驱动型式：4×2；</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4.2.6配置子午线钢丝轮胎、胎压监测系统、360°倒车影像、行车记录仪 (内存≥32G),配备350-400MHz工作频率范围车载台、单北斗卫星定位装置（可接入国家局现有北斗消防综合管理服务平台），带倒车告警蜂鸣器、倒车摄像头和驾乘室内监视器，监视器屏幕≥10英寸；</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strike w:val="0"/>
          <w:dstrike w:val="0"/>
          <w:color w:val="auto"/>
          <w:sz w:val="24"/>
          <w:szCs w:val="24"/>
          <w:highlight w:val="none"/>
          <w:lang w:val="en-US" w:eastAsia="zh-CN"/>
        </w:rPr>
      </w:pPr>
      <w:r>
        <w:rPr>
          <w:rFonts w:hint="eastAsia" w:ascii="仿宋" w:hAnsi="仿宋" w:eastAsia="仿宋" w:cs="仿宋"/>
          <w:b w:val="0"/>
          <w:bCs w:val="0"/>
          <w:strike w:val="0"/>
          <w:dstrike w:val="0"/>
          <w:color w:val="auto"/>
          <w:sz w:val="24"/>
          <w:szCs w:val="24"/>
          <w:highlight w:val="none"/>
          <w:lang w:val="en-US" w:eastAsia="zh-CN"/>
        </w:rPr>
        <w:t>4.2.7变速箱：手动；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color w:val="auto"/>
          <w:sz w:val="24"/>
          <w:highlight w:val="none"/>
        </w:rPr>
        <w:t>制动系统：前轮盘式制动器，ABS（防抱死制动系统）或EBS（电控制动系统）</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4.3驾乘室</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4.3.1结构：具有中控锁、电动举升、翻转助力系统，采用液压缸支撑结构，翻转支撑结构可靠；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4.3.2座位设置：乘员≥2人，驾驶员座椅高度、角度、前后位置可调，消防车座椅应全部设置安全带;</w:t>
      </w:r>
    </w:p>
    <w:p>
      <w:pPr>
        <w:keepNext w:val="0"/>
        <w:keepLines w:val="0"/>
        <w:pageBreakBefore w:val="0"/>
        <w:widowControl/>
        <w:kinsoku/>
        <w:wordWrap/>
        <w:overflowPunct/>
        <w:topLinePunct w:val="0"/>
        <w:autoSpaceDE/>
        <w:autoSpaceDN/>
        <w:bidi w:val="0"/>
        <w:spacing w:line="480" w:lineRule="exact"/>
        <w:ind w:left="0" w:leftChars="0" w:right="0" w:rightChars="0" w:firstLine="480" w:firstLineChars="2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b w:val="0"/>
          <w:bCs w:val="0"/>
          <w:color w:val="auto"/>
          <w:sz w:val="24"/>
          <w:szCs w:val="24"/>
          <w:highlight w:val="none"/>
          <w:lang w:eastAsia="zh-CN"/>
        </w:rPr>
        <w:t>4.3.3驾乘室设备：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4.4主要性能及配置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4.4.1供气系统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4.4.1.1供气系统性能符合</w:t>
      </w:r>
      <w:r>
        <w:rPr>
          <w:rFonts w:hint="eastAsia" w:ascii="仿宋" w:hAnsi="仿宋" w:eastAsia="仿宋" w:cs="仿宋"/>
          <w:b w:val="0"/>
          <w:bCs w:val="0"/>
          <w:color w:val="auto"/>
          <w:sz w:val="24"/>
          <w:szCs w:val="24"/>
          <w:highlight w:val="none"/>
          <w:lang w:val="en-US" w:eastAsia="zh-CN"/>
        </w:rPr>
        <w:t>XF39-2016《消防车 消防要求和试验方法》中附录D要求；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4.4.1.2可同时为</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b w:val="0"/>
          <w:bCs w:val="0"/>
          <w:color w:val="auto"/>
          <w:sz w:val="24"/>
          <w:szCs w:val="24"/>
          <w:highlight w:val="none"/>
          <w:lang w:eastAsia="zh-CN"/>
        </w:rPr>
        <w:t>8个空气呼吸器气瓶充气</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highlight w:val="none"/>
        </w:rPr>
        <w:t>单个6.8L气瓶由空压机直接充气≤200</w:t>
      </w:r>
      <w:r>
        <w:rPr>
          <w:rFonts w:hint="eastAsia" w:ascii="仿宋" w:hAnsi="仿宋" w:eastAsia="仿宋" w:cs="仿宋"/>
          <w:color w:val="auto"/>
          <w:sz w:val="24"/>
          <w:highlight w:val="none"/>
          <w:lang w:eastAsia="zh-CN"/>
        </w:rPr>
        <w:t>s</w:t>
      </w:r>
      <w:r>
        <w:rPr>
          <w:rFonts w:hint="eastAsia" w:ascii="仿宋" w:hAnsi="仿宋" w:eastAsia="仿宋" w:cs="仿宋"/>
          <w:color w:val="auto"/>
          <w:sz w:val="24"/>
          <w:highlight w:val="none"/>
        </w:rPr>
        <w:t>、单个6.8L气瓶由空气储存装置充气≥120</w:t>
      </w:r>
      <w:r>
        <w:rPr>
          <w:rFonts w:hint="eastAsia" w:ascii="仿宋" w:hAnsi="仿宋" w:eastAsia="仿宋" w:cs="仿宋"/>
          <w:color w:val="auto"/>
          <w:sz w:val="24"/>
          <w:highlight w:val="none"/>
          <w:lang w:eastAsia="zh-CN"/>
        </w:rPr>
        <w:t>s；</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4.4.2空气压缩机</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4.4.2.1排气量：≥1450L/min；</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4.4.2.</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最大工作压力：≥33MPa；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4.4.2.</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极数：≥4；</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4.4.3充气控制面板系统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4.4.3.1由压缩机控制、充气控制、防爆箱控制、照明控制等组成；</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4.4.4高压冷冻式干燥机</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4.4.4.1空冷机自带气液分离器、自动冷凝物排放器、计时器和消音器，可以作为独立系统；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4.4.4.2带气液分离器，自动冷凝物排放器和消音器，内置于压缩机系统相连；</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4.4.4.3可连接 230 V/50 Hz电力供应电缆;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4.4.4.4可排污方式：自动排污;</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4.4.5高压过滤系统;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4.4.5.1将压缩机出口的空气进行净化过滤，以达到呼吸空气标准，包含机械式过滤分离器以及由包括但不限于活性碳、分子筛、一氧化碳吸收分子构成多重呼吸空气净化过滤器;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4.4.5.2过滤桶数量：≥3只；</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4.4.5.</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所有设备部件都通过特殊的表面处理，具有长时间耐腐蚀性；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4.4.6高压空气储存系统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4.4.6.1钢瓶数量：≥16支；</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4.4.6.2储存总容积：≥700L；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4.4.7全自动阶梯式自动充气控制系统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4.4.7.1</w:t>
      </w:r>
      <w:r>
        <w:rPr>
          <w:rFonts w:hint="eastAsia" w:ascii="仿宋" w:hAnsi="仿宋" w:eastAsia="仿宋" w:cs="仿宋"/>
          <w:b w:val="0"/>
          <w:bCs w:val="0"/>
          <w:color w:val="auto"/>
          <w:sz w:val="24"/>
          <w:szCs w:val="24"/>
          <w:highlight w:val="none"/>
          <w:lang w:val="zh-CN" w:eastAsia="zh-CN"/>
        </w:rPr>
        <w:t>采用四阶梯式全自动充气控制系统；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eastAsia="zh-CN"/>
        </w:rPr>
        <w:t>4.4.7.2</w:t>
      </w:r>
      <w:r>
        <w:rPr>
          <w:rFonts w:hint="eastAsia" w:ascii="仿宋" w:hAnsi="仿宋" w:eastAsia="仿宋" w:cs="仿宋"/>
          <w:b w:val="0"/>
          <w:bCs w:val="0"/>
          <w:color w:val="auto"/>
          <w:sz w:val="24"/>
          <w:szCs w:val="24"/>
          <w:highlight w:val="none"/>
          <w:lang w:val="zh-CN" w:eastAsia="zh-CN"/>
        </w:rPr>
        <w:t>气瓶组根据阶梯数量设有对应的安全阀、压力表、截止阀、模块式支架、减压阀等阀件，确保系统安全；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4.4.7.3</w:t>
      </w:r>
      <w:r>
        <w:rPr>
          <w:rFonts w:hint="eastAsia" w:ascii="仿宋" w:hAnsi="仿宋" w:eastAsia="仿宋" w:cs="仿宋"/>
          <w:b w:val="0"/>
          <w:bCs w:val="0"/>
          <w:color w:val="auto"/>
          <w:sz w:val="24"/>
          <w:szCs w:val="24"/>
          <w:highlight w:val="none"/>
          <w:lang w:val="zh-CN" w:eastAsia="zh-CN"/>
        </w:rPr>
        <w:t>储气瓶组工作压力为：≥35MPa；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4.4.7.4</w:t>
      </w:r>
      <w:r>
        <w:rPr>
          <w:rFonts w:hint="eastAsia" w:ascii="仿宋" w:hAnsi="仿宋" w:eastAsia="仿宋" w:cs="仿宋"/>
          <w:b w:val="0"/>
          <w:bCs w:val="0"/>
          <w:color w:val="auto"/>
          <w:sz w:val="24"/>
          <w:szCs w:val="24"/>
          <w:highlight w:val="none"/>
          <w:lang w:val="zh-CN" w:eastAsia="zh-CN"/>
        </w:rPr>
        <w:t>层叠式气瓶组系统：能将16只气瓶分4组依次层叠连接起来，每组配独立的钢瓶隔离阀；</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4.4.7.</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自动控制供气系统，当储气瓶压力低于3</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b w:val="0"/>
          <w:bCs w:val="0"/>
          <w:color w:val="auto"/>
          <w:sz w:val="24"/>
          <w:szCs w:val="24"/>
          <w:highlight w:val="none"/>
          <w:lang w:eastAsia="zh-CN"/>
        </w:rPr>
        <w:t>Mpa 时，空气压缩机自动进行补气，达到额定压力后自动停止；</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eastAsia="zh-CN"/>
        </w:rPr>
        <w:t>4.4.8</w:t>
      </w:r>
      <w:r>
        <w:rPr>
          <w:rFonts w:hint="eastAsia" w:ascii="仿宋" w:hAnsi="仿宋" w:eastAsia="仿宋" w:cs="仿宋"/>
          <w:b w:val="0"/>
          <w:bCs w:val="0"/>
          <w:color w:val="auto"/>
          <w:sz w:val="24"/>
          <w:szCs w:val="24"/>
          <w:highlight w:val="none"/>
          <w:lang w:val="zh-CN" w:eastAsia="zh-CN"/>
        </w:rPr>
        <w:t>自动防爆充气箱；</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4.4.8.1在车身两侧设置防爆箱，充气瓶数量≥8；</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4.4.8.2充瓶规格：6.8L/9L(根据</w:t>
      </w:r>
      <w:r>
        <w:rPr>
          <w:rFonts w:hint="eastAsia" w:ascii="仿宋" w:hAnsi="仿宋" w:eastAsia="仿宋" w:cs="仿宋"/>
          <w:b w:val="0"/>
          <w:bCs w:val="0"/>
          <w:color w:val="auto"/>
          <w:sz w:val="24"/>
          <w:szCs w:val="24"/>
          <w:highlight w:val="none"/>
          <w:lang w:val="en-US" w:eastAsia="zh-CN"/>
        </w:rPr>
        <w:t>使用部门</w:t>
      </w:r>
      <w:r>
        <w:rPr>
          <w:rFonts w:hint="eastAsia" w:ascii="仿宋" w:hAnsi="仿宋" w:eastAsia="仿宋" w:cs="仿宋"/>
          <w:b w:val="0"/>
          <w:bCs w:val="0"/>
          <w:color w:val="auto"/>
          <w:sz w:val="24"/>
          <w:szCs w:val="24"/>
          <w:highlight w:val="none"/>
          <w:lang w:eastAsia="zh-CN"/>
        </w:rPr>
        <w:t>需求配备）；</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4.4.8.3工作压力：30MPa；</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4.4.8.4尺寸：长×宽×高（mm）：≤1300×550×1200；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4.4.8.5重量：≤400kg；</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eastAsia="zh-CN"/>
        </w:rPr>
        <w:t>4.4.8.6</w:t>
      </w:r>
      <w:r>
        <w:rPr>
          <w:rFonts w:hint="eastAsia" w:ascii="仿宋" w:hAnsi="仿宋" w:eastAsia="仿宋" w:cs="仿宋"/>
          <w:b w:val="0"/>
          <w:bCs w:val="0"/>
          <w:color w:val="auto"/>
          <w:sz w:val="24"/>
          <w:szCs w:val="24"/>
          <w:highlight w:val="none"/>
          <w:lang w:val="zh-CN" w:eastAsia="zh-CN"/>
        </w:rPr>
        <w:t>充气箱</w:t>
      </w:r>
      <w:r>
        <w:rPr>
          <w:rFonts w:hint="eastAsia" w:ascii="仿宋" w:hAnsi="仿宋" w:eastAsia="仿宋" w:cs="仿宋"/>
          <w:b w:val="0"/>
          <w:bCs w:val="0"/>
          <w:color w:val="auto"/>
          <w:sz w:val="24"/>
          <w:szCs w:val="24"/>
          <w:highlight w:val="none"/>
          <w:lang w:eastAsia="zh-CN"/>
        </w:rPr>
        <w:t>设开门自锁、关门自锁，箱体底部设泄压孔；</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4.4.9照明系统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4.4.9.1发电机</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4.4.9.1.1额定功率：≥95KW；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4.4.9.1.2额定线电压：AC400V；</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4.4.9.1.3额定相电压：AC230V；</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4.4.9.1.4频率：50Hz；</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4.4.9.1.5工作型式：取力器驱动；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4.4.9.1.6冷却方式：风冷；</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strike w:val="0"/>
          <w:dstrike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4.4.9.1.7启动方式：电启动；</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strike w:val="0"/>
          <w:dstrike w:val="0"/>
          <w:color w:val="auto"/>
          <w:sz w:val="24"/>
          <w:szCs w:val="24"/>
          <w:highlight w:val="none"/>
          <w:lang w:eastAsia="zh-CN"/>
        </w:rPr>
        <w:t>4.4.9.1.8调速方式：电子调速；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4.4.9.2照明灯</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4.4.9.2.1光源类型：卤素灯或</w:t>
      </w:r>
      <w:r>
        <w:rPr>
          <w:rFonts w:hint="eastAsia" w:ascii="仿宋" w:hAnsi="仿宋" w:eastAsia="仿宋" w:cs="仿宋"/>
          <w:b w:val="0"/>
          <w:bCs w:val="0"/>
          <w:color w:val="auto"/>
          <w:sz w:val="24"/>
          <w:szCs w:val="24"/>
          <w:highlight w:val="none"/>
          <w:lang w:val="en-US" w:eastAsia="zh-CN"/>
        </w:rPr>
        <w:t>LED灯；</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4.4.9.2.2</w:t>
      </w:r>
      <w:r>
        <w:rPr>
          <w:rFonts w:hint="eastAsia" w:ascii="仿宋" w:hAnsi="仿宋" w:eastAsia="仿宋" w:cs="仿宋"/>
          <w:b w:val="0"/>
          <w:bCs w:val="0"/>
          <w:color w:val="auto"/>
          <w:sz w:val="24"/>
          <w:szCs w:val="24"/>
          <w:highlight w:val="none"/>
          <w:lang w:val="en-US" w:eastAsia="zh-CN"/>
        </w:rPr>
        <w:t xml:space="preserve"> 50米照度≥5（lx）；</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4.4.9.2.3电压：220V；</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4.4.9.3气动灯杆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4.4.9.3.1灯杆材质：铝合金；</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960" w:firstLineChars="4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4.4.9.3.2举升离地高度：≥7m；</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4.4.9.4照明系统操控方式为电控，遥控距离≥50m（无障碍物遮挡）；</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4.5总体要求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4.5.1整车性能符合GB7956.1-2014《消防车 第1部分：通用技术条件》和GB7956.23-2019《消防车 第23部分：供气消防车》标准要求；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4.5.2车身颜色符合GB/T3181</w:t>
      </w:r>
      <w:r>
        <w:rPr>
          <w:rFonts w:hint="eastAsia"/>
          <w:color w:val="auto"/>
          <w:highlight w:val="none"/>
          <w:lang w:val="en-US" w:eastAsia="zh-CN"/>
        </w:rPr>
        <w:t>-</w:t>
      </w:r>
      <w:r>
        <w:rPr>
          <w:rFonts w:hint="eastAsia" w:ascii="宋体" w:hAnsi="宋体" w:eastAsia="宋体" w:cs="宋体"/>
          <w:color w:val="auto"/>
          <w:sz w:val="24"/>
          <w:szCs w:val="32"/>
          <w:highlight w:val="none"/>
          <w:lang w:val="en-US" w:eastAsia="zh-CN"/>
        </w:rPr>
        <w:t>2008</w:t>
      </w:r>
      <w:r>
        <w:rPr>
          <w:rFonts w:ascii="Times New Roman" w:hAnsi="Times New Roman" w:eastAsia="方正仿宋_GBK"/>
          <w:color w:val="auto"/>
          <w:sz w:val="24"/>
          <w:szCs w:val="24"/>
          <w:highlight w:val="none"/>
        </w:rPr>
        <w:t>《漆膜颜色标准》</w:t>
      </w:r>
      <w:r>
        <w:rPr>
          <w:rFonts w:hint="eastAsia" w:ascii="仿宋" w:hAnsi="仿宋" w:eastAsia="仿宋" w:cs="仿宋"/>
          <w:b w:val="0"/>
          <w:bCs w:val="0"/>
          <w:color w:val="auto"/>
          <w:sz w:val="24"/>
          <w:szCs w:val="24"/>
          <w:highlight w:val="none"/>
          <w:lang w:eastAsia="zh-CN"/>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4.5.3</w:t>
      </w:r>
      <w:r>
        <w:rPr>
          <w:rFonts w:hint="eastAsia" w:ascii="仿宋" w:hAnsi="仿宋" w:eastAsia="仿宋" w:cs="仿宋"/>
          <w:color w:val="auto"/>
          <w:sz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highlight w:val="none"/>
        </w:rPr>
        <w:t>单位需求，对外置车灯、灯具加装防护罩</w:t>
      </w:r>
      <w:r>
        <w:rPr>
          <w:rFonts w:hint="eastAsia" w:ascii="仿宋" w:hAnsi="仿宋" w:eastAsia="仿宋" w:cs="仿宋"/>
          <w:color w:val="auto"/>
          <w:sz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4.5.4防腐保护：驾乘室及上装均采用内涂层等进行防腐处理；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4.5.5器材箱</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4.5.5.1材质：铝合金型材及合金板材；</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4.5.5.2结构：车厢外骨架及外蒙皮均为优质铝合金型材，内骨架为铝合金型材，内装饰板及底板均为表面经阳极氧化处理的铝合金板；</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720" w:firstLineChars="3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4.5.5.3器材箱门：采用轻型优质铝合金，所有卷帘门均可通用一把钥匙开启。每个器材厢内有照明灯，由卷帘门开闭控制并在驾乘室内有集中控制开关；设置行进途中器材箱门开启、车门开启声光自动报警装置；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4.5.6警报灯具：驾乘室顶部安装消防专用灯具，驾乘室内设置警报器和扩音系统(功率≥100W)，在驾乘室可控制扩音器。在车厢两侧、尾部等并联安装红色爆闪灯，警灯、警报器各自采用独立控制开关，车辆顶端四周安装LED灯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4.5.7投标人在器材箱结构设计布置时需提前与采购人联系，根据采购人提供的装载器材种类及数量进行定位、定量设计器材箱结构，设计方案必须经采购人同意后方可进行生产；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4.6其他要求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4.6.1整车按国家标准配齐随车设备，设备布置合理，固定牢靠；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4.6.2供货前，须主动对接采购人，满足采购人需求；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4.6.3交付采购人时，提供操作使用说明书纸质版（含电子版），燃油、尿素等添加液处于满液状态；</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left"/>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4.6.4首次保养（含材料、人工、差旅等）免费。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left"/>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4.7随车附件</w:t>
      </w:r>
    </w:p>
    <w:tbl>
      <w:tblPr>
        <w:tblStyle w:val="43"/>
        <w:tblW w:w="0" w:type="auto"/>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2686"/>
        <w:gridCol w:w="914"/>
        <w:gridCol w:w="880"/>
        <w:gridCol w:w="35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序号</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名   称</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单位</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数量</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移动线盘</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380V，30米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移动线盘</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220V，30米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3</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三角垫木</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2</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木质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铁锹</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5</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消防腰斧</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6</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丁字镐</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7</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铁铤</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件</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8</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手提式ABC干粉灭火器</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具</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9</w:t>
            </w:r>
          </w:p>
        </w:tc>
        <w:tc>
          <w:tcPr>
            <w:tcW w:w="2686"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随车工具</w:t>
            </w:r>
          </w:p>
        </w:tc>
        <w:tc>
          <w:tcPr>
            <w:tcW w:w="914"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套</w:t>
            </w:r>
          </w:p>
        </w:tc>
        <w:tc>
          <w:tcPr>
            <w:tcW w:w="880"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1</w:t>
            </w:r>
          </w:p>
        </w:tc>
        <w:tc>
          <w:tcPr>
            <w:tcW w:w="3587" w:type="dxa"/>
            <w:noWrap w:val="0"/>
            <w:vAlign w:val="center"/>
          </w:tcPr>
          <w:p>
            <w:pPr>
              <w:keepNext w:val="0"/>
              <w:keepLines w:val="0"/>
              <w:pageBreakBefore w:val="0"/>
              <w:widowControl/>
              <w:tabs>
                <w:tab w:val="left" w:pos="0"/>
              </w:tabs>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pageBreakBefore w:val="0"/>
              <w:kinsoku/>
              <w:wordWrap/>
              <w:topLinePunct w:val="0"/>
              <w:bidi w:val="0"/>
              <w:spacing w:line="460" w:lineRule="exact"/>
              <w:ind w:firstLine="0" w:firstLineChars="0"/>
              <w:jc w:val="center"/>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10</w:t>
            </w:r>
          </w:p>
        </w:tc>
        <w:tc>
          <w:tcPr>
            <w:tcW w:w="2686"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eastAsia="zh-CN"/>
              </w:rPr>
              <w:t>防滑链</w:t>
            </w:r>
          </w:p>
        </w:tc>
        <w:tc>
          <w:tcPr>
            <w:tcW w:w="914"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套</w:t>
            </w:r>
          </w:p>
        </w:tc>
        <w:tc>
          <w:tcPr>
            <w:tcW w:w="880"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35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防滑链数量与轮胎数量相匹配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098" w:type="dxa"/>
            <w:noWrap w:val="0"/>
            <w:vAlign w:val="center"/>
          </w:tcPr>
          <w:p>
            <w:pPr>
              <w:pageBreakBefore w:val="0"/>
              <w:kinsoku/>
              <w:wordWrap/>
              <w:topLinePunct w:val="0"/>
              <w:bidi w:val="0"/>
              <w:spacing w:line="460" w:lineRule="exact"/>
              <w:ind w:firstLine="0" w:firstLineChars="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686"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随车气瓶</w:t>
            </w:r>
          </w:p>
        </w:tc>
        <w:tc>
          <w:tcPr>
            <w:tcW w:w="914"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880"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358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6.8L碳纤维气瓶</w:t>
            </w:r>
          </w:p>
        </w:tc>
      </w:tr>
    </w:tbl>
    <w:p>
      <w:pPr>
        <w:pageBreakBefore w:val="0"/>
        <w:kinsoku/>
        <w:wordWrap/>
        <w:topLinePunct w:val="0"/>
        <w:bidi w:val="0"/>
        <w:ind w:firstLine="0" w:firstLineChars="0"/>
        <w:jc w:val="left"/>
        <w:rPr>
          <w:rFonts w:hint="eastAsia"/>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7" w:name="_Toc18014"/>
      <w:r>
        <w:rPr>
          <w:rFonts w:hint="eastAsia" w:ascii="仿宋" w:hAnsi="仿宋" w:eastAsia="仿宋" w:cs="仿宋"/>
          <w:color w:val="auto"/>
          <w:sz w:val="28"/>
          <w:szCs w:val="28"/>
          <w:highlight w:val="none"/>
          <w:lang w:val="en-US" w:eastAsia="zh-CN"/>
        </w:rPr>
        <w:t>品目18：远程供水系统A</w:t>
      </w:r>
      <w:bookmarkEnd w:id="377"/>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一、货物名称：</w:t>
      </w:r>
      <w:r>
        <w:rPr>
          <w:rFonts w:hint="eastAsia" w:ascii="仿宋" w:hAnsi="仿宋" w:eastAsia="仿宋" w:cs="仿宋"/>
          <w:color w:val="auto"/>
          <w:sz w:val="24"/>
          <w:szCs w:val="24"/>
          <w:highlight w:val="none"/>
          <w:lang w:val="en-US" w:eastAsia="zh-CN"/>
        </w:rPr>
        <w:t>远程供水系统A</w:t>
      </w:r>
    </w:p>
    <w:p>
      <w:pPr>
        <w:pageBreakBefore w:val="0"/>
        <w:kinsoku/>
        <w:wordWrap/>
        <w:overflowPunct/>
        <w:topLinePunct w:val="0"/>
        <w:bidi w:val="0"/>
        <w:spacing w:line="460" w:lineRule="exact"/>
        <w:ind w:left="0" w:leftChars="0" w:right="0" w:rightChars="0" w:firstLine="0" w:firstLineChars="0"/>
        <w:jc w:val="left"/>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二、主要规格：国际</w:t>
      </w:r>
      <w:r>
        <w:rPr>
          <w:rFonts w:hint="eastAsia" w:ascii="仿宋" w:hAnsi="仿宋" w:eastAsia="仿宋" w:cs="仿宋"/>
          <w:strike w:val="0"/>
          <w:color w:val="auto"/>
          <w:sz w:val="24"/>
          <w:szCs w:val="24"/>
          <w:highlight w:val="none"/>
        </w:rPr>
        <w:t>知名品牌</w:t>
      </w:r>
      <w:r>
        <w:rPr>
          <w:rFonts w:hint="eastAsia" w:ascii="仿宋" w:hAnsi="仿宋" w:eastAsia="仿宋" w:cs="仿宋"/>
          <w:color w:val="auto"/>
          <w:sz w:val="24"/>
          <w:szCs w:val="24"/>
          <w:highlight w:val="none"/>
        </w:rPr>
        <w:t>底盘，供水距离≥3km</w:t>
      </w:r>
      <w:r>
        <w:rPr>
          <w:rFonts w:hint="eastAsia" w:ascii="仿宋" w:hAnsi="仿宋" w:eastAsia="仿宋" w:cs="仿宋"/>
          <w:color w:val="auto"/>
          <w:sz w:val="24"/>
          <w:szCs w:val="24"/>
          <w:highlight w:val="none"/>
          <w:lang w:eastAsia="zh-CN"/>
        </w:rPr>
        <w:t>；</w:t>
      </w:r>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（套)</w:t>
      </w:r>
    </w:p>
    <w:p>
      <w:pPr>
        <w:pageBreakBefore w:val="0"/>
        <w:kinsoku/>
        <w:wordWrap/>
        <w:overflowPunct/>
        <w:topLinePunct w:val="0"/>
        <w:bidi w:val="0"/>
        <w:spacing w:line="460" w:lineRule="exact"/>
        <w:ind w:left="0" w:leftChars="0" w:right="0" w:rightChars="0"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四、主要技术参数及要求:</w:t>
      </w:r>
    </w:p>
    <w:p>
      <w:pPr>
        <w:keepNext w:val="0"/>
        <w:keepLines w:val="0"/>
        <w:pageBreakBefore w:val="0"/>
        <w:widowControl w:val="0"/>
        <w:kinsoku/>
        <w:wordWrap/>
        <w:overflowPunct/>
        <w:topLinePunct w:val="0"/>
        <w:autoSpaceDE/>
        <w:autoSpaceDN/>
        <w:bidi w:val="0"/>
        <w:adjustRightInd/>
        <w:snapToGrid/>
        <w:spacing w:line="480" w:lineRule="exact"/>
        <w:ind w:left="0" w:firstLine="241" w:firstLineChars="1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4.1 泵浦消防车 1 辆</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4.1.1 整车尺寸：长×宽×高≤12000×2550</w:t>
      </w:r>
      <w:r>
        <w:rPr>
          <w:rFonts w:hint="eastAsia" w:ascii="仿宋" w:hAnsi="仿宋" w:eastAsia="仿宋" w:cs="仿宋"/>
          <w:color w:val="auto"/>
          <w:spacing w:val="-1"/>
          <w:sz w:val="24"/>
          <w:szCs w:val="24"/>
          <w:highlight w:val="none"/>
        </w:rPr>
        <w:t>×4000mm；</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比功率≥13kw/T；</w:t>
      </w:r>
    </w:p>
    <w:p>
      <w:pPr>
        <w:keepNext w:val="0"/>
        <w:keepLines w:val="0"/>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1.4</w:t>
      </w:r>
      <w:r>
        <w:rPr>
          <w:rFonts w:ascii="仿宋" w:hAnsi="仿宋" w:eastAsia="仿宋" w:cs="仿宋"/>
          <w:b/>
          <w:bCs/>
          <w:color w:val="auto"/>
          <w:spacing w:val="0"/>
          <w:sz w:val="24"/>
          <w:szCs w:val="24"/>
          <w:highlight w:val="none"/>
        </w:rPr>
        <w:t xml:space="preserve"> 底盘</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1.4.1</w:t>
      </w:r>
      <w:r>
        <w:rPr>
          <w:rFonts w:hint="eastAsia" w:ascii="仿宋" w:hAnsi="仿宋" w:eastAsia="仿宋" w:cs="仿宋"/>
          <w:color w:val="auto"/>
          <w:spacing w:val="-1"/>
          <w:sz w:val="24"/>
          <w:szCs w:val="24"/>
          <w:highlight w:val="none"/>
        </w:rPr>
        <w:t>发动机额定功率≥400kw；</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4.1.4.2</w:t>
      </w:r>
      <w:r>
        <w:rPr>
          <w:rFonts w:hint="eastAsia" w:ascii="仿宋" w:hAnsi="仿宋" w:eastAsia="仿宋" w:cs="仿宋"/>
          <w:color w:val="auto"/>
          <w:sz w:val="24"/>
          <w:szCs w:val="24"/>
          <w:highlight w:val="none"/>
        </w:rPr>
        <w:t xml:space="preserve"> 燃料：柴油；油箱容积：≥300L；</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4.1.4.3 </w:t>
      </w:r>
      <w:r>
        <w:rPr>
          <w:rFonts w:hint="eastAsia" w:ascii="仿宋" w:hAnsi="仿宋" w:eastAsia="仿宋" w:cs="仿宋"/>
          <w:color w:val="auto"/>
          <w:sz w:val="24"/>
          <w:szCs w:val="24"/>
          <w:highlight w:val="none"/>
        </w:rPr>
        <w:t>排放标准：符合国Ⅵ标准；</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4.1.4.4</w:t>
      </w:r>
      <w:r>
        <w:rPr>
          <w:rFonts w:hint="eastAsia" w:ascii="仿宋" w:hAnsi="仿宋" w:eastAsia="仿宋" w:cs="仿宋"/>
          <w:color w:val="auto"/>
          <w:spacing w:val="-10"/>
          <w:sz w:val="24"/>
          <w:szCs w:val="24"/>
          <w:highlight w:val="none"/>
        </w:rPr>
        <w:t xml:space="preserve"> 驱动形式：</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10"/>
          <w:sz w:val="24"/>
          <w:szCs w:val="24"/>
          <w:highlight w:val="none"/>
        </w:rPr>
        <w:t>6×4；</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"4.2.1.5"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1"/>
          <w:sz w:val="24"/>
          <w:szCs w:val="24"/>
          <w:highlight w:val="none"/>
          <w:lang w:val="en-US" w:eastAsia="zh-CN"/>
        </w:rPr>
        <w:t>4.1.4</w:t>
      </w:r>
      <w:r>
        <w:rPr>
          <w:rFonts w:hint="eastAsia" w:ascii="仿宋" w:hAnsi="仿宋" w:eastAsia="仿宋" w:cs="仿宋"/>
          <w:color w:val="auto"/>
          <w:spacing w:val="-1"/>
          <w:sz w:val="24"/>
          <w:szCs w:val="24"/>
          <w:highlight w:val="none"/>
        </w:rPr>
        <w:t>.5</w:t>
      </w:r>
      <w:r>
        <w:rPr>
          <w:rFonts w:hint="eastAsia" w:ascii="仿宋" w:hAnsi="仿宋" w:eastAsia="仿宋" w:cs="仿宋"/>
          <w:color w:val="auto"/>
          <w:spacing w:val="-1"/>
          <w:sz w:val="24"/>
          <w:szCs w:val="24"/>
          <w:highlight w:val="none"/>
        </w:rPr>
        <w:fldChar w:fldCharType="end"/>
      </w:r>
      <w:r>
        <w:rPr>
          <w:rFonts w:hint="eastAsia" w:ascii="仿宋" w:hAnsi="仿宋" w:eastAsia="仿宋" w:cs="仿宋"/>
          <w:color w:val="auto"/>
          <w:spacing w:val="-1"/>
          <w:sz w:val="24"/>
          <w:szCs w:val="24"/>
          <w:highlight w:val="none"/>
        </w:rPr>
        <w:t xml:space="preserve"> 最高车速≥90km/h；</w:t>
      </w:r>
    </w:p>
    <w:p>
      <w:pPr>
        <w:keepNext w:val="0"/>
        <w:keepLines w:val="0"/>
        <w:pageBreakBefore w:val="0"/>
        <w:widowControl/>
        <w:kinsoku/>
        <w:wordWrap/>
        <w:overflowPunct/>
        <w:topLinePunct w:val="0"/>
        <w:autoSpaceDE/>
        <w:autoSpaceDN/>
        <w:bidi w:val="0"/>
        <w:adjustRightInd/>
        <w:snapToGrid/>
        <w:spacing w:line="480" w:lineRule="exact"/>
        <w:ind w:left="0" w:right="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"4.2.1.6"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lang w:val="en-US" w:eastAsia="zh-CN"/>
        </w:rPr>
        <w:t>4.1.4</w:t>
      </w:r>
      <w:r>
        <w:rPr>
          <w:rFonts w:hint="eastAsia" w:ascii="仿宋" w:hAnsi="仿宋" w:eastAsia="仿宋" w:cs="仿宋"/>
          <w:color w:val="auto"/>
          <w:spacing w:val="3"/>
          <w:sz w:val="24"/>
          <w:szCs w:val="24"/>
          <w:highlight w:val="none"/>
        </w:rPr>
        <w:t>.6</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kern w:val="0"/>
          <w:sz w:val="24"/>
          <w:szCs w:val="24"/>
          <w:highlight w:val="none"/>
        </w:rPr>
        <w:t>配置子午线钢丝轮胎、胎压监测系统、360°倒车影像、行车记录仪 (内存不小于32G),配备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"4.2.1.9"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5"/>
          <w:sz w:val="24"/>
          <w:szCs w:val="24"/>
          <w:highlight w:val="none"/>
          <w:lang w:val="en-US" w:eastAsia="zh-CN"/>
        </w:rPr>
        <w:t>4.1.4</w:t>
      </w:r>
      <w:r>
        <w:rPr>
          <w:rFonts w:hint="eastAsia" w:ascii="仿宋" w:hAnsi="仿宋" w:eastAsia="仿宋" w:cs="仿宋"/>
          <w:color w:val="auto"/>
          <w:spacing w:val="-5"/>
          <w:sz w:val="24"/>
          <w:szCs w:val="24"/>
          <w:highlight w:val="none"/>
        </w:rPr>
        <w:t>.</w:t>
      </w:r>
      <w:r>
        <w:rPr>
          <w:rFonts w:hint="eastAsia" w:ascii="仿宋" w:hAnsi="仿宋" w:eastAsia="仿宋" w:cs="仿宋"/>
          <w:color w:val="auto"/>
          <w:spacing w:val="-5"/>
          <w:sz w:val="24"/>
          <w:szCs w:val="24"/>
          <w:highlight w:val="none"/>
        </w:rPr>
        <w:fldChar w:fldCharType="end"/>
      </w:r>
      <w:r>
        <w:rPr>
          <w:rFonts w:hint="eastAsia" w:ascii="仿宋" w:hAnsi="仿宋" w:eastAsia="仿宋" w:cs="仿宋"/>
          <w:color w:val="auto"/>
          <w:spacing w:val="-5"/>
          <w:sz w:val="24"/>
          <w:szCs w:val="24"/>
          <w:highlight w:val="none"/>
          <w:lang w:val="en-US" w:eastAsia="zh-CN"/>
        </w:rPr>
        <w:t>7</w:t>
      </w:r>
      <w:r>
        <w:rPr>
          <w:rFonts w:hint="eastAsia" w:ascii="仿宋" w:hAnsi="仿宋" w:eastAsia="仿宋" w:cs="仿宋"/>
          <w:color w:val="auto"/>
          <w:spacing w:val="-20"/>
          <w:sz w:val="24"/>
          <w:szCs w:val="24"/>
          <w:highlight w:val="none"/>
        </w:rPr>
        <w:t xml:space="preserve"> </w:t>
      </w:r>
      <w:r>
        <w:rPr>
          <w:rFonts w:hint="eastAsia" w:ascii="仿宋" w:hAnsi="仿宋" w:eastAsia="仿宋" w:cs="仿宋"/>
          <w:color w:val="auto"/>
          <w:spacing w:val="-5"/>
          <w:sz w:val="24"/>
          <w:szCs w:val="24"/>
          <w:highlight w:val="none"/>
        </w:rPr>
        <w:t>变速箱操控方式：自动挡；</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"4.2.1.10"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
          <w:sz w:val="24"/>
          <w:szCs w:val="24"/>
          <w:highlight w:val="none"/>
          <w:lang w:val="en-US" w:eastAsia="zh-CN"/>
        </w:rPr>
        <w:t>.</w:t>
      </w:r>
      <w:r>
        <w:rPr>
          <w:rFonts w:hint="eastAsia" w:ascii="仿宋" w:hAnsi="仿宋" w:eastAsia="仿宋" w:cs="仿宋"/>
          <w:color w:val="auto"/>
          <w:spacing w:val="-4"/>
          <w:sz w:val="24"/>
          <w:szCs w:val="24"/>
          <w:highlight w:val="none"/>
        </w:rPr>
        <w:fldChar w:fldCharType="end"/>
      </w:r>
      <w:r>
        <w:rPr>
          <w:rFonts w:hint="eastAsia" w:ascii="仿宋" w:hAnsi="仿宋" w:eastAsia="仿宋" w:cs="仿宋"/>
          <w:color w:val="auto"/>
          <w:spacing w:val="-4"/>
          <w:sz w:val="24"/>
          <w:szCs w:val="24"/>
          <w:highlight w:val="none"/>
          <w:lang w:val="en-US" w:eastAsia="zh-CN"/>
        </w:rPr>
        <w:t>1.4.8</w:t>
      </w:r>
      <w:r>
        <w:rPr>
          <w:rFonts w:hint="eastAsia" w:ascii="仿宋" w:hAnsi="仿宋" w:eastAsia="仿宋" w:cs="仿宋"/>
          <w:color w:val="auto"/>
          <w:spacing w:val="-4"/>
          <w:sz w:val="24"/>
          <w:szCs w:val="24"/>
          <w:highlight w:val="none"/>
        </w:rPr>
        <w:t xml:space="preserve"> 配置</w:t>
      </w:r>
      <w:r>
        <w:rPr>
          <w:rFonts w:hint="eastAsia" w:ascii="仿宋" w:hAnsi="仿宋" w:eastAsia="仿宋" w:cs="仿宋"/>
          <w:color w:val="auto"/>
          <w:spacing w:val="-4"/>
          <w:sz w:val="24"/>
          <w:szCs w:val="24"/>
          <w:highlight w:val="none"/>
          <w:lang w:eastAsia="zh-CN"/>
        </w:rPr>
        <w:t>前轮盘式制动器</w:t>
      </w:r>
      <w:r>
        <w:rPr>
          <w:rFonts w:hint="eastAsia" w:ascii="仿宋" w:hAnsi="仿宋" w:eastAsia="仿宋" w:cs="仿宋"/>
          <w:color w:val="auto"/>
          <w:spacing w:val="-4"/>
          <w:sz w:val="24"/>
          <w:szCs w:val="24"/>
          <w:highlight w:val="none"/>
        </w:rPr>
        <w:t>、ABS(防抱死刹车系统)或</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4"/>
          <w:sz w:val="24"/>
          <w:szCs w:val="24"/>
          <w:highlight w:val="none"/>
        </w:rPr>
        <w:t>EBS(电控制动系统)；</w:t>
      </w:r>
    </w:p>
    <w:p>
      <w:pPr>
        <w:keepNext w:val="0"/>
        <w:keepLines w:val="0"/>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1.5</w:t>
      </w:r>
      <w:r>
        <w:rPr>
          <w:rFonts w:ascii="仿宋" w:hAnsi="仿宋" w:eastAsia="仿宋" w:cs="仿宋"/>
          <w:b/>
          <w:bCs/>
          <w:color w:val="auto"/>
          <w:spacing w:val="0"/>
          <w:sz w:val="24"/>
          <w:szCs w:val="24"/>
          <w:highlight w:val="none"/>
        </w:rPr>
        <w:t xml:space="preserve"> 驾乘室</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"4.2.2.1"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3"/>
          <w:sz w:val="24"/>
          <w:szCs w:val="24"/>
          <w:highlight w:val="none"/>
          <w:lang w:val="en-US" w:eastAsia="zh-CN"/>
        </w:rPr>
        <w:t>1</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lang w:val="en-US" w:eastAsia="zh-CN"/>
        </w:rPr>
        <w:t>.5.1</w:t>
      </w:r>
      <w:r>
        <w:rPr>
          <w:rFonts w:hint="eastAsia" w:ascii="仿宋" w:hAnsi="仿宋" w:eastAsia="仿宋" w:cs="仿宋"/>
          <w:color w:val="auto"/>
          <w:spacing w:val="-3"/>
          <w:sz w:val="24"/>
          <w:szCs w:val="24"/>
          <w:highlight w:val="none"/>
        </w:rPr>
        <w:t xml:space="preserve"> 结构：单排，带专用液压翻转机构；</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4.1.5.2</w:t>
      </w:r>
      <w:r>
        <w:rPr>
          <w:rFonts w:hint="eastAsia" w:ascii="仿宋" w:hAnsi="仿宋" w:eastAsia="仿宋" w:cs="仿宋"/>
          <w:color w:val="auto"/>
          <w:spacing w:val="-8"/>
          <w:sz w:val="24"/>
          <w:szCs w:val="24"/>
          <w:highlight w:val="none"/>
        </w:rPr>
        <w:t xml:space="preserve"> 座位设置：乘员≥2人， 驾驶员座椅高度、角度、前后位置可调， 安全带， 头枕；</w:t>
      </w:r>
      <w:r>
        <w:rPr>
          <w:rFonts w:hint="eastAsia" w:ascii="仿宋" w:hAnsi="仿宋" w:eastAsia="仿宋" w:cs="仿宋"/>
          <w:color w:val="auto"/>
          <w:sz w:val="24"/>
          <w:szCs w:val="24"/>
          <w:highlight w:val="none"/>
        </w:rPr>
        <w:t xml:space="preserve"> </w:t>
      </w:r>
      <w:r>
        <w:rPr>
          <w:rFonts w:hint="eastAsia" w:ascii="仿宋" w:hAnsi="仿宋" w:eastAsia="仿宋" w:cs="仿宋"/>
          <w:color w:val="auto"/>
          <w:spacing w:val="-3"/>
          <w:sz w:val="24"/>
          <w:szCs w:val="24"/>
          <w:highlight w:val="none"/>
        </w:rPr>
        <w:t>副驾驶座角度和前后位置可调，配有头枕、</w:t>
      </w:r>
      <w:r>
        <w:rPr>
          <w:rFonts w:hint="eastAsia" w:ascii="仿宋" w:hAnsi="仿宋" w:eastAsia="仿宋" w:cs="仿宋"/>
          <w:color w:val="auto"/>
          <w:spacing w:val="-4"/>
          <w:sz w:val="24"/>
          <w:szCs w:val="24"/>
          <w:highlight w:val="none"/>
        </w:rPr>
        <w:t>安全带；</w:t>
      </w:r>
    </w:p>
    <w:p>
      <w:pPr>
        <w:keepNext w:val="0"/>
        <w:keepLines w:val="0"/>
        <w:pageBreakBefore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4.1.5.3</w:t>
      </w:r>
      <w:r>
        <w:rPr>
          <w:rFonts w:hint="eastAsia" w:ascii="仿宋" w:hAnsi="仿宋" w:eastAsia="仿宋" w:cs="仿宋"/>
          <w:color w:val="auto"/>
          <w:spacing w:val="26"/>
          <w:sz w:val="24"/>
          <w:szCs w:val="24"/>
          <w:highlight w:val="none"/>
        </w:rPr>
        <w:t xml:space="preserve"> </w:t>
      </w:r>
      <w:r>
        <w:rPr>
          <w:rFonts w:hint="eastAsia" w:ascii="仿宋" w:hAnsi="仿宋" w:eastAsia="仿宋" w:cs="仿宋"/>
          <w:color w:val="auto"/>
          <w:spacing w:val="-10"/>
          <w:sz w:val="24"/>
          <w:szCs w:val="24"/>
          <w:highlight w:val="none"/>
        </w:rPr>
        <w:t xml:space="preserve">驾驶室设备： </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firstLine="470"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3"/>
          <w:sz w:val="24"/>
          <w:szCs w:val="24"/>
          <w:highlight w:val="none"/>
        </w:rPr>
        <w:t>4.</w:t>
      </w:r>
      <w:r>
        <w:rPr>
          <w:rFonts w:hint="eastAsia" w:ascii="仿宋" w:hAnsi="仿宋" w:eastAsia="仿宋" w:cs="仿宋"/>
          <w:b/>
          <w:bCs/>
          <w:color w:val="auto"/>
          <w:spacing w:val="-3"/>
          <w:sz w:val="24"/>
          <w:szCs w:val="24"/>
          <w:highlight w:val="none"/>
          <w:lang w:val="en-US" w:eastAsia="zh-CN"/>
        </w:rPr>
        <w:t>1.6</w:t>
      </w:r>
      <w:r>
        <w:rPr>
          <w:rFonts w:ascii="仿宋" w:hAnsi="仿宋" w:eastAsia="仿宋" w:cs="仿宋"/>
          <w:b/>
          <w:bCs/>
          <w:color w:val="auto"/>
          <w:spacing w:val="31"/>
          <w:sz w:val="24"/>
          <w:szCs w:val="24"/>
          <w:highlight w:val="none"/>
        </w:rPr>
        <w:t xml:space="preserve"> </w:t>
      </w:r>
      <w:r>
        <w:rPr>
          <w:rFonts w:ascii="仿宋" w:hAnsi="仿宋" w:eastAsia="仿宋" w:cs="仿宋"/>
          <w:b/>
          <w:bCs/>
          <w:color w:val="auto"/>
          <w:spacing w:val="-3"/>
          <w:sz w:val="24"/>
          <w:szCs w:val="24"/>
          <w:highlight w:val="none"/>
        </w:rPr>
        <w:t>主要性能及配置</w:t>
      </w:r>
    </w:p>
    <w:p>
      <w:pPr>
        <w:keepNext w:val="0"/>
        <w:keepLines w:val="0"/>
        <w:pageBreakBefore w:val="0"/>
        <w:widowControl w:val="0"/>
        <w:kinsoku/>
        <w:wordWrap/>
        <w:overflowPunct/>
        <w:topLinePunct w:val="0"/>
        <w:autoSpaceDE/>
        <w:autoSpaceDN/>
        <w:bidi w:val="0"/>
        <w:adjustRightInd/>
        <w:snapToGrid/>
        <w:spacing w:line="480" w:lineRule="exact"/>
        <w:ind w:left="0" w:right="0" w:firstLine="708"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1.6.1</w:t>
      </w:r>
      <w:r>
        <w:rPr>
          <w:rFonts w:hint="eastAsia" w:ascii="仿宋" w:hAnsi="仿宋" w:eastAsia="仿宋" w:cs="仿宋"/>
          <w:color w:val="auto"/>
          <w:spacing w:val="-2"/>
          <w:sz w:val="24"/>
          <w:szCs w:val="24"/>
          <w:highlight w:val="none"/>
        </w:rPr>
        <w:t xml:space="preserve"> 泵浦消防车由吸水泵系统、增压泵系统、取水系统组成；</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 xml:space="preserve">1.6.2 </w:t>
      </w:r>
      <w:r>
        <w:rPr>
          <w:rFonts w:hint="eastAsia" w:ascii="仿宋" w:hAnsi="仿宋" w:eastAsia="仿宋" w:cs="仿宋"/>
          <w:color w:val="auto"/>
          <w:spacing w:val="-2"/>
          <w:sz w:val="24"/>
          <w:szCs w:val="24"/>
          <w:highlight w:val="none"/>
        </w:rPr>
        <w:t>吸水系统：系统能提供大流量远距离水源输送，供水距离≥3km；</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1.6</w:t>
      </w:r>
      <w:r>
        <w:rPr>
          <w:rFonts w:hint="eastAsia" w:ascii="仿宋" w:hAnsi="仿宋" w:eastAsia="仿宋" w:cs="仿宋"/>
          <w:color w:val="auto"/>
          <w:spacing w:val="-2"/>
          <w:sz w:val="24"/>
          <w:szCs w:val="24"/>
          <w:highlight w:val="none"/>
        </w:rPr>
        <w:t>.3浮艇泵：配备2个浮艇泵，压力≥0.4MPa，每个浮艇泵流量≥200L/s，出水口径：250mm，滤网：水泵进水口设有滤网，有效防止吸入杂物；</w:t>
      </w:r>
    </w:p>
    <w:p>
      <w:pPr>
        <w:keepNext w:val="0"/>
        <w:keepLines w:val="0"/>
        <w:pageBreakBefore w:val="0"/>
        <w:widowControl w:val="0"/>
        <w:kinsoku/>
        <w:wordWrap/>
        <w:overflowPunct/>
        <w:topLinePunct w:val="0"/>
        <w:autoSpaceDE/>
        <w:autoSpaceDN/>
        <w:bidi w:val="0"/>
        <w:adjustRightInd/>
        <w:snapToGrid/>
        <w:spacing w:line="480" w:lineRule="exact"/>
        <w:ind w:left="0" w:right="0" w:firstLine="726" w:firstLineChars="300"/>
        <w:jc w:val="left"/>
        <w:textAlignment w:val="auto"/>
        <w:outlineLvl w:val="9"/>
        <w:rPr>
          <w:rFonts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1.6</w:t>
      </w:r>
      <w:r>
        <w:rPr>
          <w:rFonts w:hint="eastAsia" w:ascii="仿宋" w:hAnsi="仿宋" w:eastAsia="仿宋" w:cs="仿宋"/>
          <w:color w:val="auto"/>
          <w:spacing w:val="1"/>
          <w:sz w:val="24"/>
          <w:szCs w:val="24"/>
          <w:highlight w:val="none"/>
        </w:rPr>
        <w:t>.4 液压自动卷盘：用于将浮艇水泵由车厢内移至水源，</w:t>
      </w:r>
      <w:r>
        <w:rPr>
          <w:rFonts w:hint="eastAsia" w:ascii="仿宋" w:hAnsi="仿宋" w:eastAsia="仿宋" w:cs="仿宋"/>
          <w:color w:val="auto"/>
          <w:sz w:val="24"/>
          <w:szCs w:val="24"/>
          <w:highlight w:val="none"/>
        </w:rPr>
        <w:t xml:space="preserve">传递液压动力，胶管通过液压 </w:t>
      </w:r>
      <w:r>
        <w:rPr>
          <w:rFonts w:hint="eastAsia" w:ascii="仿宋" w:hAnsi="仿宋" w:eastAsia="仿宋" w:cs="仿宋"/>
          <w:color w:val="auto"/>
          <w:spacing w:val="-3"/>
          <w:sz w:val="24"/>
          <w:szCs w:val="24"/>
          <w:highlight w:val="none"/>
        </w:rPr>
        <w:t>驱动实现自动展开和回收。可实现液压自动收放卷，借助重力自由</w:t>
      </w:r>
      <w:r>
        <w:rPr>
          <w:rFonts w:ascii="仿宋" w:hAnsi="仿宋" w:eastAsia="仿宋" w:cs="仿宋"/>
          <w:color w:val="auto"/>
          <w:spacing w:val="-3"/>
          <w:sz w:val="24"/>
          <w:szCs w:val="24"/>
          <w:highlight w:val="none"/>
        </w:rPr>
        <w:t>施放，通过液压系统自动</w:t>
      </w:r>
      <w:r>
        <w:rPr>
          <w:rFonts w:ascii="仿宋" w:hAnsi="仿宋" w:eastAsia="仿宋" w:cs="仿宋"/>
          <w:color w:val="auto"/>
          <w:spacing w:val="-1"/>
          <w:sz w:val="24"/>
          <w:szCs w:val="24"/>
          <w:highlight w:val="none"/>
        </w:rPr>
        <w:t>收卷，胶管长度≥50m，额定压力≥3</w:t>
      </w:r>
      <w:r>
        <w:rPr>
          <w:rFonts w:hint="eastAsia" w:ascii="仿宋" w:hAnsi="仿宋" w:eastAsia="仿宋" w:cs="仿宋"/>
          <w:color w:val="auto"/>
          <w:spacing w:val="-1"/>
          <w:sz w:val="24"/>
          <w:szCs w:val="24"/>
          <w:highlight w:val="none"/>
          <w:lang w:val="en-US" w:eastAsia="zh-CN"/>
        </w:rPr>
        <w:t>0</w:t>
      </w:r>
      <w:r>
        <w:rPr>
          <w:rFonts w:ascii="仿宋" w:hAnsi="仿宋" w:eastAsia="仿宋" w:cs="仿宋"/>
          <w:color w:val="auto"/>
          <w:spacing w:val="-1"/>
          <w:sz w:val="24"/>
          <w:szCs w:val="24"/>
          <w:highlight w:val="none"/>
        </w:rPr>
        <w:t>MPa；</w:t>
      </w:r>
    </w:p>
    <w:p>
      <w:pPr>
        <w:keepNext w:val="0"/>
        <w:keepLines w:val="0"/>
        <w:pageBreakBefore w:val="0"/>
        <w:widowControl w:val="0"/>
        <w:kinsoku/>
        <w:wordWrap/>
        <w:overflowPunct/>
        <w:topLinePunct w:val="0"/>
        <w:autoSpaceDE/>
        <w:autoSpaceDN/>
        <w:bidi w:val="0"/>
        <w:adjustRightInd/>
        <w:snapToGrid/>
        <w:spacing w:line="480" w:lineRule="exact"/>
        <w:ind w:left="58" w:right="89" w:firstLine="69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4.</w:t>
      </w:r>
      <w:r>
        <w:rPr>
          <w:rFonts w:hint="eastAsia" w:ascii="仿宋" w:hAnsi="仿宋" w:eastAsia="仿宋" w:cs="仿宋"/>
          <w:color w:val="auto"/>
          <w:spacing w:val="-5"/>
          <w:sz w:val="24"/>
          <w:szCs w:val="24"/>
          <w:highlight w:val="none"/>
          <w:lang w:val="en-US" w:eastAsia="zh-CN"/>
        </w:rPr>
        <w:t>1.6</w:t>
      </w:r>
      <w:r>
        <w:rPr>
          <w:rFonts w:hint="eastAsia" w:ascii="仿宋" w:hAnsi="仿宋" w:eastAsia="仿宋" w:cs="仿宋"/>
          <w:color w:val="auto"/>
          <w:spacing w:val="-5"/>
          <w:sz w:val="24"/>
          <w:szCs w:val="24"/>
          <w:highlight w:val="none"/>
        </w:rPr>
        <w:t>.5</w:t>
      </w:r>
      <w:r>
        <w:rPr>
          <w:rFonts w:hint="eastAsia" w:ascii="仿宋" w:hAnsi="仿宋" w:eastAsia="仿宋" w:cs="仿宋"/>
          <w:color w:val="auto"/>
          <w:spacing w:val="28"/>
          <w:sz w:val="24"/>
          <w:szCs w:val="24"/>
          <w:highlight w:val="none"/>
        </w:rPr>
        <w:t xml:space="preserve"> </w:t>
      </w:r>
      <w:r>
        <w:rPr>
          <w:rFonts w:hint="eastAsia" w:ascii="仿宋" w:hAnsi="仿宋" w:eastAsia="仿宋" w:cs="仿宋"/>
          <w:color w:val="auto"/>
          <w:spacing w:val="-5"/>
          <w:sz w:val="24"/>
          <w:szCs w:val="24"/>
          <w:highlight w:val="none"/>
        </w:rPr>
        <w:t>随车起重升降系统：用于收放吸水</w:t>
      </w:r>
      <w:r>
        <w:rPr>
          <w:rFonts w:hint="eastAsia" w:ascii="仿宋" w:hAnsi="仿宋" w:eastAsia="仿宋" w:cs="仿宋"/>
          <w:color w:val="auto"/>
          <w:spacing w:val="-6"/>
          <w:sz w:val="24"/>
          <w:szCs w:val="24"/>
          <w:highlight w:val="none"/>
        </w:rPr>
        <w:t>泵，折叠或伸缩式，两侧控制，可方便操作起重机</w:t>
      </w:r>
      <w:r>
        <w:rPr>
          <w:rFonts w:hint="eastAsia" w:ascii="仿宋" w:hAnsi="仿宋" w:eastAsia="仿宋" w:cs="仿宋"/>
          <w:color w:val="auto"/>
          <w:sz w:val="24"/>
          <w:szCs w:val="24"/>
          <w:highlight w:val="none"/>
        </w:rPr>
        <w:t xml:space="preserve"> 的各项动作。控制阀具有伸缩臂伸缩控制、臂的上下仰俯和回转等控制功能，最大起重能力</w:t>
      </w:r>
      <w:r>
        <w:rPr>
          <w:rFonts w:hint="eastAsia" w:ascii="仿宋" w:hAnsi="仿宋" w:eastAsia="仿宋" w:cs="仿宋"/>
          <w:color w:val="auto"/>
          <w:spacing w:val="1"/>
          <w:sz w:val="24"/>
          <w:szCs w:val="24"/>
          <w:highlight w:val="none"/>
        </w:rPr>
        <w:t xml:space="preserve"> </w:t>
      </w:r>
      <w:r>
        <w:rPr>
          <w:rFonts w:hint="eastAsia" w:ascii="仿宋" w:hAnsi="仿宋" w:eastAsia="仿宋" w:cs="仿宋"/>
          <w:color w:val="auto"/>
          <w:spacing w:val="-1"/>
          <w:sz w:val="24"/>
          <w:szCs w:val="24"/>
          <w:highlight w:val="none"/>
        </w:rPr>
        <w:t>≥4200kg，最大工作半径≥15m，最大起重距离时起吊质量≥500kg，钢丝绳长度≥50m；</w:t>
      </w:r>
    </w:p>
    <w:p>
      <w:pPr>
        <w:keepNext w:val="0"/>
        <w:keepLines w:val="0"/>
        <w:pageBreakBefore w:val="0"/>
        <w:widowControl w:val="0"/>
        <w:kinsoku/>
        <w:wordWrap/>
        <w:overflowPunct/>
        <w:topLinePunct w:val="0"/>
        <w:autoSpaceDE/>
        <w:autoSpaceDN/>
        <w:bidi w:val="0"/>
        <w:adjustRightInd/>
        <w:snapToGrid/>
        <w:spacing w:line="480" w:lineRule="exact"/>
        <w:ind w:left="41" w:right="894" w:firstLine="714"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1.6</w:t>
      </w:r>
      <w:r>
        <w:rPr>
          <w:rFonts w:hint="eastAsia" w:ascii="仿宋" w:hAnsi="仿宋" w:eastAsia="仿宋" w:cs="仿宋"/>
          <w:color w:val="auto"/>
          <w:spacing w:val="-1"/>
          <w:sz w:val="24"/>
          <w:szCs w:val="24"/>
          <w:highlight w:val="none"/>
        </w:rPr>
        <w:t>.6 增压泵系统：增压系统组由进</w:t>
      </w:r>
      <w:r>
        <w:rPr>
          <w:rFonts w:hint="eastAsia" w:ascii="仿宋" w:hAnsi="仿宋" w:eastAsia="仿宋" w:cs="仿宋"/>
          <w:color w:val="auto"/>
          <w:spacing w:val="-2"/>
          <w:sz w:val="24"/>
          <w:szCs w:val="24"/>
          <w:highlight w:val="none"/>
        </w:rPr>
        <w:t>出水管路、发动机、增压泵、控制系统等组成；</w:t>
      </w:r>
      <w:r>
        <w:rPr>
          <w:rFonts w:hint="eastAsia" w:ascii="仿宋" w:hAnsi="仿宋" w:eastAsia="仿宋" w:cs="仿宋"/>
          <w:color w:val="auto"/>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exact"/>
        <w:ind w:left="0" w:right="0" w:firstLine="960" w:firstLineChars="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"4.3.6.1"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1.6</w:t>
      </w:r>
      <w:r>
        <w:rPr>
          <w:rFonts w:hint="eastAsia" w:ascii="仿宋" w:hAnsi="仿宋" w:eastAsia="仿宋" w:cs="仿宋"/>
          <w:color w:val="auto"/>
          <w:spacing w:val="-1"/>
          <w:sz w:val="24"/>
          <w:szCs w:val="24"/>
          <w:highlight w:val="none"/>
        </w:rPr>
        <w:t>.6.1</w:t>
      </w:r>
      <w:r>
        <w:rPr>
          <w:rFonts w:hint="eastAsia" w:ascii="仿宋" w:hAnsi="仿宋" w:eastAsia="仿宋" w:cs="仿宋"/>
          <w:color w:val="auto"/>
          <w:spacing w:val="-1"/>
          <w:sz w:val="24"/>
          <w:szCs w:val="24"/>
          <w:highlight w:val="none"/>
        </w:rPr>
        <w:fldChar w:fldCharType="end"/>
      </w:r>
      <w:r>
        <w:rPr>
          <w:rFonts w:hint="eastAsia" w:ascii="仿宋" w:hAnsi="仿宋" w:eastAsia="仿宋" w:cs="仿宋"/>
          <w:color w:val="auto"/>
          <w:spacing w:val="-1"/>
          <w:sz w:val="24"/>
          <w:szCs w:val="24"/>
          <w:highlight w:val="none"/>
        </w:rPr>
        <w:t>发动机额定功率≥350kw；</w:t>
      </w:r>
    </w:p>
    <w:p>
      <w:pPr>
        <w:keepNext w:val="0"/>
        <w:keepLines w:val="0"/>
        <w:pageBreakBefore w:val="0"/>
        <w:widowControl w:val="0"/>
        <w:kinsoku/>
        <w:wordWrap/>
        <w:overflowPunct/>
        <w:topLinePunct w:val="0"/>
        <w:autoSpaceDE/>
        <w:autoSpaceDN/>
        <w:bidi w:val="0"/>
        <w:adjustRightInd/>
        <w:snapToGrid/>
        <w:spacing w:line="480" w:lineRule="exact"/>
        <w:ind w:left="0" w:right="0" w:firstLine="960" w:firstLineChars="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"4.3.6.2"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1.6</w:t>
      </w:r>
      <w:r>
        <w:rPr>
          <w:rFonts w:hint="eastAsia" w:ascii="仿宋" w:hAnsi="仿宋" w:eastAsia="仿宋" w:cs="仿宋"/>
          <w:color w:val="auto"/>
          <w:spacing w:val="-1"/>
          <w:sz w:val="24"/>
          <w:szCs w:val="24"/>
          <w:highlight w:val="none"/>
        </w:rPr>
        <w:t>.6.2</w:t>
      </w:r>
      <w:r>
        <w:rPr>
          <w:rFonts w:hint="eastAsia" w:ascii="仿宋" w:hAnsi="仿宋" w:eastAsia="仿宋" w:cs="仿宋"/>
          <w:color w:val="auto"/>
          <w:spacing w:val="-1"/>
          <w:sz w:val="24"/>
          <w:szCs w:val="24"/>
          <w:highlight w:val="none"/>
        </w:rPr>
        <w:fldChar w:fldCharType="end"/>
      </w:r>
      <w:r>
        <w:rPr>
          <w:rFonts w:hint="eastAsia" w:ascii="仿宋" w:hAnsi="仿宋" w:eastAsia="仿宋" w:cs="仿宋"/>
          <w:color w:val="auto"/>
          <w:spacing w:val="-1"/>
          <w:sz w:val="24"/>
          <w:szCs w:val="24"/>
          <w:highlight w:val="none"/>
        </w:rPr>
        <w:t>增压泵压力≥</w:t>
      </w:r>
      <w:r>
        <w:rPr>
          <w:rFonts w:hint="eastAsia" w:ascii="仿宋" w:hAnsi="仿宋" w:eastAsia="仿宋" w:cs="仿宋"/>
          <w:color w:val="auto"/>
          <w:spacing w:val="-1"/>
          <w:sz w:val="24"/>
          <w:szCs w:val="24"/>
          <w:highlight w:val="none"/>
          <w:lang w:val="en-US" w:eastAsia="zh-CN"/>
        </w:rPr>
        <w:t>0.8</w:t>
      </w:r>
      <w:r>
        <w:rPr>
          <w:rFonts w:hint="eastAsia" w:ascii="仿宋" w:hAnsi="仿宋" w:eastAsia="仿宋" w:cs="仿宋"/>
          <w:color w:val="auto"/>
          <w:spacing w:val="-1"/>
          <w:sz w:val="24"/>
          <w:szCs w:val="24"/>
          <w:highlight w:val="none"/>
        </w:rPr>
        <w:t>MPa,流量≥400L/s；</w:t>
      </w:r>
    </w:p>
    <w:p>
      <w:pPr>
        <w:keepNext w:val="0"/>
        <w:keepLines w:val="0"/>
        <w:pageBreakBefore w:val="0"/>
        <w:widowControl w:val="0"/>
        <w:kinsoku/>
        <w:wordWrap/>
        <w:overflowPunct/>
        <w:topLinePunct w:val="0"/>
        <w:autoSpaceDE/>
        <w:autoSpaceDN/>
        <w:bidi w:val="0"/>
        <w:adjustRightInd/>
        <w:snapToGrid/>
        <w:spacing w:line="480" w:lineRule="exact"/>
        <w:ind w:left="0" w:right="0" w:firstLine="960" w:firstLineChars="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"4.3.6.3"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3"/>
          <w:sz w:val="24"/>
          <w:szCs w:val="24"/>
          <w:highlight w:val="none"/>
          <w:lang w:val="en-US" w:eastAsia="zh-CN"/>
        </w:rPr>
        <w:t>1.6</w:t>
      </w:r>
      <w:r>
        <w:rPr>
          <w:rFonts w:hint="eastAsia" w:ascii="仿宋" w:hAnsi="仿宋" w:eastAsia="仿宋" w:cs="仿宋"/>
          <w:color w:val="auto"/>
          <w:spacing w:val="-3"/>
          <w:sz w:val="24"/>
          <w:szCs w:val="24"/>
          <w:highlight w:val="none"/>
        </w:rPr>
        <w:t>.6.3</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 xml:space="preserve"> 进出水管路：进水口不少于</w:t>
      </w:r>
      <w:r>
        <w:rPr>
          <w:rFonts w:hint="eastAsia" w:ascii="仿宋" w:hAnsi="仿宋" w:eastAsia="仿宋" w:cs="仿宋"/>
          <w:color w:val="auto"/>
          <w:spacing w:val="-40"/>
          <w:sz w:val="24"/>
          <w:szCs w:val="24"/>
          <w:highlight w:val="none"/>
        </w:rPr>
        <w:t xml:space="preserve"> </w:t>
      </w:r>
      <w:r>
        <w:rPr>
          <w:rFonts w:hint="eastAsia" w:ascii="仿宋" w:hAnsi="仿宋" w:eastAsia="仿宋" w:cs="仿宋"/>
          <w:color w:val="auto"/>
          <w:spacing w:val="-3"/>
          <w:sz w:val="24"/>
          <w:szCs w:val="24"/>
          <w:highlight w:val="none"/>
        </w:rPr>
        <w:t>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个</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3"/>
          <w:sz w:val="24"/>
          <w:szCs w:val="24"/>
          <w:highlight w:val="none"/>
        </w:rPr>
        <w:t>DN250，出水口不少于 1</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3"/>
          <w:sz w:val="24"/>
          <w:szCs w:val="24"/>
          <w:highlight w:val="none"/>
        </w:rPr>
        <w:t>个</w:t>
      </w:r>
      <w:r>
        <w:rPr>
          <w:rFonts w:hint="eastAsia" w:ascii="仿宋" w:hAnsi="仿宋" w:eastAsia="仿宋" w:cs="仿宋"/>
          <w:color w:val="auto"/>
          <w:spacing w:val="-57"/>
          <w:sz w:val="24"/>
          <w:szCs w:val="24"/>
          <w:highlight w:val="none"/>
        </w:rPr>
        <w:t xml:space="preserve"> </w:t>
      </w:r>
      <w:r>
        <w:rPr>
          <w:rFonts w:hint="eastAsia" w:ascii="仿宋" w:hAnsi="仿宋" w:eastAsia="仿宋" w:cs="仿宋"/>
          <w:color w:val="auto"/>
          <w:spacing w:val="-3"/>
          <w:sz w:val="24"/>
          <w:szCs w:val="24"/>
          <w:highlight w:val="none"/>
        </w:rPr>
        <w:t>DN300；</w:t>
      </w:r>
    </w:p>
    <w:p>
      <w:pPr>
        <w:keepNext w:val="0"/>
        <w:keepLines w:val="0"/>
        <w:pageBreakBefore w:val="0"/>
        <w:widowControl w:val="0"/>
        <w:kinsoku/>
        <w:wordWrap/>
        <w:overflowPunct/>
        <w:topLinePunct w:val="0"/>
        <w:autoSpaceDE/>
        <w:autoSpaceDN/>
        <w:bidi w:val="0"/>
        <w:adjustRightInd/>
        <w:snapToGrid/>
        <w:spacing w:line="480" w:lineRule="exact"/>
        <w:ind w:left="0" w:right="0" w:firstLine="960" w:firstLineChars="4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"4.3.6.4"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3"/>
          <w:sz w:val="24"/>
          <w:szCs w:val="24"/>
          <w:highlight w:val="none"/>
          <w:lang w:val="en-US" w:eastAsia="zh-CN"/>
        </w:rPr>
        <w:t>1.6</w:t>
      </w:r>
      <w:r>
        <w:rPr>
          <w:rFonts w:hint="eastAsia" w:ascii="仿宋" w:hAnsi="仿宋" w:eastAsia="仿宋" w:cs="仿宋"/>
          <w:color w:val="auto"/>
          <w:spacing w:val="-3"/>
          <w:sz w:val="24"/>
          <w:szCs w:val="24"/>
          <w:highlight w:val="none"/>
        </w:rPr>
        <w:t>.6.4</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 xml:space="preserve"> 控制系统：集中式控制面板；</w:t>
      </w:r>
    </w:p>
    <w:p>
      <w:pPr>
        <w:keepNext w:val="0"/>
        <w:keepLines w:val="0"/>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1.7</w:t>
      </w:r>
      <w:r>
        <w:rPr>
          <w:rFonts w:ascii="仿宋" w:hAnsi="仿宋" w:eastAsia="仿宋" w:cs="仿宋"/>
          <w:b/>
          <w:bCs/>
          <w:color w:val="auto"/>
          <w:spacing w:val="0"/>
          <w:sz w:val="24"/>
          <w:szCs w:val="24"/>
          <w:highlight w:val="none"/>
        </w:rPr>
        <w:t xml:space="preserve"> 总体要求</w:t>
      </w:r>
    </w:p>
    <w:p>
      <w:pPr>
        <w:keepNext w:val="0"/>
        <w:keepLines w:val="0"/>
        <w:pageBreakBefore w:val="0"/>
        <w:widowControl w:val="0"/>
        <w:kinsoku/>
        <w:wordWrap/>
        <w:overflowPunct/>
        <w:topLinePunct w:val="0"/>
        <w:autoSpaceDE/>
        <w:autoSpaceDN/>
        <w:bidi w:val="0"/>
        <w:adjustRightInd/>
        <w:snapToGrid/>
        <w:spacing w:line="480" w:lineRule="exact"/>
        <w:ind w:left="36" w:firstLine="714"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1.7</w:t>
      </w:r>
      <w:r>
        <w:rPr>
          <w:rFonts w:hint="eastAsia" w:ascii="仿宋" w:hAnsi="仿宋" w:eastAsia="仿宋" w:cs="仿宋"/>
          <w:color w:val="auto"/>
          <w:spacing w:val="-1"/>
          <w:sz w:val="24"/>
          <w:szCs w:val="24"/>
          <w:highlight w:val="none"/>
        </w:rPr>
        <w:t xml:space="preserve">.1 </w:t>
      </w:r>
      <w:r>
        <w:rPr>
          <w:rFonts w:hint="eastAsia" w:ascii="仿宋" w:hAnsi="仿宋" w:eastAsia="仿宋" w:cs="仿宋"/>
          <w:color w:val="auto"/>
          <w:spacing w:val="-1"/>
          <w:sz w:val="24"/>
          <w:szCs w:val="24"/>
          <w:highlight w:val="none"/>
          <w:lang w:eastAsia="zh-CN"/>
        </w:rPr>
        <w:t>整车性能符合</w:t>
      </w:r>
      <w:r>
        <w:rPr>
          <w:rFonts w:hint="eastAsia" w:ascii="仿宋" w:hAnsi="仿宋" w:eastAsia="仿宋" w:cs="仿宋"/>
          <w:color w:val="auto"/>
          <w:spacing w:val="-1"/>
          <w:sz w:val="24"/>
          <w:szCs w:val="24"/>
          <w:highlight w:val="none"/>
          <w:lang w:val="en-US" w:eastAsia="zh-CN"/>
        </w:rPr>
        <w:t>GB 7956.7-2019《消防车 第7部分 泵浦消防车》</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54"/>
          <w:sz w:val="24"/>
          <w:szCs w:val="24"/>
          <w:highlight w:val="none"/>
          <w:lang w:eastAsia="zh-CN"/>
        </w:rPr>
        <w:t>和</w:t>
      </w:r>
      <w:r>
        <w:rPr>
          <w:rFonts w:hint="eastAsia" w:ascii="仿宋" w:hAnsi="仿宋" w:eastAsia="仿宋" w:cs="仿宋"/>
          <w:color w:val="auto"/>
          <w:spacing w:val="-1"/>
          <w:sz w:val="24"/>
          <w:szCs w:val="24"/>
          <w:highlight w:val="none"/>
        </w:rPr>
        <w:t>GB1589-2016《汽车、挂车及</w:t>
      </w:r>
      <w:r>
        <w:rPr>
          <w:rFonts w:hint="eastAsia" w:ascii="仿宋" w:hAnsi="仿宋" w:eastAsia="仿宋" w:cs="仿宋"/>
          <w:color w:val="auto"/>
          <w:spacing w:val="-2"/>
          <w:sz w:val="24"/>
          <w:szCs w:val="24"/>
          <w:highlight w:val="none"/>
        </w:rPr>
        <w:t>汽车列车外廓尺寸、轴荷及质量限值》；</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ascii="仿宋" w:hAnsi="仿宋" w:eastAsia="仿宋" w:cs="仿宋"/>
          <w:color w:val="auto"/>
          <w:sz w:val="24"/>
          <w:szCs w:val="24"/>
          <w:highlight w:val="none"/>
          <w:lang w:val="en-US" w:eastAsia="zh-CN"/>
        </w:rPr>
        <w:t>-2008</w:t>
      </w:r>
      <w:r>
        <w:rPr>
          <w:rFonts w:hint="eastAsia" w:ascii="仿宋" w:hAnsi="仿宋" w:eastAsia="仿宋" w:cs="仿宋"/>
          <w:color w:val="auto"/>
          <w:sz w:val="24"/>
          <w:szCs w:val="24"/>
          <w:highlight w:val="none"/>
        </w:rPr>
        <w:t>《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在确保不影响车辆安全行驶的前提下，根据</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 xml:space="preserve">单位需求，对外置车灯、灯具加装防护罩； </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right="34"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 xml:space="preserve">，在驾乘室可控制扩音器。在车厢两侧、尾部等并联安装红色爆闪灯，警灯、警报器各自采用独立控制开关，车辆顶端四周安装 LED 灯带； </w:t>
      </w:r>
    </w:p>
    <w:p>
      <w:pPr>
        <w:keepNext w:val="0"/>
        <w:keepLines w:val="0"/>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1.8</w:t>
      </w:r>
      <w:r>
        <w:rPr>
          <w:rFonts w:ascii="仿宋" w:hAnsi="仿宋" w:eastAsia="仿宋" w:cs="仿宋"/>
          <w:b/>
          <w:bCs/>
          <w:color w:val="auto"/>
          <w:spacing w:val="0"/>
          <w:sz w:val="24"/>
          <w:szCs w:val="24"/>
          <w:highlight w:val="none"/>
        </w:rPr>
        <w:t>其他要求</w:t>
      </w:r>
    </w:p>
    <w:p>
      <w:pPr>
        <w:keepNext w:val="0"/>
        <w:keepLines w:val="0"/>
        <w:pageBreakBefore w:val="0"/>
        <w:widowControl w:val="0"/>
        <w:kinsoku/>
        <w:wordWrap/>
        <w:overflowPunct/>
        <w:topLinePunct w:val="0"/>
        <w:autoSpaceDE/>
        <w:autoSpaceDN/>
        <w:bidi w:val="0"/>
        <w:adjustRightInd/>
        <w:snapToGrid/>
        <w:spacing w:line="480" w:lineRule="exact"/>
        <w:ind w:firstLine="708"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1.8</w:t>
      </w:r>
      <w:r>
        <w:rPr>
          <w:rFonts w:hint="eastAsia" w:ascii="仿宋" w:hAnsi="仿宋" w:eastAsia="仿宋" w:cs="仿宋"/>
          <w:color w:val="auto"/>
          <w:spacing w:val="-2"/>
          <w:sz w:val="24"/>
          <w:szCs w:val="24"/>
          <w:highlight w:val="none"/>
        </w:rPr>
        <w:t>.1 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firstLine="708"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1.8</w:t>
      </w:r>
      <w:r>
        <w:rPr>
          <w:rFonts w:hint="eastAsia" w:ascii="仿宋" w:hAnsi="仿宋" w:eastAsia="仿宋" w:cs="仿宋"/>
          <w:color w:val="auto"/>
          <w:spacing w:val="-2"/>
          <w:sz w:val="24"/>
          <w:szCs w:val="24"/>
          <w:highlight w:val="none"/>
        </w:rPr>
        <w:t>.2 供货前，须主动对接使用单位，满足用</w:t>
      </w:r>
      <w:r>
        <w:rPr>
          <w:rFonts w:hint="eastAsia" w:ascii="仿宋" w:hAnsi="仿宋" w:eastAsia="仿宋" w:cs="仿宋"/>
          <w:color w:val="auto"/>
          <w:spacing w:val="-3"/>
          <w:sz w:val="24"/>
          <w:szCs w:val="24"/>
          <w:highlight w:val="none"/>
        </w:rPr>
        <w:t>户需求；</w:t>
      </w:r>
    </w:p>
    <w:p>
      <w:pPr>
        <w:keepNext w:val="0"/>
        <w:keepLines w:val="0"/>
        <w:pageBreakBefore w:val="0"/>
        <w:widowControl w:val="0"/>
        <w:kinsoku/>
        <w:wordWrap/>
        <w:overflowPunct/>
        <w:topLinePunct w:val="0"/>
        <w:autoSpaceDE/>
        <w:autoSpaceDN/>
        <w:bidi w:val="0"/>
        <w:adjustRightInd/>
        <w:snapToGrid/>
        <w:spacing w:line="480" w:lineRule="exact"/>
        <w:ind w:firstLine="708"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2"/>
          <w:sz w:val="24"/>
          <w:szCs w:val="24"/>
          <w:highlight w:val="none"/>
          <w:lang w:val="en-US" w:eastAsia="zh-CN"/>
        </w:rPr>
        <w:t>1.8</w:t>
      </w:r>
      <w:r>
        <w:rPr>
          <w:rFonts w:hint="eastAsia" w:ascii="仿宋" w:hAnsi="仿宋" w:eastAsia="仿宋" w:cs="仿宋"/>
          <w:color w:val="auto"/>
          <w:spacing w:val="-2"/>
          <w:sz w:val="24"/>
          <w:szCs w:val="24"/>
          <w:highlight w:val="none"/>
        </w:rPr>
        <w:t>.3 交付使用单位时，燃油、尿素等添加液处于满液状态；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firstLine="702"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3"/>
          <w:sz w:val="24"/>
          <w:szCs w:val="24"/>
          <w:highlight w:val="none"/>
          <w:lang w:val="en-US" w:eastAsia="zh-CN"/>
        </w:rPr>
        <w:t>1.8</w:t>
      </w:r>
      <w:r>
        <w:rPr>
          <w:rFonts w:hint="eastAsia" w:ascii="仿宋" w:hAnsi="仿宋" w:eastAsia="仿宋" w:cs="仿宋"/>
          <w:color w:val="auto"/>
          <w:spacing w:val="-3"/>
          <w:sz w:val="24"/>
          <w:szCs w:val="24"/>
          <w:highlight w:val="none"/>
        </w:rPr>
        <w:t>.4 首次保养（含材料、人工、差旅等）免费</w:t>
      </w:r>
      <w:r>
        <w:rPr>
          <w:rFonts w:hint="eastAsia" w:ascii="仿宋" w:hAnsi="仿宋" w:eastAsia="仿宋" w:cs="仿宋"/>
          <w:color w:val="auto"/>
          <w:spacing w:val="-3"/>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1.9</w:t>
      </w:r>
      <w:r>
        <w:rPr>
          <w:rFonts w:ascii="仿宋" w:hAnsi="仿宋" w:eastAsia="仿宋" w:cs="仿宋"/>
          <w:b/>
          <w:bCs/>
          <w:color w:val="auto"/>
          <w:sz w:val="24"/>
          <w:szCs w:val="24"/>
          <w:highlight w:val="none"/>
        </w:rPr>
        <w:t xml:space="preserve"> 泵浦消防车随车器材配备表</w:t>
      </w:r>
    </w:p>
    <w:p>
      <w:pPr>
        <w:pageBreakBefore w:val="0"/>
        <w:kinsoku/>
        <w:wordWrap/>
        <w:topLinePunct w:val="0"/>
        <w:bidi w:val="0"/>
        <w:spacing w:line="20" w:lineRule="exact"/>
        <w:ind w:firstLine="0" w:firstLineChars="0"/>
        <w:jc w:val="left"/>
        <w:rPr>
          <w:color w:val="auto"/>
          <w:highlight w:val="none"/>
        </w:rPr>
      </w:pPr>
    </w:p>
    <w:tbl>
      <w:tblPr>
        <w:tblStyle w:val="84"/>
        <w:tblW w:w="9654"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0"/>
        <w:gridCol w:w="2437"/>
        <w:gridCol w:w="2120"/>
        <w:gridCol w:w="1013"/>
        <w:gridCol w:w="32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blHeader/>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序号</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名称</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规格</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数量</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浮艇泵固定绳</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Φ8</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7"/>
                <w:sz w:val="24"/>
                <w:szCs w:val="24"/>
                <w:highlight w:val="none"/>
              </w:rPr>
              <w:t>尼龙绳</w:t>
            </w:r>
            <w:r>
              <w:rPr>
                <w:rFonts w:hint="eastAsia" w:ascii="仿宋" w:hAnsi="仿宋" w:eastAsia="仿宋" w:cs="仿宋"/>
                <w:color w:val="auto"/>
                <w:spacing w:val="-50"/>
                <w:sz w:val="24"/>
                <w:szCs w:val="24"/>
                <w:highlight w:val="none"/>
              </w:rPr>
              <w:t xml:space="preserve"> </w:t>
            </w:r>
            <w:r>
              <w:rPr>
                <w:rFonts w:hint="eastAsia" w:ascii="仿宋" w:hAnsi="仿宋" w:eastAsia="仿宋" w:cs="仿宋"/>
                <w:color w:val="auto"/>
                <w:spacing w:val="-7"/>
                <w:sz w:val="24"/>
                <w:szCs w:val="24"/>
                <w:highlight w:val="none"/>
              </w:rPr>
              <w:t>60 m</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6"/>
                <w:sz w:val="24"/>
                <w:szCs w:val="24"/>
                <w:highlight w:val="none"/>
              </w:rPr>
              <w:t>根</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浮艇泵推拉杆</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13"/>
                <w:sz w:val="24"/>
                <w:szCs w:val="24"/>
                <w:highlight w:val="none"/>
              </w:rPr>
              <w:t>Φ32</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液压胶管护管器</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通用型</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上水弯管</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DN250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4"/>
                <w:sz w:val="24"/>
                <w:szCs w:val="24"/>
                <w:highlight w:val="none"/>
              </w:rPr>
              <w:t>只</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有衬里水带总成</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13-250-10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6"/>
                <w:sz w:val="24"/>
                <w:szCs w:val="24"/>
                <w:highlight w:val="none"/>
              </w:rPr>
              <w:t>条</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有衬里水带总成</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13-250-20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6"/>
                <w:sz w:val="24"/>
                <w:szCs w:val="24"/>
                <w:highlight w:val="none"/>
              </w:rPr>
              <w:t>条</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2"/>
                <w:sz w:val="24"/>
                <w:szCs w:val="24"/>
                <w:highlight w:val="none"/>
              </w:rPr>
            </w:pPr>
            <w:r>
              <w:rPr>
                <w:rFonts w:hint="eastAsia" w:ascii="仿宋" w:hAnsi="仿宋" w:eastAsia="仿宋" w:cs="仿宋"/>
                <w:color w:val="auto"/>
                <w:spacing w:val="-5"/>
                <w:sz w:val="24"/>
                <w:szCs w:val="24"/>
                <w:highlight w:val="none"/>
              </w:rPr>
              <w:t>内扣水带接口扳手</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3"/>
                <w:sz w:val="24"/>
                <w:szCs w:val="24"/>
                <w:highlight w:val="none"/>
              </w:rPr>
            </w:pPr>
            <w:r>
              <w:rPr>
                <w:rFonts w:hint="eastAsia" w:ascii="仿宋" w:hAnsi="仿宋" w:eastAsia="仿宋" w:cs="仿宋"/>
                <w:color w:val="auto"/>
                <w:spacing w:val="-1"/>
                <w:sz w:val="24"/>
                <w:szCs w:val="24"/>
                <w:highlight w:val="none"/>
              </w:rPr>
              <w:t>DN250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6"/>
                <w:sz w:val="24"/>
                <w:szCs w:val="24"/>
                <w:highlight w:val="none"/>
              </w:rPr>
              <w:t>把</w:t>
            </w:r>
          </w:p>
        </w:tc>
        <w:tc>
          <w:tcPr>
            <w:tcW w:w="3294" w:type="dxa"/>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外扣水带接口扳手</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通用型</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把</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出水弯管</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DN300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10</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有衬里水带总成</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z w:val="24"/>
                <w:szCs w:val="24"/>
                <w:highlight w:val="none"/>
              </w:rPr>
              <w:t>10-300-1</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条</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11</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转换接口</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DN250/DN300</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12</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静音耳罩</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可调式</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13</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激流救生衣</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浮力≥150N</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6 件</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14</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网格地垫</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2m</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张</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15</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强光手电筒</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充电式、防水</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16</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吊机垫块</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吊机通用型</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17</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车轮止动块</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通用型</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18</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加油漏斗</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pacing w:val="0"/>
                <w:sz w:val="24"/>
                <w:szCs w:val="24"/>
                <w:highlight w:val="none"/>
              </w:rPr>
            </w:pP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19</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底盘随车工具</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按底盘标配</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20</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浮艇泵滤网清理工具</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pacing w:val="0"/>
                <w:sz w:val="24"/>
                <w:szCs w:val="24"/>
                <w:highlight w:val="none"/>
              </w:rPr>
            </w:pP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21</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备胎</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pacing w:val="0"/>
                <w:sz w:val="24"/>
                <w:szCs w:val="24"/>
                <w:highlight w:val="none"/>
              </w:rPr>
            </w:pP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22</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防滑链</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pacing w:val="0"/>
                <w:sz w:val="24"/>
                <w:szCs w:val="24"/>
                <w:highlight w:val="none"/>
              </w:rPr>
            </w:pP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防滑链数量与轮胎数量相匹配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23</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踏板气弹簧</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每个型号 1 根</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 套</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9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pacing w:val="0"/>
                <w:sz w:val="24"/>
                <w:szCs w:val="24"/>
                <w:highlight w:val="none"/>
              </w:rPr>
              <w:t>24</w:t>
            </w:r>
          </w:p>
        </w:tc>
        <w:tc>
          <w:tcPr>
            <w:tcW w:w="2437"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千斤顶</w:t>
            </w:r>
          </w:p>
        </w:tc>
        <w:tc>
          <w:tcPr>
            <w:tcW w:w="2120"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lang w:eastAsia="zh-CN"/>
              </w:rPr>
              <w:t>≥</w:t>
            </w:r>
            <w:r>
              <w:rPr>
                <w:rFonts w:hint="eastAsia" w:ascii="仿宋" w:hAnsi="仿宋" w:eastAsia="仿宋" w:cs="仿宋"/>
                <w:color w:val="auto"/>
                <w:spacing w:val="0"/>
                <w:sz w:val="24"/>
                <w:szCs w:val="24"/>
                <w:highlight w:val="none"/>
              </w:rPr>
              <w:t>20t</w:t>
            </w:r>
          </w:p>
        </w:tc>
        <w:tc>
          <w:tcPr>
            <w:tcW w:w="1013"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left="0" w:leftChars="0" w:firstLine="0" w:firstLineChars="0"/>
              <w:jc w:val="center"/>
              <w:textAlignment w:val="baseline"/>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 个</w:t>
            </w:r>
          </w:p>
        </w:tc>
        <w:tc>
          <w:tcPr>
            <w:tcW w:w="3294" w:type="dxa"/>
            <w:noWrap w:val="0"/>
            <w:vAlign w:val="center"/>
          </w:tcPr>
          <w:p>
            <w:pPr>
              <w:pStyle w:val="83"/>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baseline"/>
              <w:rPr>
                <w:rFonts w:hint="eastAsia" w:ascii="仿宋" w:hAnsi="仿宋" w:eastAsia="仿宋" w:cs="仿宋"/>
                <w:color w:val="auto"/>
                <w:sz w:val="24"/>
                <w:szCs w:val="24"/>
                <w:highlight w:val="none"/>
              </w:rPr>
            </w:pPr>
          </w:p>
        </w:tc>
      </w:tr>
    </w:tbl>
    <w:p>
      <w:pPr>
        <w:keepNext w:val="0"/>
        <w:keepLines w:val="0"/>
        <w:pageBreakBefore w:val="0"/>
        <w:kinsoku/>
        <w:wordWrap/>
        <w:overflowPunct/>
        <w:topLinePunct w:val="0"/>
        <w:autoSpaceDE/>
        <w:autoSpaceDN/>
        <w:bidi w:val="0"/>
        <w:adjustRightInd/>
        <w:snapToGrid/>
        <w:spacing w:line="480" w:lineRule="exact"/>
        <w:ind w:left="0" w:firstLine="241" w:firstLineChars="1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2</w:t>
      </w:r>
      <w:r>
        <w:rPr>
          <w:rFonts w:ascii="仿宋" w:hAnsi="仿宋" w:eastAsia="仿宋" w:cs="仿宋"/>
          <w:b/>
          <w:bCs/>
          <w:color w:val="auto"/>
          <w:spacing w:val="0"/>
          <w:sz w:val="24"/>
          <w:szCs w:val="24"/>
          <w:highlight w:val="none"/>
        </w:rPr>
        <w:t xml:space="preserve"> 水带敷设消防车 1 辆</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 整车尺寸：长×宽×高≤ 12000×2550</w:t>
      </w:r>
      <w:r>
        <w:rPr>
          <w:rFonts w:hint="eastAsia" w:ascii="仿宋" w:hAnsi="仿宋" w:eastAsia="仿宋" w:cs="仿宋"/>
          <w:color w:val="auto"/>
          <w:spacing w:val="-1"/>
          <w:sz w:val="24"/>
          <w:szCs w:val="24"/>
          <w:highlight w:val="none"/>
        </w:rPr>
        <w:t>×4000mm；</w:t>
      </w:r>
    </w:p>
    <w:p>
      <w:pPr>
        <w:keepNext w:val="0"/>
        <w:keepLines w:val="0"/>
        <w:pageBreakBefore w:val="0"/>
        <w:widowControl w:val="0"/>
        <w:kinsoku/>
        <w:wordWrap/>
        <w:overflowPunct/>
        <w:topLinePunct w:val="0"/>
        <w:autoSpaceDE/>
        <w:autoSpaceDN/>
        <w:bidi w:val="0"/>
        <w:adjustRightInd/>
        <w:snapToGrid/>
        <w:spacing w:line="480" w:lineRule="exact"/>
        <w:ind w:left="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比功率≥12kw/T；</w:t>
      </w:r>
    </w:p>
    <w:p>
      <w:pPr>
        <w:keepNext w:val="0"/>
        <w:keepLines w:val="0"/>
        <w:pageBreakBefore w:val="0"/>
        <w:widowControl/>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2.4</w:t>
      </w:r>
      <w:r>
        <w:rPr>
          <w:rFonts w:ascii="仿宋" w:hAnsi="仿宋" w:eastAsia="仿宋" w:cs="仿宋"/>
          <w:b/>
          <w:bCs/>
          <w:color w:val="auto"/>
          <w:sz w:val="24"/>
          <w:szCs w:val="24"/>
          <w:highlight w:val="none"/>
        </w:rPr>
        <w:t xml:space="preserve"> 底盘</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.1发动机额定功率≥400kw；</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.2 燃料：柴油；油箱容积： ≥300L；</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.3尾气排放：符合国Ⅵ标准；</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.4 驱动形式： 6×4；</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.5 最高车≥90km/h；</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.6比功</w:t>
      </w:r>
      <w:r>
        <w:rPr>
          <w:rFonts w:hint="eastAsia" w:ascii="仿宋" w:hAnsi="仿宋" w:eastAsia="仿宋" w:cs="仿宋"/>
          <w:color w:val="auto"/>
          <w:sz w:val="24"/>
          <w:szCs w:val="24"/>
          <w:highlight w:val="none"/>
          <w:lang w:val="en-US" w:eastAsia="zh-CN"/>
        </w:rPr>
        <w:t>率</w:t>
      </w:r>
      <w:r>
        <w:rPr>
          <w:rFonts w:hint="eastAsia" w:ascii="仿宋" w:hAnsi="仿宋" w:eastAsia="仿宋" w:cs="仿宋"/>
          <w:color w:val="auto"/>
          <w:sz w:val="24"/>
          <w:szCs w:val="24"/>
          <w:highlight w:val="none"/>
        </w:rPr>
        <w:t>≥12kw/T；</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 xml:space="preserve">.7 </w:t>
      </w:r>
      <w:r>
        <w:rPr>
          <w:rFonts w:hint="eastAsia" w:ascii="仿宋" w:hAnsi="仿宋" w:eastAsia="仿宋" w:cs="仿宋"/>
          <w:color w:val="auto"/>
          <w:kern w:val="0"/>
          <w:sz w:val="24"/>
          <w:szCs w:val="24"/>
          <w:highlight w:val="none"/>
        </w:rPr>
        <w:t>配置子午线钢丝轮胎、胎压监测系统、360°倒车影像、行车记录仪 (内存不小于32G),配备 350-400MHz 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color w:val="auto"/>
          <w:kern w:val="0"/>
          <w:sz w:val="24"/>
          <w:szCs w:val="24"/>
          <w:highlight w:val="none"/>
        </w:rPr>
        <w:t>，带倒车告警蜂鸣器、倒车摄像头和驾乘室内监视器，监视器屏幕≥10英寸；</w:t>
      </w:r>
    </w:p>
    <w:p>
      <w:pPr>
        <w:keepNext w:val="0"/>
        <w:keepLines w:val="0"/>
        <w:pageBreakBefore w:val="0"/>
        <w:widowControl w:val="0"/>
        <w:kinsoku/>
        <w:wordWrap/>
        <w:overflowPunct/>
        <w:topLinePunct w:val="0"/>
        <w:autoSpaceDE/>
        <w:autoSpaceDN/>
        <w:bidi w:val="0"/>
        <w:adjustRightInd/>
        <w:snapToGrid/>
        <w:spacing w:line="480" w:lineRule="exact"/>
        <w:ind w:left="0" w:right="0" w:firstLine="69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lang w:eastAsia="zh-CN"/>
        </w:rPr>
        <w:t>4.</w:t>
      </w:r>
      <w:r>
        <w:rPr>
          <w:rFonts w:hint="eastAsia" w:ascii="仿宋" w:hAnsi="仿宋" w:eastAsia="仿宋" w:cs="仿宋"/>
          <w:color w:val="auto"/>
          <w:spacing w:val="-5"/>
          <w:sz w:val="24"/>
          <w:szCs w:val="24"/>
          <w:highlight w:val="none"/>
          <w:lang w:val="en-US" w:eastAsia="zh-CN"/>
        </w:rPr>
        <w:t>2.4</w:t>
      </w:r>
      <w:r>
        <w:rPr>
          <w:rFonts w:hint="eastAsia" w:ascii="仿宋" w:hAnsi="仿宋" w:eastAsia="仿宋" w:cs="仿宋"/>
          <w:color w:val="auto"/>
          <w:spacing w:val="-5"/>
          <w:sz w:val="24"/>
          <w:szCs w:val="24"/>
          <w:highlight w:val="none"/>
        </w:rPr>
        <w:t>.8</w:t>
      </w:r>
      <w:r>
        <w:rPr>
          <w:rFonts w:hint="eastAsia" w:ascii="仿宋" w:hAnsi="仿宋" w:eastAsia="仿宋" w:cs="仿宋"/>
          <w:color w:val="auto"/>
          <w:spacing w:val="-30"/>
          <w:sz w:val="24"/>
          <w:szCs w:val="24"/>
          <w:highlight w:val="none"/>
        </w:rPr>
        <w:t xml:space="preserve"> </w:t>
      </w:r>
      <w:r>
        <w:rPr>
          <w:rFonts w:hint="eastAsia" w:ascii="仿宋" w:hAnsi="仿宋" w:eastAsia="仿宋" w:cs="仿宋"/>
          <w:color w:val="auto"/>
          <w:spacing w:val="-5"/>
          <w:sz w:val="24"/>
          <w:szCs w:val="24"/>
          <w:highlight w:val="none"/>
        </w:rPr>
        <w:t>变速箱操控方式：自动挡；</w:t>
      </w:r>
    </w:p>
    <w:p>
      <w:pPr>
        <w:keepNext w:val="0"/>
        <w:keepLines w:val="0"/>
        <w:pageBreakBefore w:val="0"/>
        <w:widowControl w:val="0"/>
        <w:kinsoku/>
        <w:wordWrap/>
        <w:overflowPunct/>
        <w:topLinePunct w:val="0"/>
        <w:autoSpaceDE/>
        <w:autoSpaceDN/>
        <w:bidi w:val="0"/>
        <w:adjustRightInd/>
        <w:snapToGrid/>
        <w:spacing w:line="480" w:lineRule="exact"/>
        <w:ind w:left="0" w:right="0" w:firstLine="696"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lang w:eastAsia="zh-CN"/>
        </w:rPr>
        <w:t>4.</w:t>
      </w:r>
      <w:r>
        <w:rPr>
          <w:rFonts w:hint="eastAsia" w:ascii="仿宋" w:hAnsi="仿宋" w:eastAsia="仿宋" w:cs="仿宋"/>
          <w:color w:val="auto"/>
          <w:spacing w:val="-4"/>
          <w:sz w:val="24"/>
          <w:szCs w:val="24"/>
          <w:highlight w:val="none"/>
          <w:lang w:val="en-US" w:eastAsia="zh-CN"/>
        </w:rPr>
        <w:t>2.4</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4"/>
          <w:sz w:val="24"/>
          <w:szCs w:val="24"/>
          <w:highlight w:val="none"/>
          <w:lang w:val="en-US" w:eastAsia="zh-CN"/>
        </w:rPr>
        <w:t>9</w:t>
      </w:r>
      <w:r>
        <w:rPr>
          <w:rFonts w:hint="eastAsia" w:ascii="仿宋" w:hAnsi="仿宋" w:eastAsia="仿宋" w:cs="仿宋"/>
          <w:color w:val="auto"/>
          <w:spacing w:val="-4"/>
          <w:sz w:val="24"/>
          <w:szCs w:val="24"/>
          <w:highlight w:val="none"/>
        </w:rPr>
        <w:t xml:space="preserve"> 配备</w:t>
      </w:r>
      <w:r>
        <w:rPr>
          <w:rFonts w:hint="eastAsia" w:ascii="仿宋" w:hAnsi="仿宋" w:eastAsia="仿宋" w:cs="仿宋"/>
          <w:color w:val="auto"/>
          <w:spacing w:val="-4"/>
          <w:sz w:val="24"/>
          <w:szCs w:val="24"/>
          <w:highlight w:val="none"/>
          <w:lang w:eastAsia="zh-CN"/>
        </w:rPr>
        <w:t>前轮盘式制动器</w:t>
      </w:r>
      <w:r>
        <w:rPr>
          <w:rFonts w:hint="eastAsia" w:ascii="仿宋" w:hAnsi="仿宋" w:eastAsia="仿宋" w:cs="仿宋"/>
          <w:color w:val="auto"/>
          <w:spacing w:val="-4"/>
          <w:sz w:val="24"/>
          <w:szCs w:val="24"/>
          <w:highlight w:val="none"/>
        </w:rPr>
        <w:t>、</w:t>
      </w:r>
      <w:r>
        <w:rPr>
          <w:rFonts w:hint="eastAsia" w:ascii="仿宋" w:hAnsi="仿宋" w:eastAsia="仿宋" w:cs="仿宋"/>
          <w:color w:val="auto"/>
          <w:spacing w:val="39"/>
          <w:sz w:val="24"/>
          <w:szCs w:val="24"/>
          <w:highlight w:val="none"/>
        </w:rPr>
        <w:t xml:space="preserve"> </w:t>
      </w:r>
      <w:r>
        <w:rPr>
          <w:rFonts w:hint="eastAsia" w:ascii="仿宋" w:hAnsi="仿宋" w:eastAsia="仿宋" w:cs="仿宋"/>
          <w:color w:val="auto"/>
          <w:spacing w:val="-4"/>
          <w:sz w:val="24"/>
          <w:szCs w:val="24"/>
          <w:highlight w:val="none"/>
        </w:rPr>
        <w:t>ABS(防抱死刹车系统)或</w:t>
      </w:r>
      <w:r>
        <w:rPr>
          <w:rFonts w:hint="eastAsia" w:ascii="仿宋" w:hAnsi="仿宋" w:eastAsia="仿宋" w:cs="仿宋"/>
          <w:color w:val="auto"/>
          <w:spacing w:val="-55"/>
          <w:sz w:val="24"/>
          <w:szCs w:val="24"/>
          <w:highlight w:val="none"/>
        </w:rPr>
        <w:t xml:space="preserve"> </w:t>
      </w:r>
      <w:r>
        <w:rPr>
          <w:rFonts w:hint="eastAsia" w:ascii="仿宋" w:hAnsi="仿宋" w:eastAsia="仿宋" w:cs="仿宋"/>
          <w:color w:val="auto"/>
          <w:spacing w:val="-4"/>
          <w:sz w:val="24"/>
          <w:szCs w:val="24"/>
          <w:highlight w:val="none"/>
        </w:rPr>
        <w:t>EBS(电控制动系统)；</w:t>
      </w:r>
    </w:p>
    <w:p>
      <w:pPr>
        <w:keepNext w:val="0"/>
        <w:keepLines w:val="0"/>
        <w:pageBreakBefore w:val="0"/>
        <w:widowControl/>
        <w:kinsoku/>
        <w:wordWrap/>
        <w:overflowPunct/>
        <w:topLinePunct w:val="0"/>
        <w:autoSpaceDE/>
        <w:autoSpaceDN/>
        <w:bidi w:val="0"/>
        <w:adjustRightInd/>
        <w:snapToGrid/>
        <w:spacing w:line="480" w:lineRule="exact"/>
        <w:ind w:left="0" w:firstLine="482" w:firstLineChars="200"/>
        <w:jc w:val="left"/>
        <w:textAlignment w:val="auto"/>
        <w:outlineLvl w:val="9"/>
        <w:rPr>
          <w:rFonts w:ascii="仿宋" w:hAnsi="仿宋" w:eastAsia="仿宋" w:cs="仿宋"/>
          <w:b/>
          <w:bCs/>
          <w:color w:val="auto"/>
          <w:sz w:val="24"/>
          <w:szCs w:val="24"/>
          <w:highlight w:val="none"/>
        </w:rPr>
      </w:pPr>
      <w:r>
        <w:rPr>
          <w:rFonts w:ascii="仿宋" w:hAnsi="仿宋" w:eastAsia="仿宋" w:cs="仿宋"/>
          <w:b/>
          <w:bCs/>
          <w:color w:val="auto"/>
          <w:spacing w:val="0"/>
          <w:sz w:val="24"/>
          <w:szCs w:val="24"/>
          <w:highlight w:val="none"/>
        </w:rPr>
        <w:t>4.</w:t>
      </w:r>
      <w:r>
        <w:rPr>
          <w:rFonts w:hint="eastAsia" w:ascii="仿宋" w:hAnsi="仿宋" w:eastAsia="仿宋" w:cs="仿宋"/>
          <w:b/>
          <w:bCs/>
          <w:color w:val="auto"/>
          <w:spacing w:val="0"/>
          <w:sz w:val="24"/>
          <w:szCs w:val="24"/>
          <w:highlight w:val="none"/>
          <w:lang w:val="en-US" w:eastAsia="zh-CN"/>
        </w:rPr>
        <w:t>2.5</w:t>
      </w:r>
      <w:r>
        <w:rPr>
          <w:rFonts w:ascii="仿宋" w:hAnsi="仿宋" w:eastAsia="仿宋" w:cs="仿宋"/>
          <w:b/>
          <w:bCs/>
          <w:color w:val="auto"/>
          <w:spacing w:val="0"/>
          <w:sz w:val="24"/>
          <w:szCs w:val="24"/>
          <w:highlight w:val="none"/>
        </w:rPr>
        <w:t xml:space="preserve"> 驾乘室</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"4.8.12.1"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3"/>
          <w:sz w:val="24"/>
          <w:szCs w:val="24"/>
          <w:highlight w:val="none"/>
          <w:lang w:val="en-US" w:eastAsia="zh-CN"/>
        </w:rPr>
        <w:t>2.5</w:t>
      </w:r>
      <w:r>
        <w:rPr>
          <w:rFonts w:hint="eastAsia" w:ascii="仿宋" w:hAnsi="仿宋" w:eastAsia="仿宋" w:cs="仿宋"/>
          <w:color w:val="auto"/>
          <w:spacing w:val="-3"/>
          <w:sz w:val="24"/>
          <w:szCs w:val="24"/>
          <w:highlight w:val="none"/>
        </w:rPr>
        <w:t>.1</w:t>
      </w:r>
      <w:r>
        <w:rPr>
          <w:rFonts w:hint="eastAsia" w:ascii="仿宋" w:hAnsi="仿宋" w:eastAsia="仿宋" w:cs="仿宋"/>
          <w:color w:val="auto"/>
          <w:spacing w:val="-3"/>
          <w:sz w:val="24"/>
          <w:szCs w:val="24"/>
          <w:highlight w:val="none"/>
        </w:rPr>
        <w:fldChar w:fldCharType="end"/>
      </w:r>
      <w:r>
        <w:rPr>
          <w:rFonts w:hint="eastAsia" w:ascii="仿宋" w:hAnsi="仿宋" w:eastAsia="仿宋" w:cs="仿宋"/>
          <w:color w:val="auto"/>
          <w:spacing w:val="-3"/>
          <w:sz w:val="24"/>
          <w:szCs w:val="24"/>
          <w:highlight w:val="none"/>
        </w:rPr>
        <w:t xml:space="preserve"> 结构：单排，带专用液压翻转机构；</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"4.8.12.2"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2.5</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 座位设置：乘员≥2 人。驾驶</w:t>
      </w:r>
      <w:r>
        <w:rPr>
          <w:rFonts w:hint="eastAsia" w:ascii="仿宋" w:hAnsi="仿宋" w:eastAsia="仿宋" w:cs="仿宋"/>
          <w:color w:val="auto"/>
          <w:spacing w:val="-1"/>
          <w:sz w:val="24"/>
          <w:szCs w:val="24"/>
          <w:highlight w:val="none"/>
        </w:rPr>
        <w:t>员座椅高度、角度、前后位置可调，安全带，头枕；</w:t>
      </w:r>
      <w:r>
        <w:rPr>
          <w:rFonts w:hint="eastAsia" w:ascii="仿宋" w:hAnsi="仿宋" w:eastAsia="仿宋" w:cs="仿宋"/>
          <w:color w:val="auto"/>
          <w:spacing w:val="-3"/>
          <w:sz w:val="24"/>
          <w:szCs w:val="24"/>
          <w:highlight w:val="none"/>
        </w:rPr>
        <w:t>副驾驶座角度和前后位置可调，配有头枕、</w:t>
      </w:r>
      <w:r>
        <w:rPr>
          <w:rFonts w:hint="eastAsia" w:ascii="仿宋" w:hAnsi="仿宋" w:eastAsia="仿宋" w:cs="仿宋"/>
          <w:color w:val="auto"/>
          <w:spacing w:val="-4"/>
          <w:sz w:val="24"/>
          <w:szCs w:val="24"/>
          <w:highlight w:val="none"/>
        </w:rPr>
        <w:t>安全带；</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"4.8.12.3"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pacing w:val="-1"/>
          <w:sz w:val="24"/>
          <w:szCs w:val="24"/>
          <w:highlight w:val="none"/>
        </w:rPr>
        <w:t>4.</w:t>
      </w:r>
      <w:r>
        <w:rPr>
          <w:rFonts w:hint="eastAsia" w:ascii="仿宋" w:hAnsi="仿宋" w:eastAsia="仿宋" w:cs="仿宋"/>
          <w:color w:val="auto"/>
          <w:spacing w:val="-1"/>
          <w:sz w:val="24"/>
          <w:szCs w:val="24"/>
          <w:highlight w:val="none"/>
          <w:lang w:val="en-US" w:eastAsia="zh-CN"/>
        </w:rPr>
        <w:t>2.5</w:t>
      </w:r>
      <w:r>
        <w:rPr>
          <w:rFonts w:hint="eastAsia" w:ascii="仿宋" w:hAnsi="仿宋" w:eastAsia="仿宋" w:cs="仿宋"/>
          <w:color w:val="auto"/>
          <w:spacing w:val="-1"/>
          <w:sz w:val="24"/>
          <w:szCs w:val="24"/>
          <w:highlight w:val="none"/>
        </w:rPr>
        <w:t>.3</w:t>
      </w:r>
      <w:r>
        <w:rPr>
          <w:rFonts w:hint="eastAsia" w:ascii="仿宋" w:hAnsi="仿宋" w:eastAsia="仿宋" w:cs="仿宋"/>
          <w:color w:val="auto"/>
          <w:spacing w:val="-1"/>
          <w:sz w:val="24"/>
          <w:szCs w:val="24"/>
          <w:highlight w:val="none"/>
        </w:rPr>
        <w:fldChar w:fldCharType="end"/>
      </w:r>
      <w:r>
        <w:rPr>
          <w:rFonts w:hint="eastAsia" w:ascii="仿宋" w:hAnsi="仿宋" w:eastAsia="仿宋" w:cs="仿宋"/>
          <w:color w:val="auto"/>
          <w:spacing w:val="-1"/>
          <w:sz w:val="24"/>
          <w:szCs w:val="24"/>
          <w:highlight w:val="none"/>
        </w:rPr>
        <w:t xml:space="preserve"> 驾驶室设备：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配备两组12V、两组24V、一组 220V电源接口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80" w:lineRule="exact"/>
        <w:ind w:left="0" w:right="0" w:firstLine="482" w:firstLineChars="200"/>
        <w:jc w:val="left"/>
        <w:textAlignment w:val="auto"/>
        <w:outlineLvl w:val="9"/>
        <w:rPr>
          <w:rFonts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lang w:eastAsia="zh-CN"/>
        </w:rPr>
        <w:t>4.</w:t>
      </w:r>
      <w:r>
        <w:rPr>
          <w:rFonts w:hint="eastAsia" w:ascii="仿宋" w:hAnsi="仿宋" w:eastAsia="仿宋" w:cs="仿宋"/>
          <w:b/>
          <w:bCs/>
          <w:color w:val="auto"/>
          <w:spacing w:val="0"/>
          <w:sz w:val="24"/>
          <w:szCs w:val="24"/>
          <w:highlight w:val="none"/>
          <w:lang w:val="en-US" w:eastAsia="zh-CN"/>
        </w:rPr>
        <w:t>2.6</w:t>
      </w:r>
      <w:r>
        <w:rPr>
          <w:rFonts w:ascii="仿宋" w:hAnsi="仿宋" w:eastAsia="仿宋" w:cs="仿宋"/>
          <w:b/>
          <w:bCs/>
          <w:color w:val="auto"/>
          <w:spacing w:val="0"/>
          <w:sz w:val="24"/>
          <w:szCs w:val="24"/>
          <w:highlight w:val="none"/>
        </w:rPr>
        <w:t xml:space="preserve"> 主要性能及配置</w:t>
      </w:r>
    </w:p>
    <w:p>
      <w:pPr>
        <w:keepNext w:val="0"/>
        <w:keepLines w:val="0"/>
        <w:pageBreakBefore w:val="0"/>
        <w:widowControl w:val="0"/>
        <w:kinsoku/>
        <w:wordWrap/>
        <w:overflowPunct/>
        <w:topLinePunct w:val="0"/>
        <w:autoSpaceDE/>
        <w:autoSpaceDN/>
        <w:bidi w:val="0"/>
        <w:adjustRightInd/>
        <w:snapToGrid/>
        <w:spacing w:line="480" w:lineRule="exact"/>
        <w:ind w:left="0" w:right="0" w:firstLine="714" w:firstLineChars="300"/>
        <w:jc w:val="left"/>
        <w:textAlignment w:val="auto"/>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lang w:eastAsia="zh-CN"/>
        </w:rPr>
        <w:t>4.</w:t>
      </w:r>
      <w:r>
        <w:rPr>
          <w:rFonts w:hint="eastAsia" w:ascii="仿宋" w:hAnsi="仿宋" w:eastAsia="仿宋" w:cs="仿宋"/>
          <w:color w:val="auto"/>
          <w:spacing w:val="-1"/>
          <w:sz w:val="24"/>
          <w:szCs w:val="24"/>
          <w:highlight w:val="none"/>
          <w:lang w:val="en-US" w:eastAsia="zh-CN"/>
        </w:rPr>
        <w:t>2.6</w:t>
      </w:r>
      <w:r>
        <w:rPr>
          <w:rFonts w:hint="eastAsia" w:ascii="仿宋" w:hAnsi="仿宋" w:eastAsia="仿宋" w:cs="仿宋"/>
          <w:color w:val="auto"/>
          <w:spacing w:val="-1"/>
          <w:sz w:val="24"/>
          <w:szCs w:val="24"/>
          <w:highlight w:val="none"/>
        </w:rPr>
        <w:t>.1 水带敷设消防车由运载底盘、水带箱、器材箱、自动收带清洗机组成，具备储放、运输、自动敷设、回收、清洗水带的功能；</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lang w:eastAsia="zh-CN"/>
        </w:rPr>
        <w:t>4.</w:t>
      </w:r>
      <w:r>
        <w:rPr>
          <w:rFonts w:hint="eastAsia" w:ascii="仿宋" w:hAnsi="仿宋" w:eastAsia="仿宋" w:cs="仿宋"/>
          <w:color w:val="auto"/>
          <w:spacing w:val="-2"/>
          <w:sz w:val="24"/>
          <w:szCs w:val="24"/>
          <w:highlight w:val="none"/>
          <w:lang w:val="en-US" w:eastAsia="zh-CN"/>
        </w:rPr>
        <w:t>2.6</w:t>
      </w:r>
      <w:r>
        <w:rPr>
          <w:rFonts w:hint="eastAsia" w:ascii="仿宋" w:hAnsi="仿宋" w:eastAsia="仿宋" w:cs="仿宋"/>
          <w:color w:val="auto"/>
          <w:spacing w:val="-2"/>
          <w:sz w:val="24"/>
          <w:szCs w:val="24"/>
          <w:highlight w:val="none"/>
        </w:rPr>
        <w:t>.2水带储存厢:水带储运箱随车配备</w:t>
      </w:r>
      <w:r>
        <w:rPr>
          <w:rFonts w:hint="eastAsia" w:ascii="仿宋" w:hAnsi="仿宋" w:eastAsia="仿宋" w:cs="仿宋"/>
          <w:color w:val="auto"/>
          <w:spacing w:val="-3"/>
          <w:sz w:val="24"/>
          <w:szCs w:val="24"/>
          <w:highlight w:val="none"/>
        </w:rPr>
        <w:t>不少于</w:t>
      </w:r>
      <w:r>
        <w:rPr>
          <w:rFonts w:hint="eastAsia" w:ascii="仿宋" w:hAnsi="仿宋" w:eastAsia="仿宋" w:cs="仿宋"/>
          <w:color w:val="auto"/>
          <w:spacing w:val="-46"/>
          <w:sz w:val="24"/>
          <w:szCs w:val="24"/>
          <w:highlight w:val="none"/>
        </w:rPr>
        <w:t xml:space="preserve"> </w:t>
      </w:r>
      <w:r>
        <w:rPr>
          <w:rFonts w:hint="eastAsia" w:ascii="仿宋" w:hAnsi="仿宋" w:eastAsia="仿宋" w:cs="仿宋"/>
          <w:color w:val="auto"/>
          <w:spacing w:val="-3"/>
          <w:sz w:val="24"/>
          <w:szCs w:val="24"/>
          <w:highlight w:val="none"/>
        </w:rPr>
        <w:t>3000</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3"/>
          <w:sz w:val="24"/>
          <w:szCs w:val="24"/>
          <w:highlight w:val="none"/>
        </w:rPr>
        <w:t>米的</w:t>
      </w:r>
      <w:r>
        <w:rPr>
          <w:rFonts w:hint="eastAsia" w:ascii="仿宋" w:hAnsi="仿宋" w:eastAsia="仿宋" w:cs="仿宋"/>
          <w:color w:val="auto"/>
          <w:spacing w:val="-56"/>
          <w:sz w:val="24"/>
          <w:szCs w:val="24"/>
          <w:highlight w:val="none"/>
        </w:rPr>
        <w:t xml:space="preserve"> </w:t>
      </w:r>
      <w:r>
        <w:rPr>
          <w:rFonts w:hint="eastAsia" w:ascii="仿宋" w:hAnsi="仿宋" w:eastAsia="仿宋" w:cs="仿宋"/>
          <w:color w:val="auto"/>
          <w:spacing w:val="-3"/>
          <w:sz w:val="24"/>
          <w:szCs w:val="24"/>
          <w:highlight w:val="none"/>
        </w:rPr>
        <w:t>DN300</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3"/>
          <w:sz w:val="24"/>
          <w:szCs w:val="24"/>
          <w:highlight w:val="none"/>
        </w:rPr>
        <w:t>水带；</w:t>
      </w:r>
    </w:p>
    <w:p>
      <w:pPr>
        <w:keepNext w:val="0"/>
        <w:keepLines w:val="0"/>
        <w:pageBreakBefore w:val="0"/>
        <w:widowControl w:val="0"/>
        <w:kinsoku/>
        <w:wordWrap/>
        <w:overflowPunct/>
        <w:topLinePunct w:val="0"/>
        <w:autoSpaceDE/>
        <w:autoSpaceDN/>
        <w:bidi w:val="0"/>
        <w:adjustRightInd/>
        <w:snapToGrid/>
        <w:spacing w:line="480" w:lineRule="exact"/>
        <w:ind w:left="0" w:right="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2.6</w:t>
      </w:r>
      <w:r>
        <w:rPr>
          <w:rFonts w:hint="eastAsia" w:ascii="仿宋" w:hAnsi="仿宋" w:eastAsia="仿宋" w:cs="仿宋"/>
          <w:color w:val="auto"/>
          <w:sz w:val="24"/>
          <w:szCs w:val="24"/>
          <w:highlight w:val="none"/>
        </w:rPr>
        <w:t>.3 水带材质由高密度材料编织，水带延伸率≤2%</w:t>
      </w:r>
      <w:r>
        <w:rPr>
          <w:rFonts w:hint="eastAsia" w:ascii="仿宋" w:hAnsi="仿宋" w:eastAsia="仿宋" w:cs="仿宋"/>
          <w:color w:val="auto"/>
          <w:spacing w:val="-1"/>
          <w:sz w:val="24"/>
          <w:szCs w:val="24"/>
          <w:highlight w:val="none"/>
        </w:rPr>
        <w:t>，膨胀率≤5%；</w:t>
      </w:r>
      <w:r>
        <w:rPr>
          <w:rFonts w:hint="eastAsia" w:ascii="仿宋" w:hAnsi="仿宋" w:eastAsia="仿宋" w:cs="仿宋"/>
          <w:color w:val="auto"/>
          <w:spacing w:val="-1"/>
          <w:sz w:val="24"/>
          <w:szCs w:val="24"/>
          <w:highlight w:val="none"/>
          <w:lang w:eastAsia="zh-CN"/>
        </w:rPr>
        <w:t>水带</w:t>
      </w:r>
      <w:r>
        <w:rPr>
          <w:rFonts w:hint="eastAsia" w:ascii="仿宋" w:hAnsi="仿宋" w:eastAsia="仿宋" w:cs="仿宋"/>
          <w:color w:val="auto"/>
          <w:sz w:val="24"/>
          <w:szCs w:val="24"/>
          <w:highlight w:val="none"/>
        </w:rPr>
        <w:t>工作压力≥</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Mpa，爆破</w:t>
      </w:r>
      <w:r>
        <w:rPr>
          <w:rFonts w:hint="eastAsia" w:ascii="仿宋" w:hAnsi="仿宋" w:eastAsia="仿宋" w:cs="仿宋"/>
          <w:color w:val="auto"/>
          <w:spacing w:val="-1"/>
          <w:sz w:val="24"/>
          <w:szCs w:val="24"/>
          <w:highlight w:val="none"/>
        </w:rPr>
        <w:t>压力≥3Mpa；</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2" w:firstLineChars="300"/>
        <w:jc w:val="left"/>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eastAsia="zh-CN"/>
        </w:rPr>
        <w:t>4.</w:t>
      </w:r>
      <w:r>
        <w:rPr>
          <w:rFonts w:hint="eastAsia" w:ascii="仿宋" w:hAnsi="仿宋" w:eastAsia="仿宋" w:cs="仿宋"/>
          <w:color w:val="auto"/>
          <w:spacing w:val="-3"/>
          <w:sz w:val="24"/>
          <w:szCs w:val="24"/>
          <w:highlight w:val="none"/>
          <w:lang w:val="en-US" w:eastAsia="zh-CN"/>
        </w:rPr>
        <w:t>2.6</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3"/>
          <w:sz w:val="24"/>
          <w:szCs w:val="24"/>
          <w:highlight w:val="none"/>
          <w:lang w:val="en-US" w:eastAsia="zh-CN"/>
        </w:rPr>
        <w:t>4</w:t>
      </w:r>
      <w:r>
        <w:rPr>
          <w:rFonts w:hint="eastAsia" w:ascii="仿宋" w:hAnsi="仿宋" w:eastAsia="仿宋" w:cs="仿宋"/>
          <w:color w:val="auto"/>
          <w:spacing w:val="-3"/>
          <w:sz w:val="24"/>
          <w:szCs w:val="24"/>
          <w:highlight w:val="none"/>
        </w:rPr>
        <w:t>水带口径：DN300mm；水带长度：100m/根；</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2" w:firstLineChars="300"/>
        <w:jc w:val="left"/>
        <w:textAlignment w:val="auto"/>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lang w:eastAsia="zh-CN"/>
        </w:rPr>
        <w:t>4.</w:t>
      </w:r>
      <w:r>
        <w:rPr>
          <w:rFonts w:hint="eastAsia" w:ascii="仿宋" w:hAnsi="仿宋" w:eastAsia="仿宋" w:cs="仿宋"/>
          <w:color w:val="auto"/>
          <w:spacing w:val="-3"/>
          <w:sz w:val="24"/>
          <w:szCs w:val="24"/>
          <w:highlight w:val="none"/>
          <w:lang w:val="en-US" w:eastAsia="zh-CN"/>
        </w:rPr>
        <w:t>2.6</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3"/>
          <w:sz w:val="24"/>
          <w:szCs w:val="24"/>
          <w:highlight w:val="none"/>
          <w:lang w:val="en-US" w:eastAsia="zh-CN"/>
        </w:rPr>
        <w:t>5</w:t>
      </w:r>
      <w:r>
        <w:rPr>
          <w:rFonts w:hint="eastAsia" w:ascii="仿宋" w:hAnsi="仿宋" w:eastAsia="仿宋" w:cs="仿宋"/>
          <w:color w:val="auto"/>
          <w:spacing w:val="-3"/>
          <w:sz w:val="24"/>
          <w:szCs w:val="24"/>
          <w:highlight w:val="none"/>
        </w:rPr>
        <w:t xml:space="preserve"> 接口材质为高强度锻造铝合金或优于它的材料；</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2"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eastAsia="zh-CN"/>
        </w:rPr>
        <w:t>4.</w:t>
      </w:r>
      <w:r>
        <w:rPr>
          <w:rFonts w:hint="eastAsia" w:ascii="仿宋" w:hAnsi="仿宋" w:eastAsia="仿宋" w:cs="仿宋"/>
          <w:color w:val="auto"/>
          <w:spacing w:val="-3"/>
          <w:sz w:val="24"/>
          <w:szCs w:val="24"/>
          <w:highlight w:val="none"/>
          <w:lang w:val="en-US" w:eastAsia="zh-CN"/>
        </w:rPr>
        <w:t>2.6</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3"/>
          <w:sz w:val="24"/>
          <w:szCs w:val="24"/>
          <w:highlight w:val="none"/>
          <w:lang w:val="en-US" w:eastAsia="zh-CN"/>
        </w:rPr>
        <w:t>6</w:t>
      </w:r>
      <w:r>
        <w:rPr>
          <w:rFonts w:hint="eastAsia" w:ascii="仿宋" w:hAnsi="仿宋" w:eastAsia="仿宋" w:cs="仿宋"/>
          <w:color w:val="auto"/>
          <w:spacing w:val="-3"/>
          <w:sz w:val="24"/>
          <w:szCs w:val="24"/>
          <w:highlight w:val="none"/>
        </w:rPr>
        <w:t>水带敷设系统：水带铺设及收起方式为机械方式，通过计算机控制，液压驱动可将散落在地面上的水带铺放正在水带集装箱内。在水带收卷系统前部设置清洗喷嘴，可通过压力水将水带表面附着的杂物清洗干净，延长水带的使用寿命；</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1"/>
          <w:sz w:val="24"/>
          <w:szCs w:val="24"/>
          <w:highlight w:val="none"/>
          <w:lang w:val="en-US" w:eastAsia="zh-CN"/>
        </w:rPr>
        <w:t>2.6</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rPr>
        <w:t>自动收卷:可自动回收水带，施放水带速度</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rPr>
        <w:t>5km/h，回收水带速度</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1.5</w:t>
      </w:r>
      <w:r>
        <w:rPr>
          <w:rFonts w:hint="eastAsia" w:ascii="仿宋" w:hAnsi="仿宋" w:eastAsia="仿宋" w:cs="仿宋"/>
          <w:color w:val="auto"/>
          <w:spacing w:val="-2"/>
          <w:sz w:val="24"/>
          <w:szCs w:val="24"/>
          <w:highlight w:val="none"/>
        </w:rPr>
        <w:t>km</w:t>
      </w:r>
      <w:r>
        <w:rPr>
          <w:rFonts w:hint="eastAsia" w:ascii="仿宋" w:hAnsi="仿宋" w:eastAsia="仿宋" w:cs="仿宋"/>
          <w:color w:val="auto"/>
          <w:spacing w:val="-3"/>
          <w:sz w:val="24"/>
          <w:szCs w:val="24"/>
          <w:highlight w:val="none"/>
        </w:rPr>
        <w:t>/h；</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2"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4.</w:t>
      </w:r>
      <w:r>
        <w:rPr>
          <w:rFonts w:hint="eastAsia" w:ascii="仿宋" w:hAnsi="仿宋" w:eastAsia="仿宋" w:cs="仿宋"/>
          <w:color w:val="auto"/>
          <w:spacing w:val="-1"/>
          <w:sz w:val="24"/>
          <w:szCs w:val="24"/>
          <w:highlight w:val="none"/>
          <w:lang w:val="en-US" w:eastAsia="zh-CN"/>
        </w:rPr>
        <w:t>2.6</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3"/>
          <w:sz w:val="24"/>
          <w:szCs w:val="24"/>
          <w:highlight w:val="none"/>
          <w:lang w:val="en-US" w:eastAsia="zh-CN"/>
        </w:rPr>
        <w:t>8</w:t>
      </w:r>
      <w:r>
        <w:rPr>
          <w:rFonts w:hint="eastAsia" w:ascii="仿宋" w:hAnsi="仿宋" w:eastAsia="仿宋" w:cs="仿宋"/>
          <w:color w:val="auto"/>
          <w:spacing w:val="-3"/>
          <w:sz w:val="24"/>
          <w:szCs w:val="24"/>
          <w:highlight w:val="none"/>
        </w:rPr>
        <w:t>自动清洗:在收带同时可对水带上下表面进行清洗，去除水带表面灰尘、泥浆等；</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2" w:firstLineChars="200"/>
        <w:jc w:val="left"/>
        <w:textAlignment w:val="auto"/>
        <w:outlineLvl w:val="9"/>
        <w:rPr>
          <w:rFonts w:ascii="仿宋" w:hAnsi="仿宋" w:eastAsia="仿宋" w:cs="仿宋"/>
          <w:b/>
          <w:bCs/>
          <w:color w:val="auto"/>
          <w:sz w:val="24"/>
          <w:szCs w:val="24"/>
          <w:highlight w:val="none"/>
        </w:rPr>
      </w:pPr>
      <w:r>
        <w:rPr>
          <w:rFonts w:hint="eastAsia" w:ascii="仿宋" w:hAnsi="仿宋" w:eastAsia="仿宋" w:cs="仿宋"/>
          <w:b/>
          <w:bCs/>
          <w:color w:val="auto"/>
          <w:spacing w:val="0"/>
          <w:sz w:val="24"/>
          <w:szCs w:val="24"/>
          <w:highlight w:val="none"/>
          <w:lang w:eastAsia="zh-CN"/>
        </w:rPr>
        <w:t>4.</w:t>
      </w:r>
      <w:r>
        <w:rPr>
          <w:rFonts w:hint="eastAsia" w:ascii="仿宋" w:hAnsi="仿宋" w:eastAsia="仿宋" w:cs="仿宋"/>
          <w:b/>
          <w:bCs/>
          <w:color w:val="auto"/>
          <w:spacing w:val="0"/>
          <w:sz w:val="24"/>
          <w:szCs w:val="24"/>
          <w:highlight w:val="none"/>
          <w:lang w:val="en-US" w:eastAsia="zh-CN"/>
        </w:rPr>
        <w:t>2.7</w:t>
      </w:r>
      <w:r>
        <w:rPr>
          <w:rFonts w:ascii="仿宋" w:hAnsi="仿宋" w:eastAsia="仿宋" w:cs="仿宋"/>
          <w:b/>
          <w:bCs/>
          <w:color w:val="auto"/>
          <w:spacing w:val="0"/>
          <w:sz w:val="24"/>
          <w:szCs w:val="24"/>
          <w:highlight w:val="none"/>
        </w:rPr>
        <w:t xml:space="preserve"> 总体要求</w:t>
      </w:r>
    </w:p>
    <w:p>
      <w:pPr>
        <w:keepNext w:val="0"/>
        <w:keepLines w:val="0"/>
        <w:pageBreakBefore w:val="0"/>
        <w:widowControl w:val="0"/>
        <w:kinsoku/>
        <w:wordWrap/>
        <w:overflowPunct/>
        <w:topLinePunct w:val="0"/>
        <w:autoSpaceDE/>
        <w:autoSpaceDN/>
        <w:bidi w:val="0"/>
        <w:adjustRightInd/>
        <w:snapToGrid/>
        <w:spacing w:line="480" w:lineRule="exact"/>
        <w:ind w:left="36" w:firstLine="714"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lang w:eastAsia="zh-CN"/>
        </w:rPr>
        <w:t>4.</w:t>
      </w:r>
      <w:r>
        <w:rPr>
          <w:rFonts w:hint="eastAsia" w:ascii="仿宋" w:hAnsi="仿宋" w:eastAsia="仿宋" w:cs="仿宋"/>
          <w:color w:val="auto"/>
          <w:spacing w:val="-1"/>
          <w:sz w:val="24"/>
          <w:szCs w:val="24"/>
          <w:highlight w:val="none"/>
          <w:lang w:val="en-US" w:eastAsia="zh-CN"/>
        </w:rPr>
        <w:t>2.7</w:t>
      </w:r>
      <w:r>
        <w:rPr>
          <w:rFonts w:hint="eastAsia" w:ascii="仿宋" w:hAnsi="仿宋" w:eastAsia="仿宋" w:cs="仿宋"/>
          <w:color w:val="auto"/>
          <w:spacing w:val="-1"/>
          <w:sz w:val="24"/>
          <w:szCs w:val="24"/>
          <w:highlight w:val="none"/>
        </w:rPr>
        <w:t xml:space="preserve">.1 </w:t>
      </w:r>
      <w:r>
        <w:rPr>
          <w:rFonts w:hint="eastAsia" w:ascii="仿宋" w:hAnsi="仿宋" w:eastAsia="仿宋" w:cs="仿宋"/>
          <w:color w:val="auto"/>
          <w:spacing w:val="-1"/>
          <w:sz w:val="24"/>
          <w:szCs w:val="24"/>
          <w:highlight w:val="none"/>
          <w:lang w:eastAsia="zh-CN"/>
        </w:rPr>
        <w:t>整车符合</w:t>
      </w:r>
      <w:r>
        <w:rPr>
          <w:rFonts w:hint="eastAsia" w:ascii="仿宋" w:hAnsi="仿宋" w:eastAsia="仿宋" w:cs="仿宋"/>
          <w:color w:val="auto"/>
          <w:spacing w:val="-54"/>
          <w:sz w:val="24"/>
          <w:szCs w:val="24"/>
          <w:highlight w:val="none"/>
        </w:rPr>
        <w:t xml:space="preserve"> </w:t>
      </w:r>
      <w:r>
        <w:rPr>
          <w:rFonts w:hint="eastAsia" w:ascii="仿宋" w:hAnsi="仿宋" w:eastAsia="仿宋" w:cs="仿宋"/>
          <w:color w:val="auto"/>
          <w:spacing w:val="-1"/>
          <w:sz w:val="24"/>
          <w:szCs w:val="24"/>
          <w:highlight w:val="none"/>
        </w:rPr>
        <w:t>GB1589-2016《汽车、挂车及汽</w:t>
      </w:r>
      <w:r>
        <w:rPr>
          <w:rFonts w:hint="eastAsia" w:ascii="仿宋" w:hAnsi="仿宋" w:eastAsia="仿宋" w:cs="仿宋"/>
          <w:color w:val="auto"/>
          <w:spacing w:val="-2"/>
          <w:sz w:val="24"/>
          <w:szCs w:val="24"/>
          <w:highlight w:val="none"/>
        </w:rPr>
        <w:t>车列车外廓尺寸、轴荷及质量限值》；</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ascii="仿宋" w:hAnsi="仿宋" w:eastAsia="仿宋" w:cs="仿宋"/>
          <w:color w:val="auto"/>
          <w:sz w:val="24"/>
          <w:szCs w:val="24"/>
          <w:highlight w:val="none"/>
          <w:lang w:val="en-US" w:eastAsia="zh-CN"/>
        </w:rPr>
        <w:t>-2008</w:t>
      </w:r>
      <w:r>
        <w:rPr>
          <w:rFonts w:hint="eastAsia" w:ascii="仿宋" w:hAnsi="仿宋" w:eastAsia="仿宋" w:cs="仿宋"/>
          <w:color w:val="auto"/>
          <w:sz w:val="24"/>
          <w:szCs w:val="24"/>
          <w:highlight w:val="none"/>
        </w:rPr>
        <w:t>《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color w:val="auto"/>
          <w:sz w:val="24"/>
          <w:szCs w:val="24"/>
          <w:highlight w:val="none"/>
        </w:rPr>
        <w:t xml:space="preserve">单位需求，对外置车灯、灯具加装防护罩； </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720" w:firstLineChars="3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20" w:firstLineChars="300"/>
        <w:jc w:val="left"/>
        <w:textAlignment w:val="auto"/>
        <w:outlineLvl w:val="9"/>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 xml:space="preserve">，在驾乘室可控制扩音器。在车厢两侧、尾部等并联安装红色爆闪灯，警灯、警报器各自采用独立控制开关，车辆顶端四周安装 LED 灯带； </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2" w:firstLineChars="200"/>
        <w:jc w:val="left"/>
        <w:textAlignment w:val="auto"/>
        <w:outlineLvl w:val="9"/>
        <w:rPr>
          <w:rFonts w:hint="eastAsia" w:ascii="仿宋" w:hAnsi="仿宋" w:eastAsia="仿宋" w:cs="仿宋"/>
          <w:b/>
          <w:bCs/>
          <w:color w:val="auto"/>
          <w:spacing w:val="0"/>
          <w:sz w:val="24"/>
          <w:szCs w:val="24"/>
          <w:highlight w:val="none"/>
          <w:lang w:eastAsia="zh-CN"/>
        </w:rPr>
      </w:pPr>
      <w:r>
        <w:rPr>
          <w:rFonts w:hint="eastAsia" w:ascii="仿宋" w:hAnsi="仿宋" w:eastAsia="仿宋" w:cs="仿宋"/>
          <w:b/>
          <w:bCs/>
          <w:color w:val="auto"/>
          <w:spacing w:val="0"/>
          <w:sz w:val="24"/>
          <w:szCs w:val="24"/>
          <w:highlight w:val="none"/>
          <w:lang w:eastAsia="zh-CN"/>
        </w:rPr>
        <w:t>4.</w:t>
      </w:r>
      <w:r>
        <w:rPr>
          <w:rFonts w:hint="eastAsia" w:ascii="仿宋" w:hAnsi="仿宋" w:eastAsia="仿宋" w:cs="仿宋"/>
          <w:b/>
          <w:bCs/>
          <w:color w:val="auto"/>
          <w:spacing w:val="0"/>
          <w:sz w:val="24"/>
          <w:szCs w:val="24"/>
          <w:highlight w:val="none"/>
          <w:lang w:val="en-US" w:eastAsia="zh-CN"/>
        </w:rPr>
        <w:t>2.8</w:t>
      </w:r>
      <w:r>
        <w:rPr>
          <w:rFonts w:hint="eastAsia" w:ascii="仿宋" w:hAnsi="仿宋" w:eastAsia="仿宋" w:cs="仿宋"/>
          <w:b/>
          <w:bCs/>
          <w:color w:val="auto"/>
          <w:spacing w:val="0"/>
          <w:sz w:val="24"/>
          <w:szCs w:val="24"/>
          <w:highlight w:val="none"/>
          <w:lang w:eastAsia="zh-CN"/>
        </w:rPr>
        <w:t xml:space="preserve"> 其他要求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8"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4.</w:t>
      </w:r>
      <w:r>
        <w:rPr>
          <w:rFonts w:hint="eastAsia" w:ascii="仿宋" w:hAnsi="仿宋" w:eastAsia="仿宋" w:cs="仿宋"/>
          <w:color w:val="auto"/>
          <w:spacing w:val="-2"/>
          <w:sz w:val="24"/>
          <w:szCs w:val="24"/>
          <w:highlight w:val="none"/>
          <w:lang w:val="en-US" w:eastAsia="zh-CN"/>
        </w:rPr>
        <w:t>2.8</w:t>
      </w:r>
      <w:r>
        <w:rPr>
          <w:rFonts w:hint="eastAsia" w:ascii="仿宋" w:hAnsi="仿宋" w:eastAsia="仿宋" w:cs="仿宋"/>
          <w:color w:val="auto"/>
          <w:spacing w:val="-2"/>
          <w:sz w:val="24"/>
          <w:szCs w:val="24"/>
          <w:highlight w:val="none"/>
        </w:rPr>
        <w:t>.1 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8"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4.</w:t>
      </w:r>
      <w:r>
        <w:rPr>
          <w:rFonts w:hint="eastAsia" w:ascii="仿宋" w:hAnsi="仿宋" w:eastAsia="仿宋" w:cs="仿宋"/>
          <w:color w:val="auto"/>
          <w:spacing w:val="-2"/>
          <w:sz w:val="24"/>
          <w:szCs w:val="24"/>
          <w:highlight w:val="none"/>
          <w:lang w:val="en-US" w:eastAsia="zh-CN"/>
        </w:rPr>
        <w:t>2.8</w:t>
      </w:r>
      <w:r>
        <w:rPr>
          <w:rFonts w:hint="eastAsia" w:ascii="仿宋" w:hAnsi="仿宋" w:eastAsia="仿宋" w:cs="仿宋"/>
          <w:color w:val="auto"/>
          <w:spacing w:val="-2"/>
          <w:sz w:val="24"/>
          <w:szCs w:val="24"/>
          <w:highlight w:val="none"/>
        </w:rPr>
        <w:t>.2 供货前，须主动对接使用单位，满足用户需求；</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8" w:firstLineChars="300"/>
        <w:jc w:val="left"/>
        <w:textAlignment w:val="auto"/>
        <w:outlineLvl w:val="9"/>
        <w:rPr>
          <w:rFonts w:hint="eastAsia" w:ascii="仿宋" w:hAnsi="仿宋" w:eastAsia="仿宋" w:cs="仿宋"/>
          <w:color w:val="auto"/>
          <w:spacing w:val="-2"/>
          <w:sz w:val="24"/>
          <w:szCs w:val="24"/>
          <w:highlight w:val="none"/>
        </w:rPr>
      </w:pPr>
      <w:r>
        <w:rPr>
          <w:rFonts w:hint="eastAsia" w:ascii="仿宋" w:hAnsi="仿宋" w:eastAsia="仿宋" w:cs="仿宋"/>
          <w:color w:val="auto"/>
          <w:spacing w:val="-2"/>
          <w:sz w:val="24"/>
          <w:szCs w:val="24"/>
          <w:highlight w:val="none"/>
          <w:lang w:eastAsia="zh-CN"/>
        </w:rPr>
        <w:t>4.</w:t>
      </w:r>
      <w:r>
        <w:rPr>
          <w:rFonts w:hint="eastAsia" w:ascii="仿宋" w:hAnsi="仿宋" w:eastAsia="仿宋" w:cs="仿宋"/>
          <w:color w:val="auto"/>
          <w:spacing w:val="-2"/>
          <w:sz w:val="24"/>
          <w:szCs w:val="24"/>
          <w:highlight w:val="none"/>
          <w:lang w:val="en-US" w:eastAsia="zh-CN"/>
        </w:rPr>
        <w:t>2.8</w:t>
      </w:r>
      <w:r>
        <w:rPr>
          <w:rFonts w:hint="eastAsia" w:ascii="仿宋" w:hAnsi="仿宋" w:eastAsia="仿宋" w:cs="仿宋"/>
          <w:color w:val="auto"/>
          <w:spacing w:val="-2"/>
          <w:sz w:val="24"/>
          <w:szCs w:val="24"/>
          <w:highlight w:val="none"/>
        </w:rPr>
        <w:t>.3 交付使用单位时，燃油、尿素等添加液处于满液状态；</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708" w:firstLineChars="300"/>
        <w:jc w:val="left"/>
        <w:textAlignment w:val="auto"/>
        <w:outlineLvl w:val="9"/>
        <w:rPr>
          <w:rFonts w:hint="eastAsia" w:ascii="仿宋" w:hAnsi="仿宋" w:eastAsia="仿宋" w:cs="仿宋"/>
          <w:color w:val="auto"/>
          <w:spacing w:val="-2"/>
          <w:sz w:val="24"/>
          <w:szCs w:val="24"/>
          <w:highlight w:val="none"/>
          <w:lang w:eastAsia="zh-CN"/>
        </w:rPr>
      </w:pPr>
      <w:r>
        <w:rPr>
          <w:rFonts w:hint="eastAsia" w:ascii="仿宋" w:hAnsi="仿宋" w:eastAsia="仿宋" w:cs="仿宋"/>
          <w:color w:val="auto"/>
          <w:spacing w:val="-2"/>
          <w:sz w:val="24"/>
          <w:szCs w:val="24"/>
          <w:highlight w:val="none"/>
          <w:lang w:eastAsia="zh-CN"/>
        </w:rPr>
        <w:t>4.</w:t>
      </w:r>
      <w:r>
        <w:rPr>
          <w:rFonts w:hint="eastAsia" w:ascii="仿宋" w:hAnsi="仿宋" w:eastAsia="仿宋" w:cs="仿宋"/>
          <w:color w:val="auto"/>
          <w:spacing w:val="-2"/>
          <w:sz w:val="24"/>
          <w:szCs w:val="24"/>
          <w:highlight w:val="none"/>
          <w:lang w:val="en-US" w:eastAsia="zh-CN"/>
        </w:rPr>
        <w:t>2.8</w:t>
      </w:r>
      <w:r>
        <w:rPr>
          <w:rFonts w:hint="eastAsia" w:ascii="仿宋" w:hAnsi="仿宋" w:eastAsia="仿宋" w:cs="仿宋"/>
          <w:color w:val="auto"/>
          <w:spacing w:val="-2"/>
          <w:sz w:val="24"/>
          <w:szCs w:val="24"/>
          <w:highlight w:val="none"/>
        </w:rPr>
        <w:t>.4 首次保养（含材料、人工、差旅等）免费</w:t>
      </w:r>
      <w:r>
        <w:rPr>
          <w:rFonts w:hint="eastAsia" w:ascii="仿宋" w:hAnsi="仿宋" w:eastAsia="仿宋" w:cs="仿宋"/>
          <w:color w:val="auto"/>
          <w:spacing w:val="-2"/>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482" w:firstLineChars="200"/>
        <w:jc w:val="left"/>
        <w:textAlignment w:val="auto"/>
        <w:outlineLvl w:val="9"/>
        <w:rPr>
          <w:rFonts w:hint="eastAsia" w:ascii="仿宋" w:hAnsi="仿宋" w:eastAsia="仿宋" w:cs="仿宋"/>
          <w:b/>
          <w:bCs/>
          <w:color w:val="auto"/>
          <w:spacing w:val="0"/>
          <w:sz w:val="24"/>
          <w:szCs w:val="24"/>
          <w:highlight w:val="none"/>
          <w:lang w:eastAsia="zh-CN"/>
        </w:rPr>
      </w:pPr>
      <w:r>
        <w:rPr>
          <w:rFonts w:hint="eastAsia" w:ascii="仿宋" w:hAnsi="仿宋" w:eastAsia="仿宋" w:cs="仿宋"/>
          <w:b/>
          <w:bCs/>
          <w:color w:val="auto"/>
          <w:spacing w:val="0"/>
          <w:sz w:val="24"/>
          <w:szCs w:val="24"/>
          <w:highlight w:val="none"/>
          <w:lang w:eastAsia="zh-CN"/>
        </w:rPr>
        <w:t>4.</w:t>
      </w:r>
      <w:r>
        <w:rPr>
          <w:rFonts w:hint="eastAsia" w:ascii="仿宋" w:hAnsi="仿宋" w:eastAsia="仿宋" w:cs="仿宋"/>
          <w:b/>
          <w:bCs/>
          <w:color w:val="auto"/>
          <w:spacing w:val="0"/>
          <w:sz w:val="24"/>
          <w:szCs w:val="24"/>
          <w:highlight w:val="none"/>
          <w:lang w:val="en-US" w:eastAsia="zh-CN"/>
        </w:rPr>
        <w:t>2.9</w:t>
      </w:r>
      <w:r>
        <w:rPr>
          <w:rFonts w:hint="eastAsia" w:ascii="仿宋" w:hAnsi="仿宋" w:eastAsia="仿宋" w:cs="仿宋"/>
          <w:b/>
          <w:bCs/>
          <w:color w:val="auto"/>
          <w:spacing w:val="0"/>
          <w:sz w:val="24"/>
          <w:szCs w:val="24"/>
          <w:highlight w:val="none"/>
          <w:lang w:eastAsia="zh-CN"/>
        </w:rPr>
        <w:t xml:space="preserve"> 水带敷设消防车随车器材配备表</w:t>
      </w:r>
    </w:p>
    <w:tbl>
      <w:tblPr>
        <w:tblStyle w:val="84"/>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0"/>
        <w:gridCol w:w="2275"/>
        <w:gridCol w:w="3041"/>
        <w:gridCol w:w="1000"/>
        <w:gridCol w:w="224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blHeader/>
          <w:jc w:val="center"/>
        </w:trPr>
        <w:tc>
          <w:tcPr>
            <w:tcW w:w="81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序号</w:t>
            </w:r>
          </w:p>
        </w:tc>
        <w:tc>
          <w:tcPr>
            <w:tcW w:w="2275"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名称</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规</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8"/>
                <w:sz w:val="24"/>
                <w:szCs w:val="24"/>
                <w:highlight w:val="none"/>
              </w:rPr>
              <w:t>格</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数量</w:t>
            </w:r>
          </w:p>
        </w:tc>
        <w:tc>
          <w:tcPr>
            <w:tcW w:w="2248"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275"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水带总成</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10-300-100</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30</w:t>
            </w:r>
            <w:r>
              <w:rPr>
                <w:rFonts w:hint="eastAsia" w:ascii="仿宋" w:hAnsi="仿宋" w:eastAsia="仿宋" w:cs="仿宋"/>
                <w:color w:val="auto"/>
                <w:spacing w:val="-41"/>
                <w:sz w:val="24"/>
                <w:szCs w:val="24"/>
                <w:highlight w:val="none"/>
              </w:rPr>
              <w:t xml:space="preserve"> </w:t>
            </w:r>
            <w:r>
              <w:rPr>
                <w:rFonts w:hint="eastAsia" w:ascii="仿宋" w:hAnsi="仿宋" w:eastAsia="仿宋" w:cs="仿宋"/>
                <w:color w:val="auto"/>
                <w:spacing w:val="-5"/>
                <w:sz w:val="24"/>
                <w:szCs w:val="24"/>
                <w:highlight w:val="none"/>
              </w:rPr>
              <w:t>条</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275"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内扣水带接口扳手</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DN150</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4"/>
                <w:sz w:val="24"/>
                <w:szCs w:val="24"/>
                <w:highlight w:val="none"/>
              </w:rPr>
              <w:t>把</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275"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管式分水器</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DN300-2×DN150/4×DN80</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4"/>
                <w:sz w:val="24"/>
                <w:szCs w:val="24"/>
                <w:highlight w:val="none"/>
              </w:rPr>
              <w:t>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275"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分水器</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DN150-4×DN80</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6"/>
                <w:sz w:val="24"/>
                <w:szCs w:val="24"/>
                <w:highlight w:val="none"/>
              </w:rPr>
              <w:t>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275"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分水水带</w:t>
            </w:r>
          </w:p>
        </w:tc>
        <w:tc>
          <w:tcPr>
            <w:tcW w:w="3041"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16-150-2</w:t>
            </w:r>
          </w:p>
        </w:tc>
        <w:tc>
          <w:tcPr>
            <w:tcW w:w="1000" w:type="dxa"/>
            <w:noWrap w:val="0"/>
            <w:vAlign w:val="center"/>
          </w:tcPr>
          <w:p>
            <w:pPr>
              <w:pStyle w:val="83"/>
              <w:pageBreakBefore w:val="0"/>
              <w:kinsoku/>
              <w:wordWrap/>
              <w:topLinePunct w:val="0"/>
              <w:bidi w:val="0"/>
              <w:spacing w:line="240" w:lineRule="auto"/>
              <w:ind w:left="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6"/>
                <w:sz w:val="24"/>
                <w:szCs w:val="24"/>
                <w:highlight w:val="none"/>
              </w:rPr>
              <w:t>条</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6</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外扣水带接口扳手</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通用型</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4"/>
                <w:sz w:val="24"/>
                <w:szCs w:val="24"/>
                <w:highlight w:val="none"/>
              </w:rPr>
              <w:t>把</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7</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收带引导器</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通用型</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8</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撬棍</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2"/>
                <w:sz w:val="24"/>
                <w:szCs w:val="24"/>
                <w:highlight w:val="none"/>
              </w:rPr>
              <w:t>L=800</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6"/>
                <w:sz w:val="24"/>
                <w:szCs w:val="24"/>
                <w:highlight w:val="none"/>
              </w:rPr>
              <w:t>根</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9</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单向阀</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1"/>
                <w:sz w:val="24"/>
                <w:szCs w:val="24"/>
                <w:highlight w:val="none"/>
              </w:rPr>
              <w:t>DN300</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10</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水带包布</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标配</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4"/>
                <w:sz w:val="24"/>
                <w:szCs w:val="24"/>
                <w:highlight w:val="none"/>
              </w:rPr>
              <w:t>4</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11</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强光手电</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充电式、防水</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6"/>
                <w:sz w:val="24"/>
                <w:szCs w:val="24"/>
                <w:highlight w:val="none"/>
              </w:rPr>
              <w:t>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12</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车轮止动块</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通用型</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6"/>
                <w:sz w:val="24"/>
                <w:szCs w:val="24"/>
                <w:highlight w:val="none"/>
              </w:rPr>
              <w:t>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13</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底盘随车工具</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按底盘标配</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14</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5"/>
                <w:sz w:val="24"/>
                <w:szCs w:val="24"/>
                <w:highlight w:val="none"/>
              </w:rPr>
              <w:t>备胎</w:t>
            </w:r>
          </w:p>
        </w:tc>
        <w:tc>
          <w:tcPr>
            <w:tcW w:w="3041"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pacing w:val="-4"/>
                <w:sz w:val="24"/>
                <w:szCs w:val="24"/>
                <w:highlight w:val="none"/>
              </w:rPr>
            </w:pP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2"/>
                <w:sz w:val="24"/>
                <w:szCs w:val="24"/>
                <w:highlight w:val="none"/>
              </w:rPr>
              <w:t xml:space="preserve"> </w:t>
            </w:r>
            <w:r>
              <w:rPr>
                <w:rFonts w:hint="eastAsia" w:ascii="仿宋" w:hAnsi="仿宋" w:eastAsia="仿宋" w:cs="仿宋"/>
                <w:color w:val="auto"/>
                <w:spacing w:val="-14"/>
                <w:sz w:val="24"/>
                <w:szCs w:val="24"/>
                <w:highlight w:val="none"/>
              </w:rPr>
              <w:t>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15</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水带护桥</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12"/>
                <w:sz w:val="24"/>
                <w:szCs w:val="24"/>
                <w:highlight w:val="none"/>
              </w:rPr>
              <w:t>DN300，钢制，</w:t>
            </w:r>
            <w:r>
              <w:rPr>
                <w:rFonts w:hint="eastAsia" w:ascii="仿宋" w:hAnsi="仿宋" w:eastAsia="仿宋" w:cs="仿宋"/>
                <w:color w:val="auto"/>
                <w:spacing w:val="21"/>
                <w:sz w:val="24"/>
                <w:szCs w:val="24"/>
                <w:highlight w:val="none"/>
              </w:rPr>
              <w:t xml:space="preserve"> </w:t>
            </w:r>
            <w:r>
              <w:rPr>
                <w:rFonts w:hint="eastAsia" w:ascii="仿宋" w:hAnsi="仿宋" w:eastAsia="仿宋" w:cs="仿宋"/>
                <w:color w:val="auto"/>
                <w:spacing w:val="-12"/>
                <w:sz w:val="24"/>
                <w:szCs w:val="24"/>
                <w:highlight w:val="none"/>
              </w:rPr>
              <w:t>6</w:t>
            </w:r>
            <w:r>
              <w:rPr>
                <w:rFonts w:hint="eastAsia" w:ascii="仿宋" w:hAnsi="仿宋" w:eastAsia="仿宋" w:cs="仿宋"/>
                <w:color w:val="auto"/>
                <w:spacing w:val="-45"/>
                <w:sz w:val="24"/>
                <w:szCs w:val="24"/>
                <w:highlight w:val="none"/>
              </w:rPr>
              <w:t xml:space="preserve"> </w:t>
            </w:r>
            <w:r>
              <w:rPr>
                <w:rFonts w:hint="eastAsia" w:ascii="仿宋" w:hAnsi="仿宋" w:eastAsia="仿宋" w:cs="仿宋"/>
                <w:color w:val="auto"/>
                <w:spacing w:val="-12"/>
                <w:sz w:val="24"/>
                <w:szCs w:val="24"/>
                <w:highlight w:val="none"/>
              </w:rPr>
              <w:t>块拼接</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37"/>
                <w:sz w:val="24"/>
                <w:szCs w:val="24"/>
                <w:highlight w:val="none"/>
              </w:rPr>
              <w:t xml:space="preserve"> </w:t>
            </w:r>
            <w:r>
              <w:rPr>
                <w:rFonts w:hint="eastAsia" w:ascii="仿宋" w:hAnsi="仿宋" w:eastAsia="仿宋" w:cs="仿宋"/>
                <w:color w:val="auto"/>
                <w:spacing w:val="-14"/>
                <w:sz w:val="24"/>
                <w:szCs w:val="24"/>
                <w:highlight w:val="none"/>
              </w:rPr>
              <w:t>副</w:t>
            </w:r>
          </w:p>
        </w:tc>
        <w:tc>
          <w:tcPr>
            <w:tcW w:w="2248"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lang w:eastAsia="zh-CN"/>
              </w:rPr>
              <w:t>承</w:t>
            </w:r>
            <w:r>
              <w:rPr>
                <w:rFonts w:hint="eastAsia" w:ascii="仿宋" w:hAnsi="仿宋" w:eastAsia="仿宋" w:cs="仿宋"/>
                <w:color w:val="auto"/>
                <w:spacing w:val="-3"/>
                <w:sz w:val="24"/>
                <w:szCs w:val="24"/>
                <w:highlight w:val="none"/>
              </w:rPr>
              <w:t>载≥30T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16</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激流救生衣</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浮力≥150N</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6</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6"/>
                <w:sz w:val="24"/>
                <w:szCs w:val="24"/>
                <w:highlight w:val="none"/>
              </w:rPr>
              <w:t>件</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17</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8"/>
                <w:sz w:val="24"/>
                <w:szCs w:val="24"/>
                <w:highlight w:val="none"/>
              </w:rPr>
              <w:t>防滑链</w:t>
            </w:r>
          </w:p>
        </w:tc>
        <w:tc>
          <w:tcPr>
            <w:tcW w:w="3041"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pacing w:val="-4"/>
                <w:sz w:val="24"/>
                <w:szCs w:val="24"/>
                <w:highlight w:val="none"/>
              </w:rPr>
            </w:pP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防滑链数量与轮胎数量相匹配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18</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3"/>
                <w:sz w:val="24"/>
                <w:szCs w:val="24"/>
                <w:highlight w:val="none"/>
              </w:rPr>
              <w:t>踏板气弹簧</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9"/>
                <w:sz w:val="24"/>
                <w:szCs w:val="24"/>
                <w:highlight w:val="none"/>
              </w:rPr>
              <w:t>每个型号</w:t>
            </w:r>
            <w:r>
              <w:rPr>
                <w:rFonts w:hint="eastAsia" w:ascii="仿宋" w:hAnsi="仿宋" w:eastAsia="仿宋" w:cs="仿宋"/>
                <w:color w:val="auto"/>
                <w:spacing w:val="-32"/>
                <w:sz w:val="24"/>
                <w:szCs w:val="24"/>
                <w:highlight w:val="none"/>
              </w:rPr>
              <w:t xml:space="preserve"> </w:t>
            </w:r>
            <w:r>
              <w:rPr>
                <w:rFonts w:hint="eastAsia" w:ascii="仿宋" w:hAnsi="仿宋" w:eastAsia="仿宋" w:cs="仿宋"/>
                <w:color w:val="auto"/>
                <w:spacing w:val="-9"/>
                <w:sz w:val="24"/>
                <w:szCs w:val="24"/>
                <w:highlight w:val="none"/>
              </w:rPr>
              <w:t>1</w:t>
            </w:r>
            <w:r>
              <w:rPr>
                <w:rFonts w:hint="eastAsia" w:ascii="仿宋" w:hAnsi="仿宋" w:eastAsia="仿宋" w:cs="仿宋"/>
                <w:color w:val="auto"/>
                <w:spacing w:val="-43"/>
                <w:sz w:val="24"/>
                <w:szCs w:val="24"/>
                <w:highlight w:val="none"/>
              </w:rPr>
              <w:t xml:space="preserve"> </w:t>
            </w:r>
            <w:r>
              <w:rPr>
                <w:rFonts w:hint="eastAsia" w:ascii="仿宋" w:hAnsi="仿宋" w:eastAsia="仿宋" w:cs="仿宋"/>
                <w:color w:val="auto"/>
                <w:spacing w:val="-9"/>
                <w:sz w:val="24"/>
                <w:szCs w:val="24"/>
                <w:highlight w:val="none"/>
              </w:rPr>
              <w:t>根</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14"/>
                <w:sz w:val="24"/>
                <w:szCs w:val="24"/>
                <w:highlight w:val="none"/>
              </w:rPr>
              <w:t>1</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14"/>
                <w:sz w:val="24"/>
                <w:szCs w:val="24"/>
                <w:highlight w:val="none"/>
              </w:rPr>
              <w:t>套</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jc w:val="center"/>
        </w:trPr>
        <w:tc>
          <w:tcPr>
            <w:tcW w:w="810" w:type="dxa"/>
            <w:noWrap w:val="0"/>
            <w:vAlign w:val="center"/>
          </w:tcPr>
          <w:p>
            <w:pPr>
              <w:pStyle w:val="83"/>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19</w:t>
            </w:r>
          </w:p>
        </w:tc>
        <w:tc>
          <w:tcPr>
            <w:tcW w:w="2275"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6"/>
                <w:sz w:val="24"/>
                <w:szCs w:val="24"/>
                <w:highlight w:val="none"/>
              </w:rPr>
              <w:t>千斤顶</w:t>
            </w:r>
          </w:p>
        </w:tc>
        <w:tc>
          <w:tcPr>
            <w:tcW w:w="3041"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4"/>
                <w:sz w:val="24"/>
                <w:szCs w:val="24"/>
                <w:highlight w:val="none"/>
              </w:rPr>
            </w:pPr>
            <w:r>
              <w:rPr>
                <w:rFonts w:hint="eastAsia" w:ascii="仿宋" w:hAnsi="仿宋" w:eastAsia="仿宋" w:cs="仿宋"/>
                <w:color w:val="auto"/>
                <w:spacing w:val="0"/>
                <w:sz w:val="24"/>
                <w:szCs w:val="24"/>
                <w:highlight w:val="none"/>
                <w:lang w:eastAsia="zh-CN"/>
              </w:rPr>
              <w:t>≥</w:t>
            </w:r>
            <w:r>
              <w:rPr>
                <w:rFonts w:hint="eastAsia" w:ascii="仿宋" w:hAnsi="仿宋" w:eastAsia="仿宋" w:cs="仿宋"/>
                <w:color w:val="auto"/>
                <w:spacing w:val="-3"/>
                <w:sz w:val="24"/>
                <w:szCs w:val="24"/>
                <w:highlight w:val="none"/>
              </w:rPr>
              <w:t>20t</w:t>
            </w:r>
          </w:p>
        </w:tc>
        <w:tc>
          <w:tcPr>
            <w:tcW w:w="1000" w:type="dxa"/>
            <w:noWrap w:val="0"/>
            <w:vAlign w:val="center"/>
          </w:tcPr>
          <w:p>
            <w:pPr>
              <w:pStyle w:val="83"/>
              <w:pageBreakBefore w:val="0"/>
              <w:kinsoku/>
              <w:wordWrap/>
              <w:topLinePunct w:val="0"/>
              <w:bidi w:val="0"/>
              <w:spacing w:line="240" w:lineRule="auto"/>
              <w:ind w:left="0" w:leftChars="0" w:firstLine="0" w:firstLineChars="0"/>
              <w:jc w:val="center"/>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44"/>
                <w:sz w:val="24"/>
                <w:szCs w:val="24"/>
                <w:highlight w:val="none"/>
              </w:rPr>
              <w:t xml:space="preserve"> </w:t>
            </w:r>
            <w:r>
              <w:rPr>
                <w:rFonts w:hint="eastAsia" w:ascii="仿宋" w:hAnsi="仿宋" w:eastAsia="仿宋" w:cs="仿宋"/>
                <w:color w:val="auto"/>
                <w:spacing w:val="-6"/>
                <w:sz w:val="24"/>
                <w:szCs w:val="24"/>
                <w:highlight w:val="none"/>
              </w:rPr>
              <w:t>个</w:t>
            </w:r>
          </w:p>
        </w:tc>
        <w:tc>
          <w:tcPr>
            <w:tcW w:w="2248" w:type="dxa"/>
            <w:noWrap w:val="0"/>
            <w:vAlign w:val="center"/>
          </w:tcPr>
          <w:p>
            <w:pPr>
              <w:pageBreakBefore w:val="0"/>
              <w:kinsoku/>
              <w:wordWrap/>
              <w:topLinePunct w:val="0"/>
              <w:bidi w:val="0"/>
              <w:spacing w:line="240" w:lineRule="auto"/>
              <w:ind w:firstLine="0" w:firstLineChars="0"/>
              <w:jc w:val="center"/>
              <w:rPr>
                <w:rFonts w:hint="eastAsia" w:ascii="仿宋" w:hAnsi="仿宋" w:eastAsia="仿宋" w:cs="仿宋"/>
                <w:color w:val="auto"/>
                <w:sz w:val="24"/>
                <w:szCs w:val="24"/>
                <w:highlight w:val="none"/>
              </w:rPr>
            </w:pPr>
          </w:p>
        </w:tc>
      </w:tr>
    </w:tbl>
    <w:p>
      <w:pPr>
        <w:pStyle w:val="15"/>
        <w:ind w:left="0" w:leftChars="0" w:firstLine="0" w:firstLineChars="0"/>
        <w:rPr>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8" w:name="_Toc2591"/>
      <w:r>
        <w:rPr>
          <w:rFonts w:hint="eastAsia" w:ascii="仿宋" w:hAnsi="仿宋" w:eastAsia="仿宋" w:cs="仿宋"/>
          <w:color w:val="auto"/>
          <w:sz w:val="28"/>
          <w:szCs w:val="28"/>
          <w:highlight w:val="none"/>
          <w:lang w:val="en-US" w:eastAsia="zh-CN"/>
        </w:rPr>
        <w:t>品目19：大型排涝车B</w:t>
      </w:r>
      <w:bookmarkEnd w:id="378"/>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一、货物名称：大型排涝车</w:t>
      </w:r>
      <w:r>
        <w:rPr>
          <w:rFonts w:hint="eastAsia" w:ascii="Times New Roman" w:hAnsi="Times New Roman" w:eastAsia="仿宋" w:cs="Times New Roman"/>
          <w:b w:val="0"/>
          <w:bCs w:val="0"/>
          <w:color w:val="auto"/>
          <w:sz w:val="24"/>
          <w:szCs w:val="24"/>
          <w:highlight w:val="none"/>
          <w:lang w:val="en-US" w:eastAsia="zh-CN"/>
        </w:rPr>
        <w:t>B</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二、主要规格：国产底盘</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三、数量：</w:t>
      </w:r>
      <w:r>
        <w:rPr>
          <w:rFonts w:hint="default" w:ascii="Times New Roman" w:hAnsi="Times New Roman" w:eastAsia="仿宋" w:cs="Times New Roman"/>
          <w:b w:val="0"/>
          <w:bCs w:val="0"/>
          <w:color w:val="auto"/>
          <w:sz w:val="24"/>
          <w:szCs w:val="24"/>
          <w:highlight w:val="none"/>
          <w:lang w:val="en-US" w:eastAsia="zh-CN"/>
        </w:rPr>
        <w:t>3</w:t>
      </w:r>
      <w:r>
        <w:rPr>
          <w:rFonts w:hint="default" w:ascii="Times New Roman" w:hAnsi="Times New Roman" w:eastAsia="仿宋" w:cs="Times New Roman"/>
          <w:b w:val="0"/>
          <w:bCs w:val="0"/>
          <w:color w:val="auto"/>
          <w:sz w:val="24"/>
          <w:szCs w:val="24"/>
          <w:highlight w:val="none"/>
          <w:lang w:eastAsia="zh-CN"/>
        </w:rPr>
        <w:t>（辆）</w:t>
      </w:r>
    </w:p>
    <w:p>
      <w:pPr>
        <w:keepNext w:val="0"/>
        <w:keepLines w:val="0"/>
        <w:pageBreakBefore w:val="0"/>
        <w:widowControl/>
        <w:tabs>
          <w:tab w:val="left" w:pos="0"/>
        </w:tabs>
        <w:kinsoku/>
        <w:wordWrap/>
        <w:overflowPunct/>
        <w:topLinePunct w:val="0"/>
        <w:autoSpaceDE/>
        <w:autoSpaceDN/>
        <w:bidi w:val="0"/>
        <w:adjustRightInd w:val="0"/>
        <w:snapToGrid w:val="0"/>
        <w:spacing w:line="460" w:lineRule="exact"/>
        <w:ind w:left="0" w:leftChars="0" w:right="0" w:rightChars="0" w:firstLine="0" w:firstLineChars="0"/>
        <w:jc w:val="both"/>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四、主要技术参数及要求：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4.1整车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4.1.1整车尺寸：长×宽×高（mm）：≤1</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000×2550×4000；</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4.2底盘</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4.2.1发动机额定功率：≥</w:t>
      </w:r>
      <w:r>
        <w:rPr>
          <w:rFonts w:hint="eastAsia" w:ascii="仿宋" w:hAnsi="仿宋" w:eastAsia="仿宋" w:cs="仿宋"/>
          <w:b w:val="0"/>
          <w:bCs w:val="0"/>
          <w:color w:val="auto"/>
          <w:sz w:val="24"/>
          <w:szCs w:val="24"/>
          <w:highlight w:val="none"/>
          <w:lang w:val="en-US" w:eastAsia="zh-CN"/>
        </w:rPr>
        <w:t>270</w:t>
      </w:r>
      <w:r>
        <w:rPr>
          <w:rFonts w:hint="eastAsia" w:ascii="仿宋" w:hAnsi="仿宋" w:eastAsia="仿宋" w:cs="仿宋"/>
          <w:b w:val="0"/>
          <w:bCs w:val="0"/>
          <w:color w:val="auto"/>
          <w:sz w:val="24"/>
          <w:szCs w:val="24"/>
          <w:highlight w:val="none"/>
          <w:lang w:eastAsia="zh-CN"/>
        </w:rPr>
        <w:t>kw；</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eastAsia="zh-CN"/>
        </w:rPr>
        <w:t>4.2.2驱动</w:t>
      </w:r>
      <w:r>
        <w:rPr>
          <w:rFonts w:hint="eastAsia" w:ascii="仿宋" w:hAnsi="仿宋" w:eastAsia="仿宋" w:cs="仿宋"/>
          <w:b w:val="0"/>
          <w:bCs w:val="0"/>
          <w:color w:val="auto"/>
          <w:sz w:val="24"/>
          <w:szCs w:val="24"/>
          <w:highlight w:val="none"/>
          <w:lang w:val="en-US" w:eastAsia="zh-CN"/>
        </w:rPr>
        <w:t>形式</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4.2.3燃料：柴油；油箱容量≥200L；</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4.2.4尾气排放：符合国Ⅵ标准；</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4.2.5最高车速：≥9</w:t>
      </w:r>
      <w:r>
        <w:rPr>
          <w:rFonts w:hint="eastAsia" w:ascii="仿宋" w:hAnsi="仿宋" w:eastAsia="仿宋" w:cs="仿宋"/>
          <w:b w:val="0"/>
          <w:bCs w:val="0"/>
          <w:color w:val="auto"/>
          <w:sz w:val="24"/>
          <w:szCs w:val="24"/>
          <w:highlight w:val="none"/>
          <w:lang w:val="en-US" w:eastAsia="zh-CN"/>
        </w:rPr>
        <w:t>0</w:t>
      </w:r>
      <w:r>
        <w:rPr>
          <w:rFonts w:hint="eastAsia" w:ascii="仿宋" w:hAnsi="仿宋" w:eastAsia="仿宋" w:cs="仿宋"/>
          <w:b w:val="0"/>
          <w:bCs w:val="0"/>
          <w:color w:val="auto"/>
          <w:sz w:val="24"/>
          <w:szCs w:val="24"/>
          <w:highlight w:val="none"/>
          <w:lang w:eastAsia="zh-CN"/>
        </w:rPr>
        <w:t>km/h；</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配置子午线钢丝轮胎、胎压监测系统、360°全景行车记录仪(内存不小于128G),配备350-400MHz工作频率范围车载台、</w:t>
      </w:r>
      <w:r>
        <w:rPr>
          <w:rFonts w:hint="eastAsia" w:ascii="仿宋" w:hAnsi="仿宋" w:eastAsia="仿宋" w:cs="仿宋"/>
          <w:color w:val="auto"/>
          <w:kern w:val="0"/>
          <w:sz w:val="24"/>
          <w:szCs w:val="24"/>
          <w:highlight w:val="none"/>
          <w:lang w:eastAsia="zh-CN"/>
        </w:rPr>
        <w:t>单北斗卫星定位装置（可接入国家局现有北斗消防综合管理服务平台）</w:t>
      </w:r>
      <w:r>
        <w:rPr>
          <w:rFonts w:hint="eastAsia" w:ascii="仿宋" w:hAnsi="仿宋" w:eastAsia="仿宋" w:cs="仿宋"/>
          <w:b w:val="0"/>
          <w:bCs w:val="0"/>
          <w:color w:val="auto"/>
          <w:sz w:val="24"/>
          <w:szCs w:val="24"/>
          <w:highlight w:val="none"/>
          <w:lang w:eastAsia="zh-CN"/>
        </w:rPr>
        <w:t>，带倒车告警蜂鸣器、倒车摄像头和驾驶室内监视器，监视器屏幕≥10英寸；</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4.2.</w:t>
      </w:r>
      <w:r>
        <w:rPr>
          <w:rFonts w:hint="eastAsia" w:ascii="仿宋" w:hAnsi="仿宋" w:eastAsia="仿宋" w:cs="仿宋"/>
          <w:b w:val="0"/>
          <w:bCs w:val="0"/>
          <w:color w:val="auto"/>
          <w:sz w:val="24"/>
          <w:szCs w:val="24"/>
          <w:highlight w:val="none"/>
          <w:lang w:val="en-US" w:eastAsia="zh-CN"/>
        </w:rPr>
        <w:t>7</w:t>
      </w:r>
      <w:r>
        <w:rPr>
          <w:rFonts w:hint="eastAsia" w:ascii="仿宋" w:hAnsi="仿宋" w:eastAsia="仿宋" w:cs="仿宋"/>
          <w:b w:val="0"/>
          <w:bCs w:val="0"/>
          <w:color w:val="auto"/>
          <w:sz w:val="24"/>
          <w:szCs w:val="24"/>
          <w:highlight w:val="none"/>
          <w:lang w:eastAsia="zh-CN"/>
        </w:rPr>
        <w:t>制动系统：前轮盘式制动器，ABS（防抱死制动系统）或EBS（电控制动系统）；</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4.3驾乘室</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w:t>
      </w:r>
      <w:r>
        <w:rPr>
          <w:rFonts w:hint="eastAsia" w:ascii="仿宋" w:hAnsi="仿宋" w:eastAsia="仿宋" w:cs="仿宋"/>
          <w:b w:val="0"/>
          <w:bCs w:val="0"/>
          <w:color w:val="auto"/>
          <w:sz w:val="24"/>
          <w:szCs w:val="24"/>
          <w:highlight w:val="none"/>
          <w:lang w:val="en-US" w:eastAsia="zh-CN"/>
        </w:rPr>
        <w:t>3</w:t>
      </w:r>
      <w:r>
        <w:rPr>
          <w:rFonts w:hint="eastAsia" w:ascii="仿宋" w:hAnsi="仿宋" w:eastAsia="仿宋" w:cs="仿宋"/>
          <w:b w:val="0"/>
          <w:bCs w:val="0"/>
          <w:color w:val="auto"/>
          <w:sz w:val="24"/>
          <w:szCs w:val="24"/>
          <w:highlight w:val="none"/>
          <w:lang w:eastAsia="zh-CN"/>
        </w:rPr>
        <w:t>.1结构：</w:t>
      </w:r>
      <w:r>
        <w:rPr>
          <w:rFonts w:hint="eastAsia" w:ascii="仿宋" w:hAnsi="仿宋" w:eastAsia="仿宋" w:cs="仿宋"/>
          <w:b w:val="0"/>
          <w:bCs w:val="0"/>
          <w:color w:val="auto"/>
          <w:sz w:val="24"/>
          <w:szCs w:val="24"/>
          <w:highlight w:val="none"/>
          <w:lang w:val="en-US" w:eastAsia="zh-CN"/>
        </w:rPr>
        <w:t>2门</w:t>
      </w:r>
      <w:r>
        <w:rPr>
          <w:rFonts w:hint="eastAsia" w:ascii="仿宋" w:hAnsi="仿宋" w:eastAsia="仿宋" w:cs="仿宋"/>
          <w:b w:val="0"/>
          <w:bCs w:val="0"/>
          <w:color w:val="auto"/>
          <w:sz w:val="24"/>
          <w:szCs w:val="24"/>
          <w:highlight w:val="none"/>
          <w:lang w:eastAsia="zh-CN"/>
        </w:rPr>
        <w:t>单排，全钢冲压件焊接；</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4.3.2座位设置：乘员≥</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lang w:eastAsia="zh-CN"/>
        </w:rPr>
        <w:t>人，消防车座椅应全部设置安全带；</w:t>
      </w:r>
    </w:p>
    <w:p>
      <w:pPr>
        <w:keepNext w:val="0"/>
        <w:keepLines w:val="0"/>
        <w:pageBreakBefore w:val="0"/>
        <w:kinsoku/>
        <w:wordWrap/>
        <w:overflowPunct/>
        <w:topLinePunct w:val="0"/>
        <w:autoSpaceDE/>
        <w:autoSpaceDN/>
        <w:bidi w:val="0"/>
        <w:spacing w:line="480" w:lineRule="exact"/>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4.3.3驾驶室设备：</w:t>
      </w:r>
      <w:r>
        <w:rPr>
          <w:rFonts w:hint="eastAsia" w:ascii="仿宋" w:hAnsi="仿宋" w:eastAsia="仿宋" w:cs="仿宋"/>
          <w:color w:val="auto"/>
          <w:sz w:val="24"/>
          <w:szCs w:val="24"/>
          <w:highlight w:val="none"/>
        </w:rPr>
        <w:t>除原车设备外，</w:t>
      </w:r>
      <w:r>
        <w:rPr>
          <w:rFonts w:hint="eastAsia" w:ascii="仿宋" w:hAnsi="仿宋" w:eastAsia="仿宋" w:cs="仿宋"/>
          <w:color w:val="auto"/>
          <w:sz w:val="24"/>
          <w:szCs w:val="24"/>
          <w:highlight w:val="none"/>
          <w:lang w:val="en-US" w:eastAsia="zh-CN"/>
        </w:rPr>
        <w:t>加装警报器、警灯开关，设置冷暖</w:t>
      </w:r>
      <w:r>
        <w:rPr>
          <w:rFonts w:hint="eastAsia" w:ascii="仿宋" w:hAnsi="仿宋" w:eastAsia="仿宋" w:cs="仿宋"/>
          <w:color w:val="auto"/>
          <w:sz w:val="24"/>
          <w:szCs w:val="24"/>
          <w:highlight w:val="none"/>
        </w:rPr>
        <w:t>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收音机、车载带USB接口，预留电台电源线桩头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配备两组 12V、两组 24V、一组 220V 电源接口</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 xml:space="preserve">； </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4.4主要性能及配置</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4.4.1</w:t>
      </w:r>
      <w:r>
        <w:rPr>
          <w:rFonts w:hint="eastAsia" w:ascii="仿宋" w:hAnsi="仿宋" w:eastAsia="仿宋" w:cs="仿宋"/>
          <w:b w:val="0"/>
          <w:bCs w:val="0"/>
          <w:color w:val="auto"/>
          <w:sz w:val="24"/>
          <w:szCs w:val="24"/>
          <w:highlight w:val="none"/>
          <w:lang w:val="en-US" w:eastAsia="zh-CN"/>
        </w:rPr>
        <w:t>泵浦系统</w:t>
      </w:r>
    </w:p>
    <w:p>
      <w:pPr>
        <w:pStyle w:val="15"/>
        <w:keepNext w:val="0"/>
        <w:keepLines w:val="0"/>
        <w:pageBreakBefore w:val="0"/>
        <w:kinsoku/>
        <w:wordWrap/>
        <w:overflowPunct/>
        <w:topLinePunct w:val="0"/>
        <w:autoSpaceDE/>
        <w:autoSpaceDN/>
        <w:bidi w:val="0"/>
        <w:adjustRightInd/>
        <w:snapToGrid/>
        <w:spacing w:after="0" w:line="480" w:lineRule="exact"/>
        <w:ind w:left="0" w:leftChars="0" w:right="0" w:rightChars="0" w:firstLine="720" w:firstLineChars="3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4.4.1.1单泵最大排水量（m</w:t>
      </w:r>
      <w:r>
        <w:rPr>
          <w:rFonts w:hint="eastAsia" w:ascii="仿宋" w:hAnsi="仿宋" w:eastAsia="仿宋" w:cs="仿宋"/>
          <w:b w:val="0"/>
          <w:bCs w:val="0"/>
          <w:color w:val="auto"/>
          <w:sz w:val="24"/>
          <w:szCs w:val="24"/>
          <w:highlight w:val="none"/>
          <w:vertAlign w:val="superscript"/>
          <w:lang w:val="en-US" w:eastAsia="zh-CN"/>
        </w:rPr>
        <w:t>3</w:t>
      </w:r>
      <w:r>
        <w:rPr>
          <w:rFonts w:hint="eastAsia" w:ascii="仿宋" w:hAnsi="仿宋" w:eastAsia="仿宋" w:cs="仿宋"/>
          <w:b w:val="0"/>
          <w:bCs w:val="0"/>
          <w:color w:val="auto"/>
          <w:sz w:val="24"/>
          <w:szCs w:val="24"/>
          <w:highlight w:val="none"/>
          <w:lang w:val="en-US" w:eastAsia="zh-CN"/>
        </w:rPr>
        <w:t>/h）≥3000；</w:t>
      </w:r>
    </w:p>
    <w:p>
      <w:pPr>
        <w:pStyle w:val="15"/>
        <w:keepNext w:val="0"/>
        <w:keepLines w:val="0"/>
        <w:pageBreakBefore w:val="0"/>
        <w:kinsoku/>
        <w:wordWrap/>
        <w:overflowPunct/>
        <w:topLinePunct w:val="0"/>
        <w:autoSpaceDE/>
        <w:autoSpaceDN/>
        <w:bidi w:val="0"/>
        <w:adjustRightInd/>
        <w:snapToGrid/>
        <w:spacing w:after="0" w:line="480" w:lineRule="exact"/>
        <w:ind w:left="0" w:leftChars="0" w:right="0" w:rightChars="0" w:firstLine="720" w:firstLineChars="3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4.4.1.2水泵最大扬程（m）≥15；</w:t>
      </w:r>
    </w:p>
    <w:p>
      <w:pPr>
        <w:pStyle w:val="15"/>
        <w:keepNext w:val="0"/>
        <w:keepLines w:val="0"/>
        <w:pageBreakBefore w:val="0"/>
        <w:kinsoku/>
        <w:wordWrap/>
        <w:overflowPunct/>
        <w:topLinePunct w:val="0"/>
        <w:autoSpaceDE/>
        <w:autoSpaceDN/>
        <w:bidi w:val="0"/>
        <w:adjustRightInd/>
        <w:snapToGrid/>
        <w:spacing w:after="0" w:line="480" w:lineRule="exact"/>
        <w:ind w:left="0" w:leftChars="0" w:right="0" w:rightChars="0" w:firstLine="720" w:firstLineChars="3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4.4.1.3最大吸水深度（mm）≥500；</w:t>
      </w:r>
    </w:p>
    <w:p>
      <w:pPr>
        <w:pStyle w:val="15"/>
        <w:keepNext w:val="0"/>
        <w:keepLines w:val="0"/>
        <w:pageBreakBefore w:val="0"/>
        <w:kinsoku/>
        <w:wordWrap/>
        <w:overflowPunct/>
        <w:topLinePunct w:val="0"/>
        <w:autoSpaceDE/>
        <w:autoSpaceDN/>
        <w:bidi w:val="0"/>
        <w:spacing w:after="0" w:line="480" w:lineRule="exact"/>
        <w:ind w:left="0" w:leftChars="0" w:right="0" w:righ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4.4.2控制系统：母车应设置控制面板、履带车控制系统、水带或油管收放系统、通过无线+有线遥控系统控制等；</w:t>
      </w:r>
    </w:p>
    <w:p>
      <w:pPr>
        <w:pStyle w:val="15"/>
        <w:keepNext w:val="0"/>
        <w:keepLines w:val="0"/>
        <w:pageBreakBefore w:val="0"/>
        <w:kinsoku/>
        <w:wordWrap/>
        <w:overflowPunct/>
        <w:topLinePunct w:val="0"/>
        <w:autoSpaceDE/>
        <w:autoSpaceDN/>
        <w:bidi w:val="0"/>
        <w:spacing w:after="0" w:line="480" w:lineRule="exact"/>
        <w:ind w:left="0" w:leftChars="0" w:right="0" w:rightChars="0" w:firstLine="480" w:firstLineChars="2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4.4.3排水子车</w:t>
      </w:r>
    </w:p>
    <w:p>
      <w:pPr>
        <w:pStyle w:val="15"/>
        <w:keepNext w:val="0"/>
        <w:keepLines w:val="0"/>
        <w:pageBreakBefore w:val="0"/>
        <w:kinsoku/>
        <w:wordWrap/>
        <w:overflowPunct/>
        <w:topLinePunct w:val="0"/>
        <w:autoSpaceDE/>
        <w:autoSpaceDN/>
        <w:bidi w:val="0"/>
        <w:adjustRightInd/>
        <w:snapToGrid/>
        <w:spacing w:after="0" w:line="480" w:lineRule="exact"/>
        <w:ind w:left="0" w:leftChars="0" w:right="0" w:rightChars="0" w:firstLine="720" w:firstLineChars="30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4.4.3.1行走装置：橡胶履带；</w:t>
      </w:r>
    </w:p>
    <w:p>
      <w:pPr>
        <w:keepNext w:val="0"/>
        <w:keepLines w:val="0"/>
        <w:pageBreakBefore w:val="0"/>
        <w:widowControl/>
        <w:kinsoku/>
        <w:wordWrap/>
        <w:overflowPunct/>
        <w:topLinePunct w:val="0"/>
        <w:autoSpaceDE/>
        <w:autoSpaceDN/>
        <w:bidi w:val="0"/>
        <w:adjustRightInd/>
        <w:snapToGrid/>
        <w:spacing w:line="480" w:lineRule="exact"/>
        <w:ind w:left="0" w:leftChars="0" w:right="0" w:rightChars="0" w:firstLine="720" w:firstLineChars="3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4.4.3.2</w:t>
      </w:r>
      <w:r>
        <w:rPr>
          <w:rFonts w:hint="eastAsia" w:ascii="仿宋" w:hAnsi="仿宋" w:eastAsia="仿宋" w:cs="仿宋"/>
          <w:color w:val="auto"/>
          <w:sz w:val="24"/>
          <w:szCs w:val="24"/>
          <w:highlight w:val="none"/>
        </w:rPr>
        <w:t>排水子车拖拽液压软管可驶离母车距离</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0m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软管卷盘可实现随动收放</w:t>
      </w:r>
      <w:r>
        <w:rPr>
          <w:rFonts w:hint="eastAsia" w:ascii="仿宋" w:hAnsi="仿宋" w:eastAsia="仿宋" w:cs="仿宋"/>
          <w:color w:val="auto"/>
          <w:sz w:val="24"/>
          <w:szCs w:val="24"/>
          <w:highlight w:val="none"/>
          <w:lang w:eastAsia="zh-CN"/>
        </w:rPr>
        <w:t>；</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4.5总体要求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4.5.1整车性能符合GB7956.1-2014《消防车 第1部分：通用技术条件》、GB1589-2016《汽车、挂车及汽车列车外廓尺寸、轴荷及质量限值》；</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4.5.2车身颜色符合GB/T3181</w:t>
      </w:r>
      <w:r>
        <w:rPr>
          <w:rFonts w:hint="eastAsia" w:ascii="仿宋" w:hAnsi="仿宋" w:eastAsia="仿宋" w:cs="仿宋"/>
          <w:b w:val="0"/>
          <w:bCs w:val="0"/>
          <w:color w:val="auto"/>
          <w:sz w:val="24"/>
          <w:szCs w:val="24"/>
          <w:highlight w:val="none"/>
          <w:lang w:val="en-US" w:eastAsia="zh-CN"/>
        </w:rPr>
        <w:t>-2008</w:t>
      </w:r>
      <w:r>
        <w:rPr>
          <w:rFonts w:hint="eastAsia" w:ascii="仿宋" w:hAnsi="仿宋" w:eastAsia="仿宋" w:cs="仿宋"/>
          <w:color w:val="auto"/>
          <w:sz w:val="24"/>
          <w:szCs w:val="24"/>
          <w:highlight w:val="none"/>
        </w:rPr>
        <w:t>《漆膜颜色标准》</w:t>
      </w:r>
      <w:r>
        <w:rPr>
          <w:rFonts w:hint="eastAsia" w:ascii="仿宋" w:hAnsi="仿宋" w:eastAsia="仿宋" w:cs="仿宋"/>
          <w:b w:val="0"/>
          <w:bCs w:val="0"/>
          <w:color w:val="auto"/>
          <w:sz w:val="24"/>
          <w:szCs w:val="24"/>
          <w:highlight w:val="none"/>
          <w:lang w:eastAsia="zh-CN"/>
        </w:rPr>
        <w:t>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4.5.3在确保不影响车辆安全行驶的前提下，根据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单位需求，对外置车灯、灯具加装防护罩；</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4.5.4所有功能开关需加功能标签，便于识别；</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w:t>
      </w: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color w:val="auto"/>
          <w:sz w:val="24"/>
          <w:szCs w:val="24"/>
          <w:highlight w:val="none"/>
        </w:rPr>
        <w:t>警报灯具：</w:t>
      </w:r>
      <w:r>
        <w:rPr>
          <w:rFonts w:hint="eastAsia" w:ascii="仿宋" w:hAnsi="仿宋" w:eastAsia="仿宋" w:cs="仿宋"/>
          <w:color w:val="auto"/>
          <w:kern w:val="0"/>
          <w:sz w:val="24"/>
          <w:szCs w:val="24"/>
          <w:highlight w:val="none"/>
        </w:rPr>
        <w:t>驾乘室顶部安装消防专用灯具，驾乘室内设置警报器和扩音系统</w:t>
      </w:r>
      <w:r>
        <w:rPr>
          <w:rFonts w:hint="eastAsia" w:ascii="仿宋" w:hAnsi="仿宋" w:eastAsia="仿宋" w:cs="仿宋"/>
          <w:color w:val="auto"/>
          <w:kern w:val="0"/>
          <w:sz w:val="24"/>
          <w:szCs w:val="24"/>
          <w:highlight w:val="none"/>
          <w:lang w:eastAsia="zh-CN"/>
        </w:rPr>
        <w:t>(功率≥100W)</w:t>
      </w:r>
      <w:r>
        <w:rPr>
          <w:rFonts w:hint="eastAsia" w:ascii="仿宋" w:hAnsi="仿宋" w:eastAsia="仿宋" w:cs="仿宋"/>
          <w:color w:val="auto"/>
          <w:kern w:val="0"/>
          <w:sz w:val="24"/>
          <w:szCs w:val="24"/>
          <w:highlight w:val="none"/>
        </w:rPr>
        <w:t>，在驾乘室可控制扩音器。在车厢两侧、尾部等并联安装红色爆闪灯，警灯、警报器各自采用独立控制开关，车辆顶端四周安装 LED 灯带；</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4.5.</w:t>
      </w:r>
      <w:r>
        <w:rPr>
          <w:rFonts w:hint="eastAsia" w:ascii="仿宋" w:hAnsi="仿宋" w:eastAsia="仿宋" w:cs="仿宋"/>
          <w:b w:val="0"/>
          <w:bCs w:val="0"/>
          <w:color w:val="auto"/>
          <w:sz w:val="24"/>
          <w:szCs w:val="24"/>
          <w:highlight w:val="none"/>
          <w:lang w:val="en-US" w:eastAsia="zh-CN"/>
        </w:rPr>
        <w:t>6</w:t>
      </w:r>
      <w:r>
        <w:rPr>
          <w:rFonts w:hint="eastAsia" w:ascii="仿宋" w:hAnsi="仿宋" w:eastAsia="仿宋" w:cs="仿宋"/>
          <w:b w:val="0"/>
          <w:bCs w:val="0"/>
          <w:color w:val="auto"/>
          <w:sz w:val="24"/>
          <w:szCs w:val="24"/>
          <w:highlight w:val="none"/>
          <w:lang w:eastAsia="zh-CN"/>
        </w:rPr>
        <w:t>投标人在器材箱结构设计布置时需提前与</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单位联系，根据</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单位提供的装载器材种类及数量进行定位、定量设计器材箱结构，设计方案必须经</w:t>
      </w:r>
      <w:r>
        <w:rPr>
          <w:rFonts w:hint="eastAsia" w:ascii="Times New Roman" w:hAnsi="Times New Roman" w:eastAsia="方正仿宋_GBK"/>
          <w:bCs/>
          <w:color w:val="auto"/>
          <w:sz w:val="24"/>
          <w:szCs w:val="24"/>
          <w:highlight w:val="none"/>
          <w:lang w:val="en-US" w:eastAsia="zh-CN"/>
        </w:rPr>
        <w:t>使用</w:t>
      </w:r>
      <w:r>
        <w:rPr>
          <w:rFonts w:hint="eastAsia" w:ascii="仿宋" w:hAnsi="仿宋" w:eastAsia="仿宋" w:cs="仿宋"/>
          <w:b w:val="0"/>
          <w:bCs w:val="0"/>
          <w:color w:val="auto"/>
          <w:sz w:val="24"/>
          <w:szCs w:val="24"/>
          <w:highlight w:val="none"/>
          <w:lang w:eastAsia="zh-CN"/>
        </w:rPr>
        <w:t>单位同意后方可进行生产；</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4.5.7</w:t>
      </w:r>
      <w:r>
        <w:rPr>
          <w:rFonts w:hint="eastAsia" w:ascii="仿宋" w:hAnsi="仿宋" w:eastAsia="仿宋" w:cs="仿宋"/>
          <w:b w:val="0"/>
          <w:bCs w:val="0"/>
          <w:color w:val="auto"/>
          <w:sz w:val="24"/>
          <w:szCs w:val="24"/>
          <w:highlight w:val="none"/>
          <w:lang w:eastAsia="zh-CN"/>
        </w:rPr>
        <w:t>快速充气充电装置：可自动分离；</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4.6其他要求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4.6.1整车按国家标准配齐随车设备，设备布置合理，固定牢靠；</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4.6.2供货前，须主动对接使用单位，满足用户需求；</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4.6.3交付使用单位时，提供操作使用说明书纸质版（含电子版），燃油、尿素等添加液处于满液状态；</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480" w:firstLineChars="200"/>
        <w:jc w:val="both"/>
        <w:textAlignment w:val="auto"/>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4.6.4首次保养（含材料、人工、差旅等）免费。</w:t>
      </w:r>
    </w:p>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241" w:firstLineChars="100"/>
        <w:jc w:val="both"/>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4.7随车附件</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2074"/>
        <w:gridCol w:w="1960"/>
        <w:gridCol w:w="827"/>
        <w:gridCol w:w="826"/>
        <w:gridCol w:w="19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blHeader/>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序号</w:t>
            </w:r>
          </w:p>
        </w:tc>
        <w:tc>
          <w:tcPr>
            <w:tcW w:w="2074"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名     称</w:t>
            </w:r>
          </w:p>
        </w:tc>
        <w:tc>
          <w:tcPr>
            <w:tcW w:w="1960"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规格</w:t>
            </w:r>
          </w:p>
        </w:tc>
        <w:tc>
          <w:tcPr>
            <w:tcW w:w="82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数量</w:t>
            </w:r>
          </w:p>
        </w:tc>
        <w:tc>
          <w:tcPr>
            <w:tcW w:w="826"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单位</w:t>
            </w:r>
          </w:p>
        </w:tc>
        <w:tc>
          <w:tcPr>
            <w:tcW w:w="191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1</w:t>
            </w:r>
          </w:p>
        </w:tc>
        <w:tc>
          <w:tcPr>
            <w:tcW w:w="2074"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排水</w:t>
            </w:r>
            <w:r>
              <w:rPr>
                <w:rFonts w:hint="default" w:ascii="Times New Roman" w:hAnsi="Times New Roman" w:eastAsia="仿宋" w:cs="Times New Roman"/>
                <w:b w:val="0"/>
                <w:bCs w:val="0"/>
                <w:color w:val="auto"/>
                <w:sz w:val="24"/>
                <w:szCs w:val="24"/>
                <w:highlight w:val="none"/>
                <w:lang w:eastAsia="zh-CN"/>
              </w:rPr>
              <w:t>水带总成</w:t>
            </w:r>
          </w:p>
        </w:tc>
        <w:tc>
          <w:tcPr>
            <w:tcW w:w="1960"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DN</w:t>
            </w:r>
            <w:r>
              <w:rPr>
                <w:rFonts w:hint="default" w:ascii="Times New Roman" w:hAnsi="Times New Roman" w:eastAsia="仿宋" w:cs="Times New Roman"/>
                <w:b w:val="0"/>
                <w:bCs w:val="0"/>
                <w:color w:val="auto"/>
                <w:sz w:val="24"/>
                <w:szCs w:val="24"/>
                <w:highlight w:val="none"/>
                <w:lang w:val="en-US" w:eastAsia="zh-CN"/>
              </w:rPr>
              <w:t>40</w:t>
            </w:r>
            <w:r>
              <w:rPr>
                <w:rFonts w:hint="default" w:ascii="Times New Roman" w:hAnsi="Times New Roman" w:eastAsia="仿宋" w:cs="Times New Roman"/>
                <w:b w:val="0"/>
                <w:bCs w:val="0"/>
                <w:color w:val="auto"/>
                <w:sz w:val="24"/>
                <w:szCs w:val="24"/>
                <w:highlight w:val="none"/>
                <w:lang w:eastAsia="zh-CN"/>
              </w:rPr>
              <w:t>0mm-</w:t>
            </w:r>
            <w:r>
              <w:rPr>
                <w:rFonts w:hint="default" w:ascii="Times New Roman" w:hAnsi="Times New Roman" w:eastAsia="仿宋" w:cs="Times New Roman"/>
                <w:b w:val="0"/>
                <w:bCs w:val="0"/>
                <w:color w:val="auto"/>
                <w:sz w:val="24"/>
                <w:szCs w:val="24"/>
                <w:highlight w:val="none"/>
                <w:lang w:val="en-US" w:eastAsia="zh-CN"/>
              </w:rPr>
              <w:t>20</w:t>
            </w:r>
            <w:r>
              <w:rPr>
                <w:rFonts w:hint="default" w:ascii="Times New Roman" w:hAnsi="Times New Roman" w:eastAsia="仿宋" w:cs="Times New Roman"/>
                <w:b w:val="0"/>
                <w:bCs w:val="0"/>
                <w:color w:val="auto"/>
                <w:sz w:val="24"/>
                <w:szCs w:val="24"/>
                <w:highlight w:val="none"/>
                <w:lang w:eastAsia="zh-CN"/>
              </w:rPr>
              <w:t>m</w:t>
            </w:r>
          </w:p>
        </w:tc>
        <w:tc>
          <w:tcPr>
            <w:tcW w:w="82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2</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val="en-US" w:eastAsia="zh-CN"/>
              </w:rPr>
              <w:t>根</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含铝合金接口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2</w:t>
            </w:r>
          </w:p>
        </w:tc>
        <w:tc>
          <w:tcPr>
            <w:tcW w:w="2074"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排水</w:t>
            </w:r>
            <w:r>
              <w:rPr>
                <w:rFonts w:hint="default" w:ascii="Times New Roman" w:hAnsi="Times New Roman" w:eastAsia="仿宋" w:cs="Times New Roman"/>
                <w:b w:val="0"/>
                <w:bCs w:val="0"/>
                <w:color w:val="auto"/>
                <w:sz w:val="24"/>
                <w:szCs w:val="24"/>
                <w:highlight w:val="none"/>
                <w:lang w:eastAsia="zh-CN"/>
              </w:rPr>
              <w:t>水带总成</w:t>
            </w:r>
          </w:p>
        </w:tc>
        <w:tc>
          <w:tcPr>
            <w:tcW w:w="1960"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DN</w:t>
            </w:r>
            <w:r>
              <w:rPr>
                <w:rFonts w:hint="default" w:ascii="Times New Roman" w:hAnsi="Times New Roman" w:eastAsia="仿宋" w:cs="Times New Roman"/>
                <w:b w:val="0"/>
                <w:bCs w:val="0"/>
                <w:color w:val="auto"/>
                <w:sz w:val="24"/>
                <w:szCs w:val="24"/>
                <w:highlight w:val="none"/>
                <w:lang w:val="en-US" w:eastAsia="zh-CN"/>
              </w:rPr>
              <w:t>250</w:t>
            </w:r>
            <w:r>
              <w:rPr>
                <w:rFonts w:hint="default" w:ascii="Times New Roman" w:hAnsi="Times New Roman" w:eastAsia="仿宋" w:cs="Times New Roman"/>
                <w:b w:val="0"/>
                <w:bCs w:val="0"/>
                <w:color w:val="auto"/>
                <w:sz w:val="24"/>
                <w:szCs w:val="24"/>
                <w:highlight w:val="none"/>
                <w:lang w:eastAsia="zh-CN"/>
              </w:rPr>
              <w:t>mm-</w:t>
            </w:r>
            <w:r>
              <w:rPr>
                <w:rFonts w:hint="default" w:ascii="Times New Roman" w:hAnsi="Times New Roman" w:eastAsia="仿宋" w:cs="Times New Roman"/>
                <w:b w:val="0"/>
                <w:bCs w:val="0"/>
                <w:color w:val="auto"/>
                <w:sz w:val="24"/>
                <w:szCs w:val="24"/>
                <w:highlight w:val="none"/>
                <w:lang w:val="en-US" w:eastAsia="zh-CN"/>
              </w:rPr>
              <w:t>2</w:t>
            </w:r>
            <w:r>
              <w:rPr>
                <w:rFonts w:hint="default" w:ascii="Times New Roman" w:hAnsi="Times New Roman" w:eastAsia="仿宋" w:cs="Times New Roman"/>
                <w:b w:val="0"/>
                <w:bCs w:val="0"/>
                <w:color w:val="auto"/>
                <w:sz w:val="24"/>
                <w:szCs w:val="24"/>
                <w:highlight w:val="none"/>
                <w:lang w:eastAsia="zh-CN"/>
              </w:rPr>
              <w:t>0m</w:t>
            </w:r>
          </w:p>
        </w:tc>
        <w:tc>
          <w:tcPr>
            <w:tcW w:w="82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2</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val="en-US" w:eastAsia="zh-CN"/>
              </w:rPr>
              <w:t>根</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含铝合金接口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3</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水带接口扳手</w:t>
            </w:r>
          </w:p>
        </w:tc>
        <w:tc>
          <w:tcPr>
            <w:tcW w:w="1960"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DN</w:t>
            </w:r>
            <w:r>
              <w:rPr>
                <w:rFonts w:hint="default" w:ascii="Times New Roman" w:hAnsi="Times New Roman" w:eastAsia="仿宋" w:cs="Times New Roman"/>
                <w:b w:val="0"/>
                <w:bCs w:val="0"/>
                <w:color w:val="auto"/>
                <w:sz w:val="24"/>
                <w:szCs w:val="24"/>
                <w:highlight w:val="none"/>
                <w:lang w:val="en-US" w:eastAsia="zh-CN"/>
              </w:rPr>
              <w:t>25</w:t>
            </w:r>
            <w:r>
              <w:rPr>
                <w:rFonts w:hint="default" w:ascii="Times New Roman" w:hAnsi="Times New Roman" w:eastAsia="仿宋" w:cs="Times New Roman"/>
                <w:b w:val="0"/>
                <w:bCs w:val="0"/>
                <w:color w:val="auto"/>
                <w:sz w:val="24"/>
                <w:szCs w:val="24"/>
                <w:highlight w:val="none"/>
                <w:lang w:eastAsia="zh-CN"/>
              </w:rPr>
              <w:t>0mm</w:t>
            </w: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1</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val="en-US" w:eastAsia="zh-CN"/>
              </w:rPr>
              <w:t>副</w:t>
            </w:r>
          </w:p>
        </w:tc>
        <w:tc>
          <w:tcPr>
            <w:tcW w:w="191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钢质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4</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水带接口扳手</w:t>
            </w:r>
          </w:p>
        </w:tc>
        <w:tc>
          <w:tcPr>
            <w:tcW w:w="1960"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DN</w:t>
            </w:r>
            <w:r>
              <w:rPr>
                <w:rFonts w:hint="default" w:ascii="Times New Roman" w:hAnsi="Times New Roman" w:eastAsia="仿宋" w:cs="Times New Roman"/>
                <w:b w:val="0"/>
                <w:bCs w:val="0"/>
                <w:color w:val="auto"/>
                <w:sz w:val="24"/>
                <w:szCs w:val="24"/>
                <w:highlight w:val="none"/>
                <w:lang w:val="en-US" w:eastAsia="zh-CN"/>
              </w:rPr>
              <w:t>4</w:t>
            </w:r>
            <w:r>
              <w:rPr>
                <w:rFonts w:hint="default" w:ascii="Times New Roman" w:hAnsi="Times New Roman" w:eastAsia="仿宋" w:cs="Times New Roman"/>
                <w:b w:val="0"/>
                <w:bCs w:val="0"/>
                <w:color w:val="auto"/>
                <w:sz w:val="24"/>
                <w:szCs w:val="24"/>
                <w:highlight w:val="none"/>
                <w:lang w:eastAsia="zh-CN"/>
              </w:rPr>
              <w:t>00mm</w:t>
            </w: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1</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val="en-US" w:eastAsia="zh-CN"/>
              </w:rPr>
              <w:t>副</w:t>
            </w:r>
          </w:p>
        </w:tc>
        <w:tc>
          <w:tcPr>
            <w:tcW w:w="191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钢质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5</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供水弯管</w:t>
            </w:r>
          </w:p>
        </w:tc>
        <w:tc>
          <w:tcPr>
            <w:tcW w:w="1960"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DN</w:t>
            </w:r>
            <w:r>
              <w:rPr>
                <w:rFonts w:hint="default" w:ascii="Times New Roman" w:hAnsi="Times New Roman" w:eastAsia="仿宋" w:cs="Times New Roman"/>
                <w:b w:val="0"/>
                <w:bCs w:val="0"/>
                <w:color w:val="auto"/>
                <w:sz w:val="24"/>
                <w:szCs w:val="24"/>
                <w:highlight w:val="none"/>
                <w:lang w:val="en-US" w:eastAsia="zh-CN"/>
              </w:rPr>
              <w:t>40</w:t>
            </w:r>
            <w:r>
              <w:rPr>
                <w:rFonts w:hint="default" w:ascii="Times New Roman" w:hAnsi="Times New Roman" w:eastAsia="仿宋" w:cs="Times New Roman"/>
                <w:b w:val="0"/>
                <w:bCs w:val="0"/>
                <w:color w:val="auto"/>
                <w:sz w:val="24"/>
                <w:szCs w:val="24"/>
                <w:highlight w:val="none"/>
                <w:lang w:eastAsia="zh-CN"/>
              </w:rPr>
              <w:t>0mm</w:t>
            </w: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2</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只</w:t>
            </w:r>
          </w:p>
        </w:tc>
        <w:tc>
          <w:tcPr>
            <w:tcW w:w="191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铝合金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6</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强光手电</w:t>
            </w:r>
          </w:p>
        </w:tc>
        <w:tc>
          <w:tcPr>
            <w:tcW w:w="1960"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2</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只</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7</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车轮止动块</w:t>
            </w:r>
          </w:p>
        </w:tc>
        <w:tc>
          <w:tcPr>
            <w:tcW w:w="1960"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通用型</w:t>
            </w: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1</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套</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8</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水裤、救生衣</w:t>
            </w:r>
          </w:p>
        </w:tc>
        <w:tc>
          <w:tcPr>
            <w:tcW w:w="1960"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2</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套</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9</w:t>
            </w:r>
          </w:p>
        </w:tc>
        <w:tc>
          <w:tcPr>
            <w:tcW w:w="2074"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滤网清理工具</w:t>
            </w:r>
          </w:p>
        </w:tc>
        <w:tc>
          <w:tcPr>
            <w:tcW w:w="1960"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c>
          <w:tcPr>
            <w:tcW w:w="827" w:type="dxa"/>
            <w:noWrap w:val="0"/>
            <w:vAlign w:val="top"/>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eastAsia="zh-CN"/>
              </w:rPr>
              <w:t>1</w:t>
            </w:r>
          </w:p>
        </w:tc>
        <w:tc>
          <w:tcPr>
            <w:tcW w:w="826"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r>
              <w:rPr>
                <w:rFonts w:hint="default" w:ascii="Times New Roman" w:hAnsi="Times New Roman" w:eastAsia="仿宋" w:cs="Times New Roman"/>
                <w:b w:val="0"/>
                <w:bCs w:val="0"/>
                <w:color w:val="auto"/>
                <w:sz w:val="24"/>
                <w:szCs w:val="24"/>
                <w:highlight w:val="none"/>
                <w:lang w:eastAsia="zh-CN"/>
              </w:rPr>
              <w:t>套</w:t>
            </w:r>
          </w:p>
        </w:tc>
        <w:tc>
          <w:tcPr>
            <w:tcW w:w="1917" w:type="dxa"/>
            <w:noWrap w:val="0"/>
            <w:vAlign w:val="center"/>
          </w:tcPr>
          <w:p>
            <w:pPr>
              <w:keepNext w:val="0"/>
              <w:keepLines w:val="0"/>
              <w:pageBreakBefore w:val="0"/>
              <w:widowControl/>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center"/>
              <w:textAlignment w:val="auto"/>
              <w:outlineLvl w:val="9"/>
              <w:rPr>
                <w:rFonts w:hint="default" w:ascii="Times New Roman" w:hAnsi="Times New Roman" w:eastAsia="仿宋" w:cs="Times New Roman"/>
                <w:b w:val="0"/>
                <w:bCs w:val="0"/>
                <w:color w:val="auto"/>
                <w:sz w:val="24"/>
                <w:szCs w:val="24"/>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887" w:type="dxa"/>
            <w:noWrap w:val="0"/>
            <w:vAlign w:val="center"/>
          </w:tcPr>
          <w:p>
            <w:pPr>
              <w:pageBreakBefore w:val="0"/>
              <w:widowControl/>
              <w:tabs>
                <w:tab w:val="left" w:pos="0"/>
              </w:tabs>
              <w:kinsoku/>
              <w:wordWrap/>
              <w:overflowPunct/>
              <w:topLinePunct w:val="0"/>
              <w:autoSpaceDE/>
              <w:autoSpaceDN/>
              <w:bidi w:val="0"/>
              <w:adjustRightInd w:val="0"/>
              <w:snapToGrid w:val="0"/>
              <w:spacing w:line="480" w:lineRule="exact"/>
              <w:jc w:val="center"/>
              <w:outlineLvl w:val="9"/>
              <w:rPr>
                <w:rFonts w:hint="default" w:ascii="Times New Roman" w:hAnsi="Times New Roman" w:eastAsia="仿宋" w:cs="Times New Roman"/>
                <w:b w:val="0"/>
                <w:bCs w:val="0"/>
                <w:color w:val="auto"/>
                <w:sz w:val="24"/>
                <w:szCs w:val="24"/>
                <w:highlight w:val="none"/>
                <w:lang w:val="en-US" w:eastAsia="zh-CN"/>
              </w:rPr>
            </w:pPr>
            <w:r>
              <w:rPr>
                <w:rFonts w:hint="eastAsia" w:ascii="Times New Roman" w:hAnsi="Times New Roman" w:eastAsia="仿宋" w:cs="Times New Roman"/>
                <w:b w:val="0"/>
                <w:bCs w:val="0"/>
                <w:color w:val="auto"/>
                <w:sz w:val="24"/>
                <w:szCs w:val="24"/>
                <w:highlight w:val="none"/>
                <w:lang w:val="en-US" w:eastAsia="zh-CN"/>
              </w:rPr>
              <w:t>10</w:t>
            </w:r>
          </w:p>
        </w:tc>
        <w:tc>
          <w:tcPr>
            <w:tcW w:w="2074"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Times New Roman" w:hAnsi="Times New Roman" w:eastAsia="仿宋" w:cs="Times New Roman"/>
                <w:b w:val="0"/>
                <w:bCs w:val="0"/>
                <w:color w:val="auto"/>
                <w:sz w:val="24"/>
                <w:szCs w:val="24"/>
                <w:highlight w:val="none"/>
                <w:lang w:eastAsia="zh-CN"/>
              </w:rPr>
            </w:pPr>
            <w:r>
              <w:rPr>
                <w:rFonts w:hint="eastAsia" w:ascii="仿宋" w:hAnsi="仿宋" w:eastAsia="仿宋" w:cs="仿宋"/>
                <w:color w:val="auto"/>
                <w:sz w:val="24"/>
                <w:szCs w:val="24"/>
                <w:highlight w:val="none"/>
                <w:lang w:eastAsia="zh-CN"/>
              </w:rPr>
              <w:t>防滑链</w:t>
            </w:r>
          </w:p>
        </w:tc>
        <w:tc>
          <w:tcPr>
            <w:tcW w:w="1960"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Times New Roman" w:hAnsi="Times New Roman" w:eastAsia="仿宋" w:cs="Times New Roman"/>
                <w:b w:val="0"/>
                <w:bCs w:val="0"/>
                <w:color w:val="auto"/>
                <w:sz w:val="24"/>
                <w:szCs w:val="24"/>
                <w:highlight w:val="none"/>
                <w:lang w:eastAsia="zh-CN"/>
              </w:rPr>
            </w:pPr>
          </w:p>
        </w:tc>
        <w:tc>
          <w:tcPr>
            <w:tcW w:w="827"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Times New Roman" w:hAnsi="Times New Roman" w:eastAsia="仿宋" w:cs="Times New Roman"/>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1</w:t>
            </w:r>
          </w:p>
        </w:tc>
        <w:tc>
          <w:tcPr>
            <w:tcW w:w="826" w:type="dxa"/>
            <w:noWrap w:val="0"/>
            <w:vAlign w:val="center"/>
          </w:tcPr>
          <w:p>
            <w:pPr>
              <w:keepNext w:val="0"/>
              <w:keepLines w:val="0"/>
              <w:pageBreakBefore w:val="0"/>
              <w:kinsoku/>
              <w:wordWrap/>
              <w:overflowPunct/>
              <w:topLinePunct w:val="0"/>
              <w:bidi w:val="0"/>
              <w:spacing w:line="460" w:lineRule="exact"/>
              <w:ind w:left="0" w:leftChars="0" w:right="0" w:rightChars="0" w:firstLine="0" w:firstLineChars="0"/>
              <w:jc w:val="center"/>
              <w:outlineLvl w:val="9"/>
              <w:rPr>
                <w:rFonts w:hint="default" w:ascii="Times New Roman" w:hAnsi="Times New Roman" w:eastAsia="仿宋" w:cs="Times New Roman"/>
                <w:b w:val="0"/>
                <w:bCs w:val="0"/>
                <w:color w:val="auto"/>
                <w:sz w:val="24"/>
                <w:szCs w:val="24"/>
                <w:highlight w:val="none"/>
                <w:lang w:eastAsia="zh-CN"/>
              </w:rPr>
            </w:pPr>
            <w:r>
              <w:rPr>
                <w:rFonts w:hint="eastAsia" w:ascii="仿宋" w:hAnsi="仿宋" w:eastAsia="仿宋" w:cs="仿宋"/>
                <w:color w:val="auto"/>
                <w:sz w:val="24"/>
                <w:szCs w:val="24"/>
                <w:highlight w:val="none"/>
                <w:lang w:eastAsia="zh-CN"/>
              </w:rPr>
              <w:t>套</w:t>
            </w:r>
          </w:p>
        </w:tc>
        <w:tc>
          <w:tcPr>
            <w:tcW w:w="1917" w:type="dxa"/>
            <w:noWrap w:val="0"/>
            <w:vAlign w:val="top"/>
          </w:tcPr>
          <w:p>
            <w:pPr>
              <w:keepNext w:val="0"/>
              <w:keepLines w:val="0"/>
              <w:pageBreakBefore w:val="0"/>
              <w:kinsoku/>
              <w:wordWrap/>
              <w:overflowPunct/>
              <w:topLinePunct w:val="0"/>
              <w:bidi w:val="0"/>
              <w:spacing w:line="460" w:lineRule="exact"/>
              <w:ind w:left="0" w:leftChars="0" w:right="0" w:rightChars="0" w:firstLine="0" w:firstLineChars="0"/>
              <w:jc w:val="both"/>
              <w:outlineLvl w:val="9"/>
              <w:rPr>
                <w:rFonts w:hint="default" w:ascii="Times New Roman" w:hAnsi="Times New Roman" w:eastAsia="仿宋" w:cs="Times New Roman"/>
                <w:b w:val="0"/>
                <w:bCs w:val="0"/>
                <w:color w:val="auto"/>
                <w:sz w:val="24"/>
                <w:szCs w:val="24"/>
                <w:highlight w:val="none"/>
                <w:lang w:eastAsia="zh-CN"/>
              </w:rPr>
            </w:pPr>
            <w:r>
              <w:rPr>
                <w:rFonts w:hint="eastAsia" w:ascii="仿宋" w:hAnsi="仿宋" w:eastAsia="仿宋" w:cs="仿宋"/>
                <w:color w:val="auto"/>
                <w:sz w:val="24"/>
                <w:szCs w:val="24"/>
                <w:highlight w:val="none"/>
                <w:lang w:val="en-US" w:eastAsia="zh-CN"/>
              </w:rPr>
              <w:t>防滑链数量与轮胎数量相匹配</w:t>
            </w:r>
          </w:p>
        </w:tc>
      </w:tr>
    </w:tbl>
    <w:p>
      <w:pPr>
        <w:pStyle w:val="15"/>
        <w:ind w:left="0" w:leftChars="0" w:firstLine="0" w:firstLineChars="0"/>
        <w:rPr>
          <w:rFonts w:hint="eastAsia" w:ascii="仿宋" w:hAnsi="仿宋" w:eastAsia="仿宋" w:cs="仿宋"/>
          <w:b/>
          <w:bCs/>
          <w:color w:val="auto"/>
          <w:sz w:val="24"/>
          <w:szCs w:val="24"/>
          <w:highlight w:val="none"/>
          <w:lang w:eastAsia="zh-CN"/>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79" w:name="_Toc9932"/>
      <w:r>
        <w:rPr>
          <w:rFonts w:hint="eastAsia" w:ascii="仿宋" w:hAnsi="仿宋" w:eastAsia="仿宋" w:cs="仿宋"/>
          <w:color w:val="auto"/>
          <w:sz w:val="28"/>
          <w:szCs w:val="28"/>
          <w:highlight w:val="none"/>
          <w:lang w:val="en-US" w:eastAsia="zh-CN"/>
        </w:rPr>
        <w:t>品目20：前突皮卡车</w:t>
      </w:r>
      <w:bookmarkEnd w:id="379"/>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货物名称：前突皮卡车</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二、主要规格：国产底盘</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三、数量：145(辆)</w:t>
      </w:r>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四、主要技术规格、参数及要求</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4.1整车</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4.1.1整车尺寸</w:t>
      </w:r>
      <w:r>
        <w:rPr>
          <w:rFonts w:hint="eastAsia" w:ascii="仿宋" w:hAnsi="仿宋" w:eastAsia="仿宋" w:cs="仿宋"/>
          <w:color w:val="auto"/>
          <w:sz w:val="24"/>
          <w:szCs w:val="24"/>
          <w:highlight w:val="none"/>
        </w:rPr>
        <w:t>长×宽×高（mm)：≤5</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00mm×2000mm×2500mm；</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4.1.2满载质量：</w:t>
      </w:r>
      <w:r>
        <w:rPr>
          <w:rFonts w:hint="eastAsia" w:ascii="仿宋" w:hAnsi="仿宋" w:eastAsia="仿宋" w:cs="仿宋"/>
          <w:color w:val="auto"/>
          <w:sz w:val="24"/>
          <w:szCs w:val="24"/>
          <w:highlight w:val="none"/>
        </w:rPr>
        <w:t>≥</w:t>
      </w:r>
      <w:r>
        <w:rPr>
          <w:rFonts w:hint="eastAsia" w:ascii="仿宋" w:hAnsi="仿宋" w:eastAsia="仿宋" w:cs="仿宋"/>
          <w:b w:val="0"/>
          <w:bCs w:val="0"/>
          <w:color w:val="auto"/>
          <w:sz w:val="24"/>
          <w:szCs w:val="24"/>
          <w:highlight w:val="none"/>
          <w:lang w:val="en-US" w:eastAsia="zh-CN"/>
        </w:rPr>
        <w:t xml:space="preserve">2800kg； </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4.2底盘</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▲4.2.1最大功率：≥130kw；</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4.2.2最大扭矩：≥400N·m；</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4.2.3变速箱：自动；</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4.2.4驱动形式：4×4；</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4.2.5燃料：柴油；</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4.2.6尾气排放：符合国Ⅵ标准；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4.2.7制动系统：盘式制动器，ABS（防抱死制动系统）、刹车辅助（BAS）、车身稳定控制（ESP）等；</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4.2.8 配置胎压监测系统、360°倒车影像、行车记录仪 (内存不小于128G),配备 350-400MHz 工作频率范围车载台、单北斗卫星定位装置（可接入国家局现有北斗消防综合管理服务平台），带倒车告警蜂鸣器、倒车摄像头和驾乘室内监视器；</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4.2.9前悬挂形式：独立悬挂；后悬挂形式：非独立悬挂；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4.2.10车身结构；非承载式；</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4.3驾乘室</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4.3.1座位设置：乘员≥5人，带三点式安全带，配备驾驶座安全气囊；</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4.3.2驾驶室设备：除原车设备外，加装警报器、警灯开关，设置冷暖空调、收音机、车载带USB接口，预留电台电源线桩头、配备两组 12V、两组 24V、一组 220V 电源接口等； </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4.4器材箱</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Times New Roman" w:hAnsi="Times New Roman" w:eastAsia="方正仿宋_GBK" w:cs="Times New Roman"/>
          <w:color w:val="auto"/>
          <w:sz w:val="32"/>
          <w:szCs w:val="32"/>
          <w:highlight w:val="none"/>
          <w:lang w:eastAsia="zh-CN"/>
        </w:rPr>
      </w:pPr>
      <w:r>
        <w:rPr>
          <w:rFonts w:hint="eastAsia" w:ascii="仿宋" w:hAnsi="仿宋" w:eastAsia="仿宋" w:cs="仿宋"/>
          <w:color w:val="auto"/>
          <w:sz w:val="24"/>
          <w:szCs w:val="24"/>
          <w:highlight w:val="none"/>
          <w:lang w:val="en-US" w:eastAsia="zh-CN"/>
        </w:rPr>
        <w:t>4.4.1</w:t>
      </w:r>
      <w:r>
        <w:rPr>
          <w:rFonts w:hint="eastAsia" w:ascii="仿宋" w:hAnsi="仿宋" w:eastAsia="仿宋" w:cs="仿宋"/>
          <w:color w:val="auto"/>
          <w:sz w:val="24"/>
          <w:szCs w:val="24"/>
          <w:highlight w:val="none"/>
        </w:rPr>
        <w:t>在原车基础上</w:t>
      </w:r>
      <w:r>
        <w:rPr>
          <w:rFonts w:hint="eastAsia" w:ascii="仿宋" w:hAnsi="仿宋" w:eastAsia="仿宋" w:cs="仿宋"/>
          <w:color w:val="auto"/>
          <w:sz w:val="24"/>
          <w:szCs w:val="24"/>
          <w:highlight w:val="none"/>
          <w:lang w:eastAsia="zh-CN"/>
        </w:rPr>
        <w:t>改</w:t>
      </w:r>
      <w:r>
        <w:rPr>
          <w:rFonts w:hint="eastAsia" w:ascii="仿宋" w:hAnsi="仿宋" w:eastAsia="仿宋" w:cs="仿宋"/>
          <w:color w:val="auto"/>
          <w:sz w:val="24"/>
          <w:szCs w:val="24"/>
          <w:highlight w:val="none"/>
        </w:rPr>
        <w:t>装整体封闭式器材箱</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封闭式器材箱</w:t>
      </w:r>
      <w:r>
        <w:rPr>
          <w:rFonts w:hint="eastAsia" w:ascii="仿宋" w:hAnsi="仿宋" w:eastAsia="仿宋" w:cs="仿宋"/>
          <w:color w:val="auto"/>
          <w:sz w:val="24"/>
          <w:szCs w:val="24"/>
          <w:highlight w:val="none"/>
          <w:lang w:eastAsia="zh-CN"/>
        </w:rPr>
        <w:t>内安装细水雾装置；</w:t>
      </w:r>
    </w:p>
    <w:p>
      <w:pPr>
        <w:numPr>
          <w:ilvl w:val="0"/>
          <w:numId w:val="0"/>
        </w:numPr>
        <w:adjustRightInd w:val="0"/>
        <w:snapToGrid w:val="0"/>
        <w:spacing w:line="48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4.4.2细水雾装置主要由高压泵、喷雾枪、软管等组成；</w:t>
      </w:r>
    </w:p>
    <w:p>
      <w:pPr>
        <w:numPr>
          <w:ilvl w:val="0"/>
          <w:numId w:val="0"/>
        </w:numPr>
        <w:adjustRightInd w:val="0"/>
        <w:snapToGrid w:val="0"/>
        <w:spacing w:line="48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4.4.3高压泵</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4.4.3.1额定压力：≥10Mpa；</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4.4.3.2流量：≥20L/min；</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4.4.3.3启停控制方式：一键式；</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4.4.3.4燃料：汽油；</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4.4.3.5油箱容积：≥5L;</w:t>
      </w:r>
    </w:p>
    <w:p>
      <w:pPr>
        <w:numPr>
          <w:ilvl w:val="0"/>
          <w:numId w:val="0"/>
        </w:numPr>
        <w:adjustRightInd w:val="0"/>
        <w:snapToGrid w:val="0"/>
        <w:spacing w:line="48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4.4.4喷雾枪</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4.4.4.1流量：≥20L/min；</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4.4.4.2喷射模式：水雾模式、细水雾模式；</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4.4.4.3水雾额定压力：≥8Mpa；水雾射程：≥10m</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4.4.4.4细水雾额定压力：≥8Mpa；细水雾射程：≥6m</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4.4.4.5灭火剂：水系灭火剂；</w:t>
      </w:r>
    </w:p>
    <w:p>
      <w:pPr>
        <w:numPr>
          <w:ilvl w:val="0"/>
          <w:numId w:val="0"/>
        </w:numPr>
        <w:adjustRightInd w:val="0"/>
        <w:snapToGrid w:val="0"/>
        <w:spacing w:line="48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4.4.5软管</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4.4.5.1耐压：≥25Mpa；</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4.4.5.2长度：≥50m；</w:t>
      </w:r>
    </w:p>
    <w:p>
      <w:pPr>
        <w:numPr>
          <w:ilvl w:val="0"/>
          <w:numId w:val="0"/>
        </w:numPr>
        <w:adjustRightInd w:val="0"/>
        <w:snapToGrid w:val="0"/>
        <w:spacing w:line="480" w:lineRule="exact"/>
        <w:ind w:firstLine="480" w:firstLineChars="2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4.4.6水箱</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4.4.6.1材质：304不锈钢；</w:t>
      </w:r>
    </w:p>
    <w:p>
      <w:pPr>
        <w:numPr>
          <w:ilvl w:val="0"/>
          <w:numId w:val="0"/>
        </w:numPr>
        <w:adjustRightInd w:val="0"/>
        <w:snapToGrid w:val="0"/>
        <w:spacing w:line="480" w:lineRule="exact"/>
        <w:ind w:firstLine="720" w:firstLineChars="30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4.4.6.2容积：≥200L;</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4.4.7</w:t>
      </w:r>
      <w:r>
        <w:rPr>
          <w:rFonts w:hint="eastAsia" w:ascii="仿宋" w:hAnsi="仿宋" w:eastAsia="仿宋" w:cs="仿宋"/>
          <w:color w:val="auto"/>
          <w:sz w:val="24"/>
          <w:szCs w:val="24"/>
          <w:highlight w:val="none"/>
        </w:rPr>
        <w:t>器材箱带有LED照明灯，随门开关；</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4.5总体要求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4.5.1车身颜色符合GB/T3181-2008《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4.5.2警报灯具：驾乘室顶部安装消防专用灯具，驾乘室内设置警报器和扩音系统(功率≥100W)，在驾乘室可控制扩音器。在车厢两侧、尾部等并联安装红色爆闪灯，警灯、警报器各自采用独立控制开关；</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4.5.3投标人在器材箱结构设计布置时需提前与采购人联系，根据采购人提供的装载器材种类及数量进行定位、定量设计器材箱结构，设计方案必须经采购人同意后方可进行生产；</w:t>
      </w:r>
    </w:p>
    <w:p>
      <w:pPr>
        <w:keepNext w:val="0"/>
        <w:keepLines w:val="0"/>
        <w:pageBreakBefore w:val="0"/>
        <w:widowControl w:val="0"/>
        <w:kinsoku/>
        <w:wordWrap/>
        <w:overflowPunct/>
        <w:topLinePunct w:val="0"/>
        <w:autoSpaceDE/>
        <w:autoSpaceDN/>
        <w:bidi w:val="0"/>
        <w:adjustRightInd w:val="0"/>
        <w:snapToGrid w:val="0"/>
        <w:spacing w:line="480" w:lineRule="exact"/>
        <w:ind w:firstLine="241" w:firstLineChars="100"/>
        <w:jc w:val="left"/>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4.6其他要求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4.6.1整车按国家标准配齐随车设备，设备布置合理，固定牢靠；</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4.6.2车辆尾部配备G型拖钩，牵引质量≥2000kg；</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4.6.3车辆左右两侧配备金属侧防护杠；</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4.6.4车辆前部设计金属防撞保险杠；</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4.6.5电动牵引绞盘：安装在车辆前端，最大拉力≥</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KN，钢丝绳长度≥30m，钢丝绳径≥11.5mm，配有贴合紧密的保护罩；</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4.6.6 配备电源线盘1套，线盘长度≥50m；工具箱1套，内装工具≥53件（套）</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4.6.7供货前，须主动对接采购人，满足采购人需求；</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4.6.8交付采购人时，提供操作使用说明书纸质版（含电子版），燃油、尿素等添加液处于满液状态；</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4.6.9首次保养（含材料、人工、差旅等）免费</w:t>
      </w:r>
      <w:r>
        <w:rPr>
          <w:rFonts w:hint="eastAsia" w:ascii="仿宋" w:hAnsi="仿宋" w:eastAsia="仿宋" w:cs="仿宋"/>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jc w:val="left"/>
        <w:textAlignment w:val="auto"/>
        <w:outlineLvl w:val="9"/>
        <w:rPr>
          <w:rFonts w:hint="eastAsia" w:ascii="仿宋" w:hAnsi="仿宋" w:eastAsia="仿宋" w:cs="仿宋"/>
          <w:b/>
          <w:bCs/>
          <w:color w:val="auto"/>
          <w:sz w:val="36"/>
          <w:szCs w:val="36"/>
          <w:highlight w:val="none"/>
          <w:lang w:val="en-US" w:eastAsia="zh-CN"/>
        </w:rPr>
      </w:pPr>
      <w:r>
        <w:rPr>
          <w:rFonts w:hint="eastAsia" w:ascii="仿宋" w:hAnsi="仿宋" w:eastAsia="仿宋" w:cs="仿宋"/>
          <w:b w:val="0"/>
          <w:bCs w:val="0"/>
          <w:color w:val="auto"/>
          <w:sz w:val="24"/>
          <w:szCs w:val="24"/>
          <w:highlight w:val="none"/>
          <w:lang w:val="en-US" w:eastAsia="zh-CN"/>
        </w:rPr>
        <w:t>4.6.10</w:t>
      </w:r>
      <w:r>
        <w:rPr>
          <w:rFonts w:hint="eastAsia"/>
          <w:color w:val="auto"/>
          <w:highlight w:val="none"/>
          <w:lang w:val="en-US" w:eastAsia="zh-CN"/>
        </w:rPr>
        <w:t xml:space="preserve"> </w:t>
      </w:r>
      <w:r>
        <w:rPr>
          <w:rFonts w:hint="eastAsia" w:ascii="仿宋" w:hAnsi="仿宋" w:eastAsia="仿宋" w:cs="仿宋"/>
          <w:color w:val="auto"/>
          <w:sz w:val="24"/>
          <w:szCs w:val="24"/>
          <w:highlight w:val="none"/>
          <w:lang w:val="en-US" w:eastAsia="zh-CN"/>
        </w:rPr>
        <w:t>配备防滑链，防滑链数量与轮胎数量相匹配。</w:t>
      </w:r>
    </w:p>
    <w:p>
      <w:pPr>
        <w:rPr>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80" w:name="_Toc19429"/>
      <w:r>
        <w:rPr>
          <w:rFonts w:hint="eastAsia" w:ascii="仿宋" w:hAnsi="仿宋" w:eastAsia="仿宋" w:cs="仿宋"/>
          <w:color w:val="auto"/>
          <w:sz w:val="28"/>
          <w:szCs w:val="28"/>
          <w:highlight w:val="none"/>
          <w:lang w:val="en-US" w:eastAsia="zh-CN"/>
        </w:rPr>
        <w:t>品目21：指挥通信车</w:t>
      </w:r>
      <w:bookmarkEnd w:id="380"/>
    </w:p>
    <w:p>
      <w:pPr>
        <w:pageBreakBefore w:val="0"/>
        <w:kinsoku/>
        <w:wordWrap/>
        <w:overflowPunct/>
        <w:topLinePunct w:val="0"/>
        <w:bidi w:val="0"/>
        <w:adjustRightInd w:val="0"/>
        <w:snapToGrid w:val="0"/>
        <w:spacing w:line="460" w:lineRule="exact"/>
        <w:ind w:firstLine="0" w:firstLineChars="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一、货物名称：指挥通信车</w:t>
      </w:r>
    </w:p>
    <w:p>
      <w:pPr>
        <w:spacing w:line="480" w:lineRule="exact"/>
        <w:jc w:val="left"/>
        <w:rPr>
          <w:rFonts w:ascii="仿宋" w:hAnsi="仿宋" w:eastAsia="仿宋"/>
          <w:color w:val="auto"/>
          <w:sz w:val="24"/>
          <w:szCs w:val="24"/>
          <w:highlight w:val="none"/>
        </w:rPr>
      </w:pPr>
      <w:r>
        <w:rPr>
          <w:rFonts w:ascii="仿宋" w:hAnsi="仿宋" w:eastAsia="仿宋"/>
          <w:color w:val="auto"/>
          <w:sz w:val="24"/>
          <w:szCs w:val="24"/>
          <w:highlight w:val="none"/>
        </w:rPr>
        <w:t>二、主要规格：国产</w:t>
      </w:r>
      <w:r>
        <w:rPr>
          <w:rFonts w:hint="eastAsia" w:ascii="仿宋" w:hAnsi="仿宋" w:eastAsia="仿宋"/>
          <w:color w:val="auto"/>
          <w:sz w:val="24"/>
          <w:szCs w:val="24"/>
          <w:highlight w:val="none"/>
        </w:rPr>
        <w:t>客车</w:t>
      </w:r>
      <w:r>
        <w:rPr>
          <w:rFonts w:ascii="仿宋" w:hAnsi="仿宋" w:eastAsia="仿宋"/>
          <w:color w:val="auto"/>
          <w:sz w:val="24"/>
          <w:szCs w:val="24"/>
          <w:highlight w:val="none"/>
        </w:rPr>
        <w:t>底盘</w:t>
      </w:r>
    </w:p>
    <w:p>
      <w:pPr>
        <w:spacing w:line="480" w:lineRule="exact"/>
        <w:jc w:val="left"/>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三、数量：2(辆)</w:t>
      </w:r>
    </w:p>
    <w:p>
      <w:pPr>
        <w:spacing w:line="480" w:lineRule="exact"/>
        <w:jc w:val="lef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四</w:t>
      </w:r>
      <w:r>
        <w:rPr>
          <w:rFonts w:ascii="仿宋" w:hAnsi="仿宋" w:eastAsia="仿宋"/>
          <w:color w:val="auto"/>
          <w:sz w:val="24"/>
          <w:szCs w:val="24"/>
          <w:highlight w:val="none"/>
        </w:rPr>
        <w:t>、主要技术规格、参数及要求:</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default"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w:t>
      </w:r>
      <w:r>
        <w:rPr>
          <w:rFonts w:hint="eastAsia" w:ascii="仿宋" w:hAnsi="仿宋" w:eastAsia="仿宋" w:cs="Times New Roman"/>
          <w:b/>
          <w:bCs/>
          <w:snapToGrid/>
          <w:color w:val="auto"/>
          <w:kern w:val="2"/>
          <w:sz w:val="24"/>
          <w:szCs w:val="24"/>
          <w:highlight w:val="none"/>
          <w:lang w:eastAsia="zh-CN"/>
        </w:rPr>
        <w:t>.1 装载系统（</w:t>
      </w:r>
      <w:r>
        <w:rPr>
          <w:rFonts w:hint="eastAsia" w:ascii="仿宋" w:hAnsi="仿宋" w:eastAsia="仿宋" w:cs="Times New Roman"/>
          <w:b/>
          <w:bCs/>
          <w:snapToGrid/>
          <w:color w:val="auto"/>
          <w:kern w:val="2"/>
          <w:sz w:val="24"/>
          <w:szCs w:val="24"/>
          <w:highlight w:val="none"/>
          <w:lang w:val="en-US" w:eastAsia="zh-CN"/>
        </w:rPr>
        <w:t>数量1辆</w:t>
      </w:r>
      <w:r>
        <w:rPr>
          <w:rFonts w:hint="eastAsia" w:ascii="仿宋" w:hAnsi="仿宋" w:eastAsia="仿宋" w:cs="Times New Roman"/>
          <w:b/>
          <w:bCs/>
          <w:snapToGrid/>
          <w:color w:val="auto"/>
          <w:kern w:val="2"/>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4</w:t>
      </w:r>
      <w:r>
        <w:rPr>
          <w:rFonts w:hint="eastAsia" w:ascii="仿宋" w:hAnsi="仿宋" w:eastAsia="仿宋" w:cs="仿宋"/>
          <w:snapToGrid/>
          <w:color w:val="auto"/>
          <w:kern w:val="2"/>
          <w:sz w:val="24"/>
          <w:szCs w:val="24"/>
          <w:highlight w:val="none"/>
          <w:lang w:eastAsia="zh-CN"/>
        </w:rPr>
        <w:t>.1.1 车辆基本参数：</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4.1.1.1 </w:t>
      </w:r>
      <w:r>
        <w:rPr>
          <w:rFonts w:hint="eastAsia" w:ascii="仿宋" w:hAnsi="仿宋" w:eastAsia="仿宋" w:cs="仿宋"/>
          <w:snapToGrid/>
          <w:color w:val="auto"/>
          <w:kern w:val="2"/>
          <w:sz w:val="24"/>
          <w:szCs w:val="24"/>
          <w:highlight w:val="none"/>
          <w:lang w:eastAsia="zh-CN"/>
        </w:rPr>
        <w:t>采用客车改装；</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4.1.1.2 </w:t>
      </w:r>
      <w:r>
        <w:rPr>
          <w:rFonts w:hint="eastAsia" w:ascii="仿宋" w:hAnsi="仿宋" w:eastAsia="仿宋" w:cs="仿宋"/>
          <w:snapToGrid/>
          <w:color w:val="auto"/>
          <w:kern w:val="2"/>
          <w:sz w:val="24"/>
          <w:szCs w:val="24"/>
          <w:highlight w:val="none"/>
          <w:lang w:eastAsia="zh-CN"/>
        </w:rPr>
        <w:t>整车长：11500～12100mm，总宽：2450～2</w:t>
      </w:r>
      <w:r>
        <w:rPr>
          <w:rFonts w:hint="eastAsia" w:ascii="仿宋" w:hAnsi="仿宋" w:eastAsia="仿宋" w:cs="仿宋"/>
          <w:snapToGrid/>
          <w:color w:val="auto"/>
          <w:kern w:val="2"/>
          <w:sz w:val="24"/>
          <w:szCs w:val="24"/>
          <w:highlight w:val="none"/>
          <w:lang w:val="en-US" w:eastAsia="zh-CN"/>
        </w:rPr>
        <w:t>55</w:t>
      </w:r>
      <w:r>
        <w:rPr>
          <w:rFonts w:hint="eastAsia" w:ascii="仿宋" w:hAnsi="仿宋" w:eastAsia="仿宋" w:cs="仿宋"/>
          <w:snapToGrid/>
          <w:color w:val="auto"/>
          <w:kern w:val="2"/>
          <w:sz w:val="24"/>
          <w:szCs w:val="24"/>
          <w:highlight w:val="none"/>
          <w:lang w:eastAsia="zh-CN"/>
        </w:rPr>
        <w:t>0mm，总高38</w:t>
      </w:r>
      <w:r>
        <w:rPr>
          <w:rFonts w:hint="eastAsia" w:ascii="仿宋" w:hAnsi="仿宋" w:eastAsia="仿宋" w:cs="仿宋"/>
          <w:snapToGrid/>
          <w:color w:val="auto"/>
          <w:kern w:val="2"/>
          <w:sz w:val="24"/>
          <w:szCs w:val="24"/>
          <w:highlight w:val="none"/>
          <w:lang w:val="en-US" w:eastAsia="zh-CN"/>
        </w:rPr>
        <w:t>00</w:t>
      </w:r>
      <w:r>
        <w:rPr>
          <w:rFonts w:hint="eastAsia" w:ascii="仿宋" w:hAnsi="仿宋" w:eastAsia="仿宋" w:cs="仿宋"/>
          <w:snapToGrid/>
          <w:color w:val="auto"/>
          <w:kern w:val="2"/>
          <w:sz w:val="24"/>
          <w:szCs w:val="24"/>
          <w:highlight w:val="none"/>
          <w:lang w:eastAsia="zh-CN"/>
        </w:rPr>
        <w:t>～4000mm，保证车内空间，裸车箱内高：2000～2100mm；</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4.1.1.3 </w:t>
      </w:r>
      <w:r>
        <w:rPr>
          <w:rFonts w:hint="eastAsia" w:ascii="仿宋" w:hAnsi="仿宋" w:eastAsia="仿宋" w:cs="仿宋"/>
          <w:snapToGrid/>
          <w:color w:val="auto"/>
          <w:kern w:val="2"/>
          <w:sz w:val="24"/>
          <w:szCs w:val="24"/>
          <w:highlight w:val="none"/>
          <w:lang w:eastAsia="zh-CN"/>
        </w:rPr>
        <w:t>轴距：5950～6350mm；</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4.1.1.4 </w:t>
      </w:r>
      <w:r>
        <w:rPr>
          <w:rFonts w:hint="eastAsia" w:ascii="仿宋" w:hAnsi="仿宋" w:eastAsia="仿宋" w:cs="仿宋"/>
          <w:snapToGrid/>
          <w:color w:val="auto"/>
          <w:kern w:val="2"/>
          <w:sz w:val="24"/>
          <w:szCs w:val="24"/>
          <w:highlight w:val="none"/>
          <w:lang w:eastAsia="zh-CN"/>
        </w:rPr>
        <w:t>最高时速：≥100km/h；</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4.1.1.5 </w:t>
      </w:r>
      <w:r>
        <w:rPr>
          <w:rFonts w:hint="eastAsia" w:ascii="仿宋" w:hAnsi="仿宋" w:eastAsia="仿宋" w:cs="仿宋"/>
          <w:snapToGrid/>
          <w:color w:val="auto"/>
          <w:kern w:val="2"/>
          <w:sz w:val="24"/>
          <w:szCs w:val="24"/>
          <w:highlight w:val="none"/>
          <w:lang w:eastAsia="zh-CN"/>
        </w:rPr>
        <w:t>总质量：17000kg≤重≤18000kg；</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4.1.1.6 </w:t>
      </w:r>
      <w:r>
        <w:rPr>
          <w:rFonts w:hint="eastAsia" w:ascii="仿宋" w:hAnsi="仿宋" w:eastAsia="仿宋" w:cs="仿宋"/>
          <w:snapToGrid/>
          <w:color w:val="auto"/>
          <w:kern w:val="2"/>
          <w:sz w:val="24"/>
          <w:szCs w:val="24"/>
          <w:highlight w:val="none"/>
          <w:lang w:eastAsia="zh-CN"/>
        </w:rPr>
        <w:t>排放标准：国VI；</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4.1.1.7 </w:t>
      </w:r>
      <w:r>
        <w:rPr>
          <w:rFonts w:hint="eastAsia" w:ascii="仿宋" w:hAnsi="仿宋" w:eastAsia="仿宋" w:cs="仿宋"/>
          <w:snapToGrid/>
          <w:color w:val="auto"/>
          <w:kern w:val="2"/>
          <w:sz w:val="24"/>
          <w:szCs w:val="24"/>
          <w:highlight w:val="none"/>
          <w:lang w:eastAsia="zh-CN"/>
        </w:rPr>
        <w:t>燃料：柴油；</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4.1.1.8 </w:t>
      </w:r>
      <w:r>
        <w:rPr>
          <w:rFonts w:hint="eastAsia" w:ascii="仿宋" w:hAnsi="仿宋" w:eastAsia="仿宋" w:cs="仿宋"/>
          <w:snapToGrid/>
          <w:color w:val="auto"/>
          <w:kern w:val="2"/>
          <w:sz w:val="24"/>
          <w:szCs w:val="24"/>
          <w:highlight w:val="none"/>
          <w:lang w:eastAsia="zh-CN"/>
        </w:rPr>
        <w:t>额定功率：≥200kw；</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4.1.1.9 </w:t>
      </w:r>
      <w:r>
        <w:rPr>
          <w:rFonts w:hint="eastAsia" w:ascii="仿宋" w:hAnsi="仿宋" w:eastAsia="仿宋" w:cs="仿宋"/>
          <w:snapToGrid/>
          <w:color w:val="auto"/>
          <w:kern w:val="2"/>
          <w:sz w:val="24"/>
          <w:szCs w:val="24"/>
          <w:highlight w:val="none"/>
          <w:lang w:eastAsia="zh-CN"/>
        </w:rPr>
        <w:t>排量：≥6800ml；</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4.1.1.10 离合器操作形式：液压助力，前桥≥5.5T，后桥≥10.0T；</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▲4.1.1.11 悬挂系统：气囊，车辆有底盘升降功能，为保证车辆在涉水时具有较好的通过性，最大升降高度≥8公分；</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4.1.1.12 转向系统：动力转向器；</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4.1.1.13 制动系统：前盘后鼓双回路气压制动；</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4.1.1.14 轮胎：≥295/80R22.5无内胎子午线；</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olor w:val="auto"/>
          <w:sz w:val="24"/>
          <w:szCs w:val="24"/>
          <w:highlight w:val="none"/>
        </w:rPr>
      </w:pPr>
      <w:r>
        <w:rPr>
          <w:rFonts w:hint="eastAsia" w:ascii="仿宋" w:hAnsi="仿宋" w:eastAsia="仿宋" w:cs="仿宋"/>
          <w:snapToGrid/>
          <w:color w:val="auto"/>
          <w:kern w:val="2"/>
          <w:sz w:val="24"/>
          <w:szCs w:val="24"/>
          <w:highlight w:val="none"/>
          <w:lang w:val="en-US" w:eastAsia="zh-CN"/>
        </w:rPr>
        <w:t>4.1.1.15 前悬/后悬：2400～2700/3200～3500(mm)；</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4.1.1.16 </w:t>
      </w:r>
      <w:r>
        <w:rPr>
          <w:rFonts w:hint="eastAsia" w:ascii="仿宋" w:hAnsi="仿宋" w:eastAsia="仿宋" w:cs="仿宋"/>
          <w:snapToGrid/>
          <w:color w:val="auto"/>
          <w:kern w:val="2"/>
          <w:sz w:val="24"/>
          <w:szCs w:val="24"/>
          <w:highlight w:val="none"/>
          <w:lang w:eastAsia="zh-CN"/>
        </w:rPr>
        <w:t>行李仓门：上掀铰链式铝合金；</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4.1.1.17 </w:t>
      </w:r>
      <w:r>
        <w:rPr>
          <w:rFonts w:hint="eastAsia" w:ascii="仿宋" w:hAnsi="仿宋" w:eastAsia="仿宋" w:cs="仿宋"/>
          <w:snapToGrid/>
          <w:color w:val="auto"/>
          <w:kern w:val="2"/>
          <w:sz w:val="24"/>
          <w:szCs w:val="24"/>
          <w:highlight w:val="none"/>
          <w:lang w:eastAsia="zh-CN"/>
        </w:rPr>
        <w:t>车门：前门、中门采用气动式车门；</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4.1.1.18 </w:t>
      </w:r>
      <w:r>
        <w:rPr>
          <w:rFonts w:hint="eastAsia" w:ascii="仿宋" w:hAnsi="仿宋" w:eastAsia="仿宋" w:cs="仿宋"/>
          <w:snapToGrid/>
          <w:color w:val="auto"/>
          <w:kern w:val="2"/>
          <w:sz w:val="24"/>
          <w:szCs w:val="24"/>
          <w:highlight w:val="none"/>
          <w:lang w:eastAsia="zh-CN"/>
        </w:rPr>
        <w:t>侧窗：钢化玻璃，推拉式司机窗、其余侧窗为隐私封闭窗；</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4.1.1.19 </w:t>
      </w:r>
      <w:r>
        <w:rPr>
          <w:rFonts w:hint="eastAsia" w:ascii="仿宋" w:hAnsi="仿宋" w:eastAsia="仿宋" w:cs="仿宋"/>
          <w:snapToGrid/>
          <w:color w:val="auto"/>
          <w:kern w:val="2"/>
          <w:sz w:val="24"/>
          <w:szCs w:val="24"/>
          <w:highlight w:val="none"/>
          <w:lang w:eastAsia="zh-CN"/>
        </w:rPr>
        <w:t>通风空调系统：车载空调制冷量≥</w:t>
      </w:r>
      <w:r>
        <w:rPr>
          <w:rFonts w:hint="eastAsia" w:ascii="仿宋" w:hAnsi="仿宋" w:eastAsia="仿宋" w:cs="仿宋"/>
          <w:snapToGrid/>
          <w:color w:val="auto"/>
          <w:kern w:val="2"/>
          <w:sz w:val="24"/>
          <w:szCs w:val="24"/>
          <w:highlight w:val="none"/>
          <w:lang w:val="en-US" w:eastAsia="zh-CN"/>
        </w:rPr>
        <w:t>28</w:t>
      </w:r>
      <w:r>
        <w:rPr>
          <w:rFonts w:hint="eastAsia" w:ascii="仿宋" w:hAnsi="仿宋" w:eastAsia="仿宋" w:cs="仿宋"/>
          <w:snapToGrid/>
          <w:color w:val="auto"/>
          <w:kern w:val="2"/>
          <w:sz w:val="24"/>
          <w:szCs w:val="24"/>
          <w:highlight w:val="none"/>
          <w:lang w:eastAsia="zh-CN"/>
        </w:rPr>
        <w:t>000</w:t>
      </w:r>
      <w:r>
        <w:rPr>
          <w:rFonts w:hint="eastAsia" w:ascii="仿宋" w:hAnsi="仿宋" w:eastAsia="仿宋" w:cs="仿宋"/>
          <w:snapToGrid/>
          <w:color w:val="auto"/>
          <w:kern w:val="2"/>
          <w:sz w:val="24"/>
          <w:szCs w:val="24"/>
          <w:highlight w:val="none"/>
          <w:lang w:val="en-US" w:eastAsia="zh-CN"/>
        </w:rPr>
        <w:t>Kcal/h</w:t>
      </w:r>
      <w:r>
        <w:rPr>
          <w:rFonts w:hint="eastAsia" w:ascii="仿宋" w:hAnsi="仿宋" w:eastAsia="仿宋" w:cs="仿宋"/>
          <w:snapToGrid/>
          <w:color w:val="auto"/>
          <w:kern w:val="2"/>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4.1.1.20 </w:t>
      </w:r>
      <w:r>
        <w:rPr>
          <w:rFonts w:hint="eastAsia" w:ascii="仿宋" w:hAnsi="仿宋" w:eastAsia="仿宋" w:cs="仿宋"/>
          <w:snapToGrid/>
          <w:color w:val="auto"/>
          <w:kern w:val="2"/>
          <w:sz w:val="24"/>
          <w:szCs w:val="24"/>
          <w:highlight w:val="none"/>
          <w:lang w:eastAsia="zh-CN"/>
        </w:rPr>
        <w:t>灭火装置：发动机舱自动灭火装置；</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val="en-US" w:eastAsia="zh-CN"/>
        </w:rPr>
        <w:t xml:space="preserve">4.1.1.21 </w:t>
      </w:r>
      <w:r>
        <w:rPr>
          <w:rFonts w:hint="eastAsia" w:ascii="仿宋" w:hAnsi="仿宋" w:eastAsia="仿宋" w:cs="仿宋"/>
          <w:snapToGrid/>
          <w:color w:val="auto"/>
          <w:kern w:val="2"/>
          <w:sz w:val="24"/>
          <w:szCs w:val="24"/>
          <w:highlight w:val="none"/>
          <w:lang w:eastAsia="zh-CN"/>
        </w:rPr>
        <w:t>倒车后视系统：全彩360倒车影像一套；</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4.2厢体及内外改制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4.2.1拓展舱（数量2套）：</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4.2.1.1左右拓展舱主体方钢骨架按照客车标准骨架焊接设计，无缝焊接；</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4.2.1.2舱体内外需采用阴极电泳技术使其具有超强的防腐、防锈、耐盐雾、耐湿热性能，阴极电泳长度≥4米，高度≥1.8米，拓展≥65公分宽；</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▲4.2.1.3两侧电控调节可独立开启关闭拓展舱。扩展机构为重型紧密导轨机构，滑移导轨机构由同步变速电机推动导轨同步开启关闭，采用静音电机；</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4.2.1.4拓展舱整体骨架与车内地板的离地间隙≤2公分，避免缝隙过大行程台阶过高行走不便，防止因间隙过大而导致外在因素噪音进入指挥室，以及夏季热风导入舱体影响空调制冷效果，冬季相反，利于保障车舱内部环境，工业级橡胶密封防水带≥4层防护，滑移舱体需设有防水边槽，需保证在大雨天气环境下扩展舱展开使用时舱内不会出现雨水渗漏的情况；</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4.2.1.5为防止拓展舱滑移伸缩时出现安全隐患，拓展舱带自锁功能，遇到阻力自动停止滑移动作；配有伸缩报警功能，拓展舱伸缩时舱体外侧会同时具有红色爆闪灯提示和蜂鸣器告警提示音，内饰同步红色爆闪功能提示；扩展舱完全展开或收拢的耗时≤10秒，如电控制因故障失效，具备手动控制的方式来实现拓展舱的伸缩。</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4.2.2整车地面找平（数量1套）：</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4.2.2.1整车地面找平≤2公分找平，铺装材料至少包括隔音阻燃棉、竹胶地板层、放静电胶垫以及表面的实木地板，必须保证地板平整度和防静电处理。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4.2.3会议区背景墙（数量1个）：</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4.2.3.1多层实木木作，方钢加强，面贴花纹防火板装饰。</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4.2.4折叠会议桌（数量1项）：</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4.2.4.1多层实木木作；长度≥2000mm,宽度≥400mm,需留有足够的空间放置桌面式会议麦克风，可扩展桌面宽度；中间内嵌多功能排插,具备HDMI，AV，VGA，USB，XLR等接口。</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4.2.5左右两侧侧墙装饰（数量2项）：</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4.2.5.1多层实木木作，方钢加强，面贴花纹防火板装饰。</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4.2.6内饰商务吊顶（数量1项）：</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4.2.6.1多层实木木龙骨吊顶，皮革包面，左右两侧安装嵌入式LED灯带与吊顶齐平。</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4.2.7指挥旋转座椅（数量1个）：</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4.2.7.1皮质包覆，旋转方便，座椅及靠背可调，座椅底部可以前后手动滑移≥10公分，直角靠背可调整向后的仰角≥120°，具备多档位可调按摩功能。</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4.2.8商务座椅（数量8个）：</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▲4.2.8.1皮质包覆，座椅及靠背可调，座椅底部可以前后电动滑移≥10公分，直角靠背可调整向后的仰角≥120°。</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4.2.9折叠翻转座椅（数量4个）：</w:t>
      </w:r>
    </w:p>
    <w:p>
      <w:pPr>
        <w:keepNext w:val="0"/>
        <w:keepLines w:val="0"/>
        <w:pageBreakBefore w:val="0"/>
        <w:widowControl w:val="0"/>
        <w:kinsoku/>
        <w:wordWrap/>
        <w:overflowPunct/>
        <w:topLinePunct w:val="0"/>
        <w:autoSpaceDE/>
        <w:autoSpaceDN/>
        <w:bidi w:val="0"/>
        <w:adjustRightInd/>
        <w:snapToGrid/>
        <w:spacing w:line="480" w:lineRule="exact"/>
        <w:ind w:firstLine="720" w:firstLineChars="300"/>
        <w:jc w:val="left"/>
        <w:textAlignment w:val="auto"/>
        <w:rPr>
          <w:rFonts w:hint="eastAsia" w:ascii="仿宋" w:hAnsi="仿宋" w:eastAsia="仿宋" w:cs="仿宋"/>
          <w:color w:val="auto"/>
          <w:sz w:val="24"/>
          <w:szCs w:val="24"/>
          <w:highlight w:val="none"/>
        </w:rPr>
      </w:pPr>
      <w:r>
        <w:rPr>
          <w:rFonts w:hint="eastAsia" w:ascii="仿宋" w:hAnsi="仿宋" w:eastAsia="仿宋" w:cs="仿宋"/>
          <w:snapToGrid/>
          <w:color w:val="auto"/>
          <w:kern w:val="2"/>
          <w:sz w:val="24"/>
          <w:szCs w:val="24"/>
          <w:highlight w:val="none"/>
          <w:lang w:val="en-US" w:eastAsia="zh-CN"/>
        </w:rPr>
        <w:t>▲4.2.9.1拓展舱靠窗两侧为折叠翻转座椅，皮质包覆，长</w:t>
      </w:r>
      <w:r>
        <w:rPr>
          <w:rFonts w:hint="eastAsia" w:ascii="仿宋" w:hAnsi="仿宋" w:eastAsia="仿宋" w:cs="仿宋"/>
          <w:color w:val="auto"/>
          <w:sz w:val="24"/>
          <w:szCs w:val="24"/>
          <w:highlight w:val="none"/>
        </w:rPr>
        <w:t>条坐椅，每个可</w:t>
      </w:r>
      <w:r>
        <w:rPr>
          <w:rFonts w:hint="eastAsia" w:ascii="仿宋" w:hAnsi="仿宋" w:eastAsia="仿宋" w:cs="仿宋"/>
          <w:color w:val="auto"/>
          <w:sz w:val="24"/>
          <w:szCs w:val="24"/>
          <w:highlight w:val="none"/>
          <w:lang w:val="en-US" w:eastAsia="zh-CN"/>
        </w:rPr>
        <w:t>坐</w:t>
      </w:r>
      <w:r>
        <w:rPr>
          <w:rFonts w:hint="eastAsia" w:ascii="仿宋" w:hAnsi="仿宋" w:eastAsia="仿宋" w:cs="仿宋"/>
          <w:color w:val="auto"/>
          <w:sz w:val="24"/>
          <w:szCs w:val="24"/>
          <w:highlight w:val="none"/>
        </w:rPr>
        <w:t>2-3人，可翻转。</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4.2.10窗户装饰（数量1套）：</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4.2.10.1</w:t>
      </w:r>
      <w:r>
        <w:rPr>
          <w:rFonts w:hint="eastAsia" w:ascii="仿宋" w:hAnsi="仿宋" w:eastAsia="仿宋" w:cs="仿宋"/>
          <w:color w:val="auto"/>
          <w:sz w:val="24"/>
          <w:szCs w:val="24"/>
          <w:highlight w:val="none"/>
        </w:rPr>
        <w:t>配备窗眉、窗套和专用窗帘。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4.2.11原车风道改造（数量2套）：</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4.2.11.1</w:t>
      </w:r>
      <w:r>
        <w:rPr>
          <w:rFonts w:hint="eastAsia" w:ascii="仿宋" w:hAnsi="仿宋" w:eastAsia="仿宋" w:cs="仿宋"/>
          <w:color w:val="auto"/>
          <w:sz w:val="24"/>
          <w:szCs w:val="24"/>
          <w:highlight w:val="none"/>
        </w:rPr>
        <w:t>多层实木夹板木作，风道边沿设计LED灯带。</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4.2.12操作人员办公桌（数量1项）：</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4.2.12.1</w:t>
      </w:r>
      <w:r>
        <w:rPr>
          <w:rFonts w:hint="eastAsia" w:ascii="仿宋" w:hAnsi="仿宋" w:eastAsia="仿宋" w:cs="仿宋"/>
          <w:color w:val="auto"/>
          <w:sz w:val="24"/>
          <w:szCs w:val="24"/>
          <w:highlight w:val="none"/>
        </w:rPr>
        <w:t>采用多层实木木作，方钢加强，面贴花纹防火板装饰，桌面安装多媒体插座。</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4.2.13机柜（数量2套）：</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4.2.13.1每个</w:t>
      </w:r>
      <w:r>
        <w:rPr>
          <w:rFonts w:hint="eastAsia" w:ascii="仿宋" w:hAnsi="仿宋" w:eastAsia="仿宋" w:cs="仿宋"/>
          <w:color w:val="auto"/>
          <w:sz w:val="24"/>
          <w:szCs w:val="24"/>
          <w:highlight w:val="none"/>
        </w:rPr>
        <w:t>机柜≥32U的标准机柜。</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.2.14微波炉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4.2.14.1</w:t>
      </w:r>
      <w:r>
        <w:rPr>
          <w:rFonts w:hint="eastAsia" w:ascii="仿宋" w:hAnsi="仿宋" w:eastAsia="仿宋" w:cs="仿宋"/>
          <w:color w:val="auto"/>
          <w:sz w:val="24"/>
          <w:szCs w:val="24"/>
          <w:highlight w:val="none"/>
        </w:rPr>
        <w:t>微烤一体，多档火力调节旋钮简易操作。</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.2.15水吧台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4.2.15.1</w:t>
      </w:r>
      <w:r>
        <w:rPr>
          <w:rFonts w:hint="eastAsia" w:ascii="仿宋" w:hAnsi="仿宋" w:eastAsia="仿宋" w:cs="仿宋"/>
          <w:color w:val="auto"/>
          <w:sz w:val="24"/>
          <w:szCs w:val="24"/>
          <w:highlight w:val="none"/>
        </w:rPr>
        <w:t>采用多层实木木作，方钢加强，面贴花纹防火板装饰，包含一套直饮水装置。</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.2.16饮水机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4.2.16.1</w:t>
      </w:r>
      <w:r>
        <w:rPr>
          <w:rFonts w:hint="eastAsia" w:ascii="仿宋" w:hAnsi="仿宋" w:eastAsia="仿宋" w:cs="仿宋"/>
          <w:color w:val="auto"/>
          <w:sz w:val="24"/>
          <w:szCs w:val="24"/>
          <w:highlight w:val="none"/>
        </w:rPr>
        <w:t>车载专用冷热饮水机。</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.2.17车后登顶梯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4.2.17.1</w:t>
      </w:r>
      <w:r>
        <w:rPr>
          <w:rFonts w:hint="eastAsia" w:ascii="仿宋" w:hAnsi="仿宋" w:eastAsia="仿宋" w:cs="仿宋"/>
          <w:color w:val="auto"/>
          <w:sz w:val="24"/>
          <w:szCs w:val="24"/>
          <w:highlight w:val="none"/>
        </w:rPr>
        <w:t>登顶梯采用≥304不锈钢材质，厚度≥1.5公分，承载能力≥200KG。</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.2.18整车涂装物料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4.2.18.1</w:t>
      </w:r>
      <w:r>
        <w:rPr>
          <w:rFonts w:hint="eastAsia" w:ascii="仿宋" w:hAnsi="仿宋" w:eastAsia="仿宋" w:cs="仿宋"/>
          <w:color w:val="auto"/>
          <w:sz w:val="24"/>
          <w:szCs w:val="24"/>
          <w:highlight w:val="none"/>
        </w:rPr>
        <w:t>外观装饰及喷涂，含颜料、贴纸等，需符合《国家综合性消防救援车辆外观制式涂装规范》涂装要求。</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4.3车载设备供配电系统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.3.1超静音柴油发电机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4.3.1.1</w:t>
      </w:r>
      <w:r>
        <w:rPr>
          <w:rFonts w:hint="eastAsia" w:ascii="仿宋" w:hAnsi="仿宋" w:eastAsia="仿宋" w:cs="仿宋"/>
          <w:color w:val="auto"/>
          <w:sz w:val="24"/>
          <w:szCs w:val="24"/>
          <w:highlight w:val="none"/>
        </w:rPr>
        <w:t>≥20KW的超静音柴油发电机，无刷、无信号噪音、无旋转线圈或二极管、高防护等级、正弦波、短路稳定性、水冷；</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4.3.1.2</w:t>
      </w:r>
      <w:r>
        <w:rPr>
          <w:rFonts w:hint="eastAsia" w:ascii="仿宋" w:hAnsi="仿宋" w:eastAsia="仿宋" w:cs="仿宋"/>
          <w:color w:val="auto"/>
          <w:sz w:val="24"/>
          <w:szCs w:val="24"/>
          <w:highlight w:val="none"/>
        </w:rPr>
        <w:t>外置≥12V燃油泵；绝缘等级绕组：H级以上；电动交流发电机；标称功率：≥22KW；连续功率：≥20KW；相数：≥1</w:t>
      </w:r>
      <w:r>
        <w:rPr>
          <w:rFonts w:hint="eastAsia" w:ascii="仿宋" w:hAnsi="仿宋" w:eastAsia="仿宋" w:cs="仿宋"/>
          <w:color w:val="auto"/>
          <w:sz w:val="24"/>
          <w:szCs w:val="24"/>
          <w:highlight w:val="none"/>
          <w:lang w:eastAsia="zh-CN"/>
        </w:rPr>
        <w:t>个</w:t>
      </w:r>
      <w:r>
        <w:rPr>
          <w:rFonts w:hint="eastAsia" w:ascii="仿宋" w:hAnsi="仿宋" w:eastAsia="仿宋" w:cs="仿宋"/>
          <w:color w:val="auto"/>
          <w:sz w:val="24"/>
          <w:szCs w:val="24"/>
          <w:highlight w:val="none"/>
        </w:rPr>
        <w:t>；汽缸数：≥4</w:t>
      </w:r>
      <w:r>
        <w:rPr>
          <w:rFonts w:hint="eastAsia" w:ascii="仿宋" w:hAnsi="仿宋" w:eastAsia="仿宋" w:cs="仿宋"/>
          <w:color w:val="auto"/>
          <w:sz w:val="24"/>
          <w:szCs w:val="24"/>
          <w:highlight w:val="none"/>
          <w:lang w:eastAsia="zh-CN"/>
        </w:rPr>
        <w:t>个</w:t>
      </w:r>
      <w:r>
        <w:rPr>
          <w:rFonts w:hint="eastAsia" w:ascii="仿宋" w:hAnsi="仿宋" w:eastAsia="仿宋" w:cs="仿宋"/>
          <w:color w:val="auto"/>
          <w:sz w:val="24"/>
          <w:szCs w:val="24"/>
          <w:highlight w:val="none"/>
        </w:rPr>
        <w:t>；隔音罩（发电机外壳/隔音罩），隔音材料：≥4DS；外形尺寸：≤1300×700×800（mm）；</w:t>
      </w:r>
    </w:p>
    <w:p>
      <w:pPr>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距静音箱7米：≤58分贝。</w:t>
      </w:r>
    </w:p>
    <w:p>
      <w:pPr>
        <w:spacing w:line="480" w:lineRule="exact"/>
        <w:ind w:firstLine="720" w:firstLineChars="300"/>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4.3.1.3排量：≥1200cm3；</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.3.2副油箱</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4.3.2.1</w:t>
      </w:r>
      <w:r>
        <w:rPr>
          <w:rFonts w:hint="eastAsia" w:ascii="仿宋" w:hAnsi="仿宋" w:eastAsia="仿宋" w:cs="仿宋"/>
          <w:color w:val="auto"/>
          <w:sz w:val="24"/>
          <w:szCs w:val="24"/>
          <w:highlight w:val="none"/>
        </w:rPr>
        <w:t>共用原车油箱，体积大，续航时间长。</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.3.3不间断电源 UPS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4.3.3.1 </w:t>
      </w:r>
      <w:r>
        <w:rPr>
          <w:rFonts w:hint="eastAsia" w:ascii="仿宋" w:hAnsi="仿宋" w:eastAsia="仿宋" w:cs="仿宋"/>
          <w:color w:val="auto"/>
          <w:sz w:val="24"/>
          <w:szCs w:val="24"/>
          <w:highlight w:val="none"/>
        </w:rPr>
        <w:t>6KVA及以上配置,含UPS蓄电池，保证车内通信设备工作续航时长可达≥30分钟。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.3.4加装蓄电池</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数量4只</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4.3.4.1 单个电池容量</w:t>
      </w:r>
      <w:r>
        <w:rPr>
          <w:rFonts w:hint="eastAsia" w:ascii="仿宋" w:hAnsi="仿宋" w:eastAsia="仿宋" w:cs="仿宋"/>
          <w:color w:val="auto"/>
          <w:sz w:val="24"/>
          <w:szCs w:val="24"/>
          <w:highlight w:val="none"/>
        </w:rPr>
        <w:t>≥150AH</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12V的蓄电池。</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.3.5充电机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4.3.5.1 </w:t>
      </w:r>
      <w:r>
        <w:rPr>
          <w:rFonts w:hint="eastAsia" w:ascii="仿宋" w:hAnsi="仿宋" w:eastAsia="仿宋" w:cs="仿宋"/>
          <w:color w:val="auto"/>
          <w:sz w:val="24"/>
          <w:szCs w:val="24"/>
          <w:highlight w:val="none"/>
        </w:rPr>
        <w:t>≥12V、40A。</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.3.6电动外接电源电缆线盘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4.3.6.1 </w:t>
      </w:r>
      <w:r>
        <w:rPr>
          <w:rFonts w:hint="eastAsia" w:ascii="仿宋" w:hAnsi="仿宋" w:eastAsia="仿宋" w:cs="仿宋"/>
          <w:color w:val="auto"/>
          <w:sz w:val="24"/>
          <w:szCs w:val="24"/>
          <w:highlight w:val="none"/>
        </w:rPr>
        <w:t>电动伸缩线盘，含长度≥50米，信号缆盘≥30米。</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.3.7手动外接电源电缆线盘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4.3.7.1 </w:t>
      </w:r>
      <w:r>
        <w:rPr>
          <w:rFonts w:hint="eastAsia" w:ascii="仿宋" w:hAnsi="仿宋" w:eastAsia="仿宋" w:cs="仿宋"/>
          <w:color w:val="auto"/>
          <w:sz w:val="24"/>
          <w:szCs w:val="24"/>
          <w:highlight w:val="none"/>
        </w:rPr>
        <w:t>可拆卸手动移动式伸缩线盘，含长度≥50米，信号缆盘≥30米。</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.3.8配电系统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4.3.8.1 </w:t>
      </w:r>
      <w:r>
        <w:rPr>
          <w:rFonts w:hint="eastAsia" w:ascii="仿宋" w:hAnsi="仿宋" w:eastAsia="仿宋" w:cs="仿宋"/>
          <w:color w:val="auto"/>
          <w:sz w:val="24"/>
          <w:szCs w:val="24"/>
          <w:highlight w:val="none"/>
        </w:rPr>
        <w:t>整车电源管理、分配，包含断路器、漏电保护、接触器、继电器等工业级控制元器件。</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.3.9电源自动转换器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4.3.9.1</w:t>
      </w:r>
      <w:r>
        <w:rPr>
          <w:rFonts w:hint="eastAsia" w:ascii="仿宋" w:hAnsi="仿宋" w:eastAsia="仿宋" w:cs="仿宋"/>
          <w:color w:val="auto"/>
          <w:sz w:val="24"/>
          <w:szCs w:val="24"/>
          <w:highlight w:val="none"/>
        </w:rPr>
        <w:t>电源智能自动转换保护器，无需手动操作外接电源，市电发电机转换。</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.3.10防雷接地安全系统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4.3.10.1</w:t>
      </w:r>
      <w:r>
        <w:rPr>
          <w:rFonts w:hint="eastAsia" w:ascii="仿宋" w:hAnsi="仿宋" w:eastAsia="仿宋" w:cs="仿宋"/>
          <w:color w:val="auto"/>
          <w:sz w:val="24"/>
          <w:szCs w:val="24"/>
          <w:highlight w:val="none"/>
        </w:rPr>
        <w:t>含接闪器、引下线、接地装置、水平地网。</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4.4环境调节及保障</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.4.1驻车空调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数量4台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4.4.1.1</w:t>
      </w:r>
      <w:r>
        <w:rPr>
          <w:rFonts w:hint="eastAsia" w:ascii="仿宋" w:hAnsi="仿宋" w:eastAsia="仿宋" w:cs="仿宋"/>
          <w:color w:val="auto"/>
          <w:sz w:val="24"/>
          <w:szCs w:val="24"/>
          <w:highlight w:val="none"/>
        </w:rPr>
        <w:t>驻车时可使用市电或者发电机供电，单台驻车空调制冷量≥1.5P。</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.4.2长排警灯警报器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4.4.2.1 </w:t>
      </w:r>
      <w:r>
        <w:rPr>
          <w:rFonts w:hint="eastAsia" w:ascii="仿宋" w:hAnsi="仿宋" w:eastAsia="仿宋" w:cs="仿宋"/>
          <w:color w:val="auto"/>
          <w:sz w:val="24"/>
          <w:szCs w:val="24"/>
          <w:highlight w:val="none"/>
        </w:rPr>
        <w:t>LED长排警灯，含≥300W的警报器。</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.4.3频闪灯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4.4.3.1 </w:t>
      </w:r>
      <w:r>
        <w:rPr>
          <w:rFonts w:hint="eastAsia" w:ascii="仿宋" w:hAnsi="仿宋" w:eastAsia="仿宋" w:cs="仿宋"/>
          <w:color w:val="auto"/>
          <w:sz w:val="24"/>
          <w:szCs w:val="24"/>
          <w:highlight w:val="none"/>
        </w:rPr>
        <w:t>LED型频闪照明一体灯，含控制器。</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.4.4车顶倒伏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数量2套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4.4.4.1</w:t>
      </w:r>
      <w:r>
        <w:rPr>
          <w:rFonts w:hint="eastAsia" w:ascii="仿宋" w:hAnsi="仿宋" w:eastAsia="仿宋" w:cs="仿宋"/>
          <w:color w:val="auto"/>
          <w:sz w:val="24"/>
          <w:szCs w:val="24"/>
          <w:highlight w:val="none"/>
        </w:rPr>
        <w:t>含倒伏装置。</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.4.5电动遮阳棚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数量3套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4.4.5.1</w:t>
      </w:r>
      <w:r>
        <w:rPr>
          <w:rFonts w:hint="eastAsia" w:ascii="仿宋" w:hAnsi="仿宋" w:eastAsia="仿宋" w:cs="仿宋"/>
          <w:color w:val="auto"/>
          <w:sz w:val="24"/>
          <w:szCs w:val="24"/>
          <w:highlight w:val="none"/>
        </w:rPr>
        <w:t>电动，含遮阳篷布、定制框架、控制器。</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.4.6车载冰箱</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4.4.6.1 </w:t>
      </w:r>
      <w:r>
        <w:rPr>
          <w:rFonts w:hint="eastAsia" w:ascii="仿宋" w:hAnsi="仿宋" w:eastAsia="仿宋" w:cs="仿宋"/>
          <w:color w:val="auto"/>
          <w:sz w:val="24"/>
          <w:szCs w:val="24"/>
          <w:highlight w:val="none"/>
        </w:rPr>
        <w:t>采用小型压缩机，小型冷凝器，具有冷藏和冷冻功能，容积≥45L。</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.4.7热水壶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4.4.7.1 </w:t>
      </w:r>
      <w:r>
        <w:rPr>
          <w:rFonts w:hint="eastAsia" w:ascii="仿宋" w:hAnsi="仿宋" w:eastAsia="仿宋" w:cs="仿宋"/>
          <w:color w:val="auto"/>
          <w:sz w:val="24"/>
          <w:szCs w:val="24"/>
          <w:highlight w:val="none"/>
        </w:rPr>
        <w:t>安全自动断电，带温度显示，容积≥1.5L。</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.4.8车内照明系统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4.4.8.1 </w:t>
      </w:r>
      <w:r>
        <w:rPr>
          <w:rFonts w:hint="eastAsia" w:ascii="仿宋" w:hAnsi="仿宋" w:eastAsia="仿宋" w:cs="仿宋"/>
          <w:color w:val="auto"/>
          <w:sz w:val="24"/>
          <w:szCs w:val="24"/>
          <w:highlight w:val="none"/>
        </w:rPr>
        <w:t>含照明灯、控制开关，照明度应≥500LUX，色温≥3000K,附近照度≥50LUX.避免直射光，另配备手持应急照明灯2个。</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.4.9插座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数量12套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4.4.9.1 </w:t>
      </w:r>
      <w:r>
        <w:rPr>
          <w:rFonts w:hint="eastAsia" w:ascii="仿宋" w:hAnsi="仿宋" w:eastAsia="仿宋" w:cs="仿宋"/>
          <w:color w:val="auto"/>
          <w:sz w:val="24"/>
          <w:szCs w:val="24"/>
          <w:highlight w:val="none"/>
        </w:rPr>
        <w:t>含嵌入式桌面插座、会议区两侧墙面等位置。</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.4.10车身安全报警系统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4.4.10.1</w:t>
      </w:r>
      <w:r>
        <w:rPr>
          <w:rFonts w:hint="eastAsia" w:ascii="仿宋" w:hAnsi="仿宋" w:eastAsia="仿宋" w:cs="仿宋"/>
          <w:color w:val="auto"/>
          <w:sz w:val="24"/>
          <w:szCs w:val="24"/>
          <w:highlight w:val="none"/>
        </w:rPr>
        <w:t>含限高报警、倒车雷达。</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.4.11户外信号源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4.4.11.1 </w:t>
      </w:r>
      <w:r>
        <w:rPr>
          <w:rFonts w:hint="eastAsia" w:ascii="仿宋" w:hAnsi="仿宋" w:eastAsia="仿宋" w:cs="仿宋"/>
          <w:color w:val="auto"/>
          <w:sz w:val="24"/>
          <w:szCs w:val="24"/>
          <w:highlight w:val="none"/>
        </w:rPr>
        <w:t>包括HDMI、VGA、AV等接口和网线接口等。</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.4.12平衡支撑腿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4.4.12.1 </w:t>
      </w:r>
      <w:r>
        <w:rPr>
          <w:rFonts w:hint="eastAsia" w:ascii="仿宋" w:hAnsi="仿宋" w:eastAsia="仿宋" w:cs="仿宋"/>
          <w:color w:val="auto"/>
          <w:sz w:val="24"/>
          <w:szCs w:val="24"/>
          <w:highlight w:val="none"/>
        </w:rPr>
        <w:t>有报警功能，≥4腿，具有自动调平功能；电机有防水功能，带有机械摇臂，可以手动收起支撑脚；</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.4.13车顶监控摄像头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4.4.13.1 </w:t>
      </w:r>
      <w:r>
        <w:rPr>
          <w:rFonts w:hint="eastAsia" w:ascii="仿宋" w:hAnsi="仿宋" w:eastAsia="仿宋" w:cs="仿宋"/>
          <w:color w:val="auto"/>
          <w:sz w:val="24"/>
          <w:szCs w:val="24"/>
          <w:highlight w:val="none"/>
        </w:rPr>
        <w:t>≥400万像素，红外距离≥30米。</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.4.14气动升降杆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4.4.14.1 </w:t>
      </w:r>
      <w:r>
        <w:rPr>
          <w:rFonts w:hint="eastAsia" w:ascii="仿宋" w:hAnsi="仿宋" w:eastAsia="仿宋" w:cs="仿宋"/>
          <w:color w:val="auto"/>
          <w:sz w:val="24"/>
          <w:szCs w:val="24"/>
          <w:highlight w:val="none"/>
        </w:rPr>
        <w:t>升降杆高度≥7米，用于架设专网基站等设备的通信天线；设备与天线之间的馈线，采用弹簧管的方式，随升降杆的升、降，馈线弹簧管可随天线升缩，保持天线和设备之间的连接。</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.4.15随车工具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4.4.15.1</w:t>
      </w:r>
      <w:r>
        <w:rPr>
          <w:rFonts w:hint="eastAsia" w:ascii="仿宋" w:hAnsi="仿宋" w:eastAsia="仿宋" w:cs="仿宋"/>
          <w:color w:val="auto"/>
          <w:sz w:val="24"/>
          <w:szCs w:val="24"/>
          <w:highlight w:val="none"/>
        </w:rPr>
        <w:t>包括：日常使用及汽修专用的棘轮扳手、万向接头、延长杆、不同长度的套筒及套筒批头（批头需包含六角、十字、一字、花型等多种规格及尺寸）、常用尺寸的内六角扳手等工具，另外需设计一组可归类存放随车工具的抽屉或工具箱。</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4.5集中控制系统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.5.1集中控制主机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▲4.5.1.1 </w:t>
      </w:r>
      <w:r>
        <w:rPr>
          <w:rFonts w:hint="eastAsia" w:ascii="仿宋" w:hAnsi="仿宋" w:eastAsia="仿宋" w:cs="仿宋"/>
          <w:color w:val="auto"/>
          <w:sz w:val="24"/>
          <w:szCs w:val="24"/>
          <w:highlight w:val="none"/>
        </w:rPr>
        <w:t>CPU主频≥667MHz的32位内嵌式处理器，内存≥256M，Flash闪存≥1G；</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4.5.1.2 </w:t>
      </w:r>
      <w:r>
        <w:rPr>
          <w:rFonts w:hint="eastAsia" w:ascii="仿宋" w:hAnsi="仿宋" w:eastAsia="仿宋" w:cs="仿宋"/>
          <w:color w:val="auto"/>
          <w:sz w:val="24"/>
          <w:szCs w:val="24"/>
          <w:highlight w:val="none"/>
        </w:rPr>
        <w:t>具备≥8路独立可编程RS-232/422/485 控制接口；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4.5.1.3 </w:t>
      </w:r>
      <w:r>
        <w:rPr>
          <w:rFonts w:hint="eastAsia" w:ascii="仿宋" w:hAnsi="仿宋" w:eastAsia="仿宋" w:cs="仿宋"/>
          <w:color w:val="auto"/>
          <w:sz w:val="24"/>
          <w:szCs w:val="24"/>
          <w:highlight w:val="none"/>
        </w:rPr>
        <w:t>具备≥8路弱电继电器接口和8路数字输入/输出IO接口；支持多种波特率格式及网络设备扩展功能；具备USB2.0及以上编程通讯接口；方便用户下载与上传程序；</w:t>
      </w:r>
    </w:p>
    <w:p>
      <w:pPr>
        <w:spacing w:line="48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支持网络通讯：NETJF，LINK，TCP/IP；多种网络通讯方式；</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4.5.1.4 </w:t>
      </w:r>
      <w:r>
        <w:rPr>
          <w:rFonts w:hint="eastAsia" w:ascii="仿宋" w:hAnsi="仿宋" w:eastAsia="仿宋" w:cs="仿宋"/>
          <w:color w:val="auto"/>
          <w:sz w:val="24"/>
          <w:szCs w:val="24"/>
          <w:highlight w:val="none"/>
        </w:rPr>
        <w:t>具备≥8路独立可编程的红外发射接口，具备控制多台红外设备的能力，红外口可以做RS232串口转发；</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4.5.1.5 </w:t>
      </w:r>
      <w:r>
        <w:rPr>
          <w:rFonts w:hint="eastAsia" w:ascii="仿宋" w:hAnsi="仿宋" w:eastAsia="仿宋" w:cs="仿宋"/>
          <w:color w:val="auto"/>
          <w:sz w:val="24"/>
          <w:szCs w:val="24"/>
          <w:highlight w:val="none"/>
        </w:rPr>
        <w:t>具备大型组网集中管理功能；支持多会议室互控，远程上传和维护程序；具有扩展卡槽，及多种通讯方式；</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4.5.1.6 </w:t>
      </w:r>
      <w:r>
        <w:rPr>
          <w:rFonts w:hint="eastAsia" w:ascii="仿宋" w:hAnsi="仿宋" w:eastAsia="仿宋" w:cs="仿宋"/>
          <w:color w:val="auto"/>
          <w:sz w:val="24"/>
          <w:szCs w:val="24"/>
          <w:highlight w:val="none"/>
        </w:rPr>
        <w:t>可实时控制会议室内设备，并监测设备控制状态；可实时监测应用环境中的温度，湿度，PM2.5；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4.5.1.7 </w:t>
      </w:r>
      <w:r>
        <w:rPr>
          <w:rFonts w:hint="eastAsia" w:ascii="仿宋" w:hAnsi="仿宋" w:eastAsia="仿宋" w:cs="仿宋"/>
          <w:color w:val="auto"/>
          <w:sz w:val="24"/>
          <w:szCs w:val="24"/>
          <w:highlight w:val="none"/>
        </w:rPr>
        <w:t>支持中控双机热备份功能。</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.5.2无线触摸屏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4.5.2.1 </w:t>
      </w:r>
      <w:r>
        <w:rPr>
          <w:rFonts w:hint="eastAsia" w:ascii="仿宋" w:hAnsi="仿宋" w:eastAsia="仿宋" w:cs="仿宋"/>
          <w:color w:val="auto"/>
          <w:sz w:val="24"/>
          <w:szCs w:val="24"/>
          <w:highlight w:val="none"/>
        </w:rPr>
        <w:t>触摸屏平板电脑；</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4.5.2.2 </w:t>
      </w:r>
      <w:r>
        <w:rPr>
          <w:rFonts w:hint="eastAsia" w:ascii="仿宋" w:hAnsi="仿宋" w:eastAsia="仿宋" w:cs="仿宋"/>
          <w:color w:val="auto"/>
          <w:sz w:val="24"/>
          <w:szCs w:val="24"/>
          <w:highlight w:val="none"/>
        </w:rPr>
        <w:t>内存：≥6G；</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4.5.2.3 </w:t>
      </w:r>
      <w:r>
        <w:rPr>
          <w:rFonts w:hint="eastAsia" w:ascii="仿宋" w:hAnsi="仿宋" w:eastAsia="仿宋" w:cs="仿宋"/>
          <w:color w:val="auto"/>
          <w:sz w:val="24"/>
          <w:szCs w:val="24"/>
          <w:highlight w:val="none"/>
        </w:rPr>
        <w:t>存储空间：≥64G；</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4.5.2.4 </w:t>
      </w:r>
      <w:r>
        <w:rPr>
          <w:rFonts w:hint="eastAsia" w:ascii="仿宋" w:hAnsi="仿宋" w:eastAsia="仿宋" w:cs="仿宋"/>
          <w:color w:val="auto"/>
          <w:sz w:val="24"/>
          <w:szCs w:val="24"/>
          <w:highlight w:val="none"/>
        </w:rPr>
        <w:t>屏幕：≥10英寸，分辨率≥2560×1600；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4.5.2.5 </w:t>
      </w:r>
      <w:r>
        <w:rPr>
          <w:rFonts w:hint="eastAsia" w:ascii="仿宋" w:hAnsi="仿宋" w:eastAsia="仿宋" w:cs="仿宋"/>
          <w:color w:val="auto"/>
          <w:sz w:val="24"/>
          <w:szCs w:val="24"/>
          <w:highlight w:val="none"/>
        </w:rPr>
        <w:t>摄像头：前置≥800万像素，后置摄像头≥1300万像素；</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4.5.2.6 </w:t>
      </w:r>
      <w:r>
        <w:rPr>
          <w:rFonts w:hint="eastAsia" w:ascii="仿宋" w:hAnsi="仿宋" w:eastAsia="仿宋" w:cs="仿宋"/>
          <w:color w:val="auto"/>
          <w:sz w:val="24"/>
          <w:szCs w:val="24"/>
          <w:highlight w:val="none"/>
        </w:rPr>
        <w:t>电池：≥7500mAh；</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4.5.2.7 </w:t>
      </w:r>
      <w:r>
        <w:rPr>
          <w:rFonts w:hint="eastAsia" w:ascii="仿宋" w:hAnsi="仿宋" w:eastAsia="仿宋" w:cs="仿宋"/>
          <w:color w:val="auto"/>
          <w:sz w:val="24"/>
          <w:szCs w:val="24"/>
          <w:highlight w:val="none"/>
        </w:rPr>
        <w:t>含正版中控软件永久授权。</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.5.3控制软件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4.5.3.1 </w:t>
      </w:r>
      <w:r>
        <w:rPr>
          <w:rFonts w:hint="eastAsia" w:ascii="仿宋" w:hAnsi="仿宋" w:eastAsia="仿宋" w:cs="仿宋"/>
          <w:color w:val="auto"/>
          <w:sz w:val="24"/>
          <w:szCs w:val="24"/>
          <w:highlight w:val="none"/>
        </w:rPr>
        <w:t>可根据现场环境要求与用户需求编写专业控制程序，实现数据输入，如环境控制，摄像跟踪，传感器值输入等应用。</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4.5.3.2 </w:t>
      </w:r>
      <w:r>
        <w:rPr>
          <w:rFonts w:hint="eastAsia" w:ascii="仿宋" w:hAnsi="仿宋" w:eastAsia="仿宋" w:cs="仿宋"/>
          <w:color w:val="auto"/>
          <w:sz w:val="24"/>
          <w:szCs w:val="24"/>
          <w:highlight w:val="none"/>
        </w:rPr>
        <w:t>支持TCP，UDP连接函数；</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4.5.3.3 </w:t>
      </w:r>
      <w:r>
        <w:rPr>
          <w:rFonts w:hint="eastAsia" w:ascii="仿宋" w:hAnsi="仿宋" w:eastAsia="仿宋" w:cs="仿宋"/>
          <w:color w:val="auto"/>
          <w:sz w:val="24"/>
          <w:szCs w:val="24"/>
          <w:highlight w:val="none"/>
        </w:rPr>
        <w:t>支持自建函数，方便代码重用。</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4.6车载动中通卫星通信分系统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.6.1车载动中通卫星通信天线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▲4.6.1.1 天线类型：相控阵天线,天线高度≤130mm</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4.6.1.2 工作频段：RX：10.7～12.75GHz，TX：13.75～14.50GHz；</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4.6.1.3 天线重量：≤75kg；</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4.6.1.4 </w:t>
      </w:r>
      <w:r>
        <w:rPr>
          <w:rFonts w:hint="eastAsia" w:ascii="仿宋" w:hAnsi="仿宋" w:eastAsia="仿宋" w:cs="仿宋"/>
          <w:color w:val="auto"/>
          <w:sz w:val="24"/>
          <w:szCs w:val="24"/>
          <w:highlight w:val="none"/>
        </w:rPr>
        <w:t>交叉极化隔离度：≥30dB；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4.6.1.5 </w:t>
      </w:r>
      <w:r>
        <w:rPr>
          <w:rFonts w:hint="eastAsia" w:ascii="仿宋" w:hAnsi="仿宋" w:eastAsia="仿宋" w:cs="仿宋"/>
          <w:color w:val="auto"/>
          <w:sz w:val="24"/>
          <w:szCs w:val="24"/>
          <w:highlight w:val="none"/>
        </w:rPr>
        <w:t>方位调整范围：0°～360°连续旋转；</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4.6.1.6 </w:t>
      </w:r>
      <w:r>
        <w:rPr>
          <w:rFonts w:hint="eastAsia" w:ascii="仿宋" w:hAnsi="仿宋" w:eastAsia="仿宋" w:cs="仿宋"/>
          <w:color w:val="auto"/>
          <w:sz w:val="24"/>
          <w:szCs w:val="24"/>
          <w:highlight w:val="none"/>
        </w:rPr>
        <w:t>仰角调整范围：2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°～85°；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4.6.1.7 </w:t>
      </w:r>
      <w:r>
        <w:rPr>
          <w:rFonts w:hint="eastAsia" w:ascii="仿宋" w:hAnsi="仿宋" w:eastAsia="仿宋" w:cs="仿宋"/>
          <w:color w:val="auto"/>
          <w:sz w:val="24"/>
          <w:szCs w:val="24"/>
          <w:highlight w:val="none"/>
        </w:rPr>
        <w:t>极化调整范围：-180°～180°连续；</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4.6.1.8 </w:t>
      </w:r>
      <w:r>
        <w:rPr>
          <w:rFonts w:hint="eastAsia" w:ascii="仿宋" w:hAnsi="仿宋" w:eastAsia="仿宋" w:cs="仿宋"/>
          <w:color w:val="auto"/>
          <w:sz w:val="24"/>
          <w:szCs w:val="24"/>
          <w:highlight w:val="none"/>
        </w:rPr>
        <w:t>信号极化：线极化，自动调整；</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4.6.1.9 </w:t>
      </w:r>
      <w:r>
        <w:rPr>
          <w:rFonts w:hint="eastAsia" w:ascii="仿宋" w:hAnsi="仿宋" w:eastAsia="仿宋" w:cs="仿宋"/>
          <w:color w:val="auto"/>
          <w:sz w:val="24"/>
          <w:szCs w:val="24"/>
          <w:highlight w:val="none"/>
        </w:rPr>
        <w:t>跟踪方式：自动跟踪、信标信号跟踪；</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4.6.1.10 </w:t>
      </w:r>
      <w:r>
        <w:rPr>
          <w:rFonts w:hint="eastAsia" w:ascii="仿宋" w:hAnsi="仿宋" w:eastAsia="仿宋" w:cs="仿宋"/>
          <w:color w:val="auto"/>
          <w:sz w:val="24"/>
          <w:szCs w:val="24"/>
          <w:highlight w:val="none"/>
        </w:rPr>
        <w:t>跟踪精度：≤0.5°RMS；</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4.6.1.11 </w:t>
      </w:r>
      <w:r>
        <w:rPr>
          <w:rFonts w:hint="eastAsia" w:ascii="仿宋" w:hAnsi="仿宋" w:eastAsia="仿宋" w:cs="仿宋"/>
          <w:color w:val="auto"/>
          <w:sz w:val="24"/>
          <w:szCs w:val="24"/>
          <w:highlight w:val="none"/>
        </w:rPr>
        <w:t>初始捕获时间：≤120秒</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4.6.1.12</w:t>
      </w:r>
      <w:r>
        <w:rPr>
          <w:rFonts w:hint="eastAsia" w:ascii="仿宋" w:hAnsi="仿宋" w:eastAsia="仿宋" w:cs="仿宋"/>
          <w:color w:val="auto"/>
          <w:sz w:val="24"/>
          <w:szCs w:val="24"/>
          <w:highlight w:val="none"/>
        </w:rPr>
        <w:t>遮挡后再捕获时间：遮挡≦10分钟，瞬时捕获；10分钟＜遮挡≦30分钟，捕获时间≦5秒；遮挡＞30分钟，捕获时间≦10秒；</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4.6.1.13 </w:t>
      </w:r>
      <w:r>
        <w:rPr>
          <w:rFonts w:hint="eastAsia" w:ascii="仿宋" w:hAnsi="仿宋" w:eastAsia="仿宋" w:cs="仿宋"/>
          <w:color w:val="auto"/>
          <w:sz w:val="24"/>
          <w:szCs w:val="24"/>
          <w:highlight w:val="none"/>
        </w:rPr>
        <w:t>支持高速运动对星：时速80km/h时，对星精度≤0.6dB；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▲4.6.1.14 </w:t>
      </w:r>
      <w:r>
        <w:rPr>
          <w:rFonts w:hint="eastAsia" w:ascii="仿宋" w:hAnsi="仿宋" w:eastAsia="仿宋" w:cs="仿宋"/>
          <w:color w:val="auto"/>
          <w:sz w:val="24"/>
          <w:szCs w:val="24"/>
          <w:highlight w:val="none"/>
        </w:rPr>
        <w:t>功耗：≤4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0W（含BUC不小于40W）</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4.6.1.16 </w:t>
      </w:r>
      <w:r>
        <w:rPr>
          <w:rFonts w:hint="eastAsia" w:ascii="仿宋" w:hAnsi="仿宋" w:eastAsia="仿宋" w:cs="仿宋"/>
          <w:color w:val="auto"/>
          <w:sz w:val="24"/>
          <w:szCs w:val="24"/>
          <w:highlight w:val="none"/>
        </w:rPr>
        <w:t>工作温度：-15℃～60℃；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4.6.1.17 </w:t>
      </w:r>
      <w:r>
        <w:rPr>
          <w:rFonts w:hint="eastAsia" w:ascii="仿宋" w:hAnsi="仿宋" w:eastAsia="仿宋" w:cs="仿宋"/>
          <w:color w:val="auto"/>
          <w:sz w:val="24"/>
          <w:szCs w:val="24"/>
          <w:highlight w:val="none"/>
        </w:rPr>
        <w:t>防护等级：≥IP65。</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.6.2自动寻星软件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4.6.2.1 </w:t>
      </w:r>
      <w:r>
        <w:rPr>
          <w:rFonts w:hint="eastAsia" w:ascii="仿宋" w:hAnsi="仿宋" w:eastAsia="仿宋" w:cs="仿宋"/>
          <w:color w:val="auto"/>
          <w:sz w:val="24"/>
          <w:szCs w:val="24"/>
          <w:highlight w:val="none"/>
        </w:rPr>
        <w:t>供电控制模块：具有掉电记忆和保护功能；具有开机自检和故障告警功能。天线主控模块：控制天线启动与信号收发开关；自动采集存储天线工作状态信息。</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4.6.2.2 </w:t>
      </w:r>
      <w:r>
        <w:rPr>
          <w:rFonts w:hint="eastAsia" w:ascii="仿宋" w:hAnsi="仿宋" w:eastAsia="仿宋" w:cs="仿宋"/>
          <w:color w:val="auto"/>
          <w:sz w:val="24"/>
          <w:szCs w:val="24"/>
          <w:highlight w:val="none"/>
        </w:rPr>
        <w:t>寻星与跟踪模块：自动采集设备所处位置的经度、纬度和方向，显示天线的方位角、俯仰角；预存10颗以上卫星的星位参数；能够根据输入的数据，自动控制天线对准卫星并控制波束对准卫星。采用全自动寻星方式，实现一键对星，全中文操作界面。</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.6.3高功率放大器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▲4.6.3.1 </w:t>
      </w:r>
      <w:r>
        <w:rPr>
          <w:rFonts w:hint="eastAsia" w:ascii="仿宋" w:hAnsi="仿宋" w:eastAsia="仿宋" w:cs="仿宋"/>
          <w:color w:val="auto"/>
          <w:sz w:val="24"/>
          <w:szCs w:val="24"/>
          <w:highlight w:val="none"/>
        </w:rPr>
        <w:t>功放功率≥40W；</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4.6.3.2 </w:t>
      </w:r>
      <w:r>
        <w:rPr>
          <w:rFonts w:hint="eastAsia" w:ascii="仿宋" w:hAnsi="仿宋" w:eastAsia="仿宋" w:cs="仿宋"/>
          <w:color w:val="auto"/>
          <w:sz w:val="24"/>
          <w:szCs w:val="24"/>
          <w:highlight w:val="none"/>
        </w:rPr>
        <w:t>输入频率范围：950～1450MHz；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4.6.3.3 </w:t>
      </w:r>
      <w:r>
        <w:rPr>
          <w:rFonts w:hint="eastAsia" w:ascii="仿宋" w:hAnsi="仿宋" w:eastAsia="仿宋" w:cs="仿宋"/>
          <w:color w:val="auto"/>
          <w:sz w:val="24"/>
          <w:szCs w:val="24"/>
          <w:highlight w:val="none"/>
        </w:rPr>
        <w:t>输出频率范围：14.0～14.5GHz；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4.6.3.4 </w:t>
      </w:r>
      <w:r>
        <w:rPr>
          <w:rFonts w:hint="eastAsia" w:ascii="仿宋" w:hAnsi="仿宋" w:eastAsia="仿宋" w:cs="仿宋"/>
          <w:color w:val="auto"/>
          <w:sz w:val="24"/>
          <w:szCs w:val="24"/>
          <w:highlight w:val="none"/>
        </w:rPr>
        <w:t>外部参考要求（10MH）：0dBm±5dB；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4.6.3.5 </w:t>
      </w:r>
      <w:r>
        <w:rPr>
          <w:rFonts w:hint="eastAsia" w:ascii="仿宋" w:hAnsi="仿宋" w:eastAsia="仿宋" w:cs="仿宋"/>
          <w:color w:val="auto"/>
          <w:sz w:val="24"/>
          <w:szCs w:val="24"/>
          <w:highlight w:val="none"/>
        </w:rPr>
        <w:t>信号增益：≥70dB；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4.6.3.6 </w:t>
      </w:r>
      <w:r>
        <w:rPr>
          <w:rFonts w:hint="eastAsia" w:ascii="仿宋" w:hAnsi="仿宋" w:eastAsia="仿宋" w:cs="仿宋"/>
          <w:color w:val="auto"/>
          <w:sz w:val="24"/>
          <w:szCs w:val="24"/>
          <w:highlight w:val="none"/>
        </w:rPr>
        <w:t>增益调节范围：≥20dB，1dB步进；</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4.6.3.7 </w:t>
      </w:r>
      <w:r>
        <w:rPr>
          <w:rFonts w:hint="eastAsia" w:ascii="仿宋" w:hAnsi="仿宋" w:eastAsia="仿宋" w:cs="仿宋"/>
          <w:color w:val="auto"/>
          <w:sz w:val="24"/>
          <w:szCs w:val="24"/>
          <w:highlight w:val="none"/>
        </w:rPr>
        <w:t>三阶互调抑制：-25dBc@P1dB回退3dB；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4.6.3.8 </w:t>
      </w:r>
      <w:r>
        <w:rPr>
          <w:rFonts w:hint="eastAsia" w:ascii="仿宋" w:hAnsi="仿宋" w:eastAsia="仿宋" w:cs="仿宋"/>
          <w:color w:val="auto"/>
          <w:sz w:val="24"/>
          <w:szCs w:val="24"/>
          <w:highlight w:val="none"/>
        </w:rPr>
        <w:t>中频输入口VSWR：2：1；</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4.6.3.9 </w:t>
      </w:r>
      <w:r>
        <w:rPr>
          <w:rFonts w:hint="eastAsia" w:ascii="仿宋" w:hAnsi="仿宋" w:eastAsia="仿宋" w:cs="仿宋"/>
          <w:color w:val="auto"/>
          <w:sz w:val="24"/>
          <w:szCs w:val="24"/>
          <w:highlight w:val="none"/>
        </w:rPr>
        <w:t>射频输出口VSWR：1.25：1；</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4.6.3.10 </w:t>
      </w:r>
      <w:r>
        <w:rPr>
          <w:rFonts w:hint="eastAsia" w:ascii="仿宋" w:hAnsi="仿宋" w:eastAsia="仿宋" w:cs="仿宋"/>
          <w:color w:val="auto"/>
          <w:sz w:val="24"/>
          <w:szCs w:val="24"/>
          <w:highlight w:val="none"/>
        </w:rPr>
        <w:t>工作电压：+48V DC（36-75V）。</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.6.4低噪声放大器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4.6.4.1 </w:t>
      </w:r>
      <w:r>
        <w:rPr>
          <w:rFonts w:hint="eastAsia" w:ascii="仿宋" w:hAnsi="仿宋" w:eastAsia="仿宋" w:cs="仿宋"/>
          <w:color w:val="auto"/>
          <w:sz w:val="24"/>
          <w:szCs w:val="24"/>
          <w:highlight w:val="none"/>
        </w:rPr>
        <w:t>输入频率范围：12.25～12.75GHz；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4.6.4.2 </w:t>
      </w:r>
      <w:r>
        <w:rPr>
          <w:rFonts w:hint="eastAsia" w:ascii="仿宋" w:hAnsi="仿宋" w:eastAsia="仿宋" w:cs="仿宋"/>
          <w:color w:val="auto"/>
          <w:sz w:val="24"/>
          <w:szCs w:val="24"/>
          <w:highlight w:val="none"/>
        </w:rPr>
        <w:t>输出频率范围：950～1450MHz；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4.6.4.3 </w:t>
      </w:r>
      <w:r>
        <w:rPr>
          <w:rFonts w:hint="eastAsia" w:ascii="仿宋" w:hAnsi="仿宋" w:eastAsia="仿宋" w:cs="仿宋"/>
          <w:color w:val="auto"/>
          <w:sz w:val="24"/>
          <w:szCs w:val="24"/>
          <w:highlight w:val="none"/>
        </w:rPr>
        <w:t>功率增益：≥65dB；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4.6.4.4 </w:t>
      </w:r>
      <w:r>
        <w:rPr>
          <w:rFonts w:hint="eastAsia" w:ascii="仿宋" w:hAnsi="仿宋" w:eastAsia="仿宋" w:cs="仿宋"/>
          <w:color w:val="auto"/>
          <w:sz w:val="24"/>
          <w:szCs w:val="24"/>
          <w:highlight w:val="none"/>
        </w:rPr>
        <w:t>噪声系数：≤1.1dB；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4.6.4.5 </w:t>
      </w:r>
      <w:r>
        <w:rPr>
          <w:rFonts w:hint="eastAsia" w:ascii="仿宋" w:hAnsi="仿宋" w:eastAsia="仿宋" w:cs="仿宋"/>
          <w:color w:val="auto"/>
          <w:sz w:val="24"/>
          <w:szCs w:val="24"/>
          <w:highlight w:val="none"/>
        </w:rPr>
        <w:t>杂散抑制：≤-55dBc；</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4.6.4.6 </w:t>
      </w:r>
      <w:r>
        <w:rPr>
          <w:rFonts w:hint="eastAsia" w:ascii="仿宋" w:hAnsi="仿宋" w:eastAsia="仿宋" w:cs="仿宋"/>
          <w:color w:val="auto"/>
          <w:sz w:val="24"/>
          <w:szCs w:val="24"/>
          <w:highlight w:val="none"/>
        </w:rPr>
        <w:t>谐波抑制：≤-60dBc；</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4.6.4.7 </w:t>
      </w:r>
      <w:r>
        <w:rPr>
          <w:rFonts w:hint="eastAsia" w:ascii="仿宋" w:hAnsi="仿宋" w:eastAsia="仿宋" w:cs="仿宋"/>
          <w:color w:val="auto"/>
          <w:sz w:val="24"/>
          <w:szCs w:val="24"/>
          <w:highlight w:val="none"/>
        </w:rPr>
        <w:t>驻波比：≤2；</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4.6.4.8 </w:t>
      </w:r>
      <w:r>
        <w:rPr>
          <w:rFonts w:hint="eastAsia" w:ascii="仿宋" w:hAnsi="仿宋" w:eastAsia="仿宋" w:cs="仿宋"/>
          <w:color w:val="auto"/>
          <w:sz w:val="24"/>
          <w:szCs w:val="24"/>
          <w:highlight w:val="none"/>
        </w:rPr>
        <w:t>供电：12～24V DC；</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4.6.4.9 </w:t>
      </w:r>
      <w:r>
        <w:rPr>
          <w:rFonts w:hint="eastAsia" w:ascii="仿宋" w:hAnsi="仿宋" w:eastAsia="仿宋" w:cs="仿宋"/>
          <w:color w:val="auto"/>
          <w:sz w:val="24"/>
          <w:szCs w:val="24"/>
          <w:highlight w:val="none"/>
        </w:rPr>
        <w:t>功耗：≤10W；</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4.6.4.10 </w:t>
      </w:r>
      <w:r>
        <w:rPr>
          <w:rFonts w:hint="eastAsia" w:ascii="仿宋" w:hAnsi="仿宋" w:eastAsia="仿宋" w:cs="仿宋"/>
          <w:color w:val="auto"/>
          <w:sz w:val="24"/>
          <w:szCs w:val="24"/>
          <w:highlight w:val="none"/>
        </w:rPr>
        <w:t>工作温度范围：-15℃～+60℃；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4.6.4.11 </w:t>
      </w:r>
      <w:r>
        <w:rPr>
          <w:rFonts w:hint="eastAsia" w:ascii="仿宋" w:hAnsi="仿宋" w:eastAsia="仿宋" w:cs="仿宋"/>
          <w:color w:val="auto"/>
          <w:sz w:val="24"/>
          <w:szCs w:val="24"/>
          <w:highlight w:val="none"/>
        </w:rPr>
        <w:t>存储温度范围：-15℃～+80℃；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4.6.4.12 </w:t>
      </w:r>
      <w:r>
        <w:rPr>
          <w:rFonts w:hint="eastAsia" w:ascii="仿宋" w:hAnsi="仿宋" w:eastAsia="仿宋" w:cs="仿宋"/>
          <w:color w:val="auto"/>
          <w:sz w:val="24"/>
          <w:szCs w:val="24"/>
          <w:highlight w:val="none"/>
        </w:rPr>
        <w:t>防护等级：≥IP65。</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.6.5卫星调制解调器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4.6.5.1 </w:t>
      </w:r>
      <w:r>
        <w:rPr>
          <w:rFonts w:hint="eastAsia" w:ascii="仿宋" w:hAnsi="仿宋" w:eastAsia="仿宋" w:cs="仿宋"/>
          <w:color w:val="auto"/>
          <w:sz w:val="24"/>
          <w:szCs w:val="24"/>
          <w:highlight w:val="none"/>
        </w:rPr>
        <w:t>能够接入国家消防救援局新网管系统，支持二级网管管理,界面为中文；</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4.6.5.2 </w:t>
      </w:r>
      <w:r>
        <w:rPr>
          <w:rFonts w:hint="eastAsia" w:ascii="仿宋" w:hAnsi="仿宋" w:eastAsia="仿宋" w:cs="仿宋"/>
          <w:color w:val="auto"/>
          <w:sz w:val="24"/>
          <w:szCs w:val="24"/>
          <w:highlight w:val="none"/>
        </w:rPr>
        <w:t>调制方式：BPSK、QPSK、8PSK、16APSK；</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4.6.5.3 </w:t>
      </w:r>
      <w:r>
        <w:rPr>
          <w:rFonts w:hint="eastAsia" w:ascii="仿宋" w:hAnsi="仿宋" w:eastAsia="仿宋" w:cs="仿宋"/>
          <w:color w:val="auto"/>
          <w:sz w:val="24"/>
          <w:szCs w:val="24"/>
          <w:highlight w:val="none"/>
        </w:rPr>
        <w:t>编码方式：LDPC、TPC；</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4.6.5.4 </w:t>
      </w:r>
      <w:r>
        <w:rPr>
          <w:rFonts w:hint="eastAsia" w:ascii="仿宋" w:hAnsi="仿宋" w:eastAsia="仿宋" w:cs="仿宋"/>
          <w:color w:val="auto"/>
          <w:sz w:val="24"/>
          <w:szCs w:val="24"/>
          <w:highlight w:val="none"/>
        </w:rPr>
        <w:t>FEC编码码率支持1/2，3/4，7/8；</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4.6.5.5 </w:t>
      </w:r>
      <w:r>
        <w:rPr>
          <w:rFonts w:hint="eastAsia" w:ascii="仿宋" w:hAnsi="仿宋" w:eastAsia="仿宋" w:cs="仿宋"/>
          <w:color w:val="auto"/>
          <w:sz w:val="24"/>
          <w:szCs w:val="24"/>
          <w:highlight w:val="none"/>
        </w:rPr>
        <w:t>具有 TCP 协议加速功能，TCP 加速性能≥70%（无误码）、具有 IP QoS 保障功能；</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4.6.5.6 </w:t>
      </w:r>
      <w:r>
        <w:rPr>
          <w:rFonts w:hint="eastAsia" w:ascii="仿宋" w:hAnsi="仿宋" w:eastAsia="仿宋" w:cs="仿宋"/>
          <w:color w:val="auto"/>
          <w:sz w:val="24"/>
          <w:szCs w:val="24"/>
          <w:highlight w:val="none"/>
        </w:rPr>
        <w:t>射频接口为Type-N，950～2150MHz；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4.6.5.7 </w:t>
      </w:r>
      <w:r>
        <w:rPr>
          <w:rFonts w:hint="eastAsia" w:ascii="仿宋" w:hAnsi="仿宋" w:eastAsia="仿宋" w:cs="仿宋"/>
          <w:color w:val="auto"/>
          <w:sz w:val="24"/>
          <w:szCs w:val="24"/>
          <w:highlight w:val="none"/>
        </w:rPr>
        <w:t>网管速率: 前向 TDM:64kbps~2Mbps; 返向 TDMA:64kbps~2Mbps;</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4.6.5.8 </w:t>
      </w:r>
      <w:r>
        <w:rPr>
          <w:rFonts w:hint="eastAsia" w:ascii="仿宋" w:hAnsi="仿宋" w:eastAsia="仿宋" w:cs="仿宋"/>
          <w:color w:val="auto"/>
          <w:sz w:val="24"/>
          <w:szCs w:val="24"/>
          <w:highlight w:val="none"/>
        </w:rPr>
        <w:t>业务速率范围：上下行16kbps～2Mbps；</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4.6.5.9 </w:t>
      </w:r>
      <w:r>
        <w:rPr>
          <w:rFonts w:hint="eastAsia" w:ascii="仿宋" w:hAnsi="仿宋" w:eastAsia="仿宋" w:cs="仿宋"/>
          <w:color w:val="auto"/>
          <w:sz w:val="24"/>
          <w:szCs w:val="24"/>
          <w:highlight w:val="none"/>
        </w:rPr>
        <w:t>扩频模式需具备1、2、4、8扩频比，安全可靠，抗干扰能力强；</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4.6.5.10 </w:t>
      </w:r>
      <w:r>
        <w:rPr>
          <w:rFonts w:hint="eastAsia" w:ascii="仿宋" w:hAnsi="仿宋" w:eastAsia="仿宋" w:cs="仿宋"/>
          <w:color w:val="auto"/>
          <w:sz w:val="24"/>
          <w:szCs w:val="24"/>
          <w:highlight w:val="none"/>
        </w:rPr>
        <w:t>控制方式：WEB网页访问控制：</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4.6.5.11 </w:t>
      </w:r>
      <w:r>
        <w:rPr>
          <w:rFonts w:hint="eastAsia" w:ascii="仿宋" w:hAnsi="仿宋" w:eastAsia="仿宋" w:cs="仿宋"/>
          <w:color w:val="auto"/>
          <w:sz w:val="24"/>
          <w:szCs w:val="24"/>
          <w:highlight w:val="none"/>
        </w:rPr>
        <w:t>数据接口：RJ45，RS232，V.35；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4.6.5.12 </w:t>
      </w:r>
      <w:r>
        <w:rPr>
          <w:rFonts w:hint="eastAsia" w:ascii="仿宋" w:hAnsi="仿宋" w:eastAsia="仿宋" w:cs="仿宋"/>
          <w:color w:val="auto"/>
          <w:sz w:val="24"/>
          <w:szCs w:val="24"/>
          <w:highlight w:val="none"/>
        </w:rPr>
        <w:t>门限Eb/N0小于3.5dB；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4.6.5.13 </w:t>
      </w:r>
      <w:r>
        <w:rPr>
          <w:rFonts w:hint="eastAsia" w:ascii="仿宋" w:hAnsi="仿宋" w:eastAsia="仿宋" w:cs="仿宋"/>
          <w:color w:val="auto"/>
          <w:sz w:val="24"/>
          <w:szCs w:val="24"/>
          <w:highlight w:val="none"/>
        </w:rPr>
        <w:t>误码率小于1×10-6，LDPC，QPSK，3/4。</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4.6.5.14 </w:t>
      </w:r>
      <w:r>
        <w:rPr>
          <w:rFonts w:hint="eastAsia" w:ascii="仿宋" w:hAnsi="仿宋" w:eastAsia="仿宋" w:cs="仿宋"/>
          <w:color w:val="auto"/>
          <w:sz w:val="24"/>
          <w:szCs w:val="24"/>
          <w:highlight w:val="none"/>
        </w:rPr>
        <w:t>输出电平：-55dBm ~ -5dBm</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4.6.5.15 </w:t>
      </w:r>
      <w:r>
        <w:rPr>
          <w:rFonts w:hint="eastAsia" w:ascii="仿宋" w:hAnsi="仿宋" w:eastAsia="仿宋" w:cs="仿宋"/>
          <w:color w:val="auto"/>
          <w:sz w:val="24"/>
          <w:szCs w:val="24"/>
          <w:highlight w:val="none"/>
        </w:rPr>
        <w:t xml:space="preserve">业务传输：支持 H.265 和 H.264, </w:t>
      </w:r>
      <w:r>
        <w:rPr>
          <w:rFonts w:hint="eastAsia" w:ascii="仿宋" w:hAnsi="仿宋" w:eastAsia="仿宋" w:cs="仿宋"/>
          <w:color w:val="auto"/>
          <w:sz w:val="24"/>
          <w:szCs w:val="24"/>
          <w:highlight w:val="none"/>
          <w:lang w:val="en-US" w:eastAsia="zh-CN"/>
        </w:rPr>
        <w:t>图</w:t>
      </w:r>
      <w:r>
        <w:rPr>
          <w:rFonts w:hint="eastAsia" w:ascii="仿宋" w:hAnsi="仿宋" w:eastAsia="仿宋" w:cs="仿宋"/>
          <w:color w:val="auto"/>
          <w:sz w:val="24"/>
          <w:szCs w:val="24"/>
          <w:highlight w:val="none"/>
        </w:rPr>
        <w:t>像传输≥720P。</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.6.6高清指挥视频终端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4.6.6.1 </w:t>
      </w:r>
      <w:r>
        <w:rPr>
          <w:rFonts w:hint="eastAsia" w:ascii="仿宋" w:hAnsi="仿宋" w:eastAsia="仿宋" w:cs="仿宋"/>
          <w:color w:val="auto"/>
          <w:sz w:val="24"/>
          <w:szCs w:val="24"/>
          <w:highlight w:val="none"/>
        </w:rPr>
        <w:t>图像高清:具备4K超高清视频输入和输出；</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4.6.6.2 </w:t>
      </w:r>
      <w:r>
        <w:rPr>
          <w:rFonts w:hint="eastAsia" w:ascii="仿宋" w:hAnsi="仿宋" w:eastAsia="仿宋" w:cs="仿宋"/>
          <w:color w:val="auto"/>
          <w:sz w:val="24"/>
          <w:szCs w:val="24"/>
          <w:highlight w:val="none"/>
        </w:rPr>
        <w:t>视频输入:≥2个SDI接口、≥2个HDMI接口；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4.6.6.3 </w:t>
      </w:r>
      <w:r>
        <w:rPr>
          <w:rFonts w:hint="eastAsia" w:ascii="仿宋" w:hAnsi="仿宋" w:eastAsia="仿宋" w:cs="仿宋"/>
          <w:color w:val="auto"/>
          <w:sz w:val="24"/>
          <w:szCs w:val="24"/>
          <w:highlight w:val="none"/>
        </w:rPr>
        <w:t>音频输入:≥2个专用的AMAI接口,1 路 LINE IN（RCA接口）；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4.6.6.4 </w:t>
      </w:r>
      <w:r>
        <w:rPr>
          <w:rFonts w:hint="eastAsia" w:ascii="仿宋" w:hAnsi="仿宋" w:eastAsia="仿宋" w:cs="仿宋"/>
          <w:color w:val="auto"/>
          <w:sz w:val="24"/>
          <w:szCs w:val="24"/>
          <w:highlight w:val="none"/>
        </w:rPr>
        <w:t>音频输出：≥1路LINE OUT（RCA接口）；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4.6.6.5 </w:t>
      </w:r>
      <w:r>
        <w:rPr>
          <w:rFonts w:hint="eastAsia" w:ascii="仿宋" w:hAnsi="仿宋" w:eastAsia="仿宋" w:cs="仿宋"/>
          <w:color w:val="auto"/>
          <w:sz w:val="24"/>
          <w:szCs w:val="24"/>
          <w:highlight w:val="none"/>
        </w:rPr>
        <w:t>视频编码:支持264High-Profile编码；</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4.6.6.6 </w:t>
      </w:r>
      <w:r>
        <w:rPr>
          <w:rFonts w:hint="eastAsia" w:ascii="仿宋" w:hAnsi="仿宋" w:eastAsia="仿宋" w:cs="仿宋"/>
          <w:color w:val="auto"/>
          <w:sz w:val="24"/>
          <w:szCs w:val="24"/>
          <w:highlight w:val="none"/>
        </w:rPr>
        <w:t>视频输出:至少具备HDMI、VGA、DVI-D三个接口，HDMI具备4K解码输出，可选择其中两个接口同时输出，输出的最大分辨率达到1080P；</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4.6.6.7 </w:t>
      </w:r>
      <w:r>
        <w:rPr>
          <w:rFonts w:hint="eastAsia" w:ascii="仿宋" w:hAnsi="仿宋" w:eastAsia="仿宋" w:cs="仿宋"/>
          <w:color w:val="auto"/>
          <w:sz w:val="24"/>
          <w:szCs w:val="24"/>
          <w:highlight w:val="none"/>
        </w:rPr>
        <w:t>通信标准：需支持H.323、SIP；</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4.6.6.8 </w:t>
      </w:r>
      <w:r>
        <w:rPr>
          <w:rFonts w:hint="eastAsia" w:ascii="仿宋" w:hAnsi="仿宋" w:eastAsia="仿宋" w:cs="仿宋"/>
          <w:color w:val="auto"/>
          <w:sz w:val="24"/>
          <w:szCs w:val="24"/>
          <w:highlight w:val="none"/>
        </w:rPr>
        <w:t>视频标准：需支持H.264、H.264HighProflie；</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4.6.6.9 </w:t>
      </w:r>
      <w:r>
        <w:rPr>
          <w:rFonts w:hint="eastAsia" w:ascii="仿宋" w:hAnsi="仿宋" w:eastAsia="仿宋" w:cs="仿宋"/>
          <w:color w:val="auto"/>
          <w:sz w:val="24"/>
          <w:szCs w:val="24"/>
          <w:highlight w:val="none"/>
        </w:rPr>
        <w:t>音频标准：需支</w:t>
      </w:r>
      <w:r>
        <w:rPr>
          <w:rFonts w:hint="eastAsia" w:ascii="仿宋" w:hAnsi="仿宋" w:eastAsia="仿宋" w:cs="仿宋"/>
          <w:color w:val="auto"/>
          <w:sz w:val="24"/>
          <w:szCs w:val="24"/>
          <w:highlight w:val="none"/>
          <w:lang w:val="en-US" w:eastAsia="zh-CN"/>
        </w:rPr>
        <w:t>持</w:t>
      </w:r>
      <w:r>
        <w:rPr>
          <w:rFonts w:hint="eastAsia" w:ascii="仿宋" w:hAnsi="仿宋" w:eastAsia="仿宋" w:cs="仿宋"/>
          <w:color w:val="auto"/>
          <w:sz w:val="24"/>
          <w:szCs w:val="24"/>
          <w:highlight w:val="none"/>
        </w:rPr>
        <w:t>G.711/G.722.1/G.729/G.719；</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4.6.6.10 </w:t>
      </w:r>
      <w:r>
        <w:rPr>
          <w:rFonts w:hint="eastAsia" w:ascii="仿宋" w:hAnsi="仿宋" w:eastAsia="仿宋" w:cs="仿宋"/>
          <w:color w:val="auto"/>
          <w:sz w:val="24"/>
          <w:szCs w:val="24"/>
          <w:highlight w:val="none"/>
        </w:rPr>
        <w:t>双流标准：需支持H.239/H.239+；</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4.6.6.11 </w:t>
      </w:r>
      <w:r>
        <w:rPr>
          <w:rFonts w:hint="eastAsia" w:ascii="仿宋" w:hAnsi="仿宋" w:eastAsia="仿宋" w:cs="仿宋"/>
          <w:color w:val="auto"/>
          <w:sz w:val="24"/>
          <w:szCs w:val="24"/>
          <w:highlight w:val="none"/>
        </w:rPr>
        <w:t>需具备远程摄像机控制能力，可进行左右转动、拉近/远、调焦、光圈等进行全方位的控制和预置位设置；</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4.6.6.12 </w:t>
      </w:r>
      <w:r>
        <w:rPr>
          <w:rFonts w:hint="eastAsia" w:ascii="仿宋" w:hAnsi="仿宋" w:eastAsia="仿宋" w:cs="仿宋"/>
          <w:color w:val="auto"/>
          <w:sz w:val="24"/>
          <w:szCs w:val="24"/>
          <w:highlight w:val="none"/>
        </w:rPr>
        <w:t>需具备分屏输出功能，每个输出屏可以同时显示≥16个视频图像，支持数据和视频混合排序，配合视频轮询功能，可对分会场实时轮询监控；</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4.6.6.13 </w:t>
      </w:r>
      <w:r>
        <w:rPr>
          <w:rFonts w:hint="eastAsia" w:ascii="仿宋" w:hAnsi="仿宋" w:eastAsia="仿宋" w:cs="仿宋"/>
          <w:color w:val="auto"/>
          <w:sz w:val="24"/>
          <w:szCs w:val="24"/>
          <w:highlight w:val="none"/>
        </w:rPr>
        <w:t>入网要求设备能全功能接入（必须协议级）消防图像综合管理平台；实现与国家局、总队、支队各级指挥中心的双向音视频互通，满足作战指挥调度应用需求。</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.6.7合路器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4.6.7.1 </w:t>
      </w:r>
      <w:r>
        <w:rPr>
          <w:rFonts w:hint="eastAsia" w:ascii="仿宋" w:hAnsi="仿宋" w:eastAsia="仿宋" w:cs="仿宋"/>
          <w:color w:val="auto"/>
          <w:sz w:val="24"/>
          <w:szCs w:val="24"/>
          <w:highlight w:val="none"/>
        </w:rPr>
        <w:t>≥4路。</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.6.8分路器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4.6.8.1 </w:t>
      </w:r>
      <w:r>
        <w:rPr>
          <w:rFonts w:hint="eastAsia" w:ascii="仿宋" w:hAnsi="仿宋" w:eastAsia="仿宋" w:cs="仿宋"/>
          <w:color w:val="auto"/>
          <w:sz w:val="24"/>
          <w:szCs w:val="24"/>
          <w:highlight w:val="none"/>
        </w:rPr>
        <w:t>≥2路。</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.6.9辅材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4.6.9.1 </w:t>
      </w:r>
      <w:r>
        <w:rPr>
          <w:rFonts w:hint="eastAsia" w:ascii="仿宋" w:hAnsi="仿宋" w:eastAsia="仿宋" w:cs="仿宋"/>
          <w:color w:val="auto"/>
          <w:sz w:val="24"/>
          <w:szCs w:val="24"/>
          <w:highlight w:val="none"/>
        </w:rPr>
        <w:t>含天线安装所需的软波导、接头及射频线缆等耗材。</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4.7办公系统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KVM</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4.7.1.1 </w:t>
      </w:r>
      <w:r>
        <w:rPr>
          <w:rFonts w:hint="eastAsia" w:ascii="仿宋" w:hAnsi="仿宋" w:eastAsia="仿宋" w:cs="仿宋"/>
          <w:color w:val="auto"/>
          <w:sz w:val="24"/>
          <w:szCs w:val="24"/>
          <w:highlight w:val="none"/>
        </w:rPr>
        <w:t>类型：机架式；</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4.7.1.2 </w:t>
      </w:r>
      <w:r>
        <w:rPr>
          <w:rFonts w:hint="eastAsia" w:ascii="仿宋" w:hAnsi="仿宋" w:eastAsia="仿宋" w:cs="仿宋"/>
          <w:color w:val="auto"/>
          <w:sz w:val="24"/>
          <w:szCs w:val="24"/>
          <w:highlight w:val="none"/>
        </w:rPr>
        <w:t>AC电源、含超薄键盘触控式鼠标、OSD管理菜单、按键、热键切换、含长度≥1.8m的KVM专用数据线缆；</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4.7.1.3 </w:t>
      </w:r>
      <w:r>
        <w:rPr>
          <w:rFonts w:hint="eastAsia" w:ascii="仿宋" w:hAnsi="仿宋" w:eastAsia="仿宋" w:cs="仿宋"/>
          <w:color w:val="auto"/>
          <w:sz w:val="24"/>
          <w:szCs w:val="24"/>
          <w:highlight w:val="none"/>
        </w:rPr>
        <w:t>显示屏尺寸：≥17英寸液晶；</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4.7.1.4 </w:t>
      </w:r>
      <w:r>
        <w:rPr>
          <w:rFonts w:hint="eastAsia" w:ascii="仿宋" w:hAnsi="仿宋" w:eastAsia="仿宋" w:cs="仿宋"/>
          <w:color w:val="auto"/>
          <w:sz w:val="24"/>
          <w:szCs w:val="24"/>
          <w:highlight w:val="none"/>
        </w:rPr>
        <w:t>分辨率：≥1920×1080；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4.7.1.5 </w:t>
      </w:r>
      <w:r>
        <w:rPr>
          <w:rFonts w:hint="eastAsia" w:ascii="仿宋" w:hAnsi="仿宋" w:eastAsia="仿宋" w:cs="仿宋"/>
          <w:color w:val="auto"/>
          <w:sz w:val="24"/>
          <w:szCs w:val="24"/>
          <w:highlight w:val="none"/>
        </w:rPr>
        <w:t>切换方式：OSD/热键/按键；</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4.7.1.6 </w:t>
      </w:r>
      <w:r>
        <w:rPr>
          <w:rFonts w:hint="eastAsia" w:ascii="仿宋" w:hAnsi="仿宋" w:eastAsia="仿宋" w:cs="仿宋"/>
          <w:color w:val="auto"/>
          <w:sz w:val="24"/>
          <w:szCs w:val="24"/>
          <w:highlight w:val="none"/>
        </w:rPr>
        <w:t>最大连接终端数：≥8端口。</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.7.2分屏器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数量8台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4.7.2.1 </w:t>
      </w:r>
      <w:r>
        <w:rPr>
          <w:rFonts w:hint="eastAsia" w:ascii="仿宋" w:hAnsi="仿宋" w:eastAsia="仿宋" w:cs="仿宋"/>
          <w:color w:val="auto"/>
          <w:sz w:val="24"/>
          <w:szCs w:val="24"/>
          <w:highlight w:val="none"/>
        </w:rPr>
        <w:t>根据终端信号源分割信号连接KVM，具备切换器二进一出将4K视频一分二，支持分屏双向切换。</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.7.3网络交换机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4.7.3.1 </w:t>
      </w:r>
      <w:r>
        <w:rPr>
          <w:rFonts w:hint="eastAsia" w:ascii="仿宋" w:hAnsi="仿宋" w:eastAsia="仿宋" w:cs="仿宋"/>
          <w:color w:val="auto"/>
          <w:sz w:val="24"/>
          <w:szCs w:val="24"/>
          <w:highlight w:val="none"/>
        </w:rPr>
        <w:t>千兆以太网交换机；</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4.7.3.2 </w:t>
      </w:r>
      <w:r>
        <w:rPr>
          <w:rFonts w:hint="eastAsia" w:ascii="仿宋" w:hAnsi="仿宋" w:eastAsia="仿宋" w:cs="仿宋"/>
          <w:color w:val="auto"/>
          <w:sz w:val="24"/>
          <w:szCs w:val="24"/>
          <w:highlight w:val="none"/>
        </w:rPr>
        <w:t>网管类型：三层路由网管；</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4.7.3.3 </w:t>
      </w:r>
      <w:r>
        <w:rPr>
          <w:rFonts w:hint="eastAsia" w:ascii="仿宋" w:hAnsi="仿宋" w:eastAsia="仿宋" w:cs="仿宋"/>
          <w:color w:val="auto"/>
          <w:sz w:val="24"/>
          <w:szCs w:val="24"/>
          <w:highlight w:val="none"/>
        </w:rPr>
        <w:t>交换容量：≥256Gbps；</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4.7.3.4 </w:t>
      </w:r>
      <w:r>
        <w:rPr>
          <w:rFonts w:hint="eastAsia" w:ascii="仿宋" w:hAnsi="仿宋" w:eastAsia="仿宋" w:cs="仿宋"/>
          <w:color w:val="auto"/>
          <w:sz w:val="24"/>
          <w:szCs w:val="24"/>
          <w:highlight w:val="none"/>
        </w:rPr>
        <w:t>包转发率：≥50Mpps；</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4.7.3.5 </w:t>
      </w:r>
      <w:r>
        <w:rPr>
          <w:rFonts w:hint="eastAsia" w:ascii="仿宋" w:hAnsi="仿宋" w:eastAsia="仿宋" w:cs="仿宋"/>
          <w:color w:val="auto"/>
          <w:sz w:val="24"/>
          <w:szCs w:val="24"/>
          <w:highlight w:val="none"/>
        </w:rPr>
        <w:t>业务端口：≥24个10/100/1000 Base-T以太网端口，≥4个1000Base-X SFP千兆以太网端口；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4.7.3.6 </w:t>
      </w:r>
      <w:r>
        <w:rPr>
          <w:rFonts w:hint="eastAsia" w:ascii="仿宋" w:hAnsi="仿宋" w:eastAsia="仿宋" w:cs="仿宋"/>
          <w:color w:val="auto"/>
          <w:sz w:val="24"/>
          <w:szCs w:val="24"/>
          <w:highlight w:val="none"/>
        </w:rPr>
        <w:t>支持命令行，Web网管，TELNET多种管理方式；</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4.7.3.7 </w:t>
      </w:r>
      <w:r>
        <w:rPr>
          <w:rFonts w:hint="eastAsia" w:ascii="仿宋" w:hAnsi="仿宋" w:eastAsia="仿宋" w:cs="仿宋"/>
          <w:color w:val="auto"/>
          <w:sz w:val="24"/>
          <w:szCs w:val="24"/>
          <w:highlight w:val="none"/>
        </w:rPr>
        <w:t>支持SSH2.0等加密方式；</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4.7.3.8 </w:t>
      </w:r>
      <w:r>
        <w:rPr>
          <w:rFonts w:hint="eastAsia" w:ascii="仿宋" w:hAnsi="仿宋" w:eastAsia="仿宋" w:cs="仿宋"/>
          <w:color w:val="auto"/>
          <w:sz w:val="24"/>
          <w:szCs w:val="24"/>
          <w:highlight w:val="none"/>
        </w:rPr>
        <w:t>支持16K MAC地址；</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4.7.3.9 </w:t>
      </w:r>
      <w:r>
        <w:rPr>
          <w:rFonts w:hint="eastAsia" w:ascii="仿宋" w:hAnsi="仿宋" w:eastAsia="仿宋" w:cs="仿宋"/>
          <w:color w:val="auto"/>
          <w:sz w:val="24"/>
          <w:szCs w:val="24"/>
          <w:highlight w:val="none"/>
        </w:rPr>
        <w:t>支持端口镜像，端口隔离，端口映射。</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.7.4多功能一体机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4.7.4.1 </w:t>
      </w:r>
      <w:r>
        <w:rPr>
          <w:rFonts w:hint="eastAsia" w:ascii="仿宋" w:hAnsi="仿宋" w:eastAsia="仿宋" w:cs="仿宋"/>
          <w:color w:val="auto"/>
          <w:sz w:val="24"/>
          <w:szCs w:val="24"/>
          <w:highlight w:val="none"/>
        </w:rPr>
        <w:t>无线端口，传真端口、无线/有线网络打印、复印、扫描功能；</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4.7.4.2 </w:t>
      </w:r>
      <w:r>
        <w:rPr>
          <w:rFonts w:hint="eastAsia" w:ascii="仿宋" w:hAnsi="仿宋" w:eastAsia="仿宋" w:cs="仿宋"/>
          <w:color w:val="auto"/>
          <w:sz w:val="24"/>
          <w:szCs w:val="24"/>
          <w:highlight w:val="none"/>
        </w:rPr>
        <w:t>最大纸张尺寸：≥A3；</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4.7.4.3 </w:t>
      </w:r>
      <w:r>
        <w:rPr>
          <w:rFonts w:hint="eastAsia" w:ascii="仿宋" w:hAnsi="仿宋" w:eastAsia="仿宋" w:cs="仿宋"/>
          <w:color w:val="auto"/>
          <w:sz w:val="24"/>
          <w:szCs w:val="24"/>
          <w:highlight w:val="none"/>
        </w:rPr>
        <w:t>接口类型：高速USB2.0端口，10Base-T/100Base-TX(RJ-45网络接口)，802.11n 2.4/5GHz无线端口，传真端口；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4.7.4.4 </w:t>
      </w:r>
      <w:r>
        <w:rPr>
          <w:rFonts w:hint="eastAsia" w:ascii="仿宋" w:hAnsi="仿宋" w:eastAsia="仿宋" w:cs="仿宋"/>
          <w:color w:val="auto"/>
          <w:sz w:val="24"/>
          <w:szCs w:val="24"/>
          <w:highlight w:val="none"/>
        </w:rPr>
        <w:t>打印速度：≥15ppm；</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4.7.4.5 </w:t>
      </w:r>
      <w:r>
        <w:rPr>
          <w:rFonts w:hint="eastAsia" w:ascii="仿宋" w:hAnsi="仿宋" w:eastAsia="仿宋" w:cs="仿宋"/>
          <w:color w:val="auto"/>
          <w:sz w:val="24"/>
          <w:szCs w:val="24"/>
          <w:highlight w:val="none"/>
        </w:rPr>
        <w:t>复印分辨率：≥600×600dpi；</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4.7.4.6 </w:t>
      </w:r>
      <w:r>
        <w:rPr>
          <w:rFonts w:hint="eastAsia" w:ascii="仿宋" w:hAnsi="仿宋" w:eastAsia="仿宋" w:cs="仿宋"/>
          <w:color w:val="auto"/>
          <w:sz w:val="24"/>
          <w:szCs w:val="24"/>
          <w:highlight w:val="none"/>
        </w:rPr>
        <w:t>传真分辨率：≥300×300dpi。</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.7.5工控机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4.7.5.1 </w:t>
      </w:r>
      <w:r>
        <w:rPr>
          <w:rFonts w:hint="eastAsia" w:ascii="仿宋" w:hAnsi="仿宋" w:eastAsia="仿宋" w:cs="仿宋"/>
          <w:color w:val="auto"/>
          <w:sz w:val="24"/>
          <w:szCs w:val="24"/>
          <w:highlight w:val="none"/>
        </w:rPr>
        <w:t>CPU：≥8核，主频≥2.8GHZ</w:t>
      </w:r>
      <w:r>
        <w:rPr>
          <w:rFonts w:hint="eastAsia" w:ascii="仿宋" w:hAnsi="仿宋" w:eastAsia="仿宋" w:cs="仿宋"/>
          <w:color w:val="auto"/>
          <w:sz w:val="24"/>
          <w:szCs w:val="24"/>
          <w:highlight w:val="none"/>
          <w:lang w:val="en-US" w:eastAsia="zh-CN"/>
        </w:rPr>
        <w:t>;</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4.7.5.2 </w:t>
      </w:r>
      <w:r>
        <w:rPr>
          <w:rFonts w:hint="eastAsia" w:ascii="仿宋" w:hAnsi="仿宋" w:eastAsia="仿宋" w:cs="仿宋"/>
          <w:color w:val="auto"/>
          <w:sz w:val="24"/>
          <w:szCs w:val="24"/>
          <w:highlight w:val="none"/>
        </w:rPr>
        <w:t>内存：≥2*DDR4*4G，DIMM内存插槽，3200/2933MHz</w:t>
      </w:r>
      <w:r>
        <w:rPr>
          <w:rFonts w:hint="eastAsia" w:ascii="仿宋" w:hAnsi="仿宋" w:eastAsia="仿宋" w:cs="仿宋"/>
          <w:color w:val="auto"/>
          <w:sz w:val="24"/>
          <w:szCs w:val="24"/>
          <w:highlight w:val="none"/>
          <w:lang w:val="en-US" w:eastAsia="zh-CN"/>
        </w:rPr>
        <w:t>;</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4.7.5.3 </w:t>
      </w:r>
      <w:r>
        <w:rPr>
          <w:rFonts w:hint="eastAsia" w:ascii="仿宋" w:hAnsi="仿宋" w:eastAsia="仿宋" w:cs="仿宋"/>
          <w:color w:val="auto"/>
          <w:sz w:val="24"/>
          <w:szCs w:val="24"/>
          <w:highlight w:val="none"/>
        </w:rPr>
        <w:t>显示：≥1个VGA接口、HDMI≥</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接口</w:t>
      </w:r>
      <w:r>
        <w:rPr>
          <w:rFonts w:hint="eastAsia" w:ascii="仿宋" w:hAnsi="仿宋" w:eastAsia="仿宋" w:cs="仿宋"/>
          <w:color w:val="auto"/>
          <w:sz w:val="24"/>
          <w:szCs w:val="24"/>
          <w:highlight w:val="none"/>
          <w:lang w:val="en-US" w:eastAsia="zh-CN"/>
        </w:rPr>
        <w:t>;</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4.7.5.4 </w:t>
      </w:r>
      <w:r>
        <w:rPr>
          <w:rFonts w:hint="eastAsia" w:ascii="仿宋" w:hAnsi="仿宋" w:eastAsia="仿宋" w:cs="仿宋"/>
          <w:color w:val="auto"/>
          <w:sz w:val="24"/>
          <w:szCs w:val="24"/>
          <w:highlight w:val="none"/>
        </w:rPr>
        <w:t>硬盘：≥4个SATAIl 接口、M.2 插槽≥1</w:t>
      </w:r>
      <w:r>
        <w:rPr>
          <w:rFonts w:hint="eastAsia" w:ascii="仿宋" w:hAnsi="仿宋" w:eastAsia="仿宋" w:cs="仿宋"/>
          <w:color w:val="auto"/>
          <w:sz w:val="24"/>
          <w:szCs w:val="24"/>
          <w:highlight w:val="none"/>
          <w:lang w:eastAsia="zh-CN"/>
        </w:rPr>
        <w:t>个；</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4.7.5.5 </w:t>
      </w:r>
      <w:r>
        <w:rPr>
          <w:rFonts w:hint="eastAsia" w:ascii="仿宋" w:hAnsi="仿宋" w:eastAsia="仿宋" w:cs="仿宋"/>
          <w:color w:val="auto"/>
          <w:sz w:val="24"/>
          <w:szCs w:val="24"/>
          <w:highlight w:val="none"/>
        </w:rPr>
        <w:t>扩展：≥1个PCleX16插槽、PCleX4插槽≥1</w:t>
      </w:r>
      <w:r>
        <w:rPr>
          <w:rFonts w:hint="eastAsia" w:ascii="仿宋" w:hAnsi="仿宋" w:eastAsia="仿宋" w:cs="仿宋"/>
          <w:color w:val="auto"/>
          <w:sz w:val="24"/>
          <w:szCs w:val="24"/>
          <w:highlight w:val="none"/>
          <w:lang w:eastAsia="zh-CN"/>
        </w:rPr>
        <w:t>个</w:t>
      </w:r>
      <w:r>
        <w:rPr>
          <w:rFonts w:hint="eastAsia" w:ascii="仿宋" w:hAnsi="仿宋" w:eastAsia="仿宋" w:cs="仿宋"/>
          <w:color w:val="auto"/>
          <w:sz w:val="24"/>
          <w:szCs w:val="24"/>
          <w:highlight w:val="none"/>
        </w:rPr>
        <w:t>、PCI插槽≥</w:t>
      </w:r>
      <w:r>
        <w:rPr>
          <w:rFonts w:hint="eastAsia" w:ascii="仿宋" w:hAnsi="仿宋" w:eastAsia="仿宋" w:cs="仿宋"/>
          <w:color w:val="auto"/>
          <w:sz w:val="24"/>
          <w:szCs w:val="24"/>
          <w:highlight w:val="none"/>
          <w:lang w:val="en-US" w:eastAsia="zh-CN"/>
        </w:rPr>
        <w:t>5个;</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4.8会议系统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.8.1高清混合矩阵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4.8.1.1 </w:t>
      </w:r>
      <w:r>
        <w:rPr>
          <w:rFonts w:hint="eastAsia" w:ascii="仿宋" w:hAnsi="仿宋" w:eastAsia="仿宋" w:cs="仿宋"/>
          <w:color w:val="auto"/>
          <w:sz w:val="24"/>
          <w:szCs w:val="24"/>
          <w:highlight w:val="none"/>
        </w:rPr>
        <w:t>≥16路进和16路出的混合插卡式矩阵，≥4个输入卡槽，≥4个输出卡槽，需具备RS232及网络控制，具备跨平台控制能力；</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4.8.1.2 </w:t>
      </w:r>
      <w:r>
        <w:rPr>
          <w:rFonts w:hint="eastAsia" w:ascii="仿宋" w:hAnsi="仿宋" w:eastAsia="仿宋" w:cs="仿宋"/>
          <w:color w:val="auto"/>
          <w:sz w:val="24"/>
          <w:szCs w:val="24"/>
          <w:highlight w:val="none"/>
        </w:rPr>
        <w:t>≥4路SDI输入和4路SDI输出，符合SMPTE 259M/SMPTE 292M/SMPTE424M标准，支持HD-SDI、3G-SDI；</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4.8.1.3 </w:t>
      </w:r>
      <w:r>
        <w:rPr>
          <w:rFonts w:hint="eastAsia" w:ascii="仿宋" w:hAnsi="仿宋" w:eastAsia="仿宋" w:cs="仿宋"/>
          <w:color w:val="auto"/>
          <w:sz w:val="24"/>
          <w:szCs w:val="24"/>
          <w:highlight w:val="none"/>
        </w:rPr>
        <w:t>≥12路HDMI输入和12路HDMI输出，支持HDMI2.0标准，兼容DVI，支持</w:t>
      </w:r>
      <w:r>
        <w:rPr>
          <w:rFonts w:hint="eastAsia" w:ascii="仿宋" w:hAnsi="仿宋" w:eastAsia="仿宋" w:cs="仿宋"/>
          <w:color w:val="auto"/>
          <w:sz w:val="24"/>
          <w:szCs w:val="24"/>
          <w:highlight w:val="none"/>
          <w:lang w:eastAsia="zh-CN"/>
        </w:rPr>
        <w:t>分辨率</w:t>
      </w:r>
      <w:r>
        <w:rPr>
          <w:rFonts w:hint="eastAsia" w:ascii="仿宋" w:hAnsi="仿宋" w:eastAsia="仿宋" w:cs="仿宋"/>
          <w:color w:val="auto"/>
          <w:sz w:val="24"/>
          <w:szCs w:val="24"/>
          <w:highlight w:val="none"/>
        </w:rPr>
        <w:t>≥1920*1200的计算机视频，符合HDCP标准，内嵌音频输入；</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4.8.1.4 </w:t>
      </w:r>
      <w:r>
        <w:rPr>
          <w:rFonts w:hint="eastAsia" w:ascii="仿宋" w:hAnsi="仿宋" w:eastAsia="仿宋" w:cs="仿宋"/>
          <w:color w:val="auto"/>
          <w:sz w:val="24"/>
          <w:szCs w:val="24"/>
          <w:highlight w:val="none"/>
        </w:rPr>
        <w:t>支持</w:t>
      </w:r>
      <w:r>
        <w:rPr>
          <w:rFonts w:hint="eastAsia" w:ascii="仿宋" w:hAnsi="仿宋" w:eastAsia="仿宋" w:cs="仿宋"/>
          <w:color w:val="auto"/>
          <w:sz w:val="24"/>
          <w:szCs w:val="24"/>
          <w:highlight w:val="none"/>
          <w:lang w:eastAsia="zh-CN"/>
        </w:rPr>
        <w:t>分辨率</w:t>
      </w:r>
      <w:r>
        <w:rPr>
          <w:rFonts w:hint="eastAsia" w:ascii="仿宋" w:hAnsi="仿宋" w:eastAsia="仿宋" w:cs="仿宋"/>
          <w:color w:val="auto"/>
          <w:sz w:val="24"/>
          <w:szCs w:val="24"/>
          <w:highlight w:val="none"/>
        </w:rPr>
        <w:t>≥1920*1200的计算机视频；</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4.8.1.5 </w:t>
      </w:r>
      <w:r>
        <w:rPr>
          <w:rFonts w:hint="eastAsia" w:ascii="仿宋" w:hAnsi="仿宋" w:eastAsia="仿宋" w:cs="仿宋"/>
          <w:color w:val="auto"/>
          <w:sz w:val="24"/>
          <w:szCs w:val="24"/>
          <w:highlight w:val="none"/>
        </w:rPr>
        <w:t>具备相应保存场景无黑屏切换功能；</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4.8.1.6 </w:t>
      </w:r>
      <w:r>
        <w:rPr>
          <w:rFonts w:hint="eastAsia" w:ascii="仿宋" w:hAnsi="仿宋" w:eastAsia="仿宋" w:cs="仿宋"/>
          <w:color w:val="auto"/>
          <w:sz w:val="24"/>
          <w:szCs w:val="24"/>
          <w:highlight w:val="none"/>
        </w:rPr>
        <w:t>支持15M自动均衡；</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4.8.1.7 </w:t>
      </w:r>
      <w:r>
        <w:rPr>
          <w:rFonts w:hint="eastAsia" w:ascii="仿宋" w:hAnsi="仿宋" w:eastAsia="仿宋" w:cs="仿宋"/>
          <w:color w:val="auto"/>
          <w:sz w:val="24"/>
          <w:szCs w:val="24"/>
          <w:highlight w:val="none"/>
        </w:rPr>
        <w:t>即插即用，支持热插拔；</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.8.2车顶一体摄像机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4.8.2.1 </w:t>
      </w:r>
      <w:r>
        <w:rPr>
          <w:rFonts w:hint="eastAsia" w:ascii="仿宋" w:hAnsi="仿宋" w:eastAsia="仿宋" w:cs="仿宋"/>
          <w:color w:val="auto"/>
          <w:sz w:val="24"/>
          <w:szCs w:val="24"/>
          <w:highlight w:val="none"/>
        </w:rPr>
        <w:t>防护等级≥IP66；</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4.8.2.2 </w:t>
      </w:r>
      <w:r>
        <w:rPr>
          <w:rFonts w:hint="eastAsia" w:ascii="仿宋" w:hAnsi="仿宋" w:eastAsia="仿宋" w:cs="仿宋"/>
          <w:color w:val="auto"/>
          <w:sz w:val="24"/>
          <w:szCs w:val="24"/>
          <w:highlight w:val="none"/>
        </w:rPr>
        <w:t>红外照射距离≥100米，≥30倍光学变焦，≥12倍电子变焦；</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4.8.2.3 </w:t>
      </w:r>
      <w:r>
        <w:rPr>
          <w:rFonts w:hint="eastAsia" w:ascii="仿宋" w:hAnsi="仿宋" w:eastAsia="仿宋" w:cs="仿宋"/>
          <w:color w:val="auto"/>
          <w:sz w:val="24"/>
          <w:szCs w:val="24"/>
          <w:highlight w:val="none"/>
        </w:rPr>
        <w:t>最低照度：彩色0.001Lux，黑白0.0001Lux，支持宽动态；</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4.8.2.4 </w:t>
      </w:r>
      <w:r>
        <w:rPr>
          <w:rFonts w:hint="eastAsia" w:ascii="仿宋" w:hAnsi="仿宋" w:eastAsia="仿宋" w:cs="仿宋"/>
          <w:color w:val="auto"/>
          <w:sz w:val="24"/>
          <w:szCs w:val="24"/>
          <w:highlight w:val="none"/>
        </w:rPr>
        <w:t>带智能防抖功能，支持DC12V，含抗震器。</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4.8.2.5 </w:t>
      </w:r>
      <w:r>
        <w:rPr>
          <w:rFonts w:hint="eastAsia" w:ascii="仿宋" w:hAnsi="仿宋" w:eastAsia="仿宋" w:cs="仿宋"/>
          <w:color w:val="auto"/>
          <w:sz w:val="24"/>
          <w:szCs w:val="24"/>
          <w:highlight w:val="none"/>
        </w:rPr>
        <w:t>图像分辨率</w:t>
      </w:r>
      <w:r>
        <w:rPr>
          <w:rFonts w:hint="eastAsia" w:ascii="仿宋" w:hAnsi="仿宋" w:eastAsia="仿宋" w:cs="仿宋"/>
          <w:color w:val="auto"/>
          <w:sz w:val="24"/>
          <w:szCs w:val="24"/>
          <w:highlight w:val="none"/>
          <w:lang w:val="en-US" w:eastAsia="zh-CN"/>
        </w:rPr>
        <w:t>≥4K；</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4.8.2.6 </w:t>
      </w:r>
      <w:r>
        <w:rPr>
          <w:rFonts w:hint="eastAsia" w:ascii="仿宋" w:hAnsi="仿宋" w:eastAsia="仿宋" w:cs="仿宋"/>
          <w:color w:val="auto"/>
          <w:sz w:val="24"/>
          <w:szCs w:val="24"/>
          <w:highlight w:val="none"/>
        </w:rPr>
        <w:t>采用≥800万像素1/3" CMOS传感器；</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4.8.2.7 </w:t>
      </w:r>
      <w:r>
        <w:rPr>
          <w:rFonts w:hint="eastAsia" w:ascii="仿宋" w:hAnsi="仿宋" w:eastAsia="仿宋" w:cs="仿宋"/>
          <w:color w:val="auto"/>
          <w:sz w:val="24"/>
          <w:szCs w:val="24"/>
          <w:highlight w:val="none"/>
        </w:rPr>
        <w:t>宽动态范围：≥120dB；</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4.8.2.8 </w:t>
      </w:r>
      <w:r>
        <w:rPr>
          <w:rFonts w:hint="eastAsia" w:ascii="仿宋" w:hAnsi="仿宋" w:eastAsia="仿宋" w:cs="仿宋"/>
          <w:color w:val="auto"/>
          <w:sz w:val="24"/>
          <w:szCs w:val="24"/>
          <w:highlight w:val="none"/>
        </w:rPr>
        <w:t>视频压缩标准：≥H.265/H.264/MJPEG；</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4.8.2.9 </w:t>
      </w:r>
      <w:r>
        <w:rPr>
          <w:rFonts w:hint="eastAsia" w:ascii="仿宋" w:hAnsi="仿宋" w:eastAsia="仿宋" w:cs="仿宋"/>
          <w:color w:val="auto"/>
          <w:sz w:val="24"/>
          <w:szCs w:val="24"/>
          <w:highlight w:val="none"/>
        </w:rPr>
        <w:t>最大图像尺寸：≥2560×1440；</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.8.3会议摄像机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4.8.3.1 </w:t>
      </w:r>
      <w:r>
        <w:rPr>
          <w:rFonts w:hint="eastAsia" w:ascii="仿宋" w:hAnsi="仿宋" w:eastAsia="仿宋" w:cs="仿宋"/>
          <w:color w:val="auto"/>
          <w:sz w:val="24"/>
          <w:szCs w:val="24"/>
          <w:highlight w:val="none"/>
        </w:rPr>
        <w:t>采用1/2.5CMOS图像传感器，最高分辨率支持4K@60fps，输出帧率≥60帧/秒。</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4.8.3.2 </w:t>
      </w:r>
      <w:r>
        <w:rPr>
          <w:rFonts w:hint="eastAsia" w:ascii="仿宋" w:hAnsi="仿宋" w:eastAsia="仿宋" w:cs="仿宋"/>
          <w:color w:val="auto"/>
          <w:sz w:val="24"/>
          <w:szCs w:val="24"/>
          <w:highlight w:val="none"/>
        </w:rPr>
        <w:t xml:space="preserve">内置≥12倍光学变焦镜头，具有≥72.5°无畸变宽视角； </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4.8.3.3 </w:t>
      </w:r>
      <w:r>
        <w:rPr>
          <w:rFonts w:hint="eastAsia" w:ascii="仿宋" w:hAnsi="仿宋" w:eastAsia="仿宋" w:cs="仿宋"/>
          <w:color w:val="auto"/>
          <w:sz w:val="24"/>
          <w:szCs w:val="24"/>
          <w:highlight w:val="none"/>
        </w:rPr>
        <w:t>视频输出接口：支持HDMI、SDI、USB2.0、LAN 。</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4.8.3.4 </w:t>
      </w:r>
      <w:r>
        <w:rPr>
          <w:rFonts w:hint="eastAsia" w:ascii="仿宋" w:hAnsi="仿宋" w:eastAsia="仿宋" w:cs="仿宋"/>
          <w:color w:val="auto"/>
          <w:sz w:val="24"/>
          <w:szCs w:val="24"/>
          <w:highlight w:val="none"/>
        </w:rPr>
        <w:t>视频输出格式：4KP60、4KP50、4KP30、4KP25、1080P60、1080P50、1080I60、1080I50、1080P30、1080P25、720P60、720P50</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4.8.3.5 </w:t>
      </w:r>
      <w:r>
        <w:rPr>
          <w:rFonts w:hint="eastAsia" w:ascii="仿宋" w:hAnsi="仿宋" w:eastAsia="仿宋" w:cs="仿宋"/>
          <w:color w:val="auto"/>
          <w:sz w:val="24"/>
          <w:szCs w:val="24"/>
          <w:highlight w:val="none"/>
        </w:rPr>
        <w:t>支持≥1080p60fps</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采用≥1/2.8英寸且≥200万有效像素HD CMOS成像器件，F1.8大光圈，低照度下具备良好的色彩表现；</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4.8.3.6 </w:t>
      </w:r>
      <w:r>
        <w:rPr>
          <w:rFonts w:hint="eastAsia" w:ascii="仿宋" w:hAnsi="仿宋" w:eastAsia="仿宋" w:cs="仿宋"/>
          <w:color w:val="auto"/>
          <w:sz w:val="24"/>
          <w:szCs w:val="24"/>
          <w:highlight w:val="none"/>
        </w:rPr>
        <w:t>LAN接口支持H.265/H.264视频压缩；USB2.0接口支持MJPG、H264、YUY2、NV12；A-IN接口支持AAC、MP3、G.711A音频压缩编码。</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4.8.3.6 </w:t>
      </w:r>
      <w:r>
        <w:rPr>
          <w:rFonts w:hint="eastAsia" w:ascii="仿宋" w:hAnsi="仿宋" w:eastAsia="仿宋" w:cs="仿宋"/>
          <w:color w:val="auto"/>
          <w:sz w:val="24"/>
          <w:szCs w:val="24"/>
          <w:highlight w:val="none"/>
        </w:rPr>
        <w:t>音频输入接口，支持8000、16000、32000、44100、48000采样频率，支持AAC、MP3、G.711A音频编码</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4.8.3.7 </w:t>
      </w:r>
      <w:r>
        <w:rPr>
          <w:rFonts w:hint="eastAsia" w:ascii="仿宋" w:hAnsi="仿宋" w:eastAsia="仿宋" w:cs="仿宋"/>
          <w:color w:val="auto"/>
          <w:sz w:val="24"/>
          <w:szCs w:val="24"/>
          <w:highlight w:val="none"/>
        </w:rPr>
        <w:t>网络协议支持ONVIF、GB/T28181、RTSP、RTMP协议；支持RTMP推送模式，</w:t>
      </w:r>
      <w:r>
        <w:rPr>
          <w:rFonts w:hint="eastAsia" w:ascii="仿宋" w:hAnsi="仿宋" w:eastAsia="仿宋" w:cs="仿宋"/>
          <w:color w:val="auto"/>
          <w:sz w:val="24"/>
          <w:szCs w:val="24"/>
          <w:highlight w:val="none"/>
          <w:lang w:eastAsia="zh-CN"/>
        </w:rPr>
        <w:t>无缝</w:t>
      </w:r>
      <w:r>
        <w:rPr>
          <w:rFonts w:hint="eastAsia" w:ascii="仿宋" w:hAnsi="仿宋" w:eastAsia="仿宋" w:cs="仿宋"/>
          <w:color w:val="auto"/>
          <w:sz w:val="24"/>
          <w:szCs w:val="24"/>
          <w:highlight w:val="none"/>
        </w:rPr>
        <w:t>链接流媒体服务器(Wowza、FMS)；支持RTP组播模式，支持网络全命令VISCA控制协议</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4.8.3.8 </w:t>
      </w:r>
      <w:r>
        <w:rPr>
          <w:rFonts w:hint="eastAsia" w:ascii="仿宋" w:hAnsi="仿宋" w:eastAsia="仿宋" w:cs="仿宋"/>
          <w:color w:val="auto"/>
          <w:sz w:val="24"/>
          <w:szCs w:val="24"/>
          <w:highlight w:val="none"/>
        </w:rPr>
        <w:t>支持POE供电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4.8.3.9 </w:t>
      </w:r>
      <w:r>
        <w:rPr>
          <w:rFonts w:hint="eastAsia" w:ascii="仿宋" w:hAnsi="仿宋" w:eastAsia="仿宋" w:cs="仿宋"/>
          <w:color w:val="auto"/>
          <w:sz w:val="24"/>
          <w:szCs w:val="24"/>
          <w:highlight w:val="none"/>
        </w:rPr>
        <w:t>控制协议支持VISCA、PELCO-D、PELCO-P协议，支持自动识别协议</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4.8.3.10 </w:t>
      </w:r>
      <w:r>
        <w:rPr>
          <w:rFonts w:hint="eastAsia" w:ascii="仿宋" w:hAnsi="仿宋" w:eastAsia="仿宋" w:cs="仿宋"/>
          <w:color w:val="auto"/>
          <w:sz w:val="24"/>
          <w:szCs w:val="24"/>
          <w:highlight w:val="none"/>
        </w:rPr>
        <w:t>内置高速处理器以及采用先进的图像处理和分析算法，用户可根据使用环境，选择实时跟踪与区域跟踪</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4.8.3.11 </w:t>
      </w:r>
      <w:r>
        <w:rPr>
          <w:rFonts w:hint="eastAsia" w:ascii="仿宋" w:hAnsi="仿宋" w:eastAsia="仿宋" w:cs="仿宋"/>
          <w:color w:val="auto"/>
          <w:sz w:val="24"/>
          <w:szCs w:val="24"/>
          <w:highlight w:val="none"/>
        </w:rPr>
        <w:t>预置位支持≥255个预置位(遥控器设置调≥10个)。</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.8.4硬盘录像机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4.8.4.1 </w:t>
      </w:r>
      <w:r>
        <w:rPr>
          <w:rFonts w:hint="eastAsia" w:ascii="仿宋" w:hAnsi="仿宋" w:eastAsia="仿宋" w:cs="仿宋"/>
          <w:color w:val="auto"/>
          <w:sz w:val="24"/>
          <w:szCs w:val="24"/>
          <w:highlight w:val="none"/>
        </w:rPr>
        <w:t>输入：≥4路；输出：≥1路；内置硬盘≥2T硬盘。</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.8.5辅助显示器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数量2台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4.8.5.1 </w:t>
      </w:r>
      <w:r>
        <w:rPr>
          <w:rFonts w:hint="eastAsia" w:ascii="仿宋" w:hAnsi="仿宋" w:eastAsia="仿宋" w:cs="仿宋"/>
          <w:color w:val="auto"/>
          <w:sz w:val="24"/>
          <w:szCs w:val="24"/>
          <w:highlight w:val="none"/>
        </w:rPr>
        <w:t>屏幕尺寸：≥23英寸,屏幕分辨率≥4K，响应时间≤5ms，屏幕刷新率≥60Hz，厚度≤15mm。</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.8.6主显示器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4.8.6.1 </w:t>
      </w:r>
      <w:r>
        <w:rPr>
          <w:rFonts w:hint="eastAsia" w:ascii="仿宋" w:hAnsi="仿宋" w:eastAsia="仿宋" w:cs="仿宋"/>
          <w:color w:val="auto"/>
          <w:sz w:val="24"/>
          <w:szCs w:val="24"/>
          <w:highlight w:val="none"/>
        </w:rPr>
        <w:t>屏幕尺寸（英寸）：≥65"；屏幕比例：16：9；背光类型 ：LED；分辨率：≥高清4K；亮度：≥300尼特；屏幕刷新率：≥120Hz；色域值：≥95%；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4.8.6.2 </w:t>
      </w:r>
      <w:r>
        <w:rPr>
          <w:rFonts w:hint="eastAsia" w:ascii="仿宋" w:hAnsi="仿宋" w:eastAsia="仿宋" w:cs="仿宋"/>
          <w:color w:val="auto"/>
          <w:sz w:val="24"/>
          <w:szCs w:val="24"/>
          <w:highlight w:val="none"/>
        </w:rPr>
        <w:t>双拓展滑移舱收回时仍具备车辆移动中的视频会议能力。</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.8.7操作间监视器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4.8.7.1 </w:t>
      </w:r>
      <w:r>
        <w:rPr>
          <w:rFonts w:hint="eastAsia" w:ascii="仿宋" w:hAnsi="仿宋" w:eastAsia="仿宋" w:cs="仿宋"/>
          <w:color w:val="auto"/>
          <w:sz w:val="24"/>
          <w:szCs w:val="24"/>
          <w:highlight w:val="none"/>
        </w:rPr>
        <w:t>接口：HDMI接口；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4.8.7.2 </w:t>
      </w:r>
      <w:r>
        <w:rPr>
          <w:rFonts w:hint="eastAsia" w:ascii="仿宋" w:hAnsi="仿宋" w:eastAsia="仿宋" w:cs="仿宋"/>
          <w:color w:val="auto"/>
          <w:sz w:val="24"/>
          <w:szCs w:val="24"/>
          <w:highlight w:val="none"/>
        </w:rPr>
        <w:t>屏幕尺寸≥19英寸；</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4.8.7.3 </w:t>
      </w:r>
      <w:r>
        <w:rPr>
          <w:rFonts w:hint="eastAsia" w:ascii="仿宋" w:hAnsi="仿宋" w:eastAsia="仿宋" w:cs="仿宋"/>
          <w:color w:val="auto"/>
          <w:sz w:val="24"/>
          <w:szCs w:val="24"/>
          <w:highlight w:val="none"/>
        </w:rPr>
        <w:t>屏幕分辨率：≥1920×1080；</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4.8.7.4 </w:t>
      </w:r>
      <w:r>
        <w:rPr>
          <w:rFonts w:hint="eastAsia" w:ascii="仿宋" w:hAnsi="仿宋" w:eastAsia="仿宋" w:cs="仿宋"/>
          <w:color w:val="auto"/>
          <w:sz w:val="24"/>
          <w:szCs w:val="24"/>
          <w:highlight w:val="none"/>
        </w:rPr>
        <w:t>输入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支持4K；</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.8.8监控摄像头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数量2台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需在驾驶室及操作间分别部署一台半球形摄像机，像素≥200万，具备红外功能，红外距离≥30米。</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4.9广播系统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.9.1数字调音台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4.9.1.1 </w:t>
      </w:r>
      <w:r>
        <w:rPr>
          <w:rFonts w:hint="eastAsia" w:ascii="仿宋" w:hAnsi="仿宋" w:eastAsia="仿宋" w:cs="仿宋"/>
          <w:color w:val="auto"/>
          <w:sz w:val="24"/>
          <w:szCs w:val="24"/>
          <w:highlight w:val="none"/>
        </w:rPr>
        <w:t>输入≥16 路、输出平衡接口≥8 路。</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.9.2车内音响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4.9.2.1 </w:t>
      </w:r>
      <w:r>
        <w:rPr>
          <w:rFonts w:hint="eastAsia" w:ascii="仿宋" w:hAnsi="仿宋" w:eastAsia="仿宋" w:cs="仿宋"/>
          <w:color w:val="auto"/>
          <w:sz w:val="24"/>
          <w:szCs w:val="24"/>
          <w:highlight w:val="none"/>
        </w:rPr>
        <w:t>配备车内音响，内饰吸顶喇叭</w:t>
      </w:r>
      <w:r>
        <w:rPr>
          <w:rFonts w:hint="eastAsia" w:ascii="仿宋" w:hAnsi="仿宋" w:eastAsia="仿宋" w:cs="仿宋"/>
          <w:color w:val="auto"/>
          <w:sz w:val="24"/>
          <w:szCs w:val="24"/>
          <w:highlight w:val="none"/>
          <w:lang w:val="en-US" w:eastAsia="zh-CN"/>
        </w:rPr>
        <w:t>不低于</w:t>
      </w:r>
      <w:r>
        <w:rPr>
          <w:rFonts w:hint="eastAsia" w:ascii="仿宋" w:hAnsi="仿宋" w:eastAsia="仿宋" w:cs="仿宋"/>
          <w:color w:val="auto"/>
          <w:sz w:val="24"/>
          <w:szCs w:val="24"/>
          <w:highlight w:val="none"/>
        </w:rPr>
        <w:t>5.1声道，具备会议室视频通话扩音器功能。</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.9.3操作区音响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4.9.3.1 </w:t>
      </w:r>
      <w:r>
        <w:rPr>
          <w:rFonts w:hint="eastAsia" w:ascii="仿宋" w:hAnsi="仿宋" w:eastAsia="仿宋" w:cs="仿宋"/>
          <w:color w:val="auto"/>
          <w:sz w:val="24"/>
          <w:szCs w:val="24"/>
          <w:highlight w:val="none"/>
        </w:rPr>
        <w:t>配备操作区音响，内饰吸顶喇叭</w:t>
      </w:r>
      <w:r>
        <w:rPr>
          <w:rFonts w:hint="eastAsia" w:ascii="仿宋" w:hAnsi="仿宋" w:eastAsia="仿宋" w:cs="仿宋"/>
          <w:color w:val="auto"/>
          <w:sz w:val="24"/>
          <w:szCs w:val="24"/>
          <w:highlight w:val="none"/>
          <w:lang w:val="en-US" w:eastAsia="zh-CN"/>
        </w:rPr>
        <w:t>不低于</w:t>
      </w:r>
      <w:r>
        <w:rPr>
          <w:rFonts w:hint="eastAsia" w:ascii="仿宋" w:hAnsi="仿宋" w:eastAsia="仿宋" w:cs="仿宋"/>
          <w:color w:val="auto"/>
          <w:sz w:val="24"/>
          <w:szCs w:val="24"/>
          <w:highlight w:val="none"/>
        </w:rPr>
        <w:t>5.1声道，需配备声频功率放大器，功放类型为HIFI。</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.9.4车外功放</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4.9.4.1 </w:t>
      </w:r>
      <w:r>
        <w:rPr>
          <w:rFonts w:hint="eastAsia" w:ascii="仿宋" w:hAnsi="仿宋" w:eastAsia="仿宋" w:cs="仿宋"/>
          <w:color w:val="auto"/>
          <w:sz w:val="24"/>
          <w:szCs w:val="24"/>
          <w:highlight w:val="none"/>
        </w:rPr>
        <w:t>电源电压：120-220V AC；功率：≥650W信噪比：≥50db；频率响应：≥50Hz。</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.9.5车外喇叭</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数量4套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4.9.5.1 </w:t>
      </w:r>
      <w:r>
        <w:rPr>
          <w:rFonts w:hint="eastAsia" w:ascii="仿宋" w:hAnsi="仿宋" w:eastAsia="仿宋" w:cs="仿宋"/>
          <w:color w:val="auto"/>
          <w:sz w:val="24"/>
          <w:szCs w:val="24"/>
          <w:highlight w:val="none"/>
        </w:rPr>
        <w:t>额定功率：≤200W；额定阻抗：≤6Ω；频响范围：200-5000Hz；指向性：≥10dB；失真度：≤4%。</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.9.6有线麦克风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数量5套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4.9.6.1 </w:t>
      </w:r>
      <w:r>
        <w:rPr>
          <w:rFonts w:hint="eastAsia" w:ascii="仿宋" w:hAnsi="仿宋" w:eastAsia="仿宋" w:cs="仿宋"/>
          <w:color w:val="auto"/>
          <w:sz w:val="24"/>
          <w:szCs w:val="24"/>
          <w:highlight w:val="none"/>
        </w:rPr>
        <w:t>电容式心型指向麦克风，与整车配备桌面插座上的卡侬插座结合起来，可以实时采集车内的音频信号。</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.9.7无线麦克风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数量2套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4.9.7.1 </w:t>
      </w:r>
      <w:r>
        <w:rPr>
          <w:rFonts w:hint="eastAsia" w:ascii="仿宋" w:hAnsi="仿宋" w:eastAsia="仿宋" w:cs="仿宋"/>
          <w:color w:val="auto"/>
          <w:sz w:val="24"/>
          <w:szCs w:val="24"/>
          <w:highlight w:val="none"/>
        </w:rPr>
        <w:t>无线话筒采用一拖二V段无线麦克风（含话筒支架），包括1个无线麦克风接收器和2个无线麦克风，有效距离≥30米。</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4.10专网通信系统</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.10.1公专融合车载网关</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sz w:val="24"/>
          <w:szCs w:val="24"/>
          <w:highlight w:val="none"/>
          <w:lang w:val="en-US" w:eastAsia="zh-CN"/>
        </w:rPr>
        <w:t xml:space="preserve">4.10.1.1 </w:t>
      </w:r>
      <w:r>
        <w:rPr>
          <w:rFonts w:hint="eastAsia" w:ascii="仿宋" w:hAnsi="仿宋" w:eastAsia="仿宋" w:cs="仿宋"/>
          <w:color w:val="auto"/>
          <w:sz w:val="24"/>
          <w:szCs w:val="24"/>
          <w:highlight w:val="none"/>
        </w:rPr>
        <w:t>语音对讲：支持PDT 集群对讲机/PDT 常规对讲机与公网对讲机之间进行语音对讲；</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4.10.1.2 </w:t>
      </w:r>
      <w:r>
        <w:rPr>
          <w:rFonts w:hint="eastAsia" w:ascii="仿宋" w:hAnsi="仿宋" w:eastAsia="仿宋" w:cs="仿宋"/>
          <w:color w:val="auto"/>
          <w:sz w:val="24"/>
          <w:szCs w:val="24"/>
          <w:highlight w:val="none"/>
        </w:rPr>
        <w:t>工作频率：350～370MHz；</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4.10.1.3 </w:t>
      </w:r>
      <w:r>
        <w:rPr>
          <w:rFonts w:hint="eastAsia" w:ascii="仿宋" w:hAnsi="仿宋" w:eastAsia="仿宋" w:cs="仿宋"/>
          <w:color w:val="auto"/>
          <w:sz w:val="24"/>
          <w:szCs w:val="24"/>
          <w:highlight w:val="none"/>
        </w:rPr>
        <w:t>显示屏幕:≥1.8英寸彩色</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4.10.1.4 </w:t>
      </w:r>
      <w:r>
        <w:rPr>
          <w:rFonts w:hint="eastAsia" w:ascii="仿宋" w:hAnsi="仿宋" w:eastAsia="仿宋" w:cs="仿宋"/>
          <w:color w:val="auto"/>
          <w:sz w:val="24"/>
          <w:szCs w:val="24"/>
          <w:highlight w:val="none"/>
        </w:rPr>
        <w:t>静音按键:支持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sz w:val="24"/>
          <w:szCs w:val="24"/>
          <w:highlight w:val="none"/>
          <w:lang w:val="en-US" w:eastAsia="zh-CN"/>
        </w:rPr>
        <w:t xml:space="preserve">4.10.1.5 </w:t>
      </w:r>
      <w:r>
        <w:rPr>
          <w:rFonts w:hint="eastAsia" w:ascii="仿宋" w:hAnsi="仿宋" w:eastAsia="仿宋" w:cs="仿宋"/>
          <w:color w:val="auto"/>
          <w:sz w:val="24"/>
          <w:szCs w:val="24"/>
          <w:highlight w:val="none"/>
        </w:rPr>
        <w:t>SIM:≥Nano 卡槽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4.10.1.6</w:t>
      </w:r>
      <w:r>
        <w:rPr>
          <w:rFonts w:hint="eastAsia" w:ascii="仿宋" w:hAnsi="仿宋" w:eastAsia="仿宋" w:cs="仿宋"/>
          <w:color w:val="auto"/>
          <w:sz w:val="24"/>
          <w:szCs w:val="24"/>
          <w:highlight w:val="none"/>
        </w:rPr>
        <w:t>工作电压:14.8V直流电</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720" w:firstLineChars="30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4.10.1.7 </w:t>
      </w:r>
      <w:r>
        <w:rPr>
          <w:rFonts w:hint="eastAsia" w:ascii="仿宋" w:hAnsi="仿宋" w:eastAsia="仿宋" w:cs="仿宋"/>
          <w:color w:val="auto"/>
          <w:sz w:val="24"/>
          <w:szCs w:val="24"/>
          <w:highlight w:val="none"/>
        </w:rPr>
        <w:t>专网频段</w:t>
      </w:r>
      <w:r>
        <w:rPr>
          <w:rFonts w:hint="eastAsia" w:ascii="仿宋" w:hAnsi="仿宋" w:eastAsia="仿宋" w:cs="仿宋"/>
          <w:color w:val="auto"/>
          <w:sz w:val="24"/>
          <w:szCs w:val="24"/>
          <w:highlight w:val="none"/>
          <w:lang w:eastAsia="zh-CN"/>
        </w:rPr>
        <w:t>范围</w:t>
      </w:r>
      <w:r>
        <w:rPr>
          <w:rFonts w:hint="eastAsia" w:ascii="仿宋" w:hAnsi="仿宋" w:eastAsia="仿宋" w:cs="仿宋"/>
          <w:color w:val="auto"/>
          <w:sz w:val="24"/>
          <w:szCs w:val="24"/>
          <w:highlight w:val="none"/>
        </w:rPr>
        <w:t>:（常规、中转、集群） 350～400MHz PDT</w:t>
      </w:r>
      <w:r>
        <w:rPr>
          <w:rFonts w:hint="eastAsia" w:ascii="仿宋" w:hAnsi="仿宋" w:eastAsia="仿宋" w:cs="仿宋"/>
          <w:color w:val="auto"/>
          <w:sz w:val="24"/>
          <w:szCs w:val="24"/>
          <w:highlight w:val="none"/>
          <w:lang w:eastAsia="zh-CN"/>
        </w:rPr>
        <w:t>；</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4.10.1.8 </w:t>
      </w:r>
      <w:r>
        <w:rPr>
          <w:rFonts w:hint="eastAsia" w:ascii="仿宋" w:hAnsi="仿宋" w:eastAsia="仿宋" w:cs="仿宋"/>
          <w:color w:val="auto"/>
          <w:sz w:val="24"/>
          <w:szCs w:val="24"/>
          <w:highlight w:val="none"/>
        </w:rPr>
        <w:t>发射功率:≥10W</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4.10.1.9 </w:t>
      </w:r>
      <w:r>
        <w:rPr>
          <w:rFonts w:hint="eastAsia" w:ascii="仿宋" w:hAnsi="仿宋" w:eastAsia="仿宋" w:cs="仿宋"/>
          <w:color w:val="auto"/>
          <w:sz w:val="24"/>
          <w:szCs w:val="24"/>
          <w:highlight w:val="none"/>
        </w:rPr>
        <w:t>设备含三年流量卡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 </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.10.2六联充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数量2套</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4.10.2.1 </w:t>
      </w:r>
      <w:r>
        <w:rPr>
          <w:rFonts w:hint="eastAsia" w:ascii="仿宋" w:hAnsi="仿宋" w:eastAsia="仿宋" w:cs="仿宋"/>
          <w:color w:val="auto"/>
          <w:sz w:val="24"/>
          <w:szCs w:val="24"/>
          <w:highlight w:val="none"/>
        </w:rPr>
        <w:t>可同时对≥</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台对讲机或六块电池进行充电，配</w:t>
      </w:r>
      <w:r>
        <w:rPr>
          <w:rFonts w:hint="eastAsia" w:ascii="仿宋" w:hAnsi="仿宋" w:eastAsia="仿宋" w:cs="仿宋"/>
          <w:color w:val="auto"/>
          <w:sz w:val="24"/>
          <w:szCs w:val="24"/>
          <w:highlight w:val="none"/>
          <w:lang w:eastAsia="zh-CN"/>
        </w:rPr>
        <w:t>合</w:t>
      </w:r>
      <w:r>
        <w:rPr>
          <w:rFonts w:hint="eastAsia" w:ascii="仿宋" w:hAnsi="仿宋" w:eastAsia="仿宋" w:cs="仿宋"/>
          <w:color w:val="auto"/>
          <w:sz w:val="24"/>
          <w:szCs w:val="24"/>
          <w:highlight w:val="none"/>
        </w:rPr>
        <w:t>现有手持台使用。</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.10.3车载式多卡聚合终端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4.10.3.1 </w:t>
      </w:r>
      <w:r>
        <w:rPr>
          <w:rFonts w:hint="eastAsia" w:ascii="仿宋" w:hAnsi="仿宋" w:eastAsia="仿宋" w:cs="仿宋"/>
          <w:color w:val="auto"/>
          <w:sz w:val="24"/>
          <w:szCs w:val="24"/>
          <w:highlight w:val="none"/>
        </w:rPr>
        <w:t>可实现公网/专网的多链路聚合（5G CPE、有线、LTE、卫星终端接收机等）；</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4.10.3.2 </w:t>
      </w:r>
      <w:r>
        <w:rPr>
          <w:rFonts w:hint="eastAsia" w:ascii="仿宋" w:hAnsi="仿宋" w:eastAsia="仿宋" w:cs="仿宋"/>
          <w:color w:val="auto"/>
          <w:sz w:val="24"/>
          <w:szCs w:val="24"/>
          <w:highlight w:val="none"/>
        </w:rPr>
        <w:t>具备高性能4G数据卡卡槽数量≥5个，支持热插拔，并支持移动、电信、联通全网通；</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4.10.3.3 </w:t>
      </w:r>
      <w:r>
        <w:rPr>
          <w:rFonts w:hint="eastAsia" w:ascii="仿宋" w:hAnsi="仿宋" w:eastAsia="仿宋" w:cs="仿宋"/>
          <w:color w:val="auto"/>
          <w:sz w:val="24"/>
          <w:szCs w:val="24"/>
          <w:highlight w:val="none"/>
        </w:rPr>
        <w:t>具备≥2个10/100/1000 Base-T自适应以太网端口；</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4.10.3.4 设备天线支持外接后部署在车顶</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4.10.3.5 </w:t>
      </w:r>
      <w:r>
        <w:rPr>
          <w:rFonts w:hint="eastAsia" w:ascii="仿宋" w:hAnsi="仿宋" w:eastAsia="仿宋" w:cs="仿宋"/>
          <w:color w:val="auto"/>
          <w:sz w:val="24"/>
          <w:szCs w:val="24"/>
          <w:highlight w:val="none"/>
        </w:rPr>
        <w:t>内置Wi-Fi模块，支持802.11ac，需具备SMA接口外置天线；</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4.10.3.6 </w:t>
      </w:r>
      <w:r>
        <w:rPr>
          <w:rFonts w:hint="eastAsia" w:ascii="仿宋" w:hAnsi="仿宋" w:eastAsia="仿宋" w:cs="仿宋"/>
          <w:color w:val="auto"/>
          <w:sz w:val="24"/>
          <w:szCs w:val="24"/>
          <w:highlight w:val="none"/>
        </w:rPr>
        <w:t>工作温度/湿度：-15℃～45℃，5%～95%；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4.10.3.7 </w:t>
      </w:r>
      <w:r>
        <w:rPr>
          <w:rFonts w:hint="eastAsia" w:ascii="仿宋" w:hAnsi="仿宋" w:eastAsia="仿宋" w:cs="仿宋"/>
          <w:color w:val="auto"/>
          <w:sz w:val="24"/>
          <w:szCs w:val="24"/>
          <w:highlight w:val="none"/>
        </w:rPr>
        <w:t>需具备U盘升级和远程在线升级；</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4.10.3.8 </w:t>
      </w:r>
      <w:r>
        <w:rPr>
          <w:rFonts w:hint="eastAsia" w:ascii="仿宋" w:hAnsi="仿宋" w:eastAsia="仿宋" w:cs="仿宋"/>
          <w:color w:val="auto"/>
          <w:sz w:val="24"/>
          <w:szCs w:val="24"/>
          <w:highlight w:val="none"/>
        </w:rPr>
        <w:t>设备状态信息至少包括：设备CPU、内存、存储的使用率，LAN口，Wi-Fi配置情况，实时流量。</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.10.4北斗车辆定位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 </w:t>
      </w:r>
      <w:r>
        <w:rPr>
          <w:rFonts w:hint="eastAsia" w:ascii="仿宋" w:hAnsi="仿宋" w:eastAsia="仿宋" w:cs="仿宋"/>
          <w:color w:val="auto"/>
          <w:sz w:val="24"/>
          <w:szCs w:val="24"/>
          <w:highlight w:val="none"/>
        </w:rPr>
        <w:t>仅支持单北斗定位模块，可通过APP定位追踪车辆，能接入北斗消防综合管理服务平台，设备含三年流量卡。</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.10.5车载式卫星移动通信终端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 xml:space="preserve">4.10.5.1 </w:t>
      </w:r>
      <w:r>
        <w:rPr>
          <w:rFonts w:hint="eastAsia" w:ascii="仿宋" w:hAnsi="仿宋" w:eastAsia="仿宋" w:cs="仿宋"/>
          <w:color w:val="auto"/>
          <w:sz w:val="24"/>
          <w:szCs w:val="24"/>
          <w:highlight w:val="none"/>
        </w:rPr>
        <w:t>需具备天通一号卫星网络的便捷式热点接入；</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4.10.5.2 </w:t>
      </w:r>
      <w:r>
        <w:rPr>
          <w:rFonts w:hint="eastAsia" w:ascii="仿宋" w:hAnsi="仿宋" w:eastAsia="仿宋" w:cs="仿宋"/>
          <w:color w:val="auto"/>
          <w:sz w:val="24"/>
          <w:szCs w:val="24"/>
          <w:highlight w:val="none"/>
        </w:rPr>
        <w:t>卫星定位功能采用单北斗定位功能；</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4.10.5.3 </w:t>
      </w:r>
      <w:r>
        <w:rPr>
          <w:rFonts w:hint="eastAsia" w:ascii="仿宋" w:hAnsi="仿宋" w:eastAsia="仿宋" w:cs="仿宋"/>
          <w:color w:val="auto"/>
          <w:sz w:val="24"/>
          <w:szCs w:val="24"/>
          <w:highlight w:val="none"/>
        </w:rPr>
        <w:t>具备Wi-Fi热点，覆盖范围≥40米；</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4.10.5.4 </w:t>
      </w:r>
      <w:r>
        <w:rPr>
          <w:rFonts w:hint="eastAsia" w:ascii="仿宋" w:hAnsi="仿宋" w:eastAsia="仿宋" w:cs="仿宋"/>
          <w:color w:val="auto"/>
          <w:sz w:val="24"/>
          <w:szCs w:val="24"/>
          <w:highlight w:val="none"/>
        </w:rPr>
        <w:t>支持用户私有智能机使用卫星电话、卫星短信和卫星低速率业务；</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4.10.5.5 </w:t>
      </w:r>
      <w:r>
        <w:rPr>
          <w:rFonts w:hint="eastAsia" w:ascii="仿宋" w:hAnsi="仿宋" w:eastAsia="仿宋" w:cs="仿宋"/>
          <w:color w:val="auto"/>
          <w:sz w:val="24"/>
          <w:szCs w:val="24"/>
          <w:highlight w:val="none"/>
        </w:rPr>
        <w:t>增加内置全向天线，无需对星操作，≥IP68的防护等级和磁吸功能，更符合用户使用环境；</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 xml:space="preserve">4.10.5.6 </w:t>
      </w:r>
      <w:r>
        <w:rPr>
          <w:rFonts w:hint="eastAsia" w:ascii="仿宋" w:hAnsi="仿宋" w:eastAsia="仿宋" w:cs="仿宋"/>
          <w:color w:val="auto"/>
          <w:sz w:val="24"/>
          <w:szCs w:val="24"/>
          <w:highlight w:val="none"/>
        </w:rPr>
        <w:t>支持同时≥</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路用户分享网络资源；</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4.10.5.7 </w:t>
      </w:r>
      <w:r>
        <w:rPr>
          <w:rFonts w:hint="eastAsia" w:ascii="仿宋" w:hAnsi="仿宋" w:eastAsia="仿宋" w:cs="仿宋"/>
          <w:color w:val="auto"/>
          <w:sz w:val="24"/>
          <w:szCs w:val="24"/>
          <w:highlight w:val="none"/>
        </w:rPr>
        <w:t>用户间信息隔离、隐私保护；</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4.10.5.8 </w:t>
      </w:r>
      <w:r>
        <w:rPr>
          <w:rFonts w:hint="eastAsia" w:ascii="仿宋" w:hAnsi="仿宋" w:eastAsia="仿宋" w:cs="仿宋"/>
          <w:color w:val="auto"/>
          <w:sz w:val="24"/>
          <w:szCs w:val="24"/>
          <w:highlight w:val="none"/>
        </w:rPr>
        <w:t>电池及工作时间：电池≥5000mAh，待机时间≥48小时(Wi-Fi功能开启)，通话时间≥5小时(Wi-Fi功能开启，定位开启)；</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4.10.5.9 </w:t>
      </w:r>
      <w:r>
        <w:rPr>
          <w:rFonts w:hint="eastAsia" w:ascii="仿宋" w:hAnsi="仿宋" w:eastAsia="仿宋" w:cs="仿宋"/>
          <w:color w:val="auto"/>
          <w:sz w:val="24"/>
          <w:szCs w:val="24"/>
          <w:highlight w:val="none"/>
        </w:rPr>
        <w:t>包含入网费和1年</w:t>
      </w:r>
      <w:r>
        <w:rPr>
          <w:rFonts w:hint="eastAsia" w:ascii="仿宋" w:hAnsi="仿宋" w:eastAsia="仿宋" w:cs="仿宋"/>
          <w:color w:val="auto"/>
          <w:sz w:val="24"/>
          <w:szCs w:val="24"/>
          <w:highlight w:val="none"/>
          <w:lang w:eastAsia="zh-CN"/>
        </w:rPr>
        <w:t>不少于</w:t>
      </w:r>
      <w:r>
        <w:rPr>
          <w:rFonts w:hint="eastAsia" w:ascii="仿宋" w:hAnsi="仿宋" w:eastAsia="仿宋" w:cs="仿宋"/>
          <w:color w:val="auto"/>
          <w:sz w:val="24"/>
          <w:szCs w:val="24"/>
          <w:highlight w:val="none"/>
        </w:rPr>
        <w:t>700分钟通信费用。</w:t>
      </w:r>
    </w:p>
    <w:p>
      <w:pPr>
        <w:spacing w:line="480" w:lineRule="exact"/>
        <w:ind w:firstLine="720" w:firstLineChars="3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4.10.5.10 三防：防护等级≥IP67；</w:t>
      </w:r>
    </w:p>
    <w:p>
      <w:pPr>
        <w:spacing w:line="480" w:lineRule="exact"/>
        <w:ind w:firstLine="720" w:firstLineChars="30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sz w:val="24"/>
          <w:szCs w:val="24"/>
          <w:highlight w:val="none"/>
        </w:rPr>
        <w:t>4.10.5.</w:t>
      </w: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rPr>
        <w:t>具备</w:t>
      </w:r>
      <w:r>
        <w:rPr>
          <w:rFonts w:hint="eastAsia" w:ascii="仿宋" w:hAnsi="仿宋" w:eastAsia="仿宋" w:cs="仿宋"/>
          <w:color w:val="auto"/>
          <w:sz w:val="24"/>
          <w:szCs w:val="24"/>
          <w:highlight w:val="none"/>
          <w:lang w:val="en-US" w:eastAsia="zh-CN"/>
        </w:rPr>
        <w:t>手机</w:t>
      </w:r>
      <w:r>
        <w:rPr>
          <w:rFonts w:hint="eastAsia" w:ascii="仿宋" w:hAnsi="仿宋" w:eastAsia="仿宋" w:cs="仿宋"/>
          <w:color w:val="auto"/>
          <w:sz w:val="24"/>
          <w:szCs w:val="24"/>
          <w:highlight w:val="none"/>
        </w:rPr>
        <w:t>安装管理A</w:t>
      </w:r>
      <w:r>
        <w:rPr>
          <w:rFonts w:ascii="仿宋" w:hAnsi="仿宋" w:eastAsia="仿宋" w:cs="仿宋"/>
          <w:color w:val="auto"/>
          <w:sz w:val="24"/>
          <w:szCs w:val="24"/>
          <w:highlight w:val="none"/>
        </w:rPr>
        <w:t>PP</w:t>
      </w:r>
      <w:r>
        <w:rPr>
          <w:rFonts w:hint="eastAsia" w:ascii="仿宋" w:hAnsi="仿宋" w:eastAsia="仿宋" w:cs="仿宋"/>
          <w:color w:val="auto"/>
          <w:sz w:val="24"/>
          <w:szCs w:val="24"/>
          <w:highlight w:val="none"/>
        </w:rPr>
        <w:t>，通过W</w:t>
      </w:r>
      <w:r>
        <w:rPr>
          <w:rFonts w:ascii="仿宋" w:hAnsi="仿宋" w:eastAsia="仿宋" w:cs="仿宋"/>
          <w:color w:val="auto"/>
          <w:sz w:val="24"/>
          <w:szCs w:val="24"/>
          <w:highlight w:val="none"/>
        </w:rPr>
        <w:t>IFI</w:t>
      </w:r>
      <w:r>
        <w:rPr>
          <w:rFonts w:hint="eastAsia" w:ascii="仿宋" w:hAnsi="仿宋" w:eastAsia="仿宋" w:cs="仿宋"/>
          <w:color w:val="auto"/>
          <w:sz w:val="24"/>
          <w:szCs w:val="24"/>
          <w:highlight w:val="none"/>
        </w:rPr>
        <w:t>热点链接到被测终端，A</w:t>
      </w:r>
      <w:r>
        <w:rPr>
          <w:rFonts w:ascii="仿宋" w:hAnsi="仿宋" w:eastAsia="仿宋" w:cs="仿宋"/>
          <w:color w:val="auto"/>
          <w:sz w:val="24"/>
          <w:szCs w:val="24"/>
          <w:highlight w:val="none"/>
        </w:rPr>
        <w:t>PP</w:t>
      </w:r>
      <w:r>
        <w:rPr>
          <w:rFonts w:hint="eastAsia" w:ascii="仿宋" w:hAnsi="仿宋" w:eastAsia="仿宋" w:cs="仿宋"/>
          <w:color w:val="auto"/>
          <w:sz w:val="24"/>
          <w:szCs w:val="24"/>
          <w:highlight w:val="none"/>
        </w:rPr>
        <w:t>具备卫星通话、卫星短信和S</w:t>
      </w:r>
      <w:r>
        <w:rPr>
          <w:rFonts w:ascii="仿宋" w:hAnsi="仿宋" w:eastAsia="仿宋" w:cs="仿宋"/>
          <w:color w:val="auto"/>
          <w:sz w:val="24"/>
          <w:szCs w:val="24"/>
          <w:highlight w:val="none"/>
        </w:rPr>
        <w:t>OS</w:t>
      </w:r>
      <w:r>
        <w:rPr>
          <w:rFonts w:hint="eastAsia" w:ascii="仿宋" w:hAnsi="仿宋" w:eastAsia="仿宋" w:cs="仿宋"/>
          <w:color w:val="auto"/>
          <w:sz w:val="24"/>
          <w:szCs w:val="24"/>
          <w:highlight w:val="none"/>
        </w:rPr>
        <w:t>操作等功能。</w:t>
      </w:r>
    </w:p>
    <w:p>
      <w:pPr>
        <w:spacing w:line="48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.10.6车载语音中继台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数量1台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4.10.6.1 </w:t>
      </w:r>
      <w:r>
        <w:rPr>
          <w:rFonts w:hint="eastAsia" w:ascii="仿宋" w:hAnsi="仿宋" w:eastAsia="仿宋" w:cs="仿宋"/>
          <w:color w:val="auto"/>
          <w:sz w:val="24"/>
          <w:szCs w:val="24"/>
          <w:highlight w:val="none"/>
        </w:rPr>
        <w:t>工作频段：350～400MHz；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4.10.6.2 </w:t>
      </w:r>
      <w:r>
        <w:rPr>
          <w:rFonts w:hint="eastAsia" w:ascii="仿宋" w:hAnsi="仿宋" w:eastAsia="仿宋" w:cs="仿宋"/>
          <w:color w:val="auto"/>
          <w:sz w:val="24"/>
          <w:szCs w:val="24"/>
          <w:highlight w:val="none"/>
        </w:rPr>
        <w:t>级联要求：级联4跳之后延时≤0.5s；</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4.10.6.3 </w:t>
      </w:r>
      <w:r>
        <w:rPr>
          <w:rFonts w:hint="eastAsia" w:ascii="仿宋" w:hAnsi="仿宋" w:eastAsia="仿宋" w:cs="仿宋"/>
          <w:color w:val="auto"/>
          <w:sz w:val="24"/>
          <w:szCs w:val="24"/>
          <w:highlight w:val="none"/>
        </w:rPr>
        <w:t>操作便捷、支持一键式开机、随地架设、预设频率；</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4.10.6.4 </w:t>
      </w:r>
      <w:r>
        <w:rPr>
          <w:rFonts w:hint="eastAsia" w:ascii="仿宋" w:hAnsi="仿宋" w:eastAsia="仿宋" w:cs="仿宋"/>
          <w:color w:val="auto"/>
          <w:sz w:val="24"/>
          <w:szCs w:val="24"/>
          <w:highlight w:val="none"/>
        </w:rPr>
        <w:t>兼容性：支持标准PDT对讲机接入；</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4.10.6.5 </w:t>
      </w:r>
      <w:r>
        <w:rPr>
          <w:rFonts w:hint="eastAsia" w:ascii="仿宋" w:hAnsi="仿宋" w:eastAsia="仿宋" w:cs="仿宋"/>
          <w:color w:val="auto"/>
          <w:sz w:val="24"/>
          <w:szCs w:val="24"/>
          <w:highlight w:val="none"/>
        </w:rPr>
        <w:t>频率间隔：12.5kHz/25kHz；</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4.10.6.6 </w:t>
      </w:r>
      <w:r>
        <w:rPr>
          <w:rFonts w:hint="eastAsia" w:ascii="仿宋" w:hAnsi="仿宋" w:eastAsia="仿宋" w:cs="仿宋"/>
          <w:color w:val="auto"/>
          <w:sz w:val="24"/>
          <w:szCs w:val="24"/>
          <w:highlight w:val="none"/>
        </w:rPr>
        <w:t>调制方式：4FSK、4FSK调制频偏误差≤10.0%；4FSK发射误码率≤0.01%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发射杂散≤-36dBm (9kHz~1GHz)</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频率稳定度：±1.5ppm；</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color w:val="auto"/>
          <w:sz w:val="24"/>
          <w:szCs w:val="24"/>
          <w:highlight w:val="none"/>
          <w:lang w:val="en-US" w:eastAsia="zh-CN"/>
        </w:rPr>
        <w:t xml:space="preserve">4.10.6.7 </w:t>
      </w:r>
      <w:r>
        <w:rPr>
          <w:rFonts w:hint="eastAsia" w:ascii="仿宋" w:hAnsi="仿宋" w:eastAsia="仿宋" w:cs="仿宋"/>
          <w:color w:val="auto"/>
          <w:sz w:val="24"/>
          <w:szCs w:val="24"/>
          <w:highlight w:val="none"/>
        </w:rPr>
        <w:t>灵敏度（误码率为5%时）≤-116dBm；</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4.10.6.8 </w:t>
      </w:r>
      <w:r>
        <w:rPr>
          <w:rFonts w:hint="eastAsia" w:ascii="仿宋" w:hAnsi="仿宋" w:eastAsia="仿宋" w:cs="仿宋"/>
          <w:color w:val="auto"/>
          <w:sz w:val="24"/>
          <w:szCs w:val="24"/>
          <w:highlight w:val="none"/>
        </w:rPr>
        <w:t>工作温度：－20℃～+55℃；</w:t>
      </w:r>
    </w:p>
    <w:p>
      <w:pPr>
        <w:spacing w:line="480" w:lineRule="exact"/>
        <w:ind w:firstLine="720" w:firstLineChars="3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4.10.6.9 </w:t>
      </w:r>
      <w:r>
        <w:rPr>
          <w:rFonts w:hint="eastAsia" w:ascii="仿宋" w:hAnsi="仿宋" w:eastAsia="仿宋" w:cs="仿宋"/>
          <w:color w:val="auto"/>
          <w:sz w:val="24"/>
          <w:szCs w:val="24"/>
          <w:highlight w:val="none"/>
        </w:rPr>
        <w:t>电源电压DC12V；</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720" w:firstLineChars="3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4.10.6.10 </w:t>
      </w:r>
      <w:r>
        <w:rPr>
          <w:rFonts w:hint="eastAsia" w:ascii="仿宋" w:hAnsi="仿宋" w:eastAsia="仿宋" w:cs="仿宋"/>
          <w:color w:val="auto"/>
          <w:sz w:val="24"/>
          <w:szCs w:val="24"/>
          <w:highlight w:val="none"/>
        </w:rPr>
        <w:t>内置电池容量≥9Ah；</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5.1总体要求</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.1整车</w:t>
      </w:r>
      <w:r>
        <w:rPr>
          <w:rFonts w:hint="eastAsia" w:ascii="仿宋" w:hAnsi="仿宋" w:eastAsia="仿宋" w:cs="仿宋"/>
          <w:color w:val="auto"/>
          <w:sz w:val="24"/>
          <w:szCs w:val="24"/>
          <w:highlight w:val="none"/>
          <w:lang w:val="en-US" w:eastAsia="zh-CN"/>
        </w:rPr>
        <w:t>验收</w:t>
      </w:r>
      <w:r>
        <w:rPr>
          <w:rFonts w:hint="eastAsia" w:ascii="仿宋" w:hAnsi="仿宋" w:eastAsia="仿宋" w:cs="仿宋"/>
          <w:color w:val="auto"/>
          <w:sz w:val="24"/>
          <w:szCs w:val="24"/>
          <w:highlight w:val="none"/>
          <w:lang w:eastAsia="zh-CN"/>
        </w:rPr>
        <w:t>符合</w:t>
      </w:r>
      <w:r>
        <w:rPr>
          <w:rFonts w:hint="eastAsia" w:ascii="仿宋" w:hAnsi="仿宋" w:eastAsia="仿宋" w:cs="仿宋"/>
          <w:color w:val="auto"/>
          <w:sz w:val="24"/>
          <w:szCs w:val="24"/>
          <w:highlight w:val="none"/>
          <w:lang w:val="en-US" w:eastAsia="zh-CN"/>
        </w:rPr>
        <w:t>GB 7965.1-2014《消防车 第一部分：通用技术条件》和XF 39-2016</w:t>
      </w:r>
      <w:r>
        <w:rPr>
          <w:rFonts w:hint="eastAsia" w:ascii="仿宋" w:hAnsi="仿宋" w:eastAsia="仿宋" w:cs="仿宋"/>
          <w:color w:val="auto"/>
          <w:sz w:val="24"/>
          <w:szCs w:val="24"/>
          <w:highlight w:val="none"/>
          <w:lang w:eastAsia="zh-CN"/>
        </w:rPr>
        <w:t>《消防车</w:t>
      </w:r>
      <w:r>
        <w:rPr>
          <w:rFonts w:hint="eastAsia" w:ascii="仿宋" w:hAnsi="仿宋" w:eastAsia="仿宋" w:cs="仿宋"/>
          <w:color w:val="auto"/>
          <w:sz w:val="24"/>
          <w:szCs w:val="24"/>
          <w:highlight w:val="none"/>
          <w:lang w:val="en-US" w:eastAsia="zh-CN"/>
        </w:rPr>
        <w:t xml:space="preserve"> 消防要求和实验办法</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通信指挥消防车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技术要求</w:t>
      </w:r>
      <w:r>
        <w:rPr>
          <w:rFonts w:hint="eastAsia" w:ascii="仿宋" w:hAnsi="仿宋" w:eastAsia="仿宋" w:cs="仿宋"/>
          <w:color w:val="auto"/>
          <w:sz w:val="24"/>
          <w:szCs w:val="24"/>
          <w:highlight w:val="none"/>
          <w:lang w:eastAsia="zh-CN"/>
        </w:rPr>
        <w:t>；</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车身颜色符合GB/T3181</w:t>
      </w:r>
      <w:r>
        <w:rPr>
          <w:rFonts w:hint="eastAsia" w:ascii="仿宋" w:hAnsi="仿宋" w:eastAsia="仿宋" w:cs="仿宋"/>
          <w:color w:val="auto"/>
          <w:sz w:val="24"/>
          <w:szCs w:val="24"/>
          <w:highlight w:val="none"/>
          <w:lang w:val="en-US" w:eastAsia="zh-CN"/>
        </w:rPr>
        <w:t>-2008</w:t>
      </w:r>
      <w:r>
        <w:rPr>
          <w:rFonts w:hint="eastAsia" w:ascii="仿宋" w:hAnsi="仿宋" w:eastAsia="仿宋" w:cs="仿宋"/>
          <w:color w:val="auto"/>
          <w:sz w:val="24"/>
          <w:szCs w:val="24"/>
          <w:highlight w:val="none"/>
        </w:rPr>
        <w:t>《漆膜颜色标准》中规定的R03红色，符合《国务院办公厅关于国家综合性消防救援车辆悬挂应急救援专用号牌有关事项的通知》（国办发【2018】114号）、《消防救援局关于做好消防救援车辆外观制式涂装工作的通知》（应急消【2019】76号）等要求；</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在确保不影响车辆安全行驶的前提下，根据</w:t>
      </w:r>
      <w:r>
        <w:rPr>
          <w:rFonts w:hint="eastAsia" w:ascii="仿宋" w:hAnsi="仿宋" w:eastAsia="仿宋" w:cs="仿宋"/>
          <w:color w:val="auto"/>
          <w:sz w:val="24"/>
          <w:szCs w:val="24"/>
          <w:highlight w:val="none"/>
          <w:lang w:val="en-US" w:eastAsia="zh-CN"/>
        </w:rPr>
        <w:t>使用</w:t>
      </w:r>
      <w:r>
        <w:rPr>
          <w:rFonts w:hint="eastAsia" w:ascii="仿宋" w:hAnsi="仿宋" w:eastAsia="仿宋" w:cs="仿宋"/>
          <w:color w:val="auto"/>
          <w:sz w:val="24"/>
          <w:szCs w:val="24"/>
          <w:highlight w:val="none"/>
        </w:rPr>
        <w:t xml:space="preserve">单位需求，对外置车灯、灯具加装防护罩； </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防腐保护：驾乘室及上装均采用内涂层等进行防腐处理；</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警报灯具：驾乘室顶部安装消防专用灯具，驾乘室内设置警报器和扩音系统(功率≥200W)，在驾乘室可控制扩音器。在车厢两侧、尾部等并联安装红色爆闪灯，警灯、警报器各自采用独立控制开关，车辆顶端四周安装 LED 灯带； </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仿宋" w:hAnsi="仿宋" w:eastAsia="仿宋" w:cs="Times New Roman"/>
          <w:b/>
          <w:bCs/>
          <w:snapToGrid/>
          <w:color w:val="auto"/>
          <w:kern w:val="2"/>
          <w:sz w:val="24"/>
          <w:szCs w:val="24"/>
          <w:highlight w:val="none"/>
          <w:lang w:val="en-US" w:eastAsia="zh-CN"/>
        </w:rPr>
      </w:pPr>
      <w:r>
        <w:rPr>
          <w:rFonts w:hint="eastAsia" w:ascii="仿宋" w:hAnsi="仿宋" w:eastAsia="仿宋" w:cs="Times New Roman"/>
          <w:b/>
          <w:bCs/>
          <w:snapToGrid/>
          <w:color w:val="auto"/>
          <w:kern w:val="2"/>
          <w:sz w:val="24"/>
          <w:szCs w:val="24"/>
          <w:highlight w:val="none"/>
          <w:lang w:val="en-US" w:eastAsia="zh-CN"/>
        </w:rPr>
        <w:t>5.2其他要求</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5.2.1整车按国家标准配齐随车设备，设备布置合理，固定牢靠：</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5.2.2供货前，须主动对接使用单位，满足用户需求；</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5.2.3交付使用单位时，燃油等添加液处于满液状态：</w:t>
      </w:r>
    </w:p>
    <w:p>
      <w:pPr>
        <w:pStyle w:val="80"/>
        <w:keepNext w:val="0"/>
        <w:keepLines w:val="0"/>
        <w:pageBreakBefore w:val="0"/>
        <w:widowControl w:val="0"/>
        <w:numPr>
          <w:ilvl w:val="0"/>
          <w:numId w:val="0"/>
        </w:numPr>
        <w:kinsoku/>
        <w:wordWrap/>
        <w:overflowPunct/>
        <w:topLinePunct w:val="0"/>
        <w:autoSpaceDE/>
        <w:autoSpaceDN/>
        <w:bidi w:val="0"/>
        <w:adjustRightInd/>
        <w:snapToGrid/>
        <w:spacing w:line="460" w:lineRule="exact"/>
        <w:ind w:left="0" w:leftChars="0" w:right="0" w:rightChars="0"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5.2.4首次保养(含材料、人工、差旅等）免费；</w:t>
      </w:r>
    </w:p>
    <w:p>
      <w:pPr>
        <w:rPr>
          <w:rFonts w:hint="eastAsia" w:eastAsia="宋体"/>
          <w:color w:val="auto"/>
          <w:highlight w:val="none"/>
          <w:lang w:val="en-US" w:eastAsia="zh-CN"/>
        </w:rPr>
      </w:pPr>
      <w:r>
        <w:rPr>
          <w:rFonts w:hint="eastAsia"/>
          <w:color w:val="auto"/>
          <w:highlight w:val="none"/>
          <w:lang w:val="en-US" w:eastAsia="zh-CN"/>
        </w:rPr>
        <w:t xml:space="preserve"> </w:t>
      </w:r>
    </w:p>
    <w:p>
      <w:pPr>
        <w:rPr>
          <w:color w:val="auto"/>
          <w:highlight w:val="none"/>
        </w:rPr>
      </w:pPr>
    </w:p>
    <w:p>
      <w:pPr>
        <w:pStyle w:val="5"/>
        <w:numPr>
          <w:ilvl w:val="0"/>
          <w:numId w:val="0"/>
        </w:numPr>
        <w:spacing w:before="20" w:after="20" w:line="240" w:lineRule="auto"/>
        <w:ind w:left="0" w:leftChars="0" w:firstLine="0" w:firstLineChars="0"/>
        <w:rPr>
          <w:rFonts w:hint="eastAsia" w:ascii="仿宋" w:hAnsi="仿宋" w:eastAsia="仿宋" w:cs="仿宋"/>
          <w:color w:val="auto"/>
          <w:sz w:val="28"/>
          <w:szCs w:val="28"/>
          <w:highlight w:val="none"/>
          <w:lang w:val="en-US" w:eastAsia="zh-CN"/>
        </w:rPr>
      </w:pPr>
      <w:bookmarkStart w:id="381" w:name="_Toc4716"/>
      <w:r>
        <w:rPr>
          <w:rFonts w:hint="eastAsia" w:ascii="仿宋" w:hAnsi="仿宋" w:eastAsia="仿宋" w:cs="仿宋"/>
          <w:color w:val="auto"/>
          <w:sz w:val="28"/>
          <w:szCs w:val="28"/>
          <w:highlight w:val="none"/>
          <w:lang w:val="en-US" w:eastAsia="zh-CN"/>
        </w:rPr>
        <w:t>品目22：指挥方舱车</w:t>
      </w:r>
      <w:bookmarkEnd w:id="381"/>
    </w:p>
    <w:p>
      <w:pPr>
        <w:widowControl/>
        <w:tabs>
          <w:tab w:val="left" w:pos="0"/>
        </w:tabs>
        <w:adjustRightInd w:val="0"/>
        <w:snapToGrid w:val="0"/>
        <w:spacing w:line="480" w:lineRule="exact"/>
        <w:rPr>
          <w:rFonts w:ascii="Times New Roman" w:hAnsi="Times New Roman" w:eastAsia="方正仿宋_GBK"/>
          <w:color w:val="auto"/>
          <w:sz w:val="24"/>
          <w:highlight w:val="none"/>
        </w:rPr>
      </w:pPr>
      <w:r>
        <w:rPr>
          <w:rFonts w:ascii="Times New Roman" w:hAnsi="Times New Roman" w:eastAsia="方正仿宋_GBK"/>
          <w:color w:val="auto"/>
          <w:sz w:val="24"/>
          <w:highlight w:val="none"/>
        </w:rPr>
        <w:t>一、货物名称：</w:t>
      </w:r>
      <w:r>
        <w:rPr>
          <w:rFonts w:hint="eastAsia" w:ascii="Times New Roman" w:hAnsi="Times New Roman" w:eastAsia="方正仿宋_GBK"/>
          <w:color w:val="auto"/>
          <w:sz w:val="24"/>
          <w:highlight w:val="none"/>
        </w:rPr>
        <w:t>指挥方舱车</w:t>
      </w:r>
    </w:p>
    <w:p>
      <w:pPr>
        <w:widowControl/>
        <w:tabs>
          <w:tab w:val="left" w:pos="0"/>
        </w:tabs>
        <w:adjustRightInd w:val="0"/>
        <w:snapToGrid w:val="0"/>
        <w:spacing w:line="480" w:lineRule="exact"/>
        <w:rPr>
          <w:rFonts w:ascii="Times New Roman" w:hAnsi="Times New Roman" w:eastAsia="方正仿宋_GBK"/>
          <w:color w:val="auto"/>
          <w:sz w:val="24"/>
          <w:highlight w:val="none"/>
        </w:rPr>
      </w:pPr>
      <w:r>
        <w:rPr>
          <w:rFonts w:ascii="Times New Roman" w:hAnsi="Times New Roman" w:eastAsia="方正仿宋_GBK"/>
          <w:color w:val="auto"/>
          <w:sz w:val="24"/>
          <w:highlight w:val="none"/>
        </w:rPr>
        <w:t>二、主要规格：国产底盘</w:t>
      </w:r>
    </w:p>
    <w:p>
      <w:pPr>
        <w:widowControl/>
        <w:tabs>
          <w:tab w:val="left" w:pos="0"/>
        </w:tabs>
        <w:adjustRightInd w:val="0"/>
        <w:snapToGrid w:val="0"/>
        <w:spacing w:line="480" w:lineRule="exact"/>
        <w:rPr>
          <w:rFonts w:ascii="Times New Roman" w:hAnsi="Times New Roman" w:eastAsia="方正仿宋_GBK"/>
          <w:color w:val="auto"/>
          <w:sz w:val="24"/>
          <w:highlight w:val="none"/>
        </w:rPr>
      </w:pPr>
      <w:r>
        <w:rPr>
          <w:rFonts w:hint="eastAsia" w:ascii="Times New Roman" w:hAnsi="Times New Roman" w:eastAsia="方正仿宋_GBK"/>
          <w:color w:val="auto"/>
          <w:sz w:val="24"/>
          <w:highlight w:val="none"/>
        </w:rPr>
        <w:t>三</w:t>
      </w:r>
      <w:r>
        <w:rPr>
          <w:rFonts w:ascii="Times New Roman" w:hAnsi="Times New Roman" w:eastAsia="方正仿宋_GBK"/>
          <w:color w:val="auto"/>
          <w:sz w:val="24"/>
          <w:highlight w:val="none"/>
        </w:rPr>
        <w:t>、主要技术参数及要求：</w:t>
      </w:r>
    </w:p>
    <w:tbl>
      <w:tblPr>
        <w:tblStyle w:val="43"/>
        <w:tblW w:w="9472" w:type="dxa"/>
        <w:jc w:val="center"/>
        <w:tblLayout w:type="fixed"/>
        <w:tblCellMar>
          <w:top w:w="0" w:type="dxa"/>
          <w:left w:w="108" w:type="dxa"/>
          <w:bottom w:w="0" w:type="dxa"/>
          <w:right w:w="108" w:type="dxa"/>
        </w:tblCellMar>
      </w:tblPr>
      <w:tblGrid>
        <w:gridCol w:w="836"/>
        <w:gridCol w:w="960"/>
        <w:gridCol w:w="967"/>
        <w:gridCol w:w="5272"/>
        <w:gridCol w:w="705"/>
        <w:gridCol w:w="732"/>
      </w:tblGrid>
      <w:tr>
        <w:tblPrEx>
          <w:tblCellMar>
            <w:top w:w="0" w:type="dxa"/>
            <w:left w:w="108" w:type="dxa"/>
            <w:bottom w:w="0" w:type="dxa"/>
            <w:right w:w="108" w:type="dxa"/>
          </w:tblCellMar>
        </w:tblPrEx>
        <w:trPr>
          <w:trHeight w:val="0" w:hRule="atLeast"/>
          <w:tblHeader/>
          <w:jc w:val="center"/>
        </w:trPr>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96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功能模块</w:t>
            </w:r>
          </w:p>
        </w:tc>
        <w:tc>
          <w:tcPr>
            <w:tcW w:w="96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设备名称</w:t>
            </w:r>
          </w:p>
        </w:tc>
        <w:tc>
          <w:tcPr>
            <w:tcW w:w="527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技术参数</w:t>
            </w:r>
          </w:p>
        </w:tc>
        <w:tc>
          <w:tcPr>
            <w:tcW w:w="70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数量</w:t>
            </w:r>
          </w:p>
        </w:tc>
        <w:tc>
          <w:tcPr>
            <w:tcW w:w="73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单位</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载车模块</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牵引车</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1、牵引汽车；</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2、轴距：≥3400mm+1400mm；</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3、尺寸：≥</w:t>
            </w:r>
            <w:r>
              <w:rPr>
                <w:rFonts w:hint="eastAsia" w:ascii="仿宋" w:hAnsi="仿宋" w:eastAsia="仿宋" w:cs="仿宋"/>
                <w:color w:val="auto"/>
                <w:kern w:val="0"/>
                <w:sz w:val="24"/>
                <w:szCs w:val="24"/>
                <w:highlight w:val="none"/>
                <w:lang w:val="en-US" w:eastAsia="zh-CN"/>
              </w:rPr>
              <w:t>69</w:t>
            </w:r>
            <w:r>
              <w:rPr>
                <w:rFonts w:hint="eastAsia" w:ascii="仿宋" w:hAnsi="仿宋" w:eastAsia="仿宋" w:cs="仿宋"/>
                <w:color w:val="auto"/>
                <w:kern w:val="0"/>
                <w:sz w:val="24"/>
                <w:szCs w:val="24"/>
                <w:highlight w:val="none"/>
              </w:rPr>
              <w:t>00mm×25</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t>0mm×39</w:t>
            </w:r>
            <w:r>
              <w:rPr>
                <w:rFonts w:hint="eastAsia" w:ascii="仿宋" w:hAnsi="仿宋" w:eastAsia="仿宋" w:cs="仿宋"/>
                <w:color w:val="auto"/>
                <w:kern w:val="0"/>
                <w:sz w:val="24"/>
                <w:szCs w:val="24"/>
                <w:highlight w:val="none"/>
                <w:lang w:val="en-US" w:eastAsia="zh-CN"/>
              </w:rPr>
              <w:t>00</w:t>
            </w:r>
            <w:r>
              <w:rPr>
                <w:rFonts w:hint="eastAsia" w:ascii="仿宋" w:hAnsi="仿宋" w:eastAsia="仿宋" w:cs="仿宋"/>
                <w:color w:val="auto"/>
                <w:kern w:val="0"/>
                <w:sz w:val="24"/>
                <w:szCs w:val="24"/>
                <w:highlight w:val="none"/>
              </w:rPr>
              <w:t>mm；</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4、燃料种类：柴油；</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5、排量：≥10L；</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6、排放标准：国Ⅵ；</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7、最大输出功率：≥</w:t>
            </w:r>
            <w:r>
              <w:rPr>
                <w:rFonts w:hint="eastAsia" w:ascii="仿宋" w:hAnsi="仿宋" w:eastAsia="仿宋" w:cs="仿宋"/>
                <w:color w:val="auto"/>
                <w:kern w:val="0"/>
                <w:sz w:val="24"/>
                <w:szCs w:val="24"/>
                <w:highlight w:val="none"/>
                <w:lang w:val="en-US" w:eastAsia="zh-CN"/>
              </w:rPr>
              <w:t>300</w:t>
            </w:r>
            <w:r>
              <w:rPr>
                <w:rFonts w:hint="eastAsia" w:ascii="仿宋" w:hAnsi="仿宋" w:eastAsia="仿宋" w:cs="仿宋"/>
                <w:color w:val="auto"/>
                <w:kern w:val="0"/>
                <w:sz w:val="24"/>
                <w:szCs w:val="24"/>
                <w:highlight w:val="none"/>
              </w:rPr>
              <w:t>kW；</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8、牵引重量：≥40t。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辆</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半挂车</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1、40英尺国际标准集装箱运输半挂车；</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2、半挂车集装箱安装面高度≤1300mm；</w:t>
            </w:r>
            <w:r>
              <w:rPr>
                <w:rFonts w:hint="eastAsia" w:ascii="仿宋" w:hAnsi="仿宋" w:eastAsia="仿宋" w:cs="仿宋"/>
                <w:color w:val="auto"/>
                <w:kern w:val="0"/>
                <w:sz w:val="24"/>
                <w:szCs w:val="24"/>
                <w:highlight w:val="none"/>
              </w:rPr>
              <w:br w:type="textWrapping"/>
            </w:r>
            <w:r>
              <w:rPr>
                <w:rFonts w:hint="eastAsia" w:ascii="仿宋" w:hAnsi="仿宋" w:eastAsia="仿宋" w:cs="仿宋"/>
                <w:b w:val="0"/>
                <w:bCs w:val="0"/>
                <w:color w:val="auto"/>
                <w:sz w:val="24"/>
                <w:szCs w:val="24"/>
                <w:highlight w:val="none"/>
              </w:rPr>
              <w:t>▲</w:t>
            </w:r>
            <w:r>
              <w:rPr>
                <w:rFonts w:hint="eastAsia" w:ascii="仿宋" w:hAnsi="仿宋" w:eastAsia="仿宋" w:cs="仿宋"/>
                <w:color w:val="auto"/>
                <w:kern w:val="0"/>
                <w:sz w:val="24"/>
                <w:szCs w:val="24"/>
                <w:highlight w:val="none"/>
              </w:rPr>
              <w:t>3、配四点车体支腿，单腿支撑承载≥8t。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车载台</w:t>
            </w:r>
          </w:p>
        </w:tc>
        <w:tc>
          <w:tcPr>
            <w:tcW w:w="5272" w:type="dxa"/>
            <w:tcBorders>
              <w:top w:val="nil"/>
              <w:left w:val="nil"/>
              <w:bottom w:val="single" w:color="auto" w:sz="4" w:space="0"/>
              <w:right w:val="single" w:color="auto" w:sz="4" w:space="0"/>
            </w:tcBorders>
            <w:shd w:val="clear" w:color="000000" w:fill="auto"/>
            <w:vAlign w:val="center"/>
          </w:tcPr>
          <w:p>
            <w:pPr>
              <w:widowControl/>
              <w:numPr>
                <w:ilvl w:val="0"/>
                <w:numId w:val="0"/>
              </w:numPr>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频段：350－4</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t>0MHz，配置吸盘天线</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2、信道容量≥1024（常规：模拟/数字）</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3、区域容量≥64（常规：模拟/数字）</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4、信道间隔12.5kHz/20kHz/25kHz</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5、频率稳定度±0.5ppm</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重量：≤ 1.5kg</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主机尺寸：(高*宽*厚) ≤6</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mm*180mm*18</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mm</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显示屏幕： ≥1.</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lang w:eastAsia="zh-CN"/>
              </w:rPr>
              <w:t>英寸</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工作温度</w:t>
            </w:r>
            <w:r>
              <w:rPr>
                <w:rFonts w:hint="eastAsia" w:ascii="仿宋" w:hAnsi="仿宋" w:eastAsia="仿宋" w:cs="仿宋"/>
                <w:color w:val="auto"/>
                <w:kern w:val="0"/>
                <w:sz w:val="24"/>
                <w:szCs w:val="24"/>
                <w:highlight w:val="none"/>
                <w:lang w:eastAsia="zh-CN"/>
              </w:rPr>
              <w:t>至少包含</w:t>
            </w:r>
            <w:r>
              <w:rPr>
                <w:rFonts w:hint="eastAsia" w:ascii="仿宋" w:hAnsi="仿宋" w:eastAsia="仿宋" w:cs="仿宋"/>
                <w:color w:val="auto"/>
                <w:kern w:val="0"/>
                <w:sz w:val="24"/>
                <w:szCs w:val="24"/>
                <w:highlight w:val="none"/>
              </w:rPr>
              <w:t>－30℃～＋60℃；</w:t>
            </w:r>
          </w:p>
          <w:p>
            <w:pPr>
              <w:widowControl/>
              <w:numPr>
                <w:ilvl w:val="0"/>
                <w:numId w:val="0"/>
              </w:numPr>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10、</w:t>
            </w:r>
            <w:r>
              <w:rPr>
                <w:rFonts w:hint="eastAsia" w:ascii="仿宋" w:hAnsi="仿宋" w:eastAsia="仿宋" w:cs="仿宋"/>
                <w:color w:val="auto"/>
                <w:kern w:val="0"/>
                <w:sz w:val="24"/>
                <w:szCs w:val="24"/>
                <w:highlight w:val="none"/>
              </w:rPr>
              <w:t>仅支持单北斗定位模块</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北斗定位终端</w:t>
            </w:r>
          </w:p>
        </w:tc>
        <w:tc>
          <w:tcPr>
            <w:tcW w:w="5272" w:type="dxa"/>
            <w:tcBorders>
              <w:top w:val="nil"/>
              <w:left w:val="nil"/>
              <w:bottom w:val="single" w:color="auto" w:sz="4" w:space="0"/>
              <w:right w:val="single" w:color="auto" w:sz="4" w:space="0"/>
            </w:tcBorders>
            <w:shd w:val="clear" w:color="000000"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仅支持单北斗定位模块，可通过APP定位追踪车辆，能接入北斗消防综合管理服务平台，设备含三年流量卡费用。</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行车记录仪</w:t>
            </w:r>
          </w:p>
        </w:tc>
        <w:tc>
          <w:tcPr>
            <w:tcW w:w="5272" w:type="dxa"/>
            <w:tcBorders>
              <w:top w:val="nil"/>
              <w:left w:val="nil"/>
              <w:bottom w:val="single" w:color="auto" w:sz="4" w:space="0"/>
              <w:right w:val="single" w:color="auto" w:sz="4" w:space="0"/>
            </w:tcBorders>
            <w:shd w:val="clear" w:color="000000"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1、高清行车记录仪，支持360环视；</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2、配置≥64G内存卡。</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121"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会议系统</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4K会议摄像机</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宋体"/>
                <w:color w:val="auto"/>
                <w:kern w:val="0"/>
                <w:sz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宋体"/>
                <w:color w:val="auto"/>
                <w:kern w:val="0"/>
                <w:sz w:val="24"/>
                <w:highlight w:val="none"/>
              </w:rPr>
              <w:t>最高支持3840*2160</w:t>
            </w:r>
            <w:r>
              <w:rPr>
                <w:rFonts w:hint="eastAsia" w:ascii="仿宋" w:hAnsi="仿宋" w:eastAsia="仿宋" w:cs="宋体"/>
                <w:color w:val="auto"/>
                <w:kern w:val="0"/>
                <w:sz w:val="24"/>
                <w:highlight w:val="none"/>
                <w:lang w:val="en-US" w:eastAsia="zh-CN"/>
              </w:rPr>
              <w:t xml:space="preserve"> 60 </w:t>
            </w:r>
            <w:r>
              <w:rPr>
                <w:rFonts w:hint="eastAsia" w:ascii="仿宋" w:hAnsi="仿宋" w:eastAsia="仿宋" w:cs="宋体"/>
                <w:color w:val="auto"/>
                <w:kern w:val="0"/>
                <w:sz w:val="24"/>
                <w:highlight w:val="none"/>
              </w:rPr>
              <w:t>fps，采用1/2.8英寸且≥</w:t>
            </w:r>
            <w:r>
              <w:rPr>
                <w:rFonts w:hint="eastAsia" w:ascii="仿宋" w:hAnsi="仿宋" w:eastAsia="仿宋" w:cs="宋体"/>
                <w:color w:val="auto"/>
                <w:kern w:val="0"/>
                <w:sz w:val="24"/>
                <w:highlight w:val="none"/>
                <w:lang w:val="en-US" w:eastAsia="zh-CN"/>
              </w:rPr>
              <w:t>800</w:t>
            </w:r>
            <w:r>
              <w:rPr>
                <w:rFonts w:hint="eastAsia" w:ascii="仿宋" w:hAnsi="仿宋" w:eastAsia="仿宋" w:cs="宋体"/>
                <w:color w:val="auto"/>
                <w:kern w:val="0"/>
                <w:sz w:val="24"/>
                <w:highlight w:val="none"/>
              </w:rPr>
              <w:t>万有效像素的高品质HD CMOS成像器件，</w:t>
            </w:r>
          </w:p>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 xml:space="preserve">、光学变倍≥12倍光学变焦 </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、光圈系数F1.8 ～ F11、CLOSE</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、图像传感器≥1/2.</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英寸</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、数字降噪2D﹠3D数字降噪</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、白平衡模式自动白平衡、一键白平衡、手动白平衡和指定色温</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、聚焦模式自动/手动/一键聚焦</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专业音箱</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1、频率响应 65Hz-20KHz</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2、覆盖角度≥90度(H)×50度(V)</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3、灵敏度≥90dB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4、连续声压级≥120dB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5、峰值声压级≥120dB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6、输入功率≥160W(额定)/ 250W(峰值)</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只</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功率放大器</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1、输出功率@立体声4Ω：≥2×770W</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2、频率响应：20Hz-20KHz±0.5dB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3、信噪比≥105dB</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数字音频处理器（调音台）</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1、≥16路平衡式话筒、线路输入/输出</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 xml:space="preserve">2、系统内置锁屏功能，有效避免发生误操作。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 xml:space="preserve">3、DSP音频处理，内置AM自动混音功能、AEC回声消除、AFC自适应反馈消除、ANS噪音消除、自动增益。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4、输入每通道：前级放大、信号发生器、扩展器、压缩器、5段参量均衡。</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5、全功能矩阵混音功能</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反馈抑制器</w:t>
            </w:r>
          </w:p>
        </w:tc>
        <w:tc>
          <w:tcPr>
            <w:tcW w:w="5272" w:type="dxa"/>
            <w:tcBorders>
              <w:top w:val="nil"/>
              <w:left w:val="nil"/>
              <w:bottom w:val="single" w:color="auto" w:sz="4" w:space="0"/>
              <w:right w:val="single" w:color="auto" w:sz="4" w:space="0"/>
            </w:tcBorders>
            <w:shd w:val="clear" w:color="auto" w:fill="auto"/>
            <w:vAlign w:val="center"/>
          </w:tcPr>
          <w:p>
            <w:pPr>
              <w:widowControl/>
              <w:numPr>
                <w:ilvl w:val="0"/>
                <w:numId w:val="19"/>
              </w:numPr>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专业用于会议系统的全自动数字高速反馈抑制器，全新自适应算法，无需进行调试；</w:t>
            </w:r>
          </w:p>
          <w:p>
            <w:pPr>
              <w:widowControl/>
              <w:numPr>
                <w:ilvl w:val="0"/>
                <w:numId w:val="19"/>
              </w:numPr>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输</w:t>
            </w:r>
            <w:r>
              <w:rPr>
                <w:rFonts w:hint="eastAsia" w:ascii="仿宋" w:hAnsi="仿宋" w:eastAsia="仿宋" w:cs="仿宋"/>
                <w:color w:val="auto"/>
                <w:kern w:val="0"/>
                <w:sz w:val="24"/>
                <w:szCs w:val="24"/>
                <w:highlight w:val="none"/>
                <w:lang w:val="en-US" w:eastAsia="zh-CN"/>
              </w:rPr>
              <w:t>入端设有增益调节，不产生啸叫，静噪门嵌入式设计；</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、共模抑制比≥70dB(1KHz)</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、输入范围≤+25dBu</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、频率响应20Hz-20KHz±1dB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、信噪比≥100dB</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无线</w:t>
            </w:r>
            <w:r>
              <w:rPr>
                <w:rFonts w:hint="eastAsia" w:ascii="仿宋" w:hAnsi="仿宋" w:eastAsia="仿宋" w:cs="仿宋"/>
                <w:color w:val="auto"/>
                <w:kern w:val="0"/>
                <w:sz w:val="24"/>
                <w:szCs w:val="24"/>
                <w:highlight w:val="none"/>
                <w:lang w:eastAsia="zh-CN"/>
              </w:rPr>
              <w:t>全向</w:t>
            </w:r>
            <w:r>
              <w:rPr>
                <w:rFonts w:hint="eastAsia" w:ascii="仿宋" w:hAnsi="仿宋" w:eastAsia="仿宋" w:cs="仿宋"/>
                <w:color w:val="auto"/>
                <w:kern w:val="0"/>
                <w:sz w:val="24"/>
                <w:szCs w:val="24"/>
                <w:highlight w:val="none"/>
              </w:rPr>
              <w:t>话筒</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color w:val="auto"/>
                <w:highlight w:val="none"/>
                <w:lang w:val="en-US" w:eastAsia="zh-CN"/>
              </w:rPr>
            </w:pPr>
            <w:r>
              <w:rPr>
                <w:rFonts w:hint="eastAsia" w:ascii="仿宋" w:hAnsi="仿宋" w:eastAsia="仿宋" w:cs="仿宋"/>
                <w:color w:val="auto"/>
                <w:sz w:val="24"/>
                <w:szCs w:val="24"/>
                <w:highlight w:val="none"/>
              </w:rPr>
              <w:t>采用一拖</w:t>
            </w:r>
            <w:r>
              <w:rPr>
                <w:rFonts w:hint="eastAsia" w:ascii="仿宋" w:hAnsi="仿宋" w:eastAsia="仿宋" w:cs="仿宋"/>
                <w:color w:val="auto"/>
                <w:sz w:val="24"/>
                <w:szCs w:val="24"/>
                <w:highlight w:val="none"/>
                <w:lang w:eastAsia="zh-CN"/>
              </w:rPr>
              <w:t>八</w:t>
            </w:r>
            <w:r>
              <w:rPr>
                <w:rFonts w:hint="eastAsia" w:ascii="仿宋" w:hAnsi="仿宋" w:eastAsia="仿宋" w:cs="仿宋"/>
                <w:color w:val="auto"/>
                <w:sz w:val="24"/>
                <w:szCs w:val="24"/>
                <w:highlight w:val="none"/>
              </w:rPr>
              <w:t>无线麦克风（含话筒支架），包括1个无线麦克风接收器和</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个无线麦克风，有效距离≥30米。</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电源控制器</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8路时序电源控制器</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2</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9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显示、办公及集中控制模块</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主显示器</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1、屏幕尺寸≥9</w:t>
            </w:r>
            <w:r>
              <w:rPr>
                <w:rFonts w:hint="eastAsia" w:ascii="仿宋" w:hAnsi="仿宋" w:eastAsia="仿宋" w:cs="仿宋"/>
                <w:color w:val="auto"/>
                <w:kern w:val="0"/>
                <w:sz w:val="24"/>
                <w:szCs w:val="24"/>
                <w:highlight w:val="none"/>
                <w:lang w:val="en-US" w:eastAsia="zh-CN"/>
              </w:rPr>
              <w:t>8英寸；</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2、采用直下式LED背光模式，亮度表现更均匀；</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3、视角≥178°，趋近于水平；</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4、内部缓存容量（RAM）≥3GB DDR4；内部存储容量（ROM）≥32GB</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5、可支持≥10点触控</w:t>
            </w:r>
            <w:r>
              <w:rPr>
                <w:rFonts w:hint="eastAsia" w:ascii="仿宋" w:hAnsi="仿宋" w:eastAsia="仿宋" w:cs="仿宋"/>
                <w:color w:val="auto"/>
                <w:kern w:val="0"/>
                <w:sz w:val="24"/>
                <w:szCs w:val="24"/>
                <w:highlight w:val="none"/>
                <w:lang w:eastAsia="zh-CN"/>
              </w:rPr>
              <w:t>，带写字板功能。</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辅助显示器</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屏幕尺寸</w:t>
            </w:r>
            <w:r>
              <w:rPr>
                <w:rFonts w:hint="eastAsia" w:ascii="仿宋" w:hAnsi="仿宋" w:eastAsia="仿宋" w:cs="仿宋"/>
                <w:color w:val="auto"/>
                <w:kern w:val="0"/>
                <w:sz w:val="24"/>
                <w:szCs w:val="24"/>
                <w:highlight w:val="none"/>
              </w:rPr>
              <w:t>≥55</w:t>
            </w:r>
            <w:r>
              <w:rPr>
                <w:rFonts w:hint="eastAsia" w:ascii="仿宋" w:hAnsi="仿宋" w:eastAsia="仿宋" w:cs="仿宋"/>
                <w:color w:val="auto"/>
                <w:kern w:val="0"/>
                <w:sz w:val="24"/>
                <w:szCs w:val="24"/>
                <w:highlight w:val="none"/>
                <w:lang w:eastAsia="zh-CN"/>
              </w:rPr>
              <w:t>英</w:t>
            </w:r>
            <w:r>
              <w:rPr>
                <w:rFonts w:hint="eastAsia" w:ascii="仿宋" w:hAnsi="仿宋" w:eastAsia="仿宋" w:cs="仿宋"/>
                <w:color w:val="auto"/>
                <w:kern w:val="0"/>
                <w:sz w:val="24"/>
                <w:szCs w:val="24"/>
                <w:highlight w:val="none"/>
              </w:rPr>
              <w:t>寸，分辨率：≥3840×2160，平推舱内侧安装</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w:t>
            </w:r>
          </w:p>
        </w:tc>
        <w:tc>
          <w:tcPr>
            <w:tcW w:w="960"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会议控制系统</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固定端：显存≥21000Mhz、显存容量≥24GB、CPU水冷散热、≥1200W全模组电源、内存≥128G，固态硬盘≥2TB,cpu≥24核32线程、核心频率≥3.2GHz,支持RGB、MiniLED分辨率≥2.5K、刷新率≥240hz、3ms响应；屏幕≥27寸，支持NanoIPS\HDR≥1000\≥144HZ刷新\分辨率≥3840×2160\接口：HDMI2.1+DP+USB+音频；移动端：屏幕≥18寸,独立显卡≥9728 CUDA、显存≥16GB 128bit 、电池≥90Wh,内存≥64G，固态硬盘≥2TB,cpu≥24核32线程、主频≥5.8GHz,全尺寸键盘，支持RGB、MiniLED分辨率≥2.5K、刷新率≥240hz、3ms响应、含三模鼠标、背包等配件。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多功能一体机</w:t>
            </w:r>
          </w:p>
        </w:tc>
        <w:tc>
          <w:tcPr>
            <w:tcW w:w="52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1、A4彩色打印/复印/扫描/传真一体机；</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2、打印分辨率≥600×600dpi；</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3、首页打印时间≤12.4秒；</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4、复印分辨率≥600×600dpi；</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5、扫描类型 平板式；</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6、扫描元件 CIS；</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7、最大分辨率≥4800×4800dpi。</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会议话筒</w:t>
            </w:r>
          </w:p>
        </w:tc>
        <w:tc>
          <w:tcPr>
            <w:tcW w:w="5272"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1、主控机与会议系统单体连接之数位控制及声音信号采用同一电缆传送（八芯）</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2、可独立运作或是外接电脑结合软体同步联动操作，实现多种会务管理功能(会议模式或操作：指定发言、自由发言、申请发言及先进先出发言等)</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3、单机可实现下列几个会议功能：开放式会议、限制发言、先进先出</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4、系统具有较好音质声音通道效果</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5、具三种会务管理模式:</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开放模式(Free)</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先进先出(FIFO)</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限制发言（LIMIT）</w:t>
            </w:r>
            <w:r>
              <w:rPr>
                <w:rFonts w:hint="eastAsia" w:ascii="仿宋" w:hAnsi="仿宋" w:eastAsia="仿宋" w:cs="仿宋"/>
                <w:color w:val="auto"/>
                <w:kern w:val="0"/>
                <w:sz w:val="24"/>
                <w:szCs w:val="24"/>
                <w:highlight w:val="none"/>
                <w:lang w:val="en-US" w:eastAsia="zh-CN"/>
              </w:rPr>
              <w:t>；</w:t>
            </w:r>
          </w:p>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、有线话筒</w:t>
            </w:r>
            <w:r>
              <w:rPr>
                <w:rFonts w:hint="eastAsia" w:ascii="仿宋" w:hAnsi="仿宋" w:eastAsia="仿宋" w:cs="仿宋"/>
                <w:color w:val="auto"/>
                <w:kern w:val="0"/>
                <w:sz w:val="24"/>
                <w:szCs w:val="24"/>
                <w:highlight w:val="none"/>
                <w:lang w:eastAsia="zh-CN"/>
              </w:rPr>
              <w:t>：</w:t>
            </w:r>
            <w:r>
              <w:rPr>
                <w:rFonts w:hint="eastAsia" w:ascii="仿宋" w:hAnsi="仿宋" w:eastAsia="仿宋" w:cs="宋体"/>
                <w:color w:val="auto"/>
                <w:kern w:val="0"/>
                <w:sz w:val="24"/>
                <w:highlight w:val="none"/>
                <w:lang w:eastAsia="zh-CN"/>
              </w:rPr>
              <w:t>全</w:t>
            </w:r>
            <w:r>
              <w:rPr>
                <w:rFonts w:hint="eastAsia" w:ascii="仿宋" w:hAnsi="仿宋" w:eastAsia="仿宋" w:cs="宋体"/>
                <w:color w:val="auto"/>
                <w:kern w:val="0"/>
                <w:sz w:val="24"/>
                <w:highlight w:val="none"/>
              </w:rPr>
              <w:t>向麦克风，与整车配备桌面插座上的插座结合起来，</w:t>
            </w:r>
            <w:r>
              <w:rPr>
                <w:rFonts w:hint="eastAsia" w:ascii="仿宋" w:hAnsi="仿宋" w:eastAsia="仿宋" w:cs="仿宋"/>
                <w:color w:val="auto"/>
                <w:kern w:val="0"/>
                <w:sz w:val="24"/>
                <w:szCs w:val="24"/>
                <w:highlight w:val="none"/>
              </w:rPr>
              <w:t>数量≥</w:t>
            </w:r>
            <w:r>
              <w:rPr>
                <w:rFonts w:hint="eastAsia" w:ascii="仿宋" w:hAnsi="仿宋" w:eastAsia="仿宋" w:cs="仿宋"/>
                <w:color w:val="auto"/>
                <w:kern w:val="0"/>
                <w:sz w:val="24"/>
                <w:szCs w:val="24"/>
                <w:highlight w:val="none"/>
                <w:lang w:val="en-US" w:eastAsia="zh-CN"/>
              </w:rPr>
              <w:t>20</w:t>
            </w:r>
            <w:r>
              <w:rPr>
                <w:rFonts w:hint="eastAsia"/>
                <w:color w:val="auto"/>
                <w:highlight w:val="none"/>
                <w:lang w:eastAsia="zh-CN"/>
              </w:rPr>
              <w:t>个</w:t>
            </w:r>
          </w:p>
        </w:tc>
        <w:tc>
          <w:tcPr>
            <w:tcW w:w="705"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集中控制主机</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用于控制矩阵、云台摄像机等设备，具有≥8个RS232/422/485接口</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控制平板</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1、可通过便携终端控制音视频信号切换、云台摄像机方位及变倍控制等；</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2、屏幕尺寸≥9.7寸。</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9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000000"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宽幅打印机</w:t>
            </w:r>
          </w:p>
        </w:tc>
        <w:tc>
          <w:tcPr>
            <w:tcW w:w="5272" w:type="dxa"/>
            <w:tcBorders>
              <w:top w:val="nil"/>
              <w:left w:val="nil"/>
              <w:bottom w:val="single" w:color="auto" w:sz="4" w:space="0"/>
              <w:right w:val="single" w:color="auto" w:sz="4" w:space="0"/>
            </w:tcBorders>
            <w:shd w:val="clear" w:color="000000" w:fill="auto"/>
            <w:vAlign w:val="center"/>
          </w:tcPr>
          <w:p>
            <w:pPr>
              <w:widowControl/>
              <w:numPr>
                <w:ilvl w:val="0"/>
                <w:numId w:val="20"/>
              </w:numPr>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喷嘴数：≥2560喷嘴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 xml:space="preserve">、彩色全颜料墨水；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3</w:t>
            </w:r>
            <w:r>
              <w:rPr>
                <w:rFonts w:hint="eastAsia" w:ascii="仿宋" w:hAnsi="仿宋" w:eastAsia="仿宋" w:cs="仿宋"/>
                <w:color w:val="auto"/>
                <w:kern w:val="0"/>
                <w:sz w:val="24"/>
                <w:szCs w:val="24"/>
                <w:highlight w:val="none"/>
              </w:rPr>
              <w:t xml:space="preserve">、标配A0卷筒，连续走纸，自动裁切；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4</w:t>
            </w:r>
            <w:r>
              <w:rPr>
                <w:rFonts w:hint="eastAsia" w:ascii="仿宋" w:hAnsi="仿宋" w:eastAsia="仿宋" w:cs="仿宋"/>
                <w:color w:val="auto"/>
                <w:kern w:val="0"/>
                <w:sz w:val="24"/>
                <w:szCs w:val="24"/>
                <w:highlight w:val="none"/>
              </w:rPr>
              <w:t>、标配支架/收纸篮；</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5</w:t>
            </w:r>
            <w:r>
              <w:rPr>
                <w:rFonts w:hint="eastAsia" w:ascii="仿宋" w:hAnsi="仿宋" w:eastAsia="仿宋" w:cs="仿宋"/>
                <w:color w:val="auto"/>
                <w:kern w:val="0"/>
                <w:sz w:val="24"/>
                <w:szCs w:val="24"/>
                <w:highlight w:val="none"/>
              </w:rPr>
              <w:t>、分辨率 ≥2400*1200dpi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6</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英寸触摸屏；</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7</w:t>
            </w:r>
            <w:r>
              <w:rPr>
                <w:rFonts w:hint="eastAsia" w:ascii="仿宋" w:hAnsi="仿宋" w:eastAsia="仿宋" w:cs="仿宋"/>
                <w:color w:val="auto"/>
                <w:kern w:val="0"/>
                <w:sz w:val="24"/>
                <w:szCs w:val="24"/>
                <w:highlight w:val="none"/>
              </w:rPr>
              <w:t xml:space="preserve">、最快速度≥21秒/A1线条图；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8</w:t>
            </w:r>
            <w:r>
              <w:rPr>
                <w:rFonts w:hint="eastAsia" w:ascii="仿宋" w:hAnsi="仿宋" w:eastAsia="仿宋" w:cs="仿宋"/>
                <w:color w:val="auto"/>
                <w:kern w:val="0"/>
                <w:sz w:val="24"/>
                <w:szCs w:val="24"/>
                <w:highlight w:val="none"/>
              </w:rPr>
              <w:t>、打印接口</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支持</w:t>
            </w:r>
            <w:r>
              <w:rPr>
                <w:rFonts w:hint="eastAsia" w:ascii="仿宋" w:hAnsi="仿宋" w:eastAsia="仿宋" w:cs="仿宋"/>
                <w:color w:val="auto"/>
                <w:kern w:val="0"/>
                <w:sz w:val="24"/>
                <w:szCs w:val="24"/>
                <w:highlight w:val="none"/>
              </w:rPr>
              <w:t>usb2</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0,1000M网</w:t>
            </w:r>
            <w:r>
              <w:rPr>
                <w:rFonts w:hint="eastAsia" w:ascii="仿宋" w:hAnsi="仿宋" w:eastAsia="仿宋" w:cs="仿宋"/>
                <w:color w:val="auto"/>
                <w:kern w:val="0"/>
                <w:sz w:val="24"/>
                <w:szCs w:val="24"/>
                <w:highlight w:val="none"/>
                <w:lang w:val="en-US" w:eastAsia="zh-CN"/>
              </w:rPr>
              <w:t>口</w:t>
            </w:r>
            <w:r>
              <w:rPr>
                <w:rFonts w:hint="eastAsia" w:ascii="仿宋" w:hAnsi="仿宋" w:eastAsia="仿宋" w:cs="仿宋"/>
                <w:color w:val="auto"/>
                <w:kern w:val="0"/>
                <w:sz w:val="24"/>
                <w:szCs w:val="24"/>
                <w:highlight w:val="none"/>
              </w:rPr>
              <w:t>，WIFI</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蓝牙等</w:t>
            </w:r>
            <w:r>
              <w:rPr>
                <w:rFonts w:hint="eastAsia" w:ascii="仿宋" w:hAnsi="仿宋" w:eastAsia="仿宋" w:cs="仿宋"/>
                <w:color w:val="auto"/>
                <w:kern w:val="0"/>
                <w:sz w:val="24"/>
                <w:szCs w:val="24"/>
                <w:highlight w:val="none"/>
              </w:rPr>
              <w:t xml:space="preserve"> ；</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9</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介质类型普通纸,光面纸,亚面纸,胶片.校样纸,描图纸,绘图纸</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1</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t>、产能≥144页A1/小时；支脚可拆</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　</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　</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车载设备集中控制软件</w:t>
            </w:r>
          </w:p>
        </w:tc>
        <w:tc>
          <w:tcPr>
            <w:tcW w:w="5272" w:type="dxa"/>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提供配套集中控制软件</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t>控制件能够对设备进行集中与统一管理，可安装在控制终端上，支持触摸屏方式；支持多点触控和滑屏操控</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软件需具有日志显示功能，可以显示操作记录和设备报警运行记录</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22</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音视频通信模块</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音视频矩阵</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1、高标清混合格式矩阵；</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2、支持≥16路输入，≥16路输出；</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3、支持HDMI、SDI、DVI等多种信号格式的视频切换；</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4、支持≥4K视频输入输出。</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交换机</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1、接口类型：≥24 个 10/100/1000Base-T 以太网端口、≥4 个复用的千兆 Combo SFP、≥4 个千兆SFP；</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2、交换容量：≥336Gbps/3.36Tbps；</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3、包转发率：≥96Mpps/126Mpps。</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多链路聚合终端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1、最大支持6张5G/LTE卡任何运营商汇聚，1+1+1模式，</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2、支持2.4G/5G双频工业级WIFI</w:t>
            </w:r>
            <w:r>
              <w:rPr>
                <w:rFonts w:hint="eastAsia" w:ascii="仿宋" w:hAnsi="仿宋" w:eastAsia="仿宋" w:cs="仿宋"/>
                <w:color w:val="auto"/>
                <w:kern w:val="0"/>
                <w:sz w:val="24"/>
                <w:szCs w:val="24"/>
                <w:highlight w:val="none"/>
                <w:lang w:val="en-US" w:eastAsia="zh-CN"/>
              </w:rPr>
              <w:t>；</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3、支持1路WAN，3路LAN 10/100/1000M网口</w:t>
            </w:r>
            <w:r>
              <w:rPr>
                <w:rFonts w:hint="eastAsia" w:ascii="仿宋" w:hAnsi="仿宋" w:eastAsia="仿宋" w:cs="仿宋"/>
                <w:color w:val="auto"/>
                <w:kern w:val="0"/>
                <w:sz w:val="24"/>
                <w:szCs w:val="24"/>
                <w:highlight w:val="none"/>
                <w:lang w:val="en-US" w:eastAsia="zh-CN"/>
              </w:rPr>
              <w:t>；</w:t>
            </w:r>
          </w:p>
          <w:p>
            <w:pPr>
              <w:widowControl/>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4、内置5G/WIFI天线，内置锂电池支持≥8小时工作，OLED状态显示</w:t>
            </w:r>
            <w:r>
              <w:rPr>
                <w:rFonts w:hint="eastAsia" w:ascii="仿宋" w:hAnsi="仿宋" w:eastAsia="仿宋" w:cs="仿宋"/>
                <w:color w:val="auto"/>
                <w:kern w:val="0"/>
                <w:sz w:val="24"/>
                <w:szCs w:val="24"/>
                <w:highlight w:val="none"/>
                <w:lang w:val="en-US" w:eastAsia="zh-CN"/>
              </w:rPr>
              <w:t>；</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5、含≥6张卡≥3年流量使用费，每张卡每月流量≥30G/月</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000000"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4K视频会议终端</w:t>
            </w:r>
          </w:p>
        </w:tc>
        <w:tc>
          <w:tcPr>
            <w:tcW w:w="5272" w:type="dxa"/>
            <w:tcBorders>
              <w:top w:val="nil"/>
              <w:left w:val="nil"/>
              <w:bottom w:val="single" w:color="auto" w:sz="4" w:space="0"/>
              <w:right w:val="single" w:color="auto" w:sz="4" w:space="0"/>
            </w:tcBorders>
            <w:shd w:val="clear" w:color="000000"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1、图像高清:具备4K超高清视频输入和输出；</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2、视频输入:≥2个SDI接口、≥2个HDMI接口；</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3、音频输入:≥2个专用的AMAI接口,1 路 LINE IN（RCA接口）；</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4、音频输出：≥1路LINE OUT（RCA接口）；</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5、视频编码:支持264High-Profile编码；</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6、视频输出:至少具备HDMI、VGA、DVI-D三个接口，HDMI具备4K解码输出，可选择其中两个接口同时输出，输出的最大分辨率≥1080P；</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7、通信标准：需支持H.323、SIP；</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8、视频标准：需支持H.264、H.264HighProflie；</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9、音频标准：需支G.711/G.722.1/G.729/G.719；</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10、双流标准：需支持H.239/H.239+；</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11、需具备远程摄像机控制能力，可进行左右转动、拉近/远、调焦、光圈等进行全方位的控制和预置位设置；</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12、需具备分屏输出功能，每个输出屏可以同时显示≥16个视频图像，支持数据和视频混合排序，配合视频轮询功能，可对分会场实时轮询监控；</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13、入网要求设备能全功能接入（必须协议级）消防图像综合管理平台；实现与国家局、总队、支队各级指挥中心的双向音视频互通，满足作战指挥调度应用需求。</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26</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供配电及辅助配套模块</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配电箱</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1、集中式电源管理系统，含电源漏电保护、开关、电源电压电流显示，双电源切换等，开关分别控制空调、设备用电等；</w:t>
            </w:r>
          </w:p>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2、配电箱采用标准机架式，表面喷塑处理</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静音</w:t>
            </w:r>
            <w:r>
              <w:rPr>
                <w:rFonts w:hint="eastAsia" w:ascii="仿宋" w:hAnsi="仿宋" w:eastAsia="仿宋" w:cs="仿宋"/>
                <w:color w:val="auto"/>
                <w:kern w:val="0"/>
                <w:sz w:val="24"/>
                <w:szCs w:val="24"/>
                <w:highlight w:val="none"/>
              </w:rPr>
              <w:t>发电机</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1、额定功率（KW）≥30</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、机组噪音7米db(A）≤6</w:t>
            </w:r>
            <w:r>
              <w:rPr>
                <w:rFonts w:hint="eastAsia" w:ascii="仿宋" w:hAnsi="仿宋" w:eastAsia="仿宋" w:cs="仿宋"/>
                <w:color w:val="auto"/>
                <w:kern w:val="0"/>
                <w:sz w:val="24"/>
                <w:szCs w:val="24"/>
                <w:highlight w:val="none"/>
                <w:lang w:val="en-US" w:eastAsia="zh-CN"/>
              </w:rPr>
              <w:t>0；</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、结构形式 防雨静音式</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、整体设备尺寸（L×W×H）（mm） ≤1990*900*1000</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、油箱 自带底座油箱</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、机组燃油箱容量（L）≥220</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 xml:space="preserve">、具备低温启动功能 </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、机组连续运行时间（h）≥8</w:t>
            </w:r>
            <w:r>
              <w:rPr>
                <w:rFonts w:hint="eastAsia" w:ascii="仿宋" w:hAnsi="仿宋" w:eastAsia="仿宋" w:cs="仿宋"/>
                <w:color w:val="auto"/>
                <w:kern w:val="0"/>
                <w:sz w:val="24"/>
                <w:szCs w:val="24"/>
                <w:highlight w:val="none"/>
                <w:lang w:val="en-US"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eastAsia="zh-CN"/>
              </w:rPr>
              <w:t>电源</w:t>
            </w:r>
            <w:r>
              <w:rPr>
                <w:rFonts w:hint="eastAsia" w:ascii="仿宋" w:hAnsi="仿宋" w:eastAsia="仿宋" w:cs="仿宋"/>
                <w:color w:val="auto"/>
                <w:kern w:val="0"/>
                <w:sz w:val="24"/>
                <w:szCs w:val="24"/>
                <w:highlight w:val="none"/>
              </w:rPr>
              <w:t>线缆盘</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1、自动收放线缆盘；</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2、线缆长度：≥</w:t>
            </w:r>
            <w:r>
              <w:rPr>
                <w:rFonts w:hint="eastAsia" w:ascii="仿宋" w:hAnsi="仿宋" w:eastAsia="仿宋" w:cs="仿宋"/>
                <w:color w:val="auto"/>
                <w:kern w:val="0"/>
                <w:sz w:val="24"/>
                <w:szCs w:val="24"/>
                <w:highlight w:val="none"/>
                <w:lang w:val="en-US" w:eastAsia="zh-CN"/>
              </w:rPr>
              <w:t>100</w:t>
            </w:r>
            <w:r>
              <w:rPr>
                <w:rFonts w:hint="eastAsia" w:ascii="仿宋" w:hAnsi="仿宋" w:eastAsia="仿宋" w:cs="仿宋"/>
                <w:color w:val="auto"/>
                <w:kern w:val="0"/>
                <w:sz w:val="24"/>
                <w:szCs w:val="24"/>
                <w:highlight w:val="none"/>
                <w:lang w:eastAsia="zh-CN"/>
              </w:rPr>
              <w:t>m；</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3、线缆抗压、耐拉、耐腐蚀；</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4、线径：≥3×10mm2；</w:t>
            </w:r>
          </w:p>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5、配置专用防水插接件。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不间断电源UPS</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额定容量≥6KVA,输入电压（110-276）VAC，输入频率（40-70）Hz，输入功因≥0.99；输出电压220（1±1%）VAC，输出频率：50/60±0.1Hz（电池模式），标准机架式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台</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开关电源</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为车内照明等设备供电，提供DC12V/24V直流电源</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其中350W DC12V电源</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3个，350W DC24V电源</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1个。</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eastAsia="zh-CN"/>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全车接地系统</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定制，含接地桩、接地线，防静电地拖；</w:t>
            </w:r>
          </w:p>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接地桩采用钢材镀锌制作，长度≥650mm，配置10m 6mm2全铜接地线，地拖采用橡胶防护材料。</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通信保障席网线接口</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靠近机柜端左/右侧折叠桌墙体预留操作网线端口</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1704"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接口板</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含电源、信息</w:t>
            </w:r>
            <w:r>
              <w:rPr>
                <w:rFonts w:hint="eastAsia" w:ascii="仿宋" w:hAnsi="仿宋" w:eastAsia="仿宋" w:cs="仿宋"/>
                <w:color w:val="auto"/>
                <w:kern w:val="0"/>
                <w:sz w:val="24"/>
                <w:szCs w:val="24"/>
                <w:highlight w:val="none"/>
                <w:lang w:eastAsia="zh-CN"/>
              </w:rPr>
              <w:t>等</w:t>
            </w:r>
            <w:r>
              <w:rPr>
                <w:rFonts w:hint="eastAsia" w:ascii="仿宋" w:hAnsi="仿宋" w:eastAsia="仿宋" w:cs="仿宋"/>
                <w:color w:val="auto"/>
                <w:kern w:val="0"/>
                <w:sz w:val="24"/>
                <w:szCs w:val="24"/>
                <w:highlight w:val="none"/>
              </w:rPr>
              <w:t>接口；</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2、采用钢材质，表面喷塑处理</w:t>
            </w:r>
            <w:r>
              <w:rPr>
                <w:rFonts w:hint="eastAsia" w:ascii="仿宋" w:hAnsi="仿宋" w:eastAsia="仿宋" w:cs="仿宋"/>
                <w:color w:val="auto"/>
                <w:kern w:val="0"/>
                <w:sz w:val="24"/>
                <w:szCs w:val="24"/>
                <w:highlight w:val="none"/>
                <w:lang w:eastAsia="zh-CN"/>
              </w:rPr>
              <w:t>；</w:t>
            </w:r>
          </w:p>
          <w:p>
            <w:pPr>
              <w:widowControl/>
              <w:shd w:val="clear" w:fill="auto"/>
              <w:jc w:val="left"/>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其中电源输出插座≥2个、接地柱≥1个、HDMI输入输出接口各≥1个、SDI输入输出接口各≥1个、音频输入输出接口各≥1个</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防雷系统</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1、电源防雷，单相</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2、交流标称电压：220VAC；</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3、标称放电电流：≥20KA；</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4、最大放电电流：≥50KA；</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5、外壳防护等级：≥IP20；</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6、工作温度</w:t>
            </w:r>
            <w:r>
              <w:rPr>
                <w:rFonts w:hint="eastAsia" w:ascii="仿宋" w:hAnsi="仿宋" w:eastAsia="仿宋" w:cs="仿宋"/>
                <w:color w:val="auto"/>
                <w:kern w:val="0"/>
                <w:sz w:val="24"/>
                <w:szCs w:val="24"/>
                <w:highlight w:val="none"/>
                <w:lang w:eastAsia="zh-CN"/>
              </w:rPr>
              <w:t>至少包含</w:t>
            </w:r>
            <w:r>
              <w:rPr>
                <w:rFonts w:hint="eastAsia" w:ascii="仿宋" w:hAnsi="仿宋" w:eastAsia="仿宋" w:cs="仿宋"/>
                <w:color w:val="auto"/>
                <w:kern w:val="0"/>
                <w:sz w:val="24"/>
                <w:szCs w:val="24"/>
                <w:highlight w:val="none"/>
              </w:rPr>
              <w:t>-40-85℃；</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车内各开关、插座</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1、定制车内开关、插座、辅材等；</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eastAsia="zh-CN"/>
              </w:rPr>
              <w:t>不少于</w:t>
            </w:r>
            <w:r>
              <w:rPr>
                <w:rFonts w:hint="eastAsia" w:ascii="仿宋" w:hAnsi="仿宋" w:eastAsia="仿宋" w:cs="仿宋"/>
                <w:color w:val="auto"/>
                <w:kern w:val="0"/>
                <w:sz w:val="24"/>
                <w:szCs w:val="24"/>
                <w:highlight w:val="none"/>
              </w:rPr>
              <w:t>翘板开关和市电电源插座；</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3、翘板开关和市电插座上定制有符号或文字丝印，保证简单易懂</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桌面插</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含电源、信息接口插座。</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车载空调</w:t>
            </w:r>
          </w:p>
        </w:tc>
        <w:tc>
          <w:tcPr>
            <w:tcW w:w="5272" w:type="dxa"/>
            <w:tcBorders>
              <w:top w:val="nil"/>
              <w:left w:val="nil"/>
              <w:bottom w:val="single" w:color="auto" w:sz="4" w:space="0"/>
              <w:right w:val="single" w:color="auto" w:sz="4" w:space="0"/>
            </w:tcBorders>
            <w:shd w:val="clear" w:color="000000"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一拖三空调；</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2、制冷量：≥16KW；</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3、制热量：≥17KW；</w:t>
            </w:r>
          </w:p>
          <w:p>
            <w:pPr>
              <w:widowControl/>
              <w:jc w:val="left"/>
              <w:rPr>
                <w:rFonts w:hint="eastAsia"/>
                <w:color w:val="auto"/>
                <w:highlight w:val="none"/>
              </w:rPr>
            </w:pPr>
            <w:r>
              <w:rPr>
                <w:rFonts w:hint="eastAsia" w:ascii="仿宋" w:hAnsi="仿宋" w:eastAsia="仿宋" w:cs="仿宋"/>
                <w:color w:val="auto"/>
                <w:kern w:val="0"/>
                <w:sz w:val="24"/>
                <w:szCs w:val="24"/>
                <w:highlight w:val="none"/>
              </w:rPr>
              <w:t>4、能效等级：1级；</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车内照明系统</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LED照明灯，白色；</w:t>
            </w:r>
          </w:p>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灯罩采用PC半透明，左右对称；</w:t>
            </w:r>
          </w:p>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尺寸、外形根据车内布置定制；保证车内会议区照度≥300</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lx</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39</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方舱警示及辅助</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倒车影像</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安装于牵引车驾驶室后部车架上方中部，</w:t>
            </w:r>
            <w:r>
              <w:rPr>
                <w:rFonts w:hint="eastAsia" w:ascii="仿宋" w:hAnsi="仿宋" w:eastAsia="仿宋" w:cs="仿宋"/>
                <w:color w:val="auto"/>
                <w:kern w:val="0"/>
                <w:sz w:val="24"/>
                <w:szCs w:val="24"/>
                <w:highlight w:val="none"/>
                <w:lang w:val="en-US" w:eastAsia="zh-CN"/>
              </w:rPr>
              <w:t>360度全景环视摄像头。</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方舱行车示廓灯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前白后红设置行车工作灯，采用快速插接插件，同步牵引车组合大灯开关开闭</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方舱工作警示灯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黄色LED频闪灯，安装于扩展舱侧围及前后围，用于夜间开启警示过往行人及车辆</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舱体检修灯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1、前部机柜舱上部设备区增加照明灯，机柜内部增加检修灯；</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2、后部增加操作检修灯，开关高度方便操作。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警灯警报</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1、红色长排警灯，配置警报器,功率≥200W；</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2、尺寸根据整车外观尺寸定制。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LED频闪灯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1、平推舱外凸安装，全红爆闪，外侧左右各5组，内侧左右各4组，前后部各1组</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2、翼开门相同布置，分开控制（翼开门驾驶室控制、平推舱机柜控制）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车外LED场地灯</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1、长条LED场地照明，扩展舱左右两侧及前后围安装，用于场地照明及前后围设备检修</w:t>
            </w:r>
            <w:r>
              <w:rPr>
                <w:rFonts w:hint="eastAsia" w:ascii="仿宋" w:hAnsi="仿宋" w:eastAsia="仿宋" w:cs="仿宋"/>
                <w:color w:val="auto"/>
                <w:kern w:val="0"/>
                <w:sz w:val="24"/>
                <w:szCs w:val="24"/>
                <w:highlight w:val="none"/>
                <w:lang w:val="en-US" w:eastAsia="zh-CN"/>
              </w:rPr>
              <w:t>；</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2、平推舱/翼开门外部左右各加装4个长条场地照明灯，整体在配电箱开关控制</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扩展舱展开支撑腿</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地面展开：手动调节支撑，用于扩展舱展开后同地面支撑</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八连杆防雨篷</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手动卷收装置，同面漆颜色定制</w:t>
            </w:r>
            <w:r>
              <w:rPr>
                <w:rFonts w:hint="eastAsia" w:ascii="仿宋" w:hAnsi="仿宋" w:eastAsia="仿宋" w:cs="仿宋"/>
                <w:color w:val="auto"/>
                <w:kern w:val="0"/>
                <w:sz w:val="24"/>
                <w:szCs w:val="24"/>
                <w:highlight w:val="none"/>
                <w:lang w:eastAsia="zh-CN"/>
              </w:rPr>
              <w:t>。</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48</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车体改制及其他</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主厢体骨架</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1、采用钢管及冲筋板结构焊接而成，焊后整体打磨光滑；</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2、重载部位采用高强度钢材，确保厢体整体结构强度；</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3、厢体骨架整体采用阴极电泳处理，确保8年内不锈蚀；</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主厢体蒙皮</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1、蒙皮采用钢板蒙皮</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2、蒙皮采用高强度密封胶密封</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主厢体合拢</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通过数字化骨架合装胎具专用定位工装设备、调运工装设备及专用合装设备，将厢体前围厢板1套、顶厢板1套、后围厢板1套、侧围固定翼开厢板2套、翼开铰链若干、重载翼开控制支撑系统1套（含电控及动力举升机构）等部件进行合拢；</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2、蒙皮安装于骨架两侧、舱壁内灌注聚氨酯泡沫，局部采用轻量化隔热降噪棉，各角采用标准集装箱角组件；</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3、厢体通过重载高精度动力举升部件实现活动舱同固定舱之间配合及开启；</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4、合拢后厢体长≥12m（不含自卸支腿），宽≤2.5m，高≤</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侧厢体骨架</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eastAsia="zh-CN"/>
              </w:rPr>
              <w:t>优质</w:t>
            </w:r>
            <w:r>
              <w:rPr>
                <w:rFonts w:hint="eastAsia" w:ascii="仿宋" w:hAnsi="仿宋" w:eastAsia="仿宋" w:cs="仿宋"/>
                <w:color w:val="auto"/>
                <w:kern w:val="0"/>
                <w:sz w:val="24"/>
                <w:szCs w:val="24"/>
                <w:highlight w:val="none"/>
              </w:rPr>
              <w:t>钢管及冲筋板焊接而成，焊后修整，骨架整体电泳处理，车身防腐五层防护工艺；</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2、重载部位采用高强度钢材，确保厢体整体结构强度；</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3、厢体骨架整体采用阴极电泳处理，确保8年内不锈蚀；</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4、通过制作专用片装工装胎模具，有效保证舱体整体尺寸精度。</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侧厢体蒙皮</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1、蒙皮采用</w:t>
            </w:r>
            <w:r>
              <w:rPr>
                <w:rFonts w:hint="eastAsia" w:ascii="仿宋" w:hAnsi="仿宋" w:eastAsia="仿宋" w:cs="仿宋"/>
                <w:color w:val="auto"/>
                <w:kern w:val="0"/>
                <w:sz w:val="24"/>
                <w:szCs w:val="24"/>
                <w:highlight w:val="none"/>
                <w:lang w:eastAsia="zh-CN"/>
              </w:rPr>
              <w:t>优质钢</w:t>
            </w:r>
            <w:r>
              <w:rPr>
                <w:rFonts w:hint="eastAsia" w:ascii="仿宋" w:hAnsi="仿宋" w:eastAsia="仿宋" w:cs="仿宋"/>
                <w:color w:val="auto"/>
                <w:kern w:val="0"/>
                <w:sz w:val="24"/>
                <w:szCs w:val="24"/>
                <w:highlight w:val="none"/>
              </w:rPr>
              <w:t>板蒙皮，具有耐腐蚀性，控制硬度加工工艺；</w:t>
            </w:r>
            <w:r>
              <w:rPr>
                <w:rFonts w:hint="eastAsia" w:ascii="仿宋" w:hAnsi="仿宋" w:eastAsia="仿宋" w:cs="仿宋"/>
                <w:color w:val="auto"/>
                <w:kern w:val="0"/>
                <w:sz w:val="24"/>
                <w:szCs w:val="24"/>
                <w:highlight w:val="none"/>
              </w:rPr>
              <w:br w:type="textWrapping"/>
            </w:r>
            <w:r>
              <w:rPr>
                <w:rFonts w:hint="eastAsia" w:ascii="仿宋" w:hAnsi="仿宋" w:eastAsia="仿宋" w:cs="仿宋"/>
                <w:color w:val="auto"/>
                <w:kern w:val="0"/>
                <w:sz w:val="24"/>
                <w:szCs w:val="24"/>
                <w:highlight w:val="none"/>
              </w:rPr>
              <w:t>2、蒙皮密封采用黑色密封胶，有效保证蒙皮密封强度及耐候性；</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侧舱厢体合拢</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1、通过数字化骨架合装胎具专用定位工装设备、调运工装设备及专用合装设备，将拓展厢体侧围厢板2套、前后厢板4套、折叠外伸地2套板、随动运行铰链、侧围厢板重载平推连动控制支撑系统等部件进行合拢；</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2、厢体通过重载高精度动力推进部件实现活动舱同固定舱之间配合及开启；</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3、侧舱长≥11m，相对车身外廓展开宽≥2.5m，高≥2.5m。</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方舱扩展机构</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1、侧舱顶壁翻转机构，通过电控液压泵站支撑开闭，液压系统采用低温液压油，耐候性能：工作环境温度至少包含-30°～55°C；</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2、侧舱连杆式支承展开机构，通过电控液压连动平移机构确保侧围板平推展开；</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3、折叠地板收扩及限位机构，通过折叠收折，闭合收起在舱内，开启后下部有效支撑地面，确保舱体地板平稳；</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4、电控及时序控制系统，通过系统面板集中控制，实现舱体整体开闭；</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5、方舱扩展系统动力控制单元安装于舱位中后部，可通过线控手柄、无线及按钮多种操控方式，方便方舱快速布设及撤收。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门骨架（含门及通风格栅）</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1、采用铝合金骨架焊接而成，焊接时通过定位工装进行夹紧固定，焊后修整，通道尺寸≥1800mm×800mm（车前、车尾设备检修门根据设备空间定制尺寸）。</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2、采用挤压成型铝合金骨架焊接而成，确保整体门体平整度及强度要求；</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3、焊接通过定位工装进行夹紧固定，焊后修整，有效控制强度及变形量。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乘客门/检修门</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1、采用整张铝合金板材制作而成；</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val="en-US" w:eastAsia="zh-CN"/>
              </w:rPr>
              <w:t>2、</w:t>
            </w:r>
            <w:r>
              <w:rPr>
                <w:rFonts w:hint="eastAsia" w:ascii="仿宋" w:hAnsi="仿宋" w:eastAsia="仿宋" w:cs="仿宋"/>
                <w:snapToGrid/>
                <w:color w:val="auto"/>
                <w:kern w:val="0"/>
                <w:sz w:val="24"/>
                <w:szCs w:val="24"/>
                <w:highlight w:val="none"/>
                <w:lang w:eastAsia="zh-CN"/>
              </w:rPr>
              <w:t>门锁、铰链及观察窗等孔口数控激光切割一次成型，确保整体加工精度。</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锁紧限位机构</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1、内嵌拉杆式汽车门锁，锁机具有二挡锁止；</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2、锁具安装密封可靠，确保淋雨无渗漏、行车无异响。</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接口板防雨小门</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内嵌安装于接口箱后开门，线束增加悬垂钢丝拉扣，避免长时间悬垂导致线束损坏。</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采光窗</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1、整体成型铝合金推拉式通风采光窗，汽车用钢化玻璃；</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2、玻璃内附深灰色隐私膜，确保会议私密性；</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防蚊纱窗</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与采光窗定制，采用优质防蚊纱和型材边框制作。</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窗帘</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侧窗采用成型上下避光/防蚊两用帘，乘客门采用避光帘</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升降机构</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1、电控液压升降机构，与舱体角组件配合安装，单腿举升力≥10T，配有集中控制单元。</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2、装配高寒用液压泵站，满足寒冷季节有效运行。</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登舱梯</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1、便携折叠人字梯，铝合金材质，带防滑踏步，；</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2、展开高度1.7m（±0.2m），收回高度0.6m（±0.1m）</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3、挂梯安装在半挂车侧裙边固定。</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会议桌</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val="en-US" w:eastAsia="zh-CN"/>
              </w:rPr>
              <w:t>1、</w:t>
            </w:r>
            <w:r>
              <w:rPr>
                <w:rFonts w:hint="eastAsia" w:ascii="仿宋" w:hAnsi="仿宋" w:eastAsia="仿宋" w:cs="仿宋"/>
                <w:snapToGrid/>
                <w:color w:val="auto"/>
                <w:kern w:val="0"/>
                <w:sz w:val="24"/>
                <w:szCs w:val="24"/>
                <w:highlight w:val="none"/>
                <w:lang w:eastAsia="zh-CN"/>
              </w:rPr>
              <w:t>主舱会议桌总体长度≥8.5m；</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2、E0级多层实木，</w:t>
            </w:r>
            <w:r>
              <w:rPr>
                <w:rFonts w:hint="eastAsia" w:ascii="仿宋" w:hAnsi="仿宋" w:eastAsia="仿宋" w:cs="仿宋"/>
                <w:snapToGrid/>
                <w:color w:val="auto"/>
                <w:kern w:val="0"/>
                <w:sz w:val="24"/>
                <w:szCs w:val="24"/>
                <w:highlight w:val="none"/>
                <w:lang w:val="en-US" w:eastAsia="zh-CN"/>
              </w:rPr>
              <w:t>环保材质；</w:t>
            </w:r>
          </w:p>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3、会议桌内嵌安装话筒、接口板等会议功能；</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4、桌体采用高光泽烤漆</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5、通过组装工装夹具，确保会议桌整体装配精度及可靠性</w:t>
            </w:r>
            <w:r>
              <w:rPr>
                <w:rFonts w:hint="eastAsia" w:ascii="仿宋" w:hAnsi="仿宋" w:eastAsia="仿宋" w:cs="仿宋"/>
                <w:snapToGrid/>
                <w:color w:val="auto"/>
                <w:kern w:val="0"/>
                <w:sz w:val="24"/>
                <w:szCs w:val="24"/>
                <w:highlight w:val="none"/>
                <w:lang w:val="en-US" w:eastAsia="zh-CN"/>
              </w:rPr>
              <w:t>；</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6、桌表面亚光水晶桌布，配备桌面插和话筒开孔。</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基础内饰</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1、采用环保内饰板材对厢体内部进行平整处理，表面包覆软包面料；</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2、通过高光烤漆辅助装饰，实现厢体整体会议空间效果；</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3、错层式吊顶安装结构，有效保证顶部空调管线、电器线束的固定及检修空间；</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4、内嵌式贯通式装配灯组、辅助于射灯照明，确保会议照度要求；</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5、会议椅后部可根据客户需求定制文字。</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显示器固定支架</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1、主显示器采用随车固定，中部主显示器可可折叠随车运输；</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2、辅显示器采用可拆挂架随车固定，随车运输。</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67</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地板革</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仿木纹地板革，颜色根据客户需要定制。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68</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储物柜</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1、E0级多层实木板材，环保材质，桃木纹纹理，高光烤漆处理；</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2、尺寸根据车内空间定制。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69</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可滑动会议椅</w:t>
            </w:r>
          </w:p>
        </w:tc>
        <w:tc>
          <w:tcPr>
            <w:tcW w:w="5272" w:type="dxa"/>
            <w:tcBorders>
              <w:top w:val="nil"/>
              <w:left w:val="nil"/>
              <w:bottom w:val="single" w:color="auto" w:sz="4" w:space="0"/>
              <w:right w:val="single" w:color="auto" w:sz="4" w:space="0"/>
            </w:tcBorders>
            <w:shd w:val="clear" w:color="000000"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1、皮革会议座椅，灰皮革材质，带头枕及软包扶手；</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2、会议桌两侧固定式安装，可前后滑动、椅背可调节；</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3、尺寸根据车内空间定制，颜色根据客户需要定制。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shd w:val="clear" w:fill="auto"/>
                <w:lang w:val="en-US" w:eastAsia="zh-CN"/>
              </w:rPr>
              <w:t>20</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张</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70</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主座椅</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1、真皮会议座椅，商务灰真材质，带头枕及软包扶手；</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val="en-US" w:eastAsia="zh-CN"/>
              </w:rPr>
              <w:t>2</w:t>
            </w:r>
            <w:r>
              <w:rPr>
                <w:rFonts w:hint="eastAsia" w:ascii="仿宋" w:hAnsi="仿宋" w:eastAsia="仿宋" w:cs="仿宋"/>
                <w:snapToGrid/>
                <w:color w:val="auto"/>
                <w:kern w:val="0"/>
                <w:sz w:val="24"/>
                <w:szCs w:val="24"/>
                <w:highlight w:val="none"/>
                <w:lang w:eastAsia="zh-CN"/>
              </w:rPr>
              <w:t>、可旋转、前后调节，靠背可调，颜色根据客户需要定制。</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张</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71</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设备机柜</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val="en-US" w:eastAsia="zh-CN"/>
              </w:rPr>
              <w:t>1、</w:t>
            </w:r>
            <w:r>
              <w:rPr>
                <w:rFonts w:hint="eastAsia" w:ascii="仿宋" w:hAnsi="仿宋" w:eastAsia="仿宋" w:cs="仿宋"/>
                <w:snapToGrid/>
                <w:color w:val="auto"/>
                <w:kern w:val="0"/>
                <w:sz w:val="24"/>
                <w:szCs w:val="24"/>
                <w:highlight w:val="none"/>
                <w:lang w:eastAsia="zh-CN"/>
              </w:rPr>
              <w:t>≥19寸标准机柜，采用钢板折弯组焊而成，表面喷塑处理；</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2、定制机柜附件和机柜散热风扇；</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72</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减震器</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定制，胶减震垫；采用橡胶和金属复合而成。</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73</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空调风道</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1、整体式导风风道，有效保证出风顺畅性；</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2、模具一次挤出成型出风口，出风均匀舒适；</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3、风道底部辅助E0级环保板材，包覆内饰专用面料进行装饰，可擦洗清洁；</w:t>
            </w:r>
            <w:r>
              <w:rPr>
                <w:rFonts w:hint="eastAsia" w:ascii="仿宋" w:hAnsi="仿宋" w:eastAsia="仿宋" w:cs="仿宋"/>
                <w:snapToGrid/>
                <w:color w:val="auto"/>
                <w:kern w:val="0"/>
                <w:sz w:val="24"/>
                <w:szCs w:val="24"/>
                <w:highlight w:val="none"/>
                <w:lang w:eastAsia="zh-CN"/>
              </w:rPr>
              <w:br w:type="textWrapping"/>
            </w:r>
            <w:r>
              <w:rPr>
                <w:rFonts w:hint="eastAsia" w:ascii="仿宋" w:hAnsi="仿宋" w:eastAsia="仿宋" w:cs="仿宋"/>
                <w:snapToGrid/>
                <w:color w:val="auto"/>
                <w:kern w:val="0"/>
                <w:sz w:val="24"/>
                <w:szCs w:val="24"/>
                <w:highlight w:val="none"/>
                <w:lang w:eastAsia="zh-CN"/>
              </w:rPr>
              <w:t>4、风道顶部内嵌安装空调蒸发器机组，通过整体成型导风部件、风路循环及布置设计，确保会议空间制冷降温效果及均衡性。</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74</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杂件及辅料</w:t>
            </w:r>
          </w:p>
        </w:tc>
        <w:tc>
          <w:tcPr>
            <w:tcW w:w="5272" w:type="dxa"/>
            <w:tcBorders>
              <w:top w:val="nil"/>
              <w:left w:val="nil"/>
              <w:bottom w:val="single" w:color="auto" w:sz="4" w:space="0"/>
              <w:right w:val="single" w:color="auto" w:sz="4" w:space="0"/>
            </w:tcBorders>
            <w:shd w:val="clear" w:color="auto" w:fill="auto"/>
            <w:vAlign w:val="center"/>
          </w:tcPr>
          <w:p>
            <w:pPr>
              <w:widowControl/>
              <w:shd w:val="clear"/>
              <w:kinsoku/>
              <w:autoSpaceDE/>
              <w:autoSpaceDN/>
              <w:adjustRightInd/>
              <w:snapToGrid/>
              <w:jc w:val="left"/>
              <w:textAlignment w:val="auto"/>
              <w:rPr>
                <w:rFonts w:hint="eastAsia" w:ascii="仿宋" w:hAnsi="仿宋" w:eastAsia="仿宋" w:cs="仿宋"/>
                <w:snapToGrid/>
                <w:color w:val="auto"/>
                <w:kern w:val="0"/>
                <w:sz w:val="24"/>
                <w:szCs w:val="24"/>
                <w:highlight w:val="none"/>
                <w:lang w:eastAsia="zh-CN"/>
              </w:rPr>
            </w:pPr>
            <w:r>
              <w:rPr>
                <w:rFonts w:hint="eastAsia" w:ascii="仿宋" w:hAnsi="仿宋" w:eastAsia="仿宋" w:cs="仿宋"/>
                <w:snapToGrid/>
                <w:color w:val="auto"/>
                <w:kern w:val="0"/>
                <w:sz w:val="24"/>
                <w:szCs w:val="24"/>
                <w:highlight w:val="none"/>
                <w:lang w:eastAsia="zh-CN"/>
              </w:rPr>
              <w:t>包括专用胶类、小型五金件、标准件、密封条、压条、固定支架等。</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75</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整车油漆</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外观装饰及喷涂，含颜料、金属油漆烤漆、贴纸等，需符合《国家综合性消防救援车辆外观制式涂装规范》涂装要求。</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76</w:t>
            </w:r>
          </w:p>
        </w:tc>
        <w:tc>
          <w:tcPr>
            <w:tcW w:w="960"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系统集成辅材</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定制，含各类线束、接头、插接件等。</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77</w:t>
            </w:r>
          </w:p>
        </w:tc>
        <w:tc>
          <w:tcPr>
            <w:tcW w:w="960"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会议辅助设施</w:t>
            </w:r>
          </w:p>
        </w:tc>
        <w:tc>
          <w:tcPr>
            <w:tcW w:w="967"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折叠会议椅</w:t>
            </w:r>
          </w:p>
        </w:tc>
        <w:tc>
          <w:tcPr>
            <w:tcW w:w="5272" w:type="dxa"/>
            <w:tcBorders>
              <w:top w:val="nil"/>
              <w:left w:val="nil"/>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定制，可折叠，带扶手，数量：≥40张</w:t>
            </w:r>
          </w:p>
        </w:tc>
        <w:tc>
          <w:tcPr>
            <w:tcW w:w="705"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40</w:t>
            </w:r>
          </w:p>
        </w:tc>
        <w:tc>
          <w:tcPr>
            <w:tcW w:w="732" w:type="dxa"/>
            <w:tcBorders>
              <w:top w:val="nil"/>
              <w:left w:val="nil"/>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张</w:t>
            </w:r>
          </w:p>
        </w:tc>
      </w:tr>
      <w:tr>
        <w:tblPrEx>
          <w:tblCellMar>
            <w:top w:w="0" w:type="dxa"/>
            <w:left w:w="108" w:type="dxa"/>
            <w:bottom w:w="0" w:type="dxa"/>
            <w:right w:w="108" w:type="dxa"/>
          </w:tblCellMar>
        </w:tblPrEx>
        <w:trPr>
          <w:trHeight w:val="0" w:hRule="atLeast"/>
          <w:jc w:val="center"/>
        </w:trPr>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78</w:t>
            </w: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折叠工作台</w:t>
            </w:r>
          </w:p>
        </w:tc>
        <w:tc>
          <w:tcPr>
            <w:tcW w:w="5272" w:type="dxa"/>
            <w:tcBorders>
              <w:top w:val="single" w:color="auto" w:sz="4" w:space="0"/>
              <w:left w:val="single" w:color="auto" w:sz="4" w:space="0"/>
              <w:bottom w:val="single" w:color="auto" w:sz="4" w:space="0"/>
              <w:right w:val="single" w:color="auto" w:sz="4" w:space="0"/>
            </w:tcBorders>
            <w:shd w:val="clear" w:color="auto" w:fill="auto"/>
            <w:vAlign w:val="center"/>
          </w:tcPr>
          <w:p>
            <w:pPr>
              <w:pStyle w:val="12"/>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可搬移，尺寸</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1</w:t>
            </w:r>
            <w:r>
              <w:rPr>
                <w:rFonts w:hint="eastAsia" w:ascii="仿宋" w:hAnsi="仿宋" w:eastAsia="仿宋" w:cs="仿宋"/>
                <w:color w:val="auto"/>
                <w:kern w:val="0"/>
                <w:sz w:val="24"/>
                <w:szCs w:val="24"/>
                <w:highlight w:val="none"/>
              </w:rPr>
              <w:t>400*500左右，数量：≥</w:t>
            </w:r>
            <w:r>
              <w:rPr>
                <w:rFonts w:hint="eastAsia" w:ascii="仿宋" w:hAnsi="仿宋" w:eastAsia="仿宋" w:cs="仿宋"/>
                <w:color w:val="auto"/>
                <w:kern w:val="0"/>
                <w:sz w:val="24"/>
                <w:szCs w:val="24"/>
                <w:highlight w:val="none"/>
                <w:lang w:val="en-US" w:eastAsia="zh-CN"/>
              </w:rPr>
              <w:t>3</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w:t>
            </w:r>
          </w:p>
        </w:tc>
        <w:tc>
          <w:tcPr>
            <w:tcW w:w="7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r>
        <w:tblPrEx>
          <w:tblCellMar>
            <w:top w:w="0" w:type="dxa"/>
            <w:left w:w="108" w:type="dxa"/>
            <w:bottom w:w="0" w:type="dxa"/>
            <w:right w:w="108" w:type="dxa"/>
          </w:tblCellMar>
        </w:tblPrEx>
        <w:trPr>
          <w:trHeight w:val="0" w:hRule="atLeast"/>
          <w:jc w:val="center"/>
        </w:trPr>
        <w:tc>
          <w:tcPr>
            <w:tcW w:w="836"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79</w:t>
            </w:r>
          </w:p>
        </w:tc>
        <w:tc>
          <w:tcPr>
            <w:tcW w:w="960" w:type="dxa"/>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防滑链</w:t>
            </w:r>
          </w:p>
        </w:tc>
        <w:tc>
          <w:tcPr>
            <w:tcW w:w="967"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防滑链</w:t>
            </w:r>
          </w:p>
        </w:tc>
        <w:tc>
          <w:tcPr>
            <w:tcW w:w="527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全车轮胎需配备防护链</w:t>
            </w:r>
          </w:p>
        </w:tc>
        <w:tc>
          <w:tcPr>
            <w:tcW w:w="70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732"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套</w:t>
            </w:r>
          </w:p>
        </w:tc>
      </w:tr>
    </w:tbl>
    <w:p>
      <w:pPr>
        <w:rPr>
          <w:color w:val="auto"/>
          <w:highlight w:val="none"/>
        </w:rPr>
      </w:pPr>
    </w:p>
    <w:p>
      <w:pPr>
        <w:pStyle w:val="61"/>
        <w:adjustRightInd w:val="0"/>
        <w:snapToGrid w:val="0"/>
        <w:spacing w:line="600" w:lineRule="exact"/>
        <w:ind w:firstLine="0" w:firstLineChars="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四、其他</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b/>
          <w:bCs/>
          <w:color w:val="auto"/>
          <w:sz w:val="24"/>
          <w:szCs w:val="24"/>
          <w:highlight w:val="none"/>
          <w:lang w:eastAsia="zh-CN"/>
        </w:rPr>
      </w:pPr>
      <w:r>
        <w:rPr>
          <w:rFonts w:hint="eastAsia" w:ascii="Times New Roman" w:hAnsi="Times New Roman" w:eastAsia="方正仿宋_GBK"/>
          <w:b/>
          <w:bCs/>
          <w:color w:val="auto"/>
          <w:sz w:val="24"/>
          <w:szCs w:val="24"/>
          <w:highlight w:val="none"/>
          <w:lang w:eastAsia="zh-CN"/>
        </w:rPr>
        <w:t>4.1总体要求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4.1.1整车符合GB7956.1-2014《消防车 第1部分：通用技术条件》；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4.1.2车身颜色符合GB/T3181-2008中规定的R03红色，符合《国务院办公厅关于国家综合性消防救援车辆悬挂应急救援专用号牌有关事项的通知》（国办发【2018】114号）、《消防救援局关于做好消防救援车辆外观制式涂装工作的通知》（应急消【2019】76号）等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4.1.3防腐保护：驾乘室及上装均采用内涂层等进行防腐处理；</w:t>
      </w:r>
    </w:p>
    <w:p>
      <w:pPr>
        <w:keepNext w:val="0"/>
        <w:keepLines w:val="0"/>
        <w:pageBreakBefore w:val="0"/>
        <w:widowControl w:val="0"/>
        <w:kinsoku/>
        <w:wordWrap/>
        <w:overflowPunct/>
        <w:topLinePunct w:val="0"/>
        <w:autoSpaceDE/>
        <w:autoSpaceDN/>
        <w:bidi w:val="0"/>
        <w:adjustRightInd/>
        <w:snapToGrid/>
        <w:spacing w:line="480" w:lineRule="exact"/>
        <w:ind w:firstLine="241" w:firstLineChars="100"/>
        <w:jc w:val="left"/>
        <w:textAlignment w:val="auto"/>
        <w:rPr>
          <w:rFonts w:hint="eastAsia" w:ascii="Times New Roman" w:hAnsi="Times New Roman" w:eastAsia="方正仿宋_GBK"/>
          <w:b/>
          <w:bCs/>
          <w:color w:val="auto"/>
          <w:sz w:val="24"/>
          <w:szCs w:val="24"/>
          <w:highlight w:val="none"/>
          <w:lang w:eastAsia="zh-CN"/>
        </w:rPr>
      </w:pPr>
      <w:r>
        <w:rPr>
          <w:rFonts w:hint="eastAsia" w:ascii="Times New Roman" w:hAnsi="Times New Roman" w:eastAsia="方正仿宋_GBK"/>
          <w:b/>
          <w:bCs/>
          <w:color w:val="auto"/>
          <w:sz w:val="24"/>
          <w:szCs w:val="24"/>
          <w:highlight w:val="none"/>
          <w:lang w:eastAsia="zh-CN"/>
        </w:rPr>
        <w:t>4.2其他要求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4.2.1整车按国家标准配齐随车设备，设备布置合理，固定牢靠：</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4.2.2供货前，须主动对接使用单位，满足用户需求；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Times New Roman" w:hAnsi="Times New Roman" w:eastAsia="方正仿宋_GBK"/>
          <w:color w:val="auto"/>
          <w:sz w:val="24"/>
          <w:szCs w:val="24"/>
          <w:highlight w:val="none"/>
          <w:lang w:eastAsia="zh-CN"/>
        </w:rPr>
      </w:pPr>
      <w:r>
        <w:rPr>
          <w:rFonts w:hint="eastAsia" w:ascii="Times New Roman" w:hAnsi="Times New Roman" w:eastAsia="方正仿宋_GBK"/>
          <w:color w:val="auto"/>
          <w:sz w:val="24"/>
          <w:szCs w:val="24"/>
          <w:highlight w:val="none"/>
          <w:lang w:eastAsia="zh-CN"/>
        </w:rPr>
        <w:t>4.2.3交付使用单位时，燃油等添加液处于满液状态。</w:t>
      </w:r>
    </w:p>
    <w:p>
      <w:pPr>
        <w:rPr>
          <w:rFonts w:hint="eastAsia" w:ascii="仿宋" w:hAnsi="仿宋" w:eastAsia="仿宋"/>
          <w:color w:val="auto"/>
          <w:highlight w:val="none"/>
        </w:rPr>
      </w:pPr>
      <w:r>
        <w:rPr>
          <w:rFonts w:hint="eastAsia" w:ascii="仿宋" w:hAnsi="仿宋" w:eastAsia="仿宋"/>
          <w:color w:val="auto"/>
          <w:highlight w:val="none"/>
        </w:rPr>
        <w:br w:type="page"/>
      </w:r>
    </w:p>
    <w:p>
      <w:pPr>
        <w:pStyle w:val="4"/>
        <w:spacing w:line="240" w:lineRule="auto"/>
        <w:jc w:val="center"/>
        <w:outlineLvl w:val="2"/>
        <w:rPr>
          <w:rFonts w:ascii="Times New Roman" w:hAnsi="Times New Roman" w:eastAsia="仿宋" w:cs="Times New Roman"/>
          <w:b/>
          <w:bCs/>
          <w:color w:val="auto"/>
          <w:sz w:val="32"/>
          <w:szCs w:val="32"/>
          <w:highlight w:val="none"/>
        </w:rPr>
      </w:pPr>
      <w:bookmarkStart w:id="382" w:name="_Toc31128"/>
      <w:bookmarkStart w:id="383" w:name="_Toc10411"/>
      <w:bookmarkStart w:id="384" w:name="_Toc12629"/>
      <w:bookmarkStart w:id="385" w:name="_Toc6858"/>
      <w:r>
        <w:rPr>
          <w:rFonts w:ascii="Times New Roman" w:hAnsi="Times New Roman" w:eastAsia="仿宋" w:cs="Times New Roman"/>
          <w:b/>
          <w:bCs/>
          <w:color w:val="auto"/>
          <w:sz w:val="32"/>
          <w:szCs w:val="32"/>
          <w:highlight w:val="none"/>
        </w:rPr>
        <w:t>（二）商务要求</w:t>
      </w:r>
      <w:bookmarkEnd w:id="382"/>
      <w:bookmarkEnd w:id="383"/>
      <w:bookmarkEnd w:id="384"/>
      <w:bookmarkEnd w:id="385"/>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1、交货地点</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先送到江西省消防救援总队指定地点进行验收，验收通过后再配送至各消防救援支队或消防救援大队指定地点。</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2、交货期限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自合同签订生效之日起 5 个月（采用进口底盘的车辆交货期为 10个月）内必须将所投产品送到江西省消防救援总队指定地点（以采购人到货签收时间作为交货时间），验收合格后由中标人配送至各消防救援支队或消防救援大队指定地点。</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3、付款方式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待验收通过后，采购人先支付合同金额90%的款项（中标人应提供合格的发票），结算审计完成后，再一次性支付剩余款项，两次支付款项总金额等于结算审计金额。</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4、履约保证金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 履约保证金缴纳金额：合同总价7%作为履约保证金【履约保证金接受保函形式递交】。</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 履约保证金缴纳方式和时间(具体以合同签订时约定为准)：</w:t>
      </w:r>
    </w:p>
    <w:p>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4.2.1 公对公转账方式：在合同签订后 7 个工作日之内中标人将履约保证金递交至采购人指定账号；</w:t>
      </w:r>
    </w:p>
    <w:p>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4.2.2 银行保函方式：在合同签订后 30 日之内递交至采购人【保函有效期需与质保期到期时间一致】。</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 履约保证金在质保期满后，无任何问题，且无合同纠纷的，经中标人书面申请，无息退还履约保证金（质保期以中标人实际响应为准）。以保函形式递交履约保证金的，保函有效期需至质保期结束，质保期结束后保函自动作废，但中标人尚应配合采购人履行书面手续，为采购人财务部门及时处理账务提供书面依据。</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5、报价方式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投标报价均以人民币/元报价，投标人报价须包含所有货物、材料、运输、转运、辅材、安装、施工、调试、验收、培训、现场回访、实地巡检、税金、招标代理服务费等费用均包含在投标总价中。</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6、安装及调试、验收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 中标人应派经采购人认可的有经验和能力、具有相应资质的技术人员，负责产品安装工作，在产品安装期间应充分了解产品安装、调试进度要求，解决安装、调试中出现的技术问题。</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 安装、调试所需专用工具设施物料由中标人自备、自费运到现场，完工后自费搬走。</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 产品的拆箱、通电、调试等各项工作由中标人负责，但必须在采购人指定人员的参与下进行。在实际实施前必须先经采购人同意。</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6.4 所有的产品按照国家有关技术标准在制造厂检查和试验合格（须具有产品出厂合格证），以表明其运行性能、安全性能以及设备材料和结构在电气、机械上的完整性。</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 严格按照国家有关规范标准及江西省消防救援总队装备验收的要求组织验收。</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7、培训与监督</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7.1 中标人应提供产品的功能、使用方法、技术参数、常见问题解决方法等书面材料，并确保用户获知产品序列号、型号名称、版本号以及配合使用的主要设备品牌、型号和版本等信息。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7.2 交货时，中标人应免费组织用户开展操作使用培训，使之熟练掌握操作规程、使用方法和注意事项，并经采购人签字确认后方可移交。</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7.3 每年不少于 1 次实地巡检，及时掌握产品使用情况，以及产品的故障、缺陷情况，及时给予维修保养，并建立预警系统，保证售后服务及时性。</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7.4 中标人应主动与采购人建立联勤联动机制，遇有重大灾害事故处置，要快速响应，选派素质好、业务精的人员遂行技术保障，提供技术支持、现场抢修等应急技术服务。（注：中标人参与采购人联勤联动行动所产生的费用支出由中标人自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 中标人应提供服务技术规范，采购人可获得有关维修等级、所需时间、工时计算项目、配件价格的信息。</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8、质保期及售后服务</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（一）售后服务</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 中标人应主动协助使用方对产品进行检验，其中包括查验车辆发动机号、底盘号，交付所有证件、工具和主、副钥匙，并提供足以保证车辆能行驶至附近加油站的油料。</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 中标人承诺在质保期内对所提供产品实施运行监督、维修，但该服务并不能免除中标人在质保期内应承担的义务；在质保期与保修期内，中标人必须提供至少1次免费上门首保服务,主动协助采购人做好产品的保养（包括车辆走合等）。提供 7×24 小时服务电话，车辆发生质量、故障、事故问题时，须在 4 小时内做出回应，维修人员在 24 小时内到达现场并解决问题，并应主动与生产厂家联系解决索赔问题。如中标人未在约定的时间内作出回应或解决问题，采购人有权委托第三方处理，因此产生的费用或给采购人造成的损失由中标人承担。</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8.3 产品在使用过程中如零部件发生丢失和损坏，中标人须负责采购人按优惠价格配到原厂生产的优质零部件。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8.4 中标人在质保期内收到采购人维修通知后，负责对产品进行免费维修、更换有缺陷的零部件、直至更换产品。</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8.5 如果中标人在质保期内收到维修通知后，没有为采购人弥补缺陷、更换零部件，采购人可采取必要的补救措施，但风险和费用将由中标人承担。</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8.6 产品必须配有中文说明书,并提供电子版文档。说明书应包括装备周期性检查及维护保养的详细说明，并提供产品操作使用和检查维护的音视频资料。同时提供全寿命周期易损件、消耗品、随车器材、工具等型号规格清单。相关资料要归档编制目录，并做好档案保管和移交等工作。</w:t>
      </w:r>
    </w:p>
    <w:p>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（二）质量保证和保修</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8.7 中标人提供的产品（含底盘）须提供整体不少于 3 年质保期。产品按保养手册执行。完全符合合同规定的质量、规格和性能的要求。保证所提供的产品经正确安装、正常运转和保养，在其使用寿命期内应具有使采购人满意的性能，并且确保一次性通过各项检验和测试。产品最终验收后，在质保期内，中标人应对由于设计、工艺或材料的缺陷而发生的任何不足或故障负责，费用由中标人负担。</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8.8 车辆车身漆面应清洁光亮，不得有脱漆、划痕和瘪窝。</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8.9 车辆内部的座椅及其他内饰件应完整清洁，不得有划伤、污点，使用时应方便灵活；车辆内、外部的灯光应齐全、有效；效果应达到国家标准；车辆在行驶过程中不得有异常响声，制动（包括手制动）、转向应灵活、有效；汽车的动力性能和经济性能应符合设计要求；尾气排放应符合国家标准。</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8.10 在质保期内，如果产品的质量存在是有缺陷的，包括潜在的缺陷或使用不符合要求的材料等，采购人应在 10 个工作日内以书面形式通知中标人，提出索赔。对于小型缺陷，卖方在收到通知后，应在 7 日内，用与投标时采用的零件、部件或材料来更换有缺陷的或不符合要求的零件、部件或材料，同时相应延长质保期；对于重大缺陷，卖方在收到通知后，应在 7 日内，更换合格的产品（同时相应延长质保期）或做退货处理，并承担给买方造成的损失。</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8.11 质保期限以外，中标人为所提供的产品（含底盘）提供不少于 5 年的保修期，提供全寿命周期的主要耗损件、易损件及更换总成的目录和年度价格清单，保证供应且价格合理。在超出保修服务期限后的每次售后服务，中标人可以按照一定标准收取相应的维修费用、更换零部件费用和升级费用。售后服务结束两个星期后，采购人确认签字，完成本次售后服务。超出保修期产品作出的收费维修部分的保修期不应低于 12 个月。</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9、其它要求</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9.1 中标人在交货时须提供所投车辆相对应的工信部公告查询截图（</w:t>
      </w:r>
      <w:r>
        <w:rPr>
          <w:rFonts w:hint="eastAsia" w:ascii="仿宋" w:hAnsi="仿宋" w:eastAsia="仿宋" w:cs="仿宋"/>
          <w:b/>
          <w:bCs/>
          <w:color w:val="auto"/>
          <w:sz w:val="24"/>
          <w:szCs w:val="24"/>
          <w:highlight w:val="none"/>
          <w:lang w:val="en-US" w:eastAsia="zh-CN"/>
        </w:rPr>
        <w:t>21包指挥通信车应提供通信指挥消防车的公告</w:t>
      </w:r>
      <w:r>
        <w:rPr>
          <w:rFonts w:hint="eastAsia" w:ascii="仿宋" w:hAnsi="仿宋" w:eastAsia="仿宋" w:cs="仿宋"/>
          <w:color w:val="auto"/>
          <w:sz w:val="24"/>
          <w:szCs w:val="24"/>
          <w:highlight w:val="none"/>
          <w:lang w:val="en-US" w:eastAsia="zh-CN"/>
        </w:rPr>
        <w:t>）配合采购人完成应急救援专用号牌上牌，如中标人未提供或者提供虚假材料的，采购人有权终止合同，并没收其履约保证金，由此产生的费用由中标人承担，给采购人造成损失的中标人还应承担全部赔偿责任。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9.2 中标人在交货前须在应急管理部消防救援局装备物资信息采集系统(http://xfzb.119.gov.cn/html/index.html)录入装备基础信息，申请装备唯一编码，并按照应急管理部消防救援局装备物资管理的相关标准要求，赋上二维码及 RFID 标签，且由此所产生的费用包含在投标报价内。操作流程详见附件。</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9.3 中标人应保证采购人不受第三方提出侵犯其专利权、商标权和设计权的起诉。如果任何第三方提出侵权指控或赔偿要求，中标人必须与第三方交涉，并承担发生和可能发生的一切损失、费用和法律责任。</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9.4 如果所投车辆采用进口零部件，且零部件享受《关于国家综合性消防救援队伍进口税收政策的通知》（财关税〔2023〕17 号），中标人应积极配合采购人办理相关免税手续，最后将免税后金额作为合同金额。</w:t>
      </w:r>
    </w:p>
    <w:p>
      <w:pPr>
        <w:spacing w:line="520" w:lineRule="exact"/>
        <w:ind w:firstLine="480"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9.5投标人承诺对于“▲”参数和一般参数正偏离响应，在验收时应提供具有相关检测资质单位出具的检测报告进行佐证，对于无法现场衡量且无法通过检测报告佐证的正偏离响应，应提供能充分证明响应参数的佐证材料。</w:t>
      </w:r>
    </w:p>
    <w:p>
      <w:pPr>
        <w:spacing w:line="52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注：以上</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商务要求</w:t>
      </w:r>
      <w:r>
        <w:rPr>
          <w:rFonts w:hint="eastAsia" w:eastAsia="仿宋"/>
          <w:b/>
          <w:bCs/>
          <w:color w:val="auto"/>
          <w:spacing w:val="2"/>
          <w:kern w:val="0"/>
          <w:sz w:val="24"/>
          <w:szCs w:val="24"/>
          <w:highlight w:val="none"/>
          <w:lang w:eastAsia="zh-CN"/>
        </w:rPr>
        <w:t>”</w:t>
      </w:r>
      <w:r>
        <w:rPr>
          <w:rFonts w:eastAsia="仿宋"/>
          <w:b/>
          <w:bCs/>
          <w:color w:val="auto"/>
          <w:spacing w:val="2"/>
          <w:kern w:val="0"/>
          <w:sz w:val="24"/>
          <w:szCs w:val="24"/>
          <w:highlight w:val="none"/>
        </w:rPr>
        <w:t>为实质性条款须完全响应，否则投标无效。</w:t>
      </w:r>
    </w:p>
    <w:p>
      <w:pPr>
        <w:spacing w:line="240" w:lineRule="auto"/>
        <w:rPr>
          <w:rFonts w:eastAsia="仿宋"/>
          <w:b/>
          <w:bCs/>
          <w:color w:val="auto"/>
          <w:spacing w:val="2"/>
          <w:kern w:val="0"/>
          <w:sz w:val="24"/>
          <w:szCs w:val="24"/>
          <w:highlight w:val="none"/>
        </w:rPr>
      </w:pPr>
      <w:r>
        <w:rPr>
          <w:rFonts w:eastAsia="仿宋"/>
          <w:b/>
          <w:bCs/>
          <w:color w:val="auto"/>
          <w:spacing w:val="2"/>
          <w:kern w:val="0"/>
          <w:sz w:val="24"/>
          <w:szCs w:val="24"/>
          <w:highlight w:val="none"/>
        </w:rPr>
        <w:br w:type="page"/>
      </w:r>
    </w:p>
    <w:p>
      <w:pPr>
        <w:spacing w:line="460" w:lineRule="exact"/>
        <w:rPr>
          <w:rFonts w:eastAsia="仿宋"/>
          <w:b/>
          <w:bCs/>
          <w:color w:val="auto"/>
          <w:spacing w:val="2"/>
          <w:kern w:val="0"/>
          <w:sz w:val="24"/>
          <w:szCs w:val="24"/>
          <w:highlight w:val="none"/>
        </w:rPr>
      </w:pPr>
      <w:r>
        <w:rPr>
          <w:rFonts w:eastAsia="仿宋"/>
          <w:b/>
          <w:bCs/>
          <w:color w:val="auto"/>
          <w:spacing w:val="2"/>
          <w:kern w:val="0"/>
          <w:sz w:val="24"/>
          <w:szCs w:val="24"/>
          <w:highlight w:val="none"/>
        </w:rPr>
        <w:t>附件：</w:t>
      </w:r>
    </w:p>
    <w:p>
      <w:pPr>
        <w:spacing w:line="460" w:lineRule="exact"/>
        <w:jc w:val="center"/>
        <w:rPr>
          <w:rFonts w:eastAsia="仿宋"/>
          <w:b/>
          <w:bCs/>
          <w:color w:val="auto"/>
          <w:sz w:val="24"/>
          <w:szCs w:val="24"/>
          <w:highlight w:val="none"/>
        </w:rPr>
      </w:pPr>
      <w:r>
        <w:rPr>
          <w:rFonts w:eastAsia="仿宋"/>
          <w:b/>
          <w:bCs/>
          <w:color w:val="auto"/>
          <w:sz w:val="24"/>
          <w:szCs w:val="24"/>
          <w:highlight w:val="none"/>
        </w:rPr>
        <w:t>企业申请装备二维码及RFID电子标签流程</w:t>
      </w:r>
    </w:p>
    <w:p>
      <w:pPr>
        <w:spacing w:line="460" w:lineRule="exact"/>
        <w:jc w:val="center"/>
        <w:rPr>
          <w:rFonts w:eastAsia="仿宋"/>
          <w:b/>
          <w:bCs/>
          <w:color w:val="auto"/>
          <w:sz w:val="24"/>
          <w:szCs w:val="24"/>
          <w:highlight w:val="none"/>
        </w:rPr>
      </w:pPr>
    </w:p>
    <w:p>
      <w:pPr>
        <w:spacing w:line="460" w:lineRule="exact"/>
        <w:rPr>
          <w:rFonts w:eastAsia="仿宋"/>
          <w:color w:val="auto"/>
          <w:sz w:val="24"/>
          <w:szCs w:val="24"/>
          <w:highlight w:val="none"/>
        </w:rPr>
      </w:pPr>
      <w:r>
        <w:rPr>
          <w:rFonts w:eastAsia="仿宋"/>
          <w:color w:val="auto"/>
          <w:sz w:val="24"/>
          <w:szCs w:val="24"/>
          <w:highlight w:val="none"/>
        </w:rPr>
        <w:t>第一步：进入系统地址：</w:t>
      </w:r>
      <w:r>
        <w:rPr>
          <w:color w:val="auto"/>
          <w:highlight w:val="none"/>
        </w:rPr>
        <w:fldChar w:fldCharType="begin"/>
      </w:r>
      <w:r>
        <w:rPr>
          <w:color w:val="auto"/>
          <w:highlight w:val="none"/>
        </w:rPr>
        <w:instrText xml:space="preserve"> HYPERLINK "http://xfzb.119.gov.cn/html/index.html" </w:instrText>
      </w:r>
      <w:r>
        <w:rPr>
          <w:color w:val="auto"/>
          <w:highlight w:val="none"/>
        </w:rPr>
        <w:fldChar w:fldCharType="separate"/>
      </w:r>
      <w:r>
        <w:rPr>
          <w:rStyle w:val="48"/>
          <w:rFonts w:eastAsia="仿宋"/>
          <w:color w:val="auto"/>
          <w:sz w:val="24"/>
          <w:szCs w:val="24"/>
          <w:highlight w:val="none"/>
        </w:rPr>
        <w:t>http://xfzb.119.gov.cn/html/index.html</w:t>
      </w:r>
      <w:r>
        <w:rPr>
          <w:rStyle w:val="48"/>
          <w:rFonts w:eastAsia="仿宋"/>
          <w:color w:val="auto"/>
          <w:sz w:val="24"/>
          <w:szCs w:val="24"/>
          <w:highlight w:val="none"/>
        </w:rPr>
        <w:fldChar w:fldCharType="end"/>
      </w:r>
      <w:r>
        <w:rPr>
          <w:rFonts w:eastAsia="仿宋"/>
          <w:color w:val="auto"/>
          <w:sz w:val="24"/>
          <w:szCs w:val="24"/>
          <w:highlight w:val="none"/>
        </w:rPr>
        <w:t>（建议使用360浏览器极速模式、chrome等现代浏览器）；</w:t>
      </w:r>
    </w:p>
    <w:p>
      <w:pPr>
        <w:spacing w:line="460" w:lineRule="exact"/>
        <w:rPr>
          <w:rFonts w:eastAsia="仿宋"/>
          <w:color w:val="auto"/>
          <w:sz w:val="24"/>
          <w:szCs w:val="24"/>
          <w:highlight w:val="none"/>
        </w:rPr>
      </w:pPr>
      <w:r>
        <w:rPr>
          <w:rFonts w:eastAsia="仿宋"/>
          <w:color w:val="auto"/>
          <w:sz w:val="24"/>
          <w:szCs w:val="24"/>
          <w:highlight w:val="none"/>
        </w:rPr>
        <w:t>第二步：注册企业账号及填写企业信息提交审核；</w:t>
      </w:r>
    </w:p>
    <w:p>
      <w:pPr>
        <w:spacing w:line="460" w:lineRule="exact"/>
        <w:rPr>
          <w:rFonts w:eastAsia="仿宋"/>
          <w:color w:val="auto"/>
          <w:sz w:val="24"/>
          <w:szCs w:val="24"/>
          <w:highlight w:val="none"/>
        </w:rPr>
      </w:pPr>
      <w:r>
        <w:rPr>
          <w:rFonts w:eastAsia="仿宋"/>
          <w:color w:val="auto"/>
          <w:sz w:val="24"/>
          <w:szCs w:val="24"/>
          <w:highlight w:val="none"/>
        </w:rPr>
        <w:t>第三步：企业信息完善后，进行产品信息填报，点击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进行产品的录入；</w:t>
      </w:r>
    </w:p>
    <w:p>
      <w:pPr>
        <w:spacing w:line="460" w:lineRule="exact"/>
        <w:rPr>
          <w:rFonts w:eastAsia="仿宋"/>
          <w:color w:val="auto"/>
          <w:sz w:val="24"/>
          <w:szCs w:val="24"/>
          <w:highlight w:val="none"/>
        </w:rPr>
      </w:pPr>
      <w:r>
        <w:rPr>
          <w:rFonts w:eastAsia="仿宋"/>
          <w:color w:val="auto"/>
          <w:sz w:val="24"/>
          <w:szCs w:val="24"/>
          <w:highlight w:val="none"/>
        </w:rPr>
        <w:t>第四步：录入产品信息，完成点击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pPr>
        <w:spacing w:line="460" w:lineRule="exact"/>
        <w:rPr>
          <w:rFonts w:eastAsia="仿宋"/>
          <w:color w:val="auto"/>
          <w:sz w:val="24"/>
          <w:szCs w:val="24"/>
          <w:highlight w:val="none"/>
        </w:rPr>
      </w:pPr>
      <w:r>
        <w:rPr>
          <w:rFonts w:eastAsia="仿宋"/>
          <w:color w:val="auto"/>
          <w:sz w:val="24"/>
          <w:szCs w:val="24"/>
          <w:highlight w:val="none"/>
        </w:rPr>
        <w:t>第五步：产品审核完成后，点击</w:t>
      </w:r>
      <w:r>
        <w:rPr>
          <w:rFonts w:hint="eastAsia" w:eastAsia="仿宋"/>
          <w:color w:val="auto"/>
          <w:sz w:val="24"/>
          <w:szCs w:val="24"/>
          <w:highlight w:val="none"/>
          <w:lang w:eastAsia="zh-CN"/>
        </w:rPr>
        <w:t>“</w:t>
      </w:r>
      <w:r>
        <w:rPr>
          <w:rFonts w:eastAsia="仿宋"/>
          <w:color w:val="auto"/>
          <w:sz w:val="24"/>
          <w:szCs w:val="24"/>
          <w:highlight w:val="none"/>
        </w:rPr>
        <w:t>产品赋码申请</w:t>
      </w:r>
      <w:r>
        <w:rPr>
          <w:rFonts w:hint="eastAsia" w:eastAsia="仿宋"/>
          <w:color w:val="auto"/>
          <w:sz w:val="24"/>
          <w:szCs w:val="24"/>
          <w:highlight w:val="none"/>
          <w:lang w:eastAsia="zh-CN"/>
        </w:rPr>
        <w:t>”</w:t>
      </w:r>
      <w:r>
        <w:rPr>
          <w:rFonts w:eastAsia="仿宋"/>
          <w:color w:val="auto"/>
          <w:sz w:val="24"/>
          <w:szCs w:val="24"/>
          <w:highlight w:val="none"/>
        </w:rPr>
        <w:t>，点击</w:t>
      </w:r>
      <w:r>
        <w:rPr>
          <w:rFonts w:hint="eastAsia" w:eastAsia="仿宋"/>
          <w:color w:val="auto"/>
          <w:sz w:val="24"/>
          <w:szCs w:val="24"/>
          <w:highlight w:val="none"/>
          <w:lang w:eastAsia="zh-CN"/>
        </w:rPr>
        <w:t>“</w:t>
      </w:r>
      <w:r>
        <w:rPr>
          <w:rFonts w:eastAsia="仿宋"/>
          <w:color w:val="auto"/>
          <w:sz w:val="24"/>
          <w:szCs w:val="24"/>
          <w:highlight w:val="none"/>
        </w:rPr>
        <w:t>新增</w:t>
      </w:r>
      <w:r>
        <w:rPr>
          <w:rFonts w:hint="eastAsia" w:eastAsia="仿宋"/>
          <w:color w:val="auto"/>
          <w:sz w:val="24"/>
          <w:szCs w:val="24"/>
          <w:highlight w:val="none"/>
          <w:lang w:eastAsia="zh-CN"/>
        </w:rPr>
        <w:t>”</w:t>
      </w:r>
      <w:r>
        <w:rPr>
          <w:rFonts w:eastAsia="仿宋"/>
          <w:color w:val="auto"/>
          <w:sz w:val="24"/>
          <w:szCs w:val="24"/>
          <w:highlight w:val="none"/>
        </w:rPr>
        <w:t>，申请产品赋码；</w:t>
      </w:r>
    </w:p>
    <w:p>
      <w:pPr>
        <w:spacing w:line="460" w:lineRule="exact"/>
        <w:rPr>
          <w:rFonts w:eastAsia="仿宋"/>
          <w:color w:val="auto"/>
          <w:sz w:val="24"/>
          <w:szCs w:val="24"/>
          <w:highlight w:val="none"/>
        </w:rPr>
      </w:pPr>
      <w:r>
        <w:rPr>
          <w:rFonts w:eastAsia="仿宋"/>
          <w:color w:val="auto"/>
          <w:sz w:val="24"/>
          <w:szCs w:val="24"/>
          <w:highlight w:val="none"/>
        </w:rPr>
        <w:t>第六步：填写产品码信息， 点击</w:t>
      </w:r>
      <w:r>
        <w:rPr>
          <w:rFonts w:hint="eastAsia" w:eastAsia="仿宋"/>
          <w:color w:val="auto"/>
          <w:sz w:val="24"/>
          <w:szCs w:val="24"/>
          <w:highlight w:val="none"/>
          <w:lang w:eastAsia="zh-CN"/>
        </w:rPr>
        <w:t>“</w:t>
      </w:r>
      <w:r>
        <w:rPr>
          <w:rFonts w:eastAsia="仿宋"/>
          <w:color w:val="auto"/>
          <w:sz w:val="24"/>
          <w:szCs w:val="24"/>
          <w:highlight w:val="none"/>
        </w:rPr>
        <w:t>提交审核</w:t>
      </w:r>
      <w:r>
        <w:rPr>
          <w:rFonts w:hint="eastAsia" w:eastAsia="仿宋"/>
          <w:color w:val="auto"/>
          <w:sz w:val="24"/>
          <w:szCs w:val="24"/>
          <w:highlight w:val="none"/>
          <w:lang w:eastAsia="zh-CN"/>
        </w:rPr>
        <w:t>”</w:t>
      </w:r>
      <w:r>
        <w:rPr>
          <w:rFonts w:eastAsia="仿宋"/>
          <w:color w:val="auto"/>
          <w:sz w:val="24"/>
          <w:szCs w:val="24"/>
          <w:highlight w:val="none"/>
        </w:rPr>
        <w:t>，等待管理部门审核；</w:t>
      </w:r>
    </w:p>
    <w:p>
      <w:pPr>
        <w:spacing w:line="460" w:lineRule="exact"/>
        <w:rPr>
          <w:rFonts w:eastAsia="仿宋"/>
          <w:color w:val="auto"/>
          <w:sz w:val="24"/>
          <w:szCs w:val="24"/>
          <w:highlight w:val="none"/>
        </w:rPr>
      </w:pPr>
      <w:r>
        <w:rPr>
          <w:rFonts w:eastAsia="仿宋"/>
          <w:color w:val="auto"/>
          <w:sz w:val="24"/>
          <w:szCs w:val="24"/>
          <w:highlight w:val="none"/>
        </w:rPr>
        <w:t>第七步：审核完成后，点击下载链接，下载装备二维码；</w:t>
      </w:r>
    </w:p>
    <w:p>
      <w:pPr>
        <w:spacing w:line="460" w:lineRule="exact"/>
        <w:rPr>
          <w:rFonts w:eastAsia="仿宋"/>
          <w:color w:val="auto"/>
          <w:sz w:val="24"/>
          <w:szCs w:val="24"/>
          <w:highlight w:val="none"/>
        </w:rPr>
      </w:pPr>
      <w:r>
        <w:rPr>
          <w:rFonts w:eastAsia="仿宋"/>
          <w:color w:val="auto"/>
          <w:sz w:val="24"/>
          <w:szCs w:val="24"/>
          <w:highlight w:val="none"/>
        </w:rPr>
        <w:t>第八步：找第三方制作二维码，同时找第三方购买RFID电子标签；</w:t>
      </w:r>
    </w:p>
    <w:p>
      <w:pPr>
        <w:spacing w:line="460" w:lineRule="exact"/>
        <w:rPr>
          <w:rFonts w:eastAsia="仿宋"/>
          <w:color w:val="auto"/>
          <w:sz w:val="24"/>
          <w:szCs w:val="24"/>
          <w:highlight w:val="none"/>
        </w:rPr>
      </w:pPr>
      <w:r>
        <w:rPr>
          <w:rFonts w:eastAsia="仿宋"/>
          <w:color w:val="auto"/>
          <w:sz w:val="24"/>
          <w:szCs w:val="24"/>
          <w:highlight w:val="none"/>
        </w:rPr>
        <w:t>第九步：将产品信息告知第三方编入RFID电子标签；</w:t>
      </w:r>
    </w:p>
    <w:p>
      <w:pPr>
        <w:spacing w:line="460" w:lineRule="exact"/>
        <w:rPr>
          <w:rFonts w:eastAsiaTheme="minorEastAsia"/>
          <w:color w:val="auto"/>
          <w:sz w:val="24"/>
          <w:szCs w:val="24"/>
          <w:highlight w:val="none"/>
        </w:rPr>
      </w:pPr>
      <w:r>
        <w:rPr>
          <w:rFonts w:eastAsia="仿宋"/>
          <w:color w:val="auto"/>
          <w:sz w:val="24"/>
          <w:szCs w:val="24"/>
          <w:highlight w:val="none"/>
        </w:rPr>
        <w:t>第十步：将成品二维码及RFID电子标签附在消防产品上。</w:t>
      </w:r>
    </w:p>
    <w:p>
      <w:pPr>
        <w:spacing w:line="500" w:lineRule="atLeast"/>
        <w:rPr>
          <w:rFonts w:eastAsiaTheme="minorEastAsia"/>
          <w:color w:val="auto"/>
          <w:sz w:val="24"/>
          <w:szCs w:val="24"/>
          <w:highlight w:val="none"/>
        </w:rPr>
      </w:pPr>
      <w:r>
        <w:rPr>
          <w:rFonts w:eastAsiaTheme="minorEastAsia"/>
          <w:color w:val="auto"/>
          <w:sz w:val="24"/>
          <w:szCs w:val="24"/>
          <w:highlight w:val="none"/>
        </w:rPr>
        <w:br w:type="page"/>
      </w:r>
    </w:p>
    <w:p>
      <w:pPr>
        <w:pStyle w:val="3"/>
        <w:spacing w:before="240" w:after="240"/>
        <w:jc w:val="center"/>
        <w:rPr>
          <w:rFonts w:ascii="Times New Roman" w:eastAsia="仿宋"/>
          <w:b/>
          <w:color w:val="auto"/>
          <w:sz w:val="40"/>
          <w:highlight w:val="none"/>
        </w:rPr>
      </w:pPr>
      <w:bookmarkStart w:id="386" w:name="_Toc2881"/>
      <w:bookmarkStart w:id="387" w:name="_Toc16839"/>
      <w:bookmarkStart w:id="388" w:name="_Toc32701"/>
      <w:bookmarkStart w:id="389" w:name="_Toc474492123"/>
      <w:bookmarkStart w:id="390" w:name="_Toc2760"/>
      <w:bookmarkStart w:id="391" w:name="_Toc446946780"/>
      <w:bookmarkStart w:id="392" w:name="_Toc10088"/>
      <w:r>
        <w:rPr>
          <w:rFonts w:ascii="Times New Roman" w:eastAsia="仿宋"/>
          <w:b/>
          <w:color w:val="auto"/>
          <w:sz w:val="40"/>
          <w:highlight w:val="none"/>
        </w:rPr>
        <w:t>第六章  评标标准</w:t>
      </w:r>
      <w:bookmarkEnd w:id="386"/>
      <w:bookmarkEnd w:id="387"/>
      <w:bookmarkEnd w:id="388"/>
      <w:bookmarkEnd w:id="389"/>
      <w:bookmarkEnd w:id="390"/>
      <w:bookmarkEnd w:id="391"/>
      <w:bookmarkEnd w:id="392"/>
    </w:p>
    <w:bookmarkEnd w:id="9"/>
    <w:bookmarkEnd w:id="79"/>
    <w:bookmarkEnd w:id="80"/>
    <w:p>
      <w:pPr>
        <w:rPr>
          <w:color w:val="auto"/>
          <w:highlight w:val="none"/>
        </w:rPr>
      </w:pPr>
    </w:p>
    <w:p>
      <w:pPr>
        <w:pageBreakBefore w:val="0"/>
        <w:widowControl w:val="0"/>
        <w:wordWrap/>
        <w:overflowPunct/>
        <w:topLinePunct w:val="0"/>
        <w:bidi w:val="0"/>
        <w:spacing w:line="560" w:lineRule="exact"/>
        <w:ind w:firstLine="480" w:firstLineChars="200"/>
        <w:textAlignment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本项目由评审委员会按照以下评审内容，对资格性和符合性审查合格的投标文件进行价格、技术和商务综合比较与评价。</w:t>
      </w:r>
      <w:r>
        <w:rPr>
          <w:rFonts w:hint="default" w:ascii="仿宋" w:hAnsi="仿宋" w:eastAsia="仿宋" w:cs="仿宋"/>
          <w:color w:val="auto"/>
          <w:sz w:val="24"/>
          <w:szCs w:val="24"/>
          <w:highlight w:val="none"/>
          <w:lang w:val="en-US"/>
        </w:rPr>
        <w:t>满分100分，各项评审因素权重：价格分值占总分值的30%，技术分值占总分值的</w:t>
      </w:r>
      <w:r>
        <w:rPr>
          <w:rFonts w:hint="eastAsia" w:ascii="仿宋" w:hAnsi="仿宋" w:eastAsia="仿宋" w:cs="仿宋"/>
          <w:color w:val="auto"/>
          <w:sz w:val="24"/>
          <w:szCs w:val="24"/>
          <w:highlight w:val="none"/>
          <w:lang w:val="en-US" w:eastAsia="zh-CN"/>
        </w:rPr>
        <w:t>53</w:t>
      </w:r>
      <w:r>
        <w:rPr>
          <w:rFonts w:ascii="仿宋" w:hAnsi="仿宋" w:eastAsia="仿宋" w:cs="仿宋"/>
          <w:color w:val="auto"/>
          <w:sz w:val="24"/>
          <w:szCs w:val="24"/>
          <w:highlight w:val="none"/>
        </w:rPr>
        <w:t>%，商务</w:t>
      </w:r>
      <w:r>
        <w:rPr>
          <w:rFonts w:hint="eastAsia" w:ascii="仿宋" w:hAnsi="仿宋" w:eastAsia="仿宋" w:cs="仿宋"/>
          <w:color w:val="auto"/>
          <w:sz w:val="24"/>
          <w:szCs w:val="24"/>
          <w:highlight w:val="none"/>
        </w:rPr>
        <w:t>分值占总分值的</w:t>
      </w:r>
      <w:r>
        <w:rPr>
          <w:rFonts w:hint="eastAsia" w:ascii="仿宋" w:hAnsi="仿宋" w:eastAsia="仿宋" w:cs="仿宋"/>
          <w:color w:val="auto"/>
          <w:sz w:val="24"/>
          <w:szCs w:val="24"/>
          <w:highlight w:val="none"/>
          <w:lang w:val="en-US" w:eastAsia="zh-CN"/>
        </w:rPr>
        <w:t>17</w:t>
      </w:r>
      <w:r>
        <w:rPr>
          <w:rFonts w:ascii="仿宋" w:hAnsi="仿宋" w:eastAsia="仿宋" w:cs="仿宋"/>
          <w:color w:val="auto"/>
          <w:sz w:val="24"/>
          <w:szCs w:val="24"/>
          <w:highlight w:val="none"/>
        </w:rPr>
        <w:t>%。</w:t>
      </w:r>
    </w:p>
    <w:p>
      <w:pPr>
        <w:pStyle w:val="4"/>
        <w:numPr>
          <w:ilvl w:val="0"/>
          <w:numId w:val="0"/>
        </w:numPr>
        <w:spacing w:line="240" w:lineRule="auto"/>
        <w:rPr>
          <w:rFonts w:ascii="仿宋" w:hAnsi="仿宋" w:eastAsia="仿宋" w:cs="仿宋"/>
          <w:color w:val="auto"/>
          <w:sz w:val="24"/>
          <w:szCs w:val="24"/>
          <w:highlight w:val="none"/>
        </w:rPr>
      </w:pPr>
      <w:bookmarkStart w:id="393" w:name="_Toc19928"/>
      <w:bookmarkStart w:id="394" w:name="_Toc27369"/>
      <w:bookmarkStart w:id="395" w:name="_Toc24178"/>
      <w:bookmarkStart w:id="396" w:name="_Toc111208882"/>
      <w:bookmarkStart w:id="397" w:name="_Toc196"/>
      <w:bookmarkStart w:id="398" w:name="_Toc16084"/>
      <w:bookmarkStart w:id="399" w:name="_Toc20082"/>
      <w:bookmarkStart w:id="400" w:name="_Toc22059"/>
      <w:bookmarkStart w:id="401" w:name="_Toc27470"/>
      <w:bookmarkStart w:id="402" w:name="_Toc25377"/>
      <w:bookmarkStart w:id="403" w:name="_Toc28503"/>
      <w:bookmarkStart w:id="404" w:name="_Toc23498"/>
      <w:bookmarkStart w:id="405" w:name="_Toc19783"/>
      <w:bookmarkStart w:id="406" w:name="_Toc26077"/>
      <w:bookmarkStart w:id="407" w:name="_Toc8156"/>
      <w:bookmarkStart w:id="408" w:name="_Toc8617"/>
      <w:bookmarkStart w:id="409" w:name="_Toc29161"/>
      <w:bookmarkStart w:id="410" w:name="_Toc28669"/>
      <w:bookmarkStart w:id="411" w:name="_Toc13321"/>
      <w:bookmarkStart w:id="412" w:name="_Toc30683"/>
      <w:bookmarkStart w:id="413" w:name="_Toc27092"/>
      <w:bookmarkStart w:id="414" w:name="_Toc27543"/>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1包</w:t>
      </w:r>
      <w:r>
        <w:rPr>
          <w:rFonts w:hint="eastAsia" w:ascii="仿宋" w:hAnsi="仿宋" w:eastAsia="仿宋" w:cs="仿宋"/>
          <w:color w:val="auto"/>
          <w:sz w:val="24"/>
          <w:szCs w:val="24"/>
          <w:highlight w:val="none"/>
          <w:lang w:val="en-US" w:eastAsia="zh-CN"/>
        </w:rPr>
        <w:t xml:space="preserve"> 抢险救援消防车 </w:t>
      </w:r>
      <w:r>
        <w:rPr>
          <w:rFonts w:hint="eastAsia" w:ascii="仿宋" w:hAnsi="仿宋" w:eastAsia="仿宋" w:cs="仿宋"/>
          <w:color w:val="auto"/>
          <w:sz w:val="24"/>
          <w:szCs w:val="24"/>
          <w:highlight w:val="none"/>
        </w:rPr>
        <w:t>的评审规则如下：</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28</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▲4.2.1发动机额定功率：≥250kw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▲4.4.2随车吊臂：最大起重量≥5000kg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rPr>
              <w:t>随车吊臂最大起重量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最大起重量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最大起重量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注：最优表示最大起重量最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，次优表示最大起重量仅次于最大值。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▲4.4.2随车吊臂：作业幅度≥8m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rPr>
              <w:t>随车吊臂作业幅度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作业幅度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作业幅度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注：最优表示作业幅度最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，次优表示作业幅度仅次于最大值。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w:t>
            </w:r>
            <w:r>
              <w:rPr>
                <w:rFonts w:hint="default" w:ascii="仿宋" w:hAnsi="仿宋" w:eastAsia="仿宋" w:cs="仿宋"/>
                <w:b/>
                <w:bCs/>
                <w:color w:val="auto"/>
                <w:sz w:val="24"/>
                <w:szCs w:val="24"/>
                <w:highlight w:val="none"/>
                <w:lang w:val="en-US" w:eastAsia="zh-CN"/>
              </w:rPr>
              <w:t>据视频文件对产</w:t>
            </w:r>
            <w:r>
              <w:rPr>
                <w:rFonts w:hint="default" w:ascii="仿宋" w:hAnsi="仿宋" w:eastAsia="仿宋" w:cs="仿宋"/>
                <w:b/>
                <w:bCs/>
                <w:color w:val="auto"/>
                <w:sz w:val="24"/>
                <w:szCs w:val="24"/>
                <w:highlight w:val="none"/>
                <w:lang w:val="en-US"/>
              </w:rPr>
              <w:t>品的整体结构与外观、工艺、操作使用性能进行综合评审，</w:t>
            </w:r>
            <w:r>
              <w:rPr>
                <w:rFonts w:hint="default" w:ascii="仿宋" w:hAnsi="仿宋" w:eastAsia="仿宋" w:cs="仿宋"/>
                <w:b/>
                <w:bCs/>
                <w:color w:val="auto"/>
                <w:sz w:val="24"/>
                <w:szCs w:val="24"/>
                <w:highlight w:val="none"/>
                <w:lang w:val="en-US" w:eastAsia="zh-CN"/>
              </w:rPr>
              <w:t>视频文件需对以上三</w:t>
            </w:r>
            <w:r>
              <w:rPr>
                <w:rFonts w:hint="default" w:ascii="仿宋" w:hAnsi="仿宋" w:eastAsia="仿宋" w:cs="仿宋"/>
                <w:b/>
                <w:bCs/>
                <w:color w:val="auto"/>
                <w:sz w:val="24"/>
                <w:szCs w:val="24"/>
                <w:highlight w:val="none"/>
                <w:lang w:val="en-US"/>
              </w:rPr>
              <w:t>点评审内容进行介绍（包含但不限于以上三点）。视频文件[视频文件格式须为通用格式，佐证视频时长不得超过5分钟，视频清晰度应至少保证所摄的界面文字清晰易辨、画面完整连贯、播放速</w:t>
            </w:r>
            <w:r>
              <w:rPr>
                <w:rFonts w:hint="default" w:ascii="仿宋" w:hAnsi="仿宋" w:eastAsia="仿宋" w:cs="仿宋"/>
                <w:b/>
                <w:bCs/>
                <w:color w:val="auto"/>
                <w:sz w:val="24"/>
                <w:szCs w:val="24"/>
                <w:highlight w:val="none"/>
                <w:lang w:val="en-US" w:eastAsia="zh-CN"/>
              </w:rPr>
              <w:t>度正常]应</w:t>
            </w:r>
            <w:r>
              <w:rPr>
                <w:rFonts w:hint="default" w:ascii="仿宋" w:hAnsi="仿宋" w:eastAsia="仿宋" w:cs="仿宋"/>
                <w:b/>
                <w:bCs/>
                <w:color w:val="auto"/>
                <w:sz w:val="24"/>
                <w:szCs w:val="24"/>
                <w:highlight w:val="none"/>
                <w:lang w:val="en-US"/>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default" w:ascii="仿宋" w:hAnsi="仿宋" w:eastAsia="仿宋" w:cs="仿宋"/>
                <w:b/>
                <w:bCs/>
                <w:color w:val="auto"/>
                <w:sz w:val="24"/>
                <w:szCs w:val="24"/>
                <w:highlight w:val="none"/>
                <w:lang w:val="en-US"/>
              </w:rPr>
              <w:t>）与投标文件同时递交，逾期递交不予接收，U盘</w:t>
            </w:r>
            <w:r>
              <w:rPr>
                <w:rFonts w:hint="eastAsia" w:ascii="仿宋" w:hAnsi="仿宋" w:eastAsia="仿宋" w:cs="仿宋"/>
                <w:b/>
                <w:bCs/>
                <w:color w:val="auto"/>
                <w:sz w:val="24"/>
                <w:szCs w:val="24"/>
                <w:highlight w:val="none"/>
              </w:rPr>
              <w:t>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rPr>
          <w:color w:val="auto"/>
          <w:highlight w:val="none"/>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15" w:name="_Toc2519"/>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干粉消防车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15"/>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▲4.4.3.2最大输入压力：≥15Mpa</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减压阀</w:t>
            </w:r>
            <w:r>
              <w:rPr>
                <w:rFonts w:hint="eastAsia" w:ascii="仿宋" w:hAnsi="仿宋" w:eastAsia="仿宋" w:cs="仿宋"/>
                <w:color w:val="auto"/>
                <w:kern w:val="0"/>
                <w:sz w:val="24"/>
                <w:szCs w:val="24"/>
                <w:highlight w:val="none"/>
              </w:rPr>
              <w:t>最大输入压力</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最大输入压力</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最大输入压力</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注：最优表示最大输入压力最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，次优表示最大输入压力仅次于最大值。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▲4.4.4.2平均喷射速率：≥35kg/s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干粉炮</w:t>
            </w:r>
            <w:r>
              <w:rPr>
                <w:rFonts w:hint="eastAsia" w:ascii="仿宋" w:hAnsi="仿宋" w:eastAsia="仿宋" w:cs="仿宋"/>
                <w:color w:val="auto"/>
                <w:kern w:val="0"/>
                <w:sz w:val="24"/>
                <w:szCs w:val="24"/>
                <w:highlight w:val="none"/>
              </w:rPr>
              <w:t>平均喷射速率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平均喷射速率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平均喷射速率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注：最优表示平均喷射速率最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，次优表示平均喷射速率仅次于最大值。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▲4.4.4.3有效射程：≥40m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干粉炮</w:t>
            </w:r>
            <w:r>
              <w:rPr>
                <w:rFonts w:hint="eastAsia" w:ascii="仿宋" w:hAnsi="仿宋" w:eastAsia="仿宋" w:cs="仿宋"/>
                <w:color w:val="auto"/>
                <w:kern w:val="0"/>
                <w:sz w:val="24"/>
                <w:szCs w:val="24"/>
                <w:highlight w:val="none"/>
              </w:rPr>
              <w:t>有效射程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有效射程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有效射程</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注：最优表示有效射程最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，次优表示有效射程仅次于最大值。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▲4.4.5.3喷射率：≥2.5kg/s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干粉卷盘</w:t>
            </w:r>
            <w:r>
              <w:rPr>
                <w:rFonts w:hint="eastAsia" w:ascii="仿宋" w:hAnsi="仿宋" w:eastAsia="仿宋" w:cs="仿宋"/>
                <w:color w:val="auto"/>
                <w:kern w:val="0"/>
                <w:sz w:val="24"/>
                <w:szCs w:val="24"/>
                <w:highlight w:val="none"/>
              </w:rPr>
              <w:t>喷射率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喷射率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喷射率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注：最优表示喷射率最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，次优表示喷射率仅次于最大值。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16" w:name="_Toc29613"/>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洗消消防车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16"/>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15</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30</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▲4.4.1.2中压工况：工作流量：≥20L/s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消防泵中压工况工作流量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工作流量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工作流量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注：最优表示工作流量最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，次优表示工作流量仅次于最大值。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w:t>
            </w:r>
            <w:r>
              <w:rPr>
                <w:rFonts w:hint="eastAsia" w:ascii="仿宋" w:hAnsi="仿宋" w:eastAsia="仿宋" w:cs="仿宋"/>
                <w:color w:val="auto"/>
                <w:kern w:val="0"/>
                <w:sz w:val="24"/>
                <w:szCs w:val="24"/>
                <w:highlight w:val="none"/>
                <w:lang w:val="en-US" w:eastAsia="zh-CN"/>
              </w:rPr>
              <w:t>3低</w:t>
            </w:r>
            <w:r>
              <w:rPr>
                <w:rFonts w:hint="eastAsia" w:ascii="仿宋" w:hAnsi="仿宋" w:eastAsia="仿宋" w:cs="仿宋"/>
                <w:color w:val="auto"/>
                <w:kern w:val="0"/>
                <w:sz w:val="24"/>
                <w:szCs w:val="24"/>
                <w:highlight w:val="none"/>
              </w:rPr>
              <w:t>压工况：工作流量：≥</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0L/s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消防泵低压工况工作流量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工作流量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工作流量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注：最优表示工作流量最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，次优表示工作流量仅次于最大值。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▲4.4.6.1输出功率：≥350kw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加热器输出功率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输出功率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输出功率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注：最优表示输出功率最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，次优表示输出功率仅次于最大值。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▲4.4.6.2平均温升：≥1.0℃/min(2m³水)</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加热器平均温升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平均温升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平均温升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注：最优表示平均温升最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平均温升</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▲4.4.6.3加热温度：≥60℃</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加热器加热温度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加热温度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加热温度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rPr>
              <w:t>加热温度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加热温度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▲4.4.9.1吸污泵有效吸程：≥6m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残液回收系统吸污泵有效吸程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吸污泵有效吸程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吸污泵有效吸程</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rPr>
              <w:t>吸污泵有效吸程</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吸污泵有效吸程</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▲4.4.9.3抽速：≥50L/s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残液回收系统抽速</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抽速</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抽速</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rPr>
              <w:t>抽速</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抽速</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要求的基础上，每有一条“一般参数”优于的加1分，本项最多加3分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17" w:name="_Toc25869"/>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4</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破冰除雪车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17"/>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9</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▲4.5.1雪铲长度≥3300mm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前置除雪铲雪铲长度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雪铲长度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lang w:val="en-US" w:eastAsia="zh-CN"/>
              </w:rPr>
              <w:t>雪铲长度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rPr>
              <w:t>雪铲长度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雪铲长度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▲4.5.1摆动角度≥±30º</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前置除雪铲</w:t>
            </w:r>
            <w:r>
              <w:rPr>
                <w:rFonts w:hint="eastAsia" w:ascii="仿宋" w:hAnsi="仿宋" w:eastAsia="仿宋" w:cs="仿宋"/>
                <w:color w:val="auto"/>
                <w:kern w:val="0"/>
                <w:sz w:val="24"/>
                <w:szCs w:val="24"/>
                <w:highlight w:val="none"/>
              </w:rPr>
              <w:t>摆动角度</w:t>
            </w:r>
            <w:r>
              <w:rPr>
                <w:rFonts w:hint="eastAsia" w:ascii="仿宋" w:hAnsi="仿宋" w:eastAsia="仿宋" w:cs="仿宋"/>
                <w:color w:val="auto"/>
                <w:kern w:val="0"/>
                <w:sz w:val="24"/>
                <w:szCs w:val="24"/>
                <w:highlight w:val="none"/>
                <w:lang w:val="en-US" w:eastAsia="zh-CN"/>
              </w:rPr>
              <w:t>范围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摆动角度</w:t>
            </w:r>
            <w:r>
              <w:rPr>
                <w:rFonts w:hint="eastAsia" w:ascii="仿宋" w:hAnsi="仿宋" w:eastAsia="仿宋" w:cs="仿宋"/>
                <w:color w:val="auto"/>
                <w:kern w:val="0"/>
                <w:sz w:val="24"/>
                <w:szCs w:val="24"/>
                <w:highlight w:val="none"/>
                <w:lang w:val="en-US" w:eastAsia="zh-CN"/>
              </w:rPr>
              <w:t>范围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摆动角度</w:t>
            </w:r>
            <w:r>
              <w:rPr>
                <w:rFonts w:hint="eastAsia" w:ascii="仿宋" w:hAnsi="仿宋" w:eastAsia="仿宋" w:cs="仿宋"/>
                <w:color w:val="auto"/>
                <w:kern w:val="0"/>
                <w:sz w:val="24"/>
                <w:szCs w:val="24"/>
                <w:highlight w:val="none"/>
                <w:lang w:val="en-US" w:eastAsia="zh-CN"/>
              </w:rPr>
              <w:t>范围</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摆动角度</w:t>
            </w:r>
            <w:r>
              <w:rPr>
                <w:rFonts w:hint="eastAsia" w:ascii="仿宋" w:hAnsi="仿宋" w:eastAsia="仿宋" w:cs="仿宋"/>
                <w:b/>
                <w:bCs/>
                <w:color w:val="auto"/>
                <w:kern w:val="0"/>
                <w:sz w:val="24"/>
                <w:szCs w:val="24"/>
                <w:highlight w:val="none"/>
                <w:lang w:val="en-US" w:eastAsia="zh-CN"/>
              </w:rPr>
              <w:t>范围</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摆动角度</w:t>
            </w:r>
            <w:r>
              <w:rPr>
                <w:rFonts w:hint="eastAsia" w:ascii="仿宋" w:hAnsi="仿宋" w:eastAsia="仿宋" w:cs="仿宋"/>
                <w:b/>
                <w:bCs/>
                <w:color w:val="auto"/>
                <w:kern w:val="0"/>
                <w:sz w:val="24"/>
                <w:szCs w:val="24"/>
                <w:highlight w:val="none"/>
                <w:lang w:val="en-US" w:eastAsia="zh-CN"/>
              </w:rPr>
              <w:t>范围</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▲4.8.3吹雪机最大风压≥3500Pa</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后滚刷清扫系统后置</w:t>
            </w:r>
            <w:r>
              <w:rPr>
                <w:rFonts w:hint="eastAsia" w:ascii="仿宋" w:hAnsi="仿宋" w:eastAsia="仿宋" w:cs="仿宋"/>
                <w:color w:val="auto"/>
                <w:kern w:val="0"/>
                <w:sz w:val="24"/>
                <w:szCs w:val="24"/>
                <w:highlight w:val="none"/>
              </w:rPr>
              <w:t>吹雪机最大风压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吹雪机最大风压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吹雪机最大风压</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吹雪机最大风压</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吹雪机最大风压</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en-US" w:bidi="ar-SA"/>
              </w:rPr>
            </w:pPr>
            <w:r>
              <w:rPr>
                <w:rFonts w:hint="eastAsia" w:ascii="仿宋" w:hAnsi="仿宋" w:eastAsia="仿宋" w:cs="仿宋"/>
                <w:color w:val="auto"/>
                <w:kern w:val="0"/>
                <w:sz w:val="24"/>
                <w:szCs w:val="24"/>
                <w:highlight w:val="none"/>
              </w:rPr>
              <w:t>▲4.8.3吹雪风速≥24m/s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后滚刷清扫系统后置吹雪机</w:t>
            </w:r>
            <w:r>
              <w:rPr>
                <w:rFonts w:hint="eastAsia" w:ascii="仿宋" w:hAnsi="仿宋" w:eastAsia="仿宋" w:cs="仿宋"/>
                <w:color w:val="auto"/>
                <w:kern w:val="0"/>
                <w:sz w:val="24"/>
                <w:szCs w:val="24"/>
                <w:highlight w:val="none"/>
              </w:rPr>
              <w:t>吹雪风速</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吹雪风速</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kern w:val="0"/>
                <w:sz w:val="24"/>
                <w:szCs w:val="24"/>
                <w:highlight w:val="none"/>
              </w:rPr>
              <w:t>吹雪风速</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吹雪风速</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吹雪风速</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18" w:name="_Toc7159"/>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举高破拆消防车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18"/>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16</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330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▲4.4.1.1最大作业高度：≥18m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所投产品臂架</w:t>
            </w:r>
            <w:r>
              <w:rPr>
                <w:rFonts w:hint="eastAsia" w:ascii="仿宋" w:hAnsi="仿宋" w:eastAsia="仿宋" w:cs="仿宋"/>
                <w:color w:val="auto"/>
                <w:kern w:val="0"/>
                <w:sz w:val="24"/>
                <w:szCs w:val="24"/>
                <w:highlight w:val="none"/>
              </w:rPr>
              <w:t>最大作业高度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最大作业高度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最大作业高度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最大作业高度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最大作业高度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▲4.4.1.2最大作业幅度：≥14m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所投产品臂架</w:t>
            </w:r>
            <w:r>
              <w:rPr>
                <w:rFonts w:hint="eastAsia" w:ascii="仿宋" w:hAnsi="仿宋" w:eastAsia="仿宋" w:cs="仿宋"/>
                <w:color w:val="auto"/>
                <w:kern w:val="0"/>
                <w:sz w:val="24"/>
                <w:szCs w:val="24"/>
                <w:highlight w:val="none"/>
              </w:rPr>
              <w:t>最大作业幅度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最大作业幅度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最大作业幅度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最大作业幅度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最大作业幅度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▲4.4.2.2最大展开横向跨距：≤</w:t>
            </w:r>
            <w:r>
              <w:rPr>
                <w:rFonts w:hint="eastAsia" w:ascii="仿宋" w:hAnsi="仿宋" w:eastAsia="仿宋" w:cs="仿宋"/>
                <w:color w:val="auto"/>
                <w:kern w:val="0"/>
                <w:sz w:val="24"/>
                <w:szCs w:val="24"/>
                <w:highlight w:val="none"/>
                <w:lang w:val="en-US" w:eastAsia="zh-CN"/>
              </w:rPr>
              <w:t>11</w:t>
            </w:r>
            <w:r>
              <w:rPr>
                <w:rFonts w:hint="eastAsia" w:ascii="仿宋" w:hAnsi="仿宋" w:eastAsia="仿宋" w:cs="仿宋"/>
                <w:color w:val="auto"/>
                <w:kern w:val="0"/>
                <w:sz w:val="24"/>
                <w:szCs w:val="24"/>
                <w:highlight w:val="none"/>
              </w:rPr>
              <w:t>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支腿</w:t>
            </w:r>
            <w:r>
              <w:rPr>
                <w:rFonts w:hint="eastAsia" w:ascii="仿宋" w:hAnsi="仿宋" w:eastAsia="仿宋" w:cs="仿宋"/>
                <w:color w:val="auto"/>
                <w:kern w:val="0"/>
                <w:sz w:val="24"/>
                <w:szCs w:val="24"/>
                <w:highlight w:val="none"/>
              </w:rPr>
              <w:t>最大展开横向跨距</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最大展开横向跨距</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最大展开横向跨距</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最大展开横向跨距</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最大展开横向跨距</w:t>
            </w:r>
            <w:r>
              <w:rPr>
                <w:rFonts w:hint="eastAsia" w:ascii="仿宋" w:hAnsi="仿宋" w:eastAsia="仿宋" w:cs="仿宋"/>
                <w:b/>
                <w:color w:val="auto"/>
                <w:kern w:val="0"/>
                <w:sz w:val="24"/>
                <w:szCs w:val="24"/>
                <w:highlight w:val="none"/>
              </w:rPr>
              <w:t>仅次于最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▲4.4.3.1液压锤冲击功：≥1200J</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破拆工具</w:t>
            </w:r>
            <w:r>
              <w:rPr>
                <w:rFonts w:hint="eastAsia" w:ascii="仿宋" w:hAnsi="仿宋" w:eastAsia="仿宋" w:cs="仿宋"/>
                <w:color w:val="auto"/>
                <w:kern w:val="0"/>
                <w:sz w:val="24"/>
                <w:szCs w:val="24"/>
                <w:highlight w:val="none"/>
              </w:rPr>
              <w:t>液压锤冲击功</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液压锤冲击功</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液压锤冲击功</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液压锤冲击功</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液压锤冲击功</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▲4.4.3.2液压抓开口宽度：≥1m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破拆工具</w:t>
            </w:r>
            <w:r>
              <w:rPr>
                <w:rFonts w:hint="eastAsia" w:ascii="仿宋" w:hAnsi="仿宋" w:eastAsia="仿宋" w:cs="仿宋"/>
                <w:color w:val="auto"/>
                <w:kern w:val="0"/>
                <w:sz w:val="24"/>
                <w:szCs w:val="24"/>
                <w:highlight w:val="none"/>
              </w:rPr>
              <w:t>液压抓开口宽度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液压抓开口宽度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液压抓开口宽度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液压抓开口宽度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液压抓开口宽度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▲4.4.3.3液压抓最大抓取重量：≥1吨</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破拆工具</w:t>
            </w:r>
            <w:r>
              <w:rPr>
                <w:rFonts w:hint="eastAsia" w:ascii="仿宋" w:hAnsi="仿宋" w:eastAsia="仿宋" w:cs="仿宋"/>
                <w:color w:val="auto"/>
                <w:kern w:val="0"/>
                <w:sz w:val="24"/>
                <w:szCs w:val="24"/>
                <w:highlight w:val="none"/>
              </w:rPr>
              <w:t>液压抓最大抓取重量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液压抓最大抓取重量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液压抓最大抓取重量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color w:val="auto"/>
                <w:kern w:val="0"/>
                <w:sz w:val="24"/>
                <w:szCs w:val="24"/>
                <w:highlight w:val="none"/>
              </w:rPr>
              <w:t>液</w:t>
            </w:r>
            <w:r>
              <w:rPr>
                <w:rFonts w:hint="eastAsia" w:ascii="仿宋" w:hAnsi="仿宋" w:eastAsia="仿宋" w:cs="仿宋"/>
                <w:b/>
                <w:bCs/>
                <w:color w:val="auto"/>
                <w:kern w:val="0"/>
                <w:sz w:val="24"/>
                <w:szCs w:val="24"/>
                <w:highlight w:val="none"/>
              </w:rPr>
              <w:t>压抓最大抓取重量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压抓最大抓取重量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19" w:name="_Toc20236"/>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6</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物资运输车A</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19"/>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33</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120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▲4.5.2配备移动电源：容量≥640000mAh</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配备</w:t>
            </w:r>
            <w:r>
              <w:rPr>
                <w:rFonts w:hint="eastAsia" w:ascii="仿宋" w:hAnsi="仿宋" w:eastAsia="仿宋" w:cs="仿宋"/>
                <w:color w:val="auto"/>
                <w:kern w:val="0"/>
                <w:sz w:val="24"/>
                <w:szCs w:val="24"/>
                <w:highlight w:val="none"/>
                <w:lang w:val="en-US" w:eastAsia="zh-CN"/>
              </w:rPr>
              <w:t>移动电源容量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容量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容量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容量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容量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要求的基础上，每有一条“一般参数”优于的加1分，本项最多加3分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0" w:name="_Toc896"/>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7</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物资运输车B</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0"/>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29</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310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▲4.4.2.4额定载重：≥2000kg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液压尾板</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最额定载重</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注：最优表示额定载重最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，次优表示额定载重仅次于最大值。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1" w:name="_Toc15733"/>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8</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冷藏车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1"/>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33</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180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▲4.4.2.2制冷量≥3600W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rPr>
              <w:t>制冷设备制冷量重量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制冷量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制冷量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制冷量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制冷量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要求的基础上，每有一条“一般参数”优于的加1分，本项最多加3分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2" w:name="_Toc2136"/>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lang w:eastAsia="zh-CN"/>
        </w:rPr>
        <w:t>9</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淋浴车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2"/>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27</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245</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▲4.4.2.2锅炉：热功率≥120kw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淋浴设备</w:t>
            </w:r>
            <w:r>
              <w:rPr>
                <w:rFonts w:hint="eastAsia" w:ascii="仿宋" w:hAnsi="仿宋" w:eastAsia="仿宋" w:cs="仿宋"/>
                <w:color w:val="auto"/>
                <w:kern w:val="0"/>
                <w:sz w:val="24"/>
                <w:szCs w:val="24"/>
                <w:highlight w:val="none"/>
                <w:lang w:val="en-US" w:eastAsia="zh-CN"/>
              </w:rPr>
              <w:t>锅炉热功率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热功率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热功率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rPr>
              <w:t>热功率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rPr>
              <w:t>热功率</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▲4.4.4.1额定功率≥5kW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b w:val="0"/>
                <w:bCs w:val="0"/>
                <w:color w:val="auto"/>
                <w:sz w:val="24"/>
                <w:szCs w:val="24"/>
                <w:highlight w:val="none"/>
              </w:rPr>
              <w:t>电源系统</w:t>
            </w:r>
            <w:r>
              <w:rPr>
                <w:rFonts w:hint="eastAsia" w:ascii="仿宋" w:hAnsi="仿宋" w:eastAsia="仿宋" w:cs="仿宋"/>
                <w:color w:val="auto"/>
                <w:kern w:val="0"/>
                <w:sz w:val="24"/>
                <w:szCs w:val="24"/>
                <w:highlight w:val="none"/>
                <w:lang w:val="en-US" w:eastAsia="zh-CN" w:bidi="ar-SA"/>
              </w:rPr>
              <w:t>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bidi="ar-SA"/>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bidi="ar-SA"/>
              </w:rPr>
              <w:t>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bidi="ar-SA"/>
              </w:rPr>
              <w:t>额定功率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bidi="ar-SA"/>
              </w:rPr>
              <w:t>额定功率</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▲4.4.6净水量≥600L/h</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bidi="ar-SA"/>
              </w:rPr>
              <w:t>设净水系统净水量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bidi="ar-SA"/>
              </w:rPr>
              <w:t>净水量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bidi="ar-SA"/>
              </w:rPr>
              <w:t>净水量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lang w:val="en-US" w:eastAsia="zh-CN" w:bidi="ar-SA"/>
              </w:rPr>
              <w:t>净水量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lang w:val="en-US" w:eastAsia="zh-CN" w:bidi="ar-SA"/>
              </w:rPr>
              <w:t>净水量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要求的基础上，每有一条“一般参数”优于的加1分，本项最多加3分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3" w:name="_Toc350"/>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盥洗车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3"/>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34</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4" w:name="_Toc32110"/>
      <w:r>
        <w:rPr>
          <w:rFonts w:hint="eastAsia" w:ascii="仿宋" w:hAnsi="仿宋" w:eastAsia="仿宋" w:cs="仿宋"/>
          <w:color w:val="auto"/>
          <w:sz w:val="24"/>
          <w:szCs w:val="24"/>
          <w:highlight w:val="none"/>
          <w:lang w:eastAsia="zh-CN"/>
        </w:rPr>
        <w:t>11</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被服洗涤车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4"/>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25</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sz w:val="24"/>
                <w:szCs w:val="24"/>
                <w:highlight w:val="none"/>
              </w:rPr>
              <w:t>产品</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▲4.4.1.2单次洗涤总重量≥60kg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洗涤设备</w:t>
            </w:r>
            <w:r>
              <w:rPr>
                <w:rFonts w:hint="eastAsia" w:ascii="仿宋" w:hAnsi="仿宋" w:eastAsia="仿宋" w:cs="仿宋"/>
                <w:color w:val="auto"/>
                <w:kern w:val="0"/>
                <w:sz w:val="24"/>
                <w:szCs w:val="24"/>
                <w:highlight w:val="none"/>
              </w:rPr>
              <w:t>单次洗涤总重量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单次洗涤总重量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单次洗涤总重量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单次洗涤总重量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kern w:val="0"/>
                <w:sz w:val="24"/>
                <w:szCs w:val="24"/>
                <w:highlight w:val="none"/>
              </w:rPr>
              <w:t>单次洗涤总重量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▲4.4.2.3额定功率≥50KW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电气系统</w:t>
            </w:r>
            <w:r>
              <w:rPr>
                <w:rFonts w:hint="eastAsia" w:ascii="仿宋" w:hAnsi="仿宋" w:eastAsia="仿宋" w:cs="仿宋"/>
                <w:color w:val="auto"/>
                <w:sz w:val="24"/>
                <w:szCs w:val="24"/>
                <w:highlight w:val="none"/>
              </w:rPr>
              <w:t>轴带式取力发电机</w:t>
            </w:r>
            <w:r>
              <w:rPr>
                <w:rFonts w:hint="eastAsia" w:ascii="仿宋" w:hAnsi="仿宋" w:eastAsia="仿宋" w:cs="仿宋"/>
                <w:color w:val="auto"/>
                <w:kern w:val="0"/>
                <w:sz w:val="24"/>
                <w:szCs w:val="24"/>
                <w:highlight w:val="none"/>
              </w:rPr>
              <w:t>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，次优表示额定功率仅次于最大值。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▲4.4.3.1净水箱储水量≥1000L</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rPr>
              <w:t>净水箱储水量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净水箱储水量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净水箱储水量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注：最优表示净水箱储水量最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，次优表示净水箱储水量仅次于最大值。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5" w:name="_Toc14150"/>
      <w:r>
        <w:rPr>
          <w:rFonts w:hint="eastAsia" w:ascii="仿宋" w:hAnsi="仿宋" w:eastAsia="仿宋" w:cs="仿宋"/>
          <w:color w:val="auto"/>
          <w:sz w:val="24"/>
          <w:szCs w:val="24"/>
          <w:highlight w:val="none"/>
          <w:lang w:eastAsia="zh-CN"/>
        </w:rPr>
        <w:t>12</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装备维修车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5"/>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25</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▲4.4.1.2发电机：额定功率≥22kw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供电照明系统</w:t>
            </w:r>
            <w:r>
              <w:rPr>
                <w:rFonts w:hint="eastAsia" w:ascii="仿宋" w:hAnsi="仿宋" w:eastAsia="仿宋" w:cs="仿宋"/>
                <w:color w:val="auto"/>
                <w:kern w:val="0"/>
                <w:sz w:val="24"/>
                <w:szCs w:val="24"/>
                <w:highlight w:val="none"/>
              </w:rPr>
              <w:t>发电额定功率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kern w:val="0"/>
                <w:sz w:val="24"/>
                <w:szCs w:val="24"/>
                <w:highlight w:val="none"/>
              </w:rPr>
              <w:t>额定功率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▲4.4.4.4额定载重≥2000kg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所投产品液压尾板</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注：最优表示额定载重最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，次优表示额定载重仅次于最大值。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要求的基础上，每有一条“一般参数”优于的加1分，本项最多加8分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注：①供若技术支撑文件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6" w:name="_Toc5459"/>
      <w:r>
        <w:rPr>
          <w:rFonts w:hint="eastAsia" w:ascii="仿宋" w:hAnsi="仿宋" w:eastAsia="仿宋" w:cs="仿宋"/>
          <w:color w:val="auto"/>
          <w:sz w:val="24"/>
          <w:szCs w:val="24"/>
          <w:highlight w:val="none"/>
          <w:lang w:eastAsia="zh-CN"/>
        </w:rPr>
        <w:t>13</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水质净化车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6"/>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32</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4"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7" w:name="_Toc22372"/>
      <w:r>
        <w:rPr>
          <w:rFonts w:hint="eastAsia" w:ascii="仿宋" w:hAnsi="仿宋" w:eastAsia="仿宋" w:cs="仿宋"/>
          <w:color w:val="auto"/>
          <w:sz w:val="24"/>
          <w:szCs w:val="24"/>
          <w:highlight w:val="none"/>
          <w:lang w:eastAsia="zh-CN"/>
        </w:rPr>
        <w:t>14</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物资运输车C</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7"/>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29</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320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.4额定载重</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rPr>
              <w:t>≥2000kg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所投产品液压尾板</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额定载重</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注：最优表示额定载重最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，次优表示额定载重仅次于最大值。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8" w:name="_Toc16315"/>
      <w:r>
        <w:rPr>
          <w:rFonts w:hint="eastAsia" w:ascii="仿宋" w:hAnsi="仿宋" w:eastAsia="仿宋" w:cs="仿宋"/>
          <w:color w:val="auto"/>
          <w:sz w:val="24"/>
          <w:szCs w:val="24"/>
          <w:highlight w:val="none"/>
          <w:lang w:eastAsia="zh-CN"/>
        </w:rPr>
        <w:t>15</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泡沫输转消防车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8"/>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28</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40</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▲4.4.2.1额定流量：≥1800L/min</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供液泵</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注：最优表示额定流量最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，次优表示额定流量仅次于最大值。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▲4.4.3.1额定流量：≥1800L/min</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吸液泵</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额定流量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注：最优表示额定流量最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，次优表示额定流量仅次于最大值。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5"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29" w:name="_Toc29060"/>
      <w:r>
        <w:rPr>
          <w:rFonts w:hint="eastAsia" w:ascii="仿宋" w:hAnsi="仿宋" w:eastAsia="仿宋" w:cs="仿宋"/>
          <w:color w:val="auto"/>
          <w:sz w:val="24"/>
          <w:szCs w:val="24"/>
          <w:highlight w:val="none"/>
          <w:lang w:eastAsia="zh-CN"/>
        </w:rPr>
        <w:t>16</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器材消防车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29"/>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31</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w:t>
            </w:r>
            <w:r>
              <w:rPr>
                <w:rFonts w:hint="eastAsia" w:ascii="仿宋" w:hAnsi="仿宋" w:eastAsia="仿宋" w:cs="仿宋"/>
                <w:color w:val="auto"/>
                <w:kern w:val="0"/>
                <w:sz w:val="24"/>
                <w:szCs w:val="24"/>
                <w:highlight w:val="none"/>
                <w:lang w:val="en-US" w:eastAsia="zh-CN"/>
              </w:rPr>
              <w:t>290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▲4.4.4额定载重：≥2000kg</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液压尾板额定载重</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额定载重</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额定载重</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额定载重</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额定载重</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注：①若技术支撑文件</w:t>
            </w:r>
            <w:r>
              <w:rPr>
                <w:rFonts w:hint="eastAsia" w:ascii="仿宋" w:hAnsi="仿宋" w:eastAsia="仿宋" w:cs="仿宋"/>
                <w:b/>
                <w:bCs/>
                <w:color w:val="auto"/>
                <w:sz w:val="24"/>
                <w:highlight w:val="none"/>
                <w:lang w:val="en-US" w:eastAsia="zh-CN"/>
              </w:rPr>
              <w:t>等于或</w:t>
            </w:r>
            <w:r>
              <w:rPr>
                <w:rFonts w:hint="eastAsia" w:ascii="仿宋" w:hAnsi="仿宋" w:eastAsia="仿宋" w:cs="仿宋"/>
                <w:b/>
                <w:bCs/>
                <w:color w:val="auto"/>
                <w:sz w:val="24"/>
                <w:highlight w:val="none"/>
              </w:rPr>
              <w:t>优于</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，则该点</w:t>
            </w:r>
            <w:r>
              <w:rPr>
                <w:rFonts w:hint="eastAsia" w:ascii="仿宋" w:hAnsi="仿宋" w:eastAsia="仿宋" w:cs="仿宋"/>
                <w:b/>
                <w:bCs/>
                <w:color w:val="auto"/>
                <w:sz w:val="24"/>
                <w:highlight w:val="none"/>
                <w:lang w:eastAsia="zh-CN"/>
              </w:rPr>
              <w:t>（以</w:t>
            </w:r>
            <w:r>
              <w:rPr>
                <w:rFonts w:hint="eastAsia" w:ascii="仿宋" w:hAnsi="仿宋" w:eastAsia="仿宋" w:cs="仿宋"/>
                <w:b/>
                <w:bCs/>
                <w:color w:val="auto"/>
                <w:sz w:val="24"/>
                <w:highlight w:val="none"/>
              </w:rPr>
              <w:t>技术条款响应表</w:t>
            </w:r>
            <w:r>
              <w:rPr>
                <w:rFonts w:hint="eastAsia" w:ascii="仿宋" w:hAnsi="仿宋" w:eastAsia="仿宋" w:cs="仿宋"/>
                <w:b/>
                <w:bCs/>
                <w:color w:val="auto"/>
                <w:sz w:val="24"/>
                <w:highlight w:val="none"/>
                <w:lang w:eastAsia="zh-CN"/>
              </w:rPr>
              <w:t>数值作为加分依据）</w:t>
            </w:r>
            <w:r>
              <w:rPr>
                <w:rFonts w:hint="eastAsia" w:ascii="仿宋" w:hAnsi="仿宋" w:eastAsia="仿宋" w:cs="仿宋"/>
                <w:b/>
                <w:bCs/>
                <w:color w:val="auto"/>
                <w:sz w:val="24"/>
                <w:highlight w:val="none"/>
              </w:rPr>
              <w:t>给予加分，若技术支撑文件劣于技术条款响应表，则该点不加分</w:t>
            </w:r>
            <w:r>
              <w:rPr>
                <w:rFonts w:hint="eastAsia" w:ascii="仿宋" w:hAnsi="仿宋" w:eastAsia="仿宋" w:cs="仿宋"/>
                <w:b/>
                <w:bCs/>
                <w:color w:val="auto"/>
                <w:sz w:val="24"/>
                <w:highlight w:val="none"/>
                <w:lang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eastAsia="zh-CN"/>
              </w:rPr>
              <w:t>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30" w:name="_Toc30828"/>
      <w:r>
        <w:rPr>
          <w:rFonts w:hint="eastAsia" w:ascii="仿宋" w:hAnsi="仿宋" w:eastAsia="仿宋" w:cs="仿宋"/>
          <w:color w:val="auto"/>
          <w:sz w:val="24"/>
          <w:szCs w:val="24"/>
          <w:highlight w:val="none"/>
          <w:lang w:eastAsia="zh-CN"/>
        </w:rPr>
        <w:t>17</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供气消防车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30"/>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27</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▲4.2.1发动机额定功率：≥250kw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▲4.4.1.2单个6.8L气瓶由空压机直接充气≤200s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供气系统</w:t>
            </w:r>
            <w:r>
              <w:rPr>
                <w:rFonts w:hint="eastAsia" w:ascii="仿宋" w:hAnsi="仿宋" w:eastAsia="仿宋" w:cs="仿宋"/>
                <w:color w:val="auto"/>
                <w:kern w:val="0"/>
                <w:sz w:val="24"/>
                <w:szCs w:val="24"/>
                <w:highlight w:val="none"/>
              </w:rPr>
              <w:t>单个6.8L气瓶由空压机直接充气</w:t>
            </w:r>
            <w:r>
              <w:rPr>
                <w:rFonts w:hint="eastAsia" w:ascii="仿宋" w:hAnsi="仿宋" w:eastAsia="仿宋" w:cs="仿宋"/>
                <w:color w:val="auto"/>
                <w:kern w:val="0"/>
                <w:sz w:val="24"/>
                <w:szCs w:val="24"/>
                <w:highlight w:val="none"/>
                <w:lang w:val="en-US" w:eastAsia="zh-CN"/>
              </w:rPr>
              <w:t>时间</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直接充气</w:t>
            </w:r>
            <w:r>
              <w:rPr>
                <w:rFonts w:hint="eastAsia" w:ascii="仿宋" w:hAnsi="仿宋" w:eastAsia="仿宋" w:cs="仿宋"/>
                <w:color w:val="auto"/>
                <w:kern w:val="0"/>
                <w:sz w:val="24"/>
                <w:szCs w:val="24"/>
                <w:highlight w:val="none"/>
                <w:lang w:val="en-US" w:eastAsia="zh-CN"/>
              </w:rPr>
              <w:t>时间</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直接充气</w:t>
            </w:r>
            <w:r>
              <w:rPr>
                <w:rFonts w:hint="eastAsia" w:ascii="仿宋" w:hAnsi="仿宋" w:eastAsia="仿宋" w:cs="仿宋"/>
                <w:color w:val="auto"/>
                <w:kern w:val="0"/>
                <w:sz w:val="24"/>
                <w:szCs w:val="24"/>
                <w:highlight w:val="none"/>
                <w:lang w:val="en-US" w:eastAsia="zh-CN"/>
              </w:rPr>
              <w:t>时间</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注：最优表示直接充气</w:t>
            </w:r>
            <w:r>
              <w:rPr>
                <w:rFonts w:hint="eastAsia" w:ascii="仿宋" w:hAnsi="仿宋" w:eastAsia="仿宋" w:cs="仿宋"/>
                <w:b/>
                <w:color w:val="auto"/>
                <w:kern w:val="0"/>
                <w:sz w:val="24"/>
                <w:szCs w:val="24"/>
                <w:highlight w:val="none"/>
                <w:lang w:val="en-US" w:eastAsia="zh-CN"/>
              </w:rPr>
              <w:t>时间</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，次优表示直接充气</w:t>
            </w:r>
            <w:r>
              <w:rPr>
                <w:rFonts w:hint="eastAsia" w:ascii="仿宋" w:hAnsi="仿宋" w:eastAsia="仿宋" w:cs="仿宋"/>
                <w:b/>
                <w:color w:val="auto"/>
                <w:kern w:val="0"/>
                <w:sz w:val="24"/>
                <w:szCs w:val="24"/>
                <w:highlight w:val="none"/>
                <w:lang w:val="en-US" w:eastAsia="zh-CN"/>
              </w:rPr>
              <w:t>时间</w:t>
            </w:r>
            <w:r>
              <w:rPr>
                <w:rFonts w:hint="eastAsia" w:ascii="仿宋" w:hAnsi="仿宋" w:eastAsia="仿宋" w:cs="仿宋"/>
                <w:b/>
                <w:color w:val="auto"/>
                <w:kern w:val="0"/>
                <w:sz w:val="24"/>
                <w:szCs w:val="24"/>
                <w:highlight w:val="none"/>
              </w:rPr>
              <w:t>仅次于最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要求的基础上，每有一条“一般参数”优于的加1分，本项最多加9分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31" w:name="_Toc14557"/>
      <w:r>
        <w:rPr>
          <w:rFonts w:hint="eastAsia" w:ascii="仿宋" w:hAnsi="仿宋" w:eastAsia="仿宋" w:cs="仿宋"/>
          <w:color w:val="auto"/>
          <w:sz w:val="24"/>
          <w:szCs w:val="24"/>
          <w:highlight w:val="none"/>
          <w:lang w:eastAsia="zh-CN"/>
        </w:rPr>
        <w:t>18</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远程供水系统A</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31"/>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17</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1.4</w:t>
            </w:r>
            <w:r>
              <w:rPr>
                <w:rFonts w:hint="eastAsia" w:ascii="仿宋" w:hAnsi="仿宋" w:eastAsia="仿宋" w:cs="仿宋"/>
                <w:color w:val="auto"/>
                <w:kern w:val="0"/>
                <w:sz w:val="24"/>
                <w:szCs w:val="24"/>
                <w:highlight w:val="none"/>
              </w:rPr>
              <w:t>.1发动机额定功率：≥</w:t>
            </w:r>
            <w:r>
              <w:rPr>
                <w:rFonts w:hint="eastAsia" w:ascii="仿宋" w:hAnsi="仿宋" w:eastAsia="仿宋" w:cs="仿宋"/>
                <w:color w:val="auto"/>
                <w:kern w:val="0"/>
                <w:sz w:val="24"/>
                <w:szCs w:val="24"/>
                <w:highlight w:val="none"/>
                <w:lang w:val="en-US" w:eastAsia="zh-CN"/>
              </w:rPr>
              <w:t>400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泵浦消防车底盘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1.6</w:t>
            </w:r>
            <w:r>
              <w:rPr>
                <w:rFonts w:hint="eastAsia" w:ascii="仿宋" w:hAnsi="仿宋" w:eastAsia="仿宋" w:cs="仿宋"/>
                <w:color w:val="auto"/>
                <w:kern w:val="0"/>
                <w:sz w:val="24"/>
                <w:szCs w:val="24"/>
                <w:highlight w:val="none"/>
              </w:rPr>
              <w:t>.3浮艇泵：每个浮艇泵流量≥200L/s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泵浦消防车</w:t>
            </w:r>
            <w:r>
              <w:rPr>
                <w:rFonts w:hint="eastAsia" w:ascii="仿宋" w:hAnsi="仿宋" w:eastAsia="仿宋" w:cs="仿宋"/>
                <w:color w:val="auto"/>
                <w:sz w:val="24"/>
                <w:szCs w:val="24"/>
                <w:highlight w:val="none"/>
              </w:rPr>
              <w:t>浮艇泵每个浮艇泵流量优于招标文件要求的，每个浮艇泵流量最优的加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分，每个浮艇泵流量次优的加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注：最优表示每个浮艇泵流量最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，次优表示每个浮艇泵流量仅次于最大值。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1.6</w:t>
            </w:r>
            <w:r>
              <w:rPr>
                <w:rFonts w:hint="eastAsia" w:ascii="仿宋" w:hAnsi="仿宋" w:eastAsia="仿宋" w:cs="仿宋"/>
                <w:color w:val="auto"/>
                <w:kern w:val="0"/>
                <w:sz w:val="24"/>
                <w:szCs w:val="24"/>
                <w:highlight w:val="none"/>
              </w:rPr>
              <w:t>.6.1发动机额定功率≥350kw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泵浦消防车</w:t>
            </w:r>
            <w:r>
              <w:rPr>
                <w:rFonts w:hint="eastAsia" w:ascii="仿宋" w:hAnsi="仿宋" w:eastAsia="仿宋" w:cs="仿宋"/>
                <w:color w:val="auto"/>
                <w:spacing w:val="-1"/>
                <w:sz w:val="24"/>
                <w:szCs w:val="24"/>
                <w:highlight w:val="none"/>
              </w:rPr>
              <w:t>增压泵系统发动机额定功率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pacing w:val="-1"/>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pacing w:val="-1"/>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1.6</w:t>
            </w:r>
            <w:r>
              <w:rPr>
                <w:rFonts w:hint="eastAsia" w:ascii="仿宋" w:hAnsi="仿宋" w:eastAsia="仿宋" w:cs="仿宋"/>
                <w:color w:val="auto"/>
                <w:kern w:val="0"/>
                <w:sz w:val="24"/>
                <w:szCs w:val="24"/>
                <w:highlight w:val="none"/>
              </w:rPr>
              <w:t>.6.</w:t>
            </w:r>
            <w:r>
              <w:rPr>
                <w:rFonts w:hint="eastAsia" w:ascii="仿宋" w:hAnsi="仿宋" w:eastAsia="仿宋" w:cs="仿宋"/>
                <w:color w:val="auto"/>
                <w:kern w:val="0"/>
                <w:sz w:val="24"/>
                <w:szCs w:val="24"/>
                <w:highlight w:val="none"/>
                <w:lang w:val="en-US" w:eastAsia="zh-CN"/>
              </w:rPr>
              <w:t>2流量≥400L/s</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泵浦消防车</w:t>
            </w:r>
            <w:r>
              <w:rPr>
                <w:rFonts w:hint="eastAsia" w:ascii="仿宋" w:hAnsi="仿宋" w:eastAsia="仿宋" w:cs="仿宋"/>
                <w:color w:val="auto"/>
                <w:spacing w:val="-1"/>
                <w:sz w:val="24"/>
                <w:szCs w:val="24"/>
                <w:highlight w:val="none"/>
              </w:rPr>
              <w:t>增压泵系统</w:t>
            </w:r>
            <w:r>
              <w:rPr>
                <w:rFonts w:hint="eastAsia" w:ascii="仿宋" w:hAnsi="仿宋" w:eastAsia="仿宋" w:cs="仿宋"/>
                <w:color w:val="auto"/>
                <w:kern w:val="0"/>
                <w:sz w:val="24"/>
                <w:szCs w:val="24"/>
                <w:highlight w:val="none"/>
                <w:lang w:val="en-US" w:eastAsia="zh-CN"/>
              </w:rPr>
              <w:t>流量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lang w:val="en-US" w:eastAsia="zh-CN"/>
              </w:rPr>
              <w:t>流量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lang w:val="en-US" w:eastAsia="zh-CN"/>
              </w:rPr>
              <w:t>流量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流量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流量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w:t>
            </w:r>
            <w:r>
              <w:rPr>
                <w:rFonts w:hint="eastAsia" w:ascii="仿宋" w:hAnsi="仿宋" w:eastAsia="仿宋" w:cs="仿宋"/>
                <w:color w:val="auto"/>
                <w:kern w:val="0"/>
                <w:sz w:val="24"/>
                <w:szCs w:val="24"/>
                <w:highlight w:val="none"/>
                <w:lang w:val="en-US" w:eastAsia="zh-CN"/>
              </w:rPr>
              <w:t>2.4</w:t>
            </w:r>
            <w:r>
              <w:rPr>
                <w:rFonts w:hint="eastAsia" w:ascii="仿宋" w:hAnsi="仿宋" w:eastAsia="仿宋" w:cs="仿宋"/>
                <w:color w:val="auto"/>
                <w:kern w:val="0"/>
                <w:sz w:val="24"/>
                <w:szCs w:val="24"/>
                <w:highlight w:val="none"/>
              </w:rPr>
              <w:t>.1发动机额定功率：≥</w:t>
            </w:r>
            <w:r>
              <w:rPr>
                <w:rFonts w:hint="eastAsia" w:ascii="仿宋" w:hAnsi="仿宋" w:eastAsia="仿宋" w:cs="仿宋"/>
                <w:color w:val="auto"/>
                <w:kern w:val="0"/>
                <w:sz w:val="24"/>
                <w:szCs w:val="24"/>
                <w:highlight w:val="none"/>
                <w:lang w:val="en-US" w:eastAsia="zh-CN"/>
              </w:rPr>
              <w:t>400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水带敷设消防车底盘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spacing w:val="-2"/>
                <w:sz w:val="24"/>
                <w:szCs w:val="24"/>
                <w:highlight w:val="none"/>
              </w:rPr>
              <w:t>4.</w:t>
            </w:r>
            <w:r>
              <w:rPr>
                <w:rFonts w:hint="eastAsia" w:ascii="仿宋" w:hAnsi="仿宋" w:eastAsia="仿宋" w:cs="仿宋"/>
                <w:color w:val="auto"/>
                <w:spacing w:val="-1"/>
                <w:sz w:val="24"/>
                <w:szCs w:val="24"/>
                <w:highlight w:val="none"/>
                <w:lang w:val="en-US" w:eastAsia="zh-CN"/>
              </w:rPr>
              <w:t>2.6</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2"/>
                <w:sz w:val="24"/>
                <w:szCs w:val="24"/>
                <w:highlight w:val="none"/>
                <w:lang w:val="en-US" w:eastAsia="zh-CN"/>
              </w:rPr>
              <w:t>7</w:t>
            </w:r>
            <w:r>
              <w:rPr>
                <w:rFonts w:hint="eastAsia" w:ascii="仿宋" w:hAnsi="仿宋" w:eastAsia="仿宋" w:cs="仿宋"/>
                <w:color w:val="auto"/>
                <w:spacing w:val="-2"/>
                <w:sz w:val="24"/>
                <w:szCs w:val="24"/>
                <w:highlight w:val="none"/>
              </w:rPr>
              <w:t>自动收卷:回收水带速度</w:t>
            </w:r>
            <w:r>
              <w:rPr>
                <w:rFonts w:hint="eastAsia" w:ascii="仿宋" w:hAnsi="仿宋" w:eastAsia="仿宋" w:cs="仿宋"/>
                <w:color w:val="auto"/>
                <w:spacing w:val="-2"/>
                <w:sz w:val="24"/>
                <w:szCs w:val="24"/>
                <w:highlight w:val="none"/>
                <w:lang w:eastAsia="zh-CN"/>
              </w:rPr>
              <w:t>≥</w:t>
            </w:r>
            <w:r>
              <w:rPr>
                <w:rFonts w:hint="eastAsia" w:ascii="仿宋" w:hAnsi="仿宋" w:eastAsia="仿宋" w:cs="仿宋"/>
                <w:color w:val="auto"/>
                <w:spacing w:val="-2"/>
                <w:sz w:val="24"/>
                <w:szCs w:val="24"/>
                <w:highlight w:val="none"/>
                <w:lang w:val="en-US" w:eastAsia="zh-CN"/>
              </w:rPr>
              <w:t>1.5</w:t>
            </w:r>
            <w:r>
              <w:rPr>
                <w:rFonts w:hint="eastAsia" w:ascii="仿宋" w:hAnsi="仿宋" w:eastAsia="仿宋" w:cs="仿宋"/>
                <w:color w:val="auto"/>
                <w:spacing w:val="-2"/>
                <w:sz w:val="24"/>
                <w:szCs w:val="24"/>
                <w:highlight w:val="none"/>
              </w:rPr>
              <w:t>km</w:t>
            </w:r>
            <w:r>
              <w:rPr>
                <w:rFonts w:hint="eastAsia" w:ascii="仿宋" w:hAnsi="仿宋" w:eastAsia="仿宋" w:cs="仿宋"/>
                <w:color w:val="auto"/>
                <w:spacing w:val="-3"/>
                <w:sz w:val="24"/>
                <w:szCs w:val="24"/>
                <w:highlight w:val="none"/>
              </w:rPr>
              <w:t>/h；</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水带敷设消防车</w:t>
            </w:r>
            <w:r>
              <w:rPr>
                <w:rFonts w:hint="eastAsia" w:ascii="仿宋" w:hAnsi="仿宋" w:eastAsia="仿宋" w:cs="仿宋"/>
                <w:color w:val="auto"/>
                <w:spacing w:val="-2"/>
                <w:sz w:val="24"/>
                <w:szCs w:val="24"/>
                <w:highlight w:val="none"/>
              </w:rPr>
              <w:t>自动收卷回收水带速度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pacing w:val="-2"/>
                <w:sz w:val="24"/>
                <w:szCs w:val="24"/>
                <w:highlight w:val="none"/>
              </w:rPr>
              <w:t>回收水带速度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pacing w:val="-2"/>
                <w:sz w:val="24"/>
                <w:szCs w:val="24"/>
                <w:highlight w:val="none"/>
              </w:rPr>
              <w:t>回收水带速度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注：最优表示回收水带速度最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，次优表示回收水带速度仅次于最大值。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6"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32" w:name="_Toc14907"/>
      <w:r>
        <w:rPr>
          <w:rFonts w:hint="eastAsia" w:ascii="仿宋" w:hAnsi="仿宋" w:eastAsia="仿宋" w:cs="仿宋"/>
          <w:color w:val="auto"/>
          <w:sz w:val="24"/>
          <w:szCs w:val="24"/>
          <w:highlight w:val="none"/>
          <w:lang w:eastAsia="zh-CN"/>
        </w:rPr>
        <w:t>19</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大型排涝车B</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32"/>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27</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▲4.2.1发动机额定功率：≥2</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发动机额定功率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注：最优表示发动机额定功率最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，次优表示发动机额定功率仅次于最大值。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▲4.4.1.1单泵最大排水量（m3/h）≥3000</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泵浦系统</w:t>
            </w:r>
            <w:r>
              <w:rPr>
                <w:rFonts w:hint="eastAsia" w:ascii="仿宋" w:hAnsi="仿宋" w:eastAsia="仿宋" w:cs="仿宋"/>
                <w:color w:val="auto"/>
                <w:kern w:val="0"/>
                <w:sz w:val="24"/>
                <w:szCs w:val="24"/>
                <w:highlight w:val="none"/>
              </w:rPr>
              <w:t>单泵最大排水量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单泵最大排水量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单泵最大排水量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注：最优表示单泵最大排水量最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，次优表示单泵最大排水量仅次于最大值。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▲4.4.1.2水泵最大扬程（m）≥15</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泵浦系统</w:t>
            </w:r>
            <w:r>
              <w:rPr>
                <w:rFonts w:hint="eastAsia" w:ascii="仿宋" w:hAnsi="仿宋" w:eastAsia="仿宋" w:cs="仿宋"/>
                <w:color w:val="auto"/>
                <w:kern w:val="0"/>
                <w:sz w:val="24"/>
                <w:szCs w:val="24"/>
                <w:highlight w:val="none"/>
              </w:rPr>
              <w:t>水泵最大扬程</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水泵最大扬程</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水泵最大扬程</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注：最优表示水泵最大扬程最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，次优表示水泵最大扬程仅次于最大值。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▲4.4.1.3最大吸水深度（mm）≥500</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kern w:val="0"/>
                <w:sz w:val="24"/>
                <w:szCs w:val="24"/>
                <w:highlight w:val="none"/>
                <w:lang w:val="en-US" w:eastAsia="zh-CN"/>
              </w:rPr>
              <w:t>泵浦系统</w:t>
            </w:r>
            <w:r>
              <w:rPr>
                <w:rFonts w:hint="eastAsia" w:ascii="仿宋" w:hAnsi="仿宋" w:eastAsia="仿宋" w:cs="仿宋"/>
                <w:color w:val="auto"/>
                <w:kern w:val="0"/>
                <w:sz w:val="24"/>
                <w:szCs w:val="24"/>
                <w:highlight w:val="none"/>
              </w:rPr>
              <w:t>最大吸水深度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最大吸水深度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最大吸水深度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注：最优表示最大吸水深度最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，次优表示最大吸水深度仅次于最大值。</w:t>
            </w:r>
          </w:p>
        </w:tc>
        <w:tc>
          <w:tcPr>
            <w:tcW w:w="756" w:type="dxa"/>
            <w:vAlign w:val="center"/>
          </w:tcPr>
          <w:p>
            <w:pPr>
              <w:widowControl w:val="0"/>
              <w:spacing w:line="240" w:lineRule="auto"/>
              <w:jc w:val="center"/>
              <w:rPr>
                <w:rFonts w:hint="eastAsia" w:ascii="仿宋" w:hAnsi="仿宋" w:eastAsia="仿宋" w:cs="仿宋"/>
                <w:snapToGrid w:val="0"/>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要求的基础上，每有一条“一般参数”优于的加1分，本项最多加3分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33" w:name="_Toc26497"/>
      <w:r>
        <w:rPr>
          <w:rFonts w:hint="eastAsia" w:ascii="仿宋" w:hAnsi="仿宋" w:eastAsia="仿宋" w:cs="仿宋"/>
          <w:color w:val="auto"/>
          <w:sz w:val="24"/>
          <w:szCs w:val="24"/>
          <w:highlight w:val="none"/>
          <w:lang w:eastAsia="zh-CN"/>
        </w:rPr>
        <w:t>20</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前突皮卡车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33"/>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29</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▲4.2.1</w:t>
            </w:r>
            <w:r>
              <w:rPr>
                <w:rFonts w:hint="eastAsia" w:ascii="仿宋" w:hAnsi="仿宋" w:eastAsia="仿宋" w:cs="仿宋"/>
                <w:color w:val="auto"/>
                <w:kern w:val="0"/>
                <w:sz w:val="24"/>
                <w:szCs w:val="24"/>
                <w:highlight w:val="none"/>
                <w:lang w:val="en-US" w:eastAsia="zh-CN"/>
              </w:rPr>
              <w:t>最大</w:t>
            </w:r>
            <w:r>
              <w:rPr>
                <w:rFonts w:hint="eastAsia" w:ascii="仿宋" w:hAnsi="仿宋" w:eastAsia="仿宋" w:cs="仿宋"/>
                <w:color w:val="auto"/>
                <w:kern w:val="0"/>
                <w:sz w:val="24"/>
                <w:szCs w:val="24"/>
                <w:highlight w:val="none"/>
              </w:rPr>
              <w:t>功率：≥</w:t>
            </w:r>
            <w:r>
              <w:rPr>
                <w:rFonts w:hint="eastAsia" w:ascii="仿宋" w:hAnsi="仿宋" w:eastAsia="仿宋" w:cs="仿宋"/>
                <w:color w:val="auto"/>
                <w:kern w:val="0"/>
                <w:sz w:val="24"/>
                <w:szCs w:val="24"/>
                <w:highlight w:val="none"/>
                <w:lang w:val="en-US" w:eastAsia="zh-CN"/>
              </w:rPr>
              <w:t>13</w:t>
            </w:r>
            <w:r>
              <w:rPr>
                <w:rFonts w:hint="eastAsia" w:ascii="仿宋" w:hAnsi="仿宋" w:eastAsia="仿宋" w:cs="仿宋"/>
                <w:color w:val="auto"/>
                <w:kern w:val="0"/>
                <w:sz w:val="24"/>
                <w:szCs w:val="24"/>
                <w:highlight w:val="none"/>
              </w:rPr>
              <w:t>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底盘最大</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最大</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最大</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最大</w:t>
            </w:r>
            <w:r>
              <w:rPr>
                <w:rFonts w:hint="eastAsia" w:ascii="仿宋" w:hAnsi="仿宋" w:eastAsia="仿宋" w:cs="仿宋"/>
                <w:b/>
                <w:color w:val="auto"/>
                <w:kern w:val="0"/>
                <w:sz w:val="24"/>
                <w:szCs w:val="24"/>
                <w:highlight w:val="none"/>
              </w:rPr>
              <w:t>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最大</w:t>
            </w:r>
            <w:r>
              <w:rPr>
                <w:rFonts w:hint="eastAsia" w:ascii="仿宋" w:hAnsi="仿宋" w:eastAsia="仿宋" w:cs="仿宋"/>
                <w:b/>
                <w:color w:val="auto"/>
                <w:kern w:val="0"/>
                <w:sz w:val="24"/>
                <w:szCs w:val="24"/>
                <w:highlight w:val="none"/>
              </w:rPr>
              <w:t>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▲4.2.2最大扭矩：≥400N·m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底盘</w:t>
            </w:r>
            <w:r>
              <w:rPr>
                <w:rFonts w:hint="eastAsia" w:ascii="仿宋" w:hAnsi="仿宋" w:eastAsia="仿宋" w:cs="仿宋"/>
                <w:color w:val="auto"/>
                <w:kern w:val="0"/>
                <w:sz w:val="24"/>
                <w:szCs w:val="24"/>
                <w:highlight w:val="none"/>
              </w:rPr>
              <w:t>最大扭矩</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kern w:val="0"/>
                <w:sz w:val="24"/>
                <w:szCs w:val="24"/>
                <w:highlight w:val="none"/>
              </w:rPr>
              <w:t>最大扭矩</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kern w:val="0"/>
                <w:sz w:val="24"/>
                <w:szCs w:val="24"/>
                <w:highlight w:val="none"/>
              </w:rPr>
              <w:t>最大扭矩</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注：最优表示最大扭矩最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，次优表示最大扭矩仅次于最大值。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要求的基础上，每有一条“一般参数”优于的加1分，本项最多加7分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color w:val="auto"/>
          <w:sz w:val="24"/>
          <w:szCs w:val="24"/>
          <w:highlight w:val="none"/>
          <w:lang w:eastAsia="zh-CN"/>
        </w:rPr>
      </w:pPr>
      <w:bookmarkStart w:id="434" w:name="_Toc7998"/>
      <w:r>
        <w:rPr>
          <w:rFonts w:hint="eastAsia" w:ascii="仿宋" w:hAnsi="仿宋" w:eastAsia="仿宋" w:cs="仿宋"/>
          <w:color w:val="auto"/>
          <w:sz w:val="24"/>
          <w:szCs w:val="24"/>
          <w:highlight w:val="none"/>
          <w:lang w:eastAsia="zh-CN"/>
        </w:rPr>
        <w:t>21</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指挥通信车 </w:t>
      </w:r>
      <w:r>
        <w:rPr>
          <w:rFonts w:hint="eastAsia" w:ascii="仿宋" w:hAnsi="仿宋" w:eastAsia="仿宋" w:cs="仿宋"/>
          <w:color w:val="auto"/>
          <w:sz w:val="24"/>
          <w:szCs w:val="24"/>
          <w:highlight w:val="none"/>
        </w:rPr>
        <w:t>的评审规则如下：</w:t>
      </w:r>
      <w:bookmarkEnd w:id="434"/>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19</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snapToGrid/>
                <w:color w:val="auto"/>
                <w:kern w:val="2"/>
                <w:sz w:val="24"/>
                <w:szCs w:val="24"/>
                <w:highlight w:val="none"/>
                <w:lang w:eastAsia="zh-CN"/>
              </w:rPr>
              <w:t>▲</w:t>
            </w:r>
            <w:r>
              <w:rPr>
                <w:rFonts w:hint="eastAsia" w:ascii="仿宋" w:hAnsi="仿宋" w:eastAsia="仿宋" w:cs="仿宋"/>
                <w:snapToGrid/>
                <w:color w:val="auto"/>
                <w:kern w:val="2"/>
                <w:sz w:val="24"/>
                <w:szCs w:val="24"/>
                <w:highlight w:val="none"/>
                <w:lang w:val="en-US" w:eastAsia="zh-CN"/>
              </w:rPr>
              <w:t xml:space="preserve">4.1.1.8 </w:t>
            </w:r>
            <w:r>
              <w:rPr>
                <w:rFonts w:hint="eastAsia" w:ascii="仿宋" w:hAnsi="仿宋" w:eastAsia="仿宋" w:cs="仿宋"/>
                <w:snapToGrid/>
                <w:color w:val="auto"/>
                <w:kern w:val="2"/>
                <w:sz w:val="24"/>
                <w:szCs w:val="24"/>
                <w:highlight w:val="none"/>
                <w:lang w:eastAsia="zh-CN"/>
              </w:rPr>
              <w:t>额定功率：≥200kw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指挥通信车额定</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额定</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额定</w:t>
            </w:r>
            <w:r>
              <w:rPr>
                <w:rFonts w:hint="eastAsia" w:ascii="仿宋" w:hAnsi="仿宋" w:eastAsia="仿宋" w:cs="仿宋"/>
                <w:color w:val="auto"/>
                <w:kern w:val="0"/>
                <w:sz w:val="24"/>
                <w:szCs w:val="24"/>
                <w:highlight w:val="none"/>
              </w:rPr>
              <w:t>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额定</w:t>
            </w:r>
            <w:r>
              <w:rPr>
                <w:rFonts w:hint="eastAsia" w:ascii="仿宋" w:hAnsi="仿宋" w:eastAsia="仿宋" w:cs="仿宋"/>
                <w:b/>
                <w:color w:val="auto"/>
                <w:kern w:val="0"/>
                <w:sz w:val="24"/>
                <w:szCs w:val="24"/>
                <w:highlight w:val="none"/>
              </w:rPr>
              <w:t>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额定</w:t>
            </w:r>
            <w:r>
              <w:rPr>
                <w:rFonts w:hint="eastAsia" w:ascii="仿宋" w:hAnsi="仿宋" w:eastAsia="仿宋" w:cs="仿宋"/>
                <w:b/>
                <w:color w:val="auto"/>
                <w:kern w:val="0"/>
                <w:sz w:val="24"/>
                <w:szCs w:val="24"/>
                <w:highlight w:val="none"/>
              </w:rPr>
              <w:t>功率仅次于最大值。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▲4.1.1.11 悬挂系统：最大升降高度≥8公分</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指挥通信车悬挂系统最大升降高度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最大升降高度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最大升降高度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最大升降高度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最大升降高度</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▲4.5.1.1 </w:t>
            </w:r>
            <w:r>
              <w:rPr>
                <w:rFonts w:hint="eastAsia" w:ascii="仿宋" w:hAnsi="仿宋" w:eastAsia="仿宋" w:cs="仿宋"/>
                <w:color w:val="auto"/>
                <w:sz w:val="24"/>
                <w:szCs w:val="24"/>
                <w:highlight w:val="none"/>
              </w:rPr>
              <w:t>CPU主频≥667MHz</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所投产品集中控制主机CPU主频优于招标文件要求的，CPU主频最优的加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分，CPU主频次优的加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注：最优表示CPU主频最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，次优表示CPU主频仅次于最大值。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▲4.6.1.14 </w:t>
            </w:r>
            <w:r>
              <w:rPr>
                <w:rFonts w:hint="eastAsia" w:ascii="仿宋" w:hAnsi="仿宋" w:eastAsia="仿宋" w:cs="仿宋"/>
                <w:color w:val="auto"/>
                <w:sz w:val="24"/>
                <w:szCs w:val="24"/>
                <w:highlight w:val="none"/>
              </w:rPr>
              <w:t>功耗：≤4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所投产品车载动中通卫星通信天线</w:t>
            </w:r>
            <w:r>
              <w:rPr>
                <w:rFonts w:hint="eastAsia" w:ascii="仿宋" w:hAnsi="仿宋" w:eastAsia="仿宋" w:cs="仿宋"/>
                <w:color w:val="auto"/>
                <w:sz w:val="24"/>
                <w:szCs w:val="24"/>
                <w:highlight w:val="none"/>
                <w:lang w:val="en-US" w:eastAsia="zh-CN"/>
              </w:rPr>
              <w:t>功耗</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功耗</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功耗</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功耗</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功耗</w:t>
            </w:r>
            <w:r>
              <w:rPr>
                <w:rFonts w:hint="eastAsia" w:ascii="仿宋" w:hAnsi="仿宋" w:eastAsia="仿宋" w:cs="仿宋"/>
                <w:b/>
                <w:color w:val="auto"/>
                <w:kern w:val="0"/>
                <w:sz w:val="24"/>
                <w:szCs w:val="24"/>
                <w:highlight w:val="none"/>
              </w:rPr>
              <w:t>仅次于最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值。</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▲4.6.3.1 功放功率≥40W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所投产品高功率放大器功放功率优于招标文件要求的，功放功率最优的加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分，功放功率次优的加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注：最优表示功放功率最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，次优表示功放功率仅次于最大值。</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 xml:space="preserve">4.10.6.7 </w:t>
            </w:r>
            <w:r>
              <w:rPr>
                <w:rFonts w:hint="eastAsia" w:ascii="仿宋" w:hAnsi="仿宋" w:eastAsia="仿宋" w:cs="仿宋"/>
                <w:color w:val="auto"/>
                <w:sz w:val="24"/>
                <w:szCs w:val="24"/>
                <w:highlight w:val="none"/>
              </w:rPr>
              <w:t>灵敏度（误码率为5%时）≤-116dBm</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所投产品车载语音中继台</w:t>
            </w:r>
            <w:r>
              <w:rPr>
                <w:rFonts w:hint="eastAsia" w:ascii="仿宋" w:hAnsi="仿宋" w:eastAsia="仿宋" w:cs="仿宋"/>
                <w:color w:val="auto"/>
                <w:sz w:val="24"/>
                <w:szCs w:val="24"/>
                <w:highlight w:val="none"/>
                <w:lang w:val="en-US" w:eastAsia="zh-CN"/>
              </w:rPr>
              <w:t>灵敏度</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灵敏度</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灵敏度</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color w:val="auto"/>
                <w:kern w:val="0"/>
                <w:sz w:val="24"/>
                <w:szCs w:val="24"/>
                <w:highlight w:val="none"/>
                <w:lang w:val="en-US" w:eastAsia="zh-CN"/>
              </w:rPr>
              <w:t>灵敏度</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，次优表示</w:t>
            </w:r>
            <w:r>
              <w:rPr>
                <w:rFonts w:hint="eastAsia" w:ascii="仿宋" w:hAnsi="仿宋" w:eastAsia="仿宋" w:cs="仿宋"/>
                <w:b/>
                <w:color w:val="auto"/>
                <w:kern w:val="0"/>
                <w:sz w:val="24"/>
                <w:szCs w:val="24"/>
                <w:highlight w:val="none"/>
                <w:lang w:val="en-US" w:eastAsia="zh-CN"/>
              </w:rPr>
              <w:t>灵敏度</w:t>
            </w:r>
            <w:r>
              <w:rPr>
                <w:rFonts w:hint="eastAsia" w:ascii="仿宋" w:hAnsi="仿宋" w:eastAsia="仿宋" w:cs="仿宋"/>
                <w:b/>
                <w:color w:val="auto"/>
                <w:kern w:val="0"/>
                <w:sz w:val="24"/>
                <w:szCs w:val="24"/>
                <w:highlight w:val="none"/>
              </w:rPr>
              <w:t>仅次于最</w:t>
            </w:r>
            <w:r>
              <w:rPr>
                <w:rFonts w:hint="eastAsia" w:ascii="仿宋" w:hAnsi="仿宋" w:eastAsia="仿宋" w:cs="仿宋"/>
                <w:b/>
                <w:color w:val="auto"/>
                <w:kern w:val="0"/>
                <w:sz w:val="24"/>
                <w:szCs w:val="24"/>
                <w:highlight w:val="none"/>
                <w:lang w:val="en-US" w:eastAsia="zh-CN"/>
              </w:rPr>
              <w:t>小</w:t>
            </w:r>
            <w:r>
              <w:rPr>
                <w:rFonts w:hint="eastAsia" w:ascii="仿宋" w:hAnsi="仿宋" w:eastAsia="仿宋" w:cs="仿宋"/>
                <w:b/>
                <w:color w:val="auto"/>
                <w:kern w:val="0"/>
                <w:sz w:val="24"/>
                <w:szCs w:val="24"/>
                <w:highlight w:val="none"/>
              </w:rPr>
              <w:t>值。</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bCs/>
                <w:color w:val="auto"/>
                <w:kern w:val="0"/>
                <w:sz w:val="24"/>
                <w:szCs w:val="24"/>
                <w:highlight w:val="none"/>
              </w:rPr>
              <w:t>一般参数</w:t>
            </w:r>
          </w:p>
        </w:tc>
        <w:tc>
          <w:tcPr>
            <w:tcW w:w="7016" w:type="dxa"/>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要求的基础上，每有一条“一般参数”优于的加1分，本项最多加5分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01" w:type="dxa"/>
            <w:vMerge w:val="continue"/>
          </w:tcPr>
          <w:p>
            <w:pPr>
              <w:keepNext/>
              <w:widowControl w:val="0"/>
              <w:spacing w:line="240" w:lineRule="auto"/>
              <w:jc w:val="center"/>
              <w:outlineLvl w:val="0"/>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eastAsia="zh-CN"/>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bidi w:val="0"/>
        <w:rPr>
          <w:rFonts w:hint="eastAsia"/>
          <w:color w:val="auto"/>
          <w:highlight w:val="none"/>
          <w:lang w:eastAsia="zh-CN"/>
        </w:rPr>
      </w:pPr>
    </w:p>
    <w:p>
      <w:pPr>
        <w:pStyle w:val="4"/>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Autospacing="0" w:line="240" w:lineRule="auto"/>
        <w:ind w:firstLine="482" w:firstLineChars="200"/>
        <w:textAlignment w:val="baseline"/>
        <w:rPr>
          <w:rFonts w:hint="eastAsia" w:ascii="仿宋" w:hAnsi="仿宋" w:eastAsia="仿宋" w:cs="仿宋"/>
          <w:b/>
          <w:bCs/>
          <w:color w:val="auto"/>
          <w:spacing w:val="0"/>
          <w:sz w:val="24"/>
          <w:szCs w:val="24"/>
          <w:highlight w:val="none"/>
          <w:lang w:val="en-US" w:eastAsia="zh-CN"/>
        </w:rPr>
      </w:pPr>
      <w:bookmarkStart w:id="435" w:name="_Toc32337"/>
      <w:r>
        <w:rPr>
          <w:rFonts w:hint="eastAsia" w:ascii="仿宋" w:hAnsi="仿宋" w:eastAsia="仿宋" w:cs="仿宋"/>
          <w:color w:val="auto"/>
          <w:sz w:val="24"/>
          <w:szCs w:val="24"/>
          <w:highlight w:val="none"/>
          <w:lang w:eastAsia="zh-CN"/>
        </w:rPr>
        <w:t>22</w:t>
      </w:r>
      <w:r>
        <w:rPr>
          <w:rFonts w:hint="eastAsia" w:ascii="仿宋" w:hAnsi="仿宋" w:eastAsia="仿宋" w:cs="仿宋"/>
          <w:color w:val="auto"/>
          <w:sz w:val="24"/>
          <w:szCs w:val="24"/>
          <w:highlight w:val="none"/>
        </w:rPr>
        <w:t>包</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指挥方舱车</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的评审规则如下：</w:t>
      </w:r>
      <w:bookmarkEnd w:id="435"/>
    </w:p>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一、价格部分（</w:t>
      </w:r>
      <w:r>
        <w:rPr>
          <w:rFonts w:ascii="仿宋" w:hAnsi="仿宋" w:eastAsia="仿宋"/>
          <w:color w:val="auto"/>
          <w:sz w:val="24"/>
          <w:szCs w:val="24"/>
          <w:highlight w:val="none"/>
        </w:rPr>
        <w:t>30分）</w:t>
      </w:r>
    </w:p>
    <w:tbl>
      <w:tblPr>
        <w:tblStyle w:val="44"/>
        <w:tblW w:w="9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1350"/>
        <w:gridCol w:w="6933"/>
        <w:gridCol w:w="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8" w:type="dxa"/>
            <w:vAlign w:val="center"/>
          </w:tcPr>
          <w:p>
            <w:pPr>
              <w:widowControl w:val="0"/>
              <w:spacing w:line="46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350" w:type="dxa"/>
            <w:vAlign w:val="center"/>
          </w:tcPr>
          <w:p>
            <w:pPr>
              <w:widowControl w:val="0"/>
              <w:spacing w:line="46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6933" w:type="dxa"/>
            <w:vAlign w:val="center"/>
          </w:tcPr>
          <w:p>
            <w:pPr>
              <w:widowControl w:val="0"/>
              <w:spacing w:line="460" w:lineRule="exact"/>
              <w:jc w:val="center"/>
              <w:textAlignment w:val="center"/>
              <w:rPr>
                <w:rFonts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评分标准</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8"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1</w:t>
            </w:r>
          </w:p>
        </w:tc>
        <w:tc>
          <w:tcPr>
            <w:tcW w:w="1350" w:type="dxa"/>
            <w:vAlign w:val="center"/>
          </w:tcPr>
          <w:p>
            <w:pPr>
              <w:widowControl w:val="0"/>
              <w:spacing w:line="46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w:t>
            </w:r>
          </w:p>
        </w:tc>
        <w:tc>
          <w:tcPr>
            <w:tcW w:w="6933" w:type="dxa"/>
            <w:vAlign w:val="center"/>
          </w:tcPr>
          <w:p>
            <w:pPr>
              <w:widowControl w:val="0"/>
              <w:spacing w:line="240" w:lineRule="auto"/>
              <w:jc w:val="left"/>
              <w:textAlignment w:val="center"/>
              <w:rPr>
                <w:rFonts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价</w:t>
            </w:r>
            <w:r>
              <w:rPr>
                <w:rFonts w:ascii="仿宋" w:hAnsi="仿宋" w:eastAsia="仿宋" w:cs="仿宋"/>
                <w:b w:val="0"/>
                <w:bCs w:val="0"/>
                <w:color w:val="auto"/>
                <w:sz w:val="24"/>
                <w:szCs w:val="24"/>
                <w:highlight w:val="none"/>
              </w:rPr>
              <w:t>格分采用低价优先法计算，即满足招标文件要求且投标价格最低的投标报价为评标基准价，其价格分为满分。其他投标人的价格分统一按下列公式计算：</w:t>
            </w:r>
          </w:p>
          <w:p>
            <w:pPr>
              <w:widowControl w:val="0"/>
              <w:spacing w:line="240" w:lineRule="auto"/>
              <w:jc w:val="left"/>
              <w:textAlignment w:val="center"/>
              <w:rPr>
                <w:rFonts w:hint="eastAsia" w:ascii="仿宋" w:hAnsi="仿宋" w:eastAsia="仿宋" w:cs="仿宋"/>
                <w:b w:val="0"/>
                <w:bCs w:val="0"/>
                <w:color w:val="auto"/>
                <w:sz w:val="24"/>
                <w:szCs w:val="24"/>
                <w:highlight w:val="none"/>
                <w:lang w:val="en-US" w:eastAsia="zh-CN"/>
              </w:rPr>
            </w:pPr>
            <w:r>
              <w:rPr>
                <w:rFonts w:ascii="仿宋" w:hAnsi="仿宋" w:eastAsia="仿宋" w:cs="仿宋"/>
                <w:b w:val="0"/>
                <w:bCs w:val="0"/>
                <w:color w:val="auto"/>
                <w:sz w:val="24"/>
                <w:szCs w:val="24"/>
                <w:highlight w:val="none"/>
              </w:rPr>
              <w:t>投标报价得分=（评标基准价/投标报价）×</w:t>
            </w:r>
            <w:r>
              <w:rPr>
                <w:rFonts w:hint="eastAsia" w:ascii="仿宋" w:hAnsi="仿宋" w:eastAsia="仿宋" w:cs="仿宋"/>
                <w:b w:val="0"/>
                <w:bCs w:val="0"/>
                <w:color w:val="auto"/>
                <w:sz w:val="24"/>
                <w:szCs w:val="24"/>
                <w:highlight w:val="none"/>
              </w:rPr>
              <w:t>30</w:t>
            </w:r>
            <w:r>
              <w:rPr>
                <w:rFonts w:hint="eastAsia" w:ascii="仿宋" w:hAnsi="仿宋" w:eastAsia="仿宋" w:cs="仿宋"/>
                <w:b w:val="0"/>
                <w:bCs w:val="0"/>
                <w:color w:val="auto"/>
                <w:sz w:val="24"/>
                <w:szCs w:val="24"/>
                <w:highlight w:val="none"/>
                <w:lang w:val="en-US" w:eastAsia="zh-CN"/>
              </w:rPr>
              <w:t>%*100</w:t>
            </w:r>
          </w:p>
          <w:p>
            <w:pPr>
              <w:widowControl w:val="0"/>
              <w:spacing w:line="240" w:lineRule="auto"/>
              <w:jc w:val="left"/>
              <w:textAlignment w:val="center"/>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计算分数时四舍五入取小数点后两位。</w:t>
            </w:r>
          </w:p>
          <w:p>
            <w:pPr>
              <w:widowControl w:val="0"/>
              <w:spacing w:line="240" w:lineRule="auto"/>
              <w:jc w:val="left"/>
              <w:textAlignment w:val="center"/>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注：本项目非专门面向中小企业采购的项目，对小型、微型企业、监狱企业及残疾人福利性单位产品的价格给予10%的扣除，用扣除后的价格参与评审</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rPr>
              <w:t>投标人同属以上优惠类型企业的，不重复享受政策优惠。</w:t>
            </w:r>
          </w:p>
        </w:tc>
        <w:tc>
          <w:tcPr>
            <w:tcW w:w="792" w:type="dxa"/>
            <w:vAlign w:val="center"/>
          </w:tcPr>
          <w:p>
            <w:pPr>
              <w:widowControl w:val="0"/>
              <w:spacing w:line="460" w:lineRule="exact"/>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t>30分</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二、技术部分（</w:t>
      </w:r>
      <w:r>
        <w:rPr>
          <w:rFonts w:hint="eastAsia" w:ascii="仿宋" w:hAnsi="仿宋" w:eastAsia="仿宋"/>
          <w:color w:val="auto"/>
          <w:sz w:val="24"/>
          <w:szCs w:val="24"/>
          <w:highlight w:val="none"/>
          <w:lang w:val="en-US" w:eastAsia="zh-CN"/>
        </w:rPr>
        <w:t>53</w:t>
      </w:r>
      <w:r>
        <w:rPr>
          <w:rFonts w:hint="eastAsia" w:ascii="仿宋" w:hAnsi="仿宋" w:eastAsia="仿宋"/>
          <w:color w:val="auto"/>
          <w:sz w:val="24"/>
          <w:szCs w:val="24"/>
          <w:highlight w:val="none"/>
        </w:rPr>
        <w:t>分）</w:t>
      </w:r>
    </w:p>
    <w:tbl>
      <w:tblPr>
        <w:tblStyle w:val="44"/>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350"/>
        <w:gridCol w:w="7016"/>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blHeader/>
          <w:jc w:val="center"/>
        </w:trPr>
        <w:tc>
          <w:tcPr>
            <w:tcW w:w="801"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350"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评审因素</w:t>
            </w:r>
          </w:p>
        </w:tc>
        <w:tc>
          <w:tcPr>
            <w:tcW w:w="701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评分标准</w:t>
            </w:r>
          </w:p>
        </w:tc>
        <w:tc>
          <w:tcPr>
            <w:tcW w:w="756" w:type="dxa"/>
            <w:vAlign w:val="center"/>
          </w:tcPr>
          <w:p>
            <w:pPr>
              <w:widowControl w:val="0"/>
              <w:spacing w:line="460" w:lineRule="exact"/>
              <w:jc w:val="center"/>
              <w:textAlignment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1</w:t>
            </w:r>
          </w:p>
        </w:tc>
        <w:tc>
          <w:tcPr>
            <w:tcW w:w="1350"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技术参数及要求</w:t>
            </w:r>
          </w:p>
        </w:tc>
        <w:tc>
          <w:tcPr>
            <w:tcW w:w="7016" w:type="dxa"/>
          </w:tcPr>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一、重大负偏离评审依据：</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1、带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参数为实质性响应，所投产品</w:t>
            </w:r>
            <w:r>
              <w:rPr>
                <w:rFonts w:ascii="仿宋" w:hAnsi="仿宋" w:eastAsia="仿宋" w:cs="仿宋"/>
                <w:bCs/>
                <w:color w:val="auto"/>
                <w:sz w:val="24"/>
                <w:highlight w:val="none"/>
              </w:rPr>
              <w:t>不满足招标文件要求的，</w:t>
            </w:r>
            <w:r>
              <w:rPr>
                <w:rFonts w:hint="eastAsia" w:ascii="仿宋" w:hAnsi="仿宋" w:eastAsia="仿宋" w:cs="仿宋"/>
                <w:bCs/>
                <w:color w:val="auto"/>
                <w:sz w:val="24"/>
                <w:highlight w:val="none"/>
                <w:lang w:val="en-US" w:eastAsia="zh-CN"/>
              </w:rPr>
              <w:t>或有缺项、漏项的，</w:t>
            </w:r>
            <w:r>
              <w:rPr>
                <w:rFonts w:ascii="仿宋" w:hAnsi="仿宋" w:eastAsia="仿宋" w:cs="仿宋"/>
                <w:bCs/>
                <w:color w:val="auto"/>
                <w:sz w:val="24"/>
                <w:highlight w:val="none"/>
              </w:rPr>
              <w:t>视为重大负偏离；</w:t>
            </w:r>
          </w:p>
          <w:p>
            <w:pPr>
              <w:widowControl w:val="0"/>
              <w:spacing w:line="240" w:lineRule="auto"/>
              <w:jc w:val="left"/>
              <w:rPr>
                <w:rFonts w:ascii="仿宋" w:hAnsi="仿宋" w:eastAsia="仿宋" w:cs="仿宋"/>
                <w:bCs/>
                <w:color w:val="auto"/>
                <w:sz w:val="24"/>
                <w:highlight w:val="none"/>
              </w:rPr>
            </w:pPr>
            <w:r>
              <w:rPr>
                <w:rFonts w:ascii="仿宋" w:hAnsi="仿宋" w:eastAsia="仿宋" w:cs="仿宋"/>
                <w:bCs/>
                <w:color w:val="auto"/>
                <w:sz w:val="24"/>
                <w:highlight w:val="none"/>
              </w:rPr>
              <w:t>2、</w:t>
            </w:r>
            <w:r>
              <w:rPr>
                <w:rFonts w:hint="eastAsia" w:ascii="仿宋" w:hAnsi="仿宋" w:eastAsia="仿宋" w:cs="仿宋"/>
                <w:bCs/>
                <w:color w:val="auto"/>
                <w:sz w:val="24"/>
                <w:highlight w:val="none"/>
                <w:lang w:val="en-US" w:eastAsia="zh-CN"/>
              </w:rPr>
              <w:t>除带</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lang w:val="en-US" w:eastAsia="zh-CN"/>
              </w:rPr>
              <w:t>的参数均视为一般参数，</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有</w:t>
            </w:r>
            <w:r>
              <w:rPr>
                <w:rFonts w:hint="eastAsia" w:ascii="仿宋" w:hAnsi="仿宋" w:eastAsia="仿宋" w:cs="仿宋"/>
                <w:bCs/>
                <w:color w:val="auto"/>
                <w:sz w:val="24"/>
                <w:highlight w:val="none"/>
                <w:lang w:eastAsia="zh-CN"/>
              </w:rPr>
              <w:t>四</w:t>
            </w:r>
            <w:r>
              <w:rPr>
                <w:rFonts w:ascii="仿宋" w:hAnsi="仿宋" w:eastAsia="仿宋" w:cs="仿宋"/>
                <w:bCs/>
                <w:color w:val="auto"/>
                <w:sz w:val="24"/>
                <w:highlight w:val="none"/>
              </w:rPr>
              <w:t>项及以上（含本数）的负偏离，视为重大负偏离；</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二、负偏离评审依据：</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3</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hint="eastAsia" w:ascii="仿宋" w:hAnsi="仿宋" w:eastAsia="仿宋" w:cs="仿宋"/>
                <w:bCs/>
                <w:color w:val="auto"/>
                <w:sz w:val="24"/>
                <w:highlight w:val="none"/>
                <w:lang w:val="en-US" w:eastAsia="zh-CN"/>
              </w:rPr>
              <w:t>每有</w:t>
            </w:r>
            <w:r>
              <w:rPr>
                <w:rFonts w:ascii="仿宋" w:hAnsi="仿宋" w:eastAsia="仿宋" w:cs="仿宋"/>
                <w:bCs/>
                <w:color w:val="auto"/>
                <w:sz w:val="24"/>
                <w:highlight w:val="none"/>
              </w:rPr>
              <w:t>一项低于招标文件要求，该项视为负偏离；</w:t>
            </w:r>
          </w:p>
          <w:p>
            <w:pPr>
              <w:widowControl w:val="0"/>
              <w:spacing w:line="240" w:lineRule="auto"/>
              <w:jc w:val="left"/>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4</w:t>
            </w:r>
            <w:r>
              <w:rPr>
                <w:rFonts w:ascii="仿宋" w:hAnsi="仿宋" w:eastAsia="仿宋" w:cs="仿宋"/>
                <w:bCs/>
                <w:color w:val="auto"/>
                <w:sz w:val="24"/>
                <w:highlight w:val="none"/>
              </w:rPr>
              <w:t>、所投产品</w:t>
            </w:r>
            <w:r>
              <w:rPr>
                <w:rFonts w:hint="eastAsia" w:ascii="仿宋" w:hAnsi="仿宋" w:eastAsia="仿宋" w:cs="仿宋"/>
                <w:bCs/>
                <w:color w:val="auto"/>
                <w:sz w:val="24"/>
                <w:highlight w:val="none"/>
              </w:rPr>
              <w:t>一般参数</w:t>
            </w:r>
            <w:r>
              <w:rPr>
                <w:rFonts w:ascii="仿宋" w:hAnsi="仿宋" w:eastAsia="仿宋" w:cs="仿宋"/>
                <w:bCs/>
                <w:color w:val="auto"/>
                <w:sz w:val="24"/>
                <w:highlight w:val="none"/>
              </w:rPr>
              <w:t>缺项、漏项一项技术响应条款的，该项视为负偏离。</w:t>
            </w:r>
          </w:p>
          <w:p>
            <w:pPr>
              <w:widowControl w:val="0"/>
              <w:spacing w:line="240" w:lineRule="auto"/>
              <w:jc w:val="left"/>
              <w:rPr>
                <w:rFonts w:ascii="仿宋" w:hAnsi="仿宋" w:eastAsia="仿宋" w:cs="仿宋"/>
                <w:b/>
                <w:bCs/>
                <w:color w:val="auto"/>
                <w:kern w:val="0"/>
                <w:sz w:val="24"/>
                <w:highlight w:val="none"/>
              </w:rPr>
            </w:pPr>
            <w:r>
              <w:rPr>
                <w:rFonts w:hint="eastAsia" w:ascii="仿宋" w:hAnsi="仿宋" w:eastAsia="仿宋" w:cs="仿宋"/>
                <w:b/>
                <w:bCs/>
                <w:color w:val="auto"/>
                <w:kern w:val="0"/>
                <w:sz w:val="24"/>
                <w:highlight w:val="none"/>
              </w:rPr>
              <w:t>注：“一般参数”为非标“▲”号参数。</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评审依据：</w:t>
            </w:r>
          </w:p>
          <w:p>
            <w:pPr>
              <w:widowControl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①投标文件中提供的技术响应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sz w:val="24"/>
                <w:szCs w:val="24"/>
                <w:highlight w:val="none"/>
              </w:rPr>
              <w:t>②所投产品技术参数完全满足招标文件要求得满分；</w:t>
            </w:r>
            <w:r>
              <w:rPr>
                <w:rFonts w:hint="eastAsia" w:ascii="仿宋" w:hAnsi="仿宋" w:eastAsia="仿宋" w:cs="仿宋"/>
                <w:b/>
                <w:bCs/>
                <w:color w:val="auto"/>
                <w:sz w:val="24"/>
                <w:szCs w:val="24"/>
                <w:highlight w:val="none"/>
                <w:lang w:val="en-US" w:eastAsia="zh-CN"/>
              </w:rPr>
              <w:t>有</w:t>
            </w:r>
            <w:r>
              <w:rPr>
                <w:rFonts w:hint="eastAsia" w:ascii="仿宋" w:hAnsi="仿宋" w:eastAsia="仿宋" w:cs="仿宋"/>
                <w:b/>
                <w:bCs/>
                <w:color w:val="auto"/>
                <w:sz w:val="24"/>
                <w:szCs w:val="24"/>
                <w:highlight w:val="none"/>
              </w:rPr>
              <w:t>重大负偏离则视为无效投标；</w:t>
            </w:r>
            <w:r>
              <w:rPr>
                <w:rFonts w:hint="eastAsia" w:ascii="仿宋" w:hAnsi="仿宋" w:eastAsia="仿宋" w:cs="仿宋"/>
                <w:b/>
                <w:bCs/>
                <w:color w:val="auto"/>
                <w:sz w:val="24"/>
                <w:szCs w:val="24"/>
                <w:highlight w:val="none"/>
                <w:lang w:val="en-US" w:eastAsia="zh-CN"/>
              </w:rPr>
              <w:t>一般参数</w:t>
            </w:r>
            <w:r>
              <w:rPr>
                <w:rFonts w:hint="eastAsia" w:ascii="仿宋" w:hAnsi="仿宋" w:eastAsia="仿宋" w:cs="仿宋"/>
                <w:b/>
                <w:bCs/>
                <w:color w:val="auto"/>
                <w:sz w:val="24"/>
                <w:szCs w:val="24"/>
                <w:highlight w:val="none"/>
              </w:rPr>
              <w:t>每有一项负偏离减</w:t>
            </w:r>
            <w:r>
              <w:rPr>
                <w:rFonts w:ascii="仿宋" w:hAnsi="仿宋" w:eastAsia="仿宋" w:cs="仿宋"/>
                <w:b/>
                <w:bCs/>
                <w:color w:val="auto"/>
                <w:sz w:val="24"/>
                <w:szCs w:val="24"/>
                <w:highlight w:val="none"/>
              </w:rPr>
              <w:t>5</w:t>
            </w:r>
            <w:r>
              <w:rPr>
                <w:rFonts w:hint="eastAsia" w:ascii="仿宋" w:hAnsi="仿宋" w:eastAsia="仿宋" w:cs="仿宋"/>
                <w:b/>
                <w:bCs/>
                <w:color w:val="auto"/>
                <w:sz w:val="24"/>
                <w:szCs w:val="24"/>
                <w:highlight w:val="none"/>
              </w:rPr>
              <w:t>分，最多减</w:t>
            </w: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分，</w:t>
            </w: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项或以上负偏离视为无效投标。</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23</w:t>
            </w:r>
            <w:r>
              <w:rPr>
                <w:rFonts w:hint="eastAsia"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2</w:t>
            </w: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7、最大输出功率：≥</w:t>
            </w:r>
            <w:r>
              <w:rPr>
                <w:rFonts w:hint="eastAsia" w:ascii="仿宋" w:hAnsi="仿宋" w:eastAsia="仿宋" w:cs="仿宋"/>
                <w:color w:val="auto"/>
                <w:kern w:val="0"/>
                <w:sz w:val="24"/>
                <w:szCs w:val="24"/>
                <w:highlight w:val="none"/>
                <w:lang w:val="en-US" w:eastAsia="zh-CN"/>
              </w:rPr>
              <w:t>300</w:t>
            </w:r>
            <w:r>
              <w:rPr>
                <w:rFonts w:hint="eastAsia" w:ascii="仿宋" w:hAnsi="仿宋" w:eastAsia="仿宋" w:cs="仿宋"/>
                <w:color w:val="auto"/>
                <w:kern w:val="0"/>
                <w:sz w:val="24"/>
                <w:szCs w:val="24"/>
                <w:highlight w:val="none"/>
              </w:rPr>
              <w:t>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牵引车最大输出功率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最大输出功率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最大输出功率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最大输出功率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最大输出功率</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1、额定功率（KW）≥30</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eastAsia="zh-CN"/>
              </w:rPr>
              <w:t>静音</w:t>
            </w:r>
            <w:r>
              <w:rPr>
                <w:rFonts w:hint="eastAsia" w:ascii="仿宋" w:hAnsi="仿宋" w:eastAsia="仿宋" w:cs="仿宋"/>
                <w:color w:val="auto"/>
                <w:sz w:val="24"/>
                <w:szCs w:val="24"/>
                <w:highlight w:val="none"/>
              </w:rPr>
              <w:t>发电机</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额定功率</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额定功率</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额定功率</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2、制冷量：≥16KW</w:t>
            </w:r>
          </w:p>
        </w:tc>
        <w:tc>
          <w:tcPr>
            <w:tcW w:w="7016" w:type="dxa"/>
            <w:vAlign w:val="center"/>
          </w:tcPr>
          <w:p>
            <w:pPr>
              <w:widowControl w:val="0"/>
              <w:spacing w:line="460" w:lineRule="exact"/>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所投产品</w:t>
            </w:r>
            <w:r>
              <w:rPr>
                <w:rFonts w:hint="eastAsia" w:ascii="仿宋" w:hAnsi="仿宋" w:eastAsia="仿宋" w:cs="仿宋"/>
                <w:color w:val="auto"/>
                <w:sz w:val="24"/>
                <w:szCs w:val="24"/>
                <w:highlight w:val="none"/>
                <w:lang w:val="en-US" w:eastAsia="zh-CN"/>
              </w:rPr>
              <w:t>车载空调制冷量</w:t>
            </w:r>
            <w:r>
              <w:rPr>
                <w:rFonts w:hint="eastAsia" w:ascii="仿宋" w:hAnsi="仿宋" w:eastAsia="仿宋" w:cs="仿宋"/>
                <w:color w:val="auto"/>
                <w:sz w:val="24"/>
                <w:szCs w:val="24"/>
                <w:highlight w:val="none"/>
              </w:rPr>
              <w:t>优于招标文件要求的，</w:t>
            </w:r>
            <w:r>
              <w:rPr>
                <w:rFonts w:hint="eastAsia" w:ascii="仿宋" w:hAnsi="仿宋" w:eastAsia="仿宋" w:cs="仿宋"/>
                <w:color w:val="auto"/>
                <w:sz w:val="24"/>
                <w:szCs w:val="24"/>
                <w:highlight w:val="none"/>
                <w:lang w:val="en-US" w:eastAsia="zh-CN"/>
              </w:rPr>
              <w:t>制冷量</w:t>
            </w:r>
            <w:r>
              <w:rPr>
                <w:rFonts w:hint="eastAsia" w:ascii="仿宋" w:hAnsi="仿宋" w:eastAsia="仿宋" w:cs="仿宋"/>
                <w:color w:val="auto"/>
                <w:sz w:val="24"/>
                <w:szCs w:val="24"/>
                <w:highlight w:val="none"/>
              </w:rPr>
              <w:t>最优的加</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val="en-US" w:eastAsia="zh-CN"/>
              </w:rPr>
              <w:t>制冷量</w:t>
            </w:r>
            <w:r>
              <w:rPr>
                <w:rFonts w:hint="eastAsia" w:ascii="仿宋" w:hAnsi="仿宋" w:eastAsia="仿宋" w:cs="仿宋"/>
                <w:color w:val="auto"/>
                <w:sz w:val="24"/>
                <w:szCs w:val="24"/>
                <w:highlight w:val="none"/>
              </w:rPr>
              <w:t>次优的加</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分，其余加1分。（可并列得分）</w:t>
            </w:r>
          </w:p>
          <w:p>
            <w:pPr>
              <w:widowControl w:val="0"/>
              <w:spacing w:line="240" w:lineRule="auto"/>
              <w:jc w:val="left"/>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
                <w:color w:val="auto"/>
                <w:kern w:val="0"/>
                <w:sz w:val="24"/>
                <w:szCs w:val="24"/>
                <w:highlight w:val="none"/>
              </w:rPr>
              <w:t>注：最优表示</w:t>
            </w:r>
            <w:r>
              <w:rPr>
                <w:rFonts w:hint="eastAsia" w:ascii="仿宋" w:hAnsi="仿宋" w:eastAsia="仿宋" w:cs="仿宋"/>
                <w:b/>
                <w:bCs/>
                <w:color w:val="auto"/>
                <w:sz w:val="24"/>
                <w:szCs w:val="24"/>
                <w:highlight w:val="none"/>
                <w:lang w:val="en-US" w:eastAsia="zh-CN"/>
              </w:rPr>
              <w:t>制冷量</w:t>
            </w:r>
            <w:r>
              <w:rPr>
                <w:rFonts w:hint="eastAsia" w:ascii="仿宋" w:hAnsi="仿宋" w:eastAsia="仿宋" w:cs="仿宋"/>
                <w:b/>
                <w:color w:val="auto"/>
                <w:kern w:val="0"/>
                <w:sz w:val="24"/>
                <w:szCs w:val="24"/>
                <w:highlight w:val="none"/>
              </w:rPr>
              <w:t>最</w:t>
            </w:r>
            <w:r>
              <w:rPr>
                <w:rFonts w:hint="eastAsia" w:ascii="仿宋" w:hAnsi="仿宋" w:eastAsia="仿宋" w:cs="仿宋"/>
                <w:b/>
                <w:color w:val="auto"/>
                <w:kern w:val="0"/>
                <w:sz w:val="24"/>
                <w:szCs w:val="24"/>
                <w:highlight w:val="none"/>
                <w:lang w:val="en-US" w:eastAsia="zh-CN"/>
              </w:rPr>
              <w:t>大</w:t>
            </w:r>
            <w:r>
              <w:rPr>
                <w:rFonts w:hint="eastAsia" w:ascii="仿宋" w:hAnsi="仿宋" w:eastAsia="仿宋" w:cs="仿宋"/>
                <w:b/>
                <w:color w:val="auto"/>
                <w:kern w:val="0"/>
                <w:sz w:val="24"/>
                <w:szCs w:val="24"/>
                <w:highlight w:val="none"/>
              </w:rPr>
              <w:t>，次优表示</w:t>
            </w:r>
            <w:r>
              <w:rPr>
                <w:rFonts w:hint="eastAsia" w:ascii="仿宋" w:hAnsi="仿宋" w:eastAsia="仿宋" w:cs="仿宋"/>
                <w:b/>
                <w:bCs/>
                <w:color w:val="auto"/>
                <w:sz w:val="24"/>
                <w:szCs w:val="24"/>
                <w:highlight w:val="none"/>
                <w:lang w:val="en-US" w:eastAsia="zh-CN"/>
              </w:rPr>
              <w:t>制冷量</w:t>
            </w:r>
            <w:r>
              <w:rPr>
                <w:rFonts w:hint="eastAsia" w:ascii="仿宋" w:hAnsi="仿宋" w:eastAsia="仿宋" w:cs="仿宋"/>
                <w:b/>
                <w:color w:val="auto"/>
                <w:kern w:val="0"/>
                <w:sz w:val="24"/>
                <w:szCs w:val="24"/>
                <w:highlight w:val="none"/>
              </w:rPr>
              <w:t>仅次于最大值。</w:t>
            </w:r>
          </w:p>
        </w:tc>
        <w:tc>
          <w:tcPr>
            <w:tcW w:w="756" w:type="dxa"/>
            <w:vAlign w:val="center"/>
          </w:tcPr>
          <w:p>
            <w:pPr>
              <w:widowControl w:val="0"/>
              <w:spacing w:line="240" w:lineRule="auto"/>
              <w:jc w:val="center"/>
              <w:rPr>
                <w:rFonts w:hint="default"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bCs/>
                <w:color w:val="auto"/>
                <w:kern w:val="0"/>
                <w:sz w:val="24"/>
                <w:szCs w:val="24"/>
                <w:highlight w:val="none"/>
              </w:rPr>
              <w:t>一般参数</w:t>
            </w:r>
          </w:p>
        </w:tc>
        <w:tc>
          <w:tcPr>
            <w:tcW w:w="7016" w:type="dxa"/>
            <w:vAlign w:val="top"/>
          </w:tcPr>
          <w:p>
            <w:pPr>
              <w:widowControl w:val="0"/>
              <w:spacing w:line="240" w:lineRule="auto"/>
              <w:jc w:val="left"/>
              <w:rPr>
                <w:rFonts w:hint="eastAsia" w:ascii="仿宋" w:hAnsi="仿宋" w:eastAsia="仿宋" w:cs="仿宋"/>
                <w:b/>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在完全满足招标文件所有</w:t>
            </w:r>
            <w:r>
              <w:rPr>
                <w:rFonts w:hint="eastAsia" w:ascii="仿宋" w:hAnsi="仿宋" w:eastAsia="仿宋" w:cs="仿宋"/>
                <w:bCs/>
                <w:color w:val="auto"/>
                <w:kern w:val="0"/>
                <w:sz w:val="24"/>
                <w:szCs w:val="24"/>
                <w:highlight w:val="none"/>
              </w:rPr>
              <w:t>“一般参数”</w:t>
            </w:r>
            <w:r>
              <w:rPr>
                <w:rFonts w:hint="eastAsia" w:ascii="仿宋" w:hAnsi="仿宋" w:eastAsia="仿宋" w:cs="仿宋"/>
                <w:bCs/>
                <w:color w:val="auto"/>
                <w:kern w:val="0"/>
                <w:sz w:val="24"/>
                <w:szCs w:val="24"/>
                <w:highlight w:val="none"/>
                <w:lang w:val="en-US" w:eastAsia="zh-CN"/>
              </w:rPr>
              <w:t>要求的基础上，每有一条“一般参数”优于的加1分，本项最多加10分</w:t>
            </w:r>
            <w:r>
              <w:rPr>
                <w:rFonts w:hint="eastAsia" w:ascii="仿宋" w:hAnsi="仿宋" w:eastAsia="仿宋" w:cs="仿宋"/>
                <w:b w:val="0"/>
                <w:bCs w:val="0"/>
                <w:color w:val="auto"/>
                <w:kern w:val="0"/>
                <w:sz w:val="24"/>
                <w:szCs w:val="24"/>
                <w:highlight w:val="none"/>
              </w:rPr>
              <w:t>。</w:t>
            </w:r>
            <w:r>
              <w:rPr>
                <w:rFonts w:hint="eastAsia" w:ascii="仿宋" w:hAnsi="仿宋" w:eastAsia="仿宋" w:cs="仿宋"/>
                <w:b/>
                <w:bCs/>
                <w:color w:val="auto"/>
                <w:kern w:val="0"/>
                <w:sz w:val="24"/>
                <w:szCs w:val="24"/>
                <w:highlight w:val="none"/>
              </w:rPr>
              <w:t>（加分只针对具有“≥”或“≤”的数值，数值更加优于的进行加分；文字内容或其他内容优于的不加分）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kern w:val="0"/>
                <w:sz w:val="24"/>
                <w:szCs w:val="24"/>
                <w:highlight w:val="none"/>
              </w:rPr>
              <w:t>注：“一般参数”为非标“▲”号参数。</w:t>
            </w:r>
          </w:p>
        </w:tc>
        <w:tc>
          <w:tcPr>
            <w:tcW w:w="756" w:type="dxa"/>
            <w:vAlign w:val="center"/>
          </w:tcPr>
          <w:p>
            <w:pPr>
              <w:widowControl w:val="0"/>
              <w:spacing w:line="240" w:lineRule="auto"/>
              <w:jc w:val="center"/>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rPr>
              <w:t>以上评审依据：提供</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rPr>
              <w:t>和技术支撑文件</w:t>
            </w:r>
            <w:r>
              <w:rPr>
                <w:rFonts w:hint="eastAsia" w:ascii="仿宋" w:hAnsi="仿宋" w:eastAsia="仿宋" w:cs="仿宋"/>
                <w:b/>
                <w:bCs/>
                <w:color w:val="auto"/>
                <w:sz w:val="24"/>
                <w:highlight w:val="none"/>
                <w:lang w:eastAsia="zh-CN"/>
              </w:rPr>
              <w:t>。</w:t>
            </w:r>
          </w:p>
          <w:p>
            <w:pPr>
              <w:widowControl w:val="0"/>
              <w:spacing w:line="240" w:lineRule="auto"/>
              <w:jc w:val="left"/>
              <w:rPr>
                <w:rFonts w:ascii="仿宋" w:hAnsi="仿宋" w:eastAsia="仿宋" w:cs="仿宋"/>
                <w:b/>
                <w:bCs/>
                <w:color w:val="auto"/>
                <w:sz w:val="24"/>
                <w:highlight w:val="none"/>
              </w:rPr>
            </w:pPr>
            <w:r>
              <w:rPr>
                <w:rFonts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说明：技术支撑文件为以下任意3种材料中的其中1种材料：</w:t>
            </w:r>
            <w:r>
              <w:rPr>
                <w:rFonts w:ascii="仿宋" w:hAnsi="仿宋" w:eastAsia="仿宋" w:cs="仿宋"/>
                <w:b/>
                <w:bCs/>
                <w:color w:val="auto"/>
                <w:sz w:val="24"/>
                <w:highlight w:val="none"/>
              </w:rPr>
              <w:t>①</w:t>
            </w:r>
            <w:r>
              <w:rPr>
                <w:rFonts w:hint="eastAsia" w:ascii="仿宋" w:hAnsi="仿宋" w:eastAsia="仿宋" w:cs="仿宋"/>
                <w:b/>
                <w:bCs/>
                <w:color w:val="auto"/>
                <w:sz w:val="24"/>
                <w:highlight w:val="none"/>
                <w:lang w:val="en-US" w:eastAsia="zh-CN"/>
              </w:rPr>
              <w:t>所投</w:t>
            </w:r>
            <w:r>
              <w:rPr>
                <w:rFonts w:ascii="仿宋" w:hAnsi="仿宋" w:eastAsia="仿宋" w:cs="仿宋"/>
                <w:b/>
                <w:bCs/>
                <w:color w:val="auto"/>
                <w:sz w:val="24"/>
                <w:highlight w:val="none"/>
              </w:rPr>
              <w:t>产品检测报告复印件</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②</w:t>
            </w:r>
            <w:r>
              <w:rPr>
                <w:rFonts w:hint="eastAsia" w:ascii="仿宋" w:hAnsi="仿宋" w:eastAsia="仿宋" w:cs="仿宋"/>
                <w:b/>
                <w:bCs/>
                <w:color w:val="auto"/>
                <w:sz w:val="24"/>
                <w:highlight w:val="none"/>
                <w:lang w:val="en-US" w:eastAsia="zh-CN"/>
              </w:rPr>
              <w:t>制造商公开发布的</w:t>
            </w:r>
            <w:r>
              <w:rPr>
                <w:rFonts w:ascii="仿宋" w:hAnsi="仿宋" w:eastAsia="仿宋" w:cs="仿宋"/>
                <w:b/>
                <w:bCs/>
                <w:color w:val="auto"/>
                <w:sz w:val="24"/>
                <w:highlight w:val="none"/>
              </w:rPr>
              <w:t>产品</w:t>
            </w:r>
            <w:r>
              <w:rPr>
                <w:rFonts w:hint="eastAsia" w:ascii="仿宋" w:hAnsi="仿宋" w:eastAsia="仿宋" w:cs="仿宋"/>
                <w:b/>
                <w:bCs/>
                <w:color w:val="auto"/>
                <w:sz w:val="24"/>
                <w:highlight w:val="none"/>
                <w:lang w:val="en-US" w:eastAsia="zh-CN"/>
              </w:rPr>
              <w:t>印刷资料</w:t>
            </w:r>
            <w:r>
              <w:rPr>
                <w:rFonts w:hint="eastAsia" w:ascii="仿宋" w:hAnsi="仿宋" w:eastAsia="仿宋" w:cs="仿宋"/>
                <w:b/>
                <w:bCs/>
                <w:color w:val="auto"/>
                <w:sz w:val="24"/>
                <w:highlight w:val="none"/>
              </w:rPr>
              <w:t>并加盖制造商公章</w:t>
            </w:r>
            <w:r>
              <w:rPr>
                <w:rFonts w:hint="eastAsia" w:ascii="仿宋" w:hAnsi="仿宋" w:eastAsia="仿宋" w:cs="仿宋"/>
                <w:b/>
                <w:bCs/>
                <w:color w:val="auto"/>
                <w:sz w:val="24"/>
                <w:highlight w:val="none"/>
                <w:lang w:val="en-US" w:eastAsia="zh-CN"/>
              </w:rPr>
              <w:t>；</w:t>
            </w:r>
            <w:r>
              <w:rPr>
                <w:rFonts w:ascii="仿宋" w:hAnsi="仿宋" w:eastAsia="仿宋" w:cs="仿宋"/>
                <w:b/>
                <w:bCs/>
                <w:color w:val="auto"/>
                <w:sz w:val="24"/>
                <w:highlight w:val="none"/>
              </w:rPr>
              <w:t>③制造商出具的技术参数证明材料并加盖制造商公章。]</w:t>
            </w:r>
          </w:p>
          <w:p>
            <w:pPr>
              <w:widowControl w:val="0"/>
              <w:spacing w:line="240" w:lineRule="auto"/>
              <w:jc w:val="lef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rPr>
              <w:t>注：</w:t>
            </w:r>
            <w:r>
              <w:rPr>
                <w:rFonts w:hint="eastAsia" w:ascii="仿宋" w:hAnsi="仿宋" w:eastAsia="仿宋" w:cs="仿宋"/>
                <w:b/>
                <w:bCs/>
                <w:color w:val="auto"/>
                <w:sz w:val="24"/>
                <w:highlight w:val="none"/>
                <w:lang w:eastAsia="zh-CN"/>
              </w:rPr>
              <w:t>①若技术支撑文件等于或优于技术响应、偏离说明表，则该点（以技术条款响应表数值作为加分依据）给予加分，若技术支撑文件劣于技术条款响应表，则该点不加分；②若要求以固定数值作为响应，而投标人</w:t>
            </w:r>
            <w:r>
              <w:rPr>
                <w:rFonts w:hint="eastAsia" w:ascii="仿宋" w:hAnsi="仿宋" w:eastAsia="仿宋" w:cs="仿宋"/>
                <w:b/>
                <w:bCs/>
                <w:color w:val="auto"/>
                <w:sz w:val="24"/>
                <w:szCs w:val="24"/>
                <w:highlight w:val="none"/>
              </w:rPr>
              <w:t>技术响应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r>
              <w:rPr>
                <w:rFonts w:hint="eastAsia" w:ascii="仿宋" w:hAnsi="仿宋" w:eastAsia="仿宋" w:cs="仿宋"/>
                <w:b/>
                <w:bCs/>
                <w:color w:val="auto"/>
                <w:sz w:val="24"/>
                <w:highlight w:val="none"/>
                <w:lang w:eastAsia="zh-CN"/>
              </w:rPr>
              <w:t>以范围值作为响应，则以范围值中最劣值作为评审参数，例如：技术要求射程“≥</w:t>
            </w:r>
            <w:r>
              <w:rPr>
                <w:rFonts w:hint="eastAsia" w:ascii="仿宋" w:hAnsi="仿宋" w:eastAsia="仿宋" w:cs="仿宋"/>
                <w:b/>
                <w:bCs/>
                <w:color w:val="auto"/>
                <w:sz w:val="24"/>
                <w:highlight w:val="none"/>
                <w:lang w:val="en-US" w:eastAsia="zh-CN"/>
              </w:rPr>
              <w:t>50米</w:t>
            </w:r>
            <w:r>
              <w:rPr>
                <w:rFonts w:hint="eastAsia" w:ascii="仿宋" w:hAnsi="仿宋" w:eastAsia="仿宋" w:cs="仿宋"/>
                <w:b/>
                <w:bCs/>
                <w:color w:val="auto"/>
                <w:sz w:val="24"/>
                <w:highlight w:val="none"/>
                <w:lang w:eastAsia="zh-CN"/>
              </w:rPr>
              <w:t>”，偏离表实际响应为“</w:t>
            </w:r>
            <w:r>
              <w:rPr>
                <w:rFonts w:hint="eastAsia" w:ascii="仿宋" w:hAnsi="仿宋" w:eastAsia="仿宋" w:cs="仿宋"/>
                <w:b/>
                <w:bCs/>
                <w:color w:val="auto"/>
                <w:sz w:val="24"/>
                <w:highlight w:val="none"/>
                <w:lang w:val="en-US" w:eastAsia="zh-CN"/>
              </w:rPr>
              <w:t>60-70米</w:t>
            </w:r>
            <w:r>
              <w:rPr>
                <w:rFonts w:hint="eastAsia" w:ascii="仿宋" w:hAnsi="仿宋" w:eastAsia="仿宋" w:cs="仿宋"/>
                <w:b/>
                <w:bCs/>
                <w:color w:val="auto"/>
                <w:sz w:val="24"/>
                <w:highlight w:val="none"/>
                <w:lang w:eastAsia="zh-CN"/>
              </w:rPr>
              <w:t>”，则以</w:t>
            </w:r>
            <w:r>
              <w:rPr>
                <w:rFonts w:hint="eastAsia" w:ascii="仿宋" w:hAnsi="仿宋" w:eastAsia="仿宋" w:cs="仿宋"/>
                <w:b/>
                <w:bCs/>
                <w:color w:val="auto"/>
                <w:sz w:val="24"/>
                <w:highlight w:val="none"/>
                <w:lang w:val="en-US" w:eastAsia="zh-CN"/>
              </w:rPr>
              <w:t>60米作为偏离表的响应数值，再通过技术支撑材料判定60米是否应该加分。</w:t>
            </w:r>
          </w:p>
          <w:p>
            <w:pPr>
              <w:widowControl w:val="0"/>
              <w:spacing w:line="240" w:lineRule="auto"/>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sz w:val="24"/>
                <w:highlight w:val="none"/>
              </w:rPr>
              <w:t>提示:</w:t>
            </w:r>
            <w:r>
              <w:rPr>
                <w:rFonts w:hint="eastAsia" w:ascii="仿宋" w:hAnsi="仿宋" w:eastAsia="仿宋" w:cs="仿宋"/>
                <w:b/>
                <w:bCs/>
                <w:color w:val="auto"/>
                <w:sz w:val="24"/>
                <w:highlight w:val="none"/>
                <w:lang w:eastAsia="zh-CN"/>
              </w:rPr>
              <w:t>在验收时应提供具有相关检测资质单位出具的检测报告进行佐证，对于无法现场衡量且无法通过检测报告佐证的正偏离响应，应提供能充分证明响应参数的佐证材料。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restart"/>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w:t>
            </w: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整体结构与外观</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根据视频文件对产品的外观构造</w:t>
            </w:r>
            <w:r>
              <w:rPr>
                <w:rFonts w:hint="eastAsia" w:ascii="仿宋" w:hAnsi="仿宋" w:eastAsia="仿宋" w:cs="仿宋"/>
                <w:bCs/>
                <w:color w:val="auto"/>
                <w:sz w:val="24"/>
                <w:highlight w:val="none"/>
              </w:rPr>
              <w:t>、内部结构、设计理念等进行评审。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设计理念先进、外部构造科学、内部结构合理，整体结构外观与实战紧贴程度高的，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设计理念较为先进，外部构造和内部结构设计较为合理，</w:t>
            </w:r>
            <w:r>
              <w:rPr>
                <w:rFonts w:hint="eastAsia" w:ascii="仿宋" w:hAnsi="仿宋" w:eastAsia="仿宋" w:cs="仿宋"/>
                <w:bCs/>
                <w:color w:val="auto"/>
                <w:sz w:val="24"/>
                <w:highlight w:val="none"/>
              </w:rPr>
              <w:t>整体结构外观与实战紧贴程度较高的，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设计理念较为传统，外观构造和内部结构基本符合要求，</w:t>
            </w:r>
            <w:r>
              <w:rPr>
                <w:rFonts w:hint="eastAsia" w:ascii="仿宋" w:hAnsi="仿宋" w:eastAsia="仿宋" w:cs="仿宋"/>
                <w:bCs/>
                <w:color w:val="auto"/>
                <w:sz w:val="24"/>
                <w:highlight w:val="none"/>
              </w:rPr>
              <w:t>整体结构外观与实战紧贴程度</w:t>
            </w:r>
            <w:r>
              <w:rPr>
                <w:rFonts w:hint="eastAsia" w:ascii="仿宋" w:hAnsi="仿宋" w:eastAsia="仿宋" w:cs="仿宋"/>
                <w:bCs/>
                <w:color w:val="auto"/>
                <w:sz w:val="24"/>
                <w:highlight w:val="none"/>
                <w:lang w:val="en-US" w:eastAsia="zh-CN"/>
              </w:rPr>
              <w:t>不高的</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工艺</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品的安全性、耐用性、实用性等进行评审。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安全性能高、耐用性能好、实用性能强，工艺符合实战需求程度高的，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3分；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rPr>
              <w:t>安全性能较高、耐用性能良好、实用性能较强，</w:t>
            </w:r>
            <w:r>
              <w:rPr>
                <w:rFonts w:hint="eastAsia" w:ascii="仿宋" w:hAnsi="仿宋" w:eastAsia="仿宋" w:cs="仿宋"/>
                <w:bCs/>
                <w:color w:val="auto"/>
                <w:sz w:val="24"/>
                <w:highlight w:val="none"/>
              </w:rPr>
              <w:t>工艺符合实战需求程度较高的，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rPr>
              <w:t>安全性能</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、耐用性能普通、实用性能</w:t>
            </w:r>
            <w:r>
              <w:rPr>
                <w:rFonts w:hint="eastAsia" w:ascii="仿宋" w:hAnsi="仿宋" w:eastAsia="仿宋" w:cs="仿宋"/>
                <w:bCs/>
                <w:color w:val="auto"/>
                <w:sz w:val="24"/>
                <w:highlight w:val="none"/>
                <w:lang w:val="en-US" w:eastAsia="zh-CN"/>
              </w:rPr>
              <w:t>不高</w:t>
            </w:r>
            <w:r>
              <w:rPr>
                <w:rFonts w:hint="eastAsia" w:ascii="仿宋" w:hAnsi="仿宋" w:eastAsia="仿宋" w:cs="仿宋"/>
                <w:bCs/>
                <w:color w:val="auto"/>
                <w:sz w:val="24"/>
                <w:highlight w:val="none"/>
              </w:rPr>
              <w:t>，工艺</w:t>
            </w:r>
            <w:r>
              <w:rPr>
                <w:rFonts w:hint="eastAsia" w:ascii="仿宋" w:hAnsi="仿宋" w:eastAsia="仿宋" w:cs="仿宋"/>
                <w:bCs/>
                <w:color w:val="auto"/>
                <w:sz w:val="24"/>
                <w:highlight w:val="none"/>
                <w:lang w:val="en-US" w:eastAsia="zh-CN"/>
              </w:rPr>
              <w:t>与消防</w:t>
            </w:r>
            <w:r>
              <w:rPr>
                <w:rFonts w:hint="eastAsia" w:ascii="仿宋" w:hAnsi="仿宋" w:eastAsia="仿宋" w:cs="仿宋"/>
                <w:bCs/>
                <w:color w:val="auto"/>
                <w:sz w:val="24"/>
                <w:highlight w:val="none"/>
              </w:rPr>
              <w:t>实战需求程度</w:t>
            </w:r>
            <w:r>
              <w:rPr>
                <w:rFonts w:hint="eastAsia" w:ascii="仿宋" w:hAnsi="仿宋" w:eastAsia="仿宋" w:cs="仿宋"/>
                <w:bCs/>
                <w:color w:val="auto"/>
                <w:sz w:val="24"/>
                <w:highlight w:val="none"/>
                <w:lang w:val="en-US" w:eastAsia="zh-CN"/>
              </w:rPr>
              <w:t>匹配</w:t>
            </w:r>
            <w:r>
              <w:rPr>
                <w:rFonts w:hint="eastAsia" w:ascii="仿宋" w:hAnsi="仿宋" w:eastAsia="仿宋" w:cs="仿宋"/>
                <w:bCs/>
                <w:color w:val="auto"/>
                <w:sz w:val="24"/>
                <w:highlight w:val="none"/>
              </w:rPr>
              <w:t>不高的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ascii="仿宋" w:hAnsi="仿宋" w:eastAsia="仿宋" w:cs="仿宋"/>
                <w:color w:val="auto"/>
                <w:kern w:val="0"/>
                <w:sz w:val="24"/>
                <w:szCs w:val="24"/>
                <w:highlight w:val="none"/>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1350" w:type="dxa"/>
            <w:vAlign w:val="center"/>
          </w:tcPr>
          <w:p>
            <w:pPr>
              <w:widowControl w:val="0"/>
              <w:spacing w:line="240" w:lineRule="auto"/>
              <w:jc w:val="center"/>
              <w:rPr>
                <w:rFonts w:ascii="仿宋" w:hAnsi="仿宋" w:eastAsia="仿宋" w:cs="仿宋"/>
                <w:bCs/>
                <w:color w:val="auto"/>
                <w:kern w:val="0"/>
                <w:sz w:val="24"/>
                <w:szCs w:val="24"/>
                <w:highlight w:val="none"/>
              </w:rPr>
            </w:pPr>
            <w:r>
              <w:rPr>
                <w:rFonts w:hint="eastAsia" w:ascii="仿宋" w:hAnsi="仿宋" w:eastAsia="仿宋" w:cs="仿宋"/>
                <w:bCs/>
                <w:color w:val="auto"/>
                <w:sz w:val="24"/>
                <w:highlight w:val="none"/>
              </w:rPr>
              <w:t>操作使用性能</w:t>
            </w:r>
          </w:p>
        </w:tc>
        <w:tc>
          <w:tcPr>
            <w:tcW w:w="7016" w:type="dxa"/>
            <w:vAlign w:val="center"/>
          </w:tcPr>
          <w:p>
            <w:pPr>
              <w:widowControl w:val="0"/>
              <w:spacing w:line="240" w:lineRule="auto"/>
              <w:jc w:val="lef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eastAsia="zh-CN"/>
              </w:rPr>
              <w:t>根据视频文件对产</w:t>
            </w:r>
            <w:r>
              <w:rPr>
                <w:rFonts w:hint="eastAsia" w:ascii="仿宋" w:hAnsi="仿宋" w:eastAsia="仿宋" w:cs="仿宋"/>
                <w:bCs/>
                <w:color w:val="auto"/>
                <w:sz w:val="24"/>
                <w:highlight w:val="none"/>
              </w:rPr>
              <w:t>品的可靠性、便捷性、稳定性等进行评审。</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bCs/>
                <w:color w:val="auto"/>
                <w:sz w:val="24"/>
                <w:highlight w:val="none"/>
                <w:lang w:val="en-US" w:eastAsia="zh-CN"/>
              </w:rPr>
              <w:t>操作</w:t>
            </w:r>
            <w:r>
              <w:rPr>
                <w:rFonts w:hint="eastAsia" w:ascii="仿宋" w:hAnsi="仿宋" w:eastAsia="仿宋" w:cs="仿宋"/>
                <w:bCs/>
                <w:color w:val="auto"/>
                <w:sz w:val="24"/>
                <w:highlight w:val="none"/>
              </w:rPr>
              <w:t>可靠性高、便捷性好、稳定性好，操作使用性能提升战斗力程度高的</w:t>
            </w:r>
            <w:r>
              <w:rPr>
                <w:rFonts w:hint="eastAsia" w:ascii="仿宋" w:hAnsi="仿宋" w:eastAsia="仿宋" w:cs="仿宋"/>
                <w:color w:val="auto"/>
                <w:sz w:val="24"/>
                <w:highlight w:val="none"/>
              </w:rPr>
              <w:t>，</w:t>
            </w:r>
            <w:r>
              <w:rPr>
                <w:rFonts w:hint="eastAsia" w:ascii="仿宋" w:hAnsi="仿宋" w:eastAsia="仿宋" w:cs="仿宋"/>
                <w:b/>
                <w:color w:val="auto"/>
                <w:sz w:val="24"/>
                <w:highlight w:val="none"/>
              </w:rPr>
              <w:t>得3</w:t>
            </w:r>
            <w:r>
              <w:rPr>
                <w:rFonts w:ascii="仿宋" w:hAnsi="仿宋" w:eastAsia="仿宋" w:cs="仿宋"/>
                <w:b/>
                <w:color w:val="auto"/>
                <w:sz w:val="24"/>
                <w:highlight w:val="none"/>
              </w:rPr>
              <w:t>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可靠性较高、便捷性较好、稳定性良好，</w:t>
            </w:r>
            <w:r>
              <w:rPr>
                <w:rFonts w:hint="eastAsia" w:ascii="仿宋" w:hAnsi="仿宋" w:eastAsia="仿宋" w:cs="仿宋"/>
                <w:bCs/>
                <w:color w:val="auto"/>
                <w:sz w:val="24"/>
                <w:highlight w:val="none"/>
              </w:rPr>
              <w:t>操作使用性能提升战斗力程度较高的</w:t>
            </w:r>
            <w:r>
              <w:rPr>
                <w:rFonts w:hint="eastAsia" w:ascii="仿宋" w:hAnsi="仿宋" w:eastAsia="仿宋" w:cs="仿宋"/>
                <w:b/>
                <w:color w:val="auto"/>
                <w:sz w:val="24"/>
                <w:highlight w:val="none"/>
              </w:rPr>
              <w:t>，得</w:t>
            </w:r>
            <w:r>
              <w:rPr>
                <w:rFonts w:ascii="仿宋" w:hAnsi="仿宋" w:eastAsia="仿宋" w:cs="仿宋"/>
                <w:b/>
                <w:color w:val="auto"/>
                <w:sz w:val="24"/>
                <w:highlight w:val="none"/>
              </w:rPr>
              <w:t>2分；</w:t>
            </w:r>
          </w:p>
          <w:p>
            <w:pPr>
              <w:widowControl w:val="0"/>
              <w:spacing w:line="240" w:lineRule="auto"/>
              <w:jc w:val="left"/>
              <w:rPr>
                <w:rFonts w:ascii="仿宋" w:hAnsi="仿宋" w:eastAsia="仿宋" w:cs="仿宋"/>
                <w:b/>
                <w:color w:val="auto"/>
                <w:sz w:val="24"/>
                <w:highlight w:val="none"/>
              </w:rPr>
            </w:pPr>
            <w:r>
              <w:rPr>
                <w:rFonts w:hint="eastAsia" w:ascii="仿宋" w:hAnsi="仿宋" w:eastAsia="仿宋" w:cs="仿宋"/>
                <w:color w:val="auto"/>
                <w:sz w:val="24"/>
                <w:szCs w:val="24"/>
                <w:highlight w:val="none"/>
                <w:lang w:val="en-US" w:eastAsia="zh-CN"/>
              </w:rPr>
              <w:t>操作</w:t>
            </w:r>
            <w:r>
              <w:rPr>
                <w:rFonts w:hint="eastAsia" w:ascii="仿宋" w:hAnsi="仿宋" w:eastAsia="仿宋" w:cs="仿宋"/>
                <w:color w:val="auto"/>
                <w:sz w:val="24"/>
                <w:szCs w:val="24"/>
                <w:highlight w:val="none"/>
              </w:rPr>
              <w:t>可靠性不高、便捷性和稳定性</w:t>
            </w:r>
            <w:r>
              <w:rPr>
                <w:rFonts w:hint="eastAsia" w:ascii="仿宋" w:hAnsi="仿宋" w:eastAsia="仿宋" w:cs="仿宋"/>
                <w:color w:val="auto"/>
                <w:sz w:val="24"/>
                <w:szCs w:val="24"/>
                <w:highlight w:val="none"/>
                <w:lang w:val="en-US" w:eastAsia="zh-CN"/>
              </w:rPr>
              <w:t>基本符合</w:t>
            </w:r>
            <w:r>
              <w:rPr>
                <w:rFonts w:hint="eastAsia" w:ascii="仿宋" w:hAnsi="仿宋" w:eastAsia="仿宋" w:cs="仿宋"/>
                <w:color w:val="auto"/>
                <w:sz w:val="24"/>
                <w:szCs w:val="24"/>
                <w:highlight w:val="none"/>
              </w:rPr>
              <w:t>，</w:t>
            </w:r>
            <w:r>
              <w:rPr>
                <w:rFonts w:hint="eastAsia" w:ascii="仿宋" w:hAnsi="仿宋" w:eastAsia="仿宋" w:cs="仿宋"/>
                <w:bCs/>
                <w:color w:val="auto"/>
                <w:sz w:val="24"/>
                <w:highlight w:val="none"/>
              </w:rPr>
              <w:t>操作使用性能提升战斗力程度</w:t>
            </w:r>
            <w:r>
              <w:rPr>
                <w:rFonts w:hint="eastAsia" w:ascii="仿宋" w:hAnsi="仿宋" w:eastAsia="仿宋" w:cs="仿宋"/>
                <w:bCs/>
                <w:color w:val="auto"/>
                <w:sz w:val="24"/>
                <w:highlight w:val="none"/>
                <w:lang w:val="en-US" w:eastAsia="zh-CN"/>
              </w:rPr>
              <w:t>基本满足</w:t>
            </w:r>
            <w:r>
              <w:rPr>
                <w:rFonts w:hint="eastAsia" w:ascii="仿宋" w:hAnsi="仿宋" w:eastAsia="仿宋" w:cs="仿宋"/>
                <w:bCs/>
                <w:color w:val="auto"/>
                <w:sz w:val="24"/>
                <w:highlight w:val="none"/>
              </w:rPr>
              <w:t>，</w:t>
            </w:r>
            <w:r>
              <w:rPr>
                <w:rFonts w:hint="eastAsia" w:ascii="仿宋" w:hAnsi="仿宋" w:eastAsia="仿宋" w:cs="仿宋"/>
                <w:b/>
                <w:color w:val="auto"/>
                <w:sz w:val="24"/>
                <w:highlight w:val="none"/>
              </w:rPr>
              <w:t>得</w:t>
            </w:r>
            <w:r>
              <w:rPr>
                <w:rFonts w:ascii="仿宋" w:hAnsi="仿宋" w:eastAsia="仿宋" w:cs="仿宋"/>
                <w:b/>
                <w:color w:val="auto"/>
                <w:sz w:val="24"/>
                <w:highlight w:val="none"/>
              </w:rPr>
              <w:t>1分；</w:t>
            </w:r>
          </w:p>
          <w:p>
            <w:pPr>
              <w:widowControl w:val="0"/>
              <w:spacing w:line="240" w:lineRule="auto"/>
              <w:jc w:val="left"/>
              <w:rPr>
                <w:rFonts w:ascii="仿宋" w:hAnsi="仿宋" w:eastAsia="仿宋" w:cs="仿宋"/>
                <w:bCs/>
                <w:color w:val="auto"/>
                <w:kern w:val="0"/>
                <w:sz w:val="24"/>
                <w:szCs w:val="24"/>
                <w:highlight w:val="none"/>
              </w:rPr>
            </w:pPr>
            <w:r>
              <w:rPr>
                <w:rFonts w:hint="eastAsia" w:ascii="仿宋" w:hAnsi="仿宋" w:eastAsia="仿宋" w:cs="仿宋"/>
                <w:color w:val="auto"/>
                <w:sz w:val="24"/>
                <w:highlight w:val="none"/>
              </w:rPr>
              <w:t>未提供证明材料或证明材料有缺项的不得分</w:t>
            </w:r>
            <w:r>
              <w:rPr>
                <w:rFonts w:hint="eastAsia" w:ascii="仿宋" w:hAnsi="仿宋" w:eastAsia="仿宋" w:cs="仿宋"/>
                <w:b/>
                <w:color w:val="auto"/>
                <w:sz w:val="24"/>
                <w:highlight w:val="none"/>
              </w:rPr>
              <w:t>。</w:t>
            </w:r>
          </w:p>
        </w:tc>
        <w:tc>
          <w:tcPr>
            <w:tcW w:w="756" w:type="dxa"/>
            <w:vAlign w:val="center"/>
          </w:tcPr>
          <w:p>
            <w:pPr>
              <w:widowControl w:val="0"/>
              <w:spacing w:line="240" w:lineRule="auto"/>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ascii="仿宋" w:hAnsi="仿宋" w:eastAsia="仿宋" w:cs="仿宋"/>
                <w:color w:val="auto"/>
                <w:kern w:val="0"/>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01" w:type="dxa"/>
            <w:vMerge w:val="continue"/>
            <w:vAlign w:val="center"/>
          </w:tcPr>
          <w:p>
            <w:pPr>
              <w:widowControl w:val="0"/>
              <w:spacing w:line="240" w:lineRule="auto"/>
              <w:jc w:val="center"/>
              <w:rPr>
                <w:rFonts w:ascii="仿宋" w:hAnsi="仿宋" w:eastAsia="仿宋" w:cs="仿宋"/>
                <w:color w:val="auto"/>
                <w:kern w:val="0"/>
                <w:sz w:val="24"/>
                <w:szCs w:val="24"/>
                <w:highlight w:val="none"/>
              </w:rPr>
            </w:pPr>
          </w:p>
        </w:tc>
        <w:tc>
          <w:tcPr>
            <w:tcW w:w="9122" w:type="dxa"/>
            <w:gridSpan w:val="3"/>
            <w:vAlign w:val="center"/>
          </w:tcPr>
          <w:p>
            <w:pPr>
              <w:widowControl w:val="0"/>
              <w:spacing w:line="240" w:lineRule="auto"/>
              <w:jc w:val="left"/>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以上评审依据：</w:t>
            </w:r>
            <w:r>
              <w:rPr>
                <w:rFonts w:hint="eastAsia" w:ascii="仿宋" w:hAnsi="仿宋" w:eastAsia="仿宋" w:cs="仿宋"/>
                <w:b/>
                <w:bCs/>
                <w:color w:val="auto"/>
                <w:sz w:val="24"/>
                <w:szCs w:val="24"/>
                <w:highlight w:val="none"/>
                <w:lang w:eastAsia="zh-CN"/>
              </w:rPr>
              <w:t>根据视频文件对产</w:t>
            </w:r>
            <w:r>
              <w:rPr>
                <w:rFonts w:hint="eastAsia" w:ascii="仿宋" w:hAnsi="仿宋" w:eastAsia="仿宋" w:cs="仿宋"/>
                <w:b/>
                <w:bCs/>
                <w:color w:val="auto"/>
                <w:sz w:val="24"/>
                <w:szCs w:val="24"/>
                <w:highlight w:val="none"/>
              </w:rPr>
              <w:t>品的整体结构与外观、工艺、操作使用性能进行综合评审，</w:t>
            </w:r>
            <w:r>
              <w:rPr>
                <w:rFonts w:hint="eastAsia" w:ascii="仿宋" w:hAnsi="仿宋" w:eastAsia="仿宋" w:cs="仿宋"/>
                <w:b/>
                <w:bCs/>
                <w:color w:val="auto"/>
                <w:sz w:val="24"/>
                <w:szCs w:val="24"/>
                <w:highlight w:val="none"/>
                <w:lang w:eastAsia="zh-CN"/>
              </w:rPr>
              <w:t>视频文件需对以上三</w:t>
            </w:r>
            <w:r>
              <w:rPr>
                <w:rFonts w:hint="eastAsia" w:ascii="仿宋" w:hAnsi="仿宋" w:eastAsia="仿宋" w:cs="仿宋"/>
                <w:b/>
                <w:bCs/>
                <w:color w:val="auto"/>
                <w:sz w:val="24"/>
                <w:szCs w:val="24"/>
                <w:highlight w:val="none"/>
              </w:rPr>
              <w:t>点评审内容进行介绍（包含但不限于以上三点）。视频文件[视频文件格式须为通用格式，佐证视频时长不得超过5分钟，视频清晰度应至少保证所摄的界面文字清晰易辨、画面完整连贯、播放速</w:t>
            </w:r>
            <w:r>
              <w:rPr>
                <w:rFonts w:hint="eastAsia" w:ascii="仿宋" w:hAnsi="仿宋" w:eastAsia="仿宋" w:cs="仿宋"/>
                <w:b/>
                <w:bCs/>
                <w:color w:val="auto"/>
                <w:sz w:val="24"/>
                <w:szCs w:val="24"/>
                <w:highlight w:val="none"/>
                <w:lang w:eastAsia="zh-CN"/>
              </w:rPr>
              <w:t>度正常]应</w:t>
            </w:r>
            <w:r>
              <w:rPr>
                <w:rFonts w:hint="eastAsia" w:ascii="仿宋" w:hAnsi="仿宋" w:eastAsia="仿宋" w:cs="仿宋"/>
                <w:b/>
                <w:bCs/>
                <w:color w:val="auto"/>
                <w:sz w:val="24"/>
                <w:szCs w:val="24"/>
                <w:highlight w:val="none"/>
              </w:rPr>
              <w:t>存储于U盘内（单独密封在信封中</w:t>
            </w:r>
            <w:r>
              <w:rPr>
                <w:rFonts w:hint="eastAsia" w:ascii="仿宋" w:hAnsi="仿宋" w:eastAsia="仿宋" w:cs="仿宋"/>
                <w:b/>
                <w:bCs/>
                <w:color w:val="auto"/>
                <w:sz w:val="24"/>
                <w:szCs w:val="24"/>
                <w:highlight w:val="none"/>
                <w:lang w:val="en-US" w:eastAsia="zh-CN"/>
              </w:rPr>
              <w:t>，在U盘上请贴好标签，并注明“***公司演示文件”</w:t>
            </w:r>
            <w:r>
              <w:rPr>
                <w:rFonts w:hint="eastAsia" w:ascii="仿宋" w:hAnsi="仿宋" w:eastAsia="仿宋" w:cs="仿宋"/>
                <w:b/>
                <w:bCs/>
                <w:color w:val="auto"/>
                <w:sz w:val="24"/>
                <w:szCs w:val="24"/>
                <w:highlight w:val="none"/>
              </w:rPr>
              <w:t>）与投标文件同时递交，逾期递交不予接收，U盘由采购代理机构封存，不予退回。</w:t>
            </w:r>
          </w:p>
        </w:tc>
      </w:tr>
    </w:tbl>
    <w:p>
      <w:pPr>
        <w:spacing w:line="460" w:lineRule="exact"/>
        <w:ind w:firstLine="480" w:firstLineChars="200"/>
        <w:jc w:val="left"/>
        <w:rPr>
          <w:rFonts w:ascii="仿宋" w:hAnsi="仿宋" w:eastAsia="仿宋"/>
          <w:color w:val="auto"/>
          <w:sz w:val="24"/>
          <w:szCs w:val="24"/>
          <w:highlight w:val="none"/>
        </w:rPr>
      </w:pPr>
      <w:r>
        <w:rPr>
          <w:rFonts w:hint="eastAsia" w:ascii="仿宋" w:hAnsi="仿宋" w:eastAsia="仿宋"/>
          <w:color w:val="auto"/>
          <w:sz w:val="24"/>
          <w:szCs w:val="24"/>
          <w:highlight w:val="none"/>
        </w:rPr>
        <w:t>三、商务部分（</w:t>
      </w:r>
      <w:r>
        <w:rPr>
          <w:rFonts w:hint="eastAsia" w:ascii="仿宋" w:hAnsi="仿宋" w:eastAsia="仿宋"/>
          <w:color w:val="auto"/>
          <w:sz w:val="24"/>
          <w:szCs w:val="24"/>
          <w:highlight w:val="none"/>
          <w:lang w:val="en-US" w:eastAsia="zh-CN"/>
        </w:rPr>
        <w:t>17</w:t>
      </w:r>
      <w:r>
        <w:rPr>
          <w:rFonts w:hint="eastAsia" w:ascii="仿宋" w:hAnsi="仿宋" w:eastAsia="仿宋"/>
          <w:color w:val="auto"/>
          <w:sz w:val="24"/>
          <w:szCs w:val="24"/>
          <w:highlight w:val="none"/>
        </w:rPr>
        <w:t>分）</w:t>
      </w:r>
    </w:p>
    <w:tbl>
      <w:tblPr>
        <w:tblStyle w:val="4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261"/>
        <w:gridCol w:w="7094"/>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Header/>
          <w:jc w:val="center"/>
        </w:trPr>
        <w:tc>
          <w:tcPr>
            <w:tcW w:w="829"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序号</w:t>
            </w:r>
          </w:p>
        </w:tc>
        <w:tc>
          <w:tcPr>
            <w:tcW w:w="1261"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评审因素</w:t>
            </w:r>
          </w:p>
        </w:tc>
        <w:tc>
          <w:tcPr>
            <w:tcW w:w="7094"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评分标准</w:t>
            </w:r>
          </w:p>
        </w:tc>
        <w:tc>
          <w:tcPr>
            <w:tcW w:w="780" w:type="dxa"/>
            <w:vAlign w:val="center"/>
          </w:tcPr>
          <w:p>
            <w:pPr>
              <w:widowControl w:val="0"/>
              <w:spacing w:line="460" w:lineRule="exact"/>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9" w:type="dxa"/>
            <w:vAlign w:val="center"/>
          </w:tcPr>
          <w:p>
            <w:pPr>
              <w:widowControl w:val="0"/>
              <w:spacing w:line="240" w:lineRule="auto"/>
              <w:jc w:val="center"/>
              <w:rPr>
                <w:rFonts w:ascii="仿宋" w:hAnsi="仿宋" w:eastAsia="仿宋" w:cs="仿宋"/>
                <w:color w:val="auto"/>
                <w:sz w:val="24"/>
                <w:highlight w:val="none"/>
              </w:rPr>
            </w:pPr>
            <w:r>
              <w:rPr>
                <w:rFonts w:ascii="仿宋" w:hAnsi="仿宋" w:eastAsia="仿宋" w:cs="仿宋"/>
                <w:color w:val="auto"/>
                <w:sz w:val="24"/>
                <w:highlight w:val="none"/>
              </w:rPr>
              <w:t>1</w:t>
            </w:r>
          </w:p>
        </w:tc>
        <w:tc>
          <w:tcPr>
            <w:tcW w:w="1261" w:type="dxa"/>
            <w:vAlign w:val="center"/>
          </w:tcPr>
          <w:p>
            <w:pPr>
              <w:widowControl w:val="0"/>
              <w:spacing w:line="240" w:lineRule="auto"/>
              <w:jc w:val="center"/>
              <w:rPr>
                <w:rFonts w:ascii="仿宋" w:hAnsi="仿宋" w:eastAsia="仿宋" w:cs="仿宋"/>
                <w:b/>
                <w:bCs/>
                <w:color w:val="auto"/>
                <w:sz w:val="24"/>
                <w:highlight w:val="none"/>
              </w:rPr>
            </w:pPr>
            <w:r>
              <w:rPr>
                <w:rFonts w:hint="eastAsia" w:ascii="仿宋" w:hAnsi="仿宋" w:eastAsia="仿宋" w:cs="仿宋"/>
                <w:color w:val="auto"/>
                <w:sz w:val="24"/>
                <w:highlight w:val="none"/>
              </w:rPr>
              <w:t>符合性评审</w:t>
            </w:r>
          </w:p>
        </w:tc>
        <w:tc>
          <w:tcPr>
            <w:tcW w:w="7874" w:type="dxa"/>
            <w:gridSpan w:val="2"/>
            <w:vAlign w:val="center"/>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投标人必须完全响应招标文件“第三章采购项目需求”三、商务条款中所有实质性条款，任何一项不满足投标无效。</w:t>
            </w:r>
          </w:p>
          <w:p>
            <w:pPr>
              <w:widowControl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w:t>
            </w:r>
            <w:r>
              <w:rPr>
                <w:rFonts w:hint="eastAsia" w:ascii="仿宋" w:hAnsi="仿宋" w:eastAsia="仿宋" w:cs="仿宋"/>
                <w:b/>
                <w:bCs/>
                <w:color w:val="auto"/>
                <w:sz w:val="24"/>
                <w:highlight w:val="none"/>
              </w:rPr>
              <w:t>投标文件中提供的</w:t>
            </w:r>
            <w:r>
              <w:rPr>
                <w:rFonts w:hint="eastAsia" w:ascii="仿宋" w:hAnsi="仿宋" w:eastAsia="仿宋" w:cs="仿宋"/>
                <w:b/>
                <w:bCs/>
                <w:color w:val="auto"/>
                <w:sz w:val="24"/>
                <w:szCs w:val="24"/>
                <w:highlight w:val="none"/>
                <w:lang w:val="en-US" w:eastAsia="zh-CN"/>
              </w:rPr>
              <w:t>商务</w:t>
            </w:r>
            <w:r>
              <w:rPr>
                <w:rFonts w:hint="eastAsia" w:ascii="仿宋" w:hAnsi="仿宋" w:eastAsia="仿宋" w:cs="仿宋"/>
                <w:b/>
                <w:bCs/>
                <w:color w:val="auto"/>
                <w:sz w:val="24"/>
                <w:szCs w:val="24"/>
                <w:highlight w:val="none"/>
              </w:rPr>
              <w:t>响应</w:t>
            </w:r>
            <w:r>
              <w:rPr>
                <w:rFonts w:hint="eastAsia" w:ascii="仿宋" w:hAnsi="仿宋" w:eastAsia="仿宋" w:cs="仿宋"/>
                <w:b/>
                <w:bCs/>
                <w:color w:val="auto"/>
                <w:sz w:val="24"/>
                <w:szCs w:val="24"/>
                <w:highlight w:val="none"/>
                <w:lang w:val="en-US" w:eastAsia="zh-CN"/>
              </w:rPr>
              <w:t>、</w:t>
            </w:r>
            <w:r>
              <w:rPr>
                <w:rFonts w:hint="eastAsia" w:ascii="仿宋" w:hAnsi="仿宋" w:eastAsia="仿宋" w:cs="仿宋"/>
                <w:b/>
                <w:bCs/>
                <w:color w:val="auto"/>
                <w:sz w:val="24"/>
                <w:szCs w:val="24"/>
                <w:highlight w:val="none"/>
              </w:rPr>
              <w:t>偏离</w:t>
            </w:r>
            <w:r>
              <w:rPr>
                <w:rFonts w:hint="eastAsia" w:ascii="仿宋" w:hAnsi="仿宋" w:eastAsia="仿宋" w:cs="仿宋"/>
                <w:b/>
                <w:bCs/>
                <w:color w:val="auto"/>
                <w:sz w:val="24"/>
                <w:szCs w:val="24"/>
                <w:highlight w:val="none"/>
                <w:lang w:val="en-US" w:eastAsia="zh-CN"/>
              </w:rPr>
              <w:t>说明</w:t>
            </w:r>
            <w:r>
              <w:rPr>
                <w:rFonts w:hint="eastAsia" w:ascii="仿宋" w:hAnsi="仿宋" w:eastAsia="仿宋" w:cs="仿宋"/>
                <w:b/>
                <w:bCs/>
                <w:color w:val="auto"/>
                <w:sz w:val="24"/>
                <w:szCs w:val="24"/>
                <w:highlight w:val="none"/>
              </w:rPr>
              <w:t>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2</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质保期和保修期</w:t>
            </w:r>
          </w:p>
        </w:tc>
        <w:tc>
          <w:tcPr>
            <w:tcW w:w="7094" w:type="dxa"/>
          </w:tcPr>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在</w:t>
            </w:r>
            <w:r>
              <w:rPr>
                <w:rFonts w:hint="eastAsia" w:ascii="仿宋" w:hAnsi="仿宋" w:eastAsia="仿宋" w:cs="仿宋"/>
                <w:color w:val="auto"/>
                <w:sz w:val="24"/>
                <w:highlight w:val="none"/>
                <w:lang w:val="en-US" w:eastAsia="zh-CN"/>
              </w:rPr>
              <w:t>满足</w:t>
            </w:r>
            <w:r>
              <w:rPr>
                <w:rFonts w:hint="eastAsia" w:ascii="仿宋" w:hAnsi="仿宋" w:eastAsia="仿宋" w:cs="仿宋"/>
                <w:color w:val="auto"/>
                <w:sz w:val="24"/>
                <w:highlight w:val="none"/>
              </w:rPr>
              <w:t>招标文件商务要求中的“</w:t>
            </w:r>
            <w:r>
              <w:rPr>
                <w:rFonts w:hint="eastAsia" w:ascii="仿宋" w:hAnsi="仿宋" w:eastAsia="仿宋" w:cs="仿宋"/>
                <w:color w:val="auto"/>
                <w:sz w:val="24"/>
                <w:highlight w:val="none"/>
                <w:lang w:val="en-US" w:eastAsia="zh-CN"/>
              </w:rPr>
              <w:t>质保期</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和</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保修期</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基础上，承诺质量保证期和保修期均每延长一年的加</w:t>
            </w:r>
            <w:r>
              <w:rPr>
                <w:rFonts w:hint="eastAsia" w:ascii="仿宋" w:hAnsi="仿宋" w:eastAsia="仿宋" w:cs="仿宋"/>
                <w:color w:val="auto"/>
                <w:sz w:val="24"/>
                <w:highlight w:val="none"/>
                <w:lang w:val="en-US" w:eastAsia="zh-CN"/>
              </w:rPr>
              <w:t>2</w:t>
            </w:r>
            <w:r>
              <w:rPr>
                <w:rFonts w:ascii="仿宋" w:hAnsi="仿宋" w:eastAsia="仿宋" w:cs="仿宋"/>
                <w:color w:val="auto"/>
                <w:sz w:val="24"/>
                <w:highlight w:val="none"/>
              </w:rPr>
              <w:t>分，</w:t>
            </w:r>
            <w:r>
              <w:rPr>
                <w:rFonts w:hint="eastAsia" w:ascii="仿宋" w:hAnsi="仿宋" w:eastAsia="仿宋" w:cs="仿宋"/>
                <w:color w:val="auto"/>
                <w:sz w:val="24"/>
                <w:highlight w:val="none"/>
              </w:rPr>
              <w:t>最多加</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分</w:t>
            </w:r>
            <w:r>
              <w:rPr>
                <w:rFonts w:ascii="仿宋" w:hAnsi="仿宋" w:eastAsia="仿宋" w:cs="仿宋"/>
                <w:color w:val="auto"/>
                <w:sz w:val="24"/>
                <w:highlight w:val="none"/>
              </w:rPr>
              <w:t>。</w:t>
            </w:r>
          </w:p>
          <w:p>
            <w:pPr>
              <w:widowControl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评审依据：投标文件中提供质量保证和保修</w:t>
            </w:r>
            <w:r>
              <w:rPr>
                <w:rFonts w:hint="eastAsia" w:ascii="仿宋" w:hAnsi="仿宋" w:eastAsia="仿宋" w:cs="仿宋"/>
                <w:b/>
                <w:bCs/>
                <w:color w:val="auto"/>
                <w:sz w:val="24"/>
                <w:highlight w:val="none"/>
              </w:rPr>
              <w:t>承诺</w:t>
            </w:r>
            <w:r>
              <w:rPr>
                <w:rFonts w:hint="eastAsia" w:ascii="仿宋" w:hAnsi="仿宋" w:eastAsia="仿宋" w:cs="仿宋"/>
                <w:b/>
                <w:color w:val="auto"/>
                <w:sz w:val="24"/>
                <w:highlight w:val="none"/>
              </w:rPr>
              <w:t>函原件。</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车辆制造商</w:t>
            </w:r>
            <w:r>
              <w:rPr>
                <w:rFonts w:hint="eastAsia" w:ascii="仿宋" w:hAnsi="仿宋" w:eastAsia="仿宋" w:cs="仿宋"/>
                <w:color w:val="auto"/>
                <w:sz w:val="24"/>
                <w:highlight w:val="none"/>
              </w:rPr>
              <w:t>专业技术</w:t>
            </w:r>
            <w:r>
              <w:rPr>
                <w:rFonts w:hint="eastAsia" w:ascii="仿宋" w:hAnsi="仿宋" w:eastAsia="仿宋" w:cs="仿宋"/>
                <w:color w:val="auto"/>
                <w:sz w:val="24"/>
                <w:highlight w:val="none"/>
                <w:lang w:val="en-US" w:eastAsia="zh-CN"/>
              </w:rPr>
              <w:t>生产</w:t>
            </w:r>
            <w:r>
              <w:rPr>
                <w:rFonts w:hint="eastAsia" w:ascii="仿宋" w:hAnsi="仿宋" w:eastAsia="仿宋" w:cs="仿宋"/>
                <w:color w:val="auto"/>
                <w:sz w:val="24"/>
                <w:highlight w:val="none"/>
              </w:rPr>
              <w:t>能力</w:t>
            </w:r>
          </w:p>
        </w:tc>
        <w:tc>
          <w:tcPr>
            <w:tcW w:w="7094" w:type="dxa"/>
          </w:tcPr>
          <w:p>
            <w:pPr>
              <w:widowControl w:val="0"/>
              <w:spacing w:line="240" w:lineRule="auto"/>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投标人提供所投产品制造商的证明材料</w:t>
            </w:r>
            <w:r>
              <w:rPr>
                <w:rFonts w:hint="eastAsia" w:ascii="仿宋" w:hAnsi="仿宋" w:eastAsia="仿宋"/>
                <w:b w:val="0"/>
                <w:bCs/>
                <w:color w:val="auto"/>
                <w:sz w:val="24"/>
                <w:highlight w:val="none"/>
                <w:lang w:val="en-US" w:eastAsia="zh-CN"/>
              </w:rPr>
              <w:t>（应加盖制造商公章）</w:t>
            </w:r>
            <w:r>
              <w:rPr>
                <w:rFonts w:hint="eastAsia" w:ascii="仿宋" w:hAnsi="仿宋" w:eastAsia="仿宋" w:cs="仿宋"/>
                <w:color w:val="auto"/>
                <w:sz w:val="24"/>
                <w:highlight w:val="none"/>
              </w:rPr>
              <w:t>对专业技术能力进行评审，包含但不限于</w:t>
            </w:r>
            <w:r>
              <w:rPr>
                <w:rFonts w:hint="eastAsia" w:ascii="仿宋" w:hAnsi="仿宋" w:eastAsia="仿宋" w:cs="仿宋"/>
                <w:color w:val="auto"/>
                <w:sz w:val="24"/>
                <w:highlight w:val="none"/>
                <w:lang w:eastAsia="zh-CN"/>
              </w:rPr>
              <w:t>：</w:t>
            </w:r>
          </w:p>
          <w:p>
            <w:pPr>
              <w:widowControl w:val="0"/>
              <w:spacing w:line="240" w:lineRule="auto"/>
              <w:jc w:val="left"/>
              <w:rPr>
                <w:rFonts w:hint="eastAsia"/>
                <w:color w:val="auto"/>
                <w:sz w:val="24"/>
                <w:szCs w:val="28"/>
                <w:highlight w:val="none"/>
                <w:lang w:eastAsia="zh-CN"/>
              </w:rPr>
            </w:pPr>
            <w:r>
              <w:rPr>
                <w:rFonts w:hint="eastAsia" w:ascii="仿宋" w:hAnsi="仿宋" w:eastAsia="仿宋" w:cs="仿宋"/>
                <w:b w:val="0"/>
                <w:bCs w:val="0"/>
                <w:color w:val="auto"/>
                <w:sz w:val="24"/>
                <w:szCs w:val="28"/>
                <w:highlight w:val="none"/>
                <w:lang w:eastAsia="zh-CN"/>
              </w:rPr>
              <w:t>①制造商生产经营情况简介；</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②生产工艺流程，主要包括</w:t>
            </w:r>
            <w:r>
              <w:rPr>
                <w:rFonts w:hint="eastAsia" w:ascii="仿宋" w:hAnsi="仿宋" w:eastAsia="仿宋" w:cs="仿宋"/>
                <w:color w:val="auto"/>
                <w:sz w:val="24"/>
                <w:highlight w:val="none"/>
                <w:lang w:val="en-US" w:eastAsia="zh-CN"/>
              </w:rPr>
              <w:t>生产制造流程</w:t>
            </w:r>
            <w:r>
              <w:rPr>
                <w:rFonts w:hint="eastAsia" w:ascii="仿宋" w:hAnsi="仿宋" w:eastAsia="仿宋" w:cs="仿宋"/>
                <w:color w:val="auto"/>
                <w:sz w:val="24"/>
                <w:highlight w:val="none"/>
              </w:rPr>
              <w:t>图（含图片和文字说明等）、生产步骤等相关情况描述</w:t>
            </w:r>
            <w:r>
              <w:rPr>
                <w:rFonts w:hint="eastAsia" w:ascii="仿宋" w:hAnsi="仿宋" w:eastAsia="仿宋" w:cs="仿宋"/>
                <w:color w:val="auto"/>
                <w:sz w:val="24"/>
                <w:highlight w:val="none"/>
                <w:lang w:eastAsia="zh-CN"/>
              </w:rPr>
              <w:t>，</w:t>
            </w:r>
            <w:r>
              <w:rPr>
                <w:rFonts w:hint="eastAsia" w:ascii="仿宋" w:hAnsi="仿宋" w:eastAsia="仿宋" w:cs="仿宋"/>
                <w:color w:val="auto"/>
                <w:kern w:val="2"/>
                <w:sz w:val="24"/>
                <w:szCs w:val="22"/>
                <w:highlight w:val="none"/>
                <w:lang w:val="en-US" w:eastAsia="zh-CN" w:bidi="ar"/>
              </w:rPr>
              <w:t>生产车间环境及实际生产照片</w:t>
            </w:r>
            <w:r>
              <w:rPr>
                <w:rFonts w:hint="eastAsia" w:ascii="仿宋" w:hAnsi="仿宋" w:eastAsia="仿宋" w:cs="仿宋"/>
                <w:color w:val="auto"/>
                <w:sz w:val="24"/>
                <w:highlight w:val="none"/>
              </w:rPr>
              <w:t>；</w:t>
            </w:r>
          </w:p>
          <w:p>
            <w:pPr>
              <w:widowControl w:val="0"/>
              <w:spacing w:line="24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③产品检验流程，主要包括检验设备、检验步骤等相关情况描述；</w:t>
            </w:r>
          </w:p>
          <w:p>
            <w:pPr>
              <w:keepNext w:val="0"/>
              <w:keepLines w:val="0"/>
              <w:widowControl/>
              <w:suppressLineNumbers w:val="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④人员配备：各原材料采购、生产、检验、仓储、运输等环节的人员配备情况；</w:t>
            </w:r>
          </w:p>
          <w:p>
            <w:pPr>
              <w:widowControl w:val="0"/>
              <w:spacing w:line="240" w:lineRule="auto"/>
              <w:jc w:val="left"/>
              <w:rPr>
                <w:rFonts w:ascii="仿宋" w:hAnsi="仿宋" w:eastAsia="仿宋" w:cs="仿宋"/>
                <w:color w:val="auto"/>
                <w:sz w:val="24"/>
                <w:highlight w:val="none"/>
              </w:rPr>
            </w:pPr>
            <w:r>
              <w:rPr>
                <w:rFonts w:hint="eastAsia" w:ascii="仿宋" w:hAnsi="仿宋" w:eastAsia="仿宋" w:cs="仿宋"/>
                <w:color w:val="auto"/>
                <w:sz w:val="24"/>
                <w:highlight w:val="none"/>
              </w:rPr>
              <w:t>⑤专业素养证明：相关专业技术人员配置情况。</w:t>
            </w:r>
          </w:p>
          <w:p>
            <w:pPr>
              <w:widowControl w:val="0"/>
              <w:spacing w:line="240" w:lineRule="auto"/>
              <w:jc w:val="left"/>
              <w:rPr>
                <w:rFonts w:hint="eastAsia" w:ascii="仿宋" w:hAnsi="仿宋" w:eastAsia="仿宋"/>
                <w:b/>
                <w:color w:val="auto"/>
                <w:sz w:val="24"/>
                <w:highlight w:val="none"/>
              </w:rPr>
            </w:pPr>
            <w:r>
              <w:rPr>
                <w:rFonts w:hint="eastAsia" w:ascii="仿宋" w:hAnsi="仿宋" w:eastAsia="仿宋"/>
                <w:b/>
                <w:color w:val="auto"/>
                <w:sz w:val="24"/>
                <w:highlight w:val="none"/>
              </w:rPr>
              <w:t>评审依据：</w:t>
            </w:r>
            <w:r>
              <w:rPr>
                <w:rFonts w:hint="eastAsia" w:ascii="仿宋" w:hAnsi="仿宋" w:eastAsia="仿宋"/>
                <w:b/>
                <w:color w:val="auto"/>
                <w:sz w:val="24"/>
                <w:highlight w:val="none"/>
                <w:lang w:val="en-US" w:eastAsia="zh-CN"/>
              </w:rPr>
              <w:t>根据</w:t>
            </w:r>
            <w:r>
              <w:rPr>
                <w:rFonts w:hint="eastAsia" w:ascii="仿宋" w:hAnsi="仿宋" w:eastAsia="仿宋"/>
                <w:b/>
                <w:color w:val="auto"/>
                <w:sz w:val="24"/>
                <w:highlight w:val="none"/>
              </w:rPr>
              <w:t>投标人提</w:t>
            </w:r>
            <w:r>
              <w:rPr>
                <w:rFonts w:hint="eastAsia" w:ascii="仿宋" w:hAnsi="仿宋" w:eastAsia="仿宋"/>
                <w:b/>
                <w:color w:val="auto"/>
                <w:sz w:val="24"/>
                <w:highlight w:val="none"/>
                <w:lang w:val="en-US" w:eastAsia="zh-CN"/>
              </w:rPr>
              <w:t>供的专业技术能力方案内容完整性、组织性、关联性和可操作性进行评审</w:t>
            </w:r>
            <w:r>
              <w:rPr>
                <w:rFonts w:hint="eastAsia" w:ascii="仿宋" w:hAnsi="仿宋" w:eastAsia="仿宋"/>
                <w:b/>
                <w:color w:val="auto"/>
                <w:sz w:val="24"/>
                <w:highlight w:val="none"/>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1、所投产品制造商</w:t>
            </w:r>
            <w:r>
              <w:rPr>
                <w:rFonts w:hint="eastAsia" w:ascii="仿宋" w:hAnsi="仿宋" w:eastAsia="仿宋" w:cs="仿宋"/>
                <w:b/>
                <w:bCs/>
                <w:color w:val="auto"/>
                <w:kern w:val="2"/>
                <w:sz w:val="24"/>
                <w:szCs w:val="22"/>
                <w:highlight w:val="none"/>
                <w:lang w:val="en-US" w:eastAsia="zh-CN" w:bidi="ar"/>
              </w:rPr>
              <w:t>具备较强自主研发能力及先进的生产工艺，生产车间环境及生产线先进规范，生产步骤完整周详，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检验设备配置齐全、检验步骤严密无纰漏，生产</w:t>
            </w:r>
            <w:r>
              <w:rPr>
                <w:rFonts w:hint="eastAsia" w:ascii="仿宋" w:hAnsi="仿宋" w:eastAsia="仿宋" w:cs="仿宋"/>
                <w:b/>
                <w:bCs/>
                <w:color w:val="auto"/>
                <w:sz w:val="24"/>
                <w:highlight w:val="none"/>
              </w:rPr>
              <w:t>专业技术能力高的得</w:t>
            </w:r>
            <w:r>
              <w:rPr>
                <w:rFonts w:hint="eastAsia" w:ascii="仿宋" w:hAnsi="仿宋" w:eastAsia="仿宋" w:cs="仿宋"/>
                <w:b/>
                <w:bCs/>
                <w:color w:val="auto"/>
                <w:sz w:val="24"/>
                <w:highlight w:val="none"/>
                <w:lang w:val="en-US" w:eastAsia="zh-CN"/>
              </w:rPr>
              <w:t>5</w:t>
            </w:r>
            <w:r>
              <w:rPr>
                <w:rFonts w:hint="eastAsia" w:ascii="仿宋" w:hAnsi="仿宋" w:eastAsia="仿宋" w:cs="仿宋"/>
                <w:b/>
                <w:bCs/>
                <w:color w:val="auto"/>
                <w:sz w:val="24"/>
                <w:highlight w:val="none"/>
              </w:rPr>
              <w:t>分；</w:t>
            </w:r>
          </w:p>
          <w:p>
            <w:pPr>
              <w:widowControl w:val="0"/>
              <w:numPr>
                <w:ilvl w:val="0"/>
                <w:numId w:val="0"/>
              </w:numPr>
              <w:spacing w:line="240" w:lineRule="auto"/>
              <w:jc w:val="left"/>
              <w:rPr>
                <w:rFonts w:hint="eastAsia" w:ascii="仿宋" w:hAnsi="仿宋" w:eastAsia="仿宋" w:cs="仿宋"/>
                <w:b/>
                <w:bCs/>
                <w:color w:val="auto"/>
                <w:kern w:val="2"/>
                <w:sz w:val="24"/>
                <w:szCs w:val="22"/>
                <w:highlight w:val="none"/>
                <w:lang w:val="en-US" w:eastAsia="zh-CN" w:bidi="ar"/>
              </w:rPr>
            </w:pPr>
            <w:r>
              <w:rPr>
                <w:rFonts w:hint="eastAsia" w:ascii="仿宋" w:hAnsi="仿宋" w:eastAsia="仿宋"/>
                <w:b/>
                <w:color w:val="auto"/>
                <w:sz w:val="24"/>
                <w:highlight w:val="none"/>
                <w:lang w:val="en-US" w:eastAsia="zh-CN"/>
              </w:rPr>
              <w:t>2、所投产品制造商有</w:t>
            </w:r>
            <w:r>
              <w:rPr>
                <w:rFonts w:hint="eastAsia" w:ascii="仿宋" w:hAnsi="仿宋" w:eastAsia="仿宋" w:cs="仿宋"/>
                <w:b/>
                <w:bCs/>
                <w:color w:val="auto"/>
                <w:kern w:val="2"/>
                <w:sz w:val="24"/>
                <w:szCs w:val="22"/>
                <w:highlight w:val="none"/>
                <w:lang w:val="en-US" w:eastAsia="zh-CN" w:bidi="ar"/>
              </w:rPr>
              <w:t>自主研发能力和生产工艺较完整，生产车间环境及生产线常规，生产步骤较完整周详，</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人员配备</w:t>
            </w:r>
            <w:r>
              <w:rPr>
                <w:rFonts w:hint="eastAsia" w:ascii="仿宋" w:hAnsi="仿宋" w:eastAsia="仿宋" w:cs="仿宋"/>
                <w:b/>
                <w:bCs/>
                <w:color w:val="auto"/>
                <w:sz w:val="24"/>
                <w:highlight w:val="none"/>
                <w:lang w:eastAsia="zh-CN"/>
              </w:rPr>
              <w:t>相对</w:t>
            </w:r>
            <w:r>
              <w:rPr>
                <w:rFonts w:hint="eastAsia" w:ascii="仿宋" w:hAnsi="仿宋" w:eastAsia="仿宋" w:cs="仿宋"/>
                <w:b/>
                <w:bCs/>
                <w:color w:val="auto"/>
                <w:sz w:val="24"/>
                <w:highlight w:val="none"/>
                <w:lang w:val="en-US" w:eastAsia="zh-CN"/>
              </w:rPr>
              <w:t>合理专业齐全</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检验设备配置较齐全、检验步骤相对完备，生产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较</w:t>
            </w:r>
            <w:r>
              <w:rPr>
                <w:rFonts w:hint="eastAsia" w:ascii="仿宋" w:hAnsi="仿宋" w:eastAsia="仿宋" w:cs="仿宋"/>
                <w:b/>
                <w:bCs/>
                <w:color w:val="auto"/>
                <w:sz w:val="24"/>
                <w:highlight w:val="none"/>
              </w:rPr>
              <w:t>高的得</w:t>
            </w:r>
            <w:r>
              <w:rPr>
                <w:rFonts w:hint="eastAsia" w:ascii="仿宋" w:hAnsi="仿宋" w:eastAsia="仿宋" w:cs="仿宋"/>
                <w:b/>
                <w:bCs/>
                <w:color w:val="auto"/>
                <w:sz w:val="24"/>
                <w:highlight w:val="none"/>
                <w:lang w:val="en-US" w:eastAsia="zh-CN"/>
              </w:rPr>
              <w:t>3</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widowControl w:val="0"/>
              <w:numPr>
                <w:ilvl w:val="0"/>
                <w:numId w:val="0"/>
              </w:numPr>
              <w:spacing w:line="240" w:lineRule="auto"/>
              <w:jc w:val="left"/>
              <w:rPr>
                <w:rFonts w:ascii="仿宋" w:hAnsi="仿宋" w:eastAsia="仿宋" w:cs="仿宋"/>
                <w:b/>
                <w:bCs/>
                <w:color w:val="auto"/>
                <w:sz w:val="24"/>
                <w:highlight w:val="none"/>
              </w:rPr>
            </w:pPr>
            <w:r>
              <w:rPr>
                <w:rFonts w:hint="eastAsia" w:ascii="仿宋" w:hAnsi="仿宋" w:eastAsia="仿宋"/>
                <w:b/>
                <w:color w:val="auto"/>
                <w:sz w:val="24"/>
                <w:highlight w:val="none"/>
                <w:lang w:val="en-US" w:eastAsia="zh-CN"/>
              </w:rPr>
              <w:t>3、所投产品制造商有</w:t>
            </w:r>
            <w:r>
              <w:rPr>
                <w:rFonts w:hint="eastAsia" w:ascii="仿宋" w:hAnsi="仿宋" w:eastAsia="仿宋" w:cs="仿宋"/>
                <w:b/>
                <w:bCs/>
                <w:color w:val="auto"/>
                <w:kern w:val="2"/>
                <w:sz w:val="24"/>
                <w:szCs w:val="22"/>
                <w:highlight w:val="none"/>
                <w:lang w:val="en-US" w:eastAsia="zh-CN" w:bidi="ar"/>
              </w:rPr>
              <w:t>自主研发能力和生产工艺薄弱，生产车间环境及生产线粗糙落后，生产步骤简单，</w:t>
            </w:r>
            <w:r>
              <w:rPr>
                <w:rFonts w:hint="eastAsia" w:ascii="仿宋" w:hAnsi="仿宋" w:eastAsia="仿宋" w:cs="仿宋"/>
                <w:b/>
                <w:bCs/>
                <w:color w:val="auto"/>
                <w:sz w:val="24"/>
                <w:highlight w:val="none"/>
                <w:lang w:val="en-US" w:eastAsia="zh-CN"/>
              </w:rPr>
              <w:t>技术</w:t>
            </w:r>
            <w:r>
              <w:rPr>
                <w:rFonts w:hint="eastAsia" w:ascii="仿宋" w:hAnsi="仿宋" w:eastAsia="仿宋" w:cs="仿宋"/>
                <w:b/>
                <w:bCs/>
                <w:color w:val="auto"/>
                <w:sz w:val="24"/>
                <w:highlight w:val="none"/>
              </w:rPr>
              <w:t>人员</w:t>
            </w:r>
            <w:r>
              <w:rPr>
                <w:rFonts w:hint="eastAsia" w:ascii="仿宋" w:hAnsi="仿宋" w:eastAsia="仿宋" w:cs="仿宋"/>
                <w:b/>
                <w:bCs/>
                <w:color w:val="auto"/>
                <w:sz w:val="24"/>
                <w:highlight w:val="none"/>
                <w:lang w:eastAsia="zh-CN"/>
              </w:rPr>
              <w:t>综合实力一般，</w:t>
            </w:r>
            <w:r>
              <w:rPr>
                <w:rFonts w:hint="eastAsia" w:ascii="仿宋" w:hAnsi="仿宋" w:eastAsia="仿宋" w:cs="仿宋"/>
                <w:b/>
                <w:bCs/>
                <w:color w:val="auto"/>
                <w:sz w:val="24"/>
                <w:highlight w:val="none"/>
                <w:lang w:val="en-US" w:eastAsia="zh-CN"/>
              </w:rPr>
              <w:t>检验设备配置简单落后，检验步骤普通，生产</w:t>
            </w:r>
            <w:r>
              <w:rPr>
                <w:rFonts w:hint="eastAsia" w:ascii="仿宋" w:hAnsi="仿宋" w:eastAsia="仿宋" w:cs="仿宋"/>
                <w:b/>
                <w:bCs/>
                <w:color w:val="auto"/>
                <w:sz w:val="24"/>
                <w:highlight w:val="none"/>
              </w:rPr>
              <w:t>专业技术能力</w:t>
            </w:r>
            <w:r>
              <w:rPr>
                <w:rFonts w:hint="eastAsia" w:ascii="仿宋" w:hAnsi="仿宋" w:eastAsia="仿宋" w:cs="仿宋"/>
                <w:b/>
                <w:bCs/>
                <w:color w:val="auto"/>
                <w:sz w:val="24"/>
                <w:highlight w:val="none"/>
                <w:lang w:eastAsia="zh-CN"/>
              </w:rPr>
              <w:t>弱</w:t>
            </w:r>
            <w:r>
              <w:rPr>
                <w:rFonts w:hint="eastAsia" w:ascii="仿宋" w:hAnsi="仿宋" w:eastAsia="仿宋" w:cs="仿宋"/>
                <w:b/>
                <w:bCs/>
                <w:color w:val="auto"/>
                <w:sz w:val="24"/>
                <w:highlight w:val="none"/>
              </w:rPr>
              <w:t>的得</w:t>
            </w:r>
            <w:r>
              <w:rPr>
                <w:rFonts w:hint="eastAsia" w:ascii="仿宋" w:hAnsi="仿宋" w:eastAsia="仿宋" w:cs="仿宋"/>
                <w:b/>
                <w:bCs/>
                <w:color w:val="auto"/>
                <w:sz w:val="24"/>
                <w:highlight w:val="none"/>
                <w:lang w:val="en-US" w:eastAsia="zh-CN"/>
              </w:rPr>
              <w:t>1</w:t>
            </w:r>
            <w:r>
              <w:rPr>
                <w:rFonts w:hint="eastAsia" w:ascii="仿宋" w:hAnsi="仿宋" w:eastAsia="仿宋" w:cs="仿宋"/>
                <w:b/>
                <w:bCs/>
                <w:color w:val="auto"/>
                <w:sz w:val="24"/>
                <w:highlight w:val="none"/>
              </w:rPr>
              <w:t>分</w:t>
            </w:r>
            <w:r>
              <w:rPr>
                <w:rFonts w:hint="eastAsia" w:ascii="仿宋" w:hAnsi="仿宋" w:eastAsia="仿宋" w:cs="仿宋"/>
                <w:b/>
                <w:bCs/>
                <w:color w:val="auto"/>
                <w:sz w:val="24"/>
                <w:highlight w:val="none"/>
                <w:lang w:eastAsia="zh-CN"/>
              </w:rPr>
              <w:t>；</w:t>
            </w:r>
          </w:p>
          <w:p>
            <w:pPr>
              <w:pStyle w:val="14"/>
              <w:widowControl w:val="0"/>
              <w:spacing w:line="240" w:lineRule="auto"/>
              <w:ind w:left="0" w:leftChars="0" w:firstLine="0" w:firstLineChars="0"/>
              <w:jc w:val="both"/>
              <w:rPr>
                <w:color w:val="auto"/>
                <w:highlight w:val="none"/>
              </w:rPr>
            </w:pPr>
            <w:r>
              <w:rPr>
                <w:rFonts w:ascii="仿宋" w:hAnsi="仿宋" w:eastAsia="仿宋"/>
                <w:b/>
                <w:bCs/>
                <w:color w:val="auto"/>
                <w:sz w:val="24"/>
                <w:highlight w:val="none"/>
              </w:rPr>
              <w:t>4、未提供证明材料或证明材料有缺项的不得分。</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1"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类似销售</w:t>
            </w:r>
          </w:p>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案例</w:t>
            </w:r>
          </w:p>
        </w:tc>
        <w:tc>
          <w:tcPr>
            <w:tcW w:w="7094" w:type="dxa"/>
          </w:tcPr>
          <w:p>
            <w:pPr>
              <w:widowControl w:val="0"/>
              <w:spacing w:line="240" w:lineRule="auto"/>
              <w:jc w:val="left"/>
              <w:textAlignment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投标人自</w:t>
            </w:r>
            <w:r>
              <w:rPr>
                <w:rFonts w:ascii="仿宋" w:hAnsi="仿宋" w:eastAsia="仿宋" w:cs="仿宋"/>
                <w:color w:val="auto"/>
                <w:sz w:val="24"/>
                <w:highlight w:val="none"/>
              </w:rPr>
              <w:t>20</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年</w:t>
            </w:r>
            <w:r>
              <w:rPr>
                <w:rFonts w:ascii="仿宋" w:hAnsi="仿宋" w:eastAsia="仿宋" w:cs="仿宋"/>
                <w:color w:val="auto"/>
                <w:sz w:val="24"/>
                <w:highlight w:val="none"/>
              </w:rPr>
              <w:t>1月1日至今（以签订合同时间为准）具有类似产品销售案例，每提供1份销售案例加</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分，本项最多加</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b/>
                <w:color w:val="auto"/>
                <w:sz w:val="24"/>
                <w:highlight w:val="none"/>
              </w:rPr>
            </w:pPr>
            <w:r>
              <w:rPr>
                <w:rFonts w:hint="eastAsia" w:ascii="仿宋" w:hAnsi="仿宋" w:eastAsia="仿宋" w:cs="仿宋"/>
                <w:b/>
                <w:color w:val="auto"/>
                <w:sz w:val="24"/>
                <w:highlight w:val="none"/>
              </w:rPr>
              <w:t>评审依据：①投标文件中提供销售案例明细表（销售案例明细表包含</w:t>
            </w:r>
            <w:r>
              <w:rPr>
                <w:rFonts w:ascii="仿宋" w:hAnsi="仿宋" w:eastAsia="仿宋" w:cs="仿宋"/>
                <w:b/>
                <w:color w:val="auto"/>
                <w:sz w:val="24"/>
                <w:highlight w:val="none"/>
              </w:rPr>
              <w:t>:发布网站名称、网页链接地址、采购项目名称、采购单位名称和联系方式、采购代理机构名称和联系方式）；</w:t>
            </w:r>
            <w:r>
              <w:rPr>
                <w:rFonts w:hint="eastAsia" w:ascii="仿宋" w:hAnsi="仿宋" w:eastAsia="仿宋" w:cs="仿宋"/>
                <w:b/>
                <w:color w:val="auto"/>
                <w:sz w:val="24"/>
                <w:highlight w:val="none"/>
              </w:rPr>
              <w:t>②</w:t>
            </w:r>
            <w:r>
              <w:rPr>
                <w:rFonts w:hint="eastAsia" w:ascii="仿宋" w:hAnsi="仿宋" w:eastAsia="仿宋" w:cs="仿宋"/>
                <w:b/>
                <w:color w:val="auto"/>
                <w:sz w:val="24"/>
                <w:highlight w:val="none"/>
                <w:lang w:eastAsia="zh-CN"/>
              </w:rPr>
              <w:t>中标通知书和</w:t>
            </w:r>
            <w:r>
              <w:rPr>
                <w:rFonts w:ascii="仿宋" w:hAnsi="仿宋" w:eastAsia="仿宋" w:cs="仿宋"/>
                <w:b/>
                <w:color w:val="auto"/>
                <w:sz w:val="24"/>
                <w:highlight w:val="none"/>
              </w:rPr>
              <w:t>合同</w:t>
            </w:r>
            <w:r>
              <w:rPr>
                <w:rFonts w:hint="eastAsia" w:ascii="仿宋" w:hAnsi="仿宋" w:eastAsia="仿宋" w:cs="仿宋"/>
                <w:b/>
                <w:color w:val="auto"/>
                <w:sz w:val="24"/>
                <w:highlight w:val="none"/>
                <w:lang w:eastAsia="zh-CN"/>
              </w:rPr>
              <w:t>复印件（中标通知书或合同复印件应体现类似销售案例的货物），合同</w:t>
            </w:r>
            <w:r>
              <w:rPr>
                <w:rFonts w:hint="eastAsia" w:ascii="仿宋" w:hAnsi="仿宋" w:eastAsia="仿宋" w:cs="仿宋"/>
                <w:b/>
                <w:color w:val="auto"/>
                <w:sz w:val="24"/>
                <w:highlight w:val="none"/>
                <w:lang w:val="en-US" w:eastAsia="zh-CN"/>
              </w:rPr>
              <w:t>签订方必须是投标人本身。</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 w:type="dxa"/>
            <w:vAlign w:val="center"/>
          </w:tcPr>
          <w:p>
            <w:pPr>
              <w:widowControl w:val="0"/>
              <w:spacing w:line="24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1261"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质量保证</w:t>
            </w:r>
          </w:p>
        </w:tc>
        <w:tc>
          <w:tcPr>
            <w:tcW w:w="7094" w:type="dxa"/>
          </w:tcPr>
          <w:p>
            <w:pPr>
              <w:widowControl w:val="0"/>
              <w:spacing w:line="240" w:lineRule="auto"/>
              <w:jc w:val="left"/>
              <w:textAlignment w:val="center"/>
              <w:rPr>
                <w:rFonts w:eastAsia="仿宋"/>
                <w:color w:val="auto"/>
                <w:sz w:val="28"/>
                <w:szCs w:val="28"/>
                <w:highlight w:val="none"/>
              </w:rPr>
            </w:pPr>
            <w:r>
              <w:rPr>
                <w:rFonts w:hint="eastAsia" w:ascii="仿宋" w:hAnsi="仿宋" w:eastAsia="仿宋" w:cs="仿宋"/>
                <w:color w:val="auto"/>
                <w:sz w:val="24"/>
                <w:highlight w:val="none"/>
              </w:rPr>
              <w:t>投标人所投车型具有消防产品认证证书（应急管理部消防产品合格评定中心颁布）的得</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p>
            <w:pPr>
              <w:widowControl w:val="0"/>
              <w:autoSpaceDE w:val="0"/>
              <w:autoSpaceDN w:val="0"/>
              <w:spacing w:line="240" w:lineRule="auto"/>
              <w:jc w:val="left"/>
              <w:rPr>
                <w:rFonts w:ascii="仿宋" w:hAnsi="仿宋" w:eastAsia="仿宋" w:cs="仿宋"/>
                <w:b/>
                <w:bCs/>
                <w:color w:val="auto"/>
                <w:sz w:val="24"/>
                <w:highlight w:val="none"/>
              </w:rPr>
            </w:pPr>
            <w:r>
              <w:rPr>
                <w:rFonts w:hint="eastAsia" w:ascii="仿宋" w:hAnsi="仿宋" w:eastAsia="仿宋" w:cs="仿宋"/>
                <w:b/>
                <w:color w:val="auto"/>
                <w:sz w:val="24"/>
                <w:highlight w:val="none"/>
              </w:rPr>
              <w:t>评审依据：投标文件中提供认证证书复印件并加盖投标人公章佐证</w:t>
            </w:r>
            <w:r>
              <w:rPr>
                <w:rFonts w:hint="eastAsia" w:ascii="仿宋" w:hAnsi="仿宋" w:eastAsia="仿宋" w:cs="仿宋"/>
                <w:b/>
                <w:color w:val="auto"/>
                <w:sz w:val="24"/>
                <w:highlight w:val="none"/>
                <w:lang w:eastAsia="zh-CN"/>
              </w:rPr>
              <w:t>，认证证书中的型号需与所投车型型号一致</w:t>
            </w:r>
            <w:r>
              <w:rPr>
                <w:rFonts w:hint="eastAsia" w:ascii="仿宋" w:hAnsi="仿宋" w:eastAsia="仿宋" w:cs="仿宋"/>
                <w:b/>
                <w:color w:val="auto"/>
                <w:sz w:val="24"/>
                <w:highlight w:val="none"/>
              </w:rPr>
              <w:t>。</w:t>
            </w:r>
          </w:p>
        </w:tc>
        <w:tc>
          <w:tcPr>
            <w:tcW w:w="780" w:type="dxa"/>
            <w:vAlign w:val="center"/>
          </w:tcPr>
          <w:p>
            <w:pPr>
              <w:widowControl w:val="0"/>
              <w:spacing w:line="240" w:lineRule="auto"/>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分</w:t>
            </w:r>
          </w:p>
        </w:tc>
      </w:tr>
    </w:tbl>
    <w:p>
      <w:pPr>
        <w:pStyle w:val="14"/>
        <w:rPr>
          <w:color w:val="auto"/>
          <w:highlight w:val="none"/>
        </w:rPr>
      </w:pPr>
    </w:p>
    <w:sectPr>
      <w:footerReference r:id="rId15" w:type="default"/>
      <w:pgSz w:w="11906" w:h="16838"/>
      <w:pgMar w:top="1247" w:right="1417" w:bottom="1702" w:left="1417"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1CFC5ED-5A64-4775-A807-AE3F0A36262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B51E98AC-F157-47DF-8857-605EFDB6BA02}"/>
  </w:font>
  <w:font w:name="Cambria">
    <w:panose1 w:val="02040503050406030204"/>
    <w:charset w:val="00"/>
    <w:family w:val="modern"/>
    <w:pitch w:val="default"/>
    <w:sig w:usb0="E00006FF" w:usb1="420024FF" w:usb2="02000000" w:usb3="00000000" w:csb0="2000019F" w:csb1="00000000"/>
  </w:font>
  <w:font w:name="仿宋">
    <w:panose1 w:val="02010609060101010101"/>
    <w:charset w:val="86"/>
    <w:family w:val="decorative"/>
    <w:pitch w:val="default"/>
    <w:sig w:usb0="800002BF" w:usb1="38CF7CFA" w:usb2="00000016" w:usb3="00000000" w:csb0="00040001" w:csb1="00000000"/>
    <w:embedRegular r:id="rId3" w:fontKey="{7EB35A40-140F-4EEA-B6E2-20F0C87016EC}"/>
  </w:font>
  <w:font w:name="FangSong_GB2312">
    <w:altName w:val="仿宋_GB2312"/>
    <w:panose1 w:val="02010609060101010101"/>
    <w:charset w:val="00"/>
    <w:family w:val="swiss"/>
    <w:pitch w:val="default"/>
    <w:sig w:usb0="00000000" w:usb1="00000000" w:usb2="00000000" w:usb3="00000000" w:csb0="00000000" w:csb1="00000000"/>
  </w:font>
  <w:font w:name="楷体_GB2312">
    <w:altName w:val="楷体"/>
    <w:panose1 w:val="02010609030101010101"/>
    <w:charset w:val="86"/>
    <w:family w:val="decorative"/>
    <w:pitch w:val="default"/>
    <w:sig w:usb0="00000000" w:usb1="00000000" w:usb2="00000000" w:usb3="00000000" w:csb0="00040000" w:csb1="00000000"/>
  </w:font>
  <w:font w:name="方正仿宋_GBK">
    <w:panose1 w:val="02000000000000000000"/>
    <w:charset w:val="86"/>
    <w:family w:val="script"/>
    <w:pitch w:val="default"/>
    <w:sig w:usb0="A00002BF" w:usb1="38CF7CFA" w:usb2="00082016" w:usb3="00000000" w:csb0="00040001" w:csb1="00000000"/>
    <w:embedRegular r:id="rId4" w:fontKey="{42A7098D-0DFD-4B7A-8BDC-0CBB36B69B49}"/>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&#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IfbcQPUAQAArwMAAA4AAAAAAAAAAQAgAAAAHgEA&#10;AGRycy9lMm9Eb2MueG1sUEsFBgAAAAAGAAYAWQEAAGQFAAAAAA==&#10;">
              <v:fill on="f" focussize="0,0"/>
              <v:stroke on="f" joinstyle="miter"/>
              <v:imagedata o:title=""/>
              <o:lock v:ext="edit" aspectratio="f"/>
              <v:textbox inset="0mm,0mm,0mm,0mm" style="mso-fit-shape-to-text:t;">
                <w:txbxContent>
                  <w:p>
                    <w:pPr>
                      <w:pStyle w:val="25"/>
                    </w:pPr>
                    <w:r>
                      <w:t xml:space="preserve">第 </w:t>
                    </w:r>
                    <w:r>
                      <w:fldChar w:fldCharType="begin"/>
                    </w:r>
                    <w:r>
                      <w:instrText xml:space="preserve"> PAGE  \* MERGEFORMAT </w:instrText>
                    </w:r>
                    <w:r>
                      <w:fldChar w:fldCharType="separate"/>
                    </w:r>
                    <w:r>
                      <w:t>28</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b/>
        <w:szCs w:val="1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0/PsfXAQAArwMAAA4AAAAAAAAAAQAgAAAA&#10;HgEAAGRycy9lMm9Eb2MueG1sUEsFBgAAAAAGAAYAWQEAAGcFAAAAAA==&#10;">
              <v:fill on="f" focussize="0,0"/>
              <v:stroke on="f" joinstyle="miter"/>
              <v:imagedata o:title=""/>
              <o:lock v:ext="edit" aspectratio="f"/>
              <v:textbox inset="0mm,0mm,0mm,0mm" style="mso-fit-shape-to-text:t;">
                <w:txbxContent>
                  <w:p>
                    <w:pPr>
                      <w:pStyle w:val="25"/>
                    </w:pPr>
                    <w:r>
                      <w:t xml:space="preserve">第 </w:t>
                    </w:r>
                    <w:r>
                      <w:fldChar w:fldCharType="begin"/>
                    </w:r>
                    <w:r>
                      <w:instrText xml:space="preserve"> PAGE  \* MERGEFORMAT </w:instrText>
                    </w:r>
                    <w:r>
                      <w:fldChar w:fldCharType="separate"/>
                    </w:r>
                    <w:r>
                      <w:t>31</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b/>
        <w:szCs w:val="1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wps:spPr>
                    <wps:txbx>
                      <w:txbxContent>
                        <w:p>
                          <w:pPr>
                            <w:pStyle w:val="2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P77PeXXAQAArwMAAA4AAAAAAAAAAQAgAAAA&#10;HgEAAGRycy9lMm9Eb2MueG1sUEsFBgAAAAAGAAYAWQEAAGcFAAAAAA==&#10;">
              <v:fill on="f" focussize="0,0"/>
              <v:stroke on="f" joinstyle="miter"/>
              <v:imagedata o:title=""/>
              <o:lock v:ext="edit" aspectratio="f"/>
              <v:textbox inset="0mm,0mm,0mm,0mm" style="mso-fit-shape-to-text:t;">
                <w:txbxContent>
                  <w:p>
                    <w:pPr>
                      <w:pStyle w:val="25"/>
                    </w:pPr>
                    <w:r>
                      <w:t xml:space="preserve">第 </w:t>
                    </w:r>
                    <w:r>
                      <w:fldChar w:fldCharType="begin"/>
                    </w:r>
                    <w:r>
                      <w:instrText xml:space="preserve"> PAGE  \* MERGEFORMAT </w:instrText>
                    </w:r>
                    <w:r>
                      <w:fldChar w:fldCharType="separate"/>
                    </w:r>
                    <w:r>
                      <w:t>30</w:t>
                    </w:r>
                    <w:r>
                      <w:fldChar w:fldCharType="end"/>
                    </w:r>
                    <w:r>
                      <w:t xml:space="preserve"> 页 共 </w:t>
                    </w:r>
                    <w:r>
                      <w:fldChar w:fldCharType="begin"/>
                    </w:r>
                    <w:r>
                      <w:instrText xml:space="preserve"> NUMPAGES  \* MERGEFORMAT </w:instrText>
                    </w:r>
                    <w:r>
                      <w:fldChar w:fldCharType="separate"/>
                    </w:r>
                    <w:r>
                      <w:t>39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b/>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rPr>
        <w:b/>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right="360"/>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5"/>
                          </w:pPr>
                          <w:r>
                            <w:fldChar w:fldCharType="begin"/>
                          </w:r>
                          <w:r>
                            <w:instrText xml:space="preserve"> PAGE  \* MERGEFORMAT </w:instrText>
                          </w:r>
                          <w:r>
                            <w:fldChar w:fldCharType="separate"/>
                          </w:r>
                          <w:r>
                            <w:t>668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25"/>
                    </w:pPr>
                    <w:r>
                      <w:fldChar w:fldCharType="begin"/>
                    </w:r>
                    <w:r>
                      <w:instrText xml:space="preserve"> PAGE  \* MERGEFORMAT </w:instrText>
                    </w:r>
                    <w:r>
                      <w:fldChar w:fldCharType="separate"/>
                    </w:r>
                    <w:r>
                      <w:t>668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1044"/>
      <w:jc w:val="right"/>
    </w:pPr>
    <w:r>
      <w:rPr>
        <w:rFonts w:ascii="仿宋" w:hAnsi="仿宋" w:eastAsia="仿宋"/>
        <w:b/>
        <w:sz w:val="52"/>
        <w:u w:val="single"/>
      </w:rPr>
      <w:drawing>
        <wp:inline distT="0" distB="0" distL="114300" distR="114300">
          <wp:extent cx="161290" cy="197485"/>
          <wp:effectExtent l="0" t="0" r="6350" b="635"/>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1"/>
                  <a:stretch>
                    <a:fillRect/>
                  </a:stretch>
                </pic:blipFill>
                <pic:spPr>
                  <a:xfrm>
                    <a:off x="0" y="0"/>
                    <a:ext cx="161290" cy="197485"/>
                  </a:xfrm>
                  <a:prstGeom prst="rect">
                    <a:avLst/>
                  </a:prstGeom>
                  <a:noFill/>
                  <a:ln>
                    <a:noFill/>
                  </a:ln>
                </pic:spPr>
              </pic:pic>
            </a:graphicData>
          </a:graphic>
        </wp:inline>
      </w:drawing>
    </w:r>
    <w:r>
      <w:rPr>
        <w:rFonts w:hint="eastAsia" w:ascii="仿宋" w:hAnsi="仿宋" w:eastAsia="仿宋" w:cs="仿宋"/>
        <w:color w:val="000000"/>
        <w:sz w:val="24"/>
        <w:szCs w:val="24"/>
        <w:u w:val="single"/>
      </w:rPr>
      <w:t>江西合胜合招标咨询有限公司·</w:t>
    </w:r>
    <w:r>
      <w:rPr>
        <w:rFonts w:hint="eastAsia" w:ascii="仿宋" w:hAnsi="仿宋" w:eastAsia="仿宋" w:cs="仿宋"/>
        <w:color w:val="000000"/>
        <w:sz w:val="24"/>
        <w:szCs w:val="24"/>
        <w:u w:val="single"/>
        <w:lang w:eastAsia="zh-CN"/>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1044"/>
      <w:jc w:val="right"/>
    </w:pPr>
    <w:r>
      <w:rPr>
        <w:rFonts w:ascii="仿宋" w:hAnsi="仿宋" w:eastAsia="仿宋"/>
        <w:b/>
        <w:sz w:val="52"/>
        <w:u w:val="single"/>
      </w:rPr>
      <w:drawing>
        <wp:inline distT="0" distB="0" distL="114300" distR="114300">
          <wp:extent cx="161290" cy="197485"/>
          <wp:effectExtent l="0" t="0" r="6350" b="635"/>
          <wp:docPr id="2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3"/>
                  <pic:cNvPicPr>
                    <a:picLocks noChangeAspect="1"/>
                  </pic:cNvPicPr>
                </pic:nvPicPr>
                <pic:blipFill>
                  <a:blip r:embed="rId1"/>
                  <a:stretch>
                    <a:fillRect/>
                  </a:stretch>
                </pic:blipFill>
                <pic:spPr>
                  <a:xfrm>
                    <a:off x="0" y="0"/>
                    <a:ext cx="161290" cy="197485"/>
                  </a:xfrm>
                  <a:prstGeom prst="rect">
                    <a:avLst/>
                  </a:prstGeom>
                  <a:noFill/>
                  <a:ln>
                    <a:noFill/>
                  </a:ln>
                </pic:spPr>
              </pic:pic>
            </a:graphicData>
          </a:graphic>
        </wp:inline>
      </w:drawing>
    </w:r>
    <w:r>
      <w:rPr>
        <w:rFonts w:hint="eastAsia" w:ascii="仿宋" w:hAnsi="仿宋" w:eastAsia="仿宋" w:cs="仿宋"/>
        <w:color w:val="000000"/>
        <w:sz w:val="24"/>
        <w:szCs w:val="24"/>
        <w:u w:val="single"/>
      </w:rPr>
      <w:t>江西合胜合招标咨询有限公司·</w:t>
    </w:r>
    <w:r>
      <w:rPr>
        <w:rFonts w:hint="eastAsia" w:ascii="仿宋" w:hAnsi="仿宋" w:eastAsia="仿宋" w:cs="仿宋"/>
        <w:color w:val="000000"/>
        <w:sz w:val="24"/>
        <w:szCs w:val="24"/>
        <w:u w:val="single"/>
        <w:lang w:eastAsia="zh-CN"/>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78C61"/>
    <w:multiLevelType w:val="singleLevel"/>
    <w:tmpl w:val="84778C61"/>
    <w:lvl w:ilvl="0" w:tentative="0">
      <w:start w:val="1"/>
      <w:numFmt w:val="decimal"/>
      <w:suff w:val="nothing"/>
      <w:lvlText w:val="%1、"/>
      <w:lvlJc w:val="left"/>
    </w:lvl>
  </w:abstractNum>
  <w:abstractNum w:abstractNumId="1">
    <w:nsid w:val="00000006"/>
    <w:multiLevelType w:val="multilevel"/>
    <w:tmpl w:val="00000006"/>
    <w:lvl w:ilvl="0" w:tentative="0">
      <w:start w:val="4"/>
      <w:numFmt w:val="decimal"/>
      <w:lvlText w:val="%1"/>
      <w:lvlJc w:val="left"/>
      <w:pPr>
        <w:ind w:left="600" w:hanging="600"/>
      </w:pPr>
      <w:rPr>
        <w:rFonts w:hint="default"/>
      </w:rPr>
    </w:lvl>
    <w:lvl w:ilvl="1" w:tentative="0">
      <w:start w:val="4"/>
      <w:numFmt w:val="decimal"/>
      <w:lvlText w:val="%1.%2"/>
      <w:lvlJc w:val="left"/>
      <w:pPr>
        <w:ind w:left="671" w:hanging="600"/>
      </w:pPr>
      <w:rPr>
        <w:rFonts w:hint="default"/>
      </w:rPr>
    </w:lvl>
    <w:lvl w:ilvl="2" w:tentative="0">
      <w:start w:val="1"/>
      <w:numFmt w:val="decimal"/>
      <w:lvlText w:val="%1.%2.%3"/>
      <w:lvlJc w:val="left"/>
      <w:pPr>
        <w:ind w:left="862" w:hanging="720"/>
      </w:pPr>
      <w:rPr>
        <w:rFonts w:hint="default"/>
      </w:rPr>
    </w:lvl>
    <w:lvl w:ilvl="3" w:tentative="0">
      <w:start w:val="1"/>
      <w:numFmt w:val="decimal"/>
      <w:lvlText w:val="%1.%2.%3.%4"/>
      <w:lvlJc w:val="left"/>
      <w:pPr>
        <w:ind w:left="1293" w:hanging="1080"/>
      </w:pPr>
      <w:rPr>
        <w:rFonts w:hint="default"/>
      </w:rPr>
    </w:lvl>
    <w:lvl w:ilvl="4" w:tentative="0">
      <w:start w:val="1"/>
      <w:numFmt w:val="decimal"/>
      <w:lvlText w:val="%1.%2.%3.%4.%5"/>
      <w:lvlJc w:val="left"/>
      <w:pPr>
        <w:ind w:left="1364" w:hanging="1080"/>
      </w:pPr>
      <w:rPr>
        <w:rFonts w:hint="default"/>
      </w:rPr>
    </w:lvl>
    <w:lvl w:ilvl="5" w:tentative="0">
      <w:start w:val="1"/>
      <w:numFmt w:val="decimal"/>
      <w:lvlText w:val="%1.%2.%3.%4.%5.%6"/>
      <w:lvlJc w:val="left"/>
      <w:pPr>
        <w:ind w:left="1795" w:hanging="1440"/>
      </w:pPr>
      <w:rPr>
        <w:rFonts w:hint="default"/>
      </w:rPr>
    </w:lvl>
    <w:lvl w:ilvl="6" w:tentative="0">
      <w:start w:val="1"/>
      <w:numFmt w:val="decimal"/>
      <w:lvlText w:val="%1.%2.%3.%4.%5.%6.%7"/>
      <w:lvlJc w:val="left"/>
      <w:pPr>
        <w:ind w:left="2226" w:hanging="1800"/>
      </w:pPr>
      <w:rPr>
        <w:rFonts w:hint="default"/>
      </w:rPr>
    </w:lvl>
    <w:lvl w:ilvl="7" w:tentative="0">
      <w:start w:val="1"/>
      <w:numFmt w:val="decimal"/>
      <w:lvlText w:val="%1.%2.%3.%4.%5.%6.%7.%8"/>
      <w:lvlJc w:val="left"/>
      <w:pPr>
        <w:ind w:left="2297" w:hanging="1800"/>
      </w:pPr>
      <w:rPr>
        <w:rFonts w:hint="default"/>
      </w:rPr>
    </w:lvl>
    <w:lvl w:ilvl="8" w:tentative="0">
      <w:start w:val="1"/>
      <w:numFmt w:val="decimal"/>
      <w:lvlText w:val="%1.%2.%3.%4.%5.%6.%7.%8.%9"/>
      <w:lvlJc w:val="left"/>
      <w:pPr>
        <w:ind w:left="2728" w:hanging="2160"/>
      </w:pPr>
      <w:rPr>
        <w:rFonts w:hint="default"/>
      </w:rPr>
    </w:lvl>
  </w:abstractNum>
  <w:abstractNum w:abstractNumId="2">
    <w:nsid w:val="0000000B"/>
    <w:multiLevelType w:val="multilevel"/>
    <w:tmpl w:val="0000000B"/>
    <w:lvl w:ilvl="0" w:tentative="0">
      <w:start w:val="1"/>
      <w:numFmt w:val="decimalEnclosedParen"/>
      <w:lvlText w:val="%1"/>
      <w:lvlJc w:val="left"/>
      <w:pPr>
        <w:ind w:left="645" w:hanging="420"/>
      </w:pPr>
      <w:rPr>
        <w:rFonts w:hint="default" w:ascii="仿宋" w:hAnsi="仿宋" w:eastAsia="仿宋" w:cs="仿宋"/>
        <w:sz w:val="24"/>
        <w:szCs w:val="24"/>
      </w:rPr>
    </w:lvl>
    <w:lvl w:ilvl="1" w:tentative="0">
      <w:start w:val="1"/>
      <w:numFmt w:val="lowerLetter"/>
      <w:lvlText w:val="%2)"/>
      <w:lvlJc w:val="left"/>
      <w:pPr>
        <w:ind w:left="1065" w:hanging="420"/>
      </w:pPr>
    </w:lvl>
    <w:lvl w:ilvl="2" w:tentative="0">
      <w:start w:val="1"/>
      <w:numFmt w:val="lowerRoman"/>
      <w:lvlText w:val="%3."/>
      <w:lvlJc w:val="right"/>
      <w:pPr>
        <w:ind w:left="1485" w:hanging="420"/>
      </w:pPr>
    </w:lvl>
    <w:lvl w:ilvl="3" w:tentative="0">
      <w:start w:val="1"/>
      <w:numFmt w:val="decimal"/>
      <w:lvlText w:val="%4."/>
      <w:lvlJc w:val="left"/>
      <w:pPr>
        <w:ind w:left="1905" w:hanging="420"/>
      </w:pPr>
    </w:lvl>
    <w:lvl w:ilvl="4" w:tentative="0">
      <w:start w:val="1"/>
      <w:numFmt w:val="lowerLetter"/>
      <w:lvlText w:val="%5)"/>
      <w:lvlJc w:val="left"/>
      <w:pPr>
        <w:ind w:left="2325" w:hanging="420"/>
      </w:pPr>
    </w:lvl>
    <w:lvl w:ilvl="5" w:tentative="0">
      <w:start w:val="1"/>
      <w:numFmt w:val="lowerRoman"/>
      <w:lvlText w:val="%6."/>
      <w:lvlJc w:val="right"/>
      <w:pPr>
        <w:ind w:left="2745" w:hanging="420"/>
      </w:pPr>
    </w:lvl>
    <w:lvl w:ilvl="6" w:tentative="0">
      <w:start w:val="1"/>
      <w:numFmt w:val="decimal"/>
      <w:lvlText w:val="%7."/>
      <w:lvlJc w:val="left"/>
      <w:pPr>
        <w:ind w:left="3165" w:hanging="420"/>
      </w:pPr>
    </w:lvl>
    <w:lvl w:ilvl="7" w:tentative="0">
      <w:start w:val="1"/>
      <w:numFmt w:val="lowerLetter"/>
      <w:lvlText w:val="%8)"/>
      <w:lvlJc w:val="left"/>
      <w:pPr>
        <w:ind w:left="3585" w:hanging="420"/>
      </w:pPr>
    </w:lvl>
    <w:lvl w:ilvl="8" w:tentative="0">
      <w:start w:val="1"/>
      <w:numFmt w:val="lowerRoman"/>
      <w:lvlText w:val="%9."/>
      <w:lvlJc w:val="right"/>
      <w:pPr>
        <w:ind w:left="4005" w:hanging="420"/>
      </w:pPr>
    </w:lvl>
  </w:abstractNum>
  <w:abstractNum w:abstractNumId="3">
    <w:nsid w:val="00000010"/>
    <w:multiLevelType w:val="multilevel"/>
    <w:tmpl w:val="00000010"/>
    <w:lvl w:ilvl="0" w:tentative="0">
      <w:start w:val="1"/>
      <w:numFmt w:val="decimal"/>
      <w:lvlText w:val="%1"/>
      <w:lvlJc w:val="left"/>
      <w:pPr>
        <w:ind w:left="360" w:hanging="360"/>
      </w:pPr>
      <w:rPr>
        <w:rFonts w:hint="default"/>
        <w:color w:val="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12"/>
    <w:multiLevelType w:val="multilevel"/>
    <w:tmpl w:val="00000012"/>
    <w:lvl w:ilvl="0" w:tentative="0">
      <w:start w:val="8"/>
      <w:numFmt w:val="decimal"/>
      <w:lvlText w:val="%1"/>
      <w:lvlJc w:val="left"/>
      <w:pPr>
        <w:ind w:left="502" w:hanging="360"/>
      </w:pPr>
      <w:rPr>
        <w:rFonts w:hint="default"/>
        <w:b/>
        <w:color w:val="000000"/>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00000019"/>
    <w:multiLevelType w:val="multilevel"/>
    <w:tmpl w:val="00000019"/>
    <w:lvl w:ilvl="0" w:tentative="0">
      <w:start w:val="1"/>
      <w:numFmt w:val="decimal"/>
      <w:lvlText w:val="%1)"/>
      <w:lvlJc w:val="left"/>
      <w:pPr>
        <w:tabs>
          <w:tab w:val="left" w:pos="587"/>
        </w:tabs>
        <w:ind w:left="425" w:hanging="198"/>
      </w:pPr>
      <w:rPr>
        <w:rFonts w:hint="eastAsia"/>
      </w:rPr>
    </w:lvl>
    <w:lvl w:ilvl="1" w:tentative="0">
      <w:start w:val="1"/>
      <w:numFmt w:val="decimal"/>
      <w:lvlText w:val="9.%2."/>
      <w:lvlJc w:val="left"/>
      <w:pPr>
        <w:tabs>
          <w:tab w:val="left" w:pos="1361"/>
        </w:tabs>
        <w:ind w:left="1361" w:hanging="793"/>
      </w:pPr>
      <w:rPr>
        <w:rFonts w:hint="eastAsia" w:cs="Times New Roman"/>
        <w:b w:val="0"/>
        <w:color w:val="auto"/>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6">
    <w:nsid w:val="0753196C"/>
    <w:multiLevelType w:val="multilevel"/>
    <w:tmpl w:val="0753196C"/>
    <w:lvl w:ilvl="0" w:tentative="0">
      <w:start w:val="1"/>
      <w:numFmt w:val="decimal"/>
      <w:lvlText w:val="2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4C44C87"/>
    <w:multiLevelType w:val="multilevel"/>
    <w:tmpl w:val="14C44C87"/>
    <w:lvl w:ilvl="0" w:tentative="0">
      <w:start w:val="1"/>
      <w:numFmt w:val="decimal"/>
      <w:lvlText w:val="%1)"/>
      <w:lvlJc w:val="left"/>
      <w:pPr>
        <w:tabs>
          <w:tab w:val="left" w:pos="587"/>
        </w:tabs>
        <w:ind w:left="425" w:hanging="198"/>
      </w:pPr>
    </w:lvl>
    <w:lvl w:ilvl="1" w:tentative="0">
      <w:start w:val="1"/>
      <w:numFmt w:val="decimal"/>
      <w:lvlText w:val="10.%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1F00F231"/>
    <w:multiLevelType w:val="singleLevel"/>
    <w:tmpl w:val="1F00F231"/>
    <w:lvl w:ilvl="0" w:tentative="0">
      <w:start w:val="1"/>
      <w:numFmt w:val="decimal"/>
      <w:lvlText w:val="(%1)"/>
      <w:lvlJc w:val="left"/>
      <w:pPr>
        <w:ind w:left="425" w:hanging="425"/>
      </w:pPr>
      <w:rPr>
        <w:rFonts w:hint="default" w:ascii="仿宋" w:hAnsi="仿宋" w:eastAsia="仿宋" w:cs="仿宋"/>
        <w:sz w:val="24"/>
        <w:szCs w:val="24"/>
      </w:rPr>
    </w:lvl>
  </w:abstractNum>
  <w:abstractNum w:abstractNumId="9">
    <w:nsid w:val="1FC91163"/>
    <w:multiLevelType w:val="multilevel"/>
    <w:tmpl w:val="1FC91163"/>
    <w:lvl w:ilvl="0" w:tentative="0">
      <w:start w:val="1"/>
      <w:numFmt w:val="decimal"/>
      <w:pStyle w:val="77"/>
      <w:suff w:val="nothing"/>
      <w:lvlText w:val="%1　"/>
      <w:lvlJc w:val="left"/>
      <w:rPr>
        <w:rFonts w:hint="eastAsia" w:ascii="黑体" w:hAnsi="Times New Roman" w:eastAsia="黑体" w:cs="Times New Roman"/>
        <w:b w:val="0"/>
        <w:i w:val="0"/>
        <w:sz w:val="21"/>
        <w:szCs w:val="21"/>
      </w:rPr>
    </w:lvl>
    <w:lvl w:ilvl="1" w:tentative="0">
      <w:start w:val="1"/>
      <w:numFmt w:val="decimal"/>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rPr>
        <w:rFonts w:hint="eastAsia" w:ascii="黑体" w:hAnsi="Times New Roman" w:eastAsia="黑体" w:cs="Times New Roman"/>
        <w:b w:val="0"/>
        <w:i w:val="0"/>
        <w:sz w:val="21"/>
      </w:rPr>
    </w:lvl>
    <w:lvl w:ilvl="3" w:tentative="0">
      <w:start w:val="1"/>
      <w:numFmt w:val="decimal"/>
      <w:suff w:val="nothing"/>
      <w:lvlText w:val="%1.%2.%3.%4　"/>
      <w:lvlJc w:val="left"/>
      <w:rPr>
        <w:rFonts w:hint="eastAsia" w:ascii="黑体" w:hAnsi="Times New Roman" w:eastAsia="黑体" w:cs="Times New Roman"/>
        <w:b w:val="0"/>
        <w:i w:val="0"/>
        <w:sz w:val="21"/>
      </w:rPr>
    </w:lvl>
    <w:lvl w:ilvl="4" w:tentative="0">
      <w:start w:val="1"/>
      <w:numFmt w:val="decimal"/>
      <w:suff w:val="nothing"/>
      <w:lvlText w:val="%1.%2.%3.%4.%5　"/>
      <w:lvlJc w:val="left"/>
      <w:rPr>
        <w:rFonts w:hint="eastAsia" w:ascii="黑体" w:hAnsi="Times New Roman" w:eastAsia="黑体" w:cs="Times New Roman"/>
        <w:b w:val="0"/>
        <w:i w:val="0"/>
        <w:sz w:val="21"/>
      </w:rPr>
    </w:lvl>
    <w:lvl w:ilvl="5" w:tentative="0">
      <w:start w:val="1"/>
      <w:numFmt w:val="decimal"/>
      <w:suff w:val="nothing"/>
      <w:lvlText w:val="%1.%2.%3.%4.%5.%6　"/>
      <w:lvlJc w:val="left"/>
      <w:rPr>
        <w:rFonts w:hint="eastAsia" w:ascii="黑体" w:hAnsi="Times New Roman" w:eastAsia="黑体" w:cs="Times New Roman"/>
        <w:b w:val="0"/>
        <w:i w:val="0"/>
        <w:sz w:val="21"/>
      </w:rPr>
    </w:lvl>
    <w:lvl w:ilvl="6" w:tentative="0">
      <w:start w:val="1"/>
      <w:numFmt w:val="decimal"/>
      <w:suff w:val="nothing"/>
      <w:lvlText w:val="%1%2.%3.%4.%5.%6.%7　"/>
      <w:lvlJc w:val="left"/>
      <w:rPr>
        <w:rFonts w:hint="eastAsia" w:ascii="黑体" w:hAnsi="Times New Roman" w:eastAsia="黑体" w:cs="Times New Roman"/>
        <w:b w:val="0"/>
        <w:i w:val="0"/>
        <w:sz w:val="21"/>
      </w:rPr>
    </w:lvl>
    <w:lvl w:ilvl="7" w:tentative="0">
      <w:start w:val="1"/>
      <w:numFmt w:val="decimal"/>
      <w:lvlText w:val="%1.%2.%3.%4.%5.%6.%7.%8"/>
      <w:lvlJc w:val="left"/>
      <w:pPr>
        <w:tabs>
          <w:tab w:val="left" w:pos="4351"/>
        </w:tabs>
        <w:ind w:left="3969" w:hanging="1418"/>
      </w:pPr>
      <w:rPr>
        <w:rFonts w:hint="eastAsia" w:cs="Times New Roman"/>
      </w:rPr>
    </w:lvl>
    <w:lvl w:ilvl="8" w:tentative="0">
      <w:start w:val="1"/>
      <w:numFmt w:val="decimal"/>
      <w:lvlText w:val="%1.%2.%3.%4.%5.%6.%7.%8.%9"/>
      <w:lvlJc w:val="left"/>
      <w:pPr>
        <w:tabs>
          <w:tab w:val="left" w:pos="4777"/>
        </w:tabs>
        <w:ind w:left="4677" w:hanging="1700"/>
      </w:pPr>
      <w:rPr>
        <w:rFonts w:hint="eastAsia" w:cs="Times New Roman"/>
      </w:rPr>
    </w:lvl>
  </w:abstractNum>
  <w:abstractNum w:abstractNumId="10">
    <w:nsid w:val="25BB3D97"/>
    <w:multiLevelType w:val="multilevel"/>
    <w:tmpl w:val="25BB3D97"/>
    <w:lvl w:ilvl="0" w:tentative="0">
      <w:start w:val="1"/>
      <w:numFmt w:val="decimal"/>
      <w:lvlText w:val="%1)"/>
      <w:lvlJc w:val="left"/>
      <w:pPr>
        <w:tabs>
          <w:tab w:val="left" w:pos="587"/>
        </w:tabs>
        <w:ind w:left="425" w:hanging="198"/>
      </w:pPr>
    </w:lvl>
    <w:lvl w:ilvl="1" w:tentative="0">
      <w:start w:val="1"/>
      <w:numFmt w:val="decimal"/>
      <w:lvlText w:val="17.%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37323B12"/>
    <w:multiLevelType w:val="multilevel"/>
    <w:tmpl w:val="37323B12"/>
    <w:lvl w:ilvl="0" w:tentative="0">
      <w:start w:val="1"/>
      <w:numFmt w:val="decimal"/>
      <w:lvlText w:val="%1)"/>
      <w:lvlJc w:val="left"/>
      <w:pPr>
        <w:tabs>
          <w:tab w:val="left" w:pos="587"/>
        </w:tabs>
        <w:ind w:left="425" w:hanging="198"/>
      </w:pPr>
    </w:lvl>
    <w:lvl w:ilvl="1" w:tentative="0">
      <w:start w:val="1"/>
      <w:numFmt w:val="decimal"/>
      <w:lvlText w:val="12.%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455331AF"/>
    <w:multiLevelType w:val="multilevel"/>
    <w:tmpl w:val="455331AF"/>
    <w:lvl w:ilvl="0" w:tentative="0">
      <w:start w:val="1"/>
      <w:numFmt w:val="decimal"/>
      <w:lvlText w:val="（%1）"/>
      <w:lvlJc w:val="left"/>
      <w:pPr>
        <w:tabs>
          <w:tab w:val="left" w:pos="587"/>
        </w:tabs>
        <w:ind w:left="425" w:hanging="198"/>
      </w:pPr>
      <w:rPr>
        <w:rFonts w:hint="default" w:ascii="仿宋" w:hAnsi="仿宋" w:eastAsia="仿宋" w:cs="仿宋"/>
        <w:sz w:val="24"/>
        <w:szCs w:val="24"/>
      </w:rPr>
    </w:lvl>
    <w:lvl w:ilvl="1" w:tentative="0">
      <w:start w:val="1"/>
      <w:numFmt w:val="decimal"/>
      <w:lvlText w:val="%1.%2."/>
      <w:lvlJc w:val="left"/>
      <w:pPr>
        <w:tabs>
          <w:tab w:val="left" w:pos="1361"/>
        </w:tabs>
        <w:ind w:left="1361" w:hanging="793"/>
      </w:pPr>
      <w:rPr>
        <w:rFonts w:hint="eastAsia" w:cs="Times New Roman"/>
        <w:b w:val="0"/>
      </w:rPr>
    </w:lvl>
    <w:lvl w:ilvl="2" w:tentative="0">
      <w:start w:val="1"/>
      <w:numFmt w:val="decimal"/>
      <w:lvlText w:val="%1.%2.%3."/>
      <w:lvlJc w:val="left"/>
      <w:pPr>
        <w:tabs>
          <w:tab w:val="left" w:pos="1364"/>
        </w:tabs>
        <w:ind w:left="737" w:hanging="453"/>
      </w:pPr>
      <w:rPr>
        <w:rFonts w:hint="eastAsia" w:cs="Times New Roman"/>
      </w:rPr>
    </w:lvl>
    <w:lvl w:ilvl="3" w:tentative="0">
      <w:start w:val="1"/>
      <w:numFmt w:val="decimal"/>
      <w:lvlText w:val="%4."/>
      <w:lvlJc w:val="left"/>
      <w:pPr>
        <w:tabs>
          <w:tab w:val="left" w:pos="2880"/>
        </w:tabs>
        <w:ind w:left="2880" w:hanging="360"/>
      </w:pPr>
      <w:rPr>
        <w:rFonts w:hint="eastAsia"/>
      </w:rPr>
    </w:lvl>
    <w:lvl w:ilvl="4" w:tentative="0">
      <w:start w:val="1"/>
      <w:numFmt w:val="decimal"/>
      <w:lvlText w:val="%5."/>
      <w:lvlJc w:val="left"/>
      <w:pPr>
        <w:tabs>
          <w:tab w:val="left" w:pos="3600"/>
        </w:tabs>
        <w:ind w:left="3600" w:hanging="360"/>
      </w:pPr>
      <w:rPr>
        <w:rFonts w:hint="eastAsia"/>
      </w:rPr>
    </w:lvl>
    <w:lvl w:ilvl="5" w:tentative="0">
      <w:start w:val="1"/>
      <w:numFmt w:val="decimal"/>
      <w:lvlText w:val="%6."/>
      <w:lvlJc w:val="left"/>
      <w:pPr>
        <w:tabs>
          <w:tab w:val="left" w:pos="4320"/>
        </w:tabs>
        <w:ind w:left="4320" w:hanging="360"/>
      </w:pPr>
      <w:rPr>
        <w:rFonts w:hint="eastAsia"/>
      </w:rPr>
    </w:lvl>
    <w:lvl w:ilvl="6" w:tentative="0">
      <w:start w:val="1"/>
      <w:numFmt w:val="decimal"/>
      <w:lvlText w:val="%7."/>
      <w:lvlJc w:val="left"/>
      <w:pPr>
        <w:tabs>
          <w:tab w:val="left" w:pos="5040"/>
        </w:tabs>
        <w:ind w:left="5040" w:hanging="360"/>
      </w:pPr>
      <w:rPr>
        <w:rFonts w:hint="eastAsia"/>
      </w:rPr>
    </w:lvl>
    <w:lvl w:ilvl="7" w:tentative="0">
      <w:start w:val="1"/>
      <w:numFmt w:val="decimal"/>
      <w:lvlText w:val="%8."/>
      <w:lvlJc w:val="left"/>
      <w:pPr>
        <w:tabs>
          <w:tab w:val="left" w:pos="5760"/>
        </w:tabs>
        <w:ind w:left="5760" w:hanging="360"/>
      </w:pPr>
      <w:rPr>
        <w:rFonts w:hint="eastAsia"/>
      </w:rPr>
    </w:lvl>
    <w:lvl w:ilvl="8" w:tentative="0">
      <w:start w:val="1"/>
      <w:numFmt w:val="decimal"/>
      <w:lvlText w:val="%9."/>
      <w:lvlJc w:val="left"/>
      <w:pPr>
        <w:tabs>
          <w:tab w:val="left" w:pos="6480"/>
        </w:tabs>
        <w:ind w:left="6480" w:hanging="360"/>
      </w:pPr>
      <w:rPr>
        <w:rFonts w:hint="eastAsia"/>
      </w:rPr>
    </w:lvl>
  </w:abstractNum>
  <w:abstractNum w:abstractNumId="13">
    <w:nsid w:val="490D38FA"/>
    <w:multiLevelType w:val="multilevel"/>
    <w:tmpl w:val="490D38FA"/>
    <w:lvl w:ilvl="0" w:tentative="0">
      <w:start w:val="1"/>
      <w:numFmt w:val="decimal"/>
      <w:lvlText w:val="%1)"/>
      <w:lvlJc w:val="left"/>
      <w:pPr>
        <w:tabs>
          <w:tab w:val="left" w:pos="587"/>
        </w:tabs>
        <w:ind w:left="425" w:hanging="198"/>
      </w:pPr>
    </w:lvl>
    <w:lvl w:ilvl="1" w:tentative="0">
      <w:start w:val="1"/>
      <w:numFmt w:val="decimal"/>
      <w:lvlText w:val="19.%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59A42CCA"/>
    <w:multiLevelType w:val="multilevel"/>
    <w:tmpl w:val="59A42CCA"/>
    <w:lvl w:ilvl="0" w:tentative="0">
      <w:start w:val="1"/>
      <w:numFmt w:val="decimal"/>
      <w:lvlText w:val="%1)"/>
      <w:lvlJc w:val="left"/>
      <w:pPr>
        <w:tabs>
          <w:tab w:val="left" w:pos="587"/>
        </w:tabs>
        <w:ind w:left="425" w:hanging="198"/>
      </w:pPr>
    </w:lvl>
    <w:lvl w:ilvl="1" w:tentative="0">
      <w:start w:val="1"/>
      <w:numFmt w:val="decimal"/>
      <w:lvlText w:val="13.%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5F691BBC"/>
    <w:multiLevelType w:val="multilevel"/>
    <w:tmpl w:val="5F691BBC"/>
    <w:lvl w:ilvl="0" w:tentative="0">
      <w:start w:val="1"/>
      <w:numFmt w:val="decimal"/>
      <w:lvlText w:val="%1)"/>
      <w:lvlJc w:val="left"/>
      <w:pPr>
        <w:tabs>
          <w:tab w:val="left" w:pos="587"/>
        </w:tabs>
        <w:ind w:left="425" w:hanging="198"/>
      </w:pPr>
    </w:lvl>
    <w:lvl w:ilvl="1" w:tentative="0">
      <w:start w:val="1"/>
      <w:numFmt w:val="decimal"/>
      <w:lvlText w:val="18.%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659B9F9F"/>
    <w:multiLevelType w:val="singleLevel"/>
    <w:tmpl w:val="659B9F9F"/>
    <w:lvl w:ilvl="0" w:tentative="0">
      <w:start w:val="1"/>
      <w:numFmt w:val="chineseCounting"/>
      <w:suff w:val="nothing"/>
      <w:lvlText w:val="%1、"/>
      <w:lvlJc w:val="left"/>
    </w:lvl>
  </w:abstractNum>
  <w:abstractNum w:abstractNumId="17">
    <w:nsid w:val="659E044D"/>
    <w:multiLevelType w:val="singleLevel"/>
    <w:tmpl w:val="659E044D"/>
    <w:lvl w:ilvl="0" w:tentative="0">
      <w:start w:val="4"/>
      <w:numFmt w:val="decimal"/>
      <w:suff w:val="nothing"/>
      <w:lvlText w:val="%1."/>
      <w:lvlJc w:val="left"/>
    </w:lvl>
  </w:abstractNum>
  <w:abstractNum w:abstractNumId="18">
    <w:nsid w:val="65E56930"/>
    <w:multiLevelType w:val="singleLevel"/>
    <w:tmpl w:val="65E56930"/>
    <w:lvl w:ilvl="0" w:tentative="0">
      <w:start w:val="1"/>
      <w:numFmt w:val="decimal"/>
      <w:suff w:val="nothing"/>
      <w:lvlText w:val="%1、"/>
      <w:lvlJc w:val="left"/>
    </w:lvl>
  </w:abstractNum>
  <w:abstractNum w:abstractNumId="19">
    <w:nsid w:val="7339197B"/>
    <w:multiLevelType w:val="multilevel"/>
    <w:tmpl w:val="7339197B"/>
    <w:lvl w:ilvl="0" w:tentative="0">
      <w:start w:val="1"/>
      <w:numFmt w:val="decimal"/>
      <w:lvlText w:val="%1)"/>
      <w:lvlJc w:val="left"/>
      <w:pPr>
        <w:tabs>
          <w:tab w:val="left" w:pos="587"/>
        </w:tabs>
        <w:ind w:left="425" w:hanging="198"/>
      </w:pPr>
    </w:lvl>
    <w:lvl w:ilvl="1" w:tentative="0">
      <w:start w:val="1"/>
      <w:numFmt w:val="decimal"/>
      <w:lvlText w:val="14.%2."/>
      <w:lvlJc w:val="left"/>
      <w:pPr>
        <w:tabs>
          <w:tab w:val="left" w:pos="1077"/>
        </w:tabs>
        <w:ind w:left="1077" w:hanging="793"/>
      </w:pPr>
      <w:rPr>
        <w:rFonts w:hint="eastAsia"/>
        <w:b w:val="0"/>
      </w:rPr>
    </w:lvl>
    <w:lvl w:ilvl="2" w:tentative="0">
      <w:start w:val="1"/>
      <w:numFmt w:val="decimal"/>
      <w:lvlText w:val="%1.%2.%3."/>
      <w:lvlJc w:val="left"/>
      <w:pPr>
        <w:tabs>
          <w:tab w:val="left" w:pos="1364"/>
        </w:tabs>
        <w:ind w:left="737" w:hanging="453"/>
      </w:pPr>
      <w:rPr>
        <w:rFonts w:cs="Times New Roman"/>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9"/>
  </w:num>
  <w:num w:numId="2">
    <w:abstractNumId w:val="8"/>
  </w:num>
  <w:num w:numId="3">
    <w:abstractNumId w:val="3"/>
  </w:num>
  <w:num w:numId="4">
    <w:abstractNumId w:val="1"/>
  </w:num>
  <w:num w:numId="5">
    <w:abstractNumId w:val="4"/>
  </w:num>
  <w:num w:numId="6">
    <w:abstractNumId w:val="5"/>
  </w:num>
  <w:num w:numId="7">
    <w:abstractNumId w:val="7"/>
  </w:num>
  <w:num w:numId="8">
    <w:abstractNumId w:val="11"/>
  </w:num>
  <w:num w:numId="9">
    <w:abstractNumId w:val="14"/>
  </w:num>
  <w:num w:numId="10">
    <w:abstractNumId w:val="19"/>
  </w:num>
  <w:num w:numId="11">
    <w:abstractNumId w:val="10"/>
  </w:num>
  <w:num w:numId="12">
    <w:abstractNumId w:val="15"/>
  </w:num>
  <w:num w:numId="13">
    <w:abstractNumId w:val="13"/>
  </w:num>
  <w:num w:numId="14">
    <w:abstractNumId w:val="6"/>
  </w:num>
  <w:num w:numId="15">
    <w:abstractNumId w:val="12"/>
  </w:num>
  <w:num w:numId="16">
    <w:abstractNumId w:val="2"/>
  </w:num>
  <w:num w:numId="17">
    <w:abstractNumId w:val="16"/>
  </w:num>
  <w:num w:numId="18">
    <w:abstractNumId w:val="17"/>
  </w:num>
  <w:num w:numId="19">
    <w:abstractNumId w:val="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hideSpellingErrors/>
  <w:hideGrammaticalErrors/>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dkNmRjZTE1YjA0ZTdmNTljYmJhZmQ5MzYxN2ExN2EifQ=="/>
    <w:docVar w:name="KSO_WPS_MARK_KEY" w:val="89232e5c-c475-4ffa-a998-df45c84ee452"/>
  </w:docVars>
  <w:rsids>
    <w:rsidRoot w:val="00172A27"/>
    <w:rsid w:val="0000046F"/>
    <w:rsid w:val="00000569"/>
    <w:rsid w:val="00000BAA"/>
    <w:rsid w:val="00000C4F"/>
    <w:rsid w:val="00001317"/>
    <w:rsid w:val="000030BF"/>
    <w:rsid w:val="00003559"/>
    <w:rsid w:val="00003F35"/>
    <w:rsid w:val="00004266"/>
    <w:rsid w:val="000042DA"/>
    <w:rsid w:val="00004CF8"/>
    <w:rsid w:val="00004F43"/>
    <w:rsid w:val="00005D32"/>
    <w:rsid w:val="00006BAC"/>
    <w:rsid w:val="00007B8C"/>
    <w:rsid w:val="00010DE6"/>
    <w:rsid w:val="000126C4"/>
    <w:rsid w:val="000133D3"/>
    <w:rsid w:val="0001341C"/>
    <w:rsid w:val="00015D57"/>
    <w:rsid w:val="000175BF"/>
    <w:rsid w:val="00017DA6"/>
    <w:rsid w:val="00021193"/>
    <w:rsid w:val="00023402"/>
    <w:rsid w:val="000248EC"/>
    <w:rsid w:val="00024F42"/>
    <w:rsid w:val="00026A94"/>
    <w:rsid w:val="000272CF"/>
    <w:rsid w:val="00030396"/>
    <w:rsid w:val="00032AD0"/>
    <w:rsid w:val="000346F1"/>
    <w:rsid w:val="000354BB"/>
    <w:rsid w:val="00036427"/>
    <w:rsid w:val="00036E51"/>
    <w:rsid w:val="0003712C"/>
    <w:rsid w:val="00040215"/>
    <w:rsid w:val="000407BD"/>
    <w:rsid w:val="000410AC"/>
    <w:rsid w:val="0004139A"/>
    <w:rsid w:val="000422C2"/>
    <w:rsid w:val="00042DAF"/>
    <w:rsid w:val="00043708"/>
    <w:rsid w:val="00043B3B"/>
    <w:rsid w:val="000448B3"/>
    <w:rsid w:val="00046963"/>
    <w:rsid w:val="00050DB8"/>
    <w:rsid w:val="000510E6"/>
    <w:rsid w:val="000520FB"/>
    <w:rsid w:val="000532CD"/>
    <w:rsid w:val="0005372A"/>
    <w:rsid w:val="00054079"/>
    <w:rsid w:val="0005410D"/>
    <w:rsid w:val="0005471C"/>
    <w:rsid w:val="00054B4B"/>
    <w:rsid w:val="00055000"/>
    <w:rsid w:val="00057086"/>
    <w:rsid w:val="000576CD"/>
    <w:rsid w:val="00057F56"/>
    <w:rsid w:val="0006129A"/>
    <w:rsid w:val="00061311"/>
    <w:rsid w:val="00061F80"/>
    <w:rsid w:val="00062279"/>
    <w:rsid w:val="00063A90"/>
    <w:rsid w:val="00065F84"/>
    <w:rsid w:val="000664E8"/>
    <w:rsid w:val="00066EC5"/>
    <w:rsid w:val="000673D6"/>
    <w:rsid w:val="000676F1"/>
    <w:rsid w:val="00067C22"/>
    <w:rsid w:val="0007092F"/>
    <w:rsid w:val="00071B96"/>
    <w:rsid w:val="00071DCC"/>
    <w:rsid w:val="00072C98"/>
    <w:rsid w:val="00073C10"/>
    <w:rsid w:val="0007457B"/>
    <w:rsid w:val="0007511D"/>
    <w:rsid w:val="000751AD"/>
    <w:rsid w:val="0007641A"/>
    <w:rsid w:val="000770A2"/>
    <w:rsid w:val="000774ED"/>
    <w:rsid w:val="00077716"/>
    <w:rsid w:val="00077DA2"/>
    <w:rsid w:val="000803C5"/>
    <w:rsid w:val="0008072D"/>
    <w:rsid w:val="00081071"/>
    <w:rsid w:val="000815E3"/>
    <w:rsid w:val="00084BD4"/>
    <w:rsid w:val="00084D2D"/>
    <w:rsid w:val="000859AC"/>
    <w:rsid w:val="00085C01"/>
    <w:rsid w:val="000878D0"/>
    <w:rsid w:val="00087AA0"/>
    <w:rsid w:val="00087B64"/>
    <w:rsid w:val="00087D72"/>
    <w:rsid w:val="000906F9"/>
    <w:rsid w:val="000908B2"/>
    <w:rsid w:val="000908C7"/>
    <w:rsid w:val="000910D9"/>
    <w:rsid w:val="00094055"/>
    <w:rsid w:val="0009473C"/>
    <w:rsid w:val="00095423"/>
    <w:rsid w:val="000A479C"/>
    <w:rsid w:val="000A53F7"/>
    <w:rsid w:val="000A55A8"/>
    <w:rsid w:val="000A5623"/>
    <w:rsid w:val="000A566C"/>
    <w:rsid w:val="000A58AC"/>
    <w:rsid w:val="000A68E4"/>
    <w:rsid w:val="000A6CE4"/>
    <w:rsid w:val="000A7B3B"/>
    <w:rsid w:val="000A7C53"/>
    <w:rsid w:val="000A7D19"/>
    <w:rsid w:val="000B2BAA"/>
    <w:rsid w:val="000B377A"/>
    <w:rsid w:val="000B37E4"/>
    <w:rsid w:val="000B49D9"/>
    <w:rsid w:val="000B4B48"/>
    <w:rsid w:val="000B4B78"/>
    <w:rsid w:val="000B5734"/>
    <w:rsid w:val="000B5CD4"/>
    <w:rsid w:val="000C089E"/>
    <w:rsid w:val="000C0ADD"/>
    <w:rsid w:val="000C12E4"/>
    <w:rsid w:val="000C196D"/>
    <w:rsid w:val="000C1D83"/>
    <w:rsid w:val="000C1F6D"/>
    <w:rsid w:val="000C269C"/>
    <w:rsid w:val="000C2FD6"/>
    <w:rsid w:val="000C2FD9"/>
    <w:rsid w:val="000C490E"/>
    <w:rsid w:val="000C72E5"/>
    <w:rsid w:val="000C7BF8"/>
    <w:rsid w:val="000C7E43"/>
    <w:rsid w:val="000D03E3"/>
    <w:rsid w:val="000D1CAA"/>
    <w:rsid w:val="000D1EB1"/>
    <w:rsid w:val="000D3FDF"/>
    <w:rsid w:val="000D4655"/>
    <w:rsid w:val="000D46FA"/>
    <w:rsid w:val="000D4AAF"/>
    <w:rsid w:val="000D4CE3"/>
    <w:rsid w:val="000D6F9F"/>
    <w:rsid w:val="000E06E5"/>
    <w:rsid w:val="000E10F9"/>
    <w:rsid w:val="000E25F1"/>
    <w:rsid w:val="000E29F0"/>
    <w:rsid w:val="000E2D81"/>
    <w:rsid w:val="000E2F76"/>
    <w:rsid w:val="000E39C2"/>
    <w:rsid w:val="000E40D2"/>
    <w:rsid w:val="000E60E7"/>
    <w:rsid w:val="000E66C4"/>
    <w:rsid w:val="000E678A"/>
    <w:rsid w:val="000E745D"/>
    <w:rsid w:val="000E74A2"/>
    <w:rsid w:val="000F0B53"/>
    <w:rsid w:val="000F0F9E"/>
    <w:rsid w:val="000F1707"/>
    <w:rsid w:val="000F233E"/>
    <w:rsid w:val="000F5121"/>
    <w:rsid w:val="000F5ECC"/>
    <w:rsid w:val="000F6394"/>
    <w:rsid w:val="000F6DF4"/>
    <w:rsid w:val="0010022E"/>
    <w:rsid w:val="00100A68"/>
    <w:rsid w:val="00101539"/>
    <w:rsid w:val="00101545"/>
    <w:rsid w:val="00102471"/>
    <w:rsid w:val="0010328D"/>
    <w:rsid w:val="00104098"/>
    <w:rsid w:val="001049AF"/>
    <w:rsid w:val="00104CED"/>
    <w:rsid w:val="00104D12"/>
    <w:rsid w:val="00105372"/>
    <w:rsid w:val="00105999"/>
    <w:rsid w:val="001065DA"/>
    <w:rsid w:val="001079F2"/>
    <w:rsid w:val="00107A24"/>
    <w:rsid w:val="001101FC"/>
    <w:rsid w:val="0011147D"/>
    <w:rsid w:val="0011182D"/>
    <w:rsid w:val="00111909"/>
    <w:rsid w:val="00111E37"/>
    <w:rsid w:val="00112576"/>
    <w:rsid w:val="0011295A"/>
    <w:rsid w:val="00114625"/>
    <w:rsid w:val="00115EFC"/>
    <w:rsid w:val="00115F7B"/>
    <w:rsid w:val="0011776A"/>
    <w:rsid w:val="00117C38"/>
    <w:rsid w:val="0012028B"/>
    <w:rsid w:val="00121444"/>
    <w:rsid w:val="00121C4A"/>
    <w:rsid w:val="00121F3F"/>
    <w:rsid w:val="00124B22"/>
    <w:rsid w:val="0012549A"/>
    <w:rsid w:val="00125D06"/>
    <w:rsid w:val="001263A4"/>
    <w:rsid w:val="00126BC5"/>
    <w:rsid w:val="001272A8"/>
    <w:rsid w:val="0013121E"/>
    <w:rsid w:val="00131338"/>
    <w:rsid w:val="00131361"/>
    <w:rsid w:val="00131AEA"/>
    <w:rsid w:val="0013245C"/>
    <w:rsid w:val="00133621"/>
    <w:rsid w:val="0013363E"/>
    <w:rsid w:val="00133EA5"/>
    <w:rsid w:val="00134353"/>
    <w:rsid w:val="00135A0C"/>
    <w:rsid w:val="00136422"/>
    <w:rsid w:val="00136A4A"/>
    <w:rsid w:val="00136EA8"/>
    <w:rsid w:val="00140873"/>
    <w:rsid w:val="00140A88"/>
    <w:rsid w:val="00141380"/>
    <w:rsid w:val="00141DEF"/>
    <w:rsid w:val="00142C92"/>
    <w:rsid w:val="001439D7"/>
    <w:rsid w:val="001449BD"/>
    <w:rsid w:val="00144FCA"/>
    <w:rsid w:val="00145040"/>
    <w:rsid w:val="00145CDF"/>
    <w:rsid w:val="00147343"/>
    <w:rsid w:val="0014743D"/>
    <w:rsid w:val="001475E1"/>
    <w:rsid w:val="00147CC5"/>
    <w:rsid w:val="001508E9"/>
    <w:rsid w:val="00151056"/>
    <w:rsid w:val="0015121D"/>
    <w:rsid w:val="00151F4F"/>
    <w:rsid w:val="0015329B"/>
    <w:rsid w:val="00155888"/>
    <w:rsid w:val="00156592"/>
    <w:rsid w:val="0015696A"/>
    <w:rsid w:val="00156AFC"/>
    <w:rsid w:val="00156CCE"/>
    <w:rsid w:val="00157766"/>
    <w:rsid w:val="00157D10"/>
    <w:rsid w:val="00157E3A"/>
    <w:rsid w:val="001602D3"/>
    <w:rsid w:val="00160965"/>
    <w:rsid w:val="00161BD1"/>
    <w:rsid w:val="00161F14"/>
    <w:rsid w:val="00162574"/>
    <w:rsid w:val="00162F81"/>
    <w:rsid w:val="00163029"/>
    <w:rsid w:val="00163509"/>
    <w:rsid w:val="00163B5C"/>
    <w:rsid w:val="001653C3"/>
    <w:rsid w:val="001666A5"/>
    <w:rsid w:val="00166E07"/>
    <w:rsid w:val="00166F9D"/>
    <w:rsid w:val="00167B8A"/>
    <w:rsid w:val="00167C78"/>
    <w:rsid w:val="00167FC0"/>
    <w:rsid w:val="0017030C"/>
    <w:rsid w:val="00170C2A"/>
    <w:rsid w:val="00170D59"/>
    <w:rsid w:val="00171200"/>
    <w:rsid w:val="00171A49"/>
    <w:rsid w:val="001720FE"/>
    <w:rsid w:val="00172213"/>
    <w:rsid w:val="00172A27"/>
    <w:rsid w:val="00173BE8"/>
    <w:rsid w:val="00175195"/>
    <w:rsid w:val="00175D7B"/>
    <w:rsid w:val="001774C0"/>
    <w:rsid w:val="001776AB"/>
    <w:rsid w:val="001803D7"/>
    <w:rsid w:val="00180578"/>
    <w:rsid w:val="0018123B"/>
    <w:rsid w:val="001817E6"/>
    <w:rsid w:val="00182980"/>
    <w:rsid w:val="00183EE7"/>
    <w:rsid w:val="00186E9D"/>
    <w:rsid w:val="00187836"/>
    <w:rsid w:val="0019019A"/>
    <w:rsid w:val="00190AB8"/>
    <w:rsid w:val="00192579"/>
    <w:rsid w:val="00193623"/>
    <w:rsid w:val="00193687"/>
    <w:rsid w:val="00195D8E"/>
    <w:rsid w:val="00196560"/>
    <w:rsid w:val="0019705B"/>
    <w:rsid w:val="0019721E"/>
    <w:rsid w:val="00197BAD"/>
    <w:rsid w:val="001A0D97"/>
    <w:rsid w:val="001A0DD8"/>
    <w:rsid w:val="001A17F4"/>
    <w:rsid w:val="001A2321"/>
    <w:rsid w:val="001A3B2F"/>
    <w:rsid w:val="001A4593"/>
    <w:rsid w:val="001A4AC0"/>
    <w:rsid w:val="001A5421"/>
    <w:rsid w:val="001A67C6"/>
    <w:rsid w:val="001A6C4F"/>
    <w:rsid w:val="001A7BE5"/>
    <w:rsid w:val="001B00F2"/>
    <w:rsid w:val="001B1170"/>
    <w:rsid w:val="001B134C"/>
    <w:rsid w:val="001B36B5"/>
    <w:rsid w:val="001B3979"/>
    <w:rsid w:val="001B3C82"/>
    <w:rsid w:val="001B3FCA"/>
    <w:rsid w:val="001B4AFA"/>
    <w:rsid w:val="001B6AD2"/>
    <w:rsid w:val="001C023E"/>
    <w:rsid w:val="001C16BA"/>
    <w:rsid w:val="001C23DA"/>
    <w:rsid w:val="001C246D"/>
    <w:rsid w:val="001C247A"/>
    <w:rsid w:val="001C60A3"/>
    <w:rsid w:val="001C69A3"/>
    <w:rsid w:val="001D0643"/>
    <w:rsid w:val="001D0A6D"/>
    <w:rsid w:val="001D1555"/>
    <w:rsid w:val="001D362F"/>
    <w:rsid w:val="001D41BD"/>
    <w:rsid w:val="001D43C5"/>
    <w:rsid w:val="001D552D"/>
    <w:rsid w:val="001D799C"/>
    <w:rsid w:val="001E0BDF"/>
    <w:rsid w:val="001E0C9E"/>
    <w:rsid w:val="001E1813"/>
    <w:rsid w:val="001E1D9C"/>
    <w:rsid w:val="001E2185"/>
    <w:rsid w:val="001E26F6"/>
    <w:rsid w:val="001E2D55"/>
    <w:rsid w:val="001E2F19"/>
    <w:rsid w:val="001E4165"/>
    <w:rsid w:val="001E41B9"/>
    <w:rsid w:val="001E4616"/>
    <w:rsid w:val="001E47E1"/>
    <w:rsid w:val="001E5426"/>
    <w:rsid w:val="001E5451"/>
    <w:rsid w:val="001E6BF0"/>
    <w:rsid w:val="001E7B92"/>
    <w:rsid w:val="001F0763"/>
    <w:rsid w:val="001F1164"/>
    <w:rsid w:val="001F11D0"/>
    <w:rsid w:val="001F5EE2"/>
    <w:rsid w:val="001F60D6"/>
    <w:rsid w:val="001F65A3"/>
    <w:rsid w:val="001F67BE"/>
    <w:rsid w:val="00200011"/>
    <w:rsid w:val="00200601"/>
    <w:rsid w:val="00200C18"/>
    <w:rsid w:val="00201C71"/>
    <w:rsid w:val="00201D2A"/>
    <w:rsid w:val="00202A91"/>
    <w:rsid w:val="00203E5F"/>
    <w:rsid w:val="00203ECF"/>
    <w:rsid w:val="00204EA7"/>
    <w:rsid w:val="00206480"/>
    <w:rsid w:val="00207505"/>
    <w:rsid w:val="00210F52"/>
    <w:rsid w:val="00213380"/>
    <w:rsid w:val="00214F11"/>
    <w:rsid w:val="00215122"/>
    <w:rsid w:val="00215330"/>
    <w:rsid w:val="002158EE"/>
    <w:rsid w:val="00215AA7"/>
    <w:rsid w:val="00215BDD"/>
    <w:rsid w:val="00216A95"/>
    <w:rsid w:val="00216F3E"/>
    <w:rsid w:val="0021746B"/>
    <w:rsid w:val="00217FA6"/>
    <w:rsid w:val="00220527"/>
    <w:rsid w:val="002209C7"/>
    <w:rsid w:val="0022295C"/>
    <w:rsid w:val="00222CC0"/>
    <w:rsid w:val="00223332"/>
    <w:rsid w:val="00223606"/>
    <w:rsid w:val="0022378B"/>
    <w:rsid w:val="00225251"/>
    <w:rsid w:val="002258BB"/>
    <w:rsid w:val="00227137"/>
    <w:rsid w:val="00230764"/>
    <w:rsid w:val="0023192B"/>
    <w:rsid w:val="00232ADB"/>
    <w:rsid w:val="00232E73"/>
    <w:rsid w:val="002353DC"/>
    <w:rsid w:val="00236317"/>
    <w:rsid w:val="00236CEB"/>
    <w:rsid w:val="00237244"/>
    <w:rsid w:val="0023759B"/>
    <w:rsid w:val="00237C1C"/>
    <w:rsid w:val="002400F8"/>
    <w:rsid w:val="00240470"/>
    <w:rsid w:val="0024109E"/>
    <w:rsid w:val="0024188E"/>
    <w:rsid w:val="002429E4"/>
    <w:rsid w:val="00242C71"/>
    <w:rsid w:val="00242D6E"/>
    <w:rsid w:val="00243901"/>
    <w:rsid w:val="0024442E"/>
    <w:rsid w:val="00245503"/>
    <w:rsid w:val="002461E9"/>
    <w:rsid w:val="00246F49"/>
    <w:rsid w:val="002478F7"/>
    <w:rsid w:val="002513E5"/>
    <w:rsid w:val="00252EBE"/>
    <w:rsid w:val="00253161"/>
    <w:rsid w:val="00253D15"/>
    <w:rsid w:val="00255EE8"/>
    <w:rsid w:val="002575D3"/>
    <w:rsid w:val="002576CB"/>
    <w:rsid w:val="002577AF"/>
    <w:rsid w:val="00257F1A"/>
    <w:rsid w:val="002605B4"/>
    <w:rsid w:val="002607C9"/>
    <w:rsid w:val="00261132"/>
    <w:rsid w:val="00261416"/>
    <w:rsid w:val="00262400"/>
    <w:rsid w:val="00263FB8"/>
    <w:rsid w:val="0026591A"/>
    <w:rsid w:val="00265A4C"/>
    <w:rsid w:val="00266348"/>
    <w:rsid w:val="0026772B"/>
    <w:rsid w:val="0027022C"/>
    <w:rsid w:val="00270FA3"/>
    <w:rsid w:val="00271F1E"/>
    <w:rsid w:val="00273E86"/>
    <w:rsid w:val="0027521D"/>
    <w:rsid w:val="00275A68"/>
    <w:rsid w:val="002765BC"/>
    <w:rsid w:val="00276A61"/>
    <w:rsid w:val="00277434"/>
    <w:rsid w:val="00277C9B"/>
    <w:rsid w:val="002813EC"/>
    <w:rsid w:val="0028156D"/>
    <w:rsid w:val="00282FD5"/>
    <w:rsid w:val="00283381"/>
    <w:rsid w:val="00283D37"/>
    <w:rsid w:val="00284781"/>
    <w:rsid w:val="00287E43"/>
    <w:rsid w:val="0029180D"/>
    <w:rsid w:val="002948AC"/>
    <w:rsid w:val="00295DDB"/>
    <w:rsid w:val="00296CA7"/>
    <w:rsid w:val="002A096E"/>
    <w:rsid w:val="002A206A"/>
    <w:rsid w:val="002A27BC"/>
    <w:rsid w:val="002A4333"/>
    <w:rsid w:val="002A47A3"/>
    <w:rsid w:val="002A480F"/>
    <w:rsid w:val="002A4D3E"/>
    <w:rsid w:val="002A4F55"/>
    <w:rsid w:val="002A5023"/>
    <w:rsid w:val="002A5B9E"/>
    <w:rsid w:val="002A5E99"/>
    <w:rsid w:val="002A600A"/>
    <w:rsid w:val="002A67CE"/>
    <w:rsid w:val="002A7199"/>
    <w:rsid w:val="002B00FC"/>
    <w:rsid w:val="002B19E5"/>
    <w:rsid w:val="002B1DBA"/>
    <w:rsid w:val="002B3503"/>
    <w:rsid w:val="002B35CD"/>
    <w:rsid w:val="002B5469"/>
    <w:rsid w:val="002B6997"/>
    <w:rsid w:val="002B6E81"/>
    <w:rsid w:val="002B7562"/>
    <w:rsid w:val="002B7C10"/>
    <w:rsid w:val="002C02C2"/>
    <w:rsid w:val="002C04C0"/>
    <w:rsid w:val="002C0896"/>
    <w:rsid w:val="002C14E7"/>
    <w:rsid w:val="002C2BE2"/>
    <w:rsid w:val="002C2C58"/>
    <w:rsid w:val="002C357F"/>
    <w:rsid w:val="002C6F98"/>
    <w:rsid w:val="002C70FC"/>
    <w:rsid w:val="002D05A8"/>
    <w:rsid w:val="002D1630"/>
    <w:rsid w:val="002D178B"/>
    <w:rsid w:val="002D3F73"/>
    <w:rsid w:val="002D415A"/>
    <w:rsid w:val="002D50D6"/>
    <w:rsid w:val="002D5583"/>
    <w:rsid w:val="002D5E52"/>
    <w:rsid w:val="002D5EC5"/>
    <w:rsid w:val="002D64D4"/>
    <w:rsid w:val="002D6F7D"/>
    <w:rsid w:val="002D6FB0"/>
    <w:rsid w:val="002D7356"/>
    <w:rsid w:val="002E0D74"/>
    <w:rsid w:val="002E16F3"/>
    <w:rsid w:val="002E17D2"/>
    <w:rsid w:val="002E1CD9"/>
    <w:rsid w:val="002E20D6"/>
    <w:rsid w:val="002E27E8"/>
    <w:rsid w:val="002E2845"/>
    <w:rsid w:val="002E4153"/>
    <w:rsid w:val="002E4FC3"/>
    <w:rsid w:val="002E5666"/>
    <w:rsid w:val="002E6696"/>
    <w:rsid w:val="002E692A"/>
    <w:rsid w:val="002E6FC4"/>
    <w:rsid w:val="002E71AF"/>
    <w:rsid w:val="002E7C5B"/>
    <w:rsid w:val="002F0165"/>
    <w:rsid w:val="002F2050"/>
    <w:rsid w:val="002F2345"/>
    <w:rsid w:val="002F3AA2"/>
    <w:rsid w:val="002F44AE"/>
    <w:rsid w:val="002F499F"/>
    <w:rsid w:val="002F6976"/>
    <w:rsid w:val="002F729D"/>
    <w:rsid w:val="002F79A4"/>
    <w:rsid w:val="002F7CDD"/>
    <w:rsid w:val="00300024"/>
    <w:rsid w:val="0030009A"/>
    <w:rsid w:val="00300BA2"/>
    <w:rsid w:val="00300F08"/>
    <w:rsid w:val="003016B4"/>
    <w:rsid w:val="00302BA6"/>
    <w:rsid w:val="00302C84"/>
    <w:rsid w:val="00302F7B"/>
    <w:rsid w:val="003034EC"/>
    <w:rsid w:val="00303B40"/>
    <w:rsid w:val="00304245"/>
    <w:rsid w:val="00304275"/>
    <w:rsid w:val="00304293"/>
    <w:rsid w:val="00304481"/>
    <w:rsid w:val="00304949"/>
    <w:rsid w:val="00304E38"/>
    <w:rsid w:val="00305267"/>
    <w:rsid w:val="003057D6"/>
    <w:rsid w:val="0030590A"/>
    <w:rsid w:val="00305CEF"/>
    <w:rsid w:val="0030630C"/>
    <w:rsid w:val="0030731B"/>
    <w:rsid w:val="00307C36"/>
    <w:rsid w:val="00310A1A"/>
    <w:rsid w:val="00310BDA"/>
    <w:rsid w:val="00311818"/>
    <w:rsid w:val="00311EA4"/>
    <w:rsid w:val="00313320"/>
    <w:rsid w:val="00313C86"/>
    <w:rsid w:val="00313CF1"/>
    <w:rsid w:val="00314DA4"/>
    <w:rsid w:val="003156EB"/>
    <w:rsid w:val="00320862"/>
    <w:rsid w:val="00320B1C"/>
    <w:rsid w:val="00321506"/>
    <w:rsid w:val="003218F4"/>
    <w:rsid w:val="00321DD0"/>
    <w:rsid w:val="00321FE0"/>
    <w:rsid w:val="003225A3"/>
    <w:rsid w:val="00322674"/>
    <w:rsid w:val="00322B46"/>
    <w:rsid w:val="00322FB2"/>
    <w:rsid w:val="003251B2"/>
    <w:rsid w:val="003258BD"/>
    <w:rsid w:val="003267A2"/>
    <w:rsid w:val="00327612"/>
    <w:rsid w:val="00330010"/>
    <w:rsid w:val="00330A5B"/>
    <w:rsid w:val="0033162C"/>
    <w:rsid w:val="003316B0"/>
    <w:rsid w:val="00332BCF"/>
    <w:rsid w:val="00333239"/>
    <w:rsid w:val="00333FAA"/>
    <w:rsid w:val="00334541"/>
    <w:rsid w:val="0033546E"/>
    <w:rsid w:val="003364CF"/>
    <w:rsid w:val="003431F7"/>
    <w:rsid w:val="00343609"/>
    <w:rsid w:val="003440C8"/>
    <w:rsid w:val="00345234"/>
    <w:rsid w:val="00346C83"/>
    <w:rsid w:val="00350123"/>
    <w:rsid w:val="00350500"/>
    <w:rsid w:val="00350AD7"/>
    <w:rsid w:val="0035197E"/>
    <w:rsid w:val="00352302"/>
    <w:rsid w:val="00352A77"/>
    <w:rsid w:val="003531FC"/>
    <w:rsid w:val="003532CE"/>
    <w:rsid w:val="00354818"/>
    <w:rsid w:val="00355B40"/>
    <w:rsid w:val="00355CAB"/>
    <w:rsid w:val="00355EA3"/>
    <w:rsid w:val="00356279"/>
    <w:rsid w:val="003562CD"/>
    <w:rsid w:val="00356948"/>
    <w:rsid w:val="00356B03"/>
    <w:rsid w:val="00356CC0"/>
    <w:rsid w:val="00357563"/>
    <w:rsid w:val="00357A02"/>
    <w:rsid w:val="003602B3"/>
    <w:rsid w:val="003602C8"/>
    <w:rsid w:val="00360CF1"/>
    <w:rsid w:val="0036115C"/>
    <w:rsid w:val="00362477"/>
    <w:rsid w:val="003634F2"/>
    <w:rsid w:val="00366D37"/>
    <w:rsid w:val="00366FBC"/>
    <w:rsid w:val="0036727C"/>
    <w:rsid w:val="00370314"/>
    <w:rsid w:val="0037145B"/>
    <w:rsid w:val="00371F62"/>
    <w:rsid w:val="00372086"/>
    <w:rsid w:val="003723E6"/>
    <w:rsid w:val="003725C2"/>
    <w:rsid w:val="0037314F"/>
    <w:rsid w:val="0037376D"/>
    <w:rsid w:val="003739E3"/>
    <w:rsid w:val="00374A39"/>
    <w:rsid w:val="00374C1A"/>
    <w:rsid w:val="00374F0E"/>
    <w:rsid w:val="00377344"/>
    <w:rsid w:val="0038081A"/>
    <w:rsid w:val="00380956"/>
    <w:rsid w:val="00380B2A"/>
    <w:rsid w:val="0038110E"/>
    <w:rsid w:val="00381B08"/>
    <w:rsid w:val="00382AA4"/>
    <w:rsid w:val="00382D30"/>
    <w:rsid w:val="00382E52"/>
    <w:rsid w:val="00383582"/>
    <w:rsid w:val="003840E0"/>
    <w:rsid w:val="003840E5"/>
    <w:rsid w:val="00385B65"/>
    <w:rsid w:val="00386E11"/>
    <w:rsid w:val="00386FA8"/>
    <w:rsid w:val="0038764E"/>
    <w:rsid w:val="00387A1E"/>
    <w:rsid w:val="003910B4"/>
    <w:rsid w:val="003915C0"/>
    <w:rsid w:val="00393978"/>
    <w:rsid w:val="00393D73"/>
    <w:rsid w:val="00394544"/>
    <w:rsid w:val="00394992"/>
    <w:rsid w:val="00394FCD"/>
    <w:rsid w:val="003950F4"/>
    <w:rsid w:val="00395459"/>
    <w:rsid w:val="00395C45"/>
    <w:rsid w:val="003965FF"/>
    <w:rsid w:val="00396BE4"/>
    <w:rsid w:val="003A3B6A"/>
    <w:rsid w:val="003A4BFB"/>
    <w:rsid w:val="003A4C10"/>
    <w:rsid w:val="003A53C8"/>
    <w:rsid w:val="003A6089"/>
    <w:rsid w:val="003A62BA"/>
    <w:rsid w:val="003A7254"/>
    <w:rsid w:val="003A7CC1"/>
    <w:rsid w:val="003B0286"/>
    <w:rsid w:val="003B0418"/>
    <w:rsid w:val="003B1A5A"/>
    <w:rsid w:val="003B1DFC"/>
    <w:rsid w:val="003B35C1"/>
    <w:rsid w:val="003B3EB5"/>
    <w:rsid w:val="003B3F56"/>
    <w:rsid w:val="003B4685"/>
    <w:rsid w:val="003B745A"/>
    <w:rsid w:val="003C104A"/>
    <w:rsid w:val="003C1F21"/>
    <w:rsid w:val="003C22A8"/>
    <w:rsid w:val="003C2F0E"/>
    <w:rsid w:val="003C3474"/>
    <w:rsid w:val="003C61FA"/>
    <w:rsid w:val="003C629C"/>
    <w:rsid w:val="003C67E0"/>
    <w:rsid w:val="003C6CB3"/>
    <w:rsid w:val="003C6DB3"/>
    <w:rsid w:val="003C76C0"/>
    <w:rsid w:val="003D0655"/>
    <w:rsid w:val="003D0D4E"/>
    <w:rsid w:val="003D2345"/>
    <w:rsid w:val="003D2629"/>
    <w:rsid w:val="003D2867"/>
    <w:rsid w:val="003D44F0"/>
    <w:rsid w:val="003D46E0"/>
    <w:rsid w:val="003D48F1"/>
    <w:rsid w:val="003D4A3D"/>
    <w:rsid w:val="003D66BC"/>
    <w:rsid w:val="003D782C"/>
    <w:rsid w:val="003D78C2"/>
    <w:rsid w:val="003E0068"/>
    <w:rsid w:val="003E0838"/>
    <w:rsid w:val="003E15C5"/>
    <w:rsid w:val="003E1C54"/>
    <w:rsid w:val="003E1FE7"/>
    <w:rsid w:val="003E2B98"/>
    <w:rsid w:val="003E3A1B"/>
    <w:rsid w:val="003E5129"/>
    <w:rsid w:val="003E567F"/>
    <w:rsid w:val="003E5BFD"/>
    <w:rsid w:val="003E71E5"/>
    <w:rsid w:val="003F0739"/>
    <w:rsid w:val="003F1E11"/>
    <w:rsid w:val="003F2295"/>
    <w:rsid w:val="003F251D"/>
    <w:rsid w:val="003F25CE"/>
    <w:rsid w:val="003F2BDB"/>
    <w:rsid w:val="003F4C5F"/>
    <w:rsid w:val="003F6109"/>
    <w:rsid w:val="003F7CD6"/>
    <w:rsid w:val="00400D0C"/>
    <w:rsid w:val="0040161C"/>
    <w:rsid w:val="00401BE8"/>
    <w:rsid w:val="00401C47"/>
    <w:rsid w:val="004023E2"/>
    <w:rsid w:val="004035C2"/>
    <w:rsid w:val="00404757"/>
    <w:rsid w:val="004054C8"/>
    <w:rsid w:val="00405743"/>
    <w:rsid w:val="00405E47"/>
    <w:rsid w:val="00406455"/>
    <w:rsid w:val="00406AFE"/>
    <w:rsid w:val="004070DE"/>
    <w:rsid w:val="004100E6"/>
    <w:rsid w:val="00410564"/>
    <w:rsid w:val="004106B1"/>
    <w:rsid w:val="0041101D"/>
    <w:rsid w:val="004112C3"/>
    <w:rsid w:val="004118FD"/>
    <w:rsid w:val="00413257"/>
    <w:rsid w:val="0041375E"/>
    <w:rsid w:val="00414167"/>
    <w:rsid w:val="0041541D"/>
    <w:rsid w:val="004161D7"/>
    <w:rsid w:val="004203CC"/>
    <w:rsid w:val="00420F29"/>
    <w:rsid w:val="004215C8"/>
    <w:rsid w:val="0042253A"/>
    <w:rsid w:val="00422ACE"/>
    <w:rsid w:val="00425699"/>
    <w:rsid w:val="00426632"/>
    <w:rsid w:val="004277AA"/>
    <w:rsid w:val="00427F81"/>
    <w:rsid w:val="00431220"/>
    <w:rsid w:val="00431EDF"/>
    <w:rsid w:val="00432586"/>
    <w:rsid w:val="00432829"/>
    <w:rsid w:val="00432A08"/>
    <w:rsid w:val="00432DF2"/>
    <w:rsid w:val="00433C77"/>
    <w:rsid w:val="00433CF4"/>
    <w:rsid w:val="00434298"/>
    <w:rsid w:val="00434BD6"/>
    <w:rsid w:val="00434DC3"/>
    <w:rsid w:val="00435620"/>
    <w:rsid w:val="0043764B"/>
    <w:rsid w:val="0043785A"/>
    <w:rsid w:val="004379D3"/>
    <w:rsid w:val="00437DDC"/>
    <w:rsid w:val="00442288"/>
    <w:rsid w:val="0044277D"/>
    <w:rsid w:val="00443497"/>
    <w:rsid w:val="00443C3E"/>
    <w:rsid w:val="00444291"/>
    <w:rsid w:val="00445122"/>
    <w:rsid w:val="004457AC"/>
    <w:rsid w:val="00450F1F"/>
    <w:rsid w:val="0045105A"/>
    <w:rsid w:val="00451245"/>
    <w:rsid w:val="0045175B"/>
    <w:rsid w:val="004525C8"/>
    <w:rsid w:val="00452F70"/>
    <w:rsid w:val="004532D4"/>
    <w:rsid w:val="004532F0"/>
    <w:rsid w:val="004535CF"/>
    <w:rsid w:val="00453CA2"/>
    <w:rsid w:val="004560FB"/>
    <w:rsid w:val="0045699D"/>
    <w:rsid w:val="00457A45"/>
    <w:rsid w:val="00457AE1"/>
    <w:rsid w:val="00463995"/>
    <w:rsid w:val="00465008"/>
    <w:rsid w:val="004650B1"/>
    <w:rsid w:val="00465BA3"/>
    <w:rsid w:val="00466862"/>
    <w:rsid w:val="00466DFF"/>
    <w:rsid w:val="00472FF6"/>
    <w:rsid w:val="0047330F"/>
    <w:rsid w:val="004740AA"/>
    <w:rsid w:val="00475306"/>
    <w:rsid w:val="0047657E"/>
    <w:rsid w:val="0047779A"/>
    <w:rsid w:val="004815F2"/>
    <w:rsid w:val="00482AA1"/>
    <w:rsid w:val="00483D84"/>
    <w:rsid w:val="00484285"/>
    <w:rsid w:val="0048533C"/>
    <w:rsid w:val="004856FC"/>
    <w:rsid w:val="004857EB"/>
    <w:rsid w:val="00485A6B"/>
    <w:rsid w:val="00486D24"/>
    <w:rsid w:val="00487121"/>
    <w:rsid w:val="00487BF7"/>
    <w:rsid w:val="004907CE"/>
    <w:rsid w:val="00490F6A"/>
    <w:rsid w:val="00491438"/>
    <w:rsid w:val="004923FA"/>
    <w:rsid w:val="004933D2"/>
    <w:rsid w:val="00493669"/>
    <w:rsid w:val="00493774"/>
    <w:rsid w:val="00493CA2"/>
    <w:rsid w:val="004947E3"/>
    <w:rsid w:val="00494881"/>
    <w:rsid w:val="00495160"/>
    <w:rsid w:val="004A088F"/>
    <w:rsid w:val="004A0C09"/>
    <w:rsid w:val="004A1CED"/>
    <w:rsid w:val="004A25AC"/>
    <w:rsid w:val="004A39A6"/>
    <w:rsid w:val="004A411F"/>
    <w:rsid w:val="004A45F0"/>
    <w:rsid w:val="004A462B"/>
    <w:rsid w:val="004A4C36"/>
    <w:rsid w:val="004A6470"/>
    <w:rsid w:val="004B1079"/>
    <w:rsid w:val="004B112F"/>
    <w:rsid w:val="004B3976"/>
    <w:rsid w:val="004B3E34"/>
    <w:rsid w:val="004B4BBF"/>
    <w:rsid w:val="004B4E66"/>
    <w:rsid w:val="004B5522"/>
    <w:rsid w:val="004B640C"/>
    <w:rsid w:val="004B6660"/>
    <w:rsid w:val="004B6C6D"/>
    <w:rsid w:val="004B6CE9"/>
    <w:rsid w:val="004C044A"/>
    <w:rsid w:val="004C0D58"/>
    <w:rsid w:val="004C1B79"/>
    <w:rsid w:val="004C278C"/>
    <w:rsid w:val="004C330D"/>
    <w:rsid w:val="004C3550"/>
    <w:rsid w:val="004C36AC"/>
    <w:rsid w:val="004C6847"/>
    <w:rsid w:val="004C6B01"/>
    <w:rsid w:val="004C76EE"/>
    <w:rsid w:val="004D033C"/>
    <w:rsid w:val="004D035C"/>
    <w:rsid w:val="004D09D0"/>
    <w:rsid w:val="004D1A34"/>
    <w:rsid w:val="004D2510"/>
    <w:rsid w:val="004D25BE"/>
    <w:rsid w:val="004D2608"/>
    <w:rsid w:val="004D2BE2"/>
    <w:rsid w:val="004D2DEA"/>
    <w:rsid w:val="004D2F5E"/>
    <w:rsid w:val="004D2F82"/>
    <w:rsid w:val="004D3024"/>
    <w:rsid w:val="004D376D"/>
    <w:rsid w:val="004D3860"/>
    <w:rsid w:val="004D4B7E"/>
    <w:rsid w:val="004D73F4"/>
    <w:rsid w:val="004E1701"/>
    <w:rsid w:val="004E18E8"/>
    <w:rsid w:val="004E3932"/>
    <w:rsid w:val="004E4C91"/>
    <w:rsid w:val="004E5420"/>
    <w:rsid w:val="004E60DB"/>
    <w:rsid w:val="004E6761"/>
    <w:rsid w:val="004E70BA"/>
    <w:rsid w:val="004E7D77"/>
    <w:rsid w:val="004E7F8B"/>
    <w:rsid w:val="004F0CA3"/>
    <w:rsid w:val="004F1D5D"/>
    <w:rsid w:val="004F3098"/>
    <w:rsid w:val="004F3373"/>
    <w:rsid w:val="004F3D99"/>
    <w:rsid w:val="004F471F"/>
    <w:rsid w:val="004F562B"/>
    <w:rsid w:val="004F5A4C"/>
    <w:rsid w:val="004F5F77"/>
    <w:rsid w:val="004F786C"/>
    <w:rsid w:val="005021D2"/>
    <w:rsid w:val="00503514"/>
    <w:rsid w:val="00505878"/>
    <w:rsid w:val="0050652D"/>
    <w:rsid w:val="005069B9"/>
    <w:rsid w:val="00507BA8"/>
    <w:rsid w:val="00507D73"/>
    <w:rsid w:val="005100BD"/>
    <w:rsid w:val="0051046F"/>
    <w:rsid w:val="005125E1"/>
    <w:rsid w:val="005128FA"/>
    <w:rsid w:val="00513EB6"/>
    <w:rsid w:val="00514020"/>
    <w:rsid w:val="005159C1"/>
    <w:rsid w:val="00515D41"/>
    <w:rsid w:val="005168C1"/>
    <w:rsid w:val="00517FD0"/>
    <w:rsid w:val="00520408"/>
    <w:rsid w:val="00520DF4"/>
    <w:rsid w:val="00521CA8"/>
    <w:rsid w:val="005228DB"/>
    <w:rsid w:val="0052292A"/>
    <w:rsid w:val="005239C6"/>
    <w:rsid w:val="00523BC2"/>
    <w:rsid w:val="00523D27"/>
    <w:rsid w:val="00526A15"/>
    <w:rsid w:val="00527765"/>
    <w:rsid w:val="00527E02"/>
    <w:rsid w:val="005304C3"/>
    <w:rsid w:val="00530787"/>
    <w:rsid w:val="005310C1"/>
    <w:rsid w:val="00532353"/>
    <w:rsid w:val="005330C8"/>
    <w:rsid w:val="00533577"/>
    <w:rsid w:val="00533E77"/>
    <w:rsid w:val="00534306"/>
    <w:rsid w:val="00535CA0"/>
    <w:rsid w:val="005369B9"/>
    <w:rsid w:val="00536CFE"/>
    <w:rsid w:val="005376BF"/>
    <w:rsid w:val="00537700"/>
    <w:rsid w:val="005407A9"/>
    <w:rsid w:val="005410DB"/>
    <w:rsid w:val="005417D9"/>
    <w:rsid w:val="0054202A"/>
    <w:rsid w:val="00542EC2"/>
    <w:rsid w:val="005447DC"/>
    <w:rsid w:val="00545F8F"/>
    <w:rsid w:val="0054687C"/>
    <w:rsid w:val="00550948"/>
    <w:rsid w:val="00551019"/>
    <w:rsid w:val="005530F1"/>
    <w:rsid w:val="005566B5"/>
    <w:rsid w:val="005571B0"/>
    <w:rsid w:val="00557BB5"/>
    <w:rsid w:val="00560008"/>
    <w:rsid w:val="00561757"/>
    <w:rsid w:val="00562552"/>
    <w:rsid w:val="00562716"/>
    <w:rsid w:val="00562D9F"/>
    <w:rsid w:val="00563971"/>
    <w:rsid w:val="00564280"/>
    <w:rsid w:val="00564CED"/>
    <w:rsid w:val="00565E00"/>
    <w:rsid w:val="005663DB"/>
    <w:rsid w:val="00566A55"/>
    <w:rsid w:val="005673ED"/>
    <w:rsid w:val="00567FE1"/>
    <w:rsid w:val="00571921"/>
    <w:rsid w:val="00571B78"/>
    <w:rsid w:val="005722F5"/>
    <w:rsid w:val="00572B08"/>
    <w:rsid w:val="0057350B"/>
    <w:rsid w:val="00573DA6"/>
    <w:rsid w:val="00574DFF"/>
    <w:rsid w:val="00576927"/>
    <w:rsid w:val="00576B22"/>
    <w:rsid w:val="0058066E"/>
    <w:rsid w:val="005808DB"/>
    <w:rsid w:val="00580FE1"/>
    <w:rsid w:val="005825A7"/>
    <w:rsid w:val="005839ED"/>
    <w:rsid w:val="00583B80"/>
    <w:rsid w:val="00584EEA"/>
    <w:rsid w:val="005852B8"/>
    <w:rsid w:val="005857EE"/>
    <w:rsid w:val="005859A6"/>
    <w:rsid w:val="00586320"/>
    <w:rsid w:val="0058649A"/>
    <w:rsid w:val="00586C3A"/>
    <w:rsid w:val="00587058"/>
    <w:rsid w:val="00587386"/>
    <w:rsid w:val="005909D5"/>
    <w:rsid w:val="00591DFC"/>
    <w:rsid w:val="00592ABB"/>
    <w:rsid w:val="00592BEA"/>
    <w:rsid w:val="005931B9"/>
    <w:rsid w:val="00593571"/>
    <w:rsid w:val="00594744"/>
    <w:rsid w:val="005948F6"/>
    <w:rsid w:val="00594B67"/>
    <w:rsid w:val="00594E7E"/>
    <w:rsid w:val="00595DB3"/>
    <w:rsid w:val="0059699A"/>
    <w:rsid w:val="00596EC5"/>
    <w:rsid w:val="00596EDD"/>
    <w:rsid w:val="005A3194"/>
    <w:rsid w:val="005A33C8"/>
    <w:rsid w:val="005A513F"/>
    <w:rsid w:val="005A533A"/>
    <w:rsid w:val="005A5956"/>
    <w:rsid w:val="005A59F7"/>
    <w:rsid w:val="005A67B6"/>
    <w:rsid w:val="005A698B"/>
    <w:rsid w:val="005A6D1D"/>
    <w:rsid w:val="005A7B69"/>
    <w:rsid w:val="005B0191"/>
    <w:rsid w:val="005B0429"/>
    <w:rsid w:val="005B0D2A"/>
    <w:rsid w:val="005B2770"/>
    <w:rsid w:val="005B29AE"/>
    <w:rsid w:val="005B330B"/>
    <w:rsid w:val="005B3499"/>
    <w:rsid w:val="005B54EC"/>
    <w:rsid w:val="005B7EC0"/>
    <w:rsid w:val="005B7EC9"/>
    <w:rsid w:val="005C118F"/>
    <w:rsid w:val="005C3FBA"/>
    <w:rsid w:val="005C4E4D"/>
    <w:rsid w:val="005C4F3C"/>
    <w:rsid w:val="005C5542"/>
    <w:rsid w:val="005C6658"/>
    <w:rsid w:val="005C77F3"/>
    <w:rsid w:val="005D0508"/>
    <w:rsid w:val="005D1357"/>
    <w:rsid w:val="005D20C4"/>
    <w:rsid w:val="005D2612"/>
    <w:rsid w:val="005D398C"/>
    <w:rsid w:val="005D4E04"/>
    <w:rsid w:val="005D547F"/>
    <w:rsid w:val="005D5A53"/>
    <w:rsid w:val="005D6039"/>
    <w:rsid w:val="005D687B"/>
    <w:rsid w:val="005D6B5B"/>
    <w:rsid w:val="005D763E"/>
    <w:rsid w:val="005D77FF"/>
    <w:rsid w:val="005E0B8F"/>
    <w:rsid w:val="005E3738"/>
    <w:rsid w:val="005E4443"/>
    <w:rsid w:val="005E4F20"/>
    <w:rsid w:val="005E55C8"/>
    <w:rsid w:val="005E7346"/>
    <w:rsid w:val="005F0EC1"/>
    <w:rsid w:val="005F256D"/>
    <w:rsid w:val="005F27F4"/>
    <w:rsid w:val="005F2FA5"/>
    <w:rsid w:val="005F3C34"/>
    <w:rsid w:val="005F4185"/>
    <w:rsid w:val="005F5A56"/>
    <w:rsid w:val="005F6BD8"/>
    <w:rsid w:val="005F702A"/>
    <w:rsid w:val="0060099C"/>
    <w:rsid w:val="00602CE0"/>
    <w:rsid w:val="0060306A"/>
    <w:rsid w:val="0060315F"/>
    <w:rsid w:val="006057C8"/>
    <w:rsid w:val="00606BC6"/>
    <w:rsid w:val="00610A71"/>
    <w:rsid w:val="0061391A"/>
    <w:rsid w:val="00613BBD"/>
    <w:rsid w:val="00613C28"/>
    <w:rsid w:val="00613E41"/>
    <w:rsid w:val="00615421"/>
    <w:rsid w:val="00615C90"/>
    <w:rsid w:val="006169CE"/>
    <w:rsid w:val="00617475"/>
    <w:rsid w:val="00621F4E"/>
    <w:rsid w:val="00622C71"/>
    <w:rsid w:val="00622DE8"/>
    <w:rsid w:val="0062441C"/>
    <w:rsid w:val="00624E02"/>
    <w:rsid w:val="00625D73"/>
    <w:rsid w:val="00625FC3"/>
    <w:rsid w:val="0062616A"/>
    <w:rsid w:val="00626301"/>
    <w:rsid w:val="00626A56"/>
    <w:rsid w:val="00626DB0"/>
    <w:rsid w:val="006313EE"/>
    <w:rsid w:val="00632936"/>
    <w:rsid w:val="00632B19"/>
    <w:rsid w:val="00632C31"/>
    <w:rsid w:val="00635292"/>
    <w:rsid w:val="006412DB"/>
    <w:rsid w:val="00642126"/>
    <w:rsid w:val="0064298B"/>
    <w:rsid w:val="00642FB3"/>
    <w:rsid w:val="00643A5E"/>
    <w:rsid w:val="00644229"/>
    <w:rsid w:val="00644652"/>
    <w:rsid w:val="00644E68"/>
    <w:rsid w:val="00645229"/>
    <w:rsid w:val="00650FF0"/>
    <w:rsid w:val="0065119E"/>
    <w:rsid w:val="00651512"/>
    <w:rsid w:val="0065255D"/>
    <w:rsid w:val="00652BB1"/>
    <w:rsid w:val="00652CC5"/>
    <w:rsid w:val="006560F2"/>
    <w:rsid w:val="00656C72"/>
    <w:rsid w:val="00656D9C"/>
    <w:rsid w:val="00657E07"/>
    <w:rsid w:val="00662416"/>
    <w:rsid w:val="00662772"/>
    <w:rsid w:val="00663532"/>
    <w:rsid w:val="0066438C"/>
    <w:rsid w:val="00664A7E"/>
    <w:rsid w:val="0066595E"/>
    <w:rsid w:val="00666D3C"/>
    <w:rsid w:val="006672B7"/>
    <w:rsid w:val="006711C7"/>
    <w:rsid w:val="006712EA"/>
    <w:rsid w:val="006734FD"/>
    <w:rsid w:val="0067367A"/>
    <w:rsid w:val="0067505C"/>
    <w:rsid w:val="0067513C"/>
    <w:rsid w:val="006751C9"/>
    <w:rsid w:val="006760D1"/>
    <w:rsid w:val="00681010"/>
    <w:rsid w:val="00681431"/>
    <w:rsid w:val="00682502"/>
    <w:rsid w:val="00682AB8"/>
    <w:rsid w:val="00683427"/>
    <w:rsid w:val="00683F22"/>
    <w:rsid w:val="00684DCE"/>
    <w:rsid w:val="0068635F"/>
    <w:rsid w:val="006867BB"/>
    <w:rsid w:val="0069033C"/>
    <w:rsid w:val="00690918"/>
    <w:rsid w:val="00690FC7"/>
    <w:rsid w:val="0069163E"/>
    <w:rsid w:val="00692504"/>
    <w:rsid w:val="006937DA"/>
    <w:rsid w:val="00694233"/>
    <w:rsid w:val="006950D5"/>
    <w:rsid w:val="0069572A"/>
    <w:rsid w:val="00695868"/>
    <w:rsid w:val="00696174"/>
    <w:rsid w:val="006969C3"/>
    <w:rsid w:val="006A039F"/>
    <w:rsid w:val="006A0BDF"/>
    <w:rsid w:val="006A1F0B"/>
    <w:rsid w:val="006A2812"/>
    <w:rsid w:val="006A3292"/>
    <w:rsid w:val="006A35EE"/>
    <w:rsid w:val="006A4A39"/>
    <w:rsid w:val="006A518B"/>
    <w:rsid w:val="006A5286"/>
    <w:rsid w:val="006A591B"/>
    <w:rsid w:val="006A60B4"/>
    <w:rsid w:val="006A6D5B"/>
    <w:rsid w:val="006A6FFC"/>
    <w:rsid w:val="006B0185"/>
    <w:rsid w:val="006B0760"/>
    <w:rsid w:val="006B08C7"/>
    <w:rsid w:val="006B1D54"/>
    <w:rsid w:val="006B30AA"/>
    <w:rsid w:val="006B3F78"/>
    <w:rsid w:val="006B44DA"/>
    <w:rsid w:val="006B687D"/>
    <w:rsid w:val="006B7B54"/>
    <w:rsid w:val="006B7F25"/>
    <w:rsid w:val="006C03DB"/>
    <w:rsid w:val="006C0456"/>
    <w:rsid w:val="006C09D7"/>
    <w:rsid w:val="006C1000"/>
    <w:rsid w:val="006C12E7"/>
    <w:rsid w:val="006C1530"/>
    <w:rsid w:val="006C1B51"/>
    <w:rsid w:val="006C1C06"/>
    <w:rsid w:val="006C29CF"/>
    <w:rsid w:val="006C2C4E"/>
    <w:rsid w:val="006C3AC7"/>
    <w:rsid w:val="006C4327"/>
    <w:rsid w:val="006C43B1"/>
    <w:rsid w:val="006C4F39"/>
    <w:rsid w:val="006D1C13"/>
    <w:rsid w:val="006D1D9B"/>
    <w:rsid w:val="006D59B1"/>
    <w:rsid w:val="006E0712"/>
    <w:rsid w:val="006E084F"/>
    <w:rsid w:val="006E0FCC"/>
    <w:rsid w:val="006E1928"/>
    <w:rsid w:val="006E1B43"/>
    <w:rsid w:val="006E2A33"/>
    <w:rsid w:val="006E529C"/>
    <w:rsid w:val="006E54F3"/>
    <w:rsid w:val="006E5616"/>
    <w:rsid w:val="006E5FE9"/>
    <w:rsid w:val="006E7AAF"/>
    <w:rsid w:val="006F0752"/>
    <w:rsid w:val="006F09C5"/>
    <w:rsid w:val="006F29FD"/>
    <w:rsid w:val="006F3E4E"/>
    <w:rsid w:val="006F45BC"/>
    <w:rsid w:val="006F4830"/>
    <w:rsid w:val="006F4CF6"/>
    <w:rsid w:val="006F4E18"/>
    <w:rsid w:val="006F55D5"/>
    <w:rsid w:val="006F5F2A"/>
    <w:rsid w:val="006F6066"/>
    <w:rsid w:val="006F735D"/>
    <w:rsid w:val="00700671"/>
    <w:rsid w:val="00701190"/>
    <w:rsid w:val="00701BE4"/>
    <w:rsid w:val="0070214A"/>
    <w:rsid w:val="00702EAE"/>
    <w:rsid w:val="007038E6"/>
    <w:rsid w:val="00703AE1"/>
    <w:rsid w:val="00703B93"/>
    <w:rsid w:val="00703EBE"/>
    <w:rsid w:val="00704309"/>
    <w:rsid w:val="00705C34"/>
    <w:rsid w:val="007072A7"/>
    <w:rsid w:val="00707348"/>
    <w:rsid w:val="00711389"/>
    <w:rsid w:val="00711A98"/>
    <w:rsid w:val="00712CE3"/>
    <w:rsid w:val="00713205"/>
    <w:rsid w:val="007135B5"/>
    <w:rsid w:val="00713609"/>
    <w:rsid w:val="00715A5D"/>
    <w:rsid w:val="00715E70"/>
    <w:rsid w:val="00716FBD"/>
    <w:rsid w:val="00717047"/>
    <w:rsid w:val="00717D96"/>
    <w:rsid w:val="007202A3"/>
    <w:rsid w:val="00720693"/>
    <w:rsid w:val="007209F0"/>
    <w:rsid w:val="00720C93"/>
    <w:rsid w:val="00721041"/>
    <w:rsid w:val="0072114A"/>
    <w:rsid w:val="0072128F"/>
    <w:rsid w:val="00721B8C"/>
    <w:rsid w:val="00722DD8"/>
    <w:rsid w:val="007242B8"/>
    <w:rsid w:val="007243DA"/>
    <w:rsid w:val="0072558A"/>
    <w:rsid w:val="00725864"/>
    <w:rsid w:val="00725BE6"/>
    <w:rsid w:val="00726602"/>
    <w:rsid w:val="00726A03"/>
    <w:rsid w:val="007302E4"/>
    <w:rsid w:val="0073049B"/>
    <w:rsid w:val="00731025"/>
    <w:rsid w:val="0073104F"/>
    <w:rsid w:val="00732774"/>
    <w:rsid w:val="00732D9B"/>
    <w:rsid w:val="00733E26"/>
    <w:rsid w:val="0073444C"/>
    <w:rsid w:val="0073552A"/>
    <w:rsid w:val="00735DDB"/>
    <w:rsid w:val="00736789"/>
    <w:rsid w:val="00740B75"/>
    <w:rsid w:val="00741390"/>
    <w:rsid w:val="00741895"/>
    <w:rsid w:val="00742285"/>
    <w:rsid w:val="007426ED"/>
    <w:rsid w:val="0074284D"/>
    <w:rsid w:val="007438C4"/>
    <w:rsid w:val="00744BD1"/>
    <w:rsid w:val="00744C45"/>
    <w:rsid w:val="00744FC1"/>
    <w:rsid w:val="00746C97"/>
    <w:rsid w:val="00750C56"/>
    <w:rsid w:val="00750F47"/>
    <w:rsid w:val="007527C0"/>
    <w:rsid w:val="00754014"/>
    <w:rsid w:val="007542F1"/>
    <w:rsid w:val="00754A7D"/>
    <w:rsid w:val="00754BF1"/>
    <w:rsid w:val="00754C7F"/>
    <w:rsid w:val="00755355"/>
    <w:rsid w:val="007554B6"/>
    <w:rsid w:val="0075704E"/>
    <w:rsid w:val="00757766"/>
    <w:rsid w:val="00757EEB"/>
    <w:rsid w:val="00761CAC"/>
    <w:rsid w:val="0076466F"/>
    <w:rsid w:val="00765176"/>
    <w:rsid w:val="00765777"/>
    <w:rsid w:val="00765BEC"/>
    <w:rsid w:val="0076686D"/>
    <w:rsid w:val="007673B5"/>
    <w:rsid w:val="00767CDA"/>
    <w:rsid w:val="00770B33"/>
    <w:rsid w:val="00770CE5"/>
    <w:rsid w:val="0077227C"/>
    <w:rsid w:val="00774F01"/>
    <w:rsid w:val="00775AF8"/>
    <w:rsid w:val="0078003A"/>
    <w:rsid w:val="007828FB"/>
    <w:rsid w:val="00783C74"/>
    <w:rsid w:val="00784473"/>
    <w:rsid w:val="00784C33"/>
    <w:rsid w:val="00785925"/>
    <w:rsid w:val="0078608A"/>
    <w:rsid w:val="007862BC"/>
    <w:rsid w:val="00786313"/>
    <w:rsid w:val="00786357"/>
    <w:rsid w:val="007863FB"/>
    <w:rsid w:val="00786766"/>
    <w:rsid w:val="00786C70"/>
    <w:rsid w:val="007879CA"/>
    <w:rsid w:val="00790C82"/>
    <w:rsid w:val="007920C3"/>
    <w:rsid w:val="007922E7"/>
    <w:rsid w:val="00793018"/>
    <w:rsid w:val="007933FF"/>
    <w:rsid w:val="007935A1"/>
    <w:rsid w:val="00793A70"/>
    <w:rsid w:val="00795DBB"/>
    <w:rsid w:val="007960E8"/>
    <w:rsid w:val="00796213"/>
    <w:rsid w:val="00796B9C"/>
    <w:rsid w:val="00796EEA"/>
    <w:rsid w:val="007A0001"/>
    <w:rsid w:val="007A0B12"/>
    <w:rsid w:val="007A0D1B"/>
    <w:rsid w:val="007A2234"/>
    <w:rsid w:val="007A2C48"/>
    <w:rsid w:val="007A424A"/>
    <w:rsid w:val="007A543F"/>
    <w:rsid w:val="007A5DC3"/>
    <w:rsid w:val="007A67E6"/>
    <w:rsid w:val="007A681B"/>
    <w:rsid w:val="007A79AF"/>
    <w:rsid w:val="007B1512"/>
    <w:rsid w:val="007B1A80"/>
    <w:rsid w:val="007B282D"/>
    <w:rsid w:val="007B312A"/>
    <w:rsid w:val="007B5F3C"/>
    <w:rsid w:val="007B6DCB"/>
    <w:rsid w:val="007C0024"/>
    <w:rsid w:val="007C1CFE"/>
    <w:rsid w:val="007C28AA"/>
    <w:rsid w:val="007C3187"/>
    <w:rsid w:val="007C3483"/>
    <w:rsid w:val="007C38F7"/>
    <w:rsid w:val="007C3961"/>
    <w:rsid w:val="007C3DD4"/>
    <w:rsid w:val="007C4FF5"/>
    <w:rsid w:val="007C599B"/>
    <w:rsid w:val="007C5C9F"/>
    <w:rsid w:val="007C62B6"/>
    <w:rsid w:val="007C6AA8"/>
    <w:rsid w:val="007C7AC5"/>
    <w:rsid w:val="007D0E60"/>
    <w:rsid w:val="007D1773"/>
    <w:rsid w:val="007D2E75"/>
    <w:rsid w:val="007D4185"/>
    <w:rsid w:val="007D42D7"/>
    <w:rsid w:val="007D42DB"/>
    <w:rsid w:val="007D44E0"/>
    <w:rsid w:val="007D4FF6"/>
    <w:rsid w:val="007D549F"/>
    <w:rsid w:val="007D5738"/>
    <w:rsid w:val="007D5AEC"/>
    <w:rsid w:val="007E157C"/>
    <w:rsid w:val="007E164D"/>
    <w:rsid w:val="007E1CD8"/>
    <w:rsid w:val="007E23BE"/>
    <w:rsid w:val="007E33F4"/>
    <w:rsid w:val="007E3646"/>
    <w:rsid w:val="007E38D4"/>
    <w:rsid w:val="007E3901"/>
    <w:rsid w:val="007E415D"/>
    <w:rsid w:val="007E4C41"/>
    <w:rsid w:val="007E4D51"/>
    <w:rsid w:val="007E5C9C"/>
    <w:rsid w:val="007E617B"/>
    <w:rsid w:val="007E6293"/>
    <w:rsid w:val="007E71AA"/>
    <w:rsid w:val="007E7930"/>
    <w:rsid w:val="007E7B31"/>
    <w:rsid w:val="007E7FD0"/>
    <w:rsid w:val="007F0CED"/>
    <w:rsid w:val="007F19EB"/>
    <w:rsid w:val="007F1E64"/>
    <w:rsid w:val="007F21D9"/>
    <w:rsid w:val="007F3511"/>
    <w:rsid w:val="007F4229"/>
    <w:rsid w:val="007F6385"/>
    <w:rsid w:val="007F6A66"/>
    <w:rsid w:val="007F7216"/>
    <w:rsid w:val="007F79F9"/>
    <w:rsid w:val="007F7C87"/>
    <w:rsid w:val="00800265"/>
    <w:rsid w:val="00801E5B"/>
    <w:rsid w:val="008039DD"/>
    <w:rsid w:val="00803FEC"/>
    <w:rsid w:val="0080423B"/>
    <w:rsid w:val="0080538F"/>
    <w:rsid w:val="008064C7"/>
    <w:rsid w:val="00807CC7"/>
    <w:rsid w:val="008114A1"/>
    <w:rsid w:val="00812294"/>
    <w:rsid w:val="00813685"/>
    <w:rsid w:val="00813FEC"/>
    <w:rsid w:val="008145BD"/>
    <w:rsid w:val="0081471D"/>
    <w:rsid w:val="00816E77"/>
    <w:rsid w:val="008174A1"/>
    <w:rsid w:val="00820D97"/>
    <w:rsid w:val="00820E17"/>
    <w:rsid w:val="00820F84"/>
    <w:rsid w:val="00821E0A"/>
    <w:rsid w:val="00822E8C"/>
    <w:rsid w:val="008233A4"/>
    <w:rsid w:val="0082372A"/>
    <w:rsid w:val="008243DB"/>
    <w:rsid w:val="00827043"/>
    <w:rsid w:val="00827C56"/>
    <w:rsid w:val="00830394"/>
    <w:rsid w:val="00830400"/>
    <w:rsid w:val="0083051D"/>
    <w:rsid w:val="0083098A"/>
    <w:rsid w:val="00831500"/>
    <w:rsid w:val="00831C28"/>
    <w:rsid w:val="00832280"/>
    <w:rsid w:val="0083288C"/>
    <w:rsid w:val="00832B52"/>
    <w:rsid w:val="00833471"/>
    <w:rsid w:val="008341C2"/>
    <w:rsid w:val="008358CA"/>
    <w:rsid w:val="008367BD"/>
    <w:rsid w:val="0083698D"/>
    <w:rsid w:val="00836AE5"/>
    <w:rsid w:val="00840C37"/>
    <w:rsid w:val="00841316"/>
    <w:rsid w:val="00841CE7"/>
    <w:rsid w:val="00841F27"/>
    <w:rsid w:val="008423A4"/>
    <w:rsid w:val="00843926"/>
    <w:rsid w:val="00844506"/>
    <w:rsid w:val="00844FD2"/>
    <w:rsid w:val="008455A0"/>
    <w:rsid w:val="0084583E"/>
    <w:rsid w:val="00845DAD"/>
    <w:rsid w:val="00846445"/>
    <w:rsid w:val="008465B7"/>
    <w:rsid w:val="008465EE"/>
    <w:rsid w:val="00846D2A"/>
    <w:rsid w:val="00847B06"/>
    <w:rsid w:val="00850137"/>
    <w:rsid w:val="008501DE"/>
    <w:rsid w:val="0085138A"/>
    <w:rsid w:val="0085142B"/>
    <w:rsid w:val="00852973"/>
    <w:rsid w:val="00852E87"/>
    <w:rsid w:val="008532AC"/>
    <w:rsid w:val="0085388F"/>
    <w:rsid w:val="00854D78"/>
    <w:rsid w:val="0085502B"/>
    <w:rsid w:val="00855258"/>
    <w:rsid w:val="00860195"/>
    <w:rsid w:val="008603DF"/>
    <w:rsid w:val="0086269D"/>
    <w:rsid w:val="00862BB3"/>
    <w:rsid w:val="008631B7"/>
    <w:rsid w:val="008636DC"/>
    <w:rsid w:val="00863795"/>
    <w:rsid w:val="00865903"/>
    <w:rsid w:val="008662BE"/>
    <w:rsid w:val="008667B4"/>
    <w:rsid w:val="00867052"/>
    <w:rsid w:val="0086706F"/>
    <w:rsid w:val="0086772A"/>
    <w:rsid w:val="00867B1F"/>
    <w:rsid w:val="0087017B"/>
    <w:rsid w:val="008705B9"/>
    <w:rsid w:val="00870620"/>
    <w:rsid w:val="0087082A"/>
    <w:rsid w:val="00870D1F"/>
    <w:rsid w:val="00870F98"/>
    <w:rsid w:val="00870FE0"/>
    <w:rsid w:val="0087121C"/>
    <w:rsid w:val="00871728"/>
    <w:rsid w:val="0087174B"/>
    <w:rsid w:val="00871C67"/>
    <w:rsid w:val="00872DBE"/>
    <w:rsid w:val="008731CA"/>
    <w:rsid w:val="00873A44"/>
    <w:rsid w:val="00874E61"/>
    <w:rsid w:val="00874ED7"/>
    <w:rsid w:val="00875DF5"/>
    <w:rsid w:val="00876B4D"/>
    <w:rsid w:val="00876CAF"/>
    <w:rsid w:val="008802C4"/>
    <w:rsid w:val="00880467"/>
    <w:rsid w:val="008811E2"/>
    <w:rsid w:val="00881DC5"/>
    <w:rsid w:val="008829CF"/>
    <w:rsid w:val="00883BA0"/>
    <w:rsid w:val="008845AF"/>
    <w:rsid w:val="008847A7"/>
    <w:rsid w:val="008847B1"/>
    <w:rsid w:val="00884C7C"/>
    <w:rsid w:val="00886007"/>
    <w:rsid w:val="00886A51"/>
    <w:rsid w:val="0088702A"/>
    <w:rsid w:val="00890D35"/>
    <w:rsid w:val="0089191F"/>
    <w:rsid w:val="00891C9C"/>
    <w:rsid w:val="008921EC"/>
    <w:rsid w:val="0089223B"/>
    <w:rsid w:val="008922CC"/>
    <w:rsid w:val="008924DC"/>
    <w:rsid w:val="00892500"/>
    <w:rsid w:val="0089312A"/>
    <w:rsid w:val="00893134"/>
    <w:rsid w:val="00894303"/>
    <w:rsid w:val="0089548F"/>
    <w:rsid w:val="00897C8D"/>
    <w:rsid w:val="008A00D5"/>
    <w:rsid w:val="008A0AE6"/>
    <w:rsid w:val="008A1464"/>
    <w:rsid w:val="008A1767"/>
    <w:rsid w:val="008A2BC3"/>
    <w:rsid w:val="008A3FE9"/>
    <w:rsid w:val="008A45F2"/>
    <w:rsid w:val="008A6981"/>
    <w:rsid w:val="008A7042"/>
    <w:rsid w:val="008B0379"/>
    <w:rsid w:val="008B2672"/>
    <w:rsid w:val="008B3226"/>
    <w:rsid w:val="008B330A"/>
    <w:rsid w:val="008B6668"/>
    <w:rsid w:val="008B7DC6"/>
    <w:rsid w:val="008C04E1"/>
    <w:rsid w:val="008C10E3"/>
    <w:rsid w:val="008C180B"/>
    <w:rsid w:val="008C2D1F"/>
    <w:rsid w:val="008C327B"/>
    <w:rsid w:val="008C41D1"/>
    <w:rsid w:val="008C4BBB"/>
    <w:rsid w:val="008C4BD0"/>
    <w:rsid w:val="008C560F"/>
    <w:rsid w:val="008D1F85"/>
    <w:rsid w:val="008D235F"/>
    <w:rsid w:val="008D291B"/>
    <w:rsid w:val="008D29A2"/>
    <w:rsid w:val="008D36FB"/>
    <w:rsid w:val="008D519B"/>
    <w:rsid w:val="008D63CD"/>
    <w:rsid w:val="008D6ABC"/>
    <w:rsid w:val="008D7D5B"/>
    <w:rsid w:val="008E00B2"/>
    <w:rsid w:val="008E0536"/>
    <w:rsid w:val="008E17E3"/>
    <w:rsid w:val="008E21C6"/>
    <w:rsid w:val="008E2F17"/>
    <w:rsid w:val="008E41B6"/>
    <w:rsid w:val="008E4D5E"/>
    <w:rsid w:val="008E4FD0"/>
    <w:rsid w:val="008E5548"/>
    <w:rsid w:val="008E5CC9"/>
    <w:rsid w:val="008E6937"/>
    <w:rsid w:val="008E7086"/>
    <w:rsid w:val="008E7164"/>
    <w:rsid w:val="008F0938"/>
    <w:rsid w:val="008F09E7"/>
    <w:rsid w:val="008F0AF6"/>
    <w:rsid w:val="008F287A"/>
    <w:rsid w:val="008F3753"/>
    <w:rsid w:val="008F3B25"/>
    <w:rsid w:val="008F70AD"/>
    <w:rsid w:val="00901178"/>
    <w:rsid w:val="009017BC"/>
    <w:rsid w:val="00902A53"/>
    <w:rsid w:val="00902FFB"/>
    <w:rsid w:val="00903F9C"/>
    <w:rsid w:val="00904000"/>
    <w:rsid w:val="0090437B"/>
    <w:rsid w:val="00904FDD"/>
    <w:rsid w:val="00905041"/>
    <w:rsid w:val="009060B6"/>
    <w:rsid w:val="00906B6F"/>
    <w:rsid w:val="00910DE6"/>
    <w:rsid w:val="00911DCF"/>
    <w:rsid w:val="009134E5"/>
    <w:rsid w:val="00914923"/>
    <w:rsid w:val="00915825"/>
    <w:rsid w:val="00915C01"/>
    <w:rsid w:val="00915D93"/>
    <w:rsid w:val="00917DA9"/>
    <w:rsid w:val="00920025"/>
    <w:rsid w:val="0092006F"/>
    <w:rsid w:val="00920535"/>
    <w:rsid w:val="00920C1F"/>
    <w:rsid w:val="009216BB"/>
    <w:rsid w:val="00921DB0"/>
    <w:rsid w:val="00923183"/>
    <w:rsid w:val="00923513"/>
    <w:rsid w:val="009247A1"/>
    <w:rsid w:val="00924BC4"/>
    <w:rsid w:val="00924E42"/>
    <w:rsid w:val="00930633"/>
    <w:rsid w:val="009308DE"/>
    <w:rsid w:val="009311B7"/>
    <w:rsid w:val="0093304B"/>
    <w:rsid w:val="00933135"/>
    <w:rsid w:val="0093575F"/>
    <w:rsid w:val="00937C66"/>
    <w:rsid w:val="009403E0"/>
    <w:rsid w:val="009407DE"/>
    <w:rsid w:val="00941912"/>
    <w:rsid w:val="0094207A"/>
    <w:rsid w:val="00943190"/>
    <w:rsid w:val="00943599"/>
    <w:rsid w:val="00943FEA"/>
    <w:rsid w:val="009449BD"/>
    <w:rsid w:val="0094547D"/>
    <w:rsid w:val="009454CF"/>
    <w:rsid w:val="009467F8"/>
    <w:rsid w:val="009470DF"/>
    <w:rsid w:val="00951280"/>
    <w:rsid w:val="00951AE9"/>
    <w:rsid w:val="0095500F"/>
    <w:rsid w:val="0095585B"/>
    <w:rsid w:val="00956B74"/>
    <w:rsid w:val="009575BD"/>
    <w:rsid w:val="00957A7C"/>
    <w:rsid w:val="00960E5F"/>
    <w:rsid w:val="00961B53"/>
    <w:rsid w:val="0096245E"/>
    <w:rsid w:val="00962FA4"/>
    <w:rsid w:val="0096393A"/>
    <w:rsid w:val="00963B36"/>
    <w:rsid w:val="00963EF3"/>
    <w:rsid w:val="009644B2"/>
    <w:rsid w:val="0096486E"/>
    <w:rsid w:val="00966BAD"/>
    <w:rsid w:val="00966C55"/>
    <w:rsid w:val="009674A7"/>
    <w:rsid w:val="00967B67"/>
    <w:rsid w:val="0097036C"/>
    <w:rsid w:val="0097037E"/>
    <w:rsid w:val="009709C0"/>
    <w:rsid w:val="00972204"/>
    <w:rsid w:val="00973137"/>
    <w:rsid w:val="00973C0A"/>
    <w:rsid w:val="00973C3C"/>
    <w:rsid w:val="00973E30"/>
    <w:rsid w:val="0097431E"/>
    <w:rsid w:val="00974F0C"/>
    <w:rsid w:val="00975527"/>
    <w:rsid w:val="00975828"/>
    <w:rsid w:val="0097658B"/>
    <w:rsid w:val="00976E3D"/>
    <w:rsid w:val="00977123"/>
    <w:rsid w:val="00977189"/>
    <w:rsid w:val="00977881"/>
    <w:rsid w:val="009779B8"/>
    <w:rsid w:val="009810A6"/>
    <w:rsid w:val="00981805"/>
    <w:rsid w:val="00981901"/>
    <w:rsid w:val="00981C2A"/>
    <w:rsid w:val="00982349"/>
    <w:rsid w:val="00982CE7"/>
    <w:rsid w:val="00982ED6"/>
    <w:rsid w:val="00983075"/>
    <w:rsid w:val="00983AFA"/>
    <w:rsid w:val="00983BA2"/>
    <w:rsid w:val="00983CED"/>
    <w:rsid w:val="009842DD"/>
    <w:rsid w:val="009850A8"/>
    <w:rsid w:val="009852F3"/>
    <w:rsid w:val="009858CB"/>
    <w:rsid w:val="00986C89"/>
    <w:rsid w:val="00986D1F"/>
    <w:rsid w:val="009878F9"/>
    <w:rsid w:val="00987A83"/>
    <w:rsid w:val="0099028C"/>
    <w:rsid w:val="0099046F"/>
    <w:rsid w:val="0099068E"/>
    <w:rsid w:val="00991265"/>
    <w:rsid w:val="0099149E"/>
    <w:rsid w:val="00991798"/>
    <w:rsid w:val="00991F83"/>
    <w:rsid w:val="00993A40"/>
    <w:rsid w:val="009957D5"/>
    <w:rsid w:val="009964F8"/>
    <w:rsid w:val="00996AA2"/>
    <w:rsid w:val="009A0CA6"/>
    <w:rsid w:val="009A128D"/>
    <w:rsid w:val="009A2066"/>
    <w:rsid w:val="009A2EF7"/>
    <w:rsid w:val="009A3584"/>
    <w:rsid w:val="009A4496"/>
    <w:rsid w:val="009A4EAC"/>
    <w:rsid w:val="009A51FE"/>
    <w:rsid w:val="009A5CDA"/>
    <w:rsid w:val="009A6A22"/>
    <w:rsid w:val="009A7523"/>
    <w:rsid w:val="009B09A5"/>
    <w:rsid w:val="009B19DB"/>
    <w:rsid w:val="009B2B12"/>
    <w:rsid w:val="009B3A8E"/>
    <w:rsid w:val="009B3B95"/>
    <w:rsid w:val="009B45CC"/>
    <w:rsid w:val="009B4C77"/>
    <w:rsid w:val="009B53EE"/>
    <w:rsid w:val="009B67B1"/>
    <w:rsid w:val="009B68D6"/>
    <w:rsid w:val="009B70F6"/>
    <w:rsid w:val="009B7A07"/>
    <w:rsid w:val="009C07B2"/>
    <w:rsid w:val="009C1C53"/>
    <w:rsid w:val="009C27C8"/>
    <w:rsid w:val="009C3C2A"/>
    <w:rsid w:val="009C4DA4"/>
    <w:rsid w:val="009C505D"/>
    <w:rsid w:val="009C52E9"/>
    <w:rsid w:val="009C59CE"/>
    <w:rsid w:val="009C5BA1"/>
    <w:rsid w:val="009C5E3F"/>
    <w:rsid w:val="009C6C59"/>
    <w:rsid w:val="009C7DAB"/>
    <w:rsid w:val="009D069D"/>
    <w:rsid w:val="009D1355"/>
    <w:rsid w:val="009D1998"/>
    <w:rsid w:val="009D2111"/>
    <w:rsid w:val="009D224C"/>
    <w:rsid w:val="009D2B71"/>
    <w:rsid w:val="009D37A8"/>
    <w:rsid w:val="009D3D6E"/>
    <w:rsid w:val="009D42E0"/>
    <w:rsid w:val="009D48FD"/>
    <w:rsid w:val="009D6EF8"/>
    <w:rsid w:val="009D74EA"/>
    <w:rsid w:val="009D7C0F"/>
    <w:rsid w:val="009E016B"/>
    <w:rsid w:val="009E03FD"/>
    <w:rsid w:val="009E0CA1"/>
    <w:rsid w:val="009E0F73"/>
    <w:rsid w:val="009E2E4E"/>
    <w:rsid w:val="009E2F19"/>
    <w:rsid w:val="009E495C"/>
    <w:rsid w:val="009E5678"/>
    <w:rsid w:val="009E5838"/>
    <w:rsid w:val="009E707E"/>
    <w:rsid w:val="009E7AB7"/>
    <w:rsid w:val="009F1066"/>
    <w:rsid w:val="009F1252"/>
    <w:rsid w:val="009F2B38"/>
    <w:rsid w:val="009F35C8"/>
    <w:rsid w:val="009F3E43"/>
    <w:rsid w:val="009F5FAB"/>
    <w:rsid w:val="009F62F0"/>
    <w:rsid w:val="009F68C0"/>
    <w:rsid w:val="009F6F8C"/>
    <w:rsid w:val="009F7884"/>
    <w:rsid w:val="00A0001F"/>
    <w:rsid w:val="00A000C5"/>
    <w:rsid w:val="00A0080A"/>
    <w:rsid w:val="00A0089A"/>
    <w:rsid w:val="00A012B0"/>
    <w:rsid w:val="00A01550"/>
    <w:rsid w:val="00A021D9"/>
    <w:rsid w:val="00A029EC"/>
    <w:rsid w:val="00A02BA5"/>
    <w:rsid w:val="00A03216"/>
    <w:rsid w:val="00A03852"/>
    <w:rsid w:val="00A04141"/>
    <w:rsid w:val="00A04F34"/>
    <w:rsid w:val="00A06171"/>
    <w:rsid w:val="00A061E6"/>
    <w:rsid w:val="00A06256"/>
    <w:rsid w:val="00A13752"/>
    <w:rsid w:val="00A14322"/>
    <w:rsid w:val="00A1435E"/>
    <w:rsid w:val="00A1609F"/>
    <w:rsid w:val="00A160FC"/>
    <w:rsid w:val="00A17C7F"/>
    <w:rsid w:val="00A17DA9"/>
    <w:rsid w:val="00A200B9"/>
    <w:rsid w:val="00A2017C"/>
    <w:rsid w:val="00A209EE"/>
    <w:rsid w:val="00A2173C"/>
    <w:rsid w:val="00A21AA7"/>
    <w:rsid w:val="00A223E7"/>
    <w:rsid w:val="00A225CE"/>
    <w:rsid w:val="00A22F22"/>
    <w:rsid w:val="00A24472"/>
    <w:rsid w:val="00A250D6"/>
    <w:rsid w:val="00A254F3"/>
    <w:rsid w:val="00A26804"/>
    <w:rsid w:val="00A27AB0"/>
    <w:rsid w:val="00A30555"/>
    <w:rsid w:val="00A319C7"/>
    <w:rsid w:val="00A31C6C"/>
    <w:rsid w:val="00A31F4A"/>
    <w:rsid w:val="00A3392B"/>
    <w:rsid w:val="00A346AD"/>
    <w:rsid w:val="00A34D65"/>
    <w:rsid w:val="00A35D70"/>
    <w:rsid w:val="00A36C37"/>
    <w:rsid w:val="00A40BE7"/>
    <w:rsid w:val="00A4268F"/>
    <w:rsid w:val="00A42B52"/>
    <w:rsid w:val="00A4392A"/>
    <w:rsid w:val="00A4434D"/>
    <w:rsid w:val="00A44401"/>
    <w:rsid w:val="00A4452D"/>
    <w:rsid w:val="00A463C6"/>
    <w:rsid w:val="00A464A2"/>
    <w:rsid w:val="00A46FAA"/>
    <w:rsid w:val="00A4748F"/>
    <w:rsid w:val="00A47939"/>
    <w:rsid w:val="00A479B2"/>
    <w:rsid w:val="00A5013B"/>
    <w:rsid w:val="00A51F3E"/>
    <w:rsid w:val="00A52845"/>
    <w:rsid w:val="00A52A4F"/>
    <w:rsid w:val="00A5311C"/>
    <w:rsid w:val="00A53497"/>
    <w:rsid w:val="00A53AFB"/>
    <w:rsid w:val="00A543E0"/>
    <w:rsid w:val="00A54586"/>
    <w:rsid w:val="00A547B7"/>
    <w:rsid w:val="00A54B22"/>
    <w:rsid w:val="00A55F1E"/>
    <w:rsid w:val="00A569CA"/>
    <w:rsid w:val="00A56C60"/>
    <w:rsid w:val="00A56D40"/>
    <w:rsid w:val="00A57625"/>
    <w:rsid w:val="00A605F3"/>
    <w:rsid w:val="00A62944"/>
    <w:rsid w:val="00A62DA8"/>
    <w:rsid w:val="00A63136"/>
    <w:rsid w:val="00A63B9F"/>
    <w:rsid w:val="00A6514C"/>
    <w:rsid w:val="00A6652B"/>
    <w:rsid w:val="00A66BF7"/>
    <w:rsid w:val="00A66E08"/>
    <w:rsid w:val="00A66FD1"/>
    <w:rsid w:val="00A7213C"/>
    <w:rsid w:val="00A72AB7"/>
    <w:rsid w:val="00A736ED"/>
    <w:rsid w:val="00A74E88"/>
    <w:rsid w:val="00A75C97"/>
    <w:rsid w:val="00A778EB"/>
    <w:rsid w:val="00A808B7"/>
    <w:rsid w:val="00A818DF"/>
    <w:rsid w:val="00A8218D"/>
    <w:rsid w:val="00A82472"/>
    <w:rsid w:val="00A8256A"/>
    <w:rsid w:val="00A8262B"/>
    <w:rsid w:val="00A829F1"/>
    <w:rsid w:val="00A82F4C"/>
    <w:rsid w:val="00A86958"/>
    <w:rsid w:val="00A87888"/>
    <w:rsid w:val="00A87DFD"/>
    <w:rsid w:val="00A903A3"/>
    <w:rsid w:val="00A90794"/>
    <w:rsid w:val="00A90B58"/>
    <w:rsid w:val="00A90D51"/>
    <w:rsid w:val="00A91930"/>
    <w:rsid w:val="00A92807"/>
    <w:rsid w:val="00A9306B"/>
    <w:rsid w:val="00A937CB"/>
    <w:rsid w:val="00A93A25"/>
    <w:rsid w:val="00A943DA"/>
    <w:rsid w:val="00A95549"/>
    <w:rsid w:val="00A95789"/>
    <w:rsid w:val="00A9642B"/>
    <w:rsid w:val="00A9704D"/>
    <w:rsid w:val="00AA0B31"/>
    <w:rsid w:val="00AA0CE7"/>
    <w:rsid w:val="00AA1083"/>
    <w:rsid w:val="00AA1A02"/>
    <w:rsid w:val="00AA2888"/>
    <w:rsid w:val="00AA3BA5"/>
    <w:rsid w:val="00AA3CD9"/>
    <w:rsid w:val="00AA4585"/>
    <w:rsid w:val="00AA46A7"/>
    <w:rsid w:val="00AA4F35"/>
    <w:rsid w:val="00AA5204"/>
    <w:rsid w:val="00AA5582"/>
    <w:rsid w:val="00AA5AD7"/>
    <w:rsid w:val="00AA6D8B"/>
    <w:rsid w:val="00AA7797"/>
    <w:rsid w:val="00AB06A7"/>
    <w:rsid w:val="00AB0B46"/>
    <w:rsid w:val="00AB16E8"/>
    <w:rsid w:val="00AB2C90"/>
    <w:rsid w:val="00AB3107"/>
    <w:rsid w:val="00AB3479"/>
    <w:rsid w:val="00AB4F6A"/>
    <w:rsid w:val="00AB544C"/>
    <w:rsid w:val="00AB7192"/>
    <w:rsid w:val="00AB742D"/>
    <w:rsid w:val="00AC0DC4"/>
    <w:rsid w:val="00AC1A34"/>
    <w:rsid w:val="00AC2195"/>
    <w:rsid w:val="00AC2DBE"/>
    <w:rsid w:val="00AC32D1"/>
    <w:rsid w:val="00AC713C"/>
    <w:rsid w:val="00AC7CFC"/>
    <w:rsid w:val="00AD2158"/>
    <w:rsid w:val="00AD2458"/>
    <w:rsid w:val="00AD3361"/>
    <w:rsid w:val="00AD45F5"/>
    <w:rsid w:val="00AD6590"/>
    <w:rsid w:val="00AD6BC2"/>
    <w:rsid w:val="00AD7540"/>
    <w:rsid w:val="00AD7DB1"/>
    <w:rsid w:val="00AE16F7"/>
    <w:rsid w:val="00AE16FF"/>
    <w:rsid w:val="00AE241F"/>
    <w:rsid w:val="00AE4C66"/>
    <w:rsid w:val="00AE6764"/>
    <w:rsid w:val="00AF017C"/>
    <w:rsid w:val="00AF0A0E"/>
    <w:rsid w:val="00AF0D7A"/>
    <w:rsid w:val="00AF0F1E"/>
    <w:rsid w:val="00AF11F5"/>
    <w:rsid w:val="00AF12DA"/>
    <w:rsid w:val="00AF184F"/>
    <w:rsid w:val="00AF1911"/>
    <w:rsid w:val="00AF2D95"/>
    <w:rsid w:val="00AF3A46"/>
    <w:rsid w:val="00AF5F78"/>
    <w:rsid w:val="00AF79B3"/>
    <w:rsid w:val="00B00369"/>
    <w:rsid w:val="00B01644"/>
    <w:rsid w:val="00B024D4"/>
    <w:rsid w:val="00B02CCB"/>
    <w:rsid w:val="00B02F39"/>
    <w:rsid w:val="00B032C5"/>
    <w:rsid w:val="00B037EF"/>
    <w:rsid w:val="00B0506C"/>
    <w:rsid w:val="00B05EBB"/>
    <w:rsid w:val="00B07076"/>
    <w:rsid w:val="00B07B64"/>
    <w:rsid w:val="00B11699"/>
    <w:rsid w:val="00B117BA"/>
    <w:rsid w:val="00B11D7D"/>
    <w:rsid w:val="00B13823"/>
    <w:rsid w:val="00B13ED6"/>
    <w:rsid w:val="00B13F27"/>
    <w:rsid w:val="00B1471A"/>
    <w:rsid w:val="00B15075"/>
    <w:rsid w:val="00B1512A"/>
    <w:rsid w:val="00B15E6F"/>
    <w:rsid w:val="00B168BB"/>
    <w:rsid w:val="00B1757C"/>
    <w:rsid w:val="00B2045D"/>
    <w:rsid w:val="00B212D6"/>
    <w:rsid w:val="00B21751"/>
    <w:rsid w:val="00B220B1"/>
    <w:rsid w:val="00B22355"/>
    <w:rsid w:val="00B23424"/>
    <w:rsid w:val="00B23E99"/>
    <w:rsid w:val="00B2463A"/>
    <w:rsid w:val="00B246E1"/>
    <w:rsid w:val="00B25DFD"/>
    <w:rsid w:val="00B313D4"/>
    <w:rsid w:val="00B318C5"/>
    <w:rsid w:val="00B31BCF"/>
    <w:rsid w:val="00B321AD"/>
    <w:rsid w:val="00B33778"/>
    <w:rsid w:val="00B3377A"/>
    <w:rsid w:val="00B35B51"/>
    <w:rsid w:val="00B36387"/>
    <w:rsid w:val="00B4025F"/>
    <w:rsid w:val="00B40B51"/>
    <w:rsid w:val="00B41EFC"/>
    <w:rsid w:val="00B42D39"/>
    <w:rsid w:val="00B42D89"/>
    <w:rsid w:val="00B43416"/>
    <w:rsid w:val="00B44F58"/>
    <w:rsid w:val="00B4556A"/>
    <w:rsid w:val="00B460EF"/>
    <w:rsid w:val="00B46615"/>
    <w:rsid w:val="00B46CFA"/>
    <w:rsid w:val="00B475E8"/>
    <w:rsid w:val="00B47DB4"/>
    <w:rsid w:val="00B501E7"/>
    <w:rsid w:val="00B50DD5"/>
    <w:rsid w:val="00B5127A"/>
    <w:rsid w:val="00B516F7"/>
    <w:rsid w:val="00B51DAA"/>
    <w:rsid w:val="00B52974"/>
    <w:rsid w:val="00B5297C"/>
    <w:rsid w:val="00B53381"/>
    <w:rsid w:val="00B5439F"/>
    <w:rsid w:val="00B546F8"/>
    <w:rsid w:val="00B54DB6"/>
    <w:rsid w:val="00B558E6"/>
    <w:rsid w:val="00B55F4C"/>
    <w:rsid w:val="00B57E2C"/>
    <w:rsid w:val="00B57EA6"/>
    <w:rsid w:val="00B61BB8"/>
    <w:rsid w:val="00B61CE7"/>
    <w:rsid w:val="00B62B9A"/>
    <w:rsid w:val="00B63A28"/>
    <w:rsid w:val="00B6403F"/>
    <w:rsid w:val="00B643CD"/>
    <w:rsid w:val="00B64488"/>
    <w:rsid w:val="00B651FC"/>
    <w:rsid w:val="00B655CA"/>
    <w:rsid w:val="00B6578C"/>
    <w:rsid w:val="00B6669E"/>
    <w:rsid w:val="00B66B80"/>
    <w:rsid w:val="00B67D5E"/>
    <w:rsid w:val="00B70134"/>
    <w:rsid w:val="00B7062D"/>
    <w:rsid w:val="00B72309"/>
    <w:rsid w:val="00B732C4"/>
    <w:rsid w:val="00B73A37"/>
    <w:rsid w:val="00B7408D"/>
    <w:rsid w:val="00B7414C"/>
    <w:rsid w:val="00B74DC2"/>
    <w:rsid w:val="00B75478"/>
    <w:rsid w:val="00B75B8A"/>
    <w:rsid w:val="00B76E7F"/>
    <w:rsid w:val="00B77AF1"/>
    <w:rsid w:val="00B804FA"/>
    <w:rsid w:val="00B807C0"/>
    <w:rsid w:val="00B80D33"/>
    <w:rsid w:val="00B81DF2"/>
    <w:rsid w:val="00B82474"/>
    <w:rsid w:val="00B8451E"/>
    <w:rsid w:val="00B848A7"/>
    <w:rsid w:val="00B84DC3"/>
    <w:rsid w:val="00B85675"/>
    <w:rsid w:val="00B86532"/>
    <w:rsid w:val="00B86596"/>
    <w:rsid w:val="00B87B79"/>
    <w:rsid w:val="00B90A68"/>
    <w:rsid w:val="00B90D0F"/>
    <w:rsid w:val="00B9181A"/>
    <w:rsid w:val="00B92967"/>
    <w:rsid w:val="00B93183"/>
    <w:rsid w:val="00B9350D"/>
    <w:rsid w:val="00B93796"/>
    <w:rsid w:val="00B9437E"/>
    <w:rsid w:val="00B9483E"/>
    <w:rsid w:val="00B9514D"/>
    <w:rsid w:val="00B9749F"/>
    <w:rsid w:val="00B979B9"/>
    <w:rsid w:val="00BA19BF"/>
    <w:rsid w:val="00BA2F30"/>
    <w:rsid w:val="00BA3204"/>
    <w:rsid w:val="00BA3A49"/>
    <w:rsid w:val="00BA4942"/>
    <w:rsid w:val="00BA6245"/>
    <w:rsid w:val="00BA6AC3"/>
    <w:rsid w:val="00BA720C"/>
    <w:rsid w:val="00BA7753"/>
    <w:rsid w:val="00BB069B"/>
    <w:rsid w:val="00BB07DC"/>
    <w:rsid w:val="00BB137D"/>
    <w:rsid w:val="00BB2009"/>
    <w:rsid w:val="00BB3238"/>
    <w:rsid w:val="00BB3A0F"/>
    <w:rsid w:val="00BB4E5F"/>
    <w:rsid w:val="00BB5752"/>
    <w:rsid w:val="00BB6465"/>
    <w:rsid w:val="00BB6541"/>
    <w:rsid w:val="00BC0024"/>
    <w:rsid w:val="00BC06D2"/>
    <w:rsid w:val="00BC0C41"/>
    <w:rsid w:val="00BC2F72"/>
    <w:rsid w:val="00BC3BE0"/>
    <w:rsid w:val="00BC640A"/>
    <w:rsid w:val="00BC6E30"/>
    <w:rsid w:val="00BC6F8B"/>
    <w:rsid w:val="00BC6FA0"/>
    <w:rsid w:val="00BC7847"/>
    <w:rsid w:val="00BC7A60"/>
    <w:rsid w:val="00BD0233"/>
    <w:rsid w:val="00BD0600"/>
    <w:rsid w:val="00BD211C"/>
    <w:rsid w:val="00BD2703"/>
    <w:rsid w:val="00BD2CA9"/>
    <w:rsid w:val="00BD35F8"/>
    <w:rsid w:val="00BD3A67"/>
    <w:rsid w:val="00BD637F"/>
    <w:rsid w:val="00BD6FFE"/>
    <w:rsid w:val="00BD7C43"/>
    <w:rsid w:val="00BE0816"/>
    <w:rsid w:val="00BE0E90"/>
    <w:rsid w:val="00BE18A3"/>
    <w:rsid w:val="00BE2331"/>
    <w:rsid w:val="00BE2E31"/>
    <w:rsid w:val="00BE3D22"/>
    <w:rsid w:val="00BE4944"/>
    <w:rsid w:val="00BF19C4"/>
    <w:rsid w:val="00BF2B65"/>
    <w:rsid w:val="00BF3978"/>
    <w:rsid w:val="00BF3ECC"/>
    <w:rsid w:val="00BF4CFF"/>
    <w:rsid w:val="00BF553E"/>
    <w:rsid w:val="00BF5B0F"/>
    <w:rsid w:val="00BF6339"/>
    <w:rsid w:val="00BF6BE8"/>
    <w:rsid w:val="00BF726A"/>
    <w:rsid w:val="00BF7441"/>
    <w:rsid w:val="00BF7B2E"/>
    <w:rsid w:val="00BF7C43"/>
    <w:rsid w:val="00BF7DA9"/>
    <w:rsid w:val="00C006F4"/>
    <w:rsid w:val="00C00AE6"/>
    <w:rsid w:val="00C00C3E"/>
    <w:rsid w:val="00C01408"/>
    <w:rsid w:val="00C01E87"/>
    <w:rsid w:val="00C01E96"/>
    <w:rsid w:val="00C01ED4"/>
    <w:rsid w:val="00C026E6"/>
    <w:rsid w:val="00C03863"/>
    <w:rsid w:val="00C0444F"/>
    <w:rsid w:val="00C04D84"/>
    <w:rsid w:val="00C0782E"/>
    <w:rsid w:val="00C10769"/>
    <w:rsid w:val="00C107A2"/>
    <w:rsid w:val="00C10A6D"/>
    <w:rsid w:val="00C11329"/>
    <w:rsid w:val="00C13C6A"/>
    <w:rsid w:val="00C14522"/>
    <w:rsid w:val="00C14AAC"/>
    <w:rsid w:val="00C14AC7"/>
    <w:rsid w:val="00C14C24"/>
    <w:rsid w:val="00C15F24"/>
    <w:rsid w:val="00C16144"/>
    <w:rsid w:val="00C165C0"/>
    <w:rsid w:val="00C207E1"/>
    <w:rsid w:val="00C208BE"/>
    <w:rsid w:val="00C20FB6"/>
    <w:rsid w:val="00C2112C"/>
    <w:rsid w:val="00C228AE"/>
    <w:rsid w:val="00C245AB"/>
    <w:rsid w:val="00C24FC6"/>
    <w:rsid w:val="00C25081"/>
    <w:rsid w:val="00C250F3"/>
    <w:rsid w:val="00C25E57"/>
    <w:rsid w:val="00C30C93"/>
    <w:rsid w:val="00C30D11"/>
    <w:rsid w:val="00C3228C"/>
    <w:rsid w:val="00C33F2E"/>
    <w:rsid w:val="00C33F49"/>
    <w:rsid w:val="00C34765"/>
    <w:rsid w:val="00C347E6"/>
    <w:rsid w:val="00C34D4D"/>
    <w:rsid w:val="00C35268"/>
    <w:rsid w:val="00C352E2"/>
    <w:rsid w:val="00C36283"/>
    <w:rsid w:val="00C374ED"/>
    <w:rsid w:val="00C375ED"/>
    <w:rsid w:val="00C37724"/>
    <w:rsid w:val="00C37B01"/>
    <w:rsid w:val="00C37DD1"/>
    <w:rsid w:val="00C402B2"/>
    <w:rsid w:val="00C40830"/>
    <w:rsid w:val="00C40A0C"/>
    <w:rsid w:val="00C41595"/>
    <w:rsid w:val="00C42FC0"/>
    <w:rsid w:val="00C43E5C"/>
    <w:rsid w:val="00C44026"/>
    <w:rsid w:val="00C44856"/>
    <w:rsid w:val="00C45779"/>
    <w:rsid w:val="00C46097"/>
    <w:rsid w:val="00C47EF7"/>
    <w:rsid w:val="00C52575"/>
    <w:rsid w:val="00C52AA0"/>
    <w:rsid w:val="00C52D03"/>
    <w:rsid w:val="00C53493"/>
    <w:rsid w:val="00C5366B"/>
    <w:rsid w:val="00C53938"/>
    <w:rsid w:val="00C55714"/>
    <w:rsid w:val="00C571B5"/>
    <w:rsid w:val="00C57277"/>
    <w:rsid w:val="00C57E5C"/>
    <w:rsid w:val="00C60D5D"/>
    <w:rsid w:val="00C61108"/>
    <w:rsid w:val="00C6142A"/>
    <w:rsid w:val="00C6373F"/>
    <w:rsid w:val="00C63D0C"/>
    <w:rsid w:val="00C640ED"/>
    <w:rsid w:val="00C641FD"/>
    <w:rsid w:val="00C644AA"/>
    <w:rsid w:val="00C64D18"/>
    <w:rsid w:val="00C651DF"/>
    <w:rsid w:val="00C65E13"/>
    <w:rsid w:val="00C67859"/>
    <w:rsid w:val="00C67F35"/>
    <w:rsid w:val="00C67F6C"/>
    <w:rsid w:val="00C71113"/>
    <w:rsid w:val="00C714AA"/>
    <w:rsid w:val="00C71A10"/>
    <w:rsid w:val="00C7566B"/>
    <w:rsid w:val="00C76379"/>
    <w:rsid w:val="00C765AF"/>
    <w:rsid w:val="00C76B28"/>
    <w:rsid w:val="00C76FA4"/>
    <w:rsid w:val="00C814D4"/>
    <w:rsid w:val="00C82B8E"/>
    <w:rsid w:val="00C84193"/>
    <w:rsid w:val="00C86EA2"/>
    <w:rsid w:val="00C872E7"/>
    <w:rsid w:val="00C904B2"/>
    <w:rsid w:val="00C90A00"/>
    <w:rsid w:val="00C914F3"/>
    <w:rsid w:val="00C91750"/>
    <w:rsid w:val="00C931DE"/>
    <w:rsid w:val="00C93253"/>
    <w:rsid w:val="00C943D5"/>
    <w:rsid w:val="00C947F6"/>
    <w:rsid w:val="00C94A6B"/>
    <w:rsid w:val="00C9594E"/>
    <w:rsid w:val="00C96D31"/>
    <w:rsid w:val="00CA1064"/>
    <w:rsid w:val="00CA1111"/>
    <w:rsid w:val="00CA21BE"/>
    <w:rsid w:val="00CA32D5"/>
    <w:rsid w:val="00CA345F"/>
    <w:rsid w:val="00CA3503"/>
    <w:rsid w:val="00CA3BF9"/>
    <w:rsid w:val="00CA3DFE"/>
    <w:rsid w:val="00CA4073"/>
    <w:rsid w:val="00CA4EBB"/>
    <w:rsid w:val="00CA58B8"/>
    <w:rsid w:val="00CA594F"/>
    <w:rsid w:val="00CA7619"/>
    <w:rsid w:val="00CB02F6"/>
    <w:rsid w:val="00CB1587"/>
    <w:rsid w:val="00CB17FF"/>
    <w:rsid w:val="00CB1B3D"/>
    <w:rsid w:val="00CB5D90"/>
    <w:rsid w:val="00CB690A"/>
    <w:rsid w:val="00CC009C"/>
    <w:rsid w:val="00CC0121"/>
    <w:rsid w:val="00CC0C62"/>
    <w:rsid w:val="00CC1794"/>
    <w:rsid w:val="00CC17F9"/>
    <w:rsid w:val="00CC249A"/>
    <w:rsid w:val="00CC267B"/>
    <w:rsid w:val="00CC30B3"/>
    <w:rsid w:val="00CC312A"/>
    <w:rsid w:val="00CC4CF4"/>
    <w:rsid w:val="00CC5433"/>
    <w:rsid w:val="00CC552E"/>
    <w:rsid w:val="00CC5D2A"/>
    <w:rsid w:val="00CC5DC3"/>
    <w:rsid w:val="00CC6673"/>
    <w:rsid w:val="00CC6A9E"/>
    <w:rsid w:val="00CC6DB0"/>
    <w:rsid w:val="00CC79F6"/>
    <w:rsid w:val="00CD0103"/>
    <w:rsid w:val="00CD1792"/>
    <w:rsid w:val="00CD184D"/>
    <w:rsid w:val="00CD18CB"/>
    <w:rsid w:val="00CD1F3C"/>
    <w:rsid w:val="00CD23A0"/>
    <w:rsid w:val="00CD51A8"/>
    <w:rsid w:val="00CD7666"/>
    <w:rsid w:val="00CE3BF3"/>
    <w:rsid w:val="00CE4B6F"/>
    <w:rsid w:val="00CE4B76"/>
    <w:rsid w:val="00CE5191"/>
    <w:rsid w:val="00CE5882"/>
    <w:rsid w:val="00CE6625"/>
    <w:rsid w:val="00CE743A"/>
    <w:rsid w:val="00CF0B45"/>
    <w:rsid w:val="00CF0CAD"/>
    <w:rsid w:val="00CF13B1"/>
    <w:rsid w:val="00CF27D6"/>
    <w:rsid w:val="00CF36FA"/>
    <w:rsid w:val="00CF3709"/>
    <w:rsid w:val="00CF40D8"/>
    <w:rsid w:val="00CF4B11"/>
    <w:rsid w:val="00CF5530"/>
    <w:rsid w:val="00CF5853"/>
    <w:rsid w:val="00CF6DB8"/>
    <w:rsid w:val="00D0200E"/>
    <w:rsid w:val="00D024A3"/>
    <w:rsid w:val="00D0435D"/>
    <w:rsid w:val="00D04467"/>
    <w:rsid w:val="00D05CEC"/>
    <w:rsid w:val="00D05D2F"/>
    <w:rsid w:val="00D062E3"/>
    <w:rsid w:val="00D079B6"/>
    <w:rsid w:val="00D108D9"/>
    <w:rsid w:val="00D10DE9"/>
    <w:rsid w:val="00D11531"/>
    <w:rsid w:val="00D1316E"/>
    <w:rsid w:val="00D13B6F"/>
    <w:rsid w:val="00D13EDA"/>
    <w:rsid w:val="00D143D5"/>
    <w:rsid w:val="00D15AC8"/>
    <w:rsid w:val="00D16AC6"/>
    <w:rsid w:val="00D171D4"/>
    <w:rsid w:val="00D178E0"/>
    <w:rsid w:val="00D20290"/>
    <w:rsid w:val="00D206B5"/>
    <w:rsid w:val="00D222CC"/>
    <w:rsid w:val="00D222F2"/>
    <w:rsid w:val="00D23119"/>
    <w:rsid w:val="00D2351A"/>
    <w:rsid w:val="00D24C11"/>
    <w:rsid w:val="00D25A10"/>
    <w:rsid w:val="00D25AC8"/>
    <w:rsid w:val="00D26C30"/>
    <w:rsid w:val="00D26FB0"/>
    <w:rsid w:val="00D270E7"/>
    <w:rsid w:val="00D27915"/>
    <w:rsid w:val="00D313AE"/>
    <w:rsid w:val="00D329EC"/>
    <w:rsid w:val="00D33907"/>
    <w:rsid w:val="00D33CAC"/>
    <w:rsid w:val="00D33DE0"/>
    <w:rsid w:val="00D3498A"/>
    <w:rsid w:val="00D34E61"/>
    <w:rsid w:val="00D361E8"/>
    <w:rsid w:val="00D36AB2"/>
    <w:rsid w:val="00D37511"/>
    <w:rsid w:val="00D379F4"/>
    <w:rsid w:val="00D37ABC"/>
    <w:rsid w:val="00D40268"/>
    <w:rsid w:val="00D40A34"/>
    <w:rsid w:val="00D40E94"/>
    <w:rsid w:val="00D413DB"/>
    <w:rsid w:val="00D41C55"/>
    <w:rsid w:val="00D426E4"/>
    <w:rsid w:val="00D4382D"/>
    <w:rsid w:val="00D44AC2"/>
    <w:rsid w:val="00D45F09"/>
    <w:rsid w:val="00D47528"/>
    <w:rsid w:val="00D479D4"/>
    <w:rsid w:val="00D47D51"/>
    <w:rsid w:val="00D50C49"/>
    <w:rsid w:val="00D50E21"/>
    <w:rsid w:val="00D51150"/>
    <w:rsid w:val="00D51723"/>
    <w:rsid w:val="00D51FED"/>
    <w:rsid w:val="00D53690"/>
    <w:rsid w:val="00D5472F"/>
    <w:rsid w:val="00D54838"/>
    <w:rsid w:val="00D5485D"/>
    <w:rsid w:val="00D55D64"/>
    <w:rsid w:val="00D5691E"/>
    <w:rsid w:val="00D57657"/>
    <w:rsid w:val="00D57BC8"/>
    <w:rsid w:val="00D60394"/>
    <w:rsid w:val="00D61095"/>
    <w:rsid w:val="00D61AB1"/>
    <w:rsid w:val="00D63B92"/>
    <w:rsid w:val="00D65061"/>
    <w:rsid w:val="00D6606F"/>
    <w:rsid w:val="00D662F1"/>
    <w:rsid w:val="00D667BB"/>
    <w:rsid w:val="00D6685E"/>
    <w:rsid w:val="00D66935"/>
    <w:rsid w:val="00D66F32"/>
    <w:rsid w:val="00D67595"/>
    <w:rsid w:val="00D67753"/>
    <w:rsid w:val="00D677D0"/>
    <w:rsid w:val="00D67E78"/>
    <w:rsid w:val="00D67F4B"/>
    <w:rsid w:val="00D707C8"/>
    <w:rsid w:val="00D70871"/>
    <w:rsid w:val="00D718FF"/>
    <w:rsid w:val="00D7250A"/>
    <w:rsid w:val="00D73AAC"/>
    <w:rsid w:val="00D73CD1"/>
    <w:rsid w:val="00D73E05"/>
    <w:rsid w:val="00D7476C"/>
    <w:rsid w:val="00D74944"/>
    <w:rsid w:val="00D74ACD"/>
    <w:rsid w:val="00D754B8"/>
    <w:rsid w:val="00D7596E"/>
    <w:rsid w:val="00D776EB"/>
    <w:rsid w:val="00D80179"/>
    <w:rsid w:val="00D801E3"/>
    <w:rsid w:val="00D805A4"/>
    <w:rsid w:val="00D80E5F"/>
    <w:rsid w:val="00D80F5D"/>
    <w:rsid w:val="00D8237C"/>
    <w:rsid w:val="00D826EC"/>
    <w:rsid w:val="00D83E27"/>
    <w:rsid w:val="00D8418A"/>
    <w:rsid w:val="00D8466E"/>
    <w:rsid w:val="00D847F4"/>
    <w:rsid w:val="00D84B5E"/>
    <w:rsid w:val="00D8712F"/>
    <w:rsid w:val="00D90BCE"/>
    <w:rsid w:val="00D92149"/>
    <w:rsid w:val="00D92277"/>
    <w:rsid w:val="00D92582"/>
    <w:rsid w:val="00D92956"/>
    <w:rsid w:val="00D96407"/>
    <w:rsid w:val="00D96601"/>
    <w:rsid w:val="00D97B65"/>
    <w:rsid w:val="00DA0626"/>
    <w:rsid w:val="00DA1735"/>
    <w:rsid w:val="00DA18AD"/>
    <w:rsid w:val="00DA2244"/>
    <w:rsid w:val="00DA3A72"/>
    <w:rsid w:val="00DA51F0"/>
    <w:rsid w:val="00DA59D0"/>
    <w:rsid w:val="00DA5E17"/>
    <w:rsid w:val="00DA7E9A"/>
    <w:rsid w:val="00DB0C88"/>
    <w:rsid w:val="00DB0D8C"/>
    <w:rsid w:val="00DB13BA"/>
    <w:rsid w:val="00DB1534"/>
    <w:rsid w:val="00DB1621"/>
    <w:rsid w:val="00DB4A95"/>
    <w:rsid w:val="00DB5DEB"/>
    <w:rsid w:val="00DB6AF0"/>
    <w:rsid w:val="00DB7F56"/>
    <w:rsid w:val="00DC11D8"/>
    <w:rsid w:val="00DC1356"/>
    <w:rsid w:val="00DC13B9"/>
    <w:rsid w:val="00DC1887"/>
    <w:rsid w:val="00DC19E8"/>
    <w:rsid w:val="00DC32F0"/>
    <w:rsid w:val="00DC3C55"/>
    <w:rsid w:val="00DC441E"/>
    <w:rsid w:val="00DC4C56"/>
    <w:rsid w:val="00DC682D"/>
    <w:rsid w:val="00DC6BDB"/>
    <w:rsid w:val="00DC7274"/>
    <w:rsid w:val="00DC749F"/>
    <w:rsid w:val="00DC7BC1"/>
    <w:rsid w:val="00DD0ECE"/>
    <w:rsid w:val="00DD13D2"/>
    <w:rsid w:val="00DD15A4"/>
    <w:rsid w:val="00DD1795"/>
    <w:rsid w:val="00DD19B5"/>
    <w:rsid w:val="00DD19C4"/>
    <w:rsid w:val="00DD2461"/>
    <w:rsid w:val="00DD24C1"/>
    <w:rsid w:val="00DD2CF8"/>
    <w:rsid w:val="00DD3158"/>
    <w:rsid w:val="00DD4158"/>
    <w:rsid w:val="00DD4999"/>
    <w:rsid w:val="00DD49BA"/>
    <w:rsid w:val="00DD55F5"/>
    <w:rsid w:val="00DD5695"/>
    <w:rsid w:val="00DD6422"/>
    <w:rsid w:val="00DD651B"/>
    <w:rsid w:val="00DD6E97"/>
    <w:rsid w:val="00DD72A0"/>
    <w:rsid w:val="00DD77C5"/>
    <w:rsid w:val="00DE1F51"/>
    <w:rsid w:val="00DE23FD"/>
    <w:rsid w:val="00DE3764"/>
    <w:rsid w:val="00DE4BFC"/>
    <w:rsid w:val="00DE5B25"/>
    <w:rsid w:val="00DE6371"/>
    <w:rsid w:val="00DE6795"/>
    <w:rsid w:val="00DE680D"/>
    <w:rsid w:val="00DE73B0"/>
    <w:rsid w:val="00DE7B22"/>
    <w:rsid w:val="00DF0F10"/>
    <w:rsid w:val="00DF1501"/>
    <w:rsid w:val="00DF16BF"/>
    <w:rsid w:val="00DF195B"/>
    <w:rsid w:val="00DF2215"/>
    <w:rsid w:val="00DF4424"/>
    <w:rsid w:val="00DF63E5"/>
    <w:rsid w:val="00DF7504"/>
    <w:rsid w:val="00DF7FFB"/>
    <w:rsid w:val="00E008BA"/>
    <w:rsid w:val="00E00BEC"/>
    <w:rsid w:val="00E012DA"/>
    <w:rsid w:val="00E0135F"/>
    <w:rsid w:val="00E02956"/>
    <w:rsid w:val="00E0365F"/>
    <w:rsid w:val="00E03682"/>
    <w:rsid w:val="00E047DA"/>
    <w:rsid w:val="00E04BE1"/>
    <w:rsid w:val="00E04DD7"/>
    <w:rsid w:val="00E05100"/>
    <w:rsid w:val="00E05E1C"/>
    <w:rsid w:val="00E1062A"/>
    <w:rsid w:val="00E10A1E"/>
    <w:rsid w:val="00E10FA5"/>
    <w:rsid w:val="00E11175"/>
    <w:rsid w:val="00E114E8"/>
    <w:rsid w:val="00E11844"/>
    <w:rsid w:val="00E136EA"/>
    <w:rsid w:val="00E14704"/>
    <w:rsid w:val="00E1490F"/>
    <w:rsid w:val="00E15100"/>
    <w:rsid w:val="00E15815"/>
    <w:rsid w:val="00E15F82"/>
    <w:rsid w:val="00E16148"/>
    <w:rsid w:val="00E16401"/>
    <w:rsid w:val="00E16838"/>
    <w:rsid w:val="00E16B6E"/>
    <w:rsid w:val="00E204BE"/>
    <w:rsid w:val="00E231D1"/>
    <w:rsid w:val="00E2408A"/>
    <w:rsid w:val="00E24331"/>
    <w:rsid w:val="00E24736"/>
    <w:rsid w:val="00E24835"/>
    <w:rsid w:val="00E252E1"/>
    <w:rsid w:val="00E2595B"/>
    <w:rsid w:val="00E25DCB"/>
    <w:rsid w:val="00E26978"/>
    <w:rsid w:val="00E26A00"/>
    <w:rsid w:val="00E273D3"/>
    <w:rsid w:val="00E30009"/>
    <w:rsid w:val="00E30C2C"/>
    <w:rsid w:val="00E31693"/>
    <w:rsid w:val="00E31A2F"/>
    <w:rsid w:val="00E33DF8"/>
    <w:rsid w:val="00E3423C"/>
    <w:rsid w:val="00E34DBD"/>
    <w:rsid w:val="00E3578D"/>
    <w:rsid w:val="00E36689"/>
    <w:rsid w:val="00E40242"/>
    <w:rsid w:val="00E40AD3"/>
    <w:rsid w:val="00E437C5"/>
    <w:rsid w:val="00E44332"/>
    <w:rsid w:val="00E4681C"/>
    <w:rsid w:val="00E473A7"/>
    <w:rsid w:val="00E50190"/>
    <w:rsid w:val="00E50AEF"/>
    <w:rsid w:val="00E5116B"/>
    <w:rsid w:val="00E53D49"/>
    <w:rsid w:val="00E554FA"/>
    <w:rsid w:val="00E559E9"/>
    <w:rsid w:val="00E56640"/>
    <w:rsid w:val="00E6057E"/>
    <w:rsid w:val="00E61067"/>
    <w:rsid w:val="00E61653"/>
    <w:rsid w:val="00E61A6C"/>
    <w:rsid w:val="00E622E2"/>
    <w:rsid w:val="00E62364"/>
    <w:rsid w:val="00E64465"/>
    <w:rsid w:val="00E659D2"/>
    <w:rsid w:val="00E66EE9"/>
    <w:rsid w:val="00E67332"/>
    <w:rsid w:val="00E673BF"/>
    <w:rsid w:val="00E72154"/>
    <w:rsid w:val="00E72B4C"/>
    <w:rsid w:val="00E74740"/>
    <w:rsid w:val="00E75007"/>
    <w:rsid w:val="00E75217"/>
    <w:rsid w:val="00E75366"/>
    <w:rsid w:val="00E76ADC"/>
    <w:rsid w:val="00E77304"/>
    <w:rsid w:val="00E8008D"/>
    <w:rsid w:val="00E802B6"/>
    <w:rsid w:val="00E80A20"/>
    <w:rsid w:val="00E80AD5"/>
    <w:rsid w:val="00E81873"/>
    <w:rsid w:val="00E82700"/>
    <w:rsid w:val="00E83DB6"/>
    <w:rsid w:val="00E840F5"/>
    <w:rsid w:val="00E84972"/>
    <w:rsid w:val="00E84D60"/>
    <w:rsid w:val="00E84E78"/>
    <w:rsid w:val="00E85BBD"/>
    <w:rsid w:val="00E8613A"/>
    <w:rsid w:val="00E86E5B"/>
    <w:rsid w:val="00E90478"/>
    <w:rsid w:val="00E93788"/>
    <w:rsid w:val="00E93824"/>
    <w:rsid w:val="00E9394A"/>
    <w:rsid w:val="00E94005"/>
    <w:rsid w:val="00E95057"/>
    <w:rsid w:val="00E9522C"/>
    <w:rsid w:val="00E9563E"/>
    <w:rsid w:val="00E961D6"/>
    <w:rsid w:val="00E96885"/>
    <w:rsid w:val="00E96CC0"/>
    <w:rsid w:val="00E96DBF"/>
    <w:rsid w:val="00E97F4D"/>
    <w:rsid w:val="00EA120C"/>
    <w:rsid w:val="00EA2D3C"/>
    <w:rsid w:val="00EA3AA7"/>
    <w:rsid w:val="00EA4295"/>
    <w:rsid w:val="00EA4EE6"/>
    <w:rsid w:val="00EA718E"/>
    <w:rsid w:val="00EA7A21"/>
    <w:rsid w:val="00EA7DCA"/>
    <w:rsid w:val="00EA7F0C"/>
    <w:rsid w:val="00EB0D93"/>
    <w:rsid w:val="00EB14C5"/>
    <w:rsid w:val="00EB3840"/>
    <w:rsid w:val="00EB3D29"/>
    <w:rsid w:val="00EB4C67"/>
    <w:rsid w:val="00EB57EE"/>
    <w:rsid w:val="00EB66EC"/>
    <w:rsid w:val="00EB749B"/>
    <w:rsid w:val="00EB7779"/>
    <w:rsid w:val="00EB7BEE"/>
    <w:rsid w:val="00EB7FD7"/>
    <w:rsid w:val="00EC15C5"/>
    <w:rsid w:val="00EC1CF9"/>
    <w:rsid w:val="00EC4D16"/>
    <w:rsid w:val="00EC4F25"/>
    <w:rsid w:val="00EC5317"/>
    <w:rsid w:val="00EC5619"/>
    <w:rsid w:val="00EC7786"/>
    <w:rsid w:val="00EC7FE1"/>
    <w:rsid w:val="00ED0CDB"/>
    <w:rsid w:val="00ED1EB7"/>
    <w:rsid w:val="00ED1F19"/>
    <w:rsid w:val="00ED1F5B"/>
    <w:rsid w:val="00ED225F"/>
    <w:rsid w:val="00ED3456"/>
    <w:rsid w:val="00ED3FCD"/>
    <w:rsid w:val="00ED48F9"/>
    <w:rsid w:val="00ED6721"/>
    <w:rsid w:val="00ED677B"/>
    <w:rsid w:val="00ED6F14"/>
    <w:rsid w:val="00ED758A"/>
    <w:rsid w:val="00ED7673"/>
    <w:rsid w:val="00EE01E0"/>
    <w:rsid w:val="00EE14E6"/>
    <w:rsid w:val="00EE19AA"/>
    <w:rsid w:val="00EE1F24"/>
    <w:rsid w:val="00EE2370"/>
    <w:rsid w:val="00EE2664"/>
    <w:rsid w:val="00EE296D"/>
    <w:rsid w:val="00EE356C"/>
    <w:rsid w:val="00EE4CBE"/>
    <w:rsid w:val="00EE55A7"/>
    <w:rsid w:val="00EE635D"/>
    <w:rsid w:val="00EE67BB"/>
    <w:rsid w:val="00EE6DDB"/>
    <w:rsid w:val="00EE7ED0"/>
    <w:rsid w:val="00EF15F4"/>
    <w:rsid w:val="00EF18EE"/>
    <w:rsid w:val="00EF20AB"/>
    <w:rsid w:val="00EF21D4"/>
    <w:rsid w:val="00EF47DF"/>
    <w:rsid w:val="00EF5964"/>
    <w:rsid w:val="00EF5D88"/>
    <w:rsid w:val="00EF6650"/>
    <w:rsid w:val="00EF6872"/>
    <w:rsid w:val="00EF7200"/>
    <w:rsid w:val="00EF7C10"/>
    <w:rsid w:val="00EF7F9A"/>
    <w:rsid w:val="00F00CD2"/>
    <w:rsid w:val="00F0148E"/>
    <w:rsid w:val="00F02317"/>
    <w:rsid w:val="00F025A6"/>
    <w:rsid w:val="00F02E75"/>
    <w:rsid w:val="00F03831"/>
    <w:rsid w:val="00F04285"/>
    <w:rsid w:val="00F04402"/>
    <w:rsid w:val="00F047C9"/>
    <w:rsid w:val="00F06184"/>
    <w:rsid w:val="00F06263"/>
    <w:rsid w:val="00F065E4"/>
    <w:rsid w:val="00F06702"/>
    <w:rsid w:val="00F0719B"/>
    <w:rsid w:val="00F07A95"/>
    <w:rsid w:val="00F07F78"/>
    <w:rsid w:val="00F11A70"/>
    <w:rsid w:val="00F121D8"/>
    <w:rsid w:val="00F121DC"/>
    <w:rsid w:val="00F130B0"/>
    <w:rsid w:val="00F134A6"/>
    <w:rsid w:val="00F13A87"/>
    <w:rsid w:val="00F14ABB"/>
    <w:rsid w:val="00F14DDD"/>
    <w:rsid w:val="00F15EE4"/>
    <w:rsid w:val="00F162D0"/>
    <w:rsid w:val="00F16FDB"/>
    <w:rsid w:val="00F17507"/>
    <w:rsid w:val="00F179AB"/>
    <w:rsid w:val="00F201CB"/>
    <w:rsid w:val="00F20975"/>
    <w:rsid w:val="00F22BCC"/>
    <w:rsid w:val="00F22CAE"/>
    <w:rsid w:val="00F22F48"/>
    <w:rsid w:val="00F241BF"/>
    <w:rsid w:val="00F243FE"/>
    <w:rsid w:val="00F24E36"/>
    <w:rsid w:val="00F258CC"/>
    <w:rsid w:val="00F26DAE"/>
    <w:rsid w:val="00F3066C"/>
    <w:rsid w:val="00F3154B"/>
    <w:rsid w:val="00F318B9"/>
    <w:rsid w:val="00F31985"/>
    <w:rsid w:val="00F319D4"/>
    <w:rsid w:val="00F31F9E"/>
    <w:rsid w:val="00F32B5A"/>
    <w:rsid w:val="00F36835"/>
    <w:rsid w:val="00F37360"/>
    <w:rsid w:val="00F378CE"/>
    <w:rsid w:val="00F4127A"/>
    <w:rsid w:val="00F42C87"/>
    <w:rsid w:val="00F43E7B"/>
    <w:rsid w:val="00F4551C"/>
    <w:rsid w:val="00F464F8"/>
    <w:rsid w:val="00F475DD"/>
    <w:rsid w:val="00F47794"/>
    <w:rsid w:val="00F50EFC"/>
    <w:rsid w:val="00F527AF"/>
    <w:rsid w:val="00F539CA"/>
    <w:rsid w:val="00F53C4D"/>
    <w:rsid w:val="00F53FAD"/>
    <w:rsid w:val="00F54B7F"/>
    <w:rsid w:val="00F55B6C"/>
    <w:rsid w:val="00F57F80"/>
    <w:rsid w:val="00F60094"/>
    <w:rsid w:val="00F624CF"/>
    <w:rsid w:val="00F6631A"/>
    <w:rsid w:val="00F66E5F"/>
    <w:rsid w:val="00F6753B"/>
    <w:rsid w:val="00F705B0"/>
    <w:rsid w:val="00F7064A"/>
    <w:rsid w:val="00F71B79"/>
    <w:rsid w:val="00F72F7B"/>
    <w:rsid w:val="00F73047"/>
    <w:rsid w:val="00F73282"/>
    <w:rsid w:val="00F73FB6"/>
    <w:rsid w:val="00F74BD7"/>
    <w:rsid w:val="00F75398"/>
    <w:rsid w:val="00F760B0"/>
    <w:rsid w:val="00F762AF"/>
    <w:rsid w:val="00F76487"/>
    <w:rsid w:val="00F77703"/>
    <w:rsid w:val="00F81E9B"/>
    <w:rsid w:val="00F81F86"/>
    <w:rsid w:val="00F828D2"/>
    <w:rsid w:val="00F84DE8"/>
    <w:rsid w:val="00F859AF"/>
    <w:rsid w:val="00F86013"/>
    <w:rsid w:val="00F86185"/>
    <w:rsid w:val="00F86B54"/>
    <w:rsid w:val="00F875CB"/>
    <w:rsid w:val="00F904B8"/>
    <w:rsid w:val="00F90A7E"/>
    <w:rsid w:val="00F919EC"/>
    <w:rsid w:val="00F92872"/>
    <w:rsid w:val="00F9632A"/>
    <w:rsid w:val="00FA0A8D"/>
    <w:rsid w:val="00FA15A9"/>
    <w:rsid w:val="00FA17B3"/>
    <w:rsid w:val="00FA1C68"/>
    <w:rsid w:val="00FA1D1C"/>
    <w:rsid w:val="00FA2DD6"/>
    <w:rsid w:val="00FA32EE"/>
    <w:rsid w:val="00FA33D6"/>
    <w:rsid w:val="00FA3A48"/>
    <w:rsid w:val="00FA4044"/>
    <w:rsid w:val="00FA4452"/>
    <w:rsid w:val="00FA4F1B"/>
    <w:rsid w:val="00FA58AE"/>
    <w:rsid w:val="00FA6E53"/>
    <w:rsid w:val="00FA71EC"/>
    <w:rsid w:val="00FB03FB"/>
    <w:rsid w:val="00FB0A66"/>
    <w:rsid w:val="00FB0BF6"/>
    <w:rsid w:val="00FB14A8"/>
    <w:rsid w:val="00FB20BE"/>
    <w:rsid w:val="00FB27F1"/>
    <w:rsid w:val="00FB3E4E"/>
    <w:rsid w:val="00FB3F6A"/>
    <w:rsid w:val="00FB3F95"/>
    <w:rsid w:val="00FB486D"/>
    <w:rsid w:val="00FB4935"/>
    <w:rsid w:val="00FB498B"/>
    <w:rsid w:val="00FB55A4"/>
    <w:rsid w:val="00FB6F11"/>
    <w:rsid w:val="00FB72F9"/>
    <w:rsid w:val="00FB7E5F"/>
    <w:rsid w:val="00FC1123"/>
    <w:rsid w:val="00FC1C53"/>
    <w:rsid w:val="00FC2686"/>
    <w:rsid w:val="00FC30B2"/>
    <w:rsid w:val="00FC435A"/>
    <w:rsid w:val="00FC5206"/>
    <w:rsid w:val="00FC5653"/>
    <w:rsid w:val="00FC68B4"/>
    <w:rsid w:val="00FD0413"/>
    <w:rsid w:val="00FD07FA"/>
    <w:rsid w:val="00FD2F62"/>
    <w:rsid w:val="00FD364E"/>
    <w:rsid w:val="00FD4353"/>
    <w:rsid w:val="00FD4BF2"/>
    <w:rsid w:val="00FD5DBB"/>
    <w:rsid w:val="00FD6F27"/>
    <w:rsid w:val="00FD75C1"/>
    <w:rsid w:val="00FE2501"/>
    <w:rsid w:val="00FE32DD"/>
    <w:rsid w:val="00FE436B"/>
    <w:rsid w:val="00FE4759"/>
    <w:rsid w:val="00FE4BF6"/>
    <w:rsid w:val="00FE4FAC"/>
    <w:rsid w:val="00FE5B3E"/>
    <w:rsid w:val="00FE5D89"/>
    <w:rsid w:val="00FE69BC"/>
    <w:rsid w:val="00FF0182"/>
    <w:rsid w:val="00FF080C"/>
    <w:rsid w:val="00FF1E58"/>
    <w:rsid w:val="00FF2F8F"/>
    <w:rsid w:val="00FF3132"/>
    <w:rsid w:val="00FF3279"/>
    <w:rsid w:val="00FF3FF7"/>
    <w:rsid w:val="00FF547A"/>
    <w:rsid w:val="01075BCF"/>
    <w:rsid w:val="01125654"/>
    <w:rsid w:val="01486C7D"/>
    <w:rsid w:val="01D638A6"/>
    <w:rsid w:val="01DD76B2"/>
    <w:rsid w:val="021D1D4F"/>
    <w:rsid w:val="02282ACE"/>
    <w:rsid w:val="02397060"/>
    <w:rsid w:val="02517E5C"/>
    <w:rsid w:val="02535DC6"/>
    <w:rsid w:val="02755F56"/>
    <w:rsid w:val="02D426E9"/>
    <w:rsid w:val="02D82428"/>
    <w:rsid w:val="02F6463E"/>
    <w:rsid w:val="033B1CCB"/>
    <w:rsid w:val="034D4E02"/>
    <w:rsid w:val="0364747B"/>
    <w:rsid w:val="037667F9"/>
    <w:rsid w:val="0399642A"/>
    <w:rsid w:val="03AE265E"/>
    <w:rsid w:val="03BB77A1"/>
    <w:rsid w:val="041651F4"/>
    <w:rsid w:val="04171C98"/>
    <w:rsid w:val="042F41E5"/>
    <w:rsid w:val="04472782"/>
    <w:rsid w:val="044B6764"/>
    <w:rsid w:val="04BF1860"/>
    <w:rsid w:val="04E26C71"/>
    <w:rsid w:val="05022274"/>
    <w:rsid w:val="05432A2F"/>
    <w:rsid w:val="05537D58"/>
    <w:rsid w:val="055D1F0C"/>
    <w:rsid w:val="057602A4"/>
    <w:rsid w:val="05F9716B"/>
    <w:rsid w:val="060A7D56"/>
    <w:rsid w:val="061B066C"/>
    <w:rsid w:val="0641364B"/>
    <w:rsid w:val="06415722"/>
    <w:rsid w:val="06481A1D"/>
    <w:rsid w:val="064A7F66"/>
    <w:rsid w:val="06641387"/>
    <w:rsid w:val="06B35C01"/>
    <w:rsid w:val="06F84B80"/>
    <w:rsid w:val="071579E5"/>
    <w:rsid w:val="071605BF"/>
    <w:rsid w:val="072307B7"/>
    <w:rsid w:val="075176D6"/>
    <w:rsid w:val="077945B1"/>
    <w:rsid w:val="07B35214"/>
    <w:rsid w:val="07D8498E"/>
    <w:rsid w:val="07DE24CD"/>
    <w:rsid w:val="07EF7A11"/>
    <w:rsid w:val="07F41CF0"/>
    <w:rsid w:val="083909B7"/>
    <w:rsid w:val="08403C42"/>
    <w:rsid w:val="084376AB"/>
    <w:rsid w:val="08494B4C"/>
    <w:rsid w:val="08517AA8"/>
    <w:rsid w:val="088A61B1"/>
    <w:rsid w:val="08A1590F"/>
    <w:rsid w:val="08D35893"/>
    <w:rsid w:val="08F301FA"/>
    <w:rsid w:val="09220B38"/>
    <w:rsid w:val="09252C19"/>
    <w:rsid w:val="092A73FE"/>
    <w:rsid w:val="093F4A8F"/>
    <w:rsid w:val="09603671"/>
    <w:rsid w:val="09635510"/>
    <w:rsid w:val="09890D0E"/>
    <w:rsid w:val="09A5514C"/>
    <w:rsid w:val="09D56F2C"/>
    <w:rsid w:val="09D92F4C"/>
    <w:rsid w:val="09E638BB"/>
    <w:rsid w:val="0A0F50C7"/>
    <w:rsid w:val="0A434869"/>
    <w:rsid w:val="0A68092A"/>
    <w:rsid w:val="0A6E1324"/>
    <w:rsid w:val="0AA618C2"/>
    <w:rsid w:val="0AFF2685"/>
    <w:rsid w:val="0B2C69E0"/>
    <w:rsid w:val="0B335CF7"/>
    <w:rsid w:val="0B3A783A"/>
    <w:rsid w:val="0B435507"/>
    <w:rsid w:val="0B500744"/>
    <w:rsid w:val="0B521368"/>
    <w:rsid w:val="0B7D5148"/>
    <w:rsid w:val="0BAA21FD"/>
    <w:rsid w:val="0BF5492D"/>
    <w:rsid w:val="0C367CEB"/>
    <w:rsid w:val="0C5F0936"/>
    <w:rsid w:val="0CF21003"/>
    <w:rsid w:val="0D05643B"/>
    <w:rsid w:val="0D214A6D"/>
    <w:rsid w:val="0D330BC5"/>
    <w:rsid w:val="0D386EFB"/>
    <w:rsid w:val="0D4064DF"/>
    <w:rsid w:val="0D572B2D"/>
    <w:rsid w:val="0D836BA1"/>
    <w:rsid w:val="0D98220E"/>
    <w:rsid w:val="0DF452EB"/>
    <w:rsid w:val="0E2F0180"/>
    <w:rsid w:val="0E422687"/>
    <w:rsid w:val="0E4C072E"/>
    <w:rsid w:val="0E9112CE"/>
    <w:rsid w:val="0EA7259B"/>
    <w:rsid w:val="0EE24651"/>
    <w:rsid w:val="0EFE43BA"/>
    <w:rsid w:val="0F063405"/>
    <w:rsid w:val="0F352373"/>
    <w:rsid w:val="0F557518"/>
    <w:rsid w:val="0F76258D"/>
    <w:rsid w:val="0FC87CEA"/>
    <w:rsid w:val="0FDC0A23"/>
    <w:rsid w:val="1004704F"/>
    <w:rsid w:val="10306EA8"/>
    <w:rsid w:val="10321A3A"/>
    <w:rsid w:val="1053703D"/>
    <w:rsid w:val="10765E24"/>
    <w:rsid w:val="10766D53"/>
    <w:rsid w:val="107B1DD2"/>
    <w:rsid w:val="109F13E1"/>
    <w:rsid w:val="10DE1D59"/>
    <w:rsid w:val="11010537"/>
    <w:rsid w:val="110F305C"/>
    <w:rsid w:val="11225E59"/>
    <w:rsid w:val="11323F23"/>
    <w:rsid w:val="116C21D3"/>
    <w:rsid w:val="11867E5D"/>
    <w:rsid w:val="118C09F0"/>
    <w:rsid w:val="11C40985"/>
    <w:rsid w:val="11F55AA0"/>
    <w:rsid w:val="121603F6"/>
    <w:rsid w:val="12260CF8"/>
    <w:rsid w:val="12370E8D"/>
    <w:rsid w:val="12422718"/>
    <w:rsid w:val="12C24B67"/>
    <w:rsid w:val="13051D7C"/>
    <w:rsid w:val="135F0966"/>
    <w:rsid w:val="13760E68"/>
    <w:rsid w:val="13893638"/>
    <w:rsid w:val="13975576"/>
    <w:rsid w:val="13B24A88"/>
    <w:rsid w:val="13CA5182"/>
    <w:rsid w:val="13CF716E"/>
    <w:rsid w:val="13D35C6C"/>
    <w:rsid w:val="13ED7D0B"/>
    <w:rsid w:val="13EE5BD7"/>
    <w:rsid w:val="14392782"/>
    <w:rsid w:val="144E75EC"/>
    <w:rsid w:val="146F5EF0"/>
    <w:rsid w:val="147246C9"/>
    <w:rsid w:val="148476E6"/>
    <w:rsid w:val="1490670C"/>
    <w:rsid w:val="149B4090"/>
    <w:rsid w:val="14A71A37"/>
    <w:rsid w:val="14AB3CAB"/>
    <w:rsid w:val="14AC7246"/>
    <w:rsid w:val="14BD3EF3"/>
    <w:rsid w:val="14C01A4D"/>
    <w:rsid w:val="14D01A0B"/>
    <w:rsid w:val="14E770F1"/>
    <w:rsid w:val="14F343FD"/>
    <w:rsid w:val="14F665EE"/>
    <w:rsid w:val="150324EE"/>
    <w:rsid w:val="153C5DD9"/>
    <w:rsid w:val="153D1D94"/>
    <w:rsid w:val="155803D9"/>
    <w:rsid w:val="15A454DE"/>
    <w:rsid w:val="16225C7A"/>
    <w:rsid w:val="163A6938"/>
    <w:rsid w:val="16473531"/>
    <w:rsid w:val="1664769B"/>
    <w:rsid w:val="166C7C0E"/>
    <w:rsid w:val="16772F40"/>
    <w:rsid w:val="16B90124"/>
    <w:rsid w:val="16C71AAA"/>
    <w:rsid w:val="16D90EA0"/>
    <w:rsid w:val="170C0DE1"/>
    <w:rsid w:val="17605122"/>
    <w:rsid w:val="17644989"/>
    <w:rsid w:val="177E76C1"/>
    <w:rsid w:val="17D53F72"/>
    <w:rsid w:val="17E82372"/>
    <w:rsid w:val="17F47BF7"/>
    <w:rsid w:val="17FD7CB1"/>
    <w:rsid w:val="182378A4"/>
    <w:rsid w:val="18304255"/>
    <w:rsid w:val="183949A3"/>
    <w:rsid w:val="184E167A"/>
    <w:rsid w:val="18631FFF"/>
    <w:rsid w:val="188C2C79"/>
    <w:rsid w:val="18994045"/>
    <w:rsid w:val="189F40D7"/>
    <w:rsid w:val="18A715D9"/>
    <w:rsid w:val="18BD2160"/>
    <w:rsid w:val="18E463E1"/>
    <w:rsid w:val="19010DAE"/>
    <w:rsid w:val="193F3207"/>
    <w:rsid w:val="19692A71"/>
    <w:rsid w:val="19B7492C"/>
    <w:rsid w:val="19C9427E"/>
    <w:rsid w:val="19CE67D8"/>
    <w:rsid w:val="19F97CC8"/>
    <w:rsid w:val="1A576957"/>
    <w:rsid w:val="1A7C541F"/>
    <w:rsid w:val="1AB84134"/>
    <w:rsid w:val="1ABC0FC6"/>
    <w:rsid w:val="1AD51F68"/>
    <w:rsid w:val="1B334C3C"/>
    <w:rsid w:val="1B7927E1"/>
    <w:rsid w:val="1B993A50"/>
    <w:rsid w:val="1BDF51EE"/>
    <w:rsid w:val="1BE87707"/>
    <w:rsid w:val="1BFB0711"/>
    <w:rsid w:val="1BFC2C46"/>
    <w:rsid w:val="1C025E88"/>
    <w:rsid w:val="1C2C344C"/>
    <w:rsid w:val="1C526A3F"/>
    <w:rsid w:val="1C5A5F01"/>
    <w:rsid w:val="1C5B6574"/>
    <w:rsid w:val="1C5F5931"/>
    <w:rsid w:val="1C6176BE"/>
    <w:rsid w:val="1C6A5225"/>
    <w:rsid w:val="1C9A471D"/>
    <w:rsid w:val="1D416F04"/>
    <w:rsid w:val="1D676015"/>
    <w:rsid w:val="1D8F3684"/>
    <w:rsid w:val="1D921C1E"/>
    <w:rsid w:val="1DCA0A85"/>
    <w:rsid w:val="1DDC7057"/>
    <w:rsid w:val="1DDD52AD"/>
    <w:rsid w:val="1DFD1C1E"/>
    <w:rsid w:val="1DFD2EE0"/>
    <w:rsid w:val="1E0C023E"/>
    <w:rsid w:val="1E2E5711"/>
    <w:rsid w:val="1E746588"/>
    <w:rsid w:val="1E9B2F32"/>
    <w:rsid w:val="1EAB0DBC"/>
    <w:rsid w:val="1EF70D44"/>
    <w:rsid w:val="1F7513F6"/>
    <w:rsid w:val="1FA9427F"/>
    <w:rsid w:val="1FBC2C9C"/>
    <w:rsid w:val="1FC14918"/>
    <w:rsid w:val="202076CF"/>
    <w:rsid w:val="203269B6"/>
    <w:rsid w:val="206B3A09"/>
    <w:rsid w:val="20CA604C"/>
    <w:rsid w:val="210E20A1"/>
    <w:rsid w:val="214B6943"/>
    <w:rsid w:val="217F72FA"/>
    <w:rsid w:val="21801F5D"/>
    <w:rsid w:val="218837E2"/>
    <w:rsid w:val="2191176F"/>
    <w:rsid w:val="22572CB3"/>
    <w:rsid w:val="22732647"/>
    <w:rsid w:val="2287729B"/>
    <w:rsid w:val="22C95D2C"/>
    <w:rsid w:val="22F73C11"/>
    <w:rsid w:val="239F4ECB"/>
    <w:rsid w:val="23AB195B"/>
    <w:rsid w:val="23C05426"/>
    <w:rsid w:val="23F42AE7"/>
    <w:rsid w:val="243876CA"/>
    <w:rsid w:val="245B2638"/>
    <w:rsid w:val="2464432F"/>
    <w:rsid w:val="246B154C"/>
    <w:rsid w:val="247415F9"/>
    <w:rsid w:val="24972973"/>
    <w:rsid w:val="24B83EA1"/>
    <w:rsid w:val="24D130F7"/>
    <w:rsid w:val="24EC7DDA"/>
    <w:rsid w:val="25003718"/>
    <w:rsid w:val="250749B9"/>
    <w:rsid w:val="25306FF2"/>
    <w:rsid w:val="253C34BF"/>
    <w:rsid w:val="25544914"/>
    <w:rsid w:val="256C4878"/>
    <w:rsid w:val="25D50C7D"/>
    <w:rsid w:val="25DA16B2"/>
    <w:rsid w:val="25E11C28"/>
    <w:rsid w:val="26327963"/>
    <w:rsid w:val="263D43B7"/>
    <w:rsid w:val="26481FAF"/>
    <w:rsid w:val="265B26B4"/>
    <w:rsid w:val="26632AEE"/>
    <w:rsid w:val="26B40B71"/>
    <w:rsid w:val="26B873DD"/>
    <w:rsid w:val="26C520B1"/>
    <w:rsid w:val="26CB6C26"/>
    <w:rsid w:val="26DA15D3"/>
    <w:rsid w:val="271F1EE2"/>
    <w:rsid w:val="272A4A5E"/>
    <w:rsid w:val="274030CE"/>
    <w:rsid w:val="27534C3D"/>
    <w:rsid w:val="27537FA8"/>
    <w:rsid w:val="27A0355B"/>
    <w:rsid w:val="27DD6EF4"/>
    <w:rsid w:val="280B47C0"/>
    <w:rsid w:val="281B6F79"/>
    <w:rsid w:val="2838400F"/>
    <w:rsid w:val="28397580"/>
    <w:rsid w:val="284B0CE8"/>
    <w:rsid w:val="28652CF4"/>
    <w:rsid w:val="28804B5A"/>
    <w:rsid w:val="28C17575"/>
    <w:rsid w:val="29135452"/>
    <w:rsid w:val="2927387C"/>
    <w:rsid w:val="292D2840"/>
    <w:rsid w:val="296C57B5"/>
    <w:rsid w:val="298955F8"/>
    <w:rsid w:val="299C33C3"/>
    <w:rsid w:val="29D754D3"/>
    <w:rsid w:val="2A037BA7"/>
    <w:rsid w:val="2A287A34"/>
    <w:rsid w:val="2A351D21"/>
    <w:rsid w:val="2A8C4F56"/>
    <w:rsid w:val="2A9E71D0"/>
    <w:rsid w:val="2ACB7461"/>
    <w:rsid w:val="2ADF3164"/>
    <w:rsid w:val="2B3260B1"/>
    <w:rsid w:val="2B61330F"/>
    <w:rsid w:val="2BB16AE2"/>
    <w:rsid w:val="2BD93B38"/>
    <w:rsid w:val="2C0E47C8"/>
    <w:rsid w:val="2C506C46"/>
    <w:rsid w:val="2C527457"/>
    <w:rsid w:val="2C70715D"/>
    <w:rsid w:val="2CC07BC8"/>
    <w:rsid w:val="2CDB4B07"/>
    <w:rsid w:val="2CEC3163"/>
    <w:rsid w:val="2CF02F60"/>
    <w:rsid w:val="2D087E61"/>
    <w:rsid w:val="2D4C0361"/>
    <w:rsid w:val="2DB25743"/>
    <w:rsid w:val="2DD51F9B"/>
    <w:rsid w:val="2DE16542"/>
    <w:rsid w:val="2DE83408"/>
    <w:rsid w:val="2DF901EF"/>
    <w:rsid w:val="2E12076E"/>
    <w:rsid w:val="2E2362DA"/>
    <w:rsid w:val="2E2731FB"/>
    <w:rsid w:val="2E360A87"/>
    <w:rsid w:val="2E615CDF"/>
    <w:rsid w:val="2E9B161E"/>
    <w:rsid w:val="2EBD44D2"/>
    <w:rsid w:val="2EC40DF2"/>
    <w:rsid w:val="2ECC2323"/>
    <w:rsid w:val="2EF4167B"/>
    <w:rsid w:val="2F0E69A5"/>
    <w:rsid w:val="2F184A75"/>
    <w:rsid w:val="2F2919D0"/>
    <w:rsid w:val="2F346939"/>
    <w:rsid w:val="2F361642"/>
    <w:rsid w:val="2F483B68"/>
    <w:rsid w:val="2F5C5CC3"/>
    <w:rsid w:val="2F606BE7"/>
    <w:rsid w:val="2F6A3317"/>
    <w:rsid w:val="2F6E21FC"/>
    <w:rsid w:val="2F7100B3"/>
    <w:rsid w:val="2F9177E3"/>
    <w:rsid w:val="2FA34F20"/>
    <w:rsid w:val="2FA572A9"/>
    <w:rsid w:val="2FD9504E"/>
    <w:rsid w:val="2FF60385"/>
    <w:rsid w:val="30084E3A"/>
    <w:rsid w:val="300B2375"/>
    <w:rsid w:val="303970BD"/>
    <w:rsid w:val="303A5719"/>
    <w:rsid w:val="303B665A"/>
    <w:rsid w:val="304C2229"/>
    <w:rsid w:val="305D0DED"/>
    <w:rsid w:val="309605D0"/>
    <w:rsid w:val="30AC5CDB"/>
    <w:rsid w:val="30B968C9"/>
    <w:rsid w:val="30C71C5F"/>
    <w:rsid w:val="30F73B34"/>
    <w:rsid w:val="312071B2"/>
    <w:rsid w:val="3152120E"/>
    <w:rsid w:val="31804AE5"/>
    <w:rsid w:val="324A0306"/>
    <w:rsid w:val="3273557A"/>
    <w:rsid w:val="32745651"/>
    <w:rsid w:val="327C4DBB"/>
    <w:rsid w:val="3290127C"/>
    <w:rsid w:val="32977DFB"/>
    <w:rsid w:val="32AC41B6"/>
    <w:rsid w:val="33487374"/>
    <w:rsid w:val="3369683F"/>
    <w:rsid w:val="338411F1"/>
    <w:rsid w:val="338B0EAB"/>
    <w:rsid w:val="33A77D3F"/>
    <w:rsid w:val="33B07547"/>
    <w:rsid w:val="33B86B08"/>
    <w:rsid w:val="34155C0A"/>
    <w:rsid w:val="341B46CA"/>
    <w:rsid w:val="341B4F41"/>
    <w:rsid w:val="342507CA"/>
    <w:rsid w:val="344D10D1"/>
    <w:rsid w:val="34585454"/>
    <w:rsid w:val="345F54D2"/>
    <w:rsid w:val="346A38DB"/>
    <w:rsid w:val="347B4A7C"/>
    <w:rsid w:val="34C32D37"/>
    <w:rsid w:val="34C86F04"/>
    <w:rsid w:val="34E82FA8"/>
    <w:rsid w:val="34F43D78"/>
    <w:rsid w:val="352E1AEE"/>
    <w:rsid w:val="353A040A"/>
    <w:rsid w:val="355C65C5"/>
    <w:rsid w:val="355F41C7"/>
    <w:rsid w:val="35DF7356"/>
    <w:rsid w:val="360F36CE"/>
    <w:rsid w:val="368154CF"/>
    <w:rsid w:val="36816EE7"/>
    <w:rsid w:val="3696710D"/>
    <w:rsid w:val="36CE3589"/>
    <w:rsid w:val="36E72EAA"/>
    <w:rsid w:val="36F04D77"/>
    <w:rsid w:val="37022B95"/>
    <w:rsid w:val="37406F91"/>
    <w:rsid w:val="37A8582F"/>
    <w:rsid w:val="37B0777F"/>
    <w:rsid w:val="37C4498C"/>
    <w:rsid w:val="37C75020"/>
    <w:rsid w:val="37CC745E"/>
    <w:rsid w:val="37FC4ED3"/>
    <w:rsid w:val="38514471"/>
    <w:rsid w:val="3881462B"/>
    <w:rsid w:val="38A04635"/>
    <w:rsid w:val="38AA195F"/>
    <w:rsid w:val="38FA514D"/>
    <w:rsid w:val="39077C38"/>
    <w:rsid w:val="391E173F"/>
    <w:rsid w:val="392E1D74"/>
    <w:rsid w:val="394B39F3"/>
    <w:rsid w:val="3951617D"/>
    <w:rsid w:val="39567866"/>
    <w:rsid w:val="395C1E67"/>
    <w:rsid w:val="395F26ED"/>
    <w:rsid w:val="396D0371"/>
    <w:rsid w:val="3984249C"/>
    <w:rsid w:val="398E45A1"/>
    <w:rsid w:val="398F35D0"/>
    <w:rsid w:val="39B527DE"/>
    <w:rsid w:val="39B77EFC"/>
    <w:rsid w:val="3A0917C2"/>
    <w:rsid w:val="3A0E0140"/>
    <w:rsid w:val="3A42532C"/>
    <w:rsid w:val="3A505EFA"/>
    <w:rsid w:val="3A6F6E31"/>
    <w:rsid w:val="3A8F604D"/>
    <w:rsid w:val="3ABE44EB"/>
    <w:rsid w:val="3AEE41FA"/>
    <w:rsid w:val="3AEF1D0C"/>
    <w:rsid w:val="3AF947CF"/>
    <w:rsid w:val="3B2A3382"/>
    <w:rsid w:val="3B31154E"/>
    <w:rsid w:val="3B73702B"/>
    <w:rsid w:val="3BA40D5C"/>
    <w:rsid w:val="3BA46004"/>
    <w:rsid w:val="3BB55334"/>
    <w:rsid w:val="3BC8280D"/>
    <w:rsid w:val="3BDD601C"/>
    <w:rsid w:val="3C153562"/>
    <w:rsid w:val="3C1E04CE"/>
    <w:rsid w:val="3C291705"/>
    <w:rsid w:val="3C3105D1"/>
    <w:rsid w:val="3C3105DA"/>
    <w:rsid w:val="3C496EB6"/>
    <w:rsid w:val="3C805255"/>
    <w:rsid w:val="3CA50F71"/>
    <w:rsid w:val="3CAF36AA"/>
    <w:rsid w:val="3CF45563"/>
    <w:rsid w:val="3CF8135F"/>
    <w:rsid w:val="3CF85D37"/>
    <w:rsid w:val="3D6F5D56"/>
    <w:rsid w:val="3D995894"/>
    <w:rsid w:val="3D9B4FF8"/>
    <w:rsid w:val="3DE468FA"/>
    <w:rsid w:val="3DF1587D"/>
    <w:rsid w:val="3E1B1F2C"/>
    <w:rsid w:val="3E1C1DDC"/>
    <w:rsid w:val="3E305AFA"/>
    <w:rsid w:val="3E3068D7"/>
    <w:rsid w:val="3E407E8E"/>
    <w:rsid w:val="3E4C4CA0"/>
    <w:rsid w:val="3E640889"/>
    <w:rsid w:val="3E9C44E1"/>
    <w:rsid w:val="3EF861A9"/>
    <w:rsid w:val="3F41712A"/>
    <w:rsid w:val="3F6F3A0E"/>
    <w:rsid w:val="3F8D5A65"/>
    <w:rsid w:val="3FAC42F5"/>
    <w:rsid w:val="3FB37745"/>
    <w:rsid w:val="3FDD1E6D"/>
    <w:rsid w:val="3FEA49B8"/>
    <w:rsid w:val="402E3A57"/>
    <w:rsid w:val="407B4B3A"/>
    <w:rsid w:val="40A05B7D"/>
    <w:rsid w:val="414A5732"/>
    <w:rsid w:val="414E7F5B"/>
    <w:rsid w:val="41522EB5"/>
    <w:rsid w:val="418543A2"/>
    <w:rsid w:val="418F5DD2"/>
    <w:rsid w:val="41924D0F"/>
    <w:rsid w:val="419B082E"/>
    <w:rsid w:val="41E4260C"/>
    <w:rsid w:val="41E573AD"/>
    <w:rsid w:val="425F2AE5"/>
    <w:rsid w:val="42982E87"/>
    <w:rsid w:val="42994958"/>
    <w:rsid w:val="42AA4D89"/>
    <w:rsid w:val="42B46AFE"/>
    <w:rsid w:val="42D135B0"/>
    <w:rsid w:val="42F77D1A"/>
    <w:rsid w:val="42FB56E1"/>
    <w:rsid w:val="43000F6E"/>
    <w:rsid w:val="43501B69"/>
    <w:rsid w:val="43850713"/>
    <w:rsid w:val="43863E28"/>
    <w:rsid w:val="43864FE1"/>
    <w:rsid w:val="439310F4"/>
    <w:rsid w:val="43970158"/>
    <w:rsid w:val="43DA2AAC"/>
    <w:rsid w:val="43FE4D82"/>
    <w:rsid w:val="44550F5C"/>
    <w:rsid w:val="44821808"/>
    <w:rsid w:val="4497145E"/>
    <w:rsid w:val="44AD5AC5"/>
    <w:rsid w:val="44E915E3"/>
    <w:rsid w:val="450D6E7A"/>
    <w:rsid w:val="451C5E07"/>
    <w:rsid w:val="452E77FE"/>
    <w:rsid w:val="4542321E"/>
    <w:rsid w:val="456B409C"/>
    <w:rsid w:val="456B6905"/>
    <w:rsid w:val="45821FBD"/>
    <w:rsid w:val="458E51F8"/>
    <w:rsid w:val="45EC7196"/>
    <w:rsid w:val="464246DB"/>
    <w:rsid w:val="46684F0D"/>
    <w:rsid w:val="466864F2"/>
    <w:rsid w:val="46834D19"/>
    <w:rsid w:val="468C20AE"/>
    <w:rsid w:val="4691169B"/>
    <w:rsid w:val="46DC3424"/>
    <w:rsid w:val="46DE01FD"/>
    <w:rsid w:val="46E92A8E"/>
    <w:rsid w:val="46F02871"/>
    <w:rsid w:val="47004588"/>
    <w:rsid w:val="470C5E5C"/>
    <w:rsid w:val="471103F8"/>
    <w:rsid w:val="475E0DDF"/>
    <w:rsid w:val="47873D2D"/>
    <w:rsid w:val="47CA7D9C"/>
    <w:rsid w:val="47D434D9"/>
    <w:rsid w:val="47DC215E"/>
    <w:rsid w:val="481D1427"/>
    <w:rsid w:val="48366EBC"/>
    <w:rsid w:val="48584DB6"/>
    <w:rsid w:val="485D1043"/>
    <w:rsid w:val="48677888"/>
    <w:rsid w:val="48867AAB"/>
    <w:rsid w:val="48944CDC"/>
    <w:rsid w:val="489675D1"/>
    <w:rsid w:val="48974795"/>
    <w:rsid w:val="48A169EB"/>
    <w:rsid w:val="48A56114"/>
    <w:rsid w:val="48C43662"/>
    <w:rsid w:val="48DA2590"/>
    <w:rsid w:val="49224B39"/>
    <w:rsid w:val="49387B02"/>
    <w:rsid w:val="49406236"/>
    <w:rsid w:val="49464848"/>
    <w:rsid w:val="49A10874"/>
    <w:rsid w:val="49A26E51"/>
    <w:rsid w:val="49A8047C"/>
    <w:rsid w:val="49A902C1"/>
    <w:rsid w:val="49FE0F8C"/>
    <w:rsid w:val="4A10240A"/>
    <w:rsid w:val="4A1D6071"/>
    <w:rsid w:val="4A232041"/>
    <w:rsid w:val="4A3B3C09"/>
    <w:rsid w:val="4A6327EB"/>
    <w:rsid w:val="4A736F9F"/>
    <w:rsid w:val="4ADA0199"/>
    <w:rsid w:val="4AEA3829"/>
    <w:rsid w:val="4B044FF3"/>
    <w:rsid w:val="4B400266"/>
    <w:rsid w:val="4B832D92"/>
    <w:rsid w:val="4B8C18FB"/>
    <w:rsid w:val="4B957717"/>
    <w:rsid w:val="4BAE17DB"/>
    <w:rsid w:val="4BB10299"/>
    <w:rsid w:val="4BB52448"/>
    <w:rsid w:val="4BC86EF9"/>
    <w:rsid w:val="4BCE1050"/>
    <w:rsid w:val="4BD15AC4"/>
    <w:rsid w:val="4BE92E51"/>
    <w:rsid w:val="4C137446"/>
    <w:rsid w:val="4C2352DB"/>
    <w:rsid w:val="4C50633F"/>
    <w:rsid w:val="4C7F4913"/>
    <w:rsid w:val="4C8D1398"/>
    <w:rsid w:val="4CBE61D2"/>
    <w:rsid w:val="4CCE5C39"/>
    <w:rsid w:val="4CD10FE2"/>
    <w:rsid w:val="4CD349CC"/>
    <w:rsid w:val="4CD431F5"/>
    <w:rsid w:val="4CFD1540"/>
    <w:rsid w:val="4D221AE1"/>
    <w:rsid w:val="4DC72B8B"/>
    <w:rsid w:val="4DCD2301"/>
    <w:rsid w:val="4DFE6C83"/>
    <w:rsid w:val="4E1111A7"/>
    <w:rsid w:val="4E2315B4"/>
    <w:rsid w:val="4E4E3612"/>
    <w:rsid w:val="4E88393A"/>
    <w:rsid w:val="4E883AF0"/>
    <w:rsid w:val="4EA211BD"/>
    <w:rsid w:val="4EF4597C"/>
    <w:rsid w:val="4F165675"/>
    <w:rsid w:val="4F50010F"/>
    <w:rsid w:val="4F647046"/>
    <w:rsid w:val="4F8A0F9E"/>
    <w:rsid w:val="4F9F665C"/>
    <w:rsid w:val="4FC94BB4"/>
    <w:rsid w:val="4FF14EC9"/>
    <w:rsid w:val="502529F1"/>
    <w:rsid w:val="50291D40"/>
    <w:rsid w:val="50646727"/>
    <w:rsid w:val="507F3C4C"/>
    <w:rsid w:val="50A36823"/>
    <w:rsid w:val="50E82CA8"/>
    <w:rsid w:val="50EA2180"/>
    <w:rsid w:val="50EA500B"/>
    <w:rsid w:val="50F814D6"/>
    <w:rsid w:val="51765F37"/>
    <w:rsid w:val="51813034"/>
    <w:rsid w:val="51A011F7"/>
    <w:rsid w:val="51E10B00"/>
    <w:rsid w:val="523803C8"/>
    <w:rsid w:val="52706961"/>
    <w:rsid w:val="527105C4"/>
    <w:rsid w:val="529B01D8"/>
    <w:rsid w:val="52A032D1"/>
    <w:rsid w:val="52E10EA1"/>
    <w:rsid w:val="52FC4B82"/>
    <w:rsid w:val="53385891"/>
    <w:rsid w:val="53873325"/>
    <w:rsid w:val="539D0113"/>
    <w:rsid w:val="53FB63A0"/>
    <w:rsid w:val="544B3EB0"/>
    <w:rsid w:val="54B934F6"/>
    <w:rsid w:val="54BD2E52"/>
    <w:rsid w:val="54FF0DFE"/>
    <w:rsid w:val="5503086A"/>
    <w:rsid w:val="550816C7"/>
    <w:rsid w:val="55674E7D"/>
    <w:rsid w:val="55874E19"/>
    <w:rsid w:val="558A1A37"/>
    <w:rsid w:val="558D716F"/>
    <w:rsid w:val="55AA03E8"/>
    <w:rsid w:val="55B368A5"/>
    <w:rsid w:val="55BA4D34"/>
    <w:rsid w:val="56094A0A"/>
    <w:rsid w:val="56215851"/>
    <w:rsid w:val="56DE1351"/>
    <w:rsid w:val="56FA0D87"/>
    <w:rsid w:val="56FC6C08"/>
    <w:rsid w:val="5700502F"/>
    <w:rsid w:val="572B56E4"/>
    <w:rsid w:val="573C5E95"/>
    <w:rsid w:val="573C71F5"/>
    <w:rsid w:val="574914EF"/>
    <w:rsid w:val="577A44B3"/>
    <w:rsid w:val="578F1872"/>
    <w:rsid w:val="57F47098"/>
    <w:rsid w:val="580B0EFB"/>
    <w:rsid w:val="588D5A69"/>
    <w:rsid w:val="58AA441B"/>
    <w:rsid w:val="58AB7F8B"/>
    <w:rsid w:val="58B92EDA"/>
    <w:rsid w:val="59011095"/>
    <w:rsid w:val="59065538"/>
    <w:rsid w:val="59592A0F"/>
    <w:rsid w:val="595D5032"/>
    <w:rsid w:val="59812680"/>
    <w:rsid w:val="59820A00"/>
    <w:rsid w:val="59923365"/>
    <w:rsid w:val="599A3B6B"/>
    <w:rsid w:val="59A76369"/>
    <w:rsid w:val="59AA7659"/>
    <w:rsid w:val="59AB3DF7"/>
    <w:rsid w:val="59D7465E"/>
    <w:rsid w:val="59E53268"/>
    <w:rsid w:val="59FE1A09"/>
    <w:rsid w:val="5A0A78B3"/>
    <w:rsid w:val="5A1304E7"/>
    <w:rsid w:val="5A166D9B"/>
    <w:rsid w:val="5A5055F2"/>
    <w:rsid w:val="5A6307F6"/>
    <w:rsid w:val="5A9F5A30"/>
    <w:rsid w:val="5AAF1546"/>
    <w:rsid w:val="5AB96F09"/>
    <w:rsid w:val="5ACD1339"/>
    <w:rsid w:val="5ADA6CE9"/>
    <w:rsid w:val="5AEE22F6"/>
    <w:rsid w:val="5B27237B"/>
    <w:rsid w:val="5B3277E1"/>
    <w:rsid w:val="5B363C77"/>
    <w:rsid w:val="5B4C11AD"/>
    <w:rsid w:val="5B5A66AB"/>
    <w:rsid w:val="5B5B5F86"/>
    <w:rsid w:val="5B821CFB"/>
    <w:rsid w:val="5B995664"/>
    <w:rsid w:val="5BDB25C8"/>
    <w:rsid w:val="5C08666E"/>
    <w:rsid w:val="5C1635AA"/>
    <w:rsid w:val="5C5F464B"/>
    <w:rsid w:val="5C687CED"/>
    <w:rsid w:val="5CCC1A69"/>
    <w:rsid w:val="5CE147F4"/>
    <w:rsid w:val="5CE40B61"/>
    <w:rsid w:val="5DA24FF7"/>
    <w:rsid w:val="5DB32151"/>
    <w:rsid w:val="5DE65640"/>
    <w:rsid w:val="5E1E2EBB"/>
    <w:rsid w:val="5E2479D6"/>
    <w:rsid w:val="5E293216"/>
    <w:rsid w:val="5E4C7240"/>
    <w:rsid w:val="5EAA3650"/>
    <w:rsid w:val="5EBD0AD4"/>
    <w:rsid w:val="5EED49F3"/>
    <w:rsid w:val="5F0647D6"/>
    <w:rsid w:val="5F4753F3"/>
    <w:rsid w:val="5F6B42B4"/>
    <w:rsid w:val="5F953C7A"/>
    <w:rsid w:val="5F9E00CD"/>
    <w:rsid w:val="5FAB1E0A"/>
    <w:rsid w:val="5FB213EA"/>
    <w:rsid w:val="5FC95D88"/>
    <w:rsid w:val="5FD52689"/>
    <w:rsid w:val="6023254D"/>
    <w:rsid w:val="60250158"/>
    <w:rsid w:val="603E67DA"/>
    <w:rsid w:val="6081177F"/>
    <w:rsid w:val="60C44EA2"/>
    <w:rsid w:val="60DB13D5"/>
    <w:rsid w:val="61204AFB"/>
    <w:rsid w:val="61230839"/>
    <w:rsid w:val="614D0012"/>
    <w:rsid w:val="61561952"/>
    <w:rsid w:val="61716E73"/>
    <w:rsid w:val="61724491"/>
    <w:rsid w:val="61850F57"/>
    <w:rsid w:val="61A11716"/>
    <w:rsid w:val="62475BA8"/>
    <w:rsid w:val="626B2AFF"/>
    <w:rsid w:val="627A5DFB"/>
    <w:rsid w:val="62BC5E59"/>
    <w:rsid w:val="62E80F92"/>
    <w:rsid w:val="62EB55CC"/>
    <w:rsid w:val="62F22528"/>
    <w:rsid w:val="63272B8E"/>
    <w:rsid w:val="633B489B"/>
    <w:rsid w:val="636E08CE"/>
    <w:rsid w:val="636F0714"/>
    <w:rsid w:val="639D18BA"/>
    <w:rsid w:val="63A33F79"/>
    <w:rsid w:val="63B16FEC"/>
    <w:rsid w:val="63B53257"/>
    <w:rsid w:val="63D97F65"/>
    <w:rsid w:val="64216408"/>
    <w:rsid w:val="64594EDC"/>
    <w:rsid w:val="64606A68"/>
    <w:rsid w:val="64730A47"/>
    <w:rsid w:val="64860F08"/>
    <w:rsid w:val="64B36E2B"/>
    <w:rsid w:val="64CD21AB"/>
    <w:rsid w:val="64D2357B"/>
    <w:rsid w:val="650A050E"/>
    <w:rsid w:val="65402FF4"/>
    <w:rsid w:val="654B041A"/>
    <w:rsid w:val="65530F79"/>
    <w:rsid w:val="6596108C"/>
    <w:rsid w:val="65BA529C"/>
    <w:rsid w:val="65C52709"/>
    <w:rsid w:val="65DB0A63"/>
    <w:rsid w:val="65EC4433"/>
    <w:rsid w:val="65F42170"/>
    <w:rsid w:val="65F83E57"/>
    <w:rsid w:val="662F1923"/>
    <w:rsid w:val="662F3F80"/>
    <w:rsid w:val="66323F6B"/>
    <w:rsid w:val="665D631A"/>
    <w:rsid w:val="667016B7"/>
    <w:rsid w:val="66B63154"/>
    <w:rsid w:val="66C25B0C"/>
    <w:rsid w:val="66CB2D0D"/>
    <w:rsid w:val="66CC6EA3"/>
    <w:rsid w:val="66F71345"/>
    <w:rsid w:val="6720039A"/>
    <w:rsid w:val="673103B4"/>
    <w:rsid w:val="67E620E3"/>
    <w:rsid w:val="67EC27B5"/>
    <w:rsid w:val="68E11A48"/>
    <w:rsid w:val="690F5F74"/>
    <w:rsid w:val="69897AB0"/>
    <w:rsid w:val="699A2F3C"/>
    <w:rsid w:val="69F91E6A"/>
    <w:rsid w:val="6A0546F8"/>
    <w:rsid w:val="6A281125"/>
    <w:rsid w:val="6A4A5BFE"/>
    <w:rsid w:val="6A647785"/>
    <w:rsid w:val="6A9E1F93"/>
    <w:rsid w:val="6AE107E3"/>
    <w:rsid w:val="6B16351C"/>
    <w:rsid w:val="6B237186"/>
    <w:rsid w:val="6B4757FD"/>
    <w:rsid w:val="6B5024D1"/>
    <w:rsid w:val="6B5544BE"/>
    <w:rsid w:val="6B673A57"/>
    <w:rsid w:val="6B703516"/>
    <w:rsid w:val="6C1F79C7"/>
    <w:rsid w:val="6C5B4C3B"/>
    <w:rsid w:val="6C68197F"/>
    <w:rsid w:val="6C964017"/>
    <w:rsid w:val="6CA95E8E"/>
    <w:rsid w:val="6CD8449D"/>
    <w:rsid w:val="6CE64FBD"/>
    <w:rsid w:val="6D52739D"/>
    <w:rsid w:val="6D7C1273"/>
    <w:rsid w:val="6D7D3711"/>
    <w:rsid w:val="6D847121"/>
    <w:rsid w:val="6DDD2C1A"/>
    <w:rsid w:val="6DE51A9A"/>
    <w:rsid w:val="6E0555FC"/>
    <w:rsid w:val="6E0978FA"/>
    <w:rsid w:val="6E1D7CE4"/>
    <w:rsid w:val="6E3073CA"/>
    <w:rsid w:val="6E335A77"/>
    <w:rsid w:val="6E3A26C1"/>
    <w:rsid w:val="6E7C64DF"/>
    <w:rsid w:val="6EA40C83"/>
    <w:rsid w:val="6EAF30A5"/>
    <w:rsid w:val="6EB50164"/>
    <w:rsid w:val="6ECD3F62"/>
    <w:rsid w:val="6EF84C0F"/>
    <w:rsid w:val="6EF92A6B"/>
    <w:rsid w:val="6F041EEE"/>
    <w:rsid w:val="6F5C0188"/>
    <w:rsid w:val="6FD44A65"/>
    <w:rsid w:val="6FEE6861"/>
    <w:rsid w:val="70146421"/>
    <w:rsid w:val="701D465E"/>
    <w:rsid w:val="70497D54"/>
    <w:rsid w:val="705E7B3C"/>
    <w:rsid w:val="7060454A"/>
    <w:rsid w:val="709233A6"/>
    <w:rsid w:val="70A42689"/>
    <w:rsid w:val="70BA2CE7"/>
    <w:rsid w:val="70D57A20"/>
    <w:rsid w:val="711D44A6"/>
    <w:rsid w:val="712D3679"/>
    <w:rsid w:val="71325C1A"/>
    <w:rsid w:val="71387473"/>
    <w:rsid w:val="716D4EC0"/>
    <w:rsid w:val="718801FD"/>
    <w:rsid w:val="71A00F4B"/>
    <w:rsid w:val="71B46975"/>
    <w:rsid w:val="71C32348"/>
    <w:rsid w:val="71C73400"/>
    <w:rsid w:val="71CD2C3F"/>
    <w:rsid w:val="71DE74B5"/>
    <w:rsid w:val="720517EC"/>
    <w:rsid w:val="723658EE"/>
    <w:rsid w:val="7279629F"/>
    <w:rsid w:val="72C86E8C"/>
    <w:rsid w:val="72DE56EC"/>
    <w:rsid w:val="72E30BF7"/>
    <w:rsid w:val="73050FCD"/>
    <w:rsid w:val="731678B0"/>
    <w:rsid w:val="73224E88"/>
    <w:rsid w:val="737A43CA"/>
    <w:rsid w:val="73C44E83"/>
    <w:rsid w:val="73DB7FD5"/>
    <w:rsid w:val="740C6EC3"/>
    <w:rsid w:val="74192A57"/>
    <w:rsid w:val="74291302"/>
    <w:rsid w:val="742B3FC5"/>
    <w:rsid w:val="74614E0E"/>
    <w:rsid w:val="74722A33"/>
    <w:rsid w:val="747D0B16"/>
    <w:rsid w:val="747F4E41"/>
    <w:rsid w:val="74CC7970"/>
    <w:rsid w:val="74F05B49"/>
    <w:rsid w:val="750E5B9D"/>
    <w:rsid w:val="751327F9"/>
    <w:rsid w:val="75600CBA"/>
    <w:rsid w:val="756D208F"/>
    <w:rsid w:val="757765BE"/>
    <w:rsid w:val="758229C0"/>
    <w:rsid w:val="758E26A4"/>
    <w:rsid w:val="75B039A9"/>
    <w:rsid w:val="75CB4B5C"/>
    <w:rsid w:val="76504308"/>
    <w:rsid w:val="768A574F"/>
    <w:rsid w:val="76F55C40"/>
    <w:rsid w:val="76F952B5"/>
    <w:rsid w:val="771564CE"/>
    <w:rsid w:val="77273711"/>
    <w:rsid w:val="77277B95"/>
    <w:rsid w:val="77713B72"/>
    <w:rsid w:val="77A12D3C"/>
    <w:rsid w:val="77A45665"/>
    <w:rsid w:val="77AE203F"/>
    <w:rsid w:val="77C65484"/>
    <w:rsid w:val="78311A55"/>
    <w:rsid w:val="784337E5"/>
    <w:rsid w:val="786055C7"/>
    <w:rsid w:val="78651F06"/>
    <w:rsid w:val="786748A1"/>
    <w:rsid w:val="78A441B8"/>
    <w:rsid w:val="78A55961"/>
    <w:rsid w:val="78AA0A59"/>
    <w:rsid w:val="78C66E97"/>
    <w:rsid w:val="78DA407B"/>
    <w:rsid w:val="78ED4486"/>
    <w:rsid w:val="790F4459"/>
    <w:rsid w:val="793C27A7"/>
    <w:rsid w:val="79407785"/>
    <w:rsid w:val="796551FB"/>
    <w:rsid w:val="79797662"/>
    <w:rsid w:val="79986B03"/>
    <w:rsid w:val="79A77101"/>
    <w:rsid w:val="79B853F7"/>
    <w:rsid w:val="79CB3E3E"/>
    <w:rsid w:val="79DF2984"/>
    <w:rsid w:val="7A291E51"/>
    <w:rsid w:val="7AA76504"/>
    <w:rsid w:val="7ACD4571"/>
    <w:rsid w:val="7AD13CA9"/>
    <w:rsid w:val="7B280CDE"/>
    <w:rsid w:val="7B2965AD"/>
    <w:rsid w:val="7B3266B9"/>
    <w:rsid w:val="7B3975B3"/>
    <w:rsid w:val="7B4101AD"/>
    <w:rsid w:val="7B8340DE"/>
    <w:rsid w:val="7B8A5305"/>
    <w:rsid w:val="7B9C6AA1"/>
    <w:rsid w:val="7BA63BE5"/>
    <w:rsid w:val="7BB95208"/>
    <w:rsid w:val="7BC15F99"/>
    <w:rsid w:val="7BE539AC"/>
    <w:rsid w:val="7BEA273E"/>
    <w:rsid w:val="7BEA640A"/>
    <w:rsid w:val="7C0F1BF0"/>
    <w:rsid w:val="7C3A5A70"/>
    <w:rsid w:val="7C3C2310"/>
    <w:rsid w:val="7C594C70"/>
    <w:rsid w:val="7C5D33C6"/>
    <w:rsid w:val="7CB401B2"/>
    <w:rsid w:val="7CBE6460"/>
    <w:rsid w:val="7CF026F2"/>
    <w:rsid w:val="7D222AE5"/>
    <w:rsid w:val="7D2A690E"/>
    <w:rsid w:val="7D434FAD"/>
    <w:rsid w:val="7D485404"/>
    <w:rsid w:val="7D795600"/>
    <w:rsid w:val="7D876E00"/>
    <w:rsid w:val="7DA02AF4"/>
    <w:rsid w:val="7DA43B39"/>
    <w:rsid w:val="7DB75391"/>
    <w:rsid w:val="7DD6693B"/>
    <w:rsid w:val="7DE84C60"/>
    <w:rsid w:val="7DF91B0E"/>
    <w:rsid w:val="7E05225A"/>
    <w:rsid w:val="7E094919"/>
    <w:rsid w:val="7E392747"/>
    <w:rsid w:val="7E562730"/>
    <w:rsid w:val="7E6B49F6"/>
    <w:rsid w:val="7E865EBE"/>
    <w:rsid w:val="7E8C2508"/>
    <w:rsid w:val="7ED122C0"/>
    <w:rsid w:val="7F0B7D77"/>
    <w:rsid w:val="7F0C421B"/>
    <w:rsid w:val="7F0D4C0A"/>
    <w:rsid w:val="7F1D68E0"/>
    <w:rsid w:val="7F695CCD"/>
    <w:rsid w:val="7F827F34"/>
    <w:rsid w:val="7FCE327F"/>
    <w:rsid w:val="7FDF1BD2"/>
    <w:rsid w:val="7FF330A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99" w:name="footnote text"/>
    <w:lsdException w:qFormat="1"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semiHidden="0" w:name="Balloon Text"/>
    <w:lsdException w:qFormat="1"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57"/>
    <w:autoRedefine/>
    <w:qFormat/>
    <w:uiPriority w:val="0"/>
    <w:pPr>
      <w:keepNext/>
      <w:outlineLvl w:val="0"/>
    </w:pPr>
    <w:rPr>
      <w:rFonts w:ascii="宋体"/>
      <w:sz w:val="28"/>
    </w:rPr>
  </w:style>
  <w:style w:type="paragraph" w:styleId="2">
    <w:name w:val="heading 2"/>
    <w:basedOn w:val="1"/>
    <w:next w:val="1"/>
    <w:link w:val="51"/>
    <w:autoRedefine/>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1"/>
    <w:autoRedefine/>
    <w:qFormat/>
    <w:uiPriority w:val="0"/>
    <w:pPr>
      <w:keepNext/>
      <w:keepLines/>
      <w:spacing w:before="260" w:after="260" w:line="413" w:lineRule="auto"/>
      <w:outlineLvl w:val="2"/>
    </w:pPr>
    <w:rPr>
      <w:b/>
      <w:bCs/>
      <w:sz w:val="32"/>
      <w:szCs w:val="32"/>
    </w:rPr>
  </w:style>
  <w:style w:type="paragraph" w:styleId="5">
    <w:name w:val="heading 4"/>
    <w:basedOn w:val="1"/>
    <w:next w:val="1"/>
    <w:autoRedefine/>
    <w:qFormat/>
    <w:uiPriority w:val="9"/>
    <w:pPr>
      <w:keepNext/>
      <w:keepLines/>
      <w:spacing w:before="280" w:after="290" w:line="376" w:lineRule="auto"/>
      <w:outlineLvl w:val="3"/>
    </w:pPr>
    <w:rPr>
      <w:rFonts w:ascii="Cambria" w:hAnsi="Cambria"/>
      <w:b/>
      <w:bCs/>
      <w:sz w:val="28"/>
      <w:szCs w:val="28"/>
    </w:rPr>
  </w:style>
  <w:style w:type="paragraph" w:styleId="6">
    <w:name w:val="heading 5"/>
    <w:basedOn w:val="1"/>
    <w:next w:val="1"/>
    <w:autoRedefine/>
    <w:unhideWhenUsed/>
    <w:qFormat/>
    <w:uiPriority w:val="0"/>
    <w:pPr>
      <w:ind w:left="380"/>
      <w:outlineLvl w:val="4"/>
    </w:pPr>
    <w:rPr>
      <w:rFonts w:ascii="仿宋" w:hAnsi="仿宋" w:eastAsia="仿宋" w:cs="仿宋"/>
      <w:b/>
      <w:bCs/>
      <w:sz w:val="24"/>
      <w:szCs w:val="24"/>
      <w:lang w:val="zh-CN" w:bidi="zh-CN"/>
    </w:rPr>
  </w:style>
  <w:style w:type="character" w:default="1" w:styleId="45">
    <w:name w:val="Default Paragraph Font"/>
    <w:autoRedefine/>
    <w:unhideWhenUsed/>
    <w:qFormat/>
    <w:uiPriority w:val="1"/>
  </w:style>
  <w:style w:type="table" w:default="1" w:styleId="43">
    <w:name w:val="Normal Table"/>
    <w:autoRedefine/>
    <w:unhideWhenUsed/>
    <w:qFormat/>
    <w:uiPriority w:val="99"/>
    <w:tblPr>
      <w:tblCellMar>
        <w:top w:w="0" w:type="dxa"/>
        <w:left w:w="108" w:type="dxa"/>
        <w:bottom w:w="0" w:type="dxa"/>
        <w:right w:w="108" w:type="dxa"/>
      </w:tblCellMar>
    </w:tblPr>
  </w:style>
  <w:style w:type="paragraph" w:styleId="7">
    <w:name w:val="List 3"/>
    <w:basedOn w:val="1"/>
    <w:autoRedefine/>
    <w:qFormat/>
    <w:uiPriority w:val="0"/>
    <w:pPr>
      <w:ind w:left="100" w:leftChars="400" w:hanging="200" w:hangingChars="200"/>
    </w:pPr>
  </w:style>
  <w:style w:type="paragraph" w:styleId="8">
    <w:name w:val="toc 7"/>
    <w:basedOn w:val="1"/>
    <w:next w:val="1"/>
    <w:autoRedefine/>
    <w:qFormat/>
    <w:uiPriority w:val="0"/>
    <w:pPr>
      <w:ind w:left="1260"/>
      <w:jc w:val="left"/>
    </w:pPr>
    <w:rPr>
      <w:rFonts w:asciiTheme="minorHAnsi" w:hAnsiTheme="minorHAnsi"/>
      <w:sz w:val="20"/>
    </w:rPr>
  </w:style>
  <w:style w:type="paragraph" w:styleId="9">
    <w:name w:val="Normal Indent"/>
    <w:basedOn w:val="1"/>
    <w:autoRedefine/>
    <w:qFormat/>
    <w:uiPriority w:val="99"/>
    <w:pPr>
      <w:ind w:firstLine="420" w:firstLineChars="200"/>
    </w:pPr>
    <w:rPr>
      <w:rFonts w:eastAsia="仿宋"/>
      <w:szCs w:val="24"/>
    </w:rPr>
  </w:style>
  <w:style w:type="paragraph" w:styleId="10">
    <w:name w:val="caption"/>
    <w:basedOn w:val="1"/>
    <w:next w:val="1"/>
    <w:autoRedefine/>
    <w:qFormat/>
    <w:uiPriority w:val="0"/>
    <w:rPr>
      <w:rFonts w:ascii="Arial" w:hAnsi="Arial" w:eastAsia="黑体" w:cs="Arial"/>
      <w:sz w:val="20"/>
    </w:rPr>
  </w:style>
  <w:style w:type="paragraph" w:styleId="11">
    <w:name w:val="Document Map"/>
    <w:basedOn w:val="1"/>
    <w:link w:val="55"/>
    <w:autoRedefine/>
    <w:unhideWhenUsed/>
    <w:qFormat/>
    <w:uiPriority w:val="99"/>
    <w:rPr>
      <w:rFonts w:ascii="宋体"/>
      <w:sz w:val="18"/>
      <w:szCs w:val="18"/>
    </w:rPr>
  </w:style>
  <w:style w:type="paragraph" w:styleId="12">
    <w:name w:val="annotation text"/>
    <w:basedOn w:val="1"/>
    <w:link w:val="68"/>
    <w:autoRedefine/>
    <w:unhideWhenUsed/>
    <w:qFormat/>
    <w:uiPriority w:val="99"/>
    <w:pPr>
      <w:jc w:val="left"/>
    </w:pPr>
  </w:style>
  <w:style w:type="paragraph" w:styleId="13">
    <w:name w:val="Body Text 3"/>
    <w:basedOn w:val="1"/>
    <w:next w:val="1"/>
    <w:autoRedefine/>
    <w:qFormat/>
    <w:uiPriority w:val="0"/>
    <w:rPr>
      <w:rFonts w:eastAsia="黑体"/>
      <w:kern w:val="0"/>
      <w:sz w:val="16"/>
      <w:szCs w:val="20"/>
    </w:rPr>
  </w:style>
  <w:style w:type="paragraph" w:styleId="14">
    <w:name w:val="Body Text"/>
    <w:basedOn w:val="1"/>
    <w:next w:val="13"/>
    <w:autoRedefine/>
    <w:qFormat/>
    <w:uiPriority w:val="0"/>
    <w:pPr>
      <w:spacing w:after="120"/>
    </w:pPr>
  </w:style>
  <w:style w:type="paragraph" w:styleId="15">
    <w:name w:val="Body Text Indent"/>
    <w:basedOn w:val="1"/>
    <w:autoRedefine/>
    <w:qFormat/>
    <w:uiPriority w:val="0"/>
    <w:pPr>
      <w:autoSpaceDE w:val="0"/>
      <w:autoSpaceDN w:val="0"/>
      <w:adjustRightInd w:val="0"/>
      <w:spacing w:line="360" w:lineRule="auto"/>
      <w:ind w:firstLine="480"/>
      <w:jc w:val="left"/>
    </w:pPr>
    <w:rPr>
      <w:rFonts w:ascii="宋体" w:hAnsi="宋体"/>
      <w:kern w:val="0"/>
      <w:sz w:val="24"/>
    </w:rPr>
  </w:style>
  <w:style w:type="paragraph" w:styleId="16">
    <w:name w:val="List 2"/>
    <w:basedOn w:val="1"/>
    <w:autoRedefine/>
    <w:qFormat/>
    <w:uiPriority w:val="0"/>
    <w:pPr>
      <w:ind w:left="100" w:leftChars="200" w:hanging="200" w:hangingChars="200"/>
    </w:pPr>
  </w:style>
  <w:style w:type="paragraph" w:styleId="17">
    <w:name w:val="List Continue"/>
    <w:basedOn w:val="1"/>
    <w:autoRedefine/>
    <w:qFormat/>
    <w:uiPriority w:val="0"/>
    <w:pPr>
      <w:spacing w:after="120"/>
      <w:ind w:left="420" w:leftChars="200"/>
    </w:pPr>
  </w:style>
  <w:style w:type="paragraph" w:styleId="18">
    <w:name w:val="toc 5"/>
    <w:basedOn w:val="1"/>
    <w:next w:val="1"/>
    <w:autoRedefine/>
    <w:qFormat/>
    <w:uiPriority w:val="0"/>
    <w:pPr>
      <w:ind w:left="840"/>
      <w:jc w:val="left"/>
    </w:pPr>
    <w:rPr>
      <w:rFonts w:asciiTheme="minorHAnsi" w:hAnsiTheme="minorHAnsi"/>
      <w:sz w:val="20"/>
    </w:rPr>
  </w:style>
  <w:style w:type="paragraph" w:styleId="19">
    <w:name w:val="toc 3"/>
    <w:basedOn w:val="1"/>
    <w:next w:val="1"/>
    <w:autoRedefine/>
    <w:qFormat/>
    <w:uiPriority w:val="39"/>
    <w:pPr>
      <w:ind w:left="420"/>
      <w:jc w:val="left"/>
    </w:pPr>
    <w:rPr>
      <w:rFonts w:asciiTheme="minorHAnsi" w:hAnsiTheme="minorHAnsi"/>
      <w:sz w:val="20"/>
    </w:rPr>
  </w:style>
  <w:style w:type="paragraph" w:styleId="20">
    <w:name w:val="Plain Text"/>
    <w:basedOn w:val="1"/>
    <w:autoRedefine/>
    <w:qFormat/>
    <w:uiPriority w:val="0"/>
    <w:rPr>
      <w:rFonts w:ascii="宋体" w:hAnsi="Courier New"/>
      <w:szCs w:val="22"/>
    </w:rPr>
  </w:style>
  <w:style w:type="paragraph" w:styleId="21">
    <w:name w:val="toc 8"/>
    <w:basedOn w:val="1"/>
    <w:next w:val="1"/>
    <w:autoRedefine/>
    <w:qFormat/>
    <w:uiPriority w:val="0"/>
    <w:pPr>
      <w:ind w:left="1470"/>
      <w:jc w:val="left"/>
    </w:pPr>
    <w:rPr>
      <w:rFonts w:asciiTheme="minorHAnsi" w:hAnsiTheme="minorHAnsi"/>
      <w:sz w:val="20"/>
    </w:rPr>
  </w:style>
  <w:style w:type="paragraph" w:styleId="22">
    <w:name w:val="Date"/>
    <w:basedOn w:val="1"/>
    <w:next w:val="1"/>
    <w:link w:val="54"/>
    <w:autoRedefine/>
    <w:qFormat/>
    <w:uiPriority w:val="0"/>
    <w:rPr>
      <w:sz w:val="28"/>
    </w:rPr>
  </w:style>
  <w:style w:type="paragraph" w:styleId="23">
    <w:name w:val="Body Text Indent 2"/>
    <w:basedOn w:val="1"/>
    <w:autoRedefine/>
    <w:qFormat/>
    <w:uiPriority w:val="0"/>
    <w:pPr>
      <w:spacing w:after="120" w:line="480" w:lineRule="auto"/>
      <w:ind w:left="420" w:leftChars="200"/>
    </w:pPr>
  </w:style>
  <w:style w:type="paragraph" w:styleId="24">
    <w:name w:val="Balloon Text"/>
    <w:basedOn w:val="1"/>
    <w:autoRedefine/>
    <w:qFormat/>
    <w:uiPriority w:val="0"/>
    <w:rPr>
      <w:sz w:val="18"/>
      <w:szCs w:val="18"/>
    </w:rPr>
  </w:style>
  <w:style w:type="paragraph" w:styleId="25">
    <w:name w:val="footer"/>
    <w:basedOn w:val="1"/>
    <w:link w:val="52"/>
    <w:autoRedefine/>
    <w:qFormat/>
    <w:uiPriority w:val="99"/>
    <w:pPr>
      <w:tabs>
        <w:tab w:val="center" w:pos="4153"/>
        <w:tab w:val="right" w:pos="8306"/>
      </w:tabs>
      <w:snapToGrid w:val="0"/>
      <w:jc w:val="left"/>
    </w:pPr>
    <w:rPr>
      <w:sz w:val="18"/>
    </w:rPr>
  </w:style>
  <w:style w:type="paragraph" w:styleId="26">
    <w:name w:val="header"/>
    <w:basedOn w:val="1"/>
    <w:link w:val="53"/>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sz w:val="18"/>
      <w:szCs w:val="18"/>
    </w:rPr>
  </w:style>
  <w:style w:type="paragraph" w:styleId="27">
    <w:name w:val="toc 1"/>
    <w:basedOn w:val="1"/>
    <w:next w:val="1"/>
    <w:autoRedefine/>
    <w:qFormat/>
    <w:uiPriority w:val="39"/>
    <w:pPr>
      <w:spacing w:before="240" w:after="120"/>
      <w:jc w:val="left"/>
    </w:pPr>
    <w:rPr>
      <w:rFonts w:asciiTheme="minorHAnsi" w:hAnsiTheme="minorHAnsi"/>
      <w:b/>
      <w:bCs/>
      <w:sz w:val="20"/>
    </w:rPr>
  </w:style>
  <w:style w:type="paragraph" w:styleId="28">
    <w:name w:val="toc 4"/>
    <w:basedOn w:val="1"/>
    <w:next w:val="1"/>
    <w:autoRedefine/>
    <w:qFormat/>
    <w:uiPriority w:val="0"/>
    <w:pPr>
      <w:ind w:left="630"/>
      <w:jc w:val="left"/>
    </w:pPr>
    <w:rPr>
      <w:rFonts w:asciiTheme="minorHAnsi" w:hAnsiTheme="minorHAnsi"/>
      <w:sz w:val="20"/>
    </w:rPr>
  </w:style>
  <w:style w:type="paragraph" w:styleId="29">
    <w:name w:val="Subtitle"/>
    <w:basedOn w:val="1"/>
    <w:next w:val="1"/>
    <w:link w:val="56"/>
    <w:autoRedefine/>
    <w:qFormat/>
    <w:uiPriority w:val="11"/>
    <w:pPr>
      <w:spacing w:before="240" w:after="60" w:line="312" w:lineRule="auto"/>
      <w:jc w:val="center"/>
      <w:outlineLvl w:val="1"/>
    </w:pPr>
    <w:rPr>
      <w:rFonts w:ascii="Cambria" w:hAnsi="Cambria"/>
      <w:b/>
      <w:bCs/>
      <w:kern w:val="28"/>
      <w:sz w:val="32"/>
      <w:szCs w:val="32"/>
    </w:rPr>
  </w:style>
  <w:style w:type="paragraph" w:styleId="30">
    <w:name w:val="List"/>
    <w:basedOn w:val="1"/>
    <w:autoRedefine/>
    <w:qFormat/>
    <w:uiPriority w:val="0"/>
    <w:pPr>
      <w:ind w:left="200" w:hanging="200" w:hangingChars="200"/>
    </w:pPr>
  </w:style>
  <w:style w:type="paragraph" w:styleId="31">
    <w:name w:val="toc 6"/>
    <w:basedOn w:val="1"/>
    <w:next w:val="1"/>
    <w:autoRedefine/>
    <w:qFormat/>
    <w:uiPriority w:val="0"/>
    <w:pPr>
      <w:ind w:left="1050"/>
      <w:jc w:val="left"/>
    </w:pPr>
    <w:rPr>
      <w:rFonts w:asciiTheme="minorHAnsi" w:hAnsiTheme="minorHAnsi"/>
      <w:sz w:val="20"/>
    </w:rPr>
  </w:style>
  <w:style w:type="paragraph" w:styleId="32">
    <w:name w:val="List 5"/>
    <w:basedOn w:val="1"/>
    <w:autoRedefine/>
    <w:qFormat/>
    <w:uiPriority w:val="0"/>
    <w:pPr>
      <w:ind w:left="100" w:leftChars="800" w:hanging="200" w:hangingChars="200"/>
    </w:pPr>
  </w:style>
  <w:style w:type="paragraph" w:styleId="33">
    <w:name w:val="toc 2"/>
    <w:basedOn w:val="1"/>
    <w:next w:val="1"/>
    <w:autoRedefine/>
    <w:qFormat/>
    <w:uiPriority w:val="39"/>
    <w:pPr>
      <w:spacing w:before="120"/>
      <w:ind w:firstLine="200" w:firstLineChars="200"/>
      <w:jc w:val="left"/>
    </w:pPr>
    <w:rPr>
      <w:rFonts w:asciiTheme="minorHAnsi" w:hAnsiTheme="minorHAnsi"/>
      <w:i/>
      <w:iCs/>
      <w:sz w:val="20"/>
    </w:rPr>
  </w:style>
  <w:style w:type="paragraph" w:styleId="34">
    <w:name w:val="toc 9"/>
    <w:basedOn w:val="1"/>
    <w:next w:val="1"/>
    <w:autoRedefine/>
    <w:qFormat/>
    <w:uiPriority w:val="0"/>
    <w:pPr>
      <w:ind w:left="1680"/>
      <w:jc w:val="left"/>
    </w:pPr>
    <w:rPr>
      <w:rFonts w:asciiTheme="minorHAnsi" w:hAnsiTheme="minorHAnsi"/>
      <w:sz w:val="20"/>
    </w:rPr>
  </w:style>
  <w:style w:type="paragraph" w:styleId="35">
    <w:name w:val="List 4"/>
    <w:basedOn w:val="1"/>
    <w:autoRedefine/>
    <w:qFormat/>
    <w:uiPriority w:val="0"/>
    <w:pPr>
      <w:ind w:left="100" w:leftChars="600" w:hanging="200" w:hangingChars="200"/>
    </w:pPr>
  </w:style>
  <w:style w:type="paragraph" w:styleId="36">
    <w:name w:val="List Continue 2"/>
    <w:basedOn w:val="1"/>
    <w:autoRedefine/>
    <w:qFormat/>
    <w:uiPriority w:val="0"/>
    <w:pPr>
      <w:spacing w:after="120"/>
      <w:ind w:left="840" w:leftChars="400"/>
    </w:p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38">
    <w:name w:val="List Continue 3"/>
    <w:basedOn w:val="1"/>
    <w:autoRedefine/>
    <w:qFormat/>
    <w:uiPriority w:val="0"/>
    <w:pPr>
      <w:spacing w:after="120"/>
      <w:ind w:left="1260" w:leftChars="600"/>
    </w:pPr>
  </w:style>
  <w:style w:type="paragraph" w:styleId="39">
    <w:name w:val="Title"/>
    <w:basedOn w:val="1"/>
    <w:next w:val="1"/>
    <w:autoRedefine/>
    <w:qFormat/>
    <w:uiPriority w:val="10"/>
    <w:pPr>
      <w:spacing w:before="240"/>
      <w:jc w:val="center"/>
      <w:outlineLvl w:val="0"/>
    </w:pPr>
    <w:rPr>
      <w:rFonts w:ascii="Cambria" w:hAnsi="Cambria" w:eastAsia="黑体"/>
      <w:b/>
      <w:bCs/>
      <w:sz w:val="36"/>
      <w:szCs w:val="32"/>
    </w:rPr>
  </w:style>
  <w:style w:type="paragraph" w:styleId="40">
    <w:name w:val="annotation subject"/>
    <w:basedOn w:val="12"/>
    <w:next w:val="12"/>
    <w:link w:val="69"/>
    <w:autoRedefine/>
    <w:unhideWhenUsed/>
    <w:qFormat/>
    <w:uiPriority w:val="99"/>
    <w:rPr>
      <w:b/>
      <w:bCs/>
    </w:rPr>
  </w:style>
  <w:style w:type="paragraph" w:styleId="41">
    <w:name w:val="Body Text First Indent"/>
    <w:basedOn w:val="14"/>
    <w:next w:val="42"/>
    <w:autoRedefine/>
    <w:qFormat/>
    <w:uiPriority w:val="0"/>
    <w:pPr>
      <w:ind w:firstLine="420" w:firstLineChars="100"/>
    </w:pPr>
  </w:style>
  <w:style w:type="paragraph" w:styleId="42">
    <w:name w:val="Body Text First Indent 2"/>
    <w:basedOn w:val="15"/>
    <w:autoRedefine/>
    <w:qFormat/>
    <w:uiPriority w:val="0"/>
    <w:pPr>
      <w:autoSpaceDE/>
      <w:autoSpaceDN/>
      <w:adjustRightInd/>
      <w:spacing w:after="120" w:line="240" w:lineRule="auto"/>
      <w:ind w:left="420" w:leftChars="200" w:firstLine="420" w:firstLineChars="200"/>
      <w:jc w:val="both"/>
    </w:pPr>
    <w:rPr>
      <w:rFonts w:ascii="Times New Roman" w:hAnsi="Times New Roman"/>
      <w:kern w:val="2"/>
      <w:sz w:val="21"/>
    </w:rPr>
  </w:style>
  <w:style w:type="table" w:styleId="44">
    <w:name w:val="Table Grid"/>
    <w:basedOn w:val="4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6">
    <w:name w:val="Strong"/>
    <w:basedOn w:val="45"/>
    <w:autoRedefine/>
    <w:qFormat/>
    <w:uiPriority w:val="22"/>
    <w:rPr>
      <w:b/>
      <w:bCs/>
    </w:rPr>
  </w:style>
  <w:style w:type="character" w:styleId="47">
    <w:name w:val="page number"/>
    <w:basedOn w:val="45"/>
    <w:autoRedefine/>
    <w:qFormat/>
    <w:uiPriority w:val="0"/>
  </w:style>
  <w:style w:type="character" w:styleId="48">
    <w:name w:val="Hyperlink"/>
    <w:basedOn w:val="45"/>
    <w:autoRedefine/>
    <w:qFormat/>
    <w:uiPriority w:val="99"/>
    <w:rPr>
      <w:color w:val="0000FF"/>
      <w:u w:val="single"/>
    </w:rPr>
  </w:style>
  <w:style w:type="character" w:styleId="49">
    <w:name w:val="annotation reference"/>
    <w:basedOn w:val="45"/>
    <w:autoRedefine/>
    <w:unhideWhenUsed/>
    <w:qFormat/>
    <w:uiPriority w:val="99"/>
    <w:rPr>
      <w:sz w:val="21"/>
      <w:szCs w:val="21"/>
    </w:rPr>
  </w:style>
  <w:style w:type="paragraph" w:customStyle="1" w:styleId="50">
    <w:name w:val="toc 34"/>
    <w:next w:val="1"/>
    <w:autoRedefine/>
    <w:qFormat/>
    <w:uiPriority w:val="0"/>
    <w:pPr>
      <w:wordWrap w:val="0"/>
      <w:ind w:left="850"/>
      <w:jc w:val="both"/>
    </w:pPr>
    <w:rPr>
      <w:rFonts w:ascii="Times New Roman" w:hAnsi="Times New Roman" w:eastAsia="宋体" w:cs="Times New Roman"/>
      <w:sz w:val="21"/>
      <w:lang w:val="en-US" w:eastAsia="zh-CN" w:bidi="ar-SA"/>
    </w:rPr>
  </w:style>
  <w:style w:type="character" w:customStyle="1" w:styleId="51">
    <w:name w:val="标题 2 Char"/>
    <w:link w:val="2"/>
    <w:autoRedefine/>
    <w:qFormat/>
    <w:uiPriority w:val="0"/>
    <w:rPr>
      <w:rFonts w:ascii="Arial" w:hAnsi="Arial" w:eastAsia="黑体"/>
      <w:b/>
      <w:bCs/>
      <w:kern w:val="2"/>
      <w:sz w:val="32"/>
      <w:szCs w:val="32"/>
      <w:lang w:val="en-US" w:eastAsia="zh-CN" w:bidi="ar-SA"/>
    </w:rPr>
  </w:style>
  <w:style w:type="character" w:customStyle="1" w:styleId="52">
    <w:name w:val="页脚 Char"/>
    <w:link w:val="25"/>
    <w:autoRedefine/>
    <w:qFormat/>
    <w:uiPriority w:val="99"/>
    <w:rPr>
      <w:kern w:val="2"/>
      <w:sz w:val="18"/>
    </w:rPr>
  </w:style>
  <w:style w:type="character" w:customStyle="1" w:styleId="53">
    <w:name w:val="页眉 Char"/>
    <w:link w:val="26"/>
    <w:autoRedefine/>
    <w:qFormat/>
    <w:uiPriority w:val="99"/>
    <w:rPr>
      <w:kern w:val="2"/>
      <w:sz w:val="18"/>
      <w:szCs w:val="18"/>
    </w:rPr>
  </w:style>
  <w:style w:type="character" w:customStyle="1" w:styleId="54">
    <w:name w:val="日期 Char"/>
    <w:link w:val="22"/>
    <w:autoRedefine/>
    <w:qFormat/>
    <w:uiPriority w:val="0"/>
    <w:rPr>
      <w:kern w:val="2"/>
      <w:sz w:val="28"/>
    </w:rPr>
  </w:style>
  <w:style w:type="character" w:customStyle="1" w:styleId="55">
    <w:name w:val="文档结构图 Char"/>
    <w:link w:val="11"/>
    <w:autoRedefine/>
    <w:semiHidden/>
    <w:qFormat/>
    <w:uiPriority w:val="99"/>
    <w:rPr>
      <w:rFonts w:ascii="宋体"/>
      <w:kern w:val="2"/>
      <w:sz w:val="18"/>
      <w:szCs w:val="18"/>
    </w:rPr>
  </w:style>
  <w:style w:type="character" w:customStyle="1" w:styleId="56">
    <w:name w:val="副标题 Char"/>
    <w:link w:val="29"/>
    <w:autoRedefine/>
    <w:qFormat/>
    <w:uiPriority w:val="11"/>
    <w:rPr>
      <w:rFonts w:ascii="Cambria" w:hAnsi="Cambria" w:cs="Times New Roman"/>
      <w:b/>
      <w:bCs/>
      <w:kern w:val="28"/>
      <w:sz w:val="32"/>
      <w:szCs w:val="32"/>
    </w:rPr>
  </w:style>
  <w:style w:type="character" w:customStyle="1" w:styleId="57">
    <w:name w:val="标题 1 Char"/>
    <w:link w:val="3"/>
    <w:autoRedefine/>
    <w:qFormat/>
    <w:uiPriority w:val="0"/>
    <w:rPr>
      <w:rFonts w:ascii="宋体"/>
      <w:kern w:val="2"/>
      <w:sz w:val="28"/>
    </w:rPr>
  </w:style>
  <w:style w:type="paragraph" w:customStyle="1" w:styleId="58">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F00"/>
    <w:basedOn w:val="1"/>
    <w:autoRedefine/>
    <w:qFormat/>
    <w:uiPriority w:val="0"/>
    <w:pPr>
      <w:tabs>
        <w:tab w:val="left" w:pos="2235"/>
      </w:tabs>
      <w:spacing w:line="500" w:lineRule="exact"/>
      <w:ind w:firstLine="353" w:firstLineChars="147"/>
    </w:pPr>
    <w:rPr>
      <w:rFonts w:ascii="宋体" w:hAnsi="宋体"/>
      <w:sz w:val="24"/>
      <w:szCs w:val="24"/>
    </w:rPr>
  </w:style>
  <w:style w:type="paragraph" w:customStyle="1" w:styleId="60">
    <w:name w:val="Char"/>
    <w:basedOn w:val="1"/>
    <w:autoRedefine/>
    <w:qFormat/>
    <w:uiPriority w:val="0"/>
    <w:rPr>
      <w:rFonts w:ascii="FangSong_GB2312" w:eastAsia="FangSong_GB2312"/>
      <w:b/>
      <w:sz w:val="32"/>
      <w:szCs w:val="32"/>
    </w:rPr>
  </w:style>
  <w:style w:type="paragraph" w:customStyle="1" w:styleId="61">
    <w:name w:val="列出段落1"/>
    <w:basedOn w:val="1"/>
    <w:autoRedefine/>
    <w:qFormat/>
    <w:uiPriority w:val="34"/>
    <w:pPr>
      <w:ind w:firstLine="420" w:firstLineChars="200"/>
    </w:pPr>
    <w:rPr>
      <w:szCs w:val="24"/>
    </w:rPr>
  </w:style>
  <w:style w:type="paragraph" w:customStyle="1" w:styleId="62">
    <w:name w:val="Char1"/>
    <w:basedOn w:val="1"/>
    <w:autoRedefine/>
    <w:qFormat/>
    <w:uiPriority w:val="0"/>
    <w:pPr>
      <w:widowControl/>
      <w:spacing w:after="160" w:line="240" w:lineRule="exact"/>
      <w:jc w:val="left"/>
    </w:pPr>
  </w:style>
  <w:style w:type="paragraph" w:customStyle="1" w:styleId="63">
    <w:name w:val="表格内容"/>
    <w:basedOn w:val="1"/>
    <w:autoRedefine/>
    <w:qFormat/>
    <w:uiPriority w:val="0"/>
    <w:pPr>
      <w:tabs>
        <w:tab w:val="left" w:pos="0"/>
      </w:tabs>
      <w:jc w:val="center"/>
    </w:pPr>
    <w:rPr>
      <w:rFonts w:ascii="宋体" w:hAnsi="宋体"/>
      <w:sz w:val="24"/>
      <w:szCs w:val="24"/>
    </w:rPr>
  </w:style>
  <w:style w:type="paragraph" w:customStyle="1" w:styleId="64">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65">
    <w:name w:val="case3"/>
    <w:basedOn w:val="1"/>
    <w:autoRedefine/>
    <w:qFormat/>
    <w:uiPriority w:val="0"/>
    <w:pPr>
      <w:widowControl/>
      <w:spacing w:before="100" w:beforeAutospacing="1" w:after="100" w:afterAutospacing="1" w:line="390" w:lineRule="atLeast"/>
      <w:jc w:val="left"/>
    </w:pPr>
    <w:rPr>
      <w:color w:val="000000"/>
      <w:kern w:val="0"/>
      <w:szCs w:val="21"/>
    </w:rPr>
  </w:style>
  <w:style w:type="table" w:customStyle="1" w:styleId="66">
    <w:name w:val="网格型1"/>
    <w:basedOn w:val="43"/>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font31"/>
    <w:basedOn w:val="45"/>
    <w:autoRedefine/>
    <w:qFormat/>
    <w:uiPriority w:val="0"/>
    <w:rPr>
      <w:rFonts w:hint="default" w:ascii="Times New Roman" w:hAnsi="Times New Roman" w:cs="Times New Roman"/>
      <w:color w:val="000000"/>
      <w:sz w:val="20"/>
      <w:szCs w:val="20"/>
      <w:u w:val="none"/>
    </w:rPr>
  </w:style>
  <w:style w:type="character" w:customStyle="1" w:styleId="68">
    <w:name w:val="批注文字 Char"/>
    <w:basedOn w:val="45"/>
    <w:link w:val="12"/>
    <w:autoRedefine/>
    <w:semiHidden/>
    <w:qFormat/>
    <w:uiPriority w:val="99"/>
    <w:rPr>
      <w:kern w:val="2"/>
      <w:sz w:val="21"/>
    </w:rPr>
  </w:style>
  <w:style w:type="character" w:customStyle="1" w:styleId="69">
    <w:name w:val="批注主题 Char"/>
    <w:basedOn w:val="68"/>
    <w:link w:val="40"/>
    <w:autoRedefine/>
    <w:qFormat/>
    <w:uiPriority w:val="0"/>
  </w:style>
  <w:style w:type="paragraph" w:customStyle="1" w:styleId="70">
    <w:name w:val="_Style 154"/>
    <w:basedOn w:val="1"/>
    <w:autoRedefine/>
    <w:qFormat/>
    <w:uiPriority w:val="0"/>
    <w:pPr>
      <w:spacing w:line="480" w:lineRule="exact"/>
      <w:ind w:firstLine="420" w:firstLineChars="200"/>
      <w:jc w:val="left"/>
    </w:pPr>
    <w:rPr>
      <w:rFonts w:eastAsia="楷体_GB2312"/>
      <w:sz w:val="28"/>
    </w:rPr>
  </w:style>
  <w:style w:type="paragraph" w:customStyle="1" w:styleId="71">
    <w:name w:val="列出段落2"/>
    <w:basedOn w:val="1"/>
    <w:autoRedefine/>
    <w:qFormat/>
    <w:uiPriority w:val="34"/>
    <w:pPr>
      <w:spacing w:line="480" w:lineRule="exact"/>
      <w:ind w:firstLine="420" w:firstLineChars="200"/>
      <w:jc w:val="left"/>
    </w:pPr>
    <w:rPr>
      <w:rFonts w:eastAsia="楷体_GB2312"/>
      <w:kern w:val="0"/>
      <w:sz w:val="28"/>
    </w:rPr>
  </w:style>
  <w:style w:type="character" w:customStyle="1" w:styleId="72">
    <w:name w:val="font51"/>
    <w:basedOn w:val="45"/>
    <w:autoRedefine/>
    <w:qFormat/>
    <w:uiPriority w:val="0"/>
    <w:rPr>
      <w:rFonts w:hint="default" w:ascii="Times New Roman" w:hAnsi="Times New Roman" w:cs="Times New Roman"/>
      <w:color w:val="000000"/>
      <w:sz w:val="20"/>
      <w:szCs w:val="20"/>
      <w:u w:val="none"/>
    </w:rPr>
  </w:style>
  <w:style w:type="character" w:customStyle="1" w:styleId="73">
    <w:name w:val="font01"/>
    <w:basedOn w:val="45"/>
    <w:autoRedefine/>
    <w:qFormat/>
    <w:uiPriority w:val="0"/>
    <w:rPr>
      <w:rFonts w:hint="eastAsia" w:ascii="宋体" w:hAnsi="宋体" w:eastAsia="宋体" w:cs="宋体"/>
      <w:color w:val="000000"/>
      <w:sz w:val="20"/>
      <w:szCs w:val="20"/>
      <w:u w:val="none"/>
    </w:rPr>
  </w:style>
  <w:style w:type="paragraph" w:customStyle="1" w:styleId="74">
    <w:name w:val="p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75">
    <w:name w:val="正文_0_0"/>
    <w:autoRedefine/>
    <w:unhideWhenUsed/>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76">
    <w:name w:val="修订1"/>
    <w:autoRedefine/>
    <w:hidden/>
    <w:unhideWhenUsed/>
    <w:qFormat/>
    <w:uiPriority w:val="99"/>
    <w:rPr>
      <w:rFonts w:ascii="Times New Roman" w:hAnsi="Times New Roman" w:eastAsia="宋体" w:cs="Times New Roman"/>
      <w:kern w:val="2"/>
      <w:sz w:val="21"/>
      <w:lang w:val="en-US" w:eastAsia="zh-CN" w:bidi="ar-SA"/>
    </w:rPr>
  </w:style>
  <w:style w:type="paragraph" w:customStyle="1" w:styleId="77">
    <w:name w:val="章标题"/>
    <w:next w:val="78"/>
    <w:autoRedefine/>
    <w:qFormat/>
    <w:uiPriority w:val="99"/>
    <w:pPr>
      <w:numPr>
        <w:ilvl w:val="0"/>
        <w:numId w:val="1"/>
      </w:numPr>
      <w:spacing w:beforeLines="100" w:afterLines="100"/>
      <w:jc w:val="both"/>
      <w:outlineLvl w:val="1"/>
    </w:pPr>
    <w:rPr>
      <w:rFonts w:ascii="黑体" w:hAnsi="Times New Roman" w:eastAsia="黑体" w:cs="黑体"/>
      <w:sz w:val="21"/>
      <w:szCs w:val="21"/>
      <w:lang w:val="en-US" w:eastAsia="zh-CN" w:bidi="ar-SA"/>
    </w:rPr>
  </w:style>
  <w:style w:type="paragraph" w:customStyle="1" w:styleId="78">
    <w:name w:val="段"/>
    <w:autoRedefine/>
    <w:qFormat/>
    <w:uiPriority w:val="99"/>
    <w:pPr>
      <w:autoSpaceDE w:val="0"/>
      <w:autoSpaceDN w:val="0"/>
      <w:ind w:firstLine="420" w:firstLineChars="200"/>
      <w:jc w:val="both"/>
    </w:pPr>
    <w:rPr>
      <w:rFonts w:ascii="宋体" w:hAnsi="Times New Roman" w:eastAsia="宋体" w:cs="Times New Roman"/>
      <w:sz w:val="22"/>
      <w:szCs w:val="22"/>
      <w:lang w:val="en-US" w:eastAsia="zh-CN" w:bidi="ar-SA"/>
    </w:rPr>
  </w:style>
  <w:style w:type="character" w:customStyle="1" w:styleId="79">
    <w:name w:val="font81"/>
    <w:basedOn w:val="45"/>
    <w:autoRedefine/>
    <w:qFormat/>
    <w:uiPriority w:val="0"/>
    <w:rPr>
      <w:rFonts w:hint="eastAsia" w:ascii="方正仿宋_GBK" w:hAnsi="方正仿宋_GBK" w:eastAsia="方正仿宋_GBK" w:cs="方正仿宋_GBK"/>
      <w:color w:val="000000"/>
      <w:sz w:val="24"/>
      <w:szCs w:val="24"/>
      <w:u w:val="none"/>
    </w:rPr>
  </w:style>
  <w:style w:type="paragraph" w:styleId="80">
    <w:name w:val="List Paragraph"/>
    <w:basedOn w:val="1"/>
    <w:autoRedefine/>
    <w:qFormat/>
    <w:uiPriority w:val="34"/>
    <w:pPr>
      <w:ind w:firstLine="420" w:firstLineChars="200"/>
    </w:pPr>
  </w:style>
  <w:style w:type="paragraph" w:customStyle="1" w:styleId="81">
    <w:name w:val="006正文"/>
    <w:basedOn w:val="1"/>
    <w:autoRedefine/>
    <w:qFormat/>
    <w:uiPriority w:val="0"/>
    <w:pPr>
      <w:ind w:firstLine="200" w:firstLineChars="200"/>
    </w:pPr>
    <w:rPr>
      <w:rFonts w:ascii="等线" w:hAnsi="等线" w:eastAsia="宋体"/>
      <w:kern w:val="0"/>
      <w:sz w:val="24"/>
      <w:szCs w:val="24"/>
      <w:lang w:val="zh-CN"/>
    </w:rPr>
  </w:style>
  <w:style w:type="paragraph" w:customStyle="1" w:styleId="82">
    <w:name w:val="Table Paragraph"/>
    <w:basedOn w:val="1"/>
    <w:autoRedefine/>
    <w:qFormat/>
    <w:uiPriority w:val="1"/>
    <w:rPr>
      <w:rFonts w:ascii="仿宋" w:hAnsi="仿宋" w:eastAsia="仿宋" w:cs="仿宋"/>
      <w:lang w:val="zh-CN" w:bidi="zh-CN"/>
    </w:rPr>
  </w:style>
  <w:style w:type="paragraph" w:customStyle="1" w:styleId="83">
    <w:name w:val="Table Text"/>
    <w:basedOn w:val="1"/>
    <w:autoRedefine/>
    <w:semiHidden/>
    <w:qFormat/>
    <w:uiPriority w:val="0"/>
  </w:style>
  <w:style w:type="table" w:customStyle="1" w:styleId="84">
    <w:name w:val="Table Normal"/>
    <w:autoRedefine/>
    <w:semiHidden/>
    <w:unhideWhenUsed/>
    <w:qFormat/>
    <w:uiPriority w:val="0"/>
    <w:tblPr>
      <w:tblCellMar>
        <w:top w:w="0" w:type="dxa"/>
        <w:left w:w="0" w:type="dxa"/>
        <w:bottom w:w="0" w:type="dxa"/>
        <w:right w:w="0" w:type="dxa"/>
      </w:tblCellMar>
    </w:tblPr>
  </w:style>
  <w:style w:type="character" w:customStyle="1" w:styleId="85">
    <w:name w:val="font11"/>
    <w:basedOn w:val="45"/>
    <w:autoRedefine/>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5.xml"/><Relationship Id="rId23" Type="http://schemas.openxmlformats.org/officeDocument/2006/relationships/customXml" Target="../customXml/item4.xml"/><Relationship Id="rId22" Type="http://schemas.openxmlformats.org/officeDocument/2006/relationships/customXml" Target="../customXml/item3.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formulas xmlns="http://www.yonyou.com/formula"/>
</file>

<file path=customXml/item3.xml><?xml version="1.0" encoding="utf-8"?>
<dataSourceCollection xmlns="http://www.yonyou.com/datasourc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relations xmlns="http://www.yonyou.com/rela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823C41C-0394-479E-8C34-B1D93086E19F}">
  <ds:schemaRefs/>
</ds:datastoreItem>
</file>

<file path=customXml/itemProps3.xml><?xml version="1.0" encoding="utf-8"?>
<ds:datastoreItem xmlns:ds="http://schemas.openxmlformats.org/officeDocument/2006/customXml" ds:itemID="{670AFB58-4F39-4326-A393-8E520AA057F8}">
  <ds:schemaRefs/>
</ds:datastoreItem>
</file>

<file path=customXml/itemProps4.xml><?xml version="1.0" encoding="utf-8"?>
<ds:datastoreItem xmlns:ds="http://schemas.openxmlformats.org/officeDocument/2006/customXml" ds:itemID="{ABBC5445-51F6-4E5C-83F9-9880ADC30537}">
  <ds:schemaRefs/>
</ds:datastoreItem>
</file>

<file path=customXml/itemProps5.xml><?xml version="1.0" encoding="utf-8"?>
<ds:datastoreItem xmlns:ds="http://schemas.openxmlformats.org/officeDocument/2006/customXml" ds:itemID="{924AA92F-D617-44BD-A67D-E1A0B3FF8A1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244</Pages>
  <Words>24683</Words>
  <Characters>140696</Characters>
  <Lines>1172</Lines>
  <Paragraphs>330</Paragraphs>
  <TotalTime>1</TotalTime>
  <ScaleCrop>false</ScaleCrop>
  <LinksUpToDate>false</LinksUpToDate>
  <CharactersWithSpaces>165049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2022-12-12T11:13:00Z</dcterms:created>
  <dc:creator>hxw</dc:creator>
  <cp:lastModifiedBy>范范</cp:lastModifiedBy>
  <cp:lastPrinted>2024-03-27T01:50:00Z</cp:lastPrinted>
  <dcterms:modified xsi:type="dcterms:W3CDTF">2024-05-06T12:04:24Z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5D126D5ECF6546EFAC3B70E96594B946_13</vt:lpwstr>
  </property>
</Properties>
</file>