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0ED05"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货物需求一览表</w:t>
      </w:r>
    </w:p>
    <w:p w14:paraId="6971CD30">
      <w:pPr>
        <w:adjustRightInd w:val="0"/>
        <w:snapToGrid w:val="0"/>
        <w:jc w:val="center"/>
        <w:rPr>
          <w:rFonts w:ascii="宋体" w:hAnsi="宋体" w:cs="宋体"/>
          <w:b/>
          <w:sz w:val="30"/>
          <w:szCs w:val="30"/>
        </w:rPr>
      </w:pPr>
    </w:p>
    <w:tbl>
      <w:tblPr>
        <w:tblStyle w:val="5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00"/>
        <w:gridCol w:w="2585"/>
      </w:tblGrid>
      <w:tr w14:paraId="7BB67C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/>
            <w:vAlign w:val="center"/>
          </w:tcPr>
          <w:p w14:paraId="40AA2F94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包号</w:t>
            </w:r>
          </w:p>
        </w:tc>
        <w:tc>
          <w:tcPr>
            <w:tcW w:w="2640" w:type="dxa"/>
            <w:noWrap/>
            <w:vAlign w:val="center"/>
          </w:tcPr>
          <w:p w14:paraId="6A56E5D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货物名称</w:t>
            </w:r>
          </w:p>
        </w:tc>
        <w:tc>
          <w:tcPr>
            <w:tcW w:w="635" w:type="dxa"/>
            <w:noWrap/>
            <w:vAlign w:val="center"/>
          </w:tcPr>
          <w:p w14:paraId="3952DE3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数量</w:t>
            </w:r>
          </w:p>
        </w:tc>
        <w:tc>
          <w:tcPr>
            <w:tcW w:w="1320" w:type="dxa"/>
            <w:noWrap/>
            <w:vAlign w:val="center"/>
          </w:tcPr>
          <w:p w14:paraId="2D76C39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交货期</w:t>
            </w:r>
          </w:p>
        </w:tc>
        <w:tc>
          <w:tcPr>
            <w:tcW w:w="1700" w:type="dxa"/>
            <w:noWrap/>
            <w:vAlign w:val="center"/>
          </w:tcPr>
          <w:p w14:paraId="308A5F9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指定到货港</w:t>
            </w:r>
          </w:p>
        </w:tc>
        <w:tc>
          <w:tcPr>
            <w:tcW w:w="2585" w:type="dxa"/>
            <w:noWrap/>
            <w:vAlign w:val="center"/>
          </w:tcPr>
          <w:p w14:paraId="55096FB8">
            <w:pPr>
              <w:jc w:val="center"/>
              <w:rPr>
                <w:rFonts w:ascii="宋体" w:hAnsi="宋体" w:cs="宋体"/>
                <w:sz w:val="24"/>
                <w:shd w:val="pct10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项目现场（交货地点）</w:t>
            </w:r>
          </w:p>
        </w:tc>
      </w:tr>
      <w:tr w14:paraId="28808C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/>
            <w:vAlign w:val="center"/>
          </w:tcPr>
          <w:p w14:paraId="684522D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640" w:type="dxa"/>
            <w:noWrap/>
            <w:vAlign w:val="center"/>
          </w:tcPr>
          <w:p w14:paraId="4B95CEE2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流式细胞分析仪</w:t>
            </w:r>
          </w:p>
        </w:tc>
        <w:tc>
          <w:tcPr>
            <w:tcW w:w="635" w:type="dxa"/>
            <w:noWrap/>
            <w:vAlign w:val="center"/>
          </w:tcPr>
          <w:p w14:paraId="010C7F2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1套</w:t>
            </w:r>
          </w:p>
        </w:tc>
        <w:tc>
          <w:tcPr>
            <w:tcW w:w="1320" w:type="dxa"/>
            <w:noWrap/>
            <w:vAlign w:val="center"/>
          </w:tcPr>
          <w:p w14:paraId="7502FFA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30天</w:t>
            </w:r>
          </w:p>
        </w:tc>
        <w:tc>
          <w:tcPr>
            <w:tcW w:w="1700" w:type="dxa"/>
            <w:noWrap/>
            <w:vAlign w:val="center"/>
          </w:tcPr>
          <w:p w14:paraId="59249867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昆明机场</w:t>
            </w:r>
          </w:p>
        </w:tc>
        <w:tc>
          <w:tcPr>
            <w:tcW w:w="2585" w:type="dxa"/>
            <w:noWrap/>
            <w:vAlign w:val="center"/>
          </w:tcPr>
          <w:p w14:paraId="551BE5E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中国科学院昆明植物研究所指定地点</w:t>
            </w:r>
          </w:p>
        </w:tc>
      </w:tr>
    </w:tbl>
    <w:p w14:paraId="4063276C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注：投标人须对上述投标内容中完整的一包进行投标，不完整的投标将视为非响应性投标予以拒绝。</w:t>
      </w:r>
    </w:p>
    <w:p w14:paraId="639B8264">
      <w:pPr>
        <w:adjustRightInd w:val="0"/>
        <w:snapToGrid w:val="0"/>
        <w:rPr>
          <w:rFonts w:ascii="宋体" w:hAnsi="宋体" w:cs="宋体"/>
          <w:szCs w:val="21"/>
        </w:rPr>
      </w:pPr>
    </w:p>
    <w:p w14:paraId="53C594F8">
      <w:pPr>
        <w:adjustRightInd w:val="0"/>
        <w:snapToGrid w:val="0"/>
        <w:rPr>
          <w:rFonts w:ascii="宋体" w:hAnsi="宋体" w:cs="宋体"/>
          <w:szCs w:val="21"/>
        </w:rPr>
      </w:pPr>
    </w:p>
    <w:p w14:paraId="7483F182">
      <w:pPr>
        <w:adjustRightInd w:val="0"/>
        <w:snapToGrid w:val="0"/>
        <w:rPr>
          <w:rFonts w:ascii="宋体" w:hAnsi="宋体" w:cs="宋体"/>
          <w:szCs w:val="21"/>
        </w:rPr>
      </w:pPr>
    </w:p>
    <w:p w14:paraId="172C721C">
      <w:pPr>
        <w:adjustRightInd w:val="0"/>
        <w:snapToGrid w:val="0"/>
        <w:rPr>
          <w:rFonts w:ascii="宋体" w:hAnsi="宋体" w:cs="宋体"/>
          <w:szCs w:val="21"/>
        </w:rPr>
      </w:pPr>
    </w:p>
    <w:p w14:paraId="270FA24C">
      <w:pPr>
        <w:adjustRightInd w:val="0"/>
        <w:snapToGrid w:val="0"/>
        <w:rPr>
          <w:rFonts w:ascii="宋体" w:hAnsi="宋体" w:cs="宋体"/>
          <w:szCs w:val="21"/>
        </w:rPr>
      </w:pPr>
    </w:p>
    <w:p w14:paraId="3ABCAC40">
      <w:pPr>
        <w:adjustRightInd w:val="0"/>
        <w:snapToGrid w:val="0"/>
        <w:rPr>
          <w:rFonts w:ascii="宋体" w:hAnsi="宋体" w:cs="宋体"/>
          <w:szCs w:val="21"/>
        </w:rPr>
      </w:pPr>
    </w:p>
    <w:p w14:paraId="2096FD8E">
      <w:pPr>
        <w:adjustRightInd w:val="0"/>
        <w:snapToGrid w:val="0"/>
        <w:rPr>
          <w:rFonts w:ascii="宋体" w:hAnsi="宋体" w:cs="宋体"/>
          <w:szCs w:val="21"/>
        </w:rPr>
      </w:pPr>
    </w:p>
    <w:p w14:paraId="1D57E7D9">
      <w:pPr>
        <w:adjustRightInd w:val="0"/>
        <w:snapToGrid w:val="0"/>
        <w:rPr>
          <w:rFonts w:ascii="宋体" w:hAnsi="宋体" w:cs="宋体"/>
          <w:szCs w:val="21"/>
        </w:rPr>
      </w:pPr>
    </w:p>
    <w:p w14:paraId="63B4A62C">
      <w:pPr>
        <w:adjustRightInd w:val="0"/>
        <w:snapToGrid w:val="0"/>
        <w:rPr>
          <w:rFonts w:ascii="宋体" w:hAnsi="宋体" w:cs="宋体"/>
          <w:szCs w:val="21"/>
        </w:rPr>
      </w:pPr>
    </w:p>
    <w:p w14:paraId="2F7FC287">
      <w:pPr>
        <w:adjustRightInd w:val="0"/>
        <w:snapToGrid w:val="0"/>
        <w:rPr>
          <w:rFonts w:ascii="宋体" w:hAnsi="宋体" w:cs="宋体"/>
          <w:szCs w:val="21"/>
        </w:rPr>
      </w:pPr>
    </w:p>
    <w:p w14:paraId="0DA2650D">
      <w:pPr>
        <w:adjustRightInd w:val="0"/>
        <w:snapToGrid w:val="0"/>
        <w:rPr>
          <w:rFonts w:ascii="宋体" w:hAnsi="宋体" w:cs="宋体"/>
          <w:szCs w:val="21"/>
        </w:rPr>
      </w:pPr>
    </w:p>
    <w:p w14:paraId="1C370F9C">
      <w:pPr>
        <w:adjustRightInd w:val="0"/>
        <w:snapToGrid w:val="0"/>
        <w:rPr>
          <w:rFonts w:ascii="宋体" w:hAnsi="宋体" w:cs="宋体"/>
          <w:szCs w:val="21"/>
        </w:rPr>
      </w:pPr>
    </w:p>
    <w:p w14:paraId="1BF841B3">
      <w:pPr>
        <w:adjustRightInd w:val="0"/>
        <w:snapToGrid w:val="0"/>
        <w:rPr>
          <w:rFonts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br w:type="page"/>
      </w:r>
    </w:p>
    <w:p w14:paraId="4663793D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总则</w:t>
      </w:r>
    </w:p>
    <w:p w14:paraId="1D9BE905">
      <w:pPr>
        <w:spacing w:line="360" w:lineRule="auto"/>
        <w:ind w:left="600" w:hanging="600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一、总则</w:t>
      </w:r>
    </w:p>
    <w:p w14:paraId="2634A090">
      <w:pPr>
        <w:spacing w:beforeLines="50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、工作条件</w:t>
      </w:r>
    </w:p>
    <w:p w14:paraId="1FB10BD6">
      <w:pPr>
        <w:adjustRightInd w:val="0"/>
        <w:snapToGrid w:val="0"/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除非在技术规格中另有说明，所有仪器、设备和系统都应符合下列要求： </w:t>
      </w:r>
    </w:p>
    <w:p w14:paraId="6712374B">
      <w:pPr>
        <w:adjustRightInd w:val="0"/>
        <w:snapToGrid w:val="0"/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1.1  适于在气温为摄氏-40℃～＋50℃和相对湿度为90％的环境条件下运输和贮存。</w:t>
      </w:r>
    </w:p>
    <w:p w14:paraId="289441DF">
      <w:pPr>
        <w:adjustRightInd w:val="0"/>
        <w:snapToGrid w:val="0"/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1.2  </w:t>
      </w:r>
      <w:r>
        <w:rPr>
          <w:rFonts w:hint="eastAsia" w:ascii="宋体" w:hAnsi="宋体"/>
          <w:sz w:val="24"/>
        </w:rPr>
        <w:t>适于在电源</w:t>
      </w:r>
      <w:r>
        <w:rPr>
          <w:rFonts w:ascii="宋体" w:hAnsi="宋体"/>
          <w:sz w:val="24"/>
        </w:rPr>
        <w:t>220V</w:t>
      </w: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10</w:t>
      </w:r>
      <w:r>
        <w:rPr>
          <w:rFonts w:hint="eastAsia" w:ascii="宋体" w:hAnsi="宋体"/>
          <w:sz w:val="24"/>
        </w:rPr>
        <w:t>％）</w:t>
      </w:r>
      <w:r>
        <w:rPr>
          <w:rFonts w:ascii="宋体" w:hAnsi="宋体"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ascii="宋体" w:hAnsi="宋体"/>
          <w:sz w:val="24"/>
        </w:rPr>
        <w:t>+15</w:t>
      </w:r>
      <w:r>
        <w:rPr>
          <w:rFonts w:hint="eastAsia" w:ascii="宋体" w:hAnsi="宋体"/>
          <w:sz w:val="24"/>
        </w:rPr>
        <w:t>℃～＋</w:t>
      </w:r>
      <w:r>
        <w:rPr>
          <w:rFonts w:ascii="宋体" w:hAnsi="宋体"/>
          <w:sz w:val="24"/>
        </w:rPr>
        <w:t>30</w:t>
      </w:r>
      <w:r>
        <w:rPr>
          <w:rFonts w:hint="eastAsia" w:ascii="宋体" w:hAnsi="宋体"/>
          <w:sz w:val="24"/>
        </w:rPr>
        <w:t>℃和相对湿度小于</w:t>
      </w:r>
      <w:r>
        <w:rPr>
          <w:rFonts w:ascii="宋体" w:hAnsi="宋体"/>
          <w:sz w:val="24"/>
        </w:rPr>
        <w:t>80</w:t>
      </w:r>
      <w:r>
        <w:rPr>
          <w:rFonts w:hint="eastAsia" w:ascii="宋体" w:hAnsi="宋体"/>
          <w:sz w:val="24"/>
        </w:rPr>
        <w:t>％的环境条件下运行。能够连续正常工作。</w:t>
      </w:r>
    </w:p>
    <w:p w14:paraId="0679AC4E">
      <w:pPr>
        <w:adjustRightInd w:val="0"/>
        <w:snapToGrid w:val="0"/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1.3  配置符合中国有关标准要求的插头，如果没有这样的插头，则需提供适当的转换插座。</w:t>
      </w:r>
    </w:p>
    <w:p w14:paraId="3B75614E">
      <w:pPr>
        <w:adjustRightInd w:val="0"/>
        <w:snapToGrid w:val="0"/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1.4  如产品达不到上述要求，投标人应注明其偏差。如仪器设备需要特殊工作条件（如水、电源、磁场强度、温度、湿度、动强度等）投标人应在投标书中加以说明。</w:t>
      </w:r>
    </w:p>
    <w:p w14:paraId="70A97051">
      <w:pPr>
        <w:spacing w:beforeLines="50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2</w:t>
      </w:r>
      <w:r>
        <w:rPr>
          <w:rFonts w:hint="eastAsia" w:ascii="宋体" w:hAnsi="宋体"/>
          <w:b/>
          <w:sz w:val="28"/>
        </w:rPr>
        <w:t>、验收标准</w:t>
      </w:r>
    </w:p>
    <w:p w14:paraId="46E073F7">
      <w:pPr>
        <w:spacing w:afterLines="50"/>
        <w:ind w:left="601" w:hanging="60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除非在技术规格中另有说明，所有仪器、设备和系统按下列要求进行验收： </w:t>
      </w:r>
    </w:p>
    <w:p w14:paraId="4F6219DF">
      <w:pPr>
        <w:spacing w:afterLines="50"/>
        <w:ind w:left="601" w:hanging="60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28D126BC">
      <w:pPr>
        <w:spacing w:afterLines="50"/>
        <w:ind w:left="601" w:hanging="60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768F5D76">
      <w:pPr>
        <w:spacing w:afterLines="50"/>
        <w:ind w:left="601" w:hanging="60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验收由采购人、中标人及相关人员依国家有关标准、合同及有关附件要求进行，验收完毕由采购人及中标人在验收报告上签名。</w:t>
      </w:r>
    </w:p>
    <w:p w14:paraId="7FFD0435">
      <w:pPr>
        <w:spacing w:afterLines="50"/>
        <w:rPr>
          <w:rFonts w:ascii="宋体" w:hAnsi="宋体"/>
          <w:b/>
          <w:sz w:val="24"/>
        </w:rPr>
      </w:pPr>
    </w:p>
    <w:p w14:paraId="6E99D7EE">
      <w:pPr>
        <w:pStyle w:val="2"/>
        <w:spacing w:line="360" w:lineRule="auto"/>
        <w:rPr>
          <w:rFonts w:hAnsi="宋体" w:cs="宋体"/>
          <w:b/>
          <w:sz w:val="24"/>
          <w:szCs w:val="24"/>
        </w:rPr>
      </w:pPr>
      <w:r>
        <w:rPr>
          <w:rFonts w:hint="eastAsia" w:hAnsi="宋体"/>
          <w:b/>
          <w:sz w:val="24"/>
        </w:rPr>
        <w:t>3、如在具体技术规格中有本总则不一致之处，以具体技术规格中的要求为准。</w:t>
      </w:r>
    </w:p>
    <w:p w14:paraId="1704666C">
      <w:pPr>
        <w:spacing w:afterLines="50" w:line="360" w:lineRule="auto"/>
        <w:ind w:left="601" w:hanging="601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br w:type="page"/>
      </w:r>
      <w:r>
        <w:rPr>
          <w:rFonts w:hint="eastAsia" w:ascii="宋体" w:hAnsi="宋体" w:cs="宋体"/>
          <w:b/>
          <w:sz w:val="28"/>
        </w:rPr>
        <w:t>三、具体技术规格</w:t>
      </w:r>
    </w:p>
    <w:p w14:paraId="3F9A2178">
      <w:pPr>
        <w:pStyle w:val="7"/>
        <w:spacing w:line="360" w:lineRule="auto"/>
        <w:rPr>
          <w:rFonts w:ascii="Times New Roman" w:cs="Times New Roman"/>
          <w:b/>
          <w:bCs/>
        </w:rPr>
      </w:pPr>
      <w:r>
        <w:rPr>
          <w:rFonts w:ascii="Times New Roman" w:cs="Times New Roman"/>
          <w:b/>
          <w:bCs/>
        </w:rPr>
        <w:t xml:space="preserve">1、用途： </w:t>
      </w:r>
    </w:p>
    <w:p w14:paraId="673E8F6C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  <w:iCs/>
        </w:rPr>
        <w:t>用于植物倍性鉴定，用于遗传进化、开展倍性育种和杂交育种等相关工作。</w:t>
      </w:r>
    </w:p>
    <w:p w14:paraId="7602DB2D">
      <w:pPr>
        <w:pStyle w:val="7"/>
        <w:spacing w:line="360" w:lineRule="auto"/>
        <w:rPr>
          <w:rFonts w:ascii="Times New Roman" w:cs="Times New Roman"/>
          <w:b/>
          <w:bCs/>
        </w:rPr>
      </w:pPr>
      <w:r>
        <w:rPr>
          <w:rFonts w:ascii="Times New Roman" w:cs="Times New Roman"/>
          <w:b/>
          <w:bCs/>
        </w:rPr>
        <w:t xml:space="preserve">2、主机配置： </w:t>
      </w:r>
    </w:p>
    <w:p w14:paraId="752EE5B4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2.1、激光器及检测通道：</w:t>
      </w:r>
      <w:r>
        <w:rPr>
          <w:rFonts w:hint="eastAsia" w:ascii="Times New Roman" w:cs="Times New Roman"/>
        </w:rPr>
        <w:t>配置3根</w:t>
      </w:r>
      <w:r>
        <w:rPr>
          <w:rFonts w:ascii="Times New Roman" w:cs="Times New Roman"/>
        </w:rPr>
        <w:t>激光器，</w:t>
      </w:r>
      <w:r>
        <w:rPr>
          <w:rFonts w:hint="eastAsia" w:ascii="Times New Roman" w:cs="Times New Roman"/>
        </w:rPr>
        <w:t>波长</w:t>
      </w:r>
      <w:r>
        <w:rPr>
          <w:rFonts w:ascii="Times New Roman" w:cs="Times New Roman"/>
        </w:rPr>
        <w:t>分别为48</w:t>
      </w:r>
      <w:r>
        <w:rPr>
          <w:rFonts w:hint="eastAsia" w:ascii="Times New Roman" w:cs="Times New Roman"/>
        </w:rPr>
        <w:t>5</w:t>
      </w:r>
      <w:r>
        <w:rPr>
          <w:rFonts w:ascii="Times New Roman" w:cs="Times New Roman"/>
        </w:rPr>
        <w:t>nm±</w:t>
      </w:r>
      <w:r>
        <w:rPr>
          <w:rFonts w:hint="eastAsia" w:ascii="Times New Roman" w:cs="Times New Roman"/>
        </w:rPr>
        <w:t>3nm</w:t>
      </w:r>
      <w:r>
        <w:rPr>
          <w:rFonts w:ascii="Times New Roman" w:cs="Times New Roman"/>
        </w:rPr>
        <w:t>、 63</w:t>
      </w:r>
      <w:r>
        <w:rPr>
          <w:rFonts w:hint="eastAsia" w:ascii="Times New Roman" w:cs="Times New Roman"/>
        </w:rPr>
        <w:t>0</w:t>
      </w:r>
      <w:r>
        <w:rPr>
          <w:rFonts w:ascii="Times New Roman" w:cs="Times New Roman"/>
        </w:rPr>
        <w:t>nm±</w:t>
      </w:r>
      <w:r>
        <w:rPr>
          <w:rFonts w:hint="eastAsia" w:ascii="Times New Roman" w:cs="Times New Roman"/>
        </w:rPr>
        <w:t>3nm</w:t>
      </w:r>
      <w:r>
        <w:rPr>
          <w:rFonts w:ascii="Times New Roman" w:cs="Times New Roman"/>
        </w:rPr>
        <w:t>、40</w:t>
      </w:r>
      <w:r>
        <w:rPr>
          <w:rFonts w:hint="eastAsia" w:ascii="Times New Roman" w:cs="Times New Roman"/>
        </w:rPr>
        <w:t>0</w:t>
      </w:r>
      <w:r>
        <w:rPr>
          <w:rFonts w:ascii="Times New Roman" w:cs="Times New Roman"/>
        </w:rPr>
        <w:t>nm±</w:t>
      </w:r>
      <w:r>
        <w:rPr>
          <w:rFonts w:hint="eastAsia" w:ascii="Times New Roman" w:cs="Times New Roman"/>
        </w:rPr>
        <w:t>5nm；8个荧光检测通道，包含FSC、SSC等10个检测参数。</w:t>
      </w:r>
    </w:p>
    <w:p w14:paraId="692B3C86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2.2、光激发</w:t>
      </w:r>
      <w:r>
        <w:rPr>
          <w:rFonts w:hint="eastAsia" w:ascii="Times New Roman" w:cs="Times New Roman"/>
        </w:rPr>
        <w:t>及</w:t>
      </w:r>
      <w:r>
        <w:rPr>
          <w:rFonts w:ascii="Times New Roman" w:cs="Times New Roman"/>
        </w:rPr>
        <w:t>收集系统：</w:t>
      </w:r>
      <w:r>
        <w:rPr>
          <w:rFonts w:hint="eastAsia" w:ascii="Times New Roman" w:cs="Times New Roman"/>
        </w:rPr>
        <w:t>固定的</w:t>
      </w:r>
      <w:r>
        <w:rPr>
          <w:rFonts w:ascii="Times New Roman" w:cs="Times New Roman"/>
        </w:rPr>
        <w:t>光激发系统和光收集系统</w:t>
      </w:r>
      <w:r>
        <w:rPr>
          <w:rFonts w:hint="eastAsia" w:ascii="Times New Roman" w:cs="Times New Roman"/>
        </w:rPr>
        <w:t>、无需</w:t>
      </w:r>
      <w:r>
        <w:rPr>
          <w:rFonts w:ascii="Times New Roman" w:cs="Times New Roman"/>
        </w:rPr>
        <w:t>操作人员调整</w:t>
      </w:r>
      <w:r>
        <w:rPr>
          <w:rFonts w:hint="eastAsia" w:ascii="Times New Roman" w:cs="Times New Roman"/>
        </w:rPr>
        <w:t>；</w:t>
      </w:r>
      <w:r>
        <w:rPr>
          <w:rFonts w:ascii="Times New Roman" w:cs="Times New Roman"/>
        </w:rPr>
        <w:t>光纤信号导入检测系统，散射光和荧光信号通过连续反射信号收集系统。</w:t>
      </w:r>
    </w:p>
    <w:p w14:paraId="423BBAA3">
      <w:pPr>
        <w:pStyle w:val="7"/>
        <w:spacing w:line="360" w:lineRule="auto"/>
        <w:rPr>
          <w:rFonts w:ascii="Times New Roman" w:cs="Times New Roman"/>
        </w:rPr>
      </w:pPr>
      <w:r>
        <w:rPr>
          <w:rFonts w:hint="eastAsia" w:ascii="Times New Roman" w:cs="Times New Roman"/>
        </w:rPr>
        <w:t>#</w:t>
      </w:r>
      <w:r>
        <w:rPr>
          <w:rFonts w:ascii="Times New Roman" w:cs="Times New Roman"/>
        </w:rPr>
        <w:t>2.3、检测系统：仪器能检测前向散射光、侧向散射光、8色荧光，配置</w:t>
      </w:r>
      <w:r>
        <w:rPr>
          <w:rFonts w:ascii="Arial" w:hAnsi="Arial" w:cs="Arial"/>
        </w:rPr>
        <w:t>≥</w:t>
      </w:r>
      <w:r>
        <w:rPr>
          <w:rFonts w:ascii="Times New Roman" w:cs="Times New Roman"/>
        </w:rPr>
        <w:t>8个检测器</w:t>
      </w:r>
      <w:r>
        <w:rPr>
          <w:rFonts w:hint="eastAsia" w:ascii="Times New Roman" w:cs="Times New Roman"/>
        </w:rPr>
        <w:t>；</w:t>
      </w:r>
      <w:r>
        <w:rPr>
          <w:rFonts w:ascii="Times New Roman" w:cs="Times New Roman"/>
        </w:rPr>
        <w:t>检测器采用</w:t>
      </w:r>
      <w:r>
        <w:rPr>
          <w:rFonts w:hint="eastAsia" w:ascii="Times New Roman" w:cs="Times New Roman"/>
        </w:rPr>
        <w:t>独立（非共线）</w:t>
      </w:r>
      <w:r>
        <w:rPr>
          <w:rFonts w:ascii="Times New Roman" w:cs="Times New Roman"/>
        </w:rPr>
        <w:t>主流的高灵敏度全数字化光电倍增管（PMT）。</w:t>
      </w:r>
    </w:p>
    <w:p w14:paraId="1982E663">
      <w:pPr>
        <w:pStyle w:val="7"/>
        <w:spacing w:line="360" w:lineRule="auto"/>
        <w:rPr>
          <w:rFonts w:ascii="Times New Roman" w:cs="Times New Roman"/>
        </w:rPr>
      </w:pPr>
      <w:r>
        <w:rPr>
          <w:rFonts w:hint="eastAsia" w:ascii="Times New Roman" w:cs="Times New Roman"/>
        </w:rPr>
        <w:t>#</w:t>
      </w:r>
      <w:r>
        <w:rPr>
          <w:rFonts w:ascii="Times New Roman" w:cs="Times New Roman"/>
        </w:rPr>
        <w:t>2.4、荧光检测灵敏度：荧光灵敏度: FITC≤</w:t>
      </w:r>
      <w:r>
        <w:rPr>
          <w:rFonts w:hint="eastAsia" w:ascii="Times New Roman" w:cs="Times New Roman"/>
        </w:rPr>
        <w:t xml:space="preserve"> 3</w:t>
      </w:r>
      <w:r>
        <w:rPr>
          <w:rFonts w:ascii="Times New Roman" w:cs="Times New Roman"/>
        </w:rPr>
        <w:t>MESF，PE≤</w:t>
      </w:r>
      <w:r>
        <w:rPr>
          <w:rFonts w:hint="eastAsia" w:ascii="Times New Roman" w:cs="Times New Roman"/>
        </w:rPr>
        <w:t xml:space="preserve"> 5</w:t>
      </w:r>
      <w:r>
        <w:rPr>
          <w:rFonts w:ascii="Times New Roman" w:cs="Times New Roman"/>
        </w:rPr>
        <w:t xml:space="preserve"> MESF(</w:t>
      </w:r>
      <w:r>
        <w:rPr>
          <w:rFonts w:hint="eastAsia" w:ascii="Times New Roman" w:cs="Times New Roman"/>
        </w:rPr>
        <w:t>需提供</w:t>
      </w:r>
      <w:r>
        <w:rPr>
          <w:rFonts w:ascii="Times New Roman" w:cs="Times New Roman"/>
        </w:rPr>
        <w:t>国内权威机构检测报告)。</w:t>
      </w:r>
    </w:p>
    <w:p w14:paraId="574A88B2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2.5、荧光补偿：数字化矩阵补偿，可实现实时补偿、脱机补偿和自动补偿。</w:t>
      </w:r>
    </w:p>
    <w:p w14:paraId="38F9DBB1">
      <w:pPr>
        <w:pStyle w:val="7"/>
        <w:spacing w:line="360" w:lineRule="auto"/>
        <w:rPr>
          <w:rFonts w:ascii="Times New Roman" w:cs="Times New Roman"/>
        </w:rPr>
      </w:pPr>
      <w:r>
        <w:rPr>
          <w:rFonts w:hint="eastAsia" w:ascii="Times New Roman" w:cs="Times New Roman"/>
        </w:rPr>
        <w:t>#</w:t>
      </w:r>
      <w:r>
        <w:rPr>
          <w:rFonts w:ascii="Times New Roman" w:cs="Times New Roman"/>
        </w:rPr>
        <w:t>2.6、液流系统：采用不间断正压压力泵</w:t>
      </w:r>
      <w:r>
        <w:rPr>
          <w:rFonts w:hint="eastAsia" w:ascii="Times New Roman" w:cs="Times New Roman"/>
        </w:rPr>
        <w:t>（非注射泵或蠕动泵）</w:t>
      </w:r>
      <w:r>
        <w:rPr>
          <w:rFonts w:ascii="Times New Roman" w:cs="Times New Roman"/>
        </w:rPr>
        <w:t>上样方式</w:t>
      </w:r>
      <w:r>
        <w:rPr>
          <w:rFonts w:hint="eastAsia" w:ascii="Times New Roman" w:cs="Times New Roman"/>
        </w:rPr>
        <w:t>。</w:t>
      </w:r>
    </w:p>
    <w:p w14:paraId="47219BC7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2.7、分析速度：细胞获取速度需≥10000细胞/秒。</w:t>
      </w:r>
    </w:p>
    <w:p w14:paraId="5EC4D435">
      <w:pPr>
        <w:pStyle w:val="7"/>
        <w:spacing w:line="360" w:lineRule="auto"/>
        <w:rPr>
          <w:rFonts w:ascii="Times New Roman" w:cs="Times New Roman"/>
        </w:rPr>
      </w:pPr>
      <w:r>
        <w:rPr>
          <w:rFonts w:hint="eastAsia" w:ascii="Times New Roman" w:cs="Times New Roman"/>
        </w:rPr>
        <w:t>#</w:t>
      </w:r>
      <w:r>
        <w:rPr>
          <w:rFonts w:ascii="Times New Roman" w:cs="Times New Roman"/>
        </w:rPr>
        <w:t>2.8、最小样本量：≤</w:t>
      </w:r>
      <w:r>
        <w:rPr>
          <w:rFonts w:hint="eastAsia" w:ascii="Times New Roman" w:cs="Times New Roman"/>
        </w:rPr>
        <w:t>30</w:t>
      </w:r>
      <w:r>
        <w:rPr>
          <w:rFonts w:ascii="Times New Roman" w:cs="Times New Roman"/>
        </w:rPr>
        <w:t>ul，适合微量样本和稀有样本的检测,以便节省珍贵样本及后续染色抗体的使用量，节约实验成本。</w:t>
      </w:r>
    </w:p>
    <w:p w14:paraId="512A90D9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2.9、脉冲处理信号：≥3参数（同时分析脉冲高度、宽度、面积）。</w:t>
      </w:r>
    </w:p>
    <w:p w14:paraId="50EA590E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2.10、有动态反馈的压力控制系统，可以控制压力变化在±0.005 psi范围内。</w:t>
      </w:r>
    </w:p>
    <w:p w14:paraId="5C5C5FB2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>2.11、交叉污染率：≤0.1％</w:t>
      </w:r>
    </w:p>
    <w:p w14:paraId="4E25CBC1">
      <w:pPr>
        <w:pStyle w:val="7"/>
        <w:spacing w:line="360" w:lineRule="auto"/>
        <w:rPr>
          <w:rFonts w:ascii="Times New Roman" w:cs="Times New Roman"/>
        </w:rPr>
      </w:pPr>
      <w:r>
        <w:rPr>
          <w:rFonts w:ascii="Times New Roman" w:cs="Times New Roman"/>
        </w:rPr>
        <w:t xml:space="preserve">2.12、CV值：≤2%（全峰宽）。 </w:t>
      </w:r>
    </w:p>
    <w:p w14:paraId="2F895711">
      <w:pPr>
        <w:pStyle w:val="7"/>
        <w:spacing w:line="360" w:lineRule="auto"/>
        <w:rPr>
          <w:rFonts w:ascii="Times New Roman" w:cs="Times New Roman"/>
          <w:iCs/>
        </w:rPr>
      </w:pPr>
      <w:r>
        <w:rPr>
          <w:rFonts w:ascii="Times New Roman" w:cs="Times New Roman"/>
          <w:iCs/>
        </w:rPr>
        <w:t>2.13、仪器性能质控：能够提供质控软件和质控品在内全套的质控体系，自动检测仪器性能，以保证检测结果的可靠性。</w:t>
      </w:r>
    </w:p>
    <w:p w14:paraId="456249BF">
      <w:pPr>
        <w:pStyle w:val="7"/>
        <w:spacing w:line="360" w:lineRule="auto"/>
        <w:rPr>
          <w:rFonts w:ascii="Times New Roman" w:cs="Times New Roman"/>
          <w:iCs/>
        </w:rPr>
      </w:pPr>
      <w:r>
        <w:rPr>
          <w:rFonts w:hint="eastAsia" w:ascii="Times New Roman" w:cs="Times New Roman"/>
          <w:iCs/>
        </w:rPr>
        <w:t xml:space="preserve">2.14. </w:t>
      </w:r>
      <w:r>
        <w:rPr>
          <w:rFonts w:ascii="Times New Roman" w:cs="Times New Roman"/>
          <w:iCs/>
        </w:rPr>
        <w:t>具有</w:t>
      </w:r>
      <w:r>
        <w:rPr>
          <w:rFonts w:hint="eastAsia" w:ascii="Times New Roman" w:cs="Times New Roman"/>
          <w:iCs/>
        </w:rPr>
        <w:t>国内NMPA认证及SFDA认证，符合国际标准；</w:t>
      </w:r>
    </w:p>
    <w:p w14:paraId="12E00573">
      <w:pPr>
        <w:pStyle w:val="7"/>
        <w:spacing w:line="360" w:lineRule="auto"/>
        <w:rPr>
          <w:rFonts w:ascii="Times New Roman" w:cs="Times New Roman"/>
          <w:iCs/>
        </w:rPr>
      </w:pPr>
      <w:r>
        <w:rPr>
          <w:rFonts w:hint="eastAsia" w:ascii="Times New Roman" w:cs="Times New Roman"/>
          <w:iCs/>
        </w:rPr>
        <w:t>2.15 生产厂家需获得ISO13485质量管理体系认证。</w:t>
      </w:r>
    </w:p>
    <w:p w14:paraId="33C3E458">
      <w:pPr>
        <w:pStyle w:val="7"/>
        <w:spacing w:line="360" w:lineRule="auto"/>
        <w:rPr>
          <w:rFonts w:ascii="Times New Roman" w:cs="Times New Roman"/>
          <w:b/>
          <w:bCs/>
          <w:iCs/>
        </w:rPr>
      </w:pPr>
      <w:r>
        <w:rPr>
          <w:rFonts w:hint="eastAsia" w:ascii="Times New Roman" w:cs="Times New Roman"/>
          <w:b/>
          <w:bCs/>
          <w:iCs/>
        </w:rPr>
        <w:t>3、配置要求：</w:t>
      </w:r>
    </w:p>
    <w:p w14:paraId="54D43F83">
      <w:pPr>
        <w:pStyle w:val="7"/>
        <w:spacing w:line="360" w:lineRule="auto"/>
        <w:rPr>
          <w:rFonts w:ascii="Times New Roman" w:cs="Times New Roman"/>
          <w:iCs/>
        </w:rPr>
      </w:pPr>
      <w:r>
        <w:rPr>
          <w:rFonts w:hint="eastAsia" w:ascii="Times New Roman" w:cs="Times New Roman"/>
          <w:iCs/>
        </w:rPr>
        <w:t>3.1软件</w:t>
      </w:r>
      <w:r>
        <w:rPr>
          <w:rFonts w:ascii="Times New Roman" w:cs="Times New Roman"/>
          <w:iCs/>
        </w:rPr>
        <w:t>配置：操作系统、数据获取分析软件、临床自动报告软件；</w:t>
      </w:r>
    </w:p>
    <w:p w14:paraId="52C91AA6">
      <w:pPr>
        <w:pStyle w:val="7"/>
        <w:spacing w:line="360" w:lineRule="auto"/>
        <w:rPr>
          <w:rFonts w:hAnsi="宋体"/>
          <w:bCs/>
          <w:color w:val="auto"/>
        </w:rPr>
      </w:pPr>
      <w:r>
        <w:rPr>
          <w:rFonts w:hint="eastAsia" w:ascii="Times New Roman" w:cs="Times New Roman"/>
          <w:iCs/>
        </w:rPr>
        <w:t>3.2硬件</w:t>
      </w:r>
      <w:r>
        <w:rPr>
          <w:rFonts w:ascii="Times New Roman" w:cs="Times New Roman"/>
          <w:iCs/>
        </w:rPr>
        <w:t>配置：</w:t>
      </w:r>
      <w:r>
        <w:rPr>
          <w:rFonts w:hint="eastAsia" w:ascii="Times New Roman" w:cs="Times New Roman"/>
          <w:iCs/>
          <w:lang w:eastAsia="zh-CN"/>
        </w:rPr>
        <w:t>流式细胞分析</w:t>
      </w:r>
      <w:r>
        <w:rPr>
          <w:rFonts w:ascii="Times New Roman" w:cs="Times New Roman"/>
          <w:iCs/>
          <w:color w:val="auto"/>
        </w:rPr>
        <w:t>仪主机一套、显示器一套、打印机一套、</w:t>
      </w:r>
      <w:r>
        <w:rPr>
          <w:rFonts w:hint="eastAsia" w:ascii="Times New Roman" w:cs="Times New Roman"/>
          <w:iCs/>
          <w:color w:val="auto"/>
        </w:rPr>
        <w:t>3</w:t>
      </w:r>
      <w:r>
        <w:rPr>
          <w:rFonts w:ascii="Times New Roman" w:cs="Times New Roman"/>
          <w:iCs/>
          <w:color w:val="auto"/>
        </w:rPr>
        <w:t>KVA稳压电源一套</w:t>
      </w:r>
      <w:r>
        <w:rPr>
          <w:rFonts w:hint="eastAsia" w:ascii="Times New Roman" w:cs="Times New Roman"/>
          <w:iCs/>
          <w:color w:val="auto"/>
        </w:rPr>
        <w:t>、</w:t>
      </w:r>
      <w:r>
        <w:rPr>
          <w:rFonts w:ascii="Times New Roman" w:cs="Times New Roman"/>
          <w:iCs/>
          <w:color w:val="auto"/>
        </w:rPr>
        <w:t>鞘液清洗液一套</w:t>
      </w:r>
      <w:r>
        <w:rPr>
          <w:rFonts w:hint="eastAsia" w:ascii="Times New Roman" w:cs="Times New Roman"/>
          <w:iCs/>
          <w:color w:val="auto"/>
        </w:rPr>
        <w:t>、计算机工作站一套。</w:t>
      </w:r>
    </w:p>
    <w:p w14:paraId="05FB818B"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EF04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84673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3094A">
    <w:pPr>
      <w:pStyle w:val="4"/>
      <w:jc w:val="both"/>
    </w:pPr>
    <w:r>
      <w:rPr>
        <w:rFonts w:hint="eastAsia"/>
        <w:i/>
      </w:rPr>
      <w:t>中国科学院昆明植物研究所</w:t>
    </w:r>
    <w:r>
      <w:rPr>
        <w:rFonts w:hint="eastAsia"/>
        <w:i/>
        <w:lang w:eastAsia="zh-CN"/>
      </w:rPr>
      <w:t>流式细胞分析仪</w:t>
    </w:r>
    <w:r>
      <w:rPr>
        <w:rFonts w:hint="eastAsia"/>
        <w:i/>
      </w:rPr>
      <w:t>采购项目招标文件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77A809E9"/>
    <w:rsid w:val="77A8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2024-07-05T13:16:00Z</dcterms:created>
  <dc:creator>Robin</dc:creator>
  <cp:lastModifiedBy>Robin</cp:lastModifiedBy>
  <dcterms:modified xsi:type="dcterms:W3CDTF">2024-07-05T13:17:05Z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724E01DAABE5450CB7CC519B4A126570_11</vt:lpwstr>
  </property>
</Properties>
</file>