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numPr>
          <w:numId w:val="0"/>
        </w:numPr>
        <w:spacing w:before="0" w:after="0" w:line="360" w:lineRule="auto"/>
        <w:ind w:left="0" w:leftChars="0" w:right="0" w:rightChars="0" w:firstLine="0" w:firstLineChars="0"/>
        <w:jc w:val="center"/>
        <w:rPr>
          <w:rFonts w:ascii="宋体" w:hAnsi="宋体" w:cs="宋体"/>
          <w:sz w:val="28"/>
          <w:szCs w:val="21"/>
        </w:rPr>
      </w:pPr>
      <w:bookmarkStart w:id="0" w:name="_Toc32395"/>
      <w:bookmarkStart w:id="1" w:name="_Toc22402"/>
      <w:bookmarkStart w:id="2" w:name="_Toc520382020"/>
      <w:r>
        <w:rPr>
          <w:rFonts w:hint="eastAsia" w:ascii="宋体" w:hAnsi="宋体" w:cs="宋体"/>
          <w:sz w:val="28"/>
          <w:szCs w:val="28"/>
        </w:rPr>
        <w:t>货物需求一览</w:t>
      </w:r>
      <w:bookmarkStart w:id="4" w:name="_GoBack"/>
      <w:r>
        <w:rPr>
          <w:rFonts w:hint="eastAsia" w:ascii="宋体" w:hAnsi="宋体" w:cs="宋体"/>
          <w:sz w:val="28"/>
          <w:szCs w:val="28"/>
        </w:rPr>
        <w:t>表及技</w:t>
      </w:r>
      <w:bookmarkEnd w:id="4"/>
      <w:r>
        <w:rPr>
          <w:rFonts w:hint="eastAsia" w:ascii="宋体" w:hAnsi="宋体" w:cs="宋体"/>
          <w:sz w:val="28"/>
          <w:szCs w:val="28"/>
        </w:rPr>
        <w:t>术规格</w:t>
      </w:r>
      <w:bookmarkEnd w:id="0"/>
      <w:bookmarkEnd w:id="1"/>
      <w:bookmarkEnd w:id="2"/>
    </w:p>
    <w:p>
      <w:p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（一）采购标的需实现的功能或者目标，为落实政府采购政策需满足的要求</w:t>
      </w:r>
    </w:p>
    <w:p>
      <w:pPr>
        <w:numPr>
          <w:ilvl w:val="0"/>
          <w:numId w:val="1"/>
        </w:numPr>
        <w:spacing w:line="360" w:lineRule="auto"/>
        <w:ind w:firstLine="42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项目背景情况</w:t>
      </w:r>
    </w:p>
    <w:p>
      <w:pPr>
        <w:spacing w:before="120" w:beforeLines="50" w:after="120" w:afterLines="50" w:line="360" w:lineRule="auto"/>
        <w:ind w:firstLine="420"/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>针对一些乏燃料特殊操作场景，仍需要开发新型高B含量或高B</w:t>
      </w:r>
      <w:r>
        <w:rPr>
          <w:rFonts w:ascii="Times New Roman" w:hAnsi="Times New Roman"/>
          <w:szCs w:val="21"/>
          <w:vertAlign w:val="subscript"/>
        </w:rPr>
        <w:t>4</w:t>
      </w:r>
      <w:r>
        <w:rPr>
          <w:rFonts w:ascii="Times New Roman" w:hAnsi="Times New Roman"/>
          <w:szCs w:val="21"/>
        </w:rPr>
        <w:t>Cp含量的复合材料，由此支持我国乏燃料后处理工程的建设与发展。</w:t>
      </w:r>
    </w:p>
    <w:p>
      <w:pPr>
        <w:numPr>
          <w:ilvl w:val="0"/>
          <w:numId w:val="1"/>
        </w:numPr>
        <w:spacing w:line="360" w:lineRule="auto"/>
        <w:ind w:firstLine="42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采购标的实现的功能或者目标</w:t>
      </w:r>
    </w:p>
    <w:p>
      <w:pPr>
        <w:pStyle w:val="2"/>
        <w:ind w:firstLine="420" w:firstLineChars="200"/>
        <w:rPr>
          <w:color w:val="auto"/>
        </w:rPr>
      </w:pPr>
      <w:r>
        <w:rPr>
          <w:rFonts w:hint="eastAsia" w:ascii="宋体" w:hAnsi="宋体" w:cs="宋体"/>
          <w:color w:val="auto"/>
          <w:szCs w:val="21"/>
        </w:rPr>
        <w:t>研制含硼防护材料。</w:t>
      </w:r>
    </w:p>
    <w:p>
      <w:pPr>
        <w:spacing w:before="120" w:beforeLines="50" w:after="120" w:afterLines="50" w:line="360" w:lineRule="auto"/>
        <w:ind w:firstLine="422" w:firstLineChars="200"/>
        <w:jc w:val="left"/>
        <w:rPr>
          <w:rFonts w:ascii="宋体" w:hAnsi="宋体" w:cs="宋体"/>
          <w:b/>
          <w:szCs w:val="21"/>
        </w:rPr>
      </w:pPr>
      <w:r>
        <w:rPr>
          <w:rFonts w:hint="eastAsia" w:ascii="宋体" w:hAnsi="宋体" w:cs="宋体"/>
          <w:b/>
          <w:szCs w:val="21"/>
        </w:rPr>
        <w:t>3、为落实政府采购政策需满足的要求</w:t>
      </w:r>
    </w:p>
    <w:p>
      <w:pPr>
        <w:spacing w:before="120" w:beforeLines="50" w:after="120" w:afterLines="50" w:line="360" w:lineRule="auto"/>
        <w:ind w:firstLine="42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（1）执行《政府采购促进中小企业发展管理办法》（财库〔2020〕46号）；</w:t>
      </w:r>
    </w:p>
    <w:p>
      <w:pPr>
        <w:spacing w:before="120" w:beforeLines="50" w:after="120" w:afterLines="50" w:line="360" w:lineRule="auto"/>
        <w:ind w:firstLine="840" w:firstLineChars="4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采购标的所属行业：</w:t>
      </w:r>
      <w:r>
        <w:rPr>
          <w:rFonts w:hint="eastAsia"/>
        </w:rPr>
        <w:t>其他未列明行业</w:t>
      </w:r>
    </w:p>
    <w:p>
      <w:pPr>
        <w:spacing w:before="120" w:beforeLines="50" w:after="120" w:afterLines="50" w:line="360" w:lineRule="auto"/>
        <w:ind w:firstLine="42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（2）执行《财政部关于开展政府采购信用担保试点工作方案》（财库[2011]124号）；</w:t>
      </w:r>
    </w:p>
    <w:p>
      <w:pPr>
        <w:spacing w:before="120" w:beforeLines="50" w:after="120" w:afterLines="50" w:line="360" w:lineRule="auto"/>
        <w:ind w:firstLine="42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（3）执行《财政部、司法部关于政府采购支持监狱企业发展有关问题的通知》（财库</w:t>
      </w:r>
    </w:p>
    <w:p>
      <w:pPr>
        <w:spacing w:before="120" w:beforeLines="50" w:after="120" w:afterLines="50" w:line="360" w:lineRule="auto"/>
        <w:ind w:firstLine="840" w:firstLineChars="4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[2014]68号）；</w:t>
      </w:r>
    </w:p>
    <w:p>
      <w:pPr>
        <w:numPr>
          <w:ilvl w:val="0"/>
          <w:numId w:val="2"/>
        </w:numPr>
        <w:spacing w:before="120" w:beforeLines="50" w:after="120" w:afterLines="50" w:line="360" w:lineRule="auto"/>
        <w:ind w:firstLine="42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执行《财政部关于在政府采购活动中查询及使用信用记录有关问题的通知》（财</w:t>
      </w:r>
    </w:p>
    <w:p>
      <w:pPr>
        <w:spacing w:before="120" w:beforeLines="50" w:after="120" w:afterLines="50" w:line="360" w:lineRule="auto"/>
        <w:ind w:firstLine="840" w:firstLineChars="4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库[2016]125号）；</w:t>
      </w:r>
    </w:p>
    <w:p>
      <w:pPr>
        <w:numPr>
          <w:ilvl w:val="0"/>
          <w:numId w:val="2"/>
        </w:numPr>
        <w:spacing w:before="120" w:beforeLines="50" w:after="120" w:afterLines="50" w:line="360" w:lineRule="auto"/>
        <w:ind w:firstLine="42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执行《三部门联合发布关于促进残疾人就业政府采购政策的通知》（财库[2017]141</w:t>
      </w:r>
    </w:p>
    <w:p>
      <w:pPr>
        <w:spacing w:before="120" w:beforeLines="50" w:after="120" w:afterLines="50" w:line="360" w:lineRule="auto"/>
        <w:ind w:left="420"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号）。</w:t>
      </w:r>
    </w:p>
    <w:p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（二）采购标的需执行的国家相关标准、行业标准、地方标准或者其他标准、规范</w:t>
      </w:r>
    </w:p>
    <w:p>
      <w:pPr>
        <w:spacing w:before="120" w:beforeLines="50" w:after="120" w:afterLines="50"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无。</w:t>
      </w:r>
    </w:p>
    <w:p>
      <w:pPr>
        <w:numPr>
          <w:ilvl w:val="0"/>
          <w:numId w:val="3"/>
        </w:num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采购技术需求</w:t>
      </w:r>
    </w:p>
    <w:p>
      <w:pPr>
        <w:spacing w:before="120" w:beforeLines="50" w:after="120" w:afterLines="5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招标硼产品项目条件</w:t>
      </w:r>
    </w:p>
    <w:p>
      <w:pPr>
        <w:spacing w:before="120" w:beforeLines="50" w:after="120" w:afterLines="50"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1.本次招标涉及B粉需采用国产硼粉，</w:t>
      </w:r>
      <w:r>
        <w:rPr>
          <w:rFonts w:hint="eastAsia"/>
        </w:rPr>
        <w:t>投标人或制造商</w:t>
      </w:r>
      <w:r>
        <w:rPr>
          <w:rFonts w:hint="eastAsia" w:ascii="宋体" w:hAnsi="宋体" w:cs="宋体"/>
          <w:szCs w:val="21"/>
        </w:rPr>
        <w:t>应具备独立生产金属硼粉的能力。</w:t>
      </w:r>
    </w:p>
    <w:p>
      <w:pPr>
        <w:spacing w:before="120" w:beforeLines="50" w:after="120" w:afterLines="50" w:line="360" w:lineRule="auto"/>
        <w:rPr>
          <w:rFonts w:hint="eastAsia" w:ascii="宋体" w:hAnsi="宋体" w:cs="宋体"/>
          <w:szCs w:val="21"/>
        </w:rPr>
      </w:pPr>
      <w:r>
        <w:rPr>
          <w:rFonts w:ascii="宋体" w:hAnsi="宋体" w:cs="宋体"/>
          <w:szCs w:val="21"/>
        </w:rPr>
        <w:t>*</w:t>
      </w:r>
      <w:r>
        <w:rPr>
          <w:rFonts w:hint="eastAsia" w:ascii="宋体" w:hAnsi="宋体" w:cs="宋体"/>
          <w:szCs w:val="21"/>
        </w:rPr>
        <w:t xml:space="preserve">   2.为保证具有良好的耐辐照性能，硼粉的纯度：≥99.2%。杂质元素含量须满足以下要求：</w:t>
      </w:r>
    </w:p>
    <w:tbl>
      <w:tblPr>
        <w:tblStyle w:val="4"/>
        <w:tblpPr w:leftFromText="180" w:rightFromText="180" w:vertAnchor="text" w:horzAnchor="page" w:tblpX="1873" w:tblpY="294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01"/>
        <w:gridCol w:w="42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28" w:hRule="atLeast"/>
        </w:trPr>
        <w:tc>
          <w:tcPr>
            <w:tcW w:w="8296" w:type="dxa"/>
            <w:gridSpan w:val="2"/>
            <w:noWrap w:val="0"/>
            <w:vAlign w:val="top"/>
          </w:tcPr>
          <w:p>
            <w:pPr>
              <w:spacing w:before="120" w:beforeLines="50" w:after="120" w:afterLines="50" w:line="360" w:lineRule="auto"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bookmarkStart w:id="3" w:name="_Hlk76047438"/>
            <w:r>
              <w:rPr>
                <w:rFonts w:hint="eastAsia" w:ascii="宋体" w:hAnsi="宋体" w:cs="宋体"/>
                <w:color w:val="000000"/>
                <w:szCs w:val="21"/>
              </w:rPr>
              <w:t>杂质元素含量标准（检测设备：ICP光谱）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4001" w:type="dxa"/>
            <w:noWrap w:val="0"/>
            <w:vAlign w:val="top"/>
          </w:tcPr>
          <w:p>
            <w:pPr>
              <w:spacing w:before="120" w:beforeLines="50" w:after="120" w:afterLines="50" w:line="360" w:lineRule="auto"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Sn</w:t>
            </w:r>
          </w:p>
        </w:tc>
        <w:tc>
          <w:tcPr>
            <w:tcW w:w="4295" w:type="dxa"/>
            <w:noWrap w:val="0"/>
            <w:vAlign w:val="top"/>
          </w:tcPr>
          <w:p>
            <w:pPr>
              <w:spacing w:before="120" w:beforeLines="50" w:after="120" w:afterLines="50" w:line="360" w:lineRule="auto"/>
              <w:ind w:firstLine="1050" w:firstLineChars="500"/>
              <w:jc w:val="left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&lt; 30 ppm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4001" w:type="dxa"/>
            <w:noWrap w:val="0"/>
            <w:vAlign w:val="top"/>
          </w:tcPr>
          <w:p>
            <w:pPr>
              <w:spacing w:before="120" w:beforeLines="50" w:after="120" w:afterLines="50" w:line="360" w:lineRule="auto"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As</w:t>
            </w:r>
          </w:p>
        </w:tc>
        <w:tc>
          <w:tcPr>
            <w:tcW w:w="4295" w:type="dxa"/>
            <w:noWrap w:val="0"/>
            <w:vAlign w:val="top"/>
          </w:tcPr>
          <w:p>
            <w:pPr>
              <w:spacing w:before="120" w:beforeLines="50" w:after="120" w:afterLines="50" w:line="360" w:lineRule="auto"/>
              <w:ind w:firstLine="1050" w:firstLineChars="500"/>
              <w:jc w:val="left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&lt; 20 ppm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01" w:type="dxa"/>
            <w:noWrap w:val="0"/>
            <w:vAlign w:val="top"/>
          </w:tcPr>
          <w:p>
            <w:pPr>
              <w:spacing w:before="120" w:beforeLines="50" w:after="120" w:afterLines="50" w:line="360" w:lineRule="auto"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Zn</w:t>
            </w:r>
          </w:p>
        </w:tc>
        <w:tc>
          <w:tcPr>
            <w:tcW w:w="4295" w:type="dxa"/>
            <w:noWrap w:val="0"/>
            <w:vAlign w:val="top"/>
          </w:tcPr>
          <w:p>
            <w:pPr>
              <w:spacing w:before="120" w:beforeLines="50" w:after="120" w:afterLines="50" w:line="360" w:lineRule="auto"/>
              <w:ind w:firstLine="1050" w:firstLineChars="500"/>
              <w:jc w:val="left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&lt; 10 ppm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01" w:type="dxa"/>
            <w:noWrap w:val="0"/>
            <w:vAlign w:val="top"/>
          </w:tcPr>
          <w:p>
            <w:pPr>
              <w:spacing w:before="120" w:beforeLines="50" w:after="120" w:afterLines="50" w:line="360" w:lineRule="auto"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Pb</w:t>
            </w:r>
          </w:p>
        </w:tc>
        <w:tc>
          <w:tcPr>
            <w:tcW w:w="4295" w:type="dxa"/>
            <w:noWrap w:val="0"/>
            <w:vAlign w:val="top"/>
          </w:tcPr>
          <w:p>
            <w:pPr>
              <w:tabs>
                <w:tab w:val="left" w:pos="1332"/>
              </w:tabs>
              <w:spacing w:before="120" w:beforeLines="50" w:after="120" w:afterLines="50" w:line="360" w:lineRule="auto"/>
              <w:ind w:firstLine="1050" w:firstLineChars="500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&lt; 3 ppm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01" w:type="dxa"/>
            <w:noWrap w:val="0"/>
            <w:vAlign w:val="top"/>
          </w:tcPr>
          <w:p>
            <w:pPr>
              <w:spacing w:before="120" w:beforeLines="50" w:after="120" w:afterLines="50" w:line="360" w:lineRule="auto"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Mn</w:t>
            </w:r>
          </w:p>
        </w:tc>
        <w:tc>
          <w:tcPr>
            <w:tcW w:w="4295" w:type="dxa"/>
            <w:noWrap w:val="0"/>
            <w:vAlign w:val="top"/>
          </w:tcPr>
          <w:p>
            <w:pPr>
              <w:spacing w:before="120" w:beforeLines="50" w:after="120" w:afterLines="50" w:line="360" w:lineRule="auto"/>
              <w:ind w:firstLine="1050" w:firstLineChars="500"/>
              <w:jc w:val="left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&lt; 30</w:t>
            </w:r>
            <w:r>
              <w:rPr>
                <w:rFonts w:hint="eastAsia" w:ascii="宋体" w:hAnsi="宋体" w:cs="宋体"/>
                <w:color w:val="000000"/>
                <w:spacing w:val="34"/>
                <w:szCs w:val="21"/>
              </w:rPr>
              <w:t xml:space="preserve">0 </w:t>
            </w:r>
            <w:r>
              <w:rPr>
                <w:rFonts w:hint="eastAsia" w:ascii="宋体" w:hAnsi="宋体" w:cs="宋体"/>
                <w:color w:val="000000"/>
                <w:szCs w:val="21"/>
              </w:rPr>
              <w:t>ppm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01" w:type="dxa"/>
            <w:noWrap w:val="0"/>
            <w:vAlign w:val="top"/>
          </w:tcPr>
          <w:p>
            <w:pPr>
              <w:spacing w:before="120" w:beforeLines="50" w:after="120" w:afterLines="50" w:line="360" w:lineRule="auto"/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Pt</w:t>
            </w:r>
          </w:p>
        </w:tc>
        <w:tc>
          <w:tcPr>
            <w:tcW w:w="4295" w:type="dxa"/>
            <w:noWrap w:val="0"/>
            <w:vAlign w:val="top"/>
          </w:tcPr>
          <w:p>
            <w:pPr>
              <w:spacing w:before="120" w:beforeLines="50" w:after="120" w:afterLines="50" w:line="360" w:lineRule="auto"/>
              <w:ind w:firstLine="1050" w:firstLineChars="500"/>
              <w:jc w:val="left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&lt; 2 ppm</w:t>
            </w:r>
          </w:p>
        </w:tc>
      </w:tr>
      <w:bookmarkEnd w:id="3"/>
    </w:tbl>
    <w:p>
      <w:pPr>
        <w:spacing w:before="120" w:beforeLines="50" w:after="120" w:afterLines="50" w:line="360" w:lineRule="auto"/>
        <w:rPr>
          <w:rFonts w:hint="eastAsia" w:ascii="宋体" w:hAnsi="宋体" w:cs="宋体"/>
          <w:szCs w:val="21"/>
        </w:rPr>
      </w:pPr>
    </w:p>
    <w:p>
      <w:pPr>
        <w:spacing w:before="120" w:beforeLines="50" w:after="120" w:afterLines="50" w:line="360" w:lineRule="auto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*   3.粒径：</w:t>
      </w:r>
      <w:r>
        <w:rPr>
          <w:rFonts w:ascii="Times New Roman" w:hAnsi="Times New Roman"/>
          <w:szCs w:val="21"/>
        </w:rPr>
        <w:t>38</w:t>
      </w:r>
      <w:r>
        <w:rPr>
          <w:rFonts w:hint="eastAsia" w:ascii="Times New Roman" w:hAnsi="Times New Roman"/>
          <w:szCs w:val="21"/>
        </w:rPr>
        <w:t>～</w:t>
      </w:r>
      <w:r>
        <w:rPr>
          <w:rFonts w:ascii="Times New Roman" w:hAnsi="Times New Roman"/>
          <w:szCs w:val="21"/>
        </w:rPr>
        <w:t>75μm</w:t>
      </w:r>
      <w:r>
        <w:rPr>
          <w:rFonts w:hint="eastAsia" w:ascii="宋体" w:hAnsi="宋体" w:cs="宋体"/>
          <w:szCs w:val="21"/>
        </w:rPr>
        <w:t>混合体。</w:t>
      </w:r>
    </w:p>
    <w:p>
      <w:pPr>
        <w:spacing w:before="120" w:beforeLines="50" w:after="120" w:afterLines="50"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4.金属硼粉比重：0.6～0.8之间。</w:t>
      </w:r>
    </w:p>
    <w:p>
      <w:pPr>
        <w:spacing w:before="120" w:beforeLines="50" w:after="120" w:afterLines="50" w:line="360" w:lineRule="auto"/>
        <w:rPr>
          <w:rFonts w:hint="eastAsia" w:ascii="宋体" w:hAnsi="宋体" w:cs="宋体"/>
          <w:szCs w:val="21"/>
        </w:rPr>
      </w:pPr>
      <w:r>
        <w:rPr>
          <w:rFonts w:ascii="宋体" w:hAnsi="宋体" w:cs="宋体"/>
          <w:szCs w:val="21"/>
        </w:rPr>
        <w:t>#</w:t>
      </w:r>
      <w:r>
        <w:rPr>
          <w:rFonts w:hint="eastAsia" w:ascii="宋体" w:hAnsi="宋体" w:cs="宋体"/>
          <w:szCs w:val="21"/>
        </w:rPr>
        <w:t xml:space="preserve">   5.本次招标硼粉约320kg。为保证金属硼粉供货充足且稳定，投标人或制造商相应规格B粉的年产量应不小于500kg，并提供相关的证明。</w:t>
      </w:r>
    </w:p>
    <w:p>
      <w:pPr>
        <w:spacing w:before="120" w:beforeLines="50" w:after="120" w:afterLines="50" w:line="360" w:lineRule="auto"/>
        <w:rPr>
          <w:rFonts w:hint="eastAsia" w:ascii="宋体" w:hAnsi="宋体" w:cs="宋体"/>
          <w:szCs w:val="21"/>
        </w:rPr>
      </w:pPr>
      <w:r>
        <w:rPr>
          <w:rFonts w:ascii="宋体" w:hAnsi="宋体" w:cs="宋体"/>
          <w:szCs w:val="21"/>
        </w:rPr>
        <w:t>#</w:t>
      </w:r>
      <w:r>
        <w:rPr>
          <w:rFonts w:hint="eastAsia" w:ascii="宋体" w:hAnsi="宋体" w:cs="宋体"/>
          <w:szCs w:val="21"/>
        </w:rPr>
        <w:t xml:space="preserve">   6.为保证硼粉的质量，投标人需在投标时提供相应规格硼粉不同批次的质检报告。</w:t>
      </w:r>
    </w:p>
    <w:p>
      <w:pPr>
        <w:spacing w:before="120" w:beforeLines="50" w:after="120" w:afterLines="50" w:line="360" w:lineRule="auto"/>
        <w:ind w:firstLine="420" w:firstLineChars="200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7.为保证硼粉的质量，投标公司需提供质量管理体系认证证书。</w:t>
      </w:r>
    </w:p>
    <w:p>
      <w:pPr>
        <w:pStyle w:val="2"/>
      </w:pPr>
    </w:p>
    <w:p>
      <w:p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（四）采购标的的数量、采购项目交付或者实施的时间和地点</w:t>
      </w:r>
    </w:p>
    <w:p>
      <w:pPr>
        <w:spacing w:line="360" w:lineRule="auto"/>
        <w:jc w:val="center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货物需求一览表</w:t>
      </w:r>
    </w:p>
    <w:tbl>
      <w:tblPr>
        <w:tblStyle w:val="4"/>
        <w:tblW w:w="74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2"/>
        <w:gridCol w:w="2157"/>
        <w:gridCol w:w="1015"/>
        <w:gridCol w:w="34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8" w:hRule="atLeast"/>
          <w:jc w:val="center"/>
        </w:trPr>
        <w:tc>
          <w:tcPr>
            <w:tcW w:w="862" w:type="dxa"/>
            <w:shd w:val="clear" w:color="000000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2157" w:type="dxa"/>
            <w:shd w:val="clear" w:color="000000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设备名称</w:t>
            </w:r>
          </w:p>
        </w:tc>
        <w:tc>
          <w:tcPr>
            <w:tcW w:w="1015" w:type="dxa"/>
            <w:shd w:val="clear" w:color="000000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数量</w:t>
            </w:r>
          </w:p>
        </w:tc>
        <w:tc>
          <w:tcPr>
            <w:tcW w:w="3462" w:type="dxa"/>
            <w:shd w:val="clear" w:color="000000" w:fill="auto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</w:rPr>
              <w:t>项目实施的地点（交货地点）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  <w:jc w:val="center"/>
        </w:trPr>
        <w:tc>
          <w:tcPr>
            <w:tcW w:w="862" w:type="dxa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</w:t>
            </w:r>
          </w:p>
        </w:tc>
        <w:tc>
          <w:tcPr>
            <w:tcW w:w="2157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硼粉</w:t>
            </w:r>
          </w:p>
        </w:tc>
        <w:tc>
          <w:tcPr>
            <w:tcW w:w="1015" w:type="dxa"/>
            <w:noWrap w:val="0"/>
            <w:vAlign w:val="center"/>
          </w:tcPr>
          <w:p>
            <w:pPr>
              <w:spacing w:before="120" w:beforeLines="50" w:after="120" w:afterLines="50" w:line="360" w:lineRule="auto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约320kg</w:t>
            </w:r>
          </w:p>
        </w:tc>
        <w:tc>
          <w:tcPr>
            <w:tcW w:w="3462" w:type="dxa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hAnsi="宋体" w:cs="宋体"/>
                <w:color w:val="00B050"/>
                <w:kern w:val="0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北京理工大学良乡校区</w:t>
            </w:r>
          </w:p>
        </w:tc>
      </w:tr>
    </w:tbl>
    <w:p>
      <w:pPr>
        <w:spacing w:line="360" w:lineRule="auto"/>
        <w:rPr>
          <w:rFonts w:ascii="宋体" w:hAnsi="宋体" w:cs="宋体"/>
          <w:b/>
          <w:bCs/>
          <w:szCs w:val="21"/>
        </w:rPr>
      </w:pPr>
    </w:p>
    <w:p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（五）采购标的需满足的服务标准、期限、效率等要求；</w:t>
      </w:r>
    </w:p>
    <w:p>
      <w:pPr>
        <w:numPr>
          <w:ilvl w:val="0"/>
          <w:numId w:val="4"/>
        </w:numPr>
        <w:spacing w:before="120" w:beforeLines="50" w:after="120" w:afterLines="50" w:line="360" w:lineRule="auto"/>
        <w:ind w:firstLine="420"/>
        <w:rPr>
          <w:rFonts w:ascii="宋体" w:hAnsi="宋体" w:cs="宋体"/>
          <w:szCs w:val="21"/>
          <w:lang w:val="zh-CN"/>
        </w:rPr>
      </w:pPr>
      <w:r>
        <w:rPr>
          <w:rFonts w:hint="eastAsia" w:ascii="宋体" w:hAnsi="宋体" w:cs="宋体"/>
          <w:szCs w:val="21"/>
          <w:lang w:val="zh-CN"/>
        </w:rPr>
        <w:t>交货期（供货周期）：30天</w:t>
      </w:r>
    </w:p>
    <w:p>
      <w:pPr>
        <w:numPr>
          <w:ilvl w:val="0"/>
          <w:numId w:val="4"/>
        </w:numPr>
        <w:spacing w:before="120" w:beforeLines="50" w:after="120" w:afterLines="50" w:line="360" w:lineRule="auto"/>
        <w:ind w:firstLine="420"/>
        <w:rPr>
          <w:rFonts w:ascii="宋体" w:hAnsi="宋体" w:cs="宋体"/>
          <w:szCs w:val="21"/>
          <w:lang w:val="zh-CN"/>
        </w:rPr>
      </w:pPr>
      <w:r>
        <w:rPr>
          <w:rFonts w:hint="eastAsia" w:ascii="宋体" w:hAnsi="宋体" w:cs="宋体"/>
          <w:szCs w:val="21"/>
          <w:lang w:val="zh-CN"/>
        </w:rPr>
        <w:t>交付地点：北京理工大学良乡校区</w:t>
      </w:r>
    </w:p>
    <w:p>
      <w:pPr>
        <w:spacing w:before="120" w:beforeLines="50" w:after="120" w:afterLines="50" w:line="360" w:lineRule="auto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3、质保期和售后服务要求：</w:t>
      </w:r>
    </w:p>
    <w:p>
      <w:pPr>
        <w:spacing w:before="120" w:beforeLines="50" w:after="120" w:afterLines="50" w:line="360" w:lineRule="auto"/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1）自买方确认项目验收合格之日起  10  年，产品免费质保。</w:t>
      </w:r>
    </w:p>
    <w:p>
      <w:pPr>
        <w:spacing w:before="120" w:beforeLines="50" w:after="120" w:afterLines="50" w:line="360" w:lineRule="auto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ascii="宋体" w:hAnsi="宋体" w:cs="宋体"/>
          <w:szCs w:val="21"/>
        </w:rPr>
        <w:t>2</w:t>
      </w:r>
      <w:r>
        <w:rPr>
          <w:rFonts w:hint="eastAsia" w:ascii="宋体" w:hAnsi="宋体" w:cs="宋体"/>
          <w:szCs w:val="21"/>
        </w:rPr>
        <w:t>）必须提供7*24小时售后服务，提供8小时内响应，48小时内解决问题。</w:t>
      </w:r>
    </w:p>
    <w:p>
      <w:pPr>
        <w:spacing w:before="120" w:beforeLines="50" w:after="120" w:afterLines="50" w:line="360" w:lineRule="auto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ascii="宋体" w:hAnsi="宋体" w:cs="宋体"/>
          <w:szCs w:val="21"/>
        </w:rPr>
        <w:t>3</w:t>
      </w:r>
      <w:r>
        <w:rPr>
          <w:rFonts w:hint="eastAsia" w:ascii="宋体" w:hAnsi="宋体" w:cs="宋体"/>
          <w:szCs w:val="21"/>
        </w:rPr>
        <w:t>）可以提供免费的应用答疑。</w:t>
      </w:r>
    </w:p>
    <w:p>
      <w:pPr>
        <w:spacing w:before="120" w:beforeLines="50" w:after="120" w:afterLines="50" w:line="360" w:lineRule="auto"/>
        <w:ind w:firstLine="420" w:firstLineChars="200"/>
        <w:jc w:val="left"/>
        <w:rPr>
          <w:rFonts w:ascii="宋体" w:hAnsi="宋体" w:cs="宋体"/>
        </w:rPr>
      </w:pPr>
      <w:r>
        <w:rPr>
          <w:rFonts w:hint="eastAsia" w:ascii="宋体" w:hAnsi="宋体" w:cs="宋体"/>
          <w:szCs w:val="21"/>
        </w:rPr>
        <w:t>4、合同履</w:t>
      </w:r>
      <w:r>
        <w:rPr>
          <w:rFonts w:hint="eastAsia" w:ascii="宋体" w:hAnsi="宋体" w:cs="宋体"/>
        </w:rPr>
        <w:t>行期限：签订合同之日起至质保期结束之后</w:t>
      </w:r>
    </w:p>
    <w:p>
      <w:pPr>
        <w:spacing w:line="360" w:lineRule="auto"/>
        <w:rPr>
          <w:rFonts w:ascii="宋体" w:hAnsi="宋体" w:cs="宋体"/>
          <w:b/>
          <w:bCs/>
          <w:szCs w:val="21"/>
          <w:lang w:val="zh-CN"/>
        </w:rPr>
      </w:pPr>
      <w:r>
        <w:rPr>
          <w:rFonts w:hint="eastAsia" w:ascii="宋体" w:hAnsi="宋体" w:cs="宋体"/>
          <w:b/>
          <w:bCs/>
          <w:szCs w:val="21"/>
          <w:lang w:val="zh-CN"/>
        </w:rPr>
        <w:t>（</w:t>
      </w:r>
      <w:r>
        <w:rPr>
          <w:rFonts w:hint="eastAsia" w:ascii="宋体" w:hAnsi="宋体" w:cs="宋体"/>
          <w:b/>
          <w:bCs/>
          <w:szCs w:val="21"/>
        </w:rPr>
        <w:t>六</w:t>
      </w:r>
      <w:r>
        <w:rPr>
          <w:rFonts w:hint="eastAsia" w:ascii="宋体" w:hAnsi="宋体" w:cs="宋体"/>
          <w:b/>
          <w:bCs/>
          <w:szCs w:val="21"/>
          <w:lang w:val="zh-CN"/>
        </w:rPr>
        <w:t>）采购标的验收标准；</w:t>
      </w:r>
    </w:p>
    <w:p>
      <w:pPr>
        <w:ind w:firstLine="420" w:firstLineChars="200"/>
      </w:pPr>
      <w:r>
        <w:rPr>
          <w:rFonts w:hint="eastAsia" w:ascii="宋体" w:hAnsi="宋体" w:cs="宋体"/>
          <w:szCs w:val="21"/>
          <w:lang w:val="zh-CN"/>
        </w:rPr>
        <w:t>根据</w:t>
      </w:r>
      <w:r>
        <w:rPr>
          <w:rFonts w:hint="eastAsia" w:ascii="宋体" w:hAnsi="宋体" w:cs="宋体"/>
          <w:szCs w:val="21"/>
        </w:rPr>
        <w:t>招标</w:t>
      </w:r>
      <w:r>
        <w:rPr>
          <w:rFonts w:hint="eastAsia" w:ascii="宋体" w:hAnsi="宋体" w:cs="宋体"/>
          <w:szCs w:val="21"/>
          <w:lang w:val="zh-CN"/>
        </w:rPr>
        <w:t>文件技术要求，进行现场试验验收，完成验收报告。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540AA"/>
    <w:multiLevelType w:val="singleLevel"/>
    <w:tmpl w:val="55E540AA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55E546CD"/>
    <w:multiLevelType w:val="singleLevel"/>
    <w:tmpl w:val="55E546CD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655979EE"/>
    <w:multiLevelType w:val="singleLevel"/>
    <w:tmpl w:val="655979EE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abstractNum w:abstractNumId="3">
    <w:nsid w:val="7E86B11D"/>
    <w:multiLevelType w:val="singleLevel"/>
    <w:tmpl w:val="7E86B11D"/>
    <w:lvl w:ilvl="0" w:tentative="0">
      <w:start w:val="4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5940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lang w:val="en-US" w:eastAsia="zh-CN" w:bidi="ar-SA"/>
    </w:rPr>
  </w:style>
  <w:style w:type="paragraph" w:styleId="3">
    <w:name w:val="heading 1"/>
    <w:basedOn w:val="1"/>
    <w:next w:val="1"/>
    <w:qFormat/>
    <w:uiPriority w:val="9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widowControl/>
      <w:spacing w:line="360" w:lineRule="auto"/>
    </w:pPr>
    <w:rPr>
      <w:color w:val="FF000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guoji</dc:creator>
  <cp:lastModifiedBy>招标代理杨振豪</cp:lastModifiedBy>
  <dcterms:modified xsi:type="dcterms:W3CDTF">2021-10-08T02:35:51Z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