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0EBB11">
      <w:pPr>
        <w:spacing w:line="600" w:lineRule="exact"/>
        <w:jc w:val="center"/>
        <w:outlineLvl w:val="0"/>
        <w:rPr>
          <w:rFonts w:hint="eastAsia" w:ascii="宋体" w:hAnsi="宋体" w:eastAsia="宋体" w:cs="宋体"/>
          <w:color w:val="auto"/>
          <w:sz w:val="52"/>
          <w:highlight w:val="none"/>
        </w:rPr>
      </w:pPr>
    </w:p>
    <w:p w14:paraId="1A347AE3">
      <w:pPr>
        <w:spacing w:line="1600" w:lineRule="exact"/>
        <w:jc w:val="center"/>
        <w:outlineLvl w:val="0"/>
        <w:rPr>
          <w:rFonts w:hint="eastAsia" w:ascii="方正黑体_GBK" w:eastAsia="方正黑体_GBK"/>
          <w:color w:val="auto"/>
          <w:sz w:val="100"/>
          <w:highlight w:val="none"/>
        </w:rPr>
      </w:pPr>
      <w:r>
        <w:rPr>
          <w:rFonts w:hint="eastAsia" w:ascii="方正黑体_GBK" w:eastAsia="方正黑体_GBK"/>
          <w:color w:val="auto"/>
          <w:sz w:val="100"/>
          <w:highlight w:val="none"/>
        </w:rPr>
        <w:t>政府采购</w:t>
      </w:r>
    </w:p>
    <w:p w14:paraId="6F87CB40">
      <w:pPr>
        <w:spacing w:line="1600" w:lineRule="exact"/>
        <w:jc w:val="center"/>
        <w:outlineLvl w:val="0"/>
        <w:rPr>
          <w:rFonts w:hint="eastAsia" w:ascii="方正黑体_GBK" w:hAnsi="宋体" w:eastAsia="方正黑体_GBK"/>
          <w:color w:val="auto"/>
          <w:sz w:val="130"/>
          <w:szCs w:val="130"/>
          <w:highlight w:val="none"/>
        </w:rPr>
      </w:pPr>
      <w:r>
        <w:rPr>
          <w:rFonts w:hint="eastAsia" w:ascii="方正黑体_GBK" w:hAnsi="宋体" w:eastAsia="方正黑体_GBK"/>
          <w:color w:val="auto"/>
          <w:sz w:val="130"/>
          <w:szCs w:val="130"/>
          <w:highlight w:val="none"/>
        </w:rPr>
        <w:t>招 标 文 件</w:t>
      </w:r>
    </w:p>
    <w:p w14:paraId="49FE39F2">
      <w:pPr>
        <w:pStyle w:val="23"/>
        <w:spacing w:line="500" w:lineRule="exact"/>
        <w:ind w:left="0"/>
        <w:jc w:val="center"/>
        <w:rPr>
          <w:rFonts w:hint="eastAsia" w:ascii="方正黑体_GBK" w:eastAsia="方正黑体_GBK"/>
          <w:color w:val="auto"/>
          <w:sz w:val="32"/>
          <w:highlight w:val="none"/>
        </w:rPr>
      </w:pPr>
    </w:p>
    <w:p w14:paraId="58472E57">
      <w:pPr>
        <w:pStyle w:val="23"/>
        <w:spacing w:line="500" w:lineRule="exact"/>
        <w:ind w:left="0"/>
        <w:jc w:val="center"/>
        <w:rPr>
          <w:rFonts w:hint="eastAsia" w:ascii="方正黑体_GBK" w:eastAsia="方正黑体_GBK"/>
          <w:color w:val="auto"/>
          <w:sz w:val="32"/>
          <w:highlight w:val="none"/>
        </w:rPr>
      </w:pPr>
    </w:p>
    <w:p w14:paraId="20CF6D9B">
      <w:pPr>
        <w:pStyle w:val="23"/>
        <w:spacing w:line="500" w:lineRule="exact"/>
        <w:ind w:left="0"/>
        <w:jc w:val="center"/>
        <w:rPr>
          <w:rFonts w:hint="eastAsia" w:ascii="方正黑体_GBK" w:eastAsia="方正黑体_GBK"/>
          <w:color w:val="auto"/>
          <w:sz w:val="32"/>
          <w:highlight w:val="none"/>
        </w:rPr>
      </w:pPr>
    </w:p>
    <w:p w14:paraId="30B7A23A">
      <w:pPr>
        <w:pStyle w:val="23"/>
        <w:spacing w:line="500" w:lineRule="exact"/>
        <w:ind w:left="0"/>
        <w:jc w:val="center"/>
        <w:rPr>
          <w:rFonts w:hint="eastAsia" w:ascii="方正黑体_GBK" w:eastAsia="方正黑体_GBK"/>
          <w:color w:val="auto"/>
          <w:sz w:val="32"/>
          <w:highlight w:val="none"/>
        </w:rPr>
      </w:pPr>
    </w:p>
    <w:p w14:paraId="44F9A66A">
      <w:pPr>
        <w:pStyle w:val="23"/>
        <w:spacing w:line="500" w:lineRule="exact"/>
        <w:ind w:left="0"/>
        <w:jc w:val="center"/>
        <w:rPr>
          <w:rFonts w:hint="eastAsia" w:ascii="方正小标宋_GBK" w:eastAsia="方正小标宋_GBK"/>
          <w:color w:val="auto"/>
          <w:sz w:val="32"/>
          <w:highlight w:val="none"/>
        </w:rPr>
      </w:pPr>
    </w:p>
    <w:p w14:paraId="3D6FD75C">
      <w:pPr>
        <w:spacing w:line="500" w:lineRule="exact"/>
        <w:ind w:firstLine="2340" w:firstLineChars="650"/>
        <w:outlineLvl w:val="0"/>
        <w:rPr>
          <w:rFonts w:hint="eastAsia" w:ascii="方正小标宋_GBK" w:hAnsi="宋体" w:eastAsia="方正小标宋_GBK"/>
          <w:color w:val="auto"/>
          <w:sz w:val="36"/>
          <w:szCs w:val="36"/>
          <w:highlight w:val="none"/>
        </w:rPr>
      </w:pPr>
      <w:r>
        <w:rPr>
          <w:rFonts w:hint="eastAsia" w:ascii="方正小标宋_GBK" w:hAnsi="宋体" w:eastAsia="方正小标宋_GBK"/>
          <w:color w:val="auto"/>
          <w:sz w:val="36"/>
          <w:szCs w:val="36"/>
          <w:highlight w:val="none"/>
          <w:lang w:eastAsia="zh-CN"/>
        </w:rPr>
        <w:t>项</w:t>
      </w:r>
      <w:r>
        <w:rPr>
          <w:rFonts w:hint="eastAsia" w:ascii="方正小标宋_GBK" w:hAnsi="宋体" w:eastAsia="方正小标宋_GBK"/>
          <w:color w:val="auto"/>
          <w:sz w:val="36"/>
          <w:szCs w:val="36"/>
          <w:highlight w:val="none"/>
          <w:lang w:val="en-US" w:eastAsia="zh-CN"/>
        </w:rPr>
        <w:t xml:space="preserve">  </w:t>
      </w:r>
      <w:r>
        <w:rPr>
          <w:rFonts w:hint="eastAsia" w:ascii="方正小标宋_GBK" w:hAnsi="宋体" w:eastAsia="方正小标宋_GBK"/>
          <w:color w:val="auto"/>
          <w:sz w:val="36"/>
          <w:szCs w:val="36"/>
          <w:highlight w:val="none"/>
          <w:lang w:eastAsia="zh-CN"/>
        </w:rPr>
        <w:t>目</w:t>
      </w:r>
      <w:r>
        <w:rPr>
          <w:rFonts w:hint="eastAsia" w:ascii="方正小标宋_GBK" w:hAnsi="宋体" w:eastAsia="方正小标宋_GBK"/>
          <w:color w:val="auto"/>
          <w:sz w:val="36"/>
          <w:szCs w:val="36"/>
          <w:highlight w:val="none"/>
          <w:lang w:val="en-US" w:eastAsia="zh-CN"/>
        </w:rPr>
        <w:t xml:space="preserve">  </w:t>
      </w:r>
      <w:r>
        <w:rPr>
          <w:rFonts w:hint="eastAsia" w:ascii="方正小标宋_GBK" w:hAnsi="宋体" w:eastAsia="方正小标宋_GBK"/>
          <w:color w:val="auto"/>
          <w:sz w:val="36"/>
          <w:szCs w:val="36"/>
          <w:highlight w:val="none"/>
          <w:lang w:eastAsia="zh-CN"/>
        </w:rPr>
        <w:t>号</w:t>
      </w:r>
      <w:r>
        <w:rPr>
          <w:rFonts w:hint="eastAsia" w:ascii="方正小标宋_GBK" w:hAnsi="宋体" w:eastAsia="方正小标宋_GBK"/>
          <w:color w:val="auto"/>
          <w:sz w:val="36"/>
          <w:szCs w:val="36"/>
          <w:highlight w:val="none"/>
        </w:rPr>
        <w:t>：26WC0123</w:t>
      </w:r>
    </w:p>
    <w:p w14:paraId="792B5D5E">
      <w:pPr>
        <w:spacing w:line="500" w:lineRule="exact"/>
        <w:ind w:firstLine="2340" w:firstLineChars="650"/>
        <w:outlineLvl w:val="0"/>
        <w:rPr>
          <w:rFonts w:hint="eastAsia" w:ascii="方正小标宋_GBK" w:hAnsi="宋体" w:eastAsia="方正小标宋_GBK"/>
          <w:color w:val="auto"/>
          <w:sz w:val="36"/>
          <w:szCs w:val="36"/>
          <w:highlight w:val="none"/>
        </w:rPr>
      </w:pPr>
      <w:r>
        <w:rPr>
          <w:rFonts w:hint="eastAsia" w:ascii="方正小标宋_GBK" w:hAnsi="宋体" w:eastAsia="方正小标宋_GBK"/>
          <w:color w:val="auto"/>
          <w:sz w:val="36"/>
          <w:szCs w:val="36"/>
          <w:highlight w:val="none"/>
        </w:rPr>
        <w:t>采购执行编号：ZC-GZ-26001006</w:t>
      </w:r>
      <w:r>
        <w:rPr>
          <w:rFonts w:hint="eastAsia" w:ascii="方正小标宋_GBK" w:hAnsi="宋体" w:eastAsia="方正小标宋_GBK"/>
          <w:color w:val="auto"/>
          <w:sz w:val="36"/>
          <w:szCs w:val="36"/>
          <w:highlight w:val="none"/>
        </w:rPr>
        <w:tab/>
      </w:r>
      <w:r>
        <w:rPr>
          <w:rFonts w:hint="eastAsia" w:ascii="方正小标宋_GBK" w:hAnsi="宋体" w:eastAsia="方正小标宋_GBK"/>
          <w:color w:val="auto"/>
          <w:sz w:val="36"/>
          <w:szCs w:val="36"/>
          <w:highlight w:val="none"/>
        </w:rPr>
        <w:t xml:space="preserve"> </w:t>
      </w:r>
    </w:p>
    <w:p w14:paraId="5F4E1F09">
      <w:pPr>
        <w:pStyle w:val="23"/>
        <w:spacing w:line="500" w:lineRule="exact"/>
        <w:ind w:left="0"/>
        <w:jc w:val="center"/>
        <w:rPr>
          <w:rFonts w:hint="eastAsia" w:ascii="方正小标宋_GBK" w:eastAsia="方正小标宋_GBK"/>
          <w:color w:val="auto"/>
          <w:sz w:val="32"/>
          <w:highlight w:val="none"/>
          <w:lang w:eastAsia="zh-CN"/>
        </w:rPr>
      </w:pPr>
      <w:r>
        <w:rPr>
          <w:rFonts w:hint="eastAsia" w:ascii="方正小标宋_GBK" w:hAnsi="宋体" w:eastAsia="方正小标宋_GBK"/>
          <w:color w:val="auto"/>
          <w:sz w:val="36"/>
          <w:szCs w:val="36"/>
          <w:highlight w:val="none"/>
          <w:lang w:val="en-US" w:eastAsia="zh-CN"/>
        </w:rPr>
        <w:t xml:space="preserve">             </w:t>
      </w:r>
      <w:r>
        <w:rPr>
          <w:rFonts w:hint="eastAsia" w:ascii="方正小标宋_GBK" w:hAnsi="宋体" w:eastAsia="方正小标宋_GBK"/>
          <w:color w:val="auto"/>
          <w:sz w:val="36"/>
          <w:szCs w:val="36"/>
          <w:highlight w:val="none"/>
        </w:rPr>
        <w:t>招标项目名称：</w:t>
      </w:r>
      <w:r>
        <w:rPr>
          <w:rFonts w:hint="eastAsia" w:ascii="方正小标宋_GBK" w:hAnsi="宋体" w:eastAsia="方正小标宋_GBK"/>
          <w:color w:val="auto"/>
          <w:sz w:val="36"/>
          <w:szCs w:val="36"/>
          <w:highlight w:val="none"/>
          <w:lang w:eastAsia="zh-CN"/>
        </w:rPr>
        <w:t>成都消防救援机动支队主副食配送服务采购项目</w:t>
      </w:r>
    </w:p>
    <w:p w14:paraId="1FB2B5AD">
      <w:pPr>
        <w:pStyle w:val="23"/>
        <w:spacing w:line="500" w:lineRule="exact"/>
        <w:ind w:left="0"/>
        <w:jc w:val="center"/>
        <w:rPr>
          <w:rFonts w:hint="eastAsia" w:ascii="方正小标宋_GBK" w:eastAsia="方正小标宋_GBK"/>
          <w:color w:val="auto"/>
          <w:sz w:val="32"/>
          <w:highlight w:val="none"/>
        </w:rPr>
      </w:pPr>
    </w:p>
    <w:p w14:paraId="2B155485">
      <w:pPr>
        <w:pStyle w:val="23"/>
        <w:spacing w:line="500" w:lineRule="exact"/>
        <w:ind w:left="0"/>
        <w:jc w:val="center"/>
        <w:rPr>
          <w:rFonts w:hint="eastAsia" w:ascii="方正小标宋_GBK" w:eastAsia="方正小标宋_GBK"/>
          <w:color w:val="auto"/>
          <w:sz w:val="32"/>
          <w:highlight w:val="none"/>
        </w:rPr>
      </w:pPr>
    </w:p>
    <w:p w14:paraId="7A3239FA">
      <w:pPr>
        <w:pStyle w:val="23"/>
        <w:spacing w:line="500" w:lineRule="exact"/>
        <w:ind w:left="0"/>
        <w:jc w:val="center"/>
        <w:rPr>
          <w:rFonts w:hint="eastAsia" w:ascii="方正小标宋_GBK" w:eastAsia="方正小标宋_GBK"/>
          <w:color w:val="auto"/>
          <w:sz w:val="32"/>
          <w:highlight w:val="none"/>
        </w:rPr>
      </w:pPr>
    </w:p>
    <w:p w14:paraId="3A358F58">
      <w:pPr>
        <w:pStyle w:val="23"/>
        <w:spacing w:line="500" w:lineRule="exact"/>
        <w:ind w:left="0"/>
        <w:jc w:val="center"/>
        <w:rPr>
          <w:rFonts w:hint="eastAsia" w:ascii="方正小标宋_GBK" w:eastAsia="方正小标宋_GBK"/>
          <w:color w:val="auto"/>
          <w:sz w:val="32"/>
          <w:highlight w:val="none"/>
        </w:rPr>
      </w:pPr>
    </w:p>
    <w:p w14:paraId="596ABD89">
      <w:pPr>
        <w:spacing w:line="500" w:lineRule="exact"/>
        <w:jc w:val="center"/>
        <w:rPr>
          <w:rFonts w:hint="eastAsia" w:ascii="方正小标宋_GBK" w:eastAsia="方正小标宋_GBK"/>
          <w:color w:val="auto"/>
          <w:sz w:val="32"/>
          <w:highlight w:val="none"/>
        </w:rPr>
      </w:pPr>
    </w:p>
    <w:p w14:paraId="2E9730DE">
      <w:pPr>
        <w:spacing w:line="500" w:lineRule="exact"/>
        <w:jc w:val="center"/>
        <w:rPr>
          <w:rFonts w:hint="eastAsia" w:ascii="方正小标宋_GBK" w:eastAsia="方正小标宋_GBK"/>
          <w:color w:val="auto"/>
          <w:sz w:val="36"/>
          <w:szCs w:val="36"/>
          <w:highlight w:val="none"/>
        </w:rPr>
      </w:pPr>
    </w:p>
    <w:p w14:paraId="3841F945">
      <w:pPr>
        <w:spacing w:line="500" w:lineRule="exact"/>
        <w:jc w:val="center"/>
        <w:outlineLvl w:val="0"/>
        <w:rPr>
          <w:rFonts w:hint="eastAsia" w:ascii="方正小标宋_GBK" w:eastAsia="方正小标宋_GBK"/>
          <w:color w:val="auto"/>
          <w:sz w:val="36"/>
          <w:szCs w:val="36"/>
          <w:highlight w:val="none"/>
          <w:lang w:eastAsia="zh-CN"/>
        </w:rPr>
      </w:pPr>
      <w:r>
        <w:rPr>
          <w:rFonts w:hint="eastAsia" w:ascii="方正小标宋_GBK" w:eastAsia="方正小标宋_GBK"/>
          <w:color w:val="auto"/>
          <w:sz w:val="36"/>
          <w:szCs w:val="36"/>
          <w:highlight w:val="none"/>
        </w:rPr>
        <w:t>采购人：</w:t>
      </w:r>
      <w:r>
        <w:rPr>
          <w:rFonts w:hint="eastAsia" w:ascii="方正小标宋_GBK" w:eastAsia="方正小标宋_GBK"/>
          <w:color w:val="auto"/>
          <w:sz w:val="36"/>
          <w:szCs w:val="36"/>
          <w:highlight w:val="none"/>
          <w:lang w:eastAsia="zh-CN"/>
        </w:rPr>
        <w:t>四川消防救援机动总队</w:t>
      </w:r>
    </w:p>
    <w:p w14:paraId="22F97436">
      <w:pPr>
        <w:spacing w:line="500" w:lineRule="exact"/>
        <w:jc w:val="center"/>
        <w:outlineLvl w:val="0"/>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t>采购代理机构：重庆市政府采购中心</w:t>
      </w:r>
    </w:p>
    <w:p w14:paraId="2A53FA50">
      <w:pPr>
        <w:snapToGrid w:val="0"/>
        <w:spacing w:line="500" w:lineRule="exact"/>
        <w:jc w:val="center"/>
        <w:rPr>
          <w:rFonts w:hint="eastAsia" w:ascii="方正小标宋_GBK" w:eastAsia="方正小标宋_GBK"/>
          <w:color w:val="auto"/>
          <w:sz w:val="36"/>
          <w:szCs w:val="36"/>
          <w:highlight w:val="none"/>
        </w:rPr>
      </w:pPr>
    </w:p>
    <w:p w14:paraId="0D690252">
      <w:pPr>
        <w:snapToGrid w:val="0"/>
        <w:spacing w:line="500" w:lineRule="exact"/>
        <w:jc w:val="center"/>
        <w:rPr>
          <w:rFonts w:hint="eastAsia" w:ascii="宋体" w:hAnsi="宋体" w:eastAsia="宋体" w:cs="宋体"/>
          <w:color w:val="auto"/>
          <w:sz w:val="36"/>
          <w:szCs w:val="36"/>
          <w:highlight w:val="none"/>
        </w:rPr>
      </w:pPr>
      <w:r>
        <w:rPr>
          <w:rFonts w:hint="eastAsia" w:ascii="方正小标宋_GBK" w:eastAsia="方正小标宋_GBK"/>
          <w:color w:val="auto"/>
          <w:sz w:val="36"/>
          <w:szCs w:val="36"/>
          <w:highlight w:val="none"/>
        </w:rPr>
        <w:t>二○二</w:t>
      </w:r>
      <w:r>
        <w:rPr>
          <w:rFonts w:hint="eastAsia" w:ascii="方正小标宋_GBK" w:eastAsia="方正小标宋_GBK"/>
          <w:color w:val="auto"/>
          <w:sz w:val="36"/>
          <w:szCs w:val="36"/>
          <w:highlight w:val="none"/>
          <w:lang w:val="en-US" w:eastAsia="zh-CN"/>
        </w:rPr>
        <w:t>六</w:t>
      </w:r>
      <w:r>
        <w:rPr>
          <w:rFonts w:hint="eastAsia" w:ascii="方正小标宋_GBK" w:eastAsia="方正小标宋_GBK"/>
          <w:color w:val="auto"/>
          <w:sz w:val="36"/>
          <w:szCs w:val="36"/>
          <w:highlight w:val="none"/>
        </w:rPr>
        <w:t>年</w:t>
      </w:r>
      <w:r>
        <w:rPr>
          <w:rFonts w:hint="eastAsia" w:ascii="方正小标宋_GBK" w:eastAsia="方正小标宋_GBK"/>
          <w:color w:val="auto"/>
          <w:sz w:val="36"/>
          <w:szCs w:val="36"/>
          <w:highlight w:val="none"/>
          <w:lang w:eastAsia="zh-CN"/>
        </w:rPr>
        <w:t>七</w:t>
      </w:r>
      <w:r>
        <w:rPr>
          <w:rFonts w:hint="eastAsia" w:ascii="方正小标宋_GBK" w:eastAsia="方正小标宋_GBK"/>
          <w:color w:val="auto"/>
          <w:sz w:val="36"/>
          <w:szCs w:val="36"/>
          <w:highlight w:val="none"/>
        </w:rPr>
        <w:t>月</w:t>
      </w:r>
    </w:p>
    <w:p w14:paraId="538B7C0C">
      <w:pPr>
        <w:snapToGrid w:val="0"/>
        <w:spacing w:line="500" w:lineRule="exact"/>
        <w:rPr>
          <w:rFonts w:hint="eastAsia" w:ascii="宋体" w:hAnsi="宋体" w:eastAsia="宋体" w:cs="宋体"/>
          <w:color w:val="auto"/>
          <w:sz w:val="44"/>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76DCCDF4">
      <w:pPr>
        <w:snapToGrid w:val="0"/>
        <w:spacing w:line="50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14:paraId="0770BE69">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TOC \o "1-2" \h \z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_Toc1479796547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第一篇 投标邀请书</w:t>
      </w:r>
      <w:r>
        <w:rPr>
          <w:color w:val="auto"/>
          <w:highlight w:val="none"/>
        </w:rPr>
        <w:tab/>
      </w:r>
      <w:r>
        <w:rPr>
          <w:color w:val="auto"/>
          <w:highlight w:val="none"/>
        </w:rPr>
        <w:fldChar w:fldCharType="begin"/>
      </w:r>
      <w:r>
        <w:rPr>
          <w:color w:val="auto"/>
          <w:highlight w:val="none"/>
        </w:rPr>
        <w:instrText xml:space="preserve"> PAGEREF _Toc1479796547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eastAsia="宋体" w:cs="宋体"/>
          <w:color w:val="auto"/>
          <w:szCs w:val="21"/>
          <w:highlight w:val="none"/>
        </w:rPr>
        <w:fldChar w:fldCharType="end"/>
      </w:r>
    </w:p>
    <w:p w14:paraId="640E7CC6">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_Toc47002220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一、招标项目内容</w:t>
      </w:r>
      <w:r>
        <w:rPr>
          <w:color w:val="auto"/>
          <w:highlight w:val="none"/>
        </w:rPr>
        <w:tab/>
      </w:r>
      <w:r>
        <w:rPr>
          <w:color w:val="auto"/>
          <w:highlight w:val="none"/>
        </w:rPr>
        <w:fldChar w:fldCharType="begin"/>
      </w:r>
      <w:r>
        <w:rPr>
          <w:color w:val="auto"/>
          <w:highlight w:val="none"/>
        </w:rPr>
        <w:instrText xml:space="preserve"> PAGEREF _Toc47002220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eastAsia="宋体" w:cs="宋体"/>
          <w:color w:val="auto"/>
          <w:szCs w:val="21"/>
          <w:highlight w:val="none"/>
        </w:rPr>
        <w:fldChar w:fldCharType="end"/>
      </w:r>
    </w:p>
    <w:p w14:paraId="2C7F80D2">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_Toc144053752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二、资金来源</w:t>
      </w:r>
      <w:r>
        <w:rPr>
          <w:color w:val="auto"/>
          <w:highlight w:val="none"/>
        </w:rPr>
        <w:tab/>
      </w:r>
      <w:r>
        <w:rPr>
          <w:color w:val="auto"/>
          <w:highlight w:val="none"/>
        </w:rPr>
        <w:fldChar w:fldCharType="begin"/>
      </w:r>
      <w:r>
        <w:rPr>
          <w:color w:val="auto"/>
          <w:highlight w:val="none"/>
        </w:rPr>
        <w:instrText xml:space="preserve"> PAGEREF _Toc144053752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eastAsia="宋体" w:cs="宋体"/>
          <w:color w:val="auto"/>
          <w:szCs w:val="21"/>
          <w:highlight w:val="none"/>
        </w:rPr>
        <w:fldChar w:fldCharType="end"/>
      </w:r>
    </w:p>
    <w:p w14:paraId="283BC8BB">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_Toc145446413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_Toc145446413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eastAsia="宋体" w:cs="宋体"/>
          <w:color w:val="auto"/>
          <w:szCs w:val="21"/>
          <w:highlight w:val="none"/>
        </w:rPr>
        <w:fldChar w:fldCharType="end"/>
      </w:r>
    </w:p>
    <w:p w14:paraId="10F395A5">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_Toc405214705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四、投标、开标有关说明</w:t>
      </w:r>
      <w:r>
        <w:rPr>
          <w:color w:val="auto"/>
          <w:highlight w:val="none"/>
        </w:rPr>
        <w:tab/>
      </w:r>
      <w:r>
        <w:rPr>
          <w:color w:val="auto"/>
          <w:highlight w:val="none"/>
        </w:rPr>
        <w:fldChar w:fldCharType="begin"/>
      </w:r>
      <w:r>
        <w:rPr>
          <w:color w:val="auto"/>
          <w:highlight w:val="none"/>
        </w:rPr>
        <w:instrText xml:space="preserve"> PAGEREF _Toc405214705 \h </w:instrText>
      </w:r>
      <w:r>
        <w:rPr>
          <w:color w:val="auto"/>
          <w:highlight w:val="none"/>
        </w:rPr>
        <w:fldChar w:fldCharType="separate"/>
      </w:r>
      <w:r>
        <w:rPr>
          <w:color w:val="auto"/>
          <w:highlight w:val="none"/>
        </w:rPr>
        <w:t>- 3 -</w:t>
      </w:r>
      <w:r>
        <w:rPr>
          <w:color w:val="auto"/>
          <w:highlight w:val="none"/>
        </w:rPr>
        <w:fldChar w:fldCharType="end"/>
      </w:r>
      <w:r>
        <w:rPr>
          <w:rFonts w:hint="eastAsia" w:ascii="宋体" w:hAnsi="宋体" w:eastAsia="宋体" w:cs="宋体"/>
          <w:color w:val="auto"/>
          <w:szCs w:val="21"/>
          <w:highlight w:val="none"/>
        </w:rPr>
        <w:fldChar w:fldCharType="end"/>
      </w:r>
    </w:p>
    <w:p w14:paraId="17067F88">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_Toc1271527717 </w:instrText>
      </w:r>
      <w:r>
        <w:rPr>
          <w:rFonts w:hint="eastAsia" w:ascii="宋体" w:hAnsi="宋体" w:eastAsia="宋体" w:cs="宋体"/>
          <w:color w:val="auto"/>
          <w:szCs w:val="21"/>
          <w:highlight w:val="none"/>
        </w:rPr>
        <w:fldChar w:fldCharType="separate"/>
      </w:r>
      <w:r>
        <w:rPr>
          <w:rFonts w:hint="eastAsia" w:cs="宋体"/>
          <w:color w:val="auto"/>
          <w:highlight w:val="none"/>
        </w:rPr>
        <w:t>五、投标保证金</w:t>
      </w:r>
      <w:r>
        <w:rPr>
          <w:color w:val="auto"/>
          <w:highlight w:val="none"/>
        </w:rPr>
        <w:tab/>
      </w:r>
      <w:r>
        <w:rPr>
          <w:color w:val="auto"/>
          <w:highlight w:val="none"/>
        </w:rPr>
        <w:fldChar w:fldCharType="begin"/>
      </w:r>
      <w:r>
        <w:rPr>
          <w:color w:val="auto"/>
          <w:highlight w:val="none"/>
        </w:rPr>
        <w:instrText xml:space="preserve"> PAGEREF _Toc1271527717 \h </w:instrText>
      </w:r>
      <w:r>
        <w:rPr>
          <w:color w:val="auto"/>
          <w:highlight w:val="none"/>
        </w:rPr>
        <w:fldChar w:fldCharType="separate"/>
      </w:r>
      <w:r>
        <w:rPr>
          <w:color w:val="auto"/>
          <w:highlight w:val="none"/>
        </w:rPr>
        <w:t>- 6 -</w:t>
      </w:r>
      <w:r>
        <w:rPr>
          <w:color w:val="auto"/>
          <w:highlight w:val="none"/>
        </w:rPr>
        <w:fldChar w:fldCharType="end"/>
      </w:r>
      <w:r>
        <w:rPr>
          <w:rFonts w:hint="eastAsia" w:ascii="宋体" w:hAnsi="宋体" w:eastAsia="宋体" w:cs="宋体"/>
          <w:color w:val="auto"/>
          <w:szCs w:val="21"/>
          <w:highlight w:val="none"/>
        </w:rPr>
        <w:fldChar w:fldCharType="end"/>
      </w:r>
    </w:p>
    <w:p w14:paraId="7119074E">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_Toc1450511810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六、采购项目需落实的政府采购政策</w:t>
      </w:r>
      <w:r>
        <w:rPr>
          <w:color w:val="auto"/>
          <w:highlight w:val="none"/>
        </w:rPr>
        <w:tab/>
      </w:r>
      <w:r>
        <w:rPr>
          <w:color w:val="auto"/>
          <w:highlight w:val="none"/>
        </w:rPr>
        <w:fldChar w:fldCharType="begin"/>
      </w:r>
      <w:r>
        <w:rPr>
          <w:color w:val="auto"/>
          <w:highlight w:val="none"/>
        </w:rPr>
        <w:instrText xml:space="preserve"> PAGEREF _Toc1450511810 \h </w:instrText>
      </w:r>
      <w:r>
        <w:rPr>
          <w:color w:val="auto"/>
          <w:highlight w:val="none"/>
        </w:rPr>
        <w:fldChar w:fldCharType="separate"/>
      </w:r>
      <w:r>
        <w:rPr>
          <w:color w:val="auto"/>
          <w:highlight w:val="none"/>
        </w:rPr>
        <w:t>- 7 -</w:t>
      </w:r>
      <w:r>
        <w:rPr>
          <w:color w:val="auto"/>
          <w:highlight w:val="none"/>
        </w:rPr>
        <w:fldChar w:fldCharType="end"/>
      </w:r>
      <w:r>
        <w:rPr>
          <w:rFonts w:hint="eastAsia" w:ascii="宋体" w:hAnsi="宋体" w:eastAsia="宋体" w:cs="宋体"/>
          <w:color w:val="auto"/>
          <w:szCs w:val="21"/>
          <w:highlight w:val="none"/>
        </w:rPr>
        <w:fldChar w:fldCharType="end"/>
      </w:r>
    </w:p>
    <w:p w14:paraId="620DE745">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_Toc1835779163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七、投标有关规定</w:t>
      </w:r>
      <w:r>
        <w:rPr>
          <w:color w:val="auto"/>
          <w:highlight w:val="none"/>
        </w:rPr>
        <w:tab/>
      </w:r>
      <w:r>
        <w:rPr>
          <w:color w:val="auto"/>
          <w:highlight w:val="none"/>
        </w:rPr>
        <w:fldChar w:fldCharType="begin"/>
      </w:r>
      <w:r>
        <w:rPr>
          <w:color w:val="auto"/>
          <w:highlight w:val="none"/>
        </w:rPr>
        <w:instrText xml:space="preserve"> PAGEREF _Toc1835779163 \h </w:instrText>
      </w:r>
      <w:r>
        <w:rPr>
          <w:color w:val="auto"/>
          <w:highlight w:val="none"/>
        </w:rPr>
        <w:fldChar w:fldCharType="separate"/>
      </w:r>
      <w:r>
        <w:rPr>
          <w:color w:val="auto"/>
          <w:highlight w:val="none"/>
        </w:rPr>
        <w:t>- 7 -</w:t>
      </w:r>
      <w:r>
        <w:rPr>
          <w:color w:val="auto"/>
          <w:highlight w:val="none"/>
        </w:rPr>
        <w:fldChar w:fldCharType="end"/>
      </w:r>
      <w:r>
        <w:rPr>
          <w:rFonts w:hint="eastAsia" w:ascii="宋体" w:hAnsi="宋体" w:eastAsia="宋体" w:cs="宋体"/>
          <w:color w:val="auto"/>
          <w:szCs w:val="21"/>
          <w:highlight w:val="none"/>
        </w:rPr>
        <w:fldChar w:fldCharType="end"/>
      </w:r>
    </w:p>
    <w:p w14:paraId="4103E591">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_Toc669818440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八、联系方式</w:t>
      </w:r>
      <w:r>
        <w:rPr>
          <w:color w:val="auto"/>
          <w:highlight w:val="none"/>
        </w:rPr>
        <w:tab/>
      </w:r>
      <w:r>
        <w:rPr>
          <w:color w:val="auto"/>
          <w:highlight w:val="none"/>
        </w:rPr>
        <w:fldChar w:fldCharType="begin"/>
      </w:r>
      <w:r>
        <w:rPr>
          <w:color w:val="auto"/>
          <w:highlight w:val="none"/>
        </w:rPr>
        <w:instrText xml:space="preserve"> PAGEREF _Toc669818440 \h </w:instrText>
      </w:r>
      <w:r>
        <w:rPr>
          <w:color w:val="auto"/>
          <w:highlight w:val="none"/>
        </w:rPr>
        <w:fldChar w:fldCharType="separate"/>
      </w:r>
      <w:r>
        <w:rPr>
          <w:color w:val="auto"/>
          <w:highlight w:val="none"/>
        </w:rPr>
        <w:t>- 8 -</w:t>
      </w:r>
      <w:r>
        <w:rPr>
          <w:color w:val="auto"/>
          <w:highlight w:val="none"/>
        </w:rPr>
        <w:fldChar w:fldCharType="end"/>
      </w:r>
      <w:r>
        <w:rPr>
          <w:rFonts w:hint="eastAsia" w:ascii="宋体" w:hAnsi="宋体" w:eastAsia="宋体" w:cs="宋体"/>
          <w:color w:val="auto"/>
          <w:szCs w:val="21"/>
          <w:highlight w:val="none"/>
        </w:rPr>
        <w:fldChar w:fldCharType="end"/>
      </w:r>
    </w:p>
    <w:p w14:paraId="11FE3676">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_Toc607489885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第二篇 项目服务需求</w:t>
      </w:r>
      <w:r>
        <w:rPr>
          <w:color w:val="auto"/>
          <w:highlight w:val="none"/>
        </w:rPr>
        <w:tab/>
      </w:r>
      <w:r>
        <w:rPr>
          <w:color w:val="auto"/>
          <w:highlight w:val="none"/>
        </w:rPr>
        <w:fldChar w:fldCharType="begin"/>
      </w:r>
      <w:r>
        <w:rPr>
          <w:color w:val="auto"/>
          <w:highlight w:val="none"/>
        </w:rPr>
        <w:instrText xml:space="preserve"> PAGEREF _Toc607489885 \h </w:instrText>
      </w:r>
      <w:r>
        <w:rPr>
          <w:color w:val="auto"/>
          <w:highlight w:val="none"/>
        </w:rPr>
        <w:fldChar w:fldCharType="separate"/>
      </w:r>
      <w:r>
        <w:rPr>
          <w:color w:val="auto"/>
          <w:highlight w:val="none"/>
        </w:rPr>
        <w:t>- 9 -</w:t>
      </w:r>
      <w:r>
        <w:rPr>
          <w:color w:val="auto"/>
          <w:highlight w:val="none"/>
        </w:rPr>
        <w:fldChar w:fldCharType="end"/>
      </w:r>
      <w:r>
        <w:rPr>
          <w:rFonts w:hint="eastAsia" w:ascii="宋体" w:hAnsi="宋体" w:eastAsia="宋体" w:cs="宋体"/>
          <w:color w:val="auto"/>
          <w:szCs w:val="21"/>
          <w:highlight w:val="none"/>
        </w:rPr>
        <w:fldChar w:fldCharType="end"/>
      </w:r>
    </w:p>
    <w:p w14:paraId="78A1DB9F">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_Toc940216400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一、招标项目一览表</w:t>
      </w:r>
      <w:r>
        <w:rPr>
          <w:color w:val="auto"/>
          <w:highlight w:val="none"/>
        </w:rPr>
        <w:tab/>
      </w:r>
      <w:r>
        <w:rPr>
          <w:color w:val="auto"/>
          <w:highlight w:val="none"/>
        </w:rPr>
        <w:fldChar w:fldCharType="begin"/>
      </w:r>
      <w:r>
        <w:rPr>
          <w:color w:val="auto"/>
          <w:highlight w:val="none"/>
        </w:rPr>
        <w:instrText xml:space="preserve"> PAGEREF _Toc940216400 \h </w:instrText>
      </w:r>
      <w:r>
        <w:rPr>
          <w:color w:val="auto"/>
          <w:highlight w:val="none"/>
        </w:rPr>
        <w:fldChar w:fldCharType="separate"/>
      </w:r>
      <w:r>
        <w:rPr>
          <w:color w:val="auto"/>
          <w:highlight w:val="none"/>
        </w:rPr>
        <w:t>- 9 -</w:t>
      </w:r>
      <w:r>
        <w:rPr>
          <w:color w:val="auto"/>
          <w:highlight w:val="none"/>
        </w:rPr>
        <w:fldChar w:fldCharType="end"/>
      </w:r>
      <w:r>
        <w:rPr>
          <w:rFonts w:hint="eastAsia" w:ascii="宋体" w:hAnsi="宋体" w:eastAsia="宋体" w:cs="宋体"/>
          <w:color w:val="auto"/>
          <w:szCs w:val="21"/>
          <w:highlight w:val="none"/>
        </w:rPr>
        <w:fldChar w:fldCharType="end"/>
      </w:r>
    </w:p>
    <w:p w14:paraId="6CAEDEB7">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_Toc1634880189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ascii="宋体" w:eastAsia="宋体" w:cs="宋体"/>
          <w:color w:val="auto"/>
          <w:highlight w:val="none"/>
        </w:rPr>
        <w:t>二、服务范围、要求及标准</w:t>
      </w:r>
      <w:r>
        <w:rPr>
          <w:color w:val="auto"/>
          <w:highlight w:val="none"/>
        </w:rPr>
        <w:tab/>
      </w:r>
      <w:r>
        <w:rPr>
          <w:color w:val="auto"/>
          <w:highlight w:val="none"/>
        </w:rPr>
        <w:fldChar w:fldCharType="begin"/>
      </w:r>
      <w:r>
        <w:rPr>
          <w:color w:val="auto"/>
          <w:highlight w:val="none"/>
        </w:rPr>
        <w:instrText xml:space="preserve"> PAGEREF _Toc1634880189 \h </w:instrText>
      </w:r>
      <w:r>
        <w:rPr>
          <w:color w:val="auto"/>
          <w:highlight w:val="none"/>
        </w:rPr>
        <w:fldChar w:fldCharType="separate"/>
      </w:r>
      <w:r>
        <w:rPr>
          <w:color w:val="auto"/>
          <w:highlight w:val="none"/>
        </w:rPr>
        <w:t>- 9 -</w:t>
      </w:r>
      <w:r>
        <w:rPr>
          <w:color w:val="auto"/>
          <w:highlight w:val="none"/>
        </w:rPr>
        <w:fldChar w:fldCharType="end"/>
      </w:r>
      <w:r>
        <w:rPr>
          <w:rFonts w:hint="eastAsia" w:ascii="宋体" w:hAnsi="宋体" w:eastAsia="宋体" w:cs="宋体"/>
          <w:color w:val="auto"/>
          <w:szCs w:val="21"/>
          <w:highlight w:val="none"/>
        </w:rPr>
        <w:fldChar w:fldCharType="end"/>
      </w:r>
    </w:p>
    <w:p w14:paraId="2CDCA754">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_Toc1643485692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8"/>
          <w:highlight w:val="none"/>
        </w:rPr>
        <w:t>※</w:t>
      </w:r>
      <w:r>
        <w:rPr>
          <w:rFonts w:hint="eastAsia" w:ascii="宋体" w:hAnsi="宋体" w:eastAsia="宋体" w:cs="宋体"/>
          <w:bCs/>
          <w:color w:val="auto"/>
          <w:szCs w:val="28"/>
          <w:highlight w:val="none"/>
          <w:lang w:eastAsia="zh-CN"/>
        </w:rPr>
        <w:t>三</w:t>
      </w:r>
      <w:r>
        <w:rPr>
          <w:rFonts w:hint="eastAsia" w:ascii="宋体" w:hAnsi="宋体" w:eastAsia="宋体" w:cs="宋体"/>
          <w:bCs/>
          <w:color w:val="auto"/>
          <w:szCs w:val="28"/>
          <w:highlight w:val="none"/>
        </w:rPr>
        <w:t>、</w:t>
      </w:r>
      <w:r>
        <w:rPr>
          <w:rFonts w:hint="eastAsia" w:cs="宋体"/>
          <w:bCs/>
          <w:color w:val="auto"/>
          <w:szCs w:val="28"/>
          <w:highlight w:val="none"/>
          <w:lang w:eastAsia="zh-CN"/>
        </w:rPr>
        <w:t>技术</w:t>
      </w:r>
      <w:r>
        <w:rPr>
          <w:rFonts w:hint="eastAsia" w:ascii="宋体" w:hAnsi="宋体" w:eastAsia="宋体" w:cs="宋体"/>
          <w:bCs/>
          <w:color w:val="auto"/>
          <w:szCs w:val="28"/>
          <w:highlight w:val="none"/>
        </w:rPr>
        <w:t>要求</w:t>
      </w:r>
      <w:r>
        <w:rPr>
          <w:color w:val="auto"/>
          <w:highlight w:val="none"/>
        </w:rPr>
        <w:tab/>
      </w:r>
      <w:r>
        <w:rPr>
          <w:color w:val="auto"/>
          <w:highlight w:val="none"/>
        </w:rPr>
        <w:fldChar w:fldCharType="begin"/>
      </w:r>
      <w:r>
        <w:rPr>
          <w:color w:val="auto"/>
          <w:highlight w:val="none"/>
        </w:rPr>
        <w:instrText xml:space="preserve"> PAGEREF _Toc1643485692 \h </w:instrText>
      </w:r>
      <w:r>
        <w:rPr>
          <w:color w:val="auto"/>
          <w:highlight w:val="none"/>
        </w:rPr>
        <w:fldChar w:fldCharType="separate"/>
      </w:r>
      <w:r>
        <w:rPr>
          <w:color w:val="auto"/>
          <w:highlight w:val="none"/>
        </w:rPr>
        <w:t>- 9 -</w:t>
      </w:r>
      <w:r>
        <w:rPr>
          <w:color w:val="auto"/>
          <w:highlight w:val="none"/>
        </w:rPr>
        <w:fldChar w:fldCharType="end"/>
      </w:r>
      <w:r>
        <w:rPr>
          <w:rFonts w:hint="eastAsia" w:ascii="宋体" w:hAnsi="宋体" w:eastAsia="宋体" w:cs="宋体"/>
          <w:color w:val="auto"/>
          <w:szCs w:val="21"/>
          <w:highlight w:val="none"/>
        </w:rPr>
        <w:fldChar w:fldCharType="end"/>
      </w:r>
    </w:p>
    <w:p w14:paraId="1BA1D59F">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_Toc68428503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8"/>
          <w:highlight w:val="none"/>
        </w:rPr>
        <w:t>※</w:t>
      </w:r>
      <w:r>
        <w:rPr>
          <w:rFonts w:hint="eastAsia" w:ascii="宋体" w:hAnsi="宋体" w:eastAsia="宋体" w:cs="宋体"/>
          <w:bCs/>
          <w:color w:val="auto"/>
          <w:szCs w:val="28"/>
          <w:highlight w:val="none"/>
          <w:lang w:eastAsia="zh-CN"/>
        </w:rPr>
        <w:t>四</w:t>
      </w:r>
      <w:r>
        <w:rPr>
          <w:rFonts w:hint="eastAsia" w:ascii="宋体" w:hAnsi="宋体" w:eastAsia="宋体" w:cs="宋体"/>
          <w:bCs/>
          <w:color w:val="auto"/>
          <w:szCs w:val="28"/>
          <w:highlight w:val="none"/>
        </w:rPr>
        <w:t>、</w:t>
      </w:r>
      <w:r>
        <w:rPr>
          <w:rFonts w:hint="eastAsia" w:cs="宋体"/>
          <w:bCs/>
          <w:color w:val="auto"/>
          <w:szCs w:val="28"/>
          <w:highlight w:val="none"/>
          <w:lang w:eastAsia="zh-CN"/>
        </w:rPr>
        <w:t>服务要求</w:t>
      </w:r>
      <w:r>
        <w:rPr>
          <w:color w:val="auto"/>
          <w:highlight w:val="none"/>
        </w:rPr>
        <w:tab/>
      </w:r>
      <w:r>
        <w:rPr>
          <w:color w:val="auto"/>
          <w:highlight w:val="none"/>
        </w:rPr>
        <w:fldChar w:fldCharType="begin"/>
      </w:r>
      <w:r>
        <w:rPr>
          <w:color w:val="auto"/>
          <w:highlight w:val="none"/>
        </w:rPr>
        <w:instrText xml:space="preserve"> PAGEREF _Toc68428503 \h </w:instrText>
      </w:r>
      <w:r>
        <w:rPr>
          <w:color w:val="auto"/>
          <w:highlight w:val="none"/>
        </w:rPr>
        <w:fldChar w:fldCharType="separate"/>
      </w:r>
      <w:r>
        <w:rPr>
          <w:color w:val="auto"/>
          <w:highlight w:val="none"/>
        </w:rPr>
        <w:t>- 13 -</w:t>
      </w:r>
      <w:r>
        <w:rPr>
          <w:color w:val="auto"/>
          <w:highlight w:val="none"/>
        </w:rPr>
        <w:fldChar w:fldCharType="end"/>
      </w:r>
      <w:r>
        <w:rPr>
          <w:rFonts w:hint="eastAsia" w:ascii="宋体" w:hAnsi="宋体" w:eastAsia="宋体" w:cs="宋体"/>
          <w:color w:val="auto"/>
          <w:szCs w:val="21"/>
          <w:highlight w:val="none"/>
        </w:rPr>
        <w:fldChar w:fldCharType="end"/>
      </w:r>
    </w:p>
    <w:p w14:paraId="4D1FB9F1">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_Toc2117122077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第三篇  项目商务需求</w:t>
      </w:r>
      <w:r>
        <w:rPr>
          <w:color w:val="auto"/>
          <w:highlight w:val="none"/>
        </w:rPr>
        <w:tab/>
      </w:r>
      <w:r>
        <w:rPr>
          <w:color w:val="auto"/>
          <w:highlight w:val="none"/>
        </w:rPr>
        <w:fldChar w:fldCharType="begin"/>
      </w:r>
      <w:r>
        <w:rPr>
          <w:color w:val="auto"/>
          <w:highlight w:val="none"/>
        </w:rPr>
        <w:instrText xml:space="preserve"> PAGEREF _Toc2117122077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eastAsia="宋体" w:cs="宋体"/>
          <w:color w:val="auto"/>
          <w:szCs w:val="21"/>
          <w:highlight w:val="none"/>
        </w:rPr>
        <w:fldChar w:fldCharType="end"/>
      </w:r>
    </w:p>
    <w:p w14:paraId="0736C650">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_Toc2023634736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ascii="宋体" w:eastAsia="宋体" w:cs="宋体"/>
          <w:color w:val="auto"/>
          <w:szCs w:val="20"/>
          <w:highlight w:val="none"/>
        </w:rPr>
        <w:t>一、服务期、</w:t>
      </w:r>
      <w:r>
        <w:rPr>
          <w:rFonts w:hint="eastAsia" w:cs="宋体"/>
          <w:color w:val="auto"/>
          <w:szCs w:val="20"/>
          <w:highlight w:val="none"/>
          <w:lang w:eastAsia="zh-CN"/>
        </w:rPr>
        <w:t>服务</w:t>
      </w:r>
      <w:r>
        <w:rPr>
          <w:rFonts w:hint="eastAsia" w:ascii="宋体" w:eastAsia="宋体" w:cs="宋体"/>
          <w:color w:val="auto"/>
          <w:szCs w:val="20"/>
          <w:highlight w:val="none"/>
        </w:rPr>
        <w:t>地点</w:t>
      </w:r>
      <w:r>
        <w:rPr>
          <w:color w:val="auto"/>
          <w:highlight w:val="none"/>
        </w:rPr>
        <w:tab/>
      </w:r>
      <w:r>
        <w:rPr>
          <w:color w:val="auto"/>
          <w:highlight w:val="none"/>
        </w:rPr>
        <w:fldChar w:fldCharType="begin"/>
      </w:r>
      <w:r>
        <w:rPr>
          <w:color w:val="auto"/>
          <w:highlight w:val="none"/>
        </w:rPr>
        <w:instrText xml:space="preserve"> PAGEREF _Toc2023634736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eastAsia="宋体" w:cs="宋体"/>
          <w:color w:val="auto"/>
          <w:szCs w:val="21"/>
          <w:highlight w:val="none"/>
        </w:rPr>
        <w:fldChar w:fldCharType="end"/>
      </w:r>
    </w:p>
    <w:p w14:paraId="498DBD63">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_Toc1247032236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8"/>
          <w:highlight w:val="none"/>
        </w:rPr>
        <w:t>※二、验收</w:t>
      </w:r>
      <w:r>
        <w:rPr>
          <w:rFonts w:hint="eastAsia" w:ascii="宋体" w:hAnsi="宋体" w:eastAsia="宋体" w:cs="宋体"/>
          <w:bCs/>
          <w:color w:val="auto"/>
          <w:szCs w:val="28"/>
          <w:highlight w:val="none"/>
          <w:lang w:eastAsia="zh-CN"/>
        </w:rPr>
        <w:t>方法及</w:t>
      </w:r>
      <w:r>
        <w:rPr>
          <w:rFonts w:hint="eastAsia" w:ascii="宋体" w:hAnsi="宋体" w:eastAsia="宋体" w:cs="宋体"/>
          <w:bCs/>
          <w:color w:val="auto"/>
          <w:szCs w:val="28"/>
          <w:highlight w:val="none"/>
        </w:rPr>
        <w:t>标准</w:t>
      </w:r>
      <w:r>
        <w:rPr>
          <w:color w:val="auto"/>
          <w:highlight w:val="none"/>
        </w:rPr>
        <w:tab/>
      </w:r>
      <w:r>
        <w:rPr>
          <w:color w:val="auto"/>
          <w:highlight w:val="none"/>
        </w:rPr>
        <w:fldChar w:fldCharType="begin"/>
      </w:r>
      <w:r>
        <w:rPr>
          <w:color w:val="auto"/>
          <w:highlight w:val="none"/>
        </w:rPr>
        <w:instrText xml:space="preserve"> PAGEREF _Toc1247032236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eastAsia="宋体" w:cs="宋体"/>
          <w:color w:val="auto"/>
          <w:szCs w:val="21"/>
          <w:highlight w:val="none"/>
        </w:rPr>
        <w:fldChar w:fldCharType="end"/>
      </w:r>
    </w:p>
    <w:p w14:paraId="3024F9F4">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_Toc1794387772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eastAsia="宋体" w:cs="宋体"/>
          <w:color w:val="auto"/>
          <w:szCs w:val="20"/>
          <w:highlight w:val="none"/>
          <w:lang w:eastAsia="zh-CN"/>
        </w:rPr>
        <w:t>三</w:t>
      </w:r>
      <w:r>
        <w:rPr>
          <w:rFonts w:hint="eastAsia" w:ascii="宋体" w:eastAsia="宋体" w:cs="宋体"/>
          <w:color w:val="auto"/>
          <w:szCs w:val="20"/>
          <w:highlight w:val="none"/>
        </w:rPr>
        <w:t>、报价要求</w:t>
      </w:r>
      <w:r>
        <w:rPr>
          <w:color w:val="auto"/>
          <w:highlight w:val="none"/>
        </w:rPr>
        <w:tab/>
      </w:r>
      <w:r>
        <w:rPr>
          <w:color w:val="auto"/>
          <w:highlight w:val="none"/>
        </w:rPr>
        <w:fldChar w:fldCharType="begin"/>
      </w:r>
      <w:r>
        <w:rPr>
          <w:color w:val="auto"/>
          <w:highlight w:val="none"/>
        </w:rPr>
        <w:instrText xml:space="preserve"> PAGEREF _Toc1794387772 \h </w:instrText>
      </w:r>
      <w:r>
        <w:rPr>
          <w:color w:val="auto"/>
          <w:highlight w:val="none"/>
        </w:rPr>
        <w:fldChar w:fldCharType="separate"/>
      </w:r>
      <w:r>
        <w:rPr>
          <w:color w:val="auto"/>
          <w:highlight w:val="none"/>
        </w:rPr>
        <w:t>- 16 -</w:t>
      </w:r>
      <w:r>
        <w:rPr>
          <w:color w:val="auto"/>
          <w:highlight w:val="none"/>
        </w:rPr>
        <w:fldChar w:fldCharType="end"/>
      </w:r>
      <w:r>
        <w:rPr>
          <w:rFonts w:hint="eastAsia" w:ascii="宋体" w:hAnsi="宋体" w:eastAsia="宋体" w:cs="宋体"/>
          <w:color w:val="auto"/>
          <w:szCs w:val="21"/>
          <w:highlight w:val="none"/>
        </w:rPr>
        <w:fldChar w:fldCharType="end"/>
      </w:r>
    </w:p>
    <w:p w14:paraId="47169B46">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_Toc1771856693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cs="宋体"/>
          <w:color w:val="auto"/>
          <w:szCs w:val="20"/>
          <w:highlight w:val="none"/>
          <w:lang w:eastAsia="zh-CN"/>
        </w:rPr>
        <w:t>四</w:t>
      </w:r>
      <w:r>
        <w:rPr>
          <w:rFonts w:hint="eastAsia" w:ascii="宋体" w:hAnsi="宋体" w:eastAsia="宋体" w:cs="宋体"/>
          <w:color w:val="auto"/>
          <w:szCs w:val="20"/>
          <w:highlight w:val="none"/>
        </w:rPr>
        <w:t>、付款方式</w:t>
      </w:r>
      <w:r>
        <w:rPr>
          <w:color w:val="auto"/>
          <w:highlight w:val="none"/>
        </w:rPr>
        <w:tab/>
      </w:r>
      <w:r>
        <w:rPr>
          <w:color w:val="auto"/>
          <w:highlight w:val="none"/>
        </w:rPr>
        <w:fldChar w:fldCharType="begin"/>
      </w:r>
      <w:r>
        <w:rPr>
          <w:color w:val="auto"/>
          <w:highlight w:val="none"/>
        </w:rPr>
        <w:instrText xml:space="preserve"> PAGEREF _Toc1771856693 \h </w:instrText>
      </w:r>
      <w:r>
        <w:rPr>
          <w:color w:val="auto"/>
          <w:highlight w:val="none"/>
        </w:rPr>
        <w:fldChar w:fldCharType="separate"/>
      </w:r>
      <w:r>
        <w:rPr>
          <w:color w:val="auto"/>
          <w:highlight w:val="none"/>
        </w:rPr>
        <w:t>- 17 -</w:t>
      </w:r>
      <w:r>
        <w:rPr>
          <w:color w:val="auto"/>
          <w:highlight w:val="none"/>
        </w:rPr>
        <w:fldChar w:fldCharType="end"/>
      </w:r>
      <w:r>
        <w:rPr>
          <w:rFonts w:hint="eastAsia" w:ascii="宋体" w:hAnsi="宋体" w:eastAsia="宋体" w:cs="宋体"/>
          <w:color w:val="auto"/>
          <w:szCs w:val="21"/>
          <w:highlight w:val="none"/>
        </w:rPr>
        <w:fldChar w:fldCharType="end"/>
      </w:r>
    </w:p>
    <w:p w14:paraId="314D0C61">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_Toc176615860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cs="宋体"/>
          <w:color w:val="auto"/>
          <w:szCs w:val="20"/>
          <w:highlight w:val="none"/>
          <w:lang w:eastAsia="zh-CN"/>
        </w:rPr>
        <w:t>五</w:t>
      </w:r>
      <w:r>
        <w:rPr>
          <w:rFonts w:hint="eastAsia" w:ascii="宋体" w:hAnsi="宋体" w:eastAsia="宋体" w:cs="宋体"/>
          <w:color w:val="auto"/>
          <w:szCs w:val="20"/>
          <w:highlight w:val="none"/>
        </w:rPr>
        <w:t>、履约保证金</w:t>
      </w:r>
      <w:r>
        <w:rPr>
          <w:color w:val="auto"/>
          <w:highlight w:val="none"/>
        </w:rPr>
        <w:tab/>
      </w:r>
      <w:r>
        <w:rPr>
          <w:color w:val="auto"/>
          <w:highlight w:val="none"/>
        </w:rPr>
        <w:fldChar w:fldCharType="begin"/>
      </w:r>
      <w:r>
        <w:rPr>
          <w:color w:val="auto"/>
          <w:highlight w:val="none"/>
        </w:rPr>
        <w:instrText xml:space="preserve"> PAGEREF _Toc176615860 \h </w:instrText>
      </w:r>
      <w:r>
        <w:rPr>
          <w:color w:val="auto"/>
          <w:highlight w:val="none"/>
        </w:rPr>
        <w:fldChar w:fldCharType="separate"/>
      </w:r>
      <w:r>
        <w:rPr>
          <w:color w:val="auto"/>
          <w:highlight w:val="none"/>
        </w:rPr>
        <w:t>- 17 -</w:t>
      </w:r>
      <w:r>
        <w:rPr>
          <w:color w:val="auto"/>
          <w:highlight w:val="none"/>
        </w:rPr>
        <w:fldChar w:fldCharType="end"/>
      </w:r>
      <w:r>
        <w:rPr>
          <w:rFonts w:hint="eastAsia" w:ascii="宋体" w:hAnsi="宋体" w:eastAsia="宋体" w:cs="宋体"/>
          <w:color w:val="auto"/>
          <w:szCs w:val="21"/>
          <w:highlight w:val="none"/>
        </w:rPr>
        <w:fldChar w:fldCharType="end"/>
      </w:r>
    </w:p>
    <w:p w14:paraId="710D177C">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_Toc748716950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w:t>
      </w:r>
      <w:r>
        <w:rPr>
          <w:rFonts w:hint="eastAsia" w:ascii="宋体" w:hAnsi="宋体" w:eastAsia="宋体" w:cs="宋体"/>
          <w:color w:val="auto"/>
          <w:szCs w:val="20"/>
          <w:highlight w:val="none"/>
          <w:lang w:eastAsia="zh-CN"/>
        </w:rPr>
        <w:t>六</w:t>
      </w:r>
      <w:r>
        <w:rPr>
          <w:rFonts w:hint="eastAsia" w:ascii="宋体" w:hAnsi="宋体" w:eastAsia="宋体" w:cs="宋体"/>
          <w:color w:val="auto"/>
          <w:szCs w:val="20"/>
          <w:highlight w:val="none"/>
        </w:rPr>
        <w:t>、</w:t>
      </w:r>
      <w:r>
        <w:rPr>
          <w:rFonts w:hint="eastAsia" w:cs="宋体"/>
          <w:color w:val="auto"/>
          <w:szCs w:val="20"/>
          <w:highlight w:val="none"/>
          <w:lang w:eastAsia="zh-CN"/>
        </w:rPr>
        <w:t>违约责任</w:t>
      </w:r>
      <w:r>
        <w:rPr>
          <w:color w:val="auto"/>
          <w:highlight w:val="none"/>
        </w:rPr>
        <w:tab/>
      </w:r>
      <w:r>
        <w:rPr>
          <w:color w:val="auto"/>
          <w:highlight w:val="none"/>
        </w:rPr>
        <w:fldChar w:fldCharType="begin"/>
      </w:r>
      <w:r>
        <w:rPr>
          <w:color w:val="auto"/>
          <w:highlight w:val="none"/>
        </w:rPr>
        <w:instrText xml:space="preserve"> PAGEREF _Toc748716950 \h </w:instrText>
      </w:r>
      <w:r>
        <w:rPr>
          <w:color w:val="auto"/>
          <w:highlight w:val="none"/>
        </w:rPr>
        <w:fldChar w:fldCharType="separate"/>
      </w:r>
      <w:r>
        <w:rPr>
          <w:color w:val="auto"/>
          <w:highlight w:val="none"/>
        </w:rPr>
        <w:t>- 18 -</w:t>
      </w:r>
      <w:r>
        <w:rPr>
          <w:color w:val="auto"/>
          <w:highlight w:val="none"/>
        </w:rPr>
        <w:fldChar w:fldCharType="end"/>
      </w:r>
      <w:r>
        <w:rPr>
          <w:rFonts w:hint="eastAsia" w:ascii="宋体" w:hAnsi="宋体" w:eastAsia="宋体" w:cs="宋体"/>
          <w:color w:val="auto"/>
          <w:szCs w:val="21"/>
          <w:highlight w:val="none"/>
        </w:rPr>
        <w:fldChar w:fldCharType="end"/>
      </w:r>
    </w:p>
    <w:p w14:paraId="0C548633">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_Toc127857676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0"/>
          <w:highlight w:val="none"/>
        </w:rPr>
        <w:t>※</w:t>
      </w:r>
      <w:r>
        <w:rPr>
          <w:rFonts w:hint="eastAsia" w:cs="宋体"/>
          <w:color w:val="auto"/>
          <w:szCs w:val="20"/>
          <w:highlight w:val="none"/>
          <w:lang w:eastAsia="zh-CN"/>
        </w:rPr>
        <w:t>七</w:t>
      </w:r>
      <w:r>
        <w:rPr>
          <w:rFonts w:hint="eastAsia" w:ascii="宋体" w:hAnsi="宋体" w:eastAsia="宋体" w:cs="宋体"/>
          <w:color w:val="auto"/>
          <w:szCs w:val="20"/>
          <w:highlight w:val="none"/>
        </w:rPr>
        <w:t>、</w:t>
      </w:r>
      <w:r>
        <w:rPr>
          <w:rFonts w:hint="eastAsia" w:cs="宋体"/>
          <w:color w:val="auto"/>
          <w:szCs w:val="20"/>
          <w:highlight w:val="none"/>
          <w:lang w:eastAsia="zh-CN"/>
        </w:rPr>
        <w:t>其他要求</w:t>
      </w:r>
      <w:r>
        <w:rPr>
          <w:color w:val="auto"/>
          <w:highlight w:val="none"/>
        </w:rPr>
        <w:tab/>
      </w:r>
      <w:r>
        <w:rPr>
          <w:color w:val="auto"/>
          <w:highlight w:val="none"/>
        </w:rPr>
        <w:fldChar w:fldCharType="begin"/>
      </w:r>
      <w:r>
        <w:rPr>
          <w:color w:val="auto"/>
          <w:highlight w:val="none"/>
        </w:rPr>
        <w:instrText xml:space="preserve"> PAGEREF _Toc127857676 \h </w:instrText>
      </w:r>
      <w:r>
        <w:rPr>
          <w:color w:val="auto"/>
          <w:highlight w:val="none"/>
        </w:rPr>
        <w:fldChar w:fldCharType="separate"/>
      </w:r>
      <w:r>
        <w:rPr>
          <w:color w:val="auto"/>
          <w:highlight w:val="none"/>
        </w:rPr>
        <w:t>- 18 -</w:t>
      </w:r>
      <w:r>
        <w:rPr>
          <w:color w:val="auto"/>
          <w:highlight w:val="none"/>
        </w:rPr>
        <w:fldChar w:fldCharType="end"/>
      </w:r>
      <w:r>
        <w:rPr>
          <w:rFonts w:hint="eastAsia" w:ascii="宋体" w:hAnsi="宋体" w:eastAsia="宋体" w:cs="宋体"/>
          <w:color w:val="auto"/>
          <w:szCs w:val="21"/>
          <w:highlight w:val="none"/>
        </w:rPr>
        <w:fldChar w:fldCharType="end"/>
      </w:r>
    </w:p>
    <w:p w14:paraId="6B368E9F">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_Toc501026113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第四篇  资格审查及评标办法</w:t>
      </w:r>
      <w:r>
        <w:rPr>
          <w:color w:val="auto"/>
          <w:highlight w:val="none"/>
        </w:rPr>
        <w:tab/>
      </w:r>
      <w:r>
        <w:rPr>
          <w:color w:val="auto"/>
          <w:highlight w:val="none"/>
        </w:rPr>
        <w:fldChar w:fldCharType="begin"/>
      </w:r>
      <w:r>
        <w:rPr>
          <w:color w:val="auto"/>
          <w:highlight w:val="none"/>
        </w:rPr>
        <w:instrText xml:space="preserve"> PAGEREF _Toc501026113 \h </w:instrText>
      </w:r>
      <w:r>
        <w:rPr>
          <w:color w:val="auto"/>
          <w:highlight w:val="none"/>
        </w:rPr>
        <w:fldChar w:fldCharType="separate"/>
      </w:r>
      <w:r>
        <w:rPr>
          <w:color w:val="auto"/>
          <w:highlight w:val="none"/>
        </w:rPr>
        <w:t>- 22 -</w:t>
      </w:r>
      <w:r>
        <w:rPr>
          <w:color w:val="auto"/>
          <w:highlight w:val="none"/>
        </w:rPr>
        <w:fldChar w:fldCharType="end"/>
      </w:r>
      <w:r>
        <w:rPr>
          <w:rFonts w:hint="eastAsia" w:ascii="宋体" w:hAnsi="宋体" w:eastAsia="宋体" w:cs="宋体"/>
          <w:color w:val="auto"/>
          <w:szCs w:val="21"/>
          <w:highlight w:val="none"/>
        </w:rPr>
        <w:fldChar w:fldCharType="end"/>
      </w:r>
    </w:p>
    <w:p w14:paraId="1E3B9B8E">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_Toc352734128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0"/>
          <w:highlight w:val="none"/>
        </w:rPr>
        <w:t>一、资格审查及符合性审查</w:t>
      </w:r>
      <w:r>
        <w:rPr>
          <w:color w:val="auto"/>
          <w:highlight w:val="none"/>
        </w:rPr>
        <w:tab/>
      </w:r>
      <w:r>
        <w:rPr>
          <w:color w:val="auto"/>
          <w:highlight w:val="none"/>
        </w:rPr>
        <w:fldChar w:fldCharType="begin"/>
      </w:r>
      <w:r>
        <w:rPr>
          <w:color w:val="auto"/>
          <w:highlight w:val="none"/>
        </w:rPr>
        <w:instrText xml:space="preserve"> PAGEREF _Toc352734128 \h </w:instrText>
      </w:r>
      <w:r>
        <w:rPr>
          <w:color w:val="auto"/>
          <w:highlight w:val="none"/>
        </w:rPr>
        <w:fldChar w:fldCharType="separate"/>
      </w:r>
      <w:r>
        <w:rPr>
          <w:color w:val="auto"/>
          <w:highlight w:val="none"/>
        </w:rPr>
        <w:t>- 22 -</w:t>
      </w:r>
      <w:r>
        <w:rPr>
          <w:color w:val="auto"/>
          <w:highlight w:val="none"/>
        </w:rPr>
        <w:fldChar w:fldCharType="end"/>
      </w:r>
      <w:r>
        <w:rPr>
          <w:rFonts w:hint="eastAsia" w:ascii="宋体" w:hAnsi="宋体" w:eastAsia="宋体" w:cs="宋体"/>
          <w:color w:val="auto"/>
          <w:szCs w:val="21"/>
          <w:highlight w:val="none"/>
        </w:rPr>
        <w:fldChar w:fldCharType="end"/>
      </w:r>
    </w:p>
    <w:p w14:paraId="546AB383">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_Toc2088542234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0"/>
          <w:highlight w:val="none"/>
        </w:rPr>
        <w:t>二、评标方法</w:t>
      </w:r>
      <w:r>
        <w:rPr>
          <w:color w:val="auto"/>
          <w:highlight w:val="none"/>
        </w:rPr>
        <w:tab/>
      </w:r>
      <w:r>
        <w:rPr>
          <w:color w:val="auto"/>
          <w:highlight w:val="none"/>
        </w:rPr>
        <w:fldChar w:fldCharType="begin"/>
      </w:r>
      <w:r>
        <w:rPr>
          <w:color w:val="auto"/>
          <w:highlight w:val="none"/>
        </w:rPr>
        <w:instrText xml:space="preserve"> PAGEREF _Toc2088542234 \h </w:instrText>
      </w:r>
      <w:r>
        <w:rPr>
          <w:color w:val="auto"/>
          <w:highlight w:val="none"/>
        </w:rPr>
        <w:fldChar w:fldCharType="separate"/>
      </w:r>
      <w:r>
        <w:rPr>
          <w:color w:val="auto"/>
          <w:highlight w:val="none"/>
        </w:rPr>
        <w:t>- 23 -</w:t>
      </w:r>
      <w:r>
        <w:rPr>
          <w:color w:val="auto"/>
          <w:highlight w:val="none"/>
        </w:rPr>
        <w:fldChar w:fldCharType="end"/>
      </w:r>
      <w:r>
        <w:rPr>
          <w:rFonts w:hint="eastAsia" w:ascii="宋体" w:hAnsi="宋体" w:eastAsia="宋体" w:cs="宋体"/>
          <w:color w:val="auto"/>
          <w:szCs w:val="21"/>
          <w:highlight w:val="none"/>
        </w:rPr>
        <w:fldChar w:fldCharType="end"/>
      </w:r>
    </w:p>
    <w:p w14:paraId="68079B06">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_Toc60722107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0"/>
          <w:highlight w:val="none"/>
        </w:rPr>
        <w:t>三、评标标准</w:t>
      </w:r>
      <w:r>
        <w:rPr>
          <w:color w:val="auto"/>
          <w:highlight w:val="none"/>
        </w:rPr>
        <w:tab/>
      </w:r>
      <w:r>
        <w:rPr>
          <w:color w:val="auto"/>
          <w:highlight w:val="none"/>
        </w:rPr>
        <w:fldChar w:fldCharType="begin"/>
      </w:r>
      <w:r>
        <w:rPr>
          <w:color w:val="auto"/>
          <w:highlight w:val="none"/>
        </w:rPr>
        <w:instrText xml:space="preserve"> PAGEREF _Toc60722107 \h </w:instrText>
      </w:r>
      <w:r>
        <w:rPr>
          <w:color w:val="auto"/>
          <w:highlight w:val="none"/>
        </w:rPr>
        <w:fldChar w:fldCharType="separate"/>
      </w:r>
      <w:r>
        <w:rPr>
          <w:color w:val="auto"/>
          <w:highlight w:val="none"/>
        </w:rPr>
        <w:t>- 23 -</w:t>
      </w:r>
      <w:r>
        <w:rPr>
          <w:color w:val="auto"/>
          <w:highlight w:val="none"/>
        </w:rPr>
        <w:fldChar w:fldCharType="end"/>
      </w:r>
      <w:r>
        <w:rPr>
          <w:rFonts w:hint="eastAsia" w:ascii="宋体" w:hAnsi="宋体" w:eastAsia="宋体" w:cs="宋体"/>
          <w:color w:val="auto"/>
          <w:szCs w:val="21"/>
          <w:highlight w:val="none"/>
        </w:rPr>
        <w:fldChar w:fldCharType="end"/>
      </w:r>
    </w:p>
    <w:p w14:paraId="0C8A7243">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_Toc1493172939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0"/>
          <w:highlight w:val="none"/>
        </w:rPr>
        <w:t>四、无效投标条款</w:t>
      </w:r>
      <w:r>
        <w:rPr>
          <w:color w:val="auto"/>
          <w:highlight w:val="none"/>
        </w:rPr>
        <w:tab/>
      </w:r>
      <w:r>
        <w:rPr>
          <w:color w:val="auto"/>
          <w:highlight w:val="none"/>
        </w:rPr>
        <w:fldChar w:fldCharType="begin"/>
      </w:r>
      <w:r>
        <w:rPr>
          <w:color w:val="auto"/>
          <w:highlight w:val="none"/>
        </w:rPr>
        <w:instrText xml:space="preserve"> PAGEREF _Toc1493172939 \h </w:instrText>
      </w:r>
      <w:r>
        <w:rPr>
          <w:color w:val="auto"/>
          <w:highlight w:val="none"/>
        </w:rPr>
        <w:fldChar w:fldCharType="separate"/>
      </w:r>
      <w:r>
        <w:rPr>
          <w:color w:val="auto"/>
          <w:highlight w:val="none"/>
        </w:rPr>
        <w:t>- 27 -</w:t>
      </w:r>
      <w:r>
        <w:rPr>
          <w:color w:val="auto"/>
          <w:highlight w:val="none"/>
        </w:rPr>
        <w:fldChar w:fldCharType="end"/>
      </w:r>
      <w:r>
        <w:rPr>
          <w:rFonts w:hint="eastAsia" w:ascii="宋体" w:hAnsi="宋体" w:eastAsia="宋体" w:cs="宋体"/>
          <w:color w:val="auto"/>
          <w:szCs w:val="21"/>
          <w:highlight w:val="none"/>
        </w:rPr>
        <w:fldChar w:fldCharType="end"/>
      </w:r>
    </w:p>
    <w:p w14:paraId="1D44A221">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_Toc1378895561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0"/>
          <w:highlight w:val="none"/>
        </w:rPr>
        <w:t>五、废标条款</w:t>
      </w:r>
      <w:r>
        <w:rPr>
          <w:color w:val="auto"/>
          <w:highlight w:val="none"/>
        </w:rPr>
        <w:tab/>
      </w:r>
      <w:r>
        <w:rPr>
          <w:color w:val="auto"/>
          <w:highlight w:val="none"/>
        </w:rPr>
        <w:fldChar w:fldCharType="begin"/>
      </w:r>
      <w:r>
        <w:rPr>
          <w:color w:val="auto"/>
          <w:highlight w:val="none"/>
        </w:rPr>
        <w:instrText xml:space="preserve"> PAGEREF _Toc1378895561 \h </w:instrText>
      </w:r>
      <w:r>
        <w:rPr>
          <w:color w:val="auto"/>
          <w:highlight w:val="none"/>
        </w:rPr>
        <w:fldChar w:fldCharType="separate"/>
      </w:r>
      <w:r>
        <w:rPr>
          <w:color w:val="auto"/>
          <w:highlight w:val="none"/>
        </w:rPr>
        <w:t>- 27 -</w:t>
      </w:r>
      <w:r>
        <w:rPr>
          <w:color w:val="auto"/>
          <w:highlight w:val="none"/>
        </w:rPr>
        <w:fldChar w:fldCharType="end"/>
      </w:r>
      <w:r>
        <w:rPr>
          <w:rFonts w:hint="eastAsia" w:ascii="宋体" w:hAnsi="宋体" w:eastAsia="宋体" w:cs="宋体"/>
          <w:color w:val="auto"/>
          <w:szCs w:val="21"/>
          <w:highlight w:val="none"/>
        </w:rPr>
        <w:fldChar w:fldCharType="end"/>
      </w:r>
    </w:p>
    <w:p w14:paraId="53515224">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_Toc156500981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第五篇  投标人须知</w:t>
      </w:r>
      <w:r>
        <w:rPr>
          <w:color w:val="auto"/>
          <w:highlight w:val="none"/>
        </w:rPr>
        <w:tab/>
      </w:r>
      <w:r>
        <w:rPr>
          <w:color w:val="auto"/>
          <w:highlight w:val="none"/>
        </w:rPr>
        <w:fldChar w:fldCharType="begin"/>
      </w:r>
      <w:r>
        <w:rPr>
          <w:color w:val="auto"/>
          <w:highlight w:val="none"/>
        </w:rPr>
        <w:instrText xml:space="preserve"> PAGEREF _Toc156500981 \h </w:instrText>
      </w:r>
      <w:r>
        <w:rPr>
          <w:color w:val="auto"/>
          <w:highlight w:val="none"/>
        </w:rPr>
        <w:fldChar w:fldCharType="separate"/>
      </w:r>
      <w:r>
        <w:rPr>
          <w:color w:val="auto"/>
          <w:highlight w:val="none"/>
        </w:rPr>
        <w:t>- 28 -</w:t>
      </w:r>
      <w:r>
        <w:rPr>
          <w:color w:val="auto"/>
          <w:highlight w:val="none"/>
        </w:rPr>
        <w:fldChar w:fldCharType="end"/>
      </w:r>
      <w:r>
        <w:rPr>
          <w:rFonts w:hint="eastAsia" w:ascii="宋体" w:hAnsi="宋体" w:eastAsia="宋体" w:cs="宋体"/>
          <w:color w:val="auto"/>
          <w:szCs w:val="21"/>
          <w:highlight w:val="none"/>
        </w:rPr>
        <w:fldChar w:fldCharType="end"/>
      </w:r>
    </w:p>
    <w:p w14:paraId="67594576">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_Toc825485838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一、投标人</w:t>
      </w:r>
      <w:r>
        <w:rPr>
          <w:color w:val="auto"/>
          <w:highlight w:val="none"/>
        </w:rPr>
        <w:tab/>
      </w:r>
      <w:r>
        <w:rPr>
          <w:color w:val="auto"/>
          <w:highlight w:val="none"/>
        </w:rPr>
        <w:fldChar w:fldCharType="begin"/>
      </w:r>
      <w:r>
        <w:rPr>
          <w:color w:val="auto"/>
          <w:highlight w:val="none"/>
        </w:rPr>
        <w:instrText xml:space="preserve"> PAGEREF _Toc825485838 \h </w:instrText>
      </w:r>
      <w:r>
        <w:rPr>
          <w:color w:val="auto"/>
          <w:highlight w:val="none"/>
        </w:rPr>
        <w:fldChar w:fldCharType="separate"/>
      </w:r>
      <w:r>
        <w:rPr>
          <w:color w:val="auto"/>
          <w:highlight w:val="none"/>
        </w:rPr>
        <w:t>- 28 -</w:t>
      </w:r>
      <w:r>
        <w:rPr>
          <w:color w:val="auto"/>
          <w:highlight w:val="none"/>
        </w:rPr>
        <w:fldChar w:fldCharType="end"/>
      </w:r>
      <w:r>
        <w:rPr>
          <w:rFonts w:hint="eastAsia" w:ascii="宋体" w:hAnsi="宋体" w:eastAsia="宋体" w:cs="宋体"/>
          <w:color w:val="auto"/>
          <w:szCs w:val="21"/>
          <w:highlight w:val="none"/>
        </w:rPr>
        <w:fldChar w:fldCharType="end"/>
      </w:r>
    </w:p>
    <w:p w14:paraId="385FFD4C">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_Toc1425897781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_Toc1425897781 \h </w:instrText>
      </w:r>
      <w:r>
        <w:rPr>
          <w:color w:val="auto"/>
          <w:highlight w:val="none"/>
        </w:rPr>
        <w:fldChar w:fldCharType="separate"/>
      </w:r>
      <w:r>
        <w:rPr>
          <w:color w:val="auto"/>
          <w:highlight w:val="none"/>
        </w:rPr>
        <w:t>- 28 -</w:t>
      </w:r>
      <w:r>
        <w:rPr>
          <w:color w:val="auto"/>
          <w:highlight w:val="none"/>
        </w:rPr>
        <w:fldChar w:fldCharType="end"/>
      </w:r>
      <w:r>
        <w:rPr>
          <w:rFonts w:hint="eastAsia" w:ascii="宋体" w:hAnsi="宋体" w:eastAsia="宋体" w:cs="宋体"/>
          <w:color w:val="auto"/>
          <w:szCs w:val="21"/>
          <w:highlight w:val="none"/>
        </w:rPr>
        <w:fldChar w:fldCharType="end"/>
      </w:r>
    </w:p>
    <w:p w14:paraId="19C77397">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_Toc300554733 </w:instrText>
      </w:r>
      <w:r>
        <w:rPr>
          <w:rFonts w:hint="eastAsia" w:ascii="宋体" w:hAnsi="宋体" w:eastAsia="宋体" w:cs="宋体"/>
          <w:color w:val="auto"/>
          <w:szCs w:val="21"/>
          <w:highlight w:val="none"/>
        </w:rPr>
        <w:fldChar w:fldCharType="separate"/>
      </w:r>
      <w:r>
        <w:rPr>
          <w:rFonts w:hint="eastAsia" w:cs="宋体"/>
          <w:color w:val="auto"/>
          <w:highlight w:val="none"/>
        </w:rPr>
        <w:t>三、电子投标文件</w:t>
      </w:r>
      <w:r>
        <w:rPr>
          <w:color w:val="auto"/>
          <w:highlight w:val="none"/>
        </w:rPr>
        <w:tab/>
      </w:r>
      <w:r>
        <w:rPr>
          <w:color w:val="auto"/>
          <w:highlight w:val="none"/>
        </w:rPr>
        <w:fldChar w:fldCharType="begin"/>
      </w:r>
      <w:r>
        <w:rPr>
          <w:color w:val="auto"/>
          <w:highlight w:val="none"/>
        </w:rPr>
        <w:instrText xml:space="preserve"> PAGEREF _Toc300554733 \h </w:instrText>
      </w:r>
      <w:r>
        <w:rPr>
          <w:color w:val="auto"/>
          <w:highlight w:val="none"/>
        </w:rPr>
        <w:fldChar w:fldCharType="separate"/>
      </w:r>
      <w:r>
        <w:rPr>
          <w:color w:val="auto"/>
          <w:highlight w:val="none"/>
        </w:rPr>
        <w:t>- 28 -</w:t>
      </w:r>
      <w:r>
        <w:rPr>
          <w:color w:val="auto"/>
          <w:highlight w:val="none"/>
        </w:rPr>
        <w:fldChar w:fldCharType="end"/>
      </w:r>
      <w:r>
        <w:rPr>
          <w:rFonts w:hint="eastAsia" w:ascii="宋体" w:hAnsi="宋体" w:eastAsia="宋体" w:cs="宋体"/>
          <w:color w:val="auto"/>
          <w:szCs w:val="21"/>
          <w:highlight w:val="none"/>
        </w:rPr>
        <w:fldChar w:fldCharType="end"/>
      </w:r>
    </w:p>
    <w:p w14:paraId="79D25CF3">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_Toc970932252 </w:instrText>
      </w:r>
      <w:r>
        <w:rPr>
          <w:rFonts w:hint="eastAsia" w:ascii="宋体" w:hAnsi="宋体" w:eastAsia="宋体" w:cs="宋体"/>
          <w:color w:val="auto"/>
          <w:szCs w:val="21"/>
          <w:highlight w:val="none"/>
        </w:rPr>
        <w:fldChar w:fldCharType="separate"/>
      </w:r>
      <w:r>
        <w:rPr>
          <w:rFonts w:hint="eastAsia" w:cs="宋体"/>
          <w:color w:val="auto"/>
          <w:highlight w:val="none"/>
        </w:rPr>
        <w:t>四、开标</w:t>
      </w:r>
      <w:r>
        <w:rPr>
          <w:color w:val="auto"/>
          <w:highlight w:val="none"/>
        </w:rPr>
        <w:tab/>
      </w:r>
      <w:r>
        <w:rPr>
          <w:color w:val="auto"/>
          <w:highlight w:val="none"/>
        </w:rPr>
        <w:fldChar w:fldCharType="begin"/>
      </w:r>
      <w:r>
        <w:rPr>
          <w:color w:val="auto"/>
          <w:highlight w:val="none"/>
        </w:rPr>
        <w:instrText xml:space="preserve"> PAGEREF _Toc970932252 \h </w:instrText>
      </w:r>
      <w:r>
        <w:rPr>
          <w:color w:val="auto"/>
          <w:highlight w:val="none"/>
        </w:rPr>
        <w:fldChar w:fldCharType="separate"/>
      </w:r>
      <w:r>
        <w:rPr>
          <w:color w:val="auto"/>
          <w:highlight w:val="none"/>
        </w:rPr>
        <w:t>- 30 -</w:t>
      </w:r>
      <w:r>
        <w:rPr>
          <w:color w:val="auto"/>
          <w:highlight w:val="none"/>
        </w:rPr>
        <w:fldChar w:fldCharType="end"/>
      </w:r>
      <w:r>
        <w:rPr>
          <w:rFonts w:hint="eastAsia" w:ascii="宋体" w:hAnsi="宋体" w:eastAsia="宋体" w:cs="宋体"/>
          <w:color w:val="auto"/>
          <w:szCs w:val="21"/>
          <w:highlight w:val="none"/>
        </w:rPr>
        <w:fldChar w:fldCharType="end"/>
      </w:r>
    </w:p>
    <w:p w14:paraId="202E7DD9">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_Toc1831112486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六、定标</w:t>
      </w:r>
      <w:r>
        <w:rPr>
          <w:color w:val="auto"/>
          <w:highlight w:val="none"/>
        </w:rPr>
        <w:tab/>
      </w:r>
      <w:r>
        <w:rPr>
          <w:color w:val="auto"/>
          <w:highlight w:val="none"/>
        </w:rPr>
        <w:fldChar w:fldCharType="begin"/>
      </w:r>
      <w:r>
        <w:rPr>
          <w:color w:val="auto"/>
          <w:highlight w:val="none"/>
        </w:rPr>
        <w:instrText xml:space="preserve"> PAGEREF _Toc1831112486 \h </w:instrText>
      </w:r>
      <w:r>
        <w:rPr>
          <w:color w:val="auto"/>
          <w:highlight w:val="none"/>
        </w:rPr>
        <w:fldChar w:fldCharType="separate"/>
      </w:r>
      <w:r>
        <w:rPr>
          <w:color w:val="auto"/>
          <w:highlight w:val="none"/>
        </w:rPr>
        <w:t>- 31 -</w:t>
      </w:r>
      <w:r>
        <w:rPr>
          <w:color w:val="auto"/>
          <w:highlight w:val="none"/>
        </w:rPr>
        <w:fldChar w:fldCharType="end"/>
      </w:r>
      <w:r>
        <w:rPr>
          <w:rFonts w:hint="eastAsia" w:ascii="宋体" w:hAnsi="宋体" w:eastAsia="宋体" w:cs="宋体"/>
          <w:color w:val="auto"/>
          <w:szCs w:val="21"/>
          <w:highlight w:val="none"/>
        </w:rPr>
        <w:fldChar w:fldCharType="end"/>
      </w:r>
    </w:p>
    <w:p w14:paraId="4C1E6295">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_Toc1572082451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七、中标</w:t>
      </w:r>
      <w:r>
        <w:rPr>
          <w:color w:val="auto"/>
          <w:highlight w:val="none"/>
        </w:rPr>
        <w:tab/>
      </w:r>
      <w:r>
        <w:rPr>
          <w:color w:val="auto"/>
          <w:highlight w:val="none"/>
        </w:rPr>
        <w:fldChar w:fldCharType="begin"/>
      </w:r>
      <w:r>
        <w:rPr>
          <w:color w:val="auto"/>
          <w:highlight w:val="none"/>
        </w:rPr>
        <w:instrText xml:space="preserve"> PAGEREF _Toc1572082451 \h </w:instrText>
      </w:r>
      <w:r>
        <w:rPr>
          <w:color w:val="auto"/>
          <w:highlight w:val="none"/>
        </w:rPr>
        <w:fldChar w:fldCharType="separate"/>
      </w:r>
      <w:r>
        <w:rPr>
          <w:color w:val="auto"/>
          <w:highlight w:val="none"/>
        </w:rPr>
        <w:t>- 31 -</w:t>
      </w:r>
      <w:r>
        <w:rPr>
          <w:color w:val="auto"/>
          <w:highlight w:val="none"/>
        </w:rPr>
        <w:fldChar w:fldCharType="end"/>
      </w:r>
      <w:r>
        <w:rPr>
          <w:rFonts w:hint="eastAsia" w:ascii="宋体" w:hAnsi="宋体" w:eastAsia="宋体" w:cs="宋体"/>
          <w:color w:val="auto"/>
          <w:szCs w:val="21"/>
          <w:highlight w:val="none"/>
        </w:rPr>
        <w:fldChar w:fldCharType="end"/>
      </w:r>
    </w:p>
    <w:p w14:paraId="2E3D2D90">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_Toc273960414 </w:instrText>
      </w:r>
      <w:r>
        <w:rPr>
          <w:rFonts w:hint="eastAsia" w:ascii="宋体" w:hAnsi="宋体" w:eastAsia="宋体" w:cs="宋体"/>
          <w:color w:val="auto"/>
          <w:szCs w:val="21"/>
          <w:highlight w:val="none"/>
        </w:rPr>
        <w:fldChar w:fldCharType="separate"/>
      </w:r>
      <w:r>
        <w:rPr>
          <w:rFonts w:hint="eastAsia" w:cs="宋体"/>
          <w:color w:val="auto"/>
          <w:highlight w:val="none"/>
        </w:rPr>
        <w:t>八、询问、质疑和投诉</w:t>
      </w:r>
      <w:r>
        <w:rPr>
          <w:color w:val="auto"/>
          <w:highlight w:val="none"/>
        </w:rPr>
        <w:tab/>
      </w:r>
      <w:r>
        <w:rPr>
          <w:color w:val="auto"/>
          <w:highlight w:val="none"/>
        </w:rPr>
        <w:fldChar w:fldCharType="begin"/>
      </w:r>
      <w:r>
        <w:rPr>
          <w:color w:val="auto"/>
          <w:highlight w:val="none"/>
        </w:rPr>
        <w:instrText xml:space="preserve"> PAGEREF _Toc273960414 \h </w:instrText>
      </w:r>
      <w:r>
        <w:rPr>
          <w:color w:val="auto"/>
          <w:highlight w:val="none"/>
        </w:rPr>
        <w:fldChar w:fldCharType="separate"/>
      </w:r>
      <w:r>
        <w:rPr>
          <w:color w:val="auto"/>
          <w:highlight w:val="none"/>
        </w:rPr>
        <w:t>- 31 -</w:t>
      </w:r>
      <w:r>
        <w:rPr>
          <w:color w:val="auto"/>
          <w:highlight w:val="none"/>
        </w:rPr>
        <w:fldChar w:fldCharType="end"/>
      </w:r>
      <w:r>
        <w:rPr>
          <w:rFonts w:hint="eastAsia" w:ascii="宋体" w:hAnsi="宋体" w:eastAsia="宋体" w:cs="宋体"/>
          <w:color w:val="auto"/>
          <w:szCs w:val="21"/>
          <w:highlight w:val="none"/>
        </w:rPr>
        <w:fldChar w:fldCharType="end"/>
      </w:r>
    </w:p>
    <w:p w14:paraId="6A83F89F">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_Toc1519408001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九、采购代理服务费</w:t>
      </w:r>
      <w:r>
        <w:rPr>
          <w:color w:val="auto"/>
          <w:highlight w:val="none"/>
        </w:rPr>
        <w:tab/>
      </w:r>
      <w:r>
        <w:rPr>
          <w:color w:val="auto"/>
          <w:highlight w:val="none"/>
        </w:rPr>
        <w:fldChar w:fldCharType="begin"/>
      </w:r>
      <w:r>
        <w:rPr>
          <w:color w:val="auto"/>
          <w:highlight w:val="none"/>
        </w:rPr>
        <w:instrText xml:space="preserve"> PAGEREF _Toc1519408001 \h </w:instrText>
      </w:r>
      <w:r>
        <w:rPr>
          <w:color w:val="auto"/>
          <w:highlight w:val="none"/>
        </w:rPr>
        <w:fldChar w:fldCharType="separate"/>
      </w:r>
      <w:r>
        <w:rPr>
          <w:color w:val="auto"/>
          <w:highlight w:val="none"/>
        </w:rPr>
        <w:t>- 33 -</w:t>
      </w:r>
      <w:r>
        <w:rPr>
          <w:color w:val="auto"/>
          <w:highlight w:val="none"/>
        </w:rPr>
        <w:fldChar w:fldCharType="end"/>
      </w:r>
      <w:r>
        <w:rPr>
          <w:rFonts w:hint="eastAsia" w:ascii="宋体" w:hAnsi="宋体" w:eastAsia="宋体" w:cs="宋体"/>
          <w:color w:val="auto"/>
          <w:szCs w:val="21"/>
          <w:highlight w:val="none"/>
        </w:rPr>
        <w:fldChar w:fldCharType="end"/>
      </w:r>
    </w:p>
    <w:p w14:paraId="0F51405C">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_Toc94417243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十、交易服务费</w:t>
      </w:r>
      <w:r>
        <w:rPr>
          <w:color w:val="auto"/>
          <w:highlight w:val="none"/>
        </w:rPr>
        <w:tab/>
      </w:r>
      <w:r>
        <w:rPr>
          <w:color w:val="auto"/>
          <w:highlight w:val="none"/>
        </w:rPr>
        <w:fldChar w:fldCharType="begin"/>
      </w:r>
      <w:r>
        <w:rPr>
          <w:color w:val="auto"/>
          <w:highlight w:val="none"/>
        </w:rPr>
        <w:instrText xml:space="preserve"> PAGEREF _Toc94417243 \h </w:instrText>
      </w:r>
      <w:r>
        <w:rPr>
          <w:color w:val="auto"/>
          <w:highlight w:val="none"/>
        </w:rPr>
        <w:fldChar w:fldCharType="separate"/>
      </w:r>
      <w:r>
        <w:rPr>
          <w:color w:val="auto"/>
          <w:highlight w:val="none"/>
        </w:rPr>
        <w:t>- 34 -</w:t>
      </w:r>
      <w:r>
        <w:rPr>
          <w:color w:val="auto"/>
          <w:highlight w:val="none"/>
        </w:rPr>
        <w:fldChar w:fldCharType="end"/>
      </w:r>
      <w:r>
        <w:rPr>
          <w:rFonts w:hint="eastAsia" w:ascii="宋体" w:hAnsi="宋体" w:eastAsia="宋体" w:cs="宋体"/>
          <w:color w:val="auto"/>
          <w:szCs w:val="21"/>
          <w:highlight w:val="none"/>
        </w:rPr>
        <w:fldChar w:fldCharType="end"/>
      </w:r>
    </w:p>
    <w:p w14:paraId="0D1F8439">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_Toc881450299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十一、签订合同</w:t>
      </w:r>
      <w:r>
        <w:rPr>
          <w:color w:val="auto"/>
          <w:highlight w:val="none"/>
        </w:rPr>
        <w:tab/>
      </w:r>
      <w:r>
        <w:rPr>
          <w:color w:val="auto"/>
          <w:highlight w:val="none"/>
        </w:rPr>
        <w:fldChar w:fldCharType="begin"/>
      </w:r>
      <w:r>
        <w:rPr>
          <w:color w:val="auto"/>
          <w:highlight w:val="none"/>
        </w:rPr>
        <w:instrText xml:space="preserve"> PAGEREF _Toc881450299 \h </w:instrText>
      </w:r>
      <w:r>
        <w:rPr>
          <w:color w:val="auto"/>
          <w:highlight w:val="none"/>
        </w:rPr>
        <w:fldChar w:fldCharType="separate"/>
      </w:r>
      <w:r>
        <w:rPr>
          <w:color w:val="auto"/>
          <w:highlight w:val="none"/>
        </w:rPr>
        <w:t>- 34 -</w:t>
      </w:r>
      <w:r>
        <w:rPr>
          <w:color w:val="auto"/>
          <w:highlight w:val="none"/>
        </w:rPr>
        <w:fldChar w:fldCharType="end"/>
      </w:r>
      <w:r>
        <w:rPr>
          <w:rFonts w:hint="eastAsia" w:ascii="宋体" w:hAnsi="宋体" w:eastAsia="宋体" w:cs="宋体"/>
          <w:color w:val="auto"/>
          <w:szCs w:val="21"/>
          <w:highlight w:val="none"/>
        </w:rPr>
        <w:fldChar w:fldCharType="end"/>
      </w:r>
    </w:p>
    <w:p w14:paraId="144A50DE">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_Toc312140754 </w:instrText>
      </w:r>
      <w:r>
        <w:rPr>
          <w:rFonts w:hint="eastAsia" w:ascii="宋体" w:hAnsi="宋体" w:eastAsia="宋体" w:cs="宋体"/>
          <w:color w:val="auto"/>
          <w:szCs w:val="21"/>
          <w:highlight w:val="none"/>
        </w:rPr>
        <w:fldChar w:fldCharType="separate"/>
      </w:r>
      <w:r>
        <w:rPr>
          <w:rFonts w:hint="eastAsia" w:ascii="宋体" w:eastAsia="宋体" w:cs="宋体"/>
          <w:color w:val="auto"/>
          <w:highlight w:val="none"/>
        </w:rPr>
        <w:t>十二、项目验收</w:t>
      </w:r>
      <w:r>
        <w:rPr>
          <w:color w:val="auto"/>
          <w:highlight w:val="none"/>
        </w:rPr>
        <w:tab/>
      </w:r>
      <w:r>
        <w:rPr>
          <w:color w:val="auto"/>
          <w:highlight w:val="none"/>
        </w:rPr>
        <w:fldChar w:fldCharType="begin"/>
      </w:r>
      <w:r>
        <w:rPr>
          <w:color w:val="auto"/>
          <w:highlight w:val="none"/>
        </w:rPr>
        <w:instrText xml:space="preserve"> PAGEREF _Toc312140754 \h </w:instrText>
      </w:r>
      <w:r>
        <w:rPr>
          <w:color w:val="auto"/>
          <w:highlight w:val="none"/>
        </w:rPr>
        <w:fldChar w:fldCharType="separate"/>
      </w:r>
      <w:r>
        <w:rPr>
          <w:color w:val="auto"/>
          <w:highlight w:val="none"/>
        </w:rPr>
        <w:t>- 35 -</w:t>
      </w:r>
      <w:r>
        <w:rPr>
          <w:color w:val="auto"/>
          <w:highlight w:val="none"/>
        </w:rPr>
        <w:fldChar w:fldCharType="end"/>
      </w:r>
      <w:r>
        <w:rPr>
          <w:rFonts w:hint="eastAsia" w:ascii="宋体" w:hAnsi="宋体" w:eastAsia="宋体" w:cs="宋体"/>
          <w:color w:val="auto"/>
          <w:szCs w:val="21"/>
          <w:highlight w:val="none"/>
        </w:rPr>
        <w:fldChar w:fldCharType="end"/>
      </w:r>
    </w:p>
    <w:p w14:paraId="75B709EA">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_Toc161136823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第六篇  合同主要条款和格式合同（样本）</w:t>
      </w:r>
      <w:r>
        <w:rPr>
          <w:color w:val="auto"/>
          <w:highlight w:val="none"/>
        </w:rPr>
        <w:tab/>
      </w:r>
      <w:r>
        <w:rPr>
          <w:color w:val="auto"/>
          <w:highlight w:val="none"/>
        </w:rPr>
        <w:fldChar w:fldCharType="begin"/>
      </w:r>
      <w:r>
        <w:rPr>
          <w:color w:val="auto"/>
          <w:highlight w:val="none"/>
        </w:rPr>
        <w:instrText xml:space="preserve"> PAGEREF _Toc161136823 \h </w:instrText>
      </w:r>
      <w:r>
        <w:rPr>
          <w:color w:val="auto"/>
          <w:highlight w:val="none"/>
        </w:rPr>
        <w:fldChar w:fldCharType="separate"/>
      </w:r>
      <w:r>
        <w:rPr>
          <w:color w:val="auto"/>
          <w:highlight w:val="none"/>
        </w:rPr>
        <w:t>- 36 -</w:t>
      </w:r>
      <w:r>
        <w:rPr>
          <w:color w:val="auto"/>
          <w:highlight w:val="none"/>
        </w:rPr>
        <w:fldChar w:fldCharType="end"/>
      </w:r>
      <w:r>
        <w:rPr>
          <w:rFonts w:hint="eastAsia" w:ascii="宋体" w:hAnsi="宋体" w:eastAsia="宋体" w:cs="宋体"/>
          <w:color w:val="auto"/>
          <w:szCs w:val="21"/>
          <w:highlight w:val="none"/>
        </w:rPr>
        <w:fldChar w:fldCharType="end"/>
      </w:r>
    </w:p>
    <w:p w14:paraId="0E8BBB5A">
      <w:pPr>
        <w:pStyle w:val="37"/>
        <w:tabs>
          <w:tab w:val="right" w:leader="dot" w:pos="9412"/>
          <w:tab w:val="clear" w:pos="1260"/>
          <w:tab w:val="clear" w:pos="1685"/>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_Toc1842825524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6"/>
          <w:highlight w:val="none"/>
        </w:rPr>
        <w:t>第七篇  投标文件格式</w:t>
      </w:r>
      <w:r>
        <w:rPr>
          <w:color w:val="auto"/>
          <w:highlight w:val="none"/>
        </w:rPr>
        <w:tab/>
      </w:r>
      <w:r>
        <w:rPr>
          <w:color w:val="auto"/>
          <w:highlight w:val="none"/>
        </w:rPr>
        <w:fldChar w:fldCharType="begin"/>
      </w:r>
      <w:r>
        <w:rPr>
          <w:color w:val="auto"/>
          <w:highlight w:val="none"/>
        </w:rPr>
        <w:instrText xml:space="preserve"> PAGEREF _Toc1842825524 \h </w:instrText>
      </w:r>
      <w:r>
        <w:rPr>
          <w:color w:val="auto"/>
          <w:highlight w:val="none"/>
        </w:rPr>
        <w:fldChar w:fldCharType="separate"/>
      </w:r>
      <w:r>
        <w:rPr>
          <w:color w:val="auto"/>
          <w:highlight w:val="none"/>
        </w:rPr>
        <w:t>- 43 -</w:t>
      </w:r>
      <w:r>
        <w:rPr>
          <w:color w:val="auto"/>
          <w:highlight w:val="none"/>
        </w:rPr>
        <w:fldChar w:fldCharType="end"/>
      </w:r>
      <w:r>
        <w:rPr>
          <w:rFonts w:hint="eastAsia" w:ascii="宋体" w:hAnsi="宋体" w:eastAsia="宋体" w:cs="宋体"/>
          <w:color w:val="auto"/>
          <w:szCs w:val="21"/>
          <w:highlight w:val="none"/>
        </w:rPr>
        <w:fldChar w:fldCharType="end"/>
      </w:r>
    </w:p>
    <w:p w14:paraId="3EB79ECA">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_Toc1947020943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8"/>
          <w:highlight w:val="none"/>
        </w:rPr>
        <w:t>一、经济文件</w:t>
      </w:r>
      <w:r>
        <w:rPr>
          <w:color w:val="auto"/>
          <w:highlight w:val="none"/>
        </w:rPr>
        <w:tab/>
      </w:r>
      <w:r>
        <w:rPr>
          <w:color w:val="auto"/>
          <w:highlight w:val="none"/>
        </w:rPr>
        <w:fldChar w:fldCharType="begin"/>
      </w:r>
      <w:r>
        <w:rPr>
          <w:color w:val="auto"/>
          <w:highlight w:val="none"/>
        </w:rPr>
        <w:instrText xml:space="preserve"> PAGEREF _Toc1947020943 \h </w:instrText>
      </w:r>
      <w:r>
        <w:rPr>
          <w:color w:val="auto"/>
          <w:highlight w:val="none"/>
        </w:rPr>
        <w:fldChar w:fldCharType="separate"/>
      </w:r>
      <w:r>
        <w:rPr>
          <w:color w:val="auto"/>
          <w:highlight w:val="none"/>
        </w:rPr>
        <w:t>- 44 -</w:t>
      </w:r>
      <w:r>
        <w:rPr>
          <w:color w:val="auto"/>
          <w:highlight w:val="none"/>
        </w:rPr>
        <w:fldChar w:fldCharType="end"/>
      </w:r>
      <w:r>
        <w:rPr>
          <w:rFonts w:hint="eastAsia" w:ascii="宋体" w:hAnsi="宋体" w:eastAsia="宋体" w:cs="宋体"/>
          <w:color w:val="auto"/>
          <w:szCs w:val="21"/>
          <w:highlight w:val="none"/>
        </w:rPr>
        <w:fldChar w:fldCharType="end"/>
      </w:r>
    </w:p>
    <w:p w14:paraId="7566F7ED">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_Toc1804622515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8"/>
          <w:highlight w:val="none"/>
        </w:rPr>
        <w:t>二、服务文件</w:t>
      </w:r>
      <w:r>
        <w:rPr>
          <w:color w:val="auto"/>
          <w:highlight w:val="none"/>
        </w:rPr>
        <w:tab/>
      </w:r>
      <w:r>
        <w:rPr>
          <w:color w:val="auto"/>
          <w:highlight w:val="none"/>
        </w:rPr>
        <w:fldChar w:fldCharType="begin"/>
      </w:r>
      <w:r>
        <w:rPr>
          <w:color w:val="auto"/>
          <w:highlight w:val="none"/>
        </w:rPr>
        <w:instrText xml:space="preserve"> PAGEREF _Toc1804622515 \h </w:instrText>
      </w:r>
      <w:r>
        <w:rPr>
          <w:color w:val="auto"/>
          <w:highlight w:val="none"/>
        </w:rPr>
        <w:fldChar w:fldCharType="separate"/>
      </w:r>
      <w:r>
        <w:rPr>
          <w:color w:val="auto"/>
          <w:highlight w:val="none"/>
        </w:rPr>
        <w:t>- 45 -</w:t>
      </w:r>
      <w:r>
        <w:rPr>
          <w:color w:val="auto"/>
          <w:highlight w:val="none"/>
        </w:rPr>
        <w:fldChar w:fldCharType="end"/>
      </w:r>
      <w:r>
        <w:rPr>
          <w:rFonts w:hint="eastAsia" w:ascii="宋体" w:hAnsi="宋体" w:eastAsia="宋体" w:cs="宋体"/>
          <w:color w:val="auto"/>
          <w:szCs w:val="21"/>
          <w:highlight w:val="none"/>
        </w:rPr>
        <w:fldChar w:fldCharType="end"/>
      </w:r>
    </w:p>
    <w:p w14:paraId="4E5E1001">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_Toc1911254027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8"/>
          <w:highlight w:val="none"/>
        </w:rPr>
        <w:t>三、商务文件</w:t>
      </w:r>
      <w:r>
        <w:rPr>
          <w:color w:val="auto"/>
          <w:highlight w:val="none"/>
        </w:rPr>
        <w:tab/>
      </w:r>
      <w:r>
        <w:rPr>
          <w:color w:val="auto"/>
          <w:highlight w:val="none"/>
        </w:rPr>
        <w:fldChar w:fldCharType="begin"/>
      </w:r>
      <w:r>
        <w:rPr>
          <w:color w:val="auto"/>
          <w:highlight w:val="none"/>
        </w:rPr>
        <w:instrText xml:space="preserve"> PAGEREF _Toc1911254027 \h </w:instrText>
      </w:r>
      <w:r>
        <w:rPr>
          <w:color w:val="auto"/>
          <w:highlight w:val="none"/>
        </w:rPr>
        <w:fldChar w:fldCharType="separate"/>
      </w:r>
      <w:r>
        <w:rPr>
          <w:color w:val="auto"/>
          <w:highlight w:val="none"/>
        </w:rPr>
        <w:t>- 47 -</w:t>
      </w:r>
      <w:r>
        <w:rPr>
          <w:color w:val="auto"/>
          <w:highlight w:val="none"/>
        </w:rPr>
        <w:fldChar w:fldCharType="end"/>
      </w:r>
      <w:r>
        <w:rPr>
          <w:rFonts w:hint="eastAsia" w:ascii="宋体" w:hAnsi="宋体" w:eastAsia="宋体" w:cs="宋体"/>
          <w:color w:val="auto"/>
          <w:szCs w:val="21"/>
          <w:highlight w:val="none"/>
        </w:rPr>
        <w:fldChar w:fldCharType="end"/>
      </w:r>
    </w:p>
    <w:p w14:paraId="4FD65EDA">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_Toc1916659372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8"/>
          <w:highlight w:val="none"/>
        </w:rPr>
        <w:t>四、其他</w:t>
      </w:r>
      <w:r>
        <w:rPr>
          <w:color w:val="auto"/>
          <w:highlight w:val="none"/>
        </w:rPr>
        <w:tab/>
      </w:r>
      <w:r>
        <w:rPr>
          <w:color w:val="auto"/>
          <w:highlight w:val="none"/>
        </w:rPr>
        <w:fldChar w:fldCharType="begin"/>
      </w:r>
      <w:r>
        <w:rPr>
          <w:color w:val="auto"/>
          <w:highlight w:val="none"/>
        </w:rPr>
        <w:instrText xml:space="preserve"> PAGEREF _Toc1916659372 \h </w:instrText>
      </w:r>
      <w:r>
        <w:rPr>
          <w:color w:val="auto"/>
          <w:highlight w:val="none"/>
        </w:rPr>
        <w:fldChar w:fldCharType="separate"/>
      </w:r>
      <w:r>
        <w:rPr>
          <w:color w:val="auto"/>
          <w:highlight w:val="none"/>
        </w:rPr>
        <w:t>- 50 -</w:t>
      </w:r>
      <w:r>
        <w:rPr>
          <w:color w:val="auto"/>
          <w:highlight w:val="none"/>
        </w:rPr>
        <w:fldChar w:fldCharType="end"/>
      </w:r>
      <w:r>
        <w:rPr>
          <w:rFonts w:hint="eastAsia" w:ascii="宋体" w:hAnsi="宋体" w:eastAsia="宋体" w:cs="宋体"/>
          <w:color w:val="auto"/>
          <w:szCs w:val="21"/>
          <w:highlight w:val="none"/>
        </w:rPr>
        <w:fldChar w:fldCharType="end"/>
      </w:r>
    </w:p>
    <w:p w14:paraId="1CB9BF2D">
      <w:pPr>
        <w:pStyle w:val="45"/>
        <w:tabs>
          <w:tab w:val="right" w:leader="dot" w:pos="9412"/>
          <w:tab w:val="clear" w:pos="8400"/>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_Toc1680773603 </w:instrText>
      </w:r>
      <w:r>
        <w:rPr>
          <w:rFonts w:hint="eastAsia" w:ascii="宋体" w:hAnsi="宋体" w:eastAsia="宋体" w:cs="宋体"/>
          <w:color w:val="auto"/>
          <w:szCs w:val="21"/>
          <w:highlight w:val="none"/>
        </w:rPr>
        <w:fldChar w:fldCharType="separate"/>
      </w:r>
      <w:r>
        <w:rPr>
          <w:rFonts w:hint="eastAsia" w:ascii="宋体" w:eastAsia="宋体" w:cs="宋体"/>
          <w:color w:val="auto"/>
          <w:szCs w:val="28"/>
          <w:highlight w:val="none"/>
        </w:rPr>
        <w:t>五、资格文件</w:t>
      </w:r>
      <w:r>
        <w:rPr>
          <w:color w:val="auto"/>
          <w:highlight w:val="none"/>
        </w:rPr>
        <w:tab/>
      </w:r>
      <w:r>
        <w:rPr>
          <w:color w:val="auto"/>
          <w:highlight w:val="none"/>
        </w:rPr>
        <w:fldChar w:fldCharType="begin"/>
      </w:r>
      <w:r>
        <w:rPr>
          <w:color w:val="auto"/>
          <w:highlight w:val="none"/>
        </w:rPr>
        <w:instrText xml:space="preserve"> PAGEREF _Toc1680773603 \h </w:instrText>
      </w:r>
      <w:r>
        <w:rPr>
          <w:color w:val="auto"/>
          <w:highlight w:val="none"/>
        </w:rPr>
        <w:fldChar w:fldCharType="separate"/>
      </w:r>
      <w:r>
        <w:rPr>
          <w:color w:val="auto"/>
          <w:highlight w:val="none"/>
        </w:rPr>
        <w:t>- 56 -</w:t>
      </w:r>
      <w:r>
        <w:rPr>
          <w:color w:val="auto"/>
          <w:highlight w:val="none"/>
        </w:rPr>
        <w:fldChar w:fldCharType="end"/>
      </w:r>
      <w:r>
        <w:rPr>
          <w:rFonts w:hint="eastAsia" w:ascii="宋体" w:hAnsi="宋体" w:eastAsia="宋体" w:cs="宋体"/>
          <w:color w:val="auto"/>
          <w:szCs w:val="21"/>
          <w:highlight w:val="none"/>
        </w:rPr>
        <w:fldChar w:fldCharType="end"/>
      </w:r>
    </w:p>
    <w:p w14:paraId="364D3C95">
      <w:pPr>
        <w:pStyle w:val="37"/>
        <w:spacing w:line="400" w:lineRule="exact"/>
        <w:ind w:firstLine="0" w:firstLineChars="0"/>
        <w:rPr>
          <w:rFonts w:hint="eastAsia" w:ascii="宋体" w:hAnsi="宋体" w:eastAsia="宋体" w:cs="宋体"/>
          <w:color w:val="auto"/>
          <w:sz w:val="32"/>
          <w:highlight w:val="none"/>
        </w:rPr>
        <w:sectPr>
          <w:pgSz w:w="11907" w:h="16840"/>
          <w:pgMar w:top="1134" w:right="1191" w:bottom="1134" w:left="1304" w:header="964" w:footer="992" w:gutter="0"/>
          <w:pgNumType w:fmt="numberInDash" w:start="1"/>
          <w:cols w:space="720" w:num="1"/>
          <w:docGrid w:linePitch="312" w:charSpace="0"/>
        </w:sectPr>
      </w:pPr>
      <w:r>
        <w:rPr>
          <w:rFonts w:hint="eastAsia" w:ascii="宋体" w:hAnsi="宋体" w:eastAsia="宋体" w:cs="宋体"/>
          <w:color w:val="auto"/>
          <w:szCs w:val="21"/>
          <w:highlight w:val="none"/>
        </w:rPr>
        <w:fldChar w:fldCharType="end"/>
      </w:r>
    </w:p>
    <w:p w14:paraId="1D9D3A27">
      <w:pPr>
        <w:pStyle w:val="2"/>
        <w:spacing w:before="0" w:beforeLines="0" w:after="0" w:afterLines="0" w:line="360" w:lineRule="auto"/>
        <w:rPr>
          <w:rFonts w:hint="eastAsia" w:ascii="宋体" w:hAnsi="宋体" w:eastAsia="宋体" w:cs="宋体"/>
          <w:b/>
          <w:color w:val="auto"/>
          <w:sz w:val="36"/>
          <w:szCs w:val="36"/>
          <w:highlight w:val="none"/>
        </w:rPr>
      </w:pPr>
      <w:bookmarkStart w:id="0" w:name="_Toc1479796547"/>
      <w:bookmarkStart w:id="1" w:name="_Toc76387225"/>
      <w:bookmarkStart w:id="2" w:name="_Toc31743"/>
      <w:r>
        <w:rPr>
          <w:rFonts w:hint="eastAsia" w:ascii="宋体" w:hAnsi="宋体" w:eastAsia="宋体" w:cs="宋体"/>
          <w:b/>
          <w:color w:val="auto"/>
          <w:sz w:val="36"/>
          <w:szCs w:val="36"/>
          <w:highlight w:val="none"/>
        </w:rPr>
        <w:t>第一篇 投标邀请书</w:t>
      </w:r>
      <w:bookmarkEnd w:id="0"/>
      <w:bookmarkEnd w:id="1"/>
      <w:bookmarkEnd w:id="2"/>
    </w:p>
    <w:p w14:paraId="1400D889">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重庆市政府采购中心（以下简称：采购代理机构）受</w:t>
      </w:r>
      <w:r>
        <w:rPr>
          <w:rFonts w:hint="eastAsia" w:ascii="宋体" w:hAnsi="宋体" w:cs="宋体"/>
          <w:color w:val="auto"/>
          <w:sz w:val="24"/>
          <w:szCs w:val="24"/>
          <w:highlight w:val="none"/>
          <w:lang w:eastAsia="zh-CN"/>
        </w:rPr>
        <w:t>四川消防救援机动总队</w:t>
      </w:r>
      <w:r>
        <w:rPr>
          <w:rFonts w:hint="eastAsia" w:ascii="宋体" w:hAnsi="宋体" w:eastAsia="宋体" w:cs="宋体"/>
          <w:color w:val="auto"/>
          <w:sz w:val="24"/>
          <w:szCs w:val="24"/>
          <w:highlight w:val="none"/>
        </w:rPr>
        <w:t>（以下简称：采购人）的委托，对</w:t>
      </w:r>
      <w:r>
        <w:rPr>
          <w:rFonts w:hint="eastAsia" w:ascii="宋体" w:hAnsi="宋体" w:cs="宋体"/>
          <w:color w:val="auto"/>
          <w:sz w:val="24"/>
          <w:szCs w:val="24"/>
          <w:highlight w:val="none"/>
          <w:lang w:eastAsia="zh-CN"/>
        </w:rPr>
        <w:t>成都消防救援机动支队主副食配送服务采购项目</w:t>
      </w:r>
      <w:r>
        <w:rPr>
          <w:rFonts w:hint="eastAsia" w:ascii="宋体" w:hAnsi="宋体" w:eastAsia="宋体" w:cs="宋体"/>
          <w:color w:val="auto"/>
          <w:sz w:val="24"/>
          <w:szCs w:val="24"/>
          <w:highlight w:val="none"/>
        </w:rPr>
        <w:t>进行公开招标，欢迎有资格的投标人参加投标。</w:t>
      </w:r>
    </w:p>
    <w:p w14:paraId="57F965A8">
      <w:pPr>
        <w:pStyle w:val="3"/>
        <w:spacing w:line="240" w:lineRule="auto"/>
        <w:ind w:firstLine="0" w:firstLineChars="0"/>
        <w:jc w:val="left"/>
        <w:rPr>
          <w:rFonts w:hint="eastAsia" w:ascii="宋体" w:eastAsia="宋体" w:cs="宋体"/>
          <w:b/>
          <w:color w:val="auto"/>
          <w:sz w:val="24"/>
          <w:highlight w:val="none"/>
        </w:rPr>
      </w:pPr>
      <w:bookmarkStart w:id="3" w:name="_Toc51"/>
      <w:bookmarkStart w:id="4" w:name="_Toc76387226"/>
      <w:bookmarkStart w:id="5" w:name="_Toc47002220"/>
      <w:r>
        <w:rPr>
          <w:rFonts w:hint="eastAsia" w:ascii="宋体" w:eastAsia="宋体" w:cs="宋体"/>
          <w:b/>
          <w:color w:val="auto"/>
          <w:sz w:val="24"/>
          <w:highlight w:val="none"/>
        </w:rPr>
        <w:t>一、招标项目内容</w:t>
      </w:r>
      <w:bookmarkEnd w:id="3"/>
      <w:bookmarkEnd w:id="4"/>
      <w:bookmarkEnd w:id="5"/>
    </w:p>
    <w:tbl>
      <w:tblPr>
        <w:tblStyle w:val="5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4"/>
        <w:gridCol w:w="1261"/>
        <w:gridCol w:w="1944"/>
        <w:gridCol w:w="1660"/>
        <w:gridCol w:w="2453"/>
      </w:tblGrid>
      <w:tr w14:paraId="6490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7" w:type="pct"/>
            <w:noWrap w:val="0"/>
            <w:vAlign w:val="center"/>
          </w:tcPr>
          <w:p w14:paraId="27C31C4A">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项目</w:t>
            </w:r>
            <w:r>
              <w:rPr>
                <w:rFonts w:hint="eastAsia" w:ascii="宋体" w:hAnsi="宋体" w:eastAsia="宋体" w:cs="宋体"/>
                <w:b/>
                <w:color w:val="auto"/>
                <w:sz w:val="21"/>
                <w:szCs w:val="21"/>
                <w:highlight w:val="none"/>
              </w:rPr>
              <w:t>名称</w:t>
            </w:r>
          </w:p>
        </w:tc>
        <w:tc>
          <w:tcPr>
            <w:tcW w:w="655" w:type="pct"/>
            <w:noWrap w:val="0"/>
            <w:vAlign w:val="center"/>
          </w:tcPr>
          <w:p w14:paraId="491DFC07">
            <w:pPr>
              <w:pStyle w:val="23"/>
              <w:spacing w:line="240" w:lineRule="auto"/>
              <w:ind w:left="0"/>
              <w:jc w:val="center"/>
              <w:outlineLvl w:val="0"/>
              <w:rPr>
                <w:rFonts w:ascii="宋体" w:hAnsi="宋体" w:cs="宋体"/>
                <w:b/>
                <w:color w:val="auto"/>
                <w:sz w:val="21"/>
                <w:szCs w:val="21"/>
                <w:highlight w:val="none"/>
              </w:rPr>
            </w:pPr>
            <w:r>
              <w:rPr>
                <w:rFonts w:hint="eastAsia" w:ascii="宋体" w:hAnsi="宋体" w:cs="宋体"/>
                <w:b/>
                <w:color w:val="auto"/>
                <w:sz w:val="21"/>
                <w:szCs w:val="21"/>
                <w:highlight w:val="none"/>
              </w:rPr>
              <w:t>最高限价</w:t>
            </w:r>
          </w:p>
          <w:p w14:paraId="7CF290C0">
            <w:pPr>
              <w:pStyle w:val="23"/>
              <w:spacing w:line="240" w:lineRule="auto"/>
              <w:ind w:left="0" w:leftChars="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（万元）</w:t>
            </w:r>
          </w:p>
        </w:tc>
        <w:tc>
          <w:tcPr>
            <w:tcW w:w="1010" w:type="pct"/>
            <w:noWrap w:val="0"/>
            <w:vAlign w:val="center"/>
          </w:tcPr>
          <w:p w14:paraId="0E13825B">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投标保证金</w:t>
            </w:r>
          </w:p>
          <w:p w14:paraId="48ACE937">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（万元）</w:t>
            </w:r>
          </w:p>
        </w:tc>
        <w:tc>
          <w:tcPr>
            <w:tcW w:w="862" w:type="pct"/>
            <w:noWrap w:val="0"/>
            <w:vAlign w:val="center"/>
          </w:tcPr>
          <w:p w14:paraId="405A7848">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中标人数量</w:t>
            </w:r>
          </w:p>
          <w:p w14:paraId="6E8A94F7">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w:t>
            </w:r>
          </w:p>
        </w:tc>
        <w:tc>
          <w:tcPr>
            <w:tcW w:w="1274" w:type="pct"/>
            <w:noWrap w:val="0"/>
            <w:vAlign w:val="center"/>
          </w:tcPr>
          <w:p w14:paraId="50E9864D">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bCs/>
                <w:color w:val="auto"/>
                <w:kern w:val="0"/>
                <w:sz w:val="21"/>
                <w:szCs w:val="24"/>
                <w:highlight w:val="none"/>
              </w:rPr>
              <w:t>采购标的对应的中小企业划分标准所属行业</w:t>
            </w:r>
          </w:p>
        </w:tc>
      </w:tr>
      <w:tr w14:paraId="4231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197" w:type="pct"/>
            <w:noWrap w:val="0"/>
            <w:vAlign w:val="center"/>
          </w:tcPr>
          <w:p w14:paraId="10204EBB">
            <w:pPr>
              <w:pStyle w:val="15"/>
              <w:spacing w:line="240" w:lineRule="auto"/>
              <w:ind w:firstLine="0"/>
              <w:outlineLvl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成都消防救援机动支队主副食配送服务采购项目</w:t>
            </w:r>
          </w:p>
        </w:tc>
        <w:tc>
          <w:tcPr>
            <w:tcW w:w="655" w:type="pct"/>
            <w:noWrap w:val="0"/>
            <w:vAlign w:val="center"/>
          </w:tcPr>
          <w:p w14:paraId="2BDB84FA">
            <w:pPr>
              <w:pStyle w:val="23"/>
              <w:spacing w:line="240" w:lineRule="atLeast"/>
              <w:ind w:left="0" w:leftChars="0"/>
              <w:jc w:val="center"/>
              <w:outlineLvl w:val="0"/>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647.88</w:t>
            </w:r>
          </w:p>
        </w:tc>
        <w:tc>
          <w:tcPr>
            <w:tcW w:w="1010" w:type="pct"/>
            <w:noWrap w:val="0"/>
            <w:vAlign w:val="center"/>
          </w:tcPr>
          <w:p w14:paraId="7FA3A5EB">
            <w:pPr>
              <w:pStyle w:val="15"/>
              <w:spacing w:line="240" w:lineRule="auto"/>
              <w:ind w:firstLine="0" w:firstLineChars="0"/>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862" w:type="pct"/>
            <w:noWrap w:val="0"/>
            <w:vAlign w:val="center"/>
          </w:tcPr>
          <w:p w14:paraId="47B57946">
            <w:pPr>
              <w:pStyle w:val="15"/>
              <w:spacing w:line="240" w:lineRule="auto"/>
              <w:ind w:firstLine="0" w:firstLineChars="0"/>
              <w:jc w:val="center"/>
              <w:outlineLvl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1</w:t>
            </w:r>
          </w:p>
        </w:tc>
        <w:tc>
          <w:tcPr>
            <w:tcW w:w="1274" w:type="pct"/>
            <w:noWrap w:val="0"/>
            <w:vAlign w:val="center"/>
          </w:tcPr>
          <w:p w14:paraId="187A9DFA">
            <w:pPr>
              <w:pStyle w:val="15"/>
              <w:spacing w:line="240" w:lineRule="auto"/>
              <w:ind w:firstLine="0" w:firstLineChars="0"/>
              <w:jc w:val="center"/>
              <w:outlineLvl w:val="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批发业</w:t>
            </w:r>
          </w:p>
        </w:tc>
      </w:tr>
    </w:tbl>
    <w:p w14:paraId="55339B27">
      <w:pPr>
        <w:pStyle w:val="3"/>
        <w:spacing w:line="240" w:lineRule="auto"/>
        <w:ind w:firstLine="0" w:firstLineChars="0"/>
        <w:jc w:val="left"/>
        <w:rPr>
          <w:rFonts w:hint="eastAsia" w:ascii="宋体" w:eastAsia="宋体" w:cs="宋体"/>
          <w:b/>
          <w:color w:val="auto"/>
          <w:sz w:val="24"/>
          <w:highlight w:val="none"/>
        </w:rPr>
      </w:pPr>
      <w:bookmarkStart w:id="6" w:name="_Toc76387227"/>
      <w:bookmarkStart w:id="7" w:name="_Toc9769"/>
      <w:bookmarkStart w:id="8" w:name="_Toc144053752"/>
      <w:r>
        <w:rPr>
          <w:rFonts w:hint="eastAsia" w:ascii="宋体" w:eastAsia="宋体" w:cs="宋体"/>
          <w:b/>
          <w:color w:val="auto"/>
          <w:sz w:val="24"/>
          <w:highlight w:val="none"/>
        </w:rPr>
        <w:t>二、资金来源</w:t>
      </w:r>
      <w:bookmarkEnd w:id="6"/>
      <w:bookmarkEnd w:id="7"/>
      <w:bookmarkEnd w:id="8"/>
    </w:p>
    <w:p w14:paraId="53658D6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财政预算资金,</w:t>
      </w:r>
      <w:r>
        <w:rPr>
          <w:rFonts w:hint="eastAsia" w:ascii="宋体" w:hAnsi="宋体" w:cs="宋体"/>
          <w:color w:val="auto"/>
          <w:sz w:val="24"/>
          <w:szCs w:val="24"/>
          <w:highlight w:val="none"/>
        </w:rPr>
        <w:t>预算金额为647.88万</w:t>
      </w:r>
      <w:r>
        <w:rPr>
          <w:rFonts w:hint="eastAsia" w:ascii="宋体" w:hAnsi="宋体" w:cs="宋体"/>
          <w:color w:val="auto"/>
          <w:sz w:val="24"/>
          <w:szCs w:val="24"/>
          <w:highlight w:val="none"/>
          <w:lang w:eastAsia="zh-CN"/>
        </w:rPr>
        <w:t>元</w:t>
      </w:r>
      <w:r>
        <w:rPr>
          <w:rFonts w:hint="eastAsia" w:ascii="宋体" w:hAnsi="宋体" w:eastAsia="宋体" w:cs="宋体"/>
          <w:color w:val="auto"/>
          <w:sz w:val="24"/>
          <w:szCs w:val="24"/>
          <w:highlight w:val="none"/>
        </w:rPr>
        <w:t>。</w:t>
      </w:r>
    </w:p>
    <w:p w14:paraId="26975ADF">
      <w:pPr>
        <w:pStyle w:val="3"/>
        <w:spacing w:line="240" w:lineRule="auto"/>
        <w:ind w:firstLine="0" w:firstLineChars="0"/>
        <w:jc w:val="left"/>
        <w:rPr>
          <w:rFonts w:hint="eastAsia" w:ascii="宋体" w:eastAsia="宋体" w:cs="宋体"/>
          <w:b/>
          <w:color w:val="auto"/>
          <w:sz w:val="24"/>
          <w:highlight w:val="none"/>
        </w:rPr>
      </w:pPr>
      <w:bookmarkStart w:id="9" w:name="_Toc13701"/>
      <w:bookmarkStart w:id="10" w:name="_Toc76387228"/>
      <w:bookmarkStart w:id="11" w:name="_Toc145446413"/>
      <w:r>
        <w:rPr>
          <w:rFonts w:hint="eastAsia" w:ascii="宋体" w:eastAsia="宋体" w:cs="宋体"/>
          <w:b/>
          <w:color w:val="auto"/>
          <w:sz w:val="24"/>
          <w:highlight w:val="none"/>
        </w:rPr>
        <w:t>三、投标人资格要求</w:t>
      </w:r>
      <w:bookmarkEnd w:id="9"/>
      <w:bookmarkEnd w:id="10"/>
      <w:bookmarkEnd w:id="11"/>
    </w:p>
    <w:p w14:paraId="485A5B18">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6FE8A277">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1719A5ED">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本项目专门面向</w:t>
      </w:r>
      <w:r>
        <w:rPr>
          <w:rFonts w:hint="eastAsia" w:ascii="宋体" w:hAnsi="宋体" w:cs="宋体"/>
          <w:b/>
          <w:bCs/>
          <w:color w:val="auto"/>
          <w:sz w:val="24"/>
          <w:szCs w:val="24"/>
          <w:highlight w:val="none"/>
        </w:rPr>
        <w:t>中小企业</w:t>
      </w:r>
      <w:r>
        <w:rPr>
          <w:rFonts w:hint="eastAsia" w:ascii="宋体" w:hAnsi="宋体" w:cs="宋体"/>
          <w:color w:val="auto"/>
          <w:sz w:val="24"/>
          <w:szCs w:val="24"/>
          <w:highlight w:val="none"/>
        </w:rPr>
        <w:t>采购，</w:t>
      </w:r>
      <w:r>
        <w:rPr>
          <w:rFonts w:hint="eastAsia" w:ascii="宋体" w:hAnsi="宋体" w:cs="宋体"/>
          <w:b/>
          <w:bCs/>
          <w:color w:val="auto"/>
          <w:sz w:val="24"/>
          <w:szCs w:val="24"/>
          <w:highlight w:val="none"/>
        </w:rPr>
        <w:t>服务承接</w:t>
      </w:r>
      <w:r>
        <w:rPr>
          <w:rFonts w:hint="eastAsia" w:ascii="宋体" w:hAnsi="宋体" w:cs="宋体"/>
          <w:b/>
          <w:bCs/>
          <w:color w:val="auto"/>
          <w:sz w:val="24"/>
          <w:szCs w:val="24"/>
          <w:highlight w:val="none"/>
          <w:lang w:eastAsia="zh-CN"/>
        </w:rPr>
        <w:t>企业</w:t>
      </w:r>
      <w:r>
        <w:rPr>
          <w:rFonts w:hint="eastAsia" w:ascii="宋体" w:hAnsi="宋体" w:cs="宋体"/>
          <w:color w:val="auto"/>
          <w:sz w:val="24"/>
          <w:szCs w:val="24"/>
          <w:highlight w:val="none"/>
        </w:rPr>
        <w:t>应为</w:t>
      </w:r>
      <w:r>
        <w:rPr>
          <w:rFonts w:hint="eastAsia" w:ascii="宋体" w:hAnsi="宋体" w:cs="宋体"/>
          <w:b/>
          <w:bCs/>
          <w:color w:val="auto"/>
          <w:sz w:val="24"/>
          <w:szCs w:val="24"/>
          <w:highlight w:val="none"/>
        </w:rPr>
        <w:t>中小</w:t>
      </w:r>
      <w:r>
        <w:rPr>
          <w:rFonts w:hint="eastAsia" w:ascii="宋体" w:hAnsi="宋体" w:cs="宋体"/>
          <w:b/>
          <w:bCs/>
          <w:color w:val="auto"/>
          <w:sz w:val="24"/>
          <w:szCs w:val="24"/>
          <w:highlight w:val="none"/>
          <w:lang w:eastAsia="zh-CN"/>
        </w:rPr>
        <w:t>微</w:t>
      </w:r>
      <w:r>
        <w:rPr>
          <w:rFonts w:hint="eastAsia" w:ascii="宋体" w:hAnsi="宋体" w:cs="宋体"/>
          <w:color w:val="auto"/>
          <w:sz w:val="24"/>
          <w:szCs w:val="24"/>
          <w:highlight w:val="none"/>
        </w:rPr>
        <w:t>企业（提供中小企业声明函）或监狱企业（提供监狱企业证明文件）或残疾人福利性单位（提供残疾人福利性单位声明函）。</w:t>
      </w:r>
    </w:p>
    <w:p w14:paraId="183DE70F">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w:t>
      </w:r>
    </w:p>
    <w:p w14:paraId="34A8E588">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1.“中小企业声明函”应由</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出具，并加盖</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公章，声明函格式详见本</w:t>
      </w:r>
      <w:r>
        <w:rPr>
          <w:rFonts w:hint="eastAsia" w:ascii="宋体" w:hAnsi="宋体" w:cs="宋体"/>
          <w:color w:val="auto"/>
          <w:sz w:val="24"/>
          <w:szCs w:val="24"/>
          <w:highlight w:val="none"/>
          <w:lang w:eastAsia="zh-CN"/>
        </w:rPr>
        <w:t>招标</w:t>
      </w:r>
      <w:r>
        <w:rPr>
          <w:rFonts w:hint="eastAsia" w:ascii="宋体" w:hAnsi="宋体" w:cs="宋体"/>
          <w:color w:val="auto"/>
          <w:sz w:val="24"/>
          <w:szCs w:val="24"/>
          <w:highlight w:val="none"/>
        </w:rPr>
        <w:t>文件第七篇“中小企业声明函”；</w:t>
      </w:r>
    </w:p>
    <w:p w14:paraId="58B24C91">
      <w:pPr>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2.“监狱企业证明文件”应当由</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提供其属于监狱企业的证明文件，该证明文件由省级以上监狱管理局、戒毒管理局（含新疆生产建设兵团）出具；</w:t>
      </w:r>
    </w:p>
    <w:p w14:paraId="7AA34119">
      <w:pPr>
        <w:spacing w:line="400" w:lineRule="exact"/>
        <w:ind w:firstLine="480" w:firstLineChars="200"/>
        <w:rPr>
          <w:rFonts w:hint="eastAsia" w:ascii="宋体" w:hAnsi="宋体" w:cs="宋体"/>
          <w:iCs/>
          <w:color w:val="auto"/>
          <w:sz w:val="24"/>
          <w:szCs w:val="24"/>
          <w:highlight w:val="none"/>
        </w:rPr>
      </w:pPr>
      <w:r>
        <w:rPr>
          <w:rFonts w:hint="eastAsia" w:ascii="宋体" w:hAnsi="宋体" w:cs="宋体"/>
          <w:color w:val="auto"/>
          <w:sz w:val="24"/>
          <w:szCs w:val="24"/>
          <w:highlight w:val="none"/>
        </w:rPr>
        <w:t>3.“残疾人福利性单位声明函”应由</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出具的“残疾人福利性单位声明函”，并加盖该残疾人福利性单位公章。</w:t>
      </w:r>
    </w:p>
    <w:p w14:paraId="6200B9A5">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09743AA8">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人须具有国家行政主管部门颁发且在有效期内的《食品经营许可证》或《食品经营许可电子证书》或所在地县级以上地方市场监督管理部门仅销售预包装食品备案证明材料。提供证书复印件并加盖投标人公章。</w:t>
      </w:r>
    </w:p>
    <w:p w14:paraId="11BDB359">
      <w:pPr>
        <w:pStyle w:val="3"/>
        <w:spacing w:line="240" w:lineRule="auto"/>
        <w:ind w:firstLine="0" w:firstLineChars="0"/>
        <w:jc w:val="left"/>
        <w:rPr>
          <w:rFonts w:hint="eastAsia" w:ascii="宋体" w:eastAsia="宋体" w:cs="宋体"/>
          <w:b/>
          <w:color w:val="auto"/>
          <w:sz w:val="24"/>
          <w:highlight w:val="none"/>
        </w:rPr>
      </w:pPr>
      <w:bookmarkStart w:id="12" w:name="_Toc405214705"/>
      <w:bookmarkStart w:id="13" w:name="_Toc76387229"/>
      <w:bookmarkStart w:id="14" w:name="_Toc30958"/>
      <w:r>
        <w:rPr>
          <w:rFonts w:hint="eastAsia" w:ascii="宋体" w:eastAsia="宋体" w:cs="宋体"/>
          <w:b/>
          <w:color w:val="auto"/>
          <w:sz w:val="24"/>
          <w:highlight w:val="none"/>
        </w:rPr>
        <w:t>四、投标、开标有关说明</w:t>
      </w:r>
      <w:bookmarkEnd w:id="12"/>
      <w:bookmarkEnd w:id="13"/>
      <w:bookmarkEnd w:id="14"/>
    </w:p>
    <w:p w14:paraId="3CBB1464">
      <w:pPr>
        <w:spacing w:line="440" w:lineRule="exact"/>
        <w:ind w:firstLine="480" w:firstLineChars="200"/>
        <w:rPr>
          <w:rFonts w:hint="eastAsia" w:ascii="宋体" w:hAnsi="宋体" w:cs="宋体"/>
          <w:color w:val="auto"/>
          <w:sz w:val="24"/>
          <w:szCs w:val="24"/>
          <w:highlight w:val="none"/>
        </w:rPr>
      </w:pPr>
      <w:bookmarkStart w:id="15" w:name="_Hlk148295165"/>
      <w:r>
        <w:rPr>
          <w:rFonts w:hint="eastAsia" w:ascii="宋体" w:hAnsi="宋体" w:cs="宋体"/>
          <w:color w:val="auto"/>
          <w:sz w:val="24"/>
          <w:szCs w:val="24"/>
          <w:highlight w:val="none"/>
        </w:rPr>
        <w:t>（一）本投标邀请在中国政府采购网（www.ccgp.gov.cn）上以公告形式发布。投标人应通过大家采-数智招采服务平台（https://szzc.gec123.com）登记加入“大家采-数智招采服务平台供应商库即行采家供应商库”。</w:t>
      </w:r>
    </w:p>
    <w:p w14:paraId="59F544B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凡有意参加投标的投标人，请在规定的采购文件提供期限内登陆“大家采-数智招采服务平台”→进入“个人中心”→“电子招投标”→“电子标书在线获取”处→搜索该项目，并在项目信息右侧点击“在线获取”按钮。完成本项目招标文件以及图纸、澄清等开标前公布的所有项目资料（本次招标不提供纸质版招标文件）的获取和下载，无论投标人下载或获取与否，均视为已知晓所有招标内容。</w:t>
      </w:r>
    </w:p>
    <w:p w14:paraId="42F66DF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注：登陆“大家采-数智招采服务平台”获取电子标书无须CA证书，CA证书仅用于制作电子投标文件、开标解密。</w:t>
      </w:r>
    </w:p>
    <w:p w14:paraId="470DBED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（三）投标人只有按照以下采购文件获取方式完成网上获取采购文件，投标人才被视为依法获取了采购文件，否则其投标将被拒绝。</w:t>
      </w:r>
    </w:p>
    <w:p w14:paraId="5BF36A8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投标人应当在采购公告规定的采购文件提供期限内，按照《电子标供应商操作指引》要求完成采购文件获取。</w:t>
      </w:r>
    </w:p>
    <w:p w14:paraId="2A206BDC">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即：若投标人未通过以上获取采购文件方式完成采购文件的下载、获取，投标人将无法在电子招投标系统中上传电子投标文件。</w:t>
      </w:r>
    </w:p>
    <w:p w14:paraId="480719A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注意事项：本项目为电子招投标项目，首次参与电子招投标的投标人须申请大家采-数智招采服务平台账号密码、办理CA证书（办理CA证书费用由供应商自行承担）并下载电子投标文件制作系统，制作电子投标文件进行互联网在线投标，具体操作流程请下载项目公告附件《电子标供应商操作指引》进行查看。因未注册大家采-数智招采服务平台账号、未办理CA证书、操作不当等原因造成无法投标或投标失败的后果由投标人自行承担。</w:t>
      </w:r>
    </w:p>
    <w:p w14:paraId="7A2EC94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1.CA证书的办理流程：在采购公告里面下载附件《全流程电子招投标项目投标人办理正式CA签章流程手册》，并按照其中要求操作。</w:t>
      </w:r>
    </w:p>
    <w:p w14:paraId="460C544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2.电子投标文件制作：登录“大家采-数智招采服务平台”→“个人中心”→“电子招投标”栏目，下载“大家采投标文件制作工具”、“统一签章客户端” 安装包，并按照《电子标供应商操作指引》要求操作。</w:t>
      </w:r>
    </w:p>
    <w:bookmarkEnd w:id="15"/>
    <w:p w14:paraId="2B5C5DA1">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（四）招标文件公告期限：自采购公告发布之日起五个工作日。</w:t>
      </w:r>
    </w:p>
    <w:p w14:paraId="7282DEB2">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（五）招标文件提供期限</w:t>
      </w:r>
    </w:p>
    <w:p w14:paraId="5ADF5F77">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1.招标文件提供期限：同招标文件公告期限。</w:t>
      </w:r>
    </w:p>
    <w:p w14:paraId="5B804D1B">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2.报名方式：无需报名。</w:t>
      </w:r>
    </w:p>
    <w:p w14:paraId="18BA2FE3">
      <w:pPr>
        <w:spacing w:line="440" w:lineRule="exact"/>
        <w:ind w:firstLine="480" w:firstLineChars="200"/>
        <w:rPr>
          <w:rFonts w:hint="eastAsia" w:ascii="宋体" w:hAnsi="宋体" w:cs="宋体"/>
          <w:color w:val="auto"/>
          <w:sz w:val="24"/>
          <w:szCs w:val="24"/>
          <w:highlight w:val="none"/>
        </w:rPr>
      </w:pPr>
      <w:bookmarkStart w:id="16" w:name="_Toc26516"/>
      <w:bookmarkStart w:id="17" w:name="_Toc29384"/>
      <w:bookmarkStart w:id="18" w:name="_Toc15246"/>
      <w:bookmarkStart w:id="19" w:name="_Toc18155"/>
      <w:bookmarkStart w:id="20" w:name="_Toc76373868"/>
      <w:r>
        <w:rPr>
          <w:rFonts w:hint="eastAsia" w:ascii="宋体" w:hAnsi="宋体" w:cs="宋体"/>
          <w:color w:val="auto"/>
          <w:sz w:val="24"/>
          <w:szCs w:val="24"/>
          <w:highlight w:val="none"/>
        </w:rPr>
        <w:t>（六）电子投标文件递交</w:t>
      </w:r>
    </w:p>
    <w:p w14:paraId="5434749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1.电子投标文件递交方式：本项目采用网上递交方式，投标人于电子投标文件递交截止时间前，登录“大家采-数智招采服务平台”，进入“</w:t>
      </w:r>
      <w:r>
        <w:rPr>
          <w:rFonts w:hint="eastAsia" w:ascii="宋体" w:hAnsi="宋体" w:eastAsia="宋体" w:cs="宋体"/>
          <w:color w:val="auto"/>
          <w:sz w:val="24"/>
          <w:szCs w:val="24"/>
          <w:highlight w:val="none"/>
          <w:lang w:val="en-US" w:eastAsia="zh-CN"/>
        </w:rPr>
        <w:t>电子招投标</w:t>
      </w:r>
      <w:r>
        <w:rPr>
          <w:rFonts w:hint="eastAsia" w:ascii="宋体" w:hAnsi="宋体" w:eastAsia="宋体" w:cs="宋体"/>
          <w:color w:val="auto"/>
          <w:sz w:val="24"/>
          <w:szCs w:val="24"/>
          <w:highlight w:val="none"/>
        </w:rPr>
        <w:t>”栏目，在“我的投标项目”→“在线投标”板块内找到对应</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项目，进行电子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文件递交。</w:t>
      </w:r>
    </w:p>
    <w:p w14:paraId="368542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电子投标文件递交开始时间、截止时间：</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北京时间</w:t>
      </w:r>
      <w:r>
        <w:rPr>
          <w:rFonts w:hint="eastAsia" w:ascii="宋体" w:hAnsi="宋体" w:eastAsia="宋体" w:cs="宋体"/>
          <w:color w:val="auto"/>
          <w:sz w:val="24"/>
          <w:szCs w:val="24"/>
          <w:highlight w:val="none"/>
        </w:rPr>
        <w:t>10:00—202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日北京时间10:00（以电子招投标平台显示的时间为准，其他时间不接受任何形式的送达）。</w:t>
      </w:r>
    </w:p>
    <w:p w14:paraId="4D7B53E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（七）开标信息</w:t>
      </w:r>
    </w:p>
    <w:p w14:paraId="37D7769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1.开标时间：202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日北京时间10:00</w:t>
      </w:r>
    </w:p>
    <w:p w14:paraId="7A9B7C83">
      <w:pPr>
        <w:spacing w:line="440" w:lineRule="exact"/>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投标截止时间：202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日北京时间10:00</w:t>
      </w:r>
    </w:p>
    <w:p w14:paraId="6402AEC9">
      <w:pPr>
        <w:spacing w:line="440" w:lineRule="exact"/>
        <w:ind w:firstLine="480" w:firstLineChars="200"/>
        <w:rPr>
          <w:rFonts w:hint="eastAsia" w:ascii="宋体" w:hAnsi="宋体" w:eastAsia="宋体" w:cs="宋体"/>
          <w:color w:val="auto"/>
          <w:sz w:val="24"/>
          <w:szCs w:val="24"/>
          <w:highlight w:val="none"/>
        </w:rPr>
      </w:pPr>
      <w:bookmarkStart w:id="21" w:name="_Hlk148296032"/>
      <w:bookmarkStart w:id="22" w:name="_Hlk148296471"/>
      <w:r>
        <w:rPr>
          <w:rFonts w:hint="eastAsia" w:ascii="宋体" w:hAnsi="宋体" w:eastAsia="宋体" w:cs="宋体"/>
          <w:color w:val="auto"/>
          <w:sz w:val="24"/>
          <w:szCs w:val="24"/>
          <w:highlight w:val="none"/>
        </w:rPr>
        <w:t>2.开标方式：</w:t>
      </w:r>
      <w:r>
        <w:rPr>
          <w:rFonts w:hint="eastAsia" w:ascii="宋体" w:hAnsi="宋体" w:eastAsia="宋体" w:cs="宋体"/>
          <w:b/>
          <w:bCs/>
          <w:color w:val="auto"/>
          <w:sz w:val="24"/>
          <w:szCs w:val="24"/>
          <w:highlight w:val="none"/>
        </w:rPr>
        <w:t>本项目采用网上在线开标方式</w:t>
      </w:r>
      <w:r>
        <w:rPr>
          <w:rFonts w:hint="eastAsia" w:ascii="宋体" w:hAnsi="宋体" w:eastAsia="宋体" w:cs="宋体"/>
          <w:color w:val="auto"/>
          <w:sz w:val="24"/>
          <w:szCs w:val="24"/>
          <w:highlight w:val="none"/>
        </w:rPr>
        <w:t>，投标人的法定代表人或其授权代表须持CA证书和可以上网的电脑（用于在线开标的电脑必须带有摄像头和麦克风、声卡等功能），于规定的开标时间前</w:t>
      </w:r>
      <w:r>
        <w:rPr>
          <w:rFonts w:hint="eastAsia" w:ascii="宋体" w:hAnsi="宋体" w:eastAsia="宋体" w:cs="宋体"/>
          <w:color w:val="auto"/>
          <w:sz w:val="24"/>
          <w:szCs w:val="24"/>
          <w:highlight w:val="none"/>
          <w:lang w:val="en-US" w:eastAsia="zh-CN"/>
        </w:rPr>
        <w:t>30分钟</w:t>
      </w:r>
      <w:r>
        <w:rPr>
          <w:rFonts w:hint="eastAsia" w:ascii="宋体" w:hAnsi="宋体" w:eastAsia="宋体" w:cs="宋体"/>
          <w:color w:val="auto"/>
          <w:sz w:val="24"/>
          <w:szCs w:val="24"/>
          <w:highlight w:val="none"/>
        </w:rPr>
        <w:t>登录“大家采-数智招采服务平台”→“个人中心”→“</w:t>
      </w:r>
      <w:r>
        <w:rPr>
          <w:rFonts w:hint="eastAsia" w:ascii="宋体" w:hAnsi="宋体" w:eastAsia="宋体" w:cs="宋体"/>
          <w:color w:val="auto"/>
          <w:sz w:val="24"/>
          <w:szCs w:val="24"/>
          <w:highlight w:val="none"/>
          <w:lang w:val="en-US" w:eastAsia="zh-CN"/>
        </w:rPr>
        <w:t>电子招投标</w:t>
      </w:r>
      <w:r>
        <w:rPr>
          <w:rFonts w:hint="eastAsia" w:ascii="宋体" w:hAnsi="宋体" w:eastAsia="宋体" w:cs="宋体"/>
          <w:color w:val="auto"/>
          <w:sz w:val="24"/>
          <w:szCs w:val="24"/>
          <w:highlight w:val="none"/>
        </w:rPr>
        <w:t>”→“ 开评标大厅”，进入电子开标室完成在线准备。开标开始后投标人须根据采购代理机构引导在电子开标室完成电子投标文件解密、查看开标一览汇总表等工作。</w:t>
      </w:r>
    </w:p>
    <w:p w14:paraId="16DAFFA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投标人的法定代表人或其授权代表也可以持CA证书和可以无线上网的笔记本电脑（用于在线开标的笔记本电脑必须带有摄像头和麦克风、声卡、等功能）、无线网卡于开标时间前，到达</w:t>
      </w:r>
      <w:r>
        <w:rPr>
          <w:rFonts w:hint="eastAsia" w:ascii="宋体" w:hAnsi="宋体" w:eastAsia="宋体" w:cs="宋体"/>
          <w:b/>
          <w:bCs/>
          <w:color w:val="auto"/>
          <w:sz w:val="24"/>
          <w:szCs w:val="24"/>
          <w:highlight w:val="none"/>
        </w:rPr>
        <w:t>线下指定开标地点（地址：重庆市两江新区青枫北路6号渝兴广场B10栋，见当日一楼大厅指示牌）</w:t>
      </w:r>
      <w:r>
        <w:rPr>
          <w:rFonts w:hint="eastAsia" w:ascii="宋体" w:hAnsi="宋体" w:eastAsia="宋体" w:cs="宋体"/>
          <w:color w:val="auto"/>
          <w:sz w:val="24"/>
          <w:szCs w:val="24"/>
          <w:highlight w:val="none"/>
        </w:rPr>
        <w:t>参加在线开标。投标人线下持对应设备到线下指定开标地点参与在线开标都是由投标人主观自行决定。因投标人自身原因导致未能在规定时间内解密电子投标文件或参与在线开标的，其后果由投标人自行承担。</w:t>
      </w:r>
    </w:p>
    <w:p w14:paraId="1DC53874">
      <w:pPr>
        <w:spacing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线下指定开标地点：重庆市两江新区青枫北路6号渝兴广场B10栋，见当日一楼大厅指示牌。</w:t>
      </w:r>
    </w:p>
    <w:bookmarkEnd w:id="21"/>
    <w:p w14:paraId="0F38A0E7">
      <w:pPr>
        <w:spacing w:line="440" w:lineRule="exact"/>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注：电子招投标系统开标时间前</w:t>
      </w:r>
      <w:r>
        <w:rPr>
          <w:rFonts w:hint="eastAsia" w:ascii="宋体" w:hAnsi="宋体" w:eastAsia="宋体" w:cs="宋体"/>
          <w:color w:val="auto"/>
          <w:sz w:val="24"/>
          <w:szCs w:val="24"/>
          <w:highlight w:val="none"/>
          <w:lang w:val="en-US" w:eastAsia="zh-CN"/>
        </w:rPr>
        <w:t>30分钟</w:t>
      </w:r>
      <w:r>
        <w:rPr>
          <w:rFonts w:hint="eastAsia" w:ascii="宋体" w:hAnsi="宋体" w:eastAsia="宋体" w:cs="宋体"/>
          <w:color w:val="auto"/>
          <w:sz w:val="24"/>
          <w:szCs w:val="24"/>
          <w:highlight w:val="none"/>
        </w:rPr>
        <w:t>是供应商自主在线准备环节时间（是否在线准备由供应商主观决定，在线准备环节意义在于提前测试CA证书与当前电脑设备运行环境是否正常），在线准备环节不具备签到意义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特此声明。</w:t>
      </w:r>
    </w:p>
    <w:bookmarkEnd w:id="22"/>
    <w:p w14:paraId="6201EEF1">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（八）其他补充事宜</w:t>
      </w:r>
    </w:p>
    <w:p w14:paraId="7F0E645C">
      <w:pPr>
        <w:spacing w:line="440" w:lineRule="exact"/>
        <w:ind w:firstLine="480" w:firstLineChars="200"/>
        <w:rPr>
          <w:rFonts w:hint="eastAsia" w:ascii="宋体" w:hAnsi="宋体" w:eastAsia="宋体" w:cs="宋体"/>
          <w:color w:val="auto"/>
          <w:sz w:val="24"/>
          <w:szCs w:val="24"/>
          <w:highlight w:val="none"/>
        </w:rPr>
      </w:pPr>
      <w:bookmarkStart w:id="23" w:name="_Hlk148296567"/>
      <w:r>
        <w:rPr>
          <w:rFonts w:hint="eastAsia" w:ascii="宋体" w:hAnsi="宋体" w:eastAsia="宋体" w:cs="宋体"/>
          <w:color w:val="auto"/>
          <w:sz w:val="24"/>
          <w:szCs w:val="24"/>
          <w:highlight w:val="none"/>
        </w:rPr>
        <w:t>1. 投标人如未在规定解密时长（系统默认30分钟解密时长，采购人/采购代理机构可根据现场投标情况进行延长/变更解密时长）内解密电子投标文件的情形约定：</w:t>
      </w:r>
    </w:p>
    <w:p w14:paraId="0C9102C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（1）因全程电子化系统客观原因影响解密时长的，采购人/采购代理机构可根据现场实际情况延长解密时长。投标人</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不能正常解密的情况下，投标人可向采购人/采购代理机构申请，启用上传电子备份投标文件的方法作为补救措施；在规定的解密时长内，投标人既不解密，也未提供电子备份投标文件作为补救措施的，视为投标人主动放弃对该项目的投标资格。</w:t>
      </w:r>
    </w:p>
    <w:p w14:paraId="4F44EAD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（2）因投标人主观原因未在规定解密时长</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完成解密工作的，且未在规定解密时长内向采购人/采购代理机构申请启用上传电子备份投标文件的方法作为补救措施或者申请启用电子备份投标文件后仍不在规定解密时长内提供有效</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电子备份投标文件的情况，都视为投标人在递交电子投标文件截止时间后撤销电子投标文件，投标无效且投标人不得再参与本项目后续采购活动。</w:t>
      </w:r>
    </w:p>
    <w:p w14:paraId="0CF6784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2.本项目采用全流程电子招投标。各投标人需熟悉了解整个电子化开评标全过程。具体电子化采购规则以及操作指南请下载项目公告附件《电子标供应商操作指引》</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《全流程电子招投标项目投标人办理正式CA签章流程手册》，并按其对应手册要求完成操作。</w:t>
      </w:r>
    </w:p>
    <w:bookmarkEnd w:id="23"/>
    <w:p w14:paraId="15ED3938">
      <w:pPr>
        <w:pStyle w:val="3"/>
        <w:spacing w:line="400" w:lineRule="exact"/>
        <w:rPr>
          <w:rFonts w:hint="eastAsia" w:cs="宋体"/>
          <w:b/>
          <w:color w:val="auto"/>
          <w:sz w:val="24"/>
          <w:highlight w:val="none"/>
        </w:rPr>
      </w:pPr>
      <w:bookmarkStart w:id="24" w:name="_Toc961734088"/>
      <w:bookmarkStart w:id="25" w:name="_Toc1271527717"/>
      <w:bookmarkStart w:id="26" w:name="_Toc11643"/>
      <w:bookmarkStart w:id="27" w:name="_Toc1446446182"/>
      <w:r>
        <w:rPr>
          <w:rFonts w:hint="eastAsia" w:cs="宋体"/>
          <w:b/>
          <w:color w:val="auto"/>
          <w:sz w:val="24"/>
          <w:highlight w:val="none"/>
        </w:rPr>
        <w:t>五、投标保证金</w:t>
      </w:r>
      <w:bookmarkEnd w:id="16"/>
      <w:bookmarkEnd w:id="17"/>
      <w:bookmarkEnd w:id="18"/>
      <w:bookmarkEnd w:id="19"/>
      <w:bookmarkEnd w:id="20"/>
      <w:bookmarkEnd w:id="24"/>
      <w:bookmarkEnd w:id="25"/>
      <w:bookmarkEnd w:id="26"/>
      <w:bookmarkEnd w:id="27"/>
    </w:p>
    <w:p w14:paraId="7A42D00D">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（一）投标保证金递交（以下两种方式二选一递交）</w:t>
      </w:r>
    </w:p>
    <w:p w14:paraId="18C84F53">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1.转账（汇款）方式</w:t>
      </w:r>
    </w:p>
    <w:p w14:paraId="6E95CAF5">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1.1投标人应足额交纳投标保证金（保证金金额详见本篇，一、招标项目内容），并汇至以下账户，投标保证金的到账截止时间同投标截止时间。</w:t>
      </w:r>
    </w:p>
    <w:p w14:paraId="5AF20D04">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投标保证金账户：</w:t>
      </w:r>
    </w:p>
    <w:tbl>
      <w:tblPr>
        <w:tblStyle w:val="5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710"/>
        <w:gridCol w:w="6335"/>
      </w:tblGrid>
      <w:tr w14:paraId="3750B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45" w:type="dxa"/>
            <w:gridSpan w:val="2"/>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7E528F5">
            <w:pPr>
              <w:keepNext w:val="0"/>
              <w:keepLines w:val="0"/>
              <w:widowControl/>
              <w:suppressLineNumbers w:val="0"/>
              <w:spacing w:line="375" w:lineRule="atLeast"/>
              <w:jc w:val="left"/>
              <w:rPr>
                <w:color w:val="auto"/>
                <w:highlight w:val="none"/>
              </w:rPr>
            </w:pPr>
            <w:r>
              <w:rPr>
                <w:rFonts w:ascii="宋体" w:hAnsi="宋体" w:eastAsia="宋体" w:cs="宋体"/>
                <w:color w:val="auto"/>
                <w:sz w:val="24"/>
                <w:szCs w:val="24"/>
                <w:highlight w:val="none"/>
              </w:rPr>
              <w:t>  户名:重庆联合产权交易所集团股份有限公司</w:t>
            </w:r>
          </w:p>
        </w:tc>
      </w:tr>
      <w:tr w14:paraId="76D45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7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09DAB641">
            <w:pPr>
              <w:keepNext w:val="0"/>
              <w:keepLines w:val="0"/>
              <w:widowControl/>
              <w:suppressLineNumbers w:val="0"/>
              <w:spacing w:line="375" w:lineRule="atLeast"/>
              <w:jc w:val="center"/>
              <w:rPr>
                <w:rFonts w:hint="eastAsia" w:eastAsia="宋体"/>
                <w:color w:val="auto"/>
                <w:highlight w:val="none"/>
                <w:lang w:val="en-US" w:eastAsia="zh-CN"/>
              </w:rPr>
            </w:pPr>
            <w:r>
              <w:rPr>
                <w:rFonts w:hint="eastAsia" w:ascii="宋体" w:hAnsi="宋体" w:eastAsia="宋体" w:cs="宋体"/>
                <w:color w:val="auto"/>
                <w:sz w:val="24"/>
                <w:szCs w:val="24"/>
                <w:highlight w:val="none"/>
                <w:lang w:eastAsia="zh-CN"/>
              </w:rPr>
              <w:t>序</w:t>
            </w:r>
            <w:r>
              <w:rPr>
                <w:rFonts w:hint="eastAsia" w:ascii="宋体" w:hAnsi="宋体" w:eastAsia="宋体" w:cs="宋体"/>
                <w:color w:val="auto"/>
                <w:sz w:val="24"/>
                <w:szCs w:val="24"/>
                <w:highlight w:val="none"/>
                <w:lang w:val="en-US" w:eastAsia="zh-CN"/>
              </w:rPr>
              <w:t>号</w:t>
            </w:r>
          </w:p>
        </w:tc>
        <w:tc>
          <w:tcPr>
            <w:tcW w:w="6335"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1035C16">
            <w:pPr>
              <w:keepNext w:val="0"/>
              <w:keepLines w:val="0"/>
              <w:widowControl/>
              <w:suppressLineNumbers w:val="0"/>
              <w:spacing w:line="375" w:lineRule="atLeast"/>
              <w:jc w:val="center"/>
              <w:rPr>
                <w:color w:val="auto"/>
                <w:highlight w:val="none"/>
              </w:rPr>
            </w:pPr>
            <w:r>
              <w:rPr>
                <w:rFonts w:ascii="宋体" w:hAnsi="宋体" w:eastAsia="宋体" w:cs="宋体"/>
                <w:color w:val="auto"/>
                <w:sz w:val="24"/>
                <w:szCs w:val="24"/>
                <w:highlight w:val="none"/>
              </w:rPr>
              <w:t>银行信息</w:t>
            </w:r>
          </w:p>
        </w:tc>
      </w:tr>
      <w:tr w14:paraId="37481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710"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36BAB36B">
            <w:pPr>
              <w:keepNext w:val="0"/>
              <w:keepLines w:val="0"/>
              <w:widowControl/>
              <w:suppressLineNumbers w:val="0"/>
              <w:spacing w:line="375" w:lineRule="atLeast"/>
              <w:jc w:val="center"/>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1</w:t>
            </w:r>
          </w:p>
        </w:tc>
        <w:tc>
          <w:tcPr>
            <w:tcW w:w="6335" w:type="dxa"/>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tbl>
            <w:tblPr>
              <w:tblStyle w:val="5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32"/>
              <w:gridCol w:w="632"/>
              <w:gridCol w:w="5055"/>
            </w:tblGrid>
            <w:tr w14:paraId="6A2A4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11D8E269">
                  <w:pPr>
                    <w:keepNext w:val="0"/>
                    <w:keepLines w:val="0"/>
                    <w:widowControl/>
                    <w:suppressLineNumbers w:val="0"/>
                    <w:spacing w:line="375" w:lineRule="atLeast"/>
                    <w:jc w:val="center"/>
                    <w:rPr>
                      <w:color w:val="auto"/>
                      <w:highlight w:val="none"/>
                    </w:rPr>
                  </w:pPr>
                  <w:r>
                    <w:rPr>
                      <w:rFonts w:ascii="宋体" w:hAnsi="宋体" w:eastAsia="宋体" w:cs="宋体"/>
                      <w:color w:val="auto"/>
                      <w:sz w:val="24"/>
                      <w:szCs w:val="24"/>
                      <w:highlight w:val="none"/>
                    </w:rPr>
                    <w:t>账号1</w:t>
                  </w:r>
                </w:p>
              </w:tc>
              <w:tc>
                <w:tcPr>
                  <w:tcW w:w="500"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593717F">
                  <w:pPr>
                    <w:keepNext w:val="0"/>
                    <w:keepLines w:val="0"/>
                    <w:widowControl/>
                    <w:suppressLineNumbers w:val="0"/>
                    <w:spacing w:line="375" w:lineRule="atLeast"/>
                    <w:jc w:val="center"/>
                    <w:rPr>
                      <w:color w:val="auto"/>
                      <w:highlight w:val="none"/>
                    </w:rPr>
                  </w:pPr>
                  <w:r>
                    <w:rPr>
                      <w:rFonts w:ascii="宋体" w:hAnsi="宋体" w:eastAsia="宋体" w:cs="宋体"/>
                      <w:color w:val="auto"/>
                      <w:sz w:val="24"/>
                      <w:szCs w:val="24"/>
                      <w:highlight w:val="none"/>
                    </w:rPr>
                    <w:t>开户行</w:t>
                  </w:r>
                </w:p>
              </w:tc>
              <w:tc>
                <w:tcPr>
                  <w:tcW w:w="4000"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00459DE">
                  <w:pPr>
                    <w:spacing w:line="400" w:lineRule="exact"/>
                    <w:ind w:firstLine="240" w:firstLineChars="100"/>
                    <w:jc w:val="both"/>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中国民生银行股份有限公司重庆分行营业部</w:t>
                  </w:r>
                </w:p>
              </w:tc>
            </w:tr>
            <w:tr w14:paraId="61D88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741E0217">
                  <w:pPr>
                    <w:jc w:val="center"/>
                    <w:rPr>
                      <w:rFonts w:hint="eastAsia" w:ascii="宋体"/>
                      <w:color w:val="auto"/>
                      <w:sz w:val="24"/>
                      <w:szCs w:val="24"/>
                      <w:highlight w:val="none"/>
                    </w:rPr>
                  </w:pPr>
                </w:p>
              </w:tc>
              <w:tc>
                <w:tcPr>
                  <w:tcW w:w="500"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2155863">
                  <w:pPr>
                    <w:keepNext w:val="0"/>
                    <w:keepLines w:val="0"/>
                    <w:widowControl/>
                    <w:suppressLineNumbers w:val="0"/>
                    <w:spacing w:line="375" w:lineRule="atLeast"/>
                    <w:jc w:val="center"/>
                    <w:rPr>
                      <w:color w:val="auto"/>
                      <w:highlight w:val="none"/>
                    </w:rPr>
                  </w:pPr>
                  <w:r>
                    <w:rPr>
                      <w:rFonts w:ascii="宋体" w:hAnsi="宋体" w:eastAsia="宋体" w:cs="宋体"/>
                      <w:color w:val="auto"/>
                      <w:sz w:val="24"/>
                      <w:szCs w:val="24"/>
                      <w:highlight w:val="none"/>
                    </w:rPr>
                    <w:t>账号</w:t>
                  </w:r>
                </w:p>
              </w:tc>
              <w:tc>
                <w:tcPr>
                  <w:tcW w:w="4000" w:type="pct"/>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40F337A7">
                  <w:pPr>
                    <w:spacing w:line="400" w:lineRule="exact"/>
                    <w:jc w:val="center"/>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9902001810647758</w:t>
                  </w:r>
                </w:p>
              </w:tc>
            </w:tr>
          </w:tbl>
          <w:p w14:paraId="700B4CE5">
            <w:pPr>
              <w:jc w:val="center"/>
              <w:rPr>
                <w:color w:val="auto"/>
                <w:highlight w:val="none"/>
              </w:rPr>
            </w:pPr>
          </w:p>
        </w:tc>
      </w:tr>
      <w:tr w14:paraId="12BBD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45" w:type="dxa"/>
            <w:gridSpan w:val="2"/>
            <w:tcBorders>
              <w:top w:val="single" w:color="000000" w:sz="6" w:space="0"/>
              <w:left w:val="single" w:color="000000" w:sz="6" w:space="0"/>
              <w:bottom w:val="single" w:color="000000" w:sz="6" w:space="0"/>
              <w:right w:val="single" w:color="000000" w:sz="6" w:space="0"/>
            </w:tcBorders>
            <w:noWrap w:val="0"/>
            <w:tcMar>
              <w:top w:w="0" w:type="dxa"/>
              <w:left w:w="0" w:type="dxa"/>
              <w:bottom w:w="0" w:type="dxa"/>
              <w:right w:w="0" w:type="dxa"/>
            </w:tcMar>
            <w:vAlign w:val="center"/>
          </w:tcPr>
          <w:p w14:paraId="5FDA1372">
            <w:pPr>
              <w:keepNext w:val="0"/>
              <w:keepLines w:val="0"/>
              <w:widowControl/>
              <w:suppressLineNumbers w:val="0"/>
              <w:spacing w:line="375" w:lineRule="atLeast"/>
              <w:jc w:val="lef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银行行号： </w:t>
            </w:r>
          </w:p>
          <w:p w14:paraId="5558FD86">
            <w:pPr>
              <w:keepNext w:val="0"/>
              <w:keepLines w:val="0"/>
              <w:widowControl/>
              <w:suppressLineNumbers w:val="0"/>
              <w:spacing w:line="375" w:lineRule="atLeast"/>
              <w:jc w:val="lef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请登录重庆市公共资源交易网（www.cqggzy.com）对应栏目查看。 </w:t>
            </w:r>
          </w:p>
          <w:p w14:paraId="7D83FECE">
            <w:pPr>
              <w:keepNext w:val="0"/>
              <w:keepLines w:val="0"/>
              <w:widowControl/>
              <w:suppressLineNumbers w:val="0"/>
              <w:spacing w:line="375" w:lineRule="atLeast"/>
              <w:jc w:val="left"/>
              <w:rPr>
                <w:color w:val="auto"/>
                <w:highlight w:val="none"/>
              </w:rPr>
            </w:pPr>
            <w:r>
              <w:rPr>
                <w:rFonts w:ascii="宋体" w:hAnsi="宋体" w:eastAsia="宋体" w:cs="宋体"/>
                <w:color w:val="auto"/>
                <w:sz w:val="24"/>
                <w:szCs w:val="24"/>
                <w:highlight w:val="none"/>
              </w:rPr>
              <w:t xml:space="preserve">路径：服务导航-政府采购-办事指引-重庆市公共资源交易中心政府采购项目保证金银行联行行号。 </w:t>
            </w:r>
          </w:p>
        </w:tc>
      </w:tr>
    </w:tbl>
    <w:p w14:paraId="07E93E15">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1.2各投标人在银行转账（电汇）时，须充分考虑银行转账（电汇）的时间差风险，如同城转账、异地转账或汇款、跨行转账或电汇的时间要求。</w:t>
      </w:r>
    </w:p>
    <w:p w14:paraId="4D35AFE4">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2.以电子保证金保函形式交纳保证金</w:t>
      </w:r>
    </w:p>
    <w:p w14:paraId="7935558E">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2.1投标人应在投标文件提交截止时间前向保函出具担保方申请开具电子保证金保函，电子保证金保函应至少体现如下内容：①担保项目必须为本项目；②受益人必须为本项目采购人；③保函担保金额不得低于本项目招标文件规定的保证金金额；④保函生效时间必须在投标文件提交截止时间前，担保期限至少覆盖投标文件有效期。</w:t>
      </w:r>
    </w:p>
    <w:p w14:paraId="21DAEFB5">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2.2若投标文件提交截止时间延期，则电子保证金保函提交的截止时间顺延，和投标文件提交截止时间保持一致。</w:t>
      </w:r>
    </w:p>
    <w:p w14:paraId="7C8EDA27">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2.3投标人应在投标文件中提供电子保证金保函扫描件或打印件，未提供或提供的保函内容与2.1条要求不符，均视为未交纳保证金。</w:t>
      </w:r>
    </w:p>
    <w:p w14:paraId="11FAFAC4">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3.以纸质保证金保函形式交纳保证金</w:t>
      </w:r>
    </w:p>
    <w:p w14:paraId="6D04F467">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3.1投标人在投标文件提交截止时间前向保函出具担保方申请开具纸质保证金保函。投标人提交的纸质保证金保函须包含的实质性内容（①担保项目必须为本项目；②受益人必须为本项目采购人；③保函担保金额不得低于本项目招标文件规定的保证金金额；④保函生效时间必须在投标文件提交截止时间前，担保期限至少覆盖投标文件有效期。</w:t>
      </w:r>
    </w:p>
    <w:p w14:paraId="6327FB52">
      <w:pPr>
        <w:spacing w:line="400" w:lineRule="exact"/>
        <w:ind w:firstLine="482" w:firstLineChars="200"/>
        <w:outlineLvl w:val="2"/>
        <w:rPr>
          <w:rFonts w:hint="eastAsia" w:ascii="宋体" w:hAnsi="宋体" w:cs="宋体"/>
          <w:b/>
          <w:bCs/>
          <w:color w:val="auto"/>
          <w:sz w:val="24"/>
          <w:highlight w:val="none"/>
        </w:rPr>
      </w:pPr>
      <w:r>
        <w:rPr>
          <w:rFonts w:hint="eastAsia" w:ascii="宋体" w:hAnsi="宋体" w:cs="宋体"/>
          <w:b/>
          <w:bCs/>
          <w:color w:val="auto"/>
          <w:sz w:val="24"/>
          <w:highlight w:val="none"/>
        </w:rPr>
        <w:t>3.2投标人须在投标文件中提供纸质保证金保函的扫描件，纸质保证金保函原件应当于投标文件提交截止时间前30分钟内在开标现场递交采购代理机构保管，未提供或提供的保函内容与3.1条要求不符，均视为未交纳保证金。</w:t>
      </w:r>
    </w:p>
    <w:p w14:paraId="297D4320">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3.3若投标文件提交截止时间延期，则纸质保证金保函提交的截止时间顺延，和投标文件提交截止时间保持一致。</w:t>
      </w:r>
    </w:p>
    <w:p w14:paraId="5D1DB018">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（二）保证金退还方式</w:t>
      </w:r>
    </w:p>
    <w:p w14:paraId="3DE7EA0C">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1.未中标投标人的保证金，在中标通知书发放后，重庆市公共资源交易中心在五个工作日内按来款渠道直接退还。</w:t>
      </w:r>
    </w:p>
    <w:p w14:paraId="2F013313">
      <w:pPr>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2.中标人的投标保证金，在中标人与采购人签订合同后，重庆市公共资源交易中心在五个工作日内按资金来款渠道直接退还。</w:t>
      </w:r>
    </w:p>
    <w:p w14:paraId="4D64E7A0">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重庆市公共资源交易中心咨询电话：023-63625633</w:t>
      </w:r>
    </w:p>
    <w:p w14:paraId="4998BC96">
      <w:pPr>
        <w:pStyle w:val="3"/>
        <w:spacing w:line="240" w:lineRule="auto"/>
        <w:ind w:firstLine="0" w:firstLineChars="0"/>
        <w:jc w:val="left"/>
        <w:rPr>
          <w:rFonts w:hint="eastAsia" w:ascii="宋体" w:eastAsia="宋体" w:cs="宋体"/>
          <w:b/>
          <w:color w:val="auto"/>
          <w:sz w:val="24"/>
          <w:highlight w:val="none"/>
        </w:rPr>
      </w:pPr>
      <w:bookmarkStart w:id="28" w:name="_Toc76387231"/>
      <w:bookmarkStart w:id="29" w:name="_Toc1450511810"/>
      <w:bookmarkStart w:id="30" w:name="_Toc28731"/>
      <w:r>
        <w:rPr>
          <w:rFonts w:hint="eastAsia" w:ascii="宋体" w:eastAsia="宋体" w:cs="宋体"/>
          <w:b/>
          <w:color w:val="auto"/>
          <w:sz w:val="24"/>
          <w:highlight w:val="none"/>
        </w:rPr>
        <w:t>六、采购项目需落实的政府采购政策</w:t>
      </w:r>
      <w:bookmarkEnd w:id="28"/>
      <w:bookmarkEnd w:id="29"/>
      <w:bookmarkEnd w:id="30"/>
    </w:p>
    <w:p w14:paraId="7C7B1619">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1524982A">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（二）按照财政部、工业和信息化部关于印发《政府采购促进中小企业发展管理办法》的通知（财库〔2020〕46号）的规定，落实促进中小企业发展政策。</w:t>
      </w:r>
    </w:p>
    <w:p w14:paraId="331D84A4">
      <w:pPr>
        <w:snapToGrid w:val="0"/>
        <w:spacing w:line="4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（三）按照《财政部、司法部关于政府采购支持监狱企业发展有关问题的通知》（财库〔2014〕68号）的规定，落实支持监狱企业发展政策。监狱企业视同小型、微型企业</w:t>
      </w:r>
      <w:r>
        <w:rPr>
          <w:rFonts w:hint="eastAsia" w:ascii="宋体" w:hAnsi="宋体" w:eastAsia="宋体" w:cs="宋体"/>
          <w:color w:val="auto"/>
          <w:sz w:val="24"/>
          <w:szCs w:val="24"/>
          <w:highlight w:val="none"/>
          <w:lang w:eastAsia="zh-CN"/>
        </w:rPr>
        <w:t>。</w:t>
      </w:r>
    </w:p>
    <w:p w14:paraId="645488A5">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（四）按照《三部门联合发布关于促进残疾人就业政府采购政策的通知》（财库〔2017〕 141号）的规定，落实支持残疾人福利性单位发展政策。残疾人福利性单位视同小型、微型企业。</w:t>
      </w:r>
    </w:p>
    <w:p w14:paraId="74B2DF8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（五）按照《国务院办公厅关于在政府采购中实施本国产品标准及相关政策的通知》（国办发〔2025〕34号）的规定，落实《财政部 工业</w:t>
      </w:r>
      <w:r>
        <w:rPr>
          <w:rFonts w:hint="eastAsia" w:ascii="宋体" w:hAnsi="宋体" w:cs="宋体"/>
          <w:color w:val="auto"/>
          <w:sz w:val="24"/>
          <w:szCs w:val="24"/>
          <w:highlight w:val="none"/>
          <w:lang w:eastAsia="zh-CN"/>
        </w:rPr>
        <w:t>和</w:t>
      </w:r>
      <w:r>
        <w:rPr>
          <w:rFonts w:hint="eastAsia" w:ascii="宋体" w:hAnsi="宋体" w:eastAsia="宋体" w:cs="宋体"/>
          <w:color w:val="auto"/>
          <w:sz w:val="24"/>
          <w:szCs w:val="24"/>
          <w:highlight w:val="none"/>
        </w:rPr>
        <w:t>信息化部关于贯彻落实〈国务院办公厅关于在政府采购中实施本国产品标准及相关政策的通知〉的意见》（财库〔2025〕30号）。</w:t>
      </w:r>
    </w:p>
    <w:p w14:paraId="101DDFD8">
      <w:pPr>
        <w:pStyle w:val="3"/>
        <w:spacing w:line="240" w:lineRule="auto"/>
        <w:ind w:firstLine="0" w:firstLineChars="0"/>
        <w:jc w:val="left"/>
        <w:rPr>
          <w:rFonts w:hint="eastAsia" w:ascii="宋体" w:eastAsia="宋体" w:cs="宋体"/>
          <w:b/>
          <w:color w:val="auto"/>
          <w:sz w:val="24"/>
          <w:highlight w:val="none"/>
        </w:rPr>
      </w:pPr>
      <w:bookmarkStart w:id="31" w:name="_Toc1835779163"/>
      <w:bookmarkStart w:id="32" w:name="_Toc76387232"/>
      <w:bookmarkStart w:id="33" w:name="_Toc17185"/>
      <w:r>
        <w:rPr>
          <w:rFonts w:hint="eastAsia" w:ascii="宋体" w:eastAsia="宋体" w:cs="宋体"/>
          <w:b/>
          <w:color w:val="auto"/>
          <w:sz w:val="24"/>
          <w:highlight w:val="none"/>
        </w:rPr>
        <w:t>七、投标有关规定</w:t>
      </w:r>
      <w:bookmarkEnd w:id="31"/>
      <w:bookmarkEnd w:id="32"/>
      <w:bookmarkEnd w:id="33"/>
    </w:p>
    <w:p w14:paraId="219E2487">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（一）单位负责人为同一人或者存在直接控股、管理关系的不同投标人，不得参加同一合同项（包）下的政府采购活动。</w:t>
      </w:r>
    </w:p>
    <w:p w14:paraId="21FA44C0">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（二）为采购项目提供整体设计、规范编制或者项目管理、监理、检测等服务的投标人，不得再参加该采购项目的其他采购活动。</w:t>
      </w:r>
    </w:p>
    <w:p w14:paraId="36BBE29D">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（三）本项目若有澄清文件一律在</w:t>
      </w:r>
      <w:r>
        <w:rPr>
          <w:rFonts w:hint="eastAsia" w:ascii="宋体" w:hAnsi="宋体" w:eastAsia="宋体" w:cs="宋体"/>
          <w:color w:val="auto"/>
          <w:sz w:val="24"/>
          <w:szCs w:val="24"/>
          <w:highlight w:val="none"/>
        </w:rPr>
        <w:t>中国政府采购网（http://www.ccgp.gov.cn/）</w:t>
      </w:r>
      <w:r>
        <w:rPr>
          <w:rFonts w:hint="eastAsia" w:ascii="宋体" w:hAnsi="宋体" w:cs="宋体"/>
          <w:color w:val="auto"/>
          <w:sz w:val="24"/>
          <w:szCs w:val="24"/>
          <w:highlight w:val="none"/>
        </w:rPr>
        <w:t>上发布，请各投标人注意下载或到采购代理机构领取；无论投标人下载或领取与否，均视同投标人已知晓本项目澄清文件的内容。</w:t>
      </w:r>
    </w:p>
    <w:p w14:paraId="6F1B70BB">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（四）超过投标截止时间递交的投标文件，恕不接收。</w:t>
      </w:r>
    </w:p>
    <w:p w14:paraId="2F81B44E">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（五）投标费用：无论投标结果如何，投标人参与本项目投标的所有费用均应由投标人自行承担。</w:t>
      </w:r>
    </w:p>
    <w:p w14:paraId="72DFA7C9">
      <w:pPr>
        <w:snapToGrid w:val="0"/>
        <w:spacing w:line="4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（六）本项目不接受联合体参与投标，否则按无效投标处理。</w:t>
      </w:r>
    </w:p>
    <w:p w14:paraId="33996BF4">
      <w:pPr>
        <w:snapToGrid w:val="0"/>
        <w:spacing w:line="400" w:lineRule="exact"/>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（七）本项目不接受合同分包，否则按无效投标处理。</w:t>
      </w:r>
    </w:p>
    <w:p w14:paraId="20D060C5">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（八）</w:t>
      </w:r>
      <w:bookmarkStart w:id="34" w:name="OLE_LINK1"/>
      <w:bookmarkStart w:id="35" w:name="OLE_LINK2"/>
      <w:r>
        <w:rPr>
          <w:rFonts w:hint="eastAsia" w:ascii="宋体" w:hAnsi="宋体" w:cs="宋体"/>
          <w:color w:val="auto"/>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34"/>
      <w:bookmarkEnd w:id="35"/>
      <w:r>
        <w:rPr>
          <w:rFonts w:hint="eastAsia" w:ascii="宋体" w:hAnsi="宋体" w:cs="宋体"/>
          <w:color w:val="auto"/>
          <w:sz w:val="24"/>
          <w:szCs w:val="24"/>
          <w:highlight w:val="none"/>
        </w:rPr>
        <w:t>投标人，将拒绝其参与政府采购活动。</w:t>
      </w:r>
    </w:p>
    <w:p w14:paraId="0370F10C">
      <w:pPr>
        <w:pStyle w:val="3"/>
        <w:spacing w:line="240" w:lineRule="auto"/>
        <w:ind w:firstLine="0" w:firstLineChars="0"/>
        <w:jc w:val="left"/>
        <w:rPr>
          <w:rFonts w:hint="eastAsia" w:ascii="宋体" w:eastAsia="宋体" w:cs="宋体"/>
          <w:b/>
          <w:color w:val="auto"/>
          <w:sz w:val="24"/>
          <w:highlight w:val="none"/>
        </w:rPr>
      </w:pPr>
      <w:bookmarkStart w:id="36" w:name="_Toc986"/>
      <w:bookmarkStart w:id="37" w:name="_Toc669818440"/>
      <w:bookmarkStart w:id="38" w:name="_Toc76387233"/>
      <w:r>
        <w:rPr>
          <w:rFonts w:hint="eastAsia" w:ascii="宋体" w:eastAsia="宋体" w:cs="宋体"/>
          <w:b/>
          <w:color w:val="auto"/>
          <w:sz w:val="24"/>
          <w:highlight w:val="none"/>
        </w:rPr>
        <w:t>八、联系方式</w:t>
      </w:r>
      <w:bookmarkEnd w:id="36"/>
      <w:bookmarkEnd w:id="37"/>
      <w:bookmarkEnd w:id="38"/>
    </w:p>
    <w:p w14:paraId="0763FC58">
      <w:pPr>
        <w:snapToGrid w:val="0"/>
        <w:spacing w:line="400" w:lineRule="exact"/>
        <w:ind w:firstLine="480" w:firstLineChars="200"/>
        <w:outlineLvl w:val="2"/>
        <w:rPr>
          <w:rFonts w:hint="eastAsia" w:ascii="宋体" w:hAnsi="宋体" w:eastAsia="宋体" w:cs="宋体"/>
          <w:color w:val="auto"/>
          <w:sz w:val="24"/>
          <w:szCs w:val="24"/>
          <w:highlight w:val="none"/>
          <w:lang w:eastAsia="zh-CN"/>
        </w:rPr>
      </w:pPr>
      <w:bookmarkStart w:id="39" w:name="_Toc6369"/>
      <w:r>
        <w:rPr>
          <w:rFonts w:hint="eastAsia" w:ascii="宋体" w:hAnsi="宋体" w:cs="宋体"/>
          <w:color w:val="auto"/>
          <w:sz w:val="24"/>
          <w:szCs w:val="24"/>
          <w:highlight w:val="none"/>
        </w:rPr>
        <w:t>（一）采购人：</w:t>
      </w:r>
      <w:r>
        <w:rPr>
          <w:rFonts w:hint="eastAsia" w:ascii="宋体" w:hAnsi="宋体" w:cs="宋体"/>
          <w:color w:val="auto"/>
          <w:sz w:val="24"/>
          <w:szCs w:val="24"/>
          <w:highlight w:val="none"/>
          <w:lang w:eastAsia="zh-CN"/>
        </w:rPr>
        <w:t>四川消防救援机动总队</w:t>
      </w:r>
    </w:p>
    <w:p w14:paraId="37578F04">
      <w:pPr>
        <w:snapToGrid w:val="0"/>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eastAsia="zh-CN"/>
        </w:rPr>
        <w:t>宫老师</w:t>
      </w:r>
    </w:p>
    <w:p w14:paraId="0040F96B">
      <w:pPr>
        <w:snapToGrid w:val="0"/>
        <w:spacing w:line="40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lang w:val="en-US" w:eastAsia="zh-CN"/>
        </w:rPr>
        <w:t>028-65002218</w:t>
      </w:r>
    </w:p>
    <w:p w14:paraId="00391B88">
      <w:pPr>
        <w:snapToGrid w:val="0"/>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四川省成都市高新区府城大道东段</w:t>
      </w:r>
      <w:r>
        <w:rPr>
          <w:rFonts w:hint="eastAsia" w:ascii="宋体" w:hAnsi="宋体" w:cs="宋体"/>
          <w:color w:val="auto"/>
          <w:sz w:val="24"/>
          <w:szCs w:val="24"/>
          <w:highlight w:val="none"/>
          <w:lang w:val="en-US" w:eastAsia="zh-CN"/>
        </w:rPr>
        <w:t>9号</w:t>
      </w:r>
    </w:p>
    <w:p w14:paraId="4B140F54">
      <w:pPr>
        <w:snapToGrid w:val="0"/>
        <w:spacing w:line="4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（二）采购代理机构：重庆市政府采购中心</w:t>
      </w:r>
    </w:p>
    <w:p w14:paraId="2B29F700">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联系人：周建行 白喆  </w:t>
      </w:r>
    </w:p>
    <w:p w14:paraId="5E283F98">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话：023-67954029   67703509</w:t>
      </w:r>
    </w:p>
    <w:p w14:paraId="494A379F">
      <w:pPr>
        <w:snapToGrid w:val="0"/>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地  址：重庆市</w:t>
      </w:r>
      <w:r>
        <w:rPr>
          <w:rFonts w:hint="eastAsia" w:ascii="宋体" w:hAnsi="宋体" w:cs="宋体"/>
          <w:color w:val="auto"/>
          <w:sz w:val="24"/>
          <w:szCs w:val="24"/>
          <w:highlight w:val="none"/>
          <w:lang w:eastAsia="zh-CN"/>
        </w:rPr>
        <w:t>两江新</w:t>
      </w:r>
      <w:r>
        <w:rPr>
          <w:rFonts w:hint="eastAsia" w:ascii="宋体" w:hAnsi="宋体" w:cs="宋体"/>
          <w:color w:val="auto"/>
          <w:sz w:val="24"/>
          <w:szCs w:val="24"/>
          <w:highlight w:val="none"/>
        </w:rPr>
        <w:t>区五简路2号重庆咨询大厦B座503室</w:t>
      </w:r>
    </w:p>
    <w:p w14:paraId="03EC9986">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（三）电子招投标系统技术指导：重庆港澳大家软件产业有限公司</w:t>
      </w:r>
    </w:p>
    <w:p w14:paraId="61E4D665">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客服联系电话：023-88158029（工作日）   18183107831（节假日）</w:t>
      </w:r>
    </w:p>
    <w:p w14:paraId="527B2ACB">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（四）CA数字证书办理服务平台：</w:t>
      </w:r>
    </w:p>
    <w:p w14:paraId="4798A589">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1.CA数字证书：网证通</w:t>
      </w:r>
    </w:p>
    <w:p w14:paraId="5B74760C">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联系人：刘娟</w:t>
      </w:r>
    </w:p>
    <w:p w14:paraId="6C424055">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话：023-63010240（工作日）  18996098460（工作日）</w:t>
      </w:r>
    </w:p>
    <w:p w14:paraId="17DAA549">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2.CA数字证书：东方中讯数字证书认证有限公司</w:t>
      </w:r>
    </w:p>
    <w:p w14:paraId="17B1F4BF">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联系人：何晓伦</w:t>
      </w:r>
    </w:p>
    <w:p w14:paraId="53200A88">
      <w:pPr>
        <w:snapToGrid w:val="0"/>
        <w:spacing w:line="400" w:lineRule="exact"/>
        <w:ind w:firstLine="480" w:firstLineChars="200"/>
        <w:outlineLvl w:val="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电 话：023-88257082（工作日）  13983787460   17623094654（节假日）</w:t>
      </w:r>
    </w:p>
    <w:bookmarkEnd w:id="39"/>
    <w:p w14:paraId="50C38551">
      <w:pPr>
        <w:pStyle w:val="2"/>
        <w:spacing w:before="0" w:beforeLines="0" w:after="0" w:afterLines="0" w:line="360" w:lineRule="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w:br w:type="page"/>
      </w:r>
      <w:bookmarkStart w:id="40" w:name="_Toc76387234"/>
      <w:bookmarkStart w:id="41" w:name="_Toc2535"/>
      <w:bookmarkStart w:id="42" w:name="_Toc607489885"/>
      <w:r>
        <w:rPr>
          <w:rFonts w:hint="eastAsia" w:ascii="宋体" w:hAnsi="宋体" w:eastAsia="宋体" w:cs="宋体"/>
          <w:b/>
          <w:color w:val="auto"/>
          <w:sz w:val="36"/>
          <w:szCs w:val="36"/>
          <w:highlight w:val="none"/>
        </w:rPr>
        <w:t>第二篇 项目服务需求</w:t>
      </w:r>
      <w:bookmarkEnd w:id="40"/>
      <w:bookmarkEnd w:id="41"/>
      <w:bookmarkEnd w:id="42"/>
    </w:p>
    <w:p w14:paraId="316B33B7">
      <w:pPr>
        <w:pStyle w:val="3"/>
        <w:spacing w:line="240" w:lineRule="auto"/>
        <w:ind w:firstLine="0" w:firstLineChars="0"/>
        <w:jc w:val="left"/>
        <w:rPr>
          <w:rFonts w:hint="eastAsia" w:ascii="宋体" w:eastAsia="宋体" w:cs="宋体"/>
          <w:b/>
          <w:color w:val="auto"/>
          <w:sz w:val="24"/>
          <w:highlight w:val="none"/>
        </w:rPr>
      </w:pPr>
      <w:bookmarkStart w:id="43" w:name="_Toc76387235"/>
      <w:bookmarkStart w:id="44" w:name="_Toc940216400"/>
      <w:bookmarkStart w:id="45" w:name="_Toc17780"/>
      <w:r>
        <w:rPr>
          <w:rFonts w:hint="eastAsia" w:ascii="宋体" w:eastAsia="宋体" w:cs="宋体"/>
          <w:b/>
          <w:color w:val="auto"/>
          <w:sz w:val="24"/>
          <w:highlight w:val="none"/>
        </w:rPr>
        <w:t>一、招标项目一览表</w:t>
      </w:r>
      <w:bookmarkEnd w:id="43"/>
      <w:bookmarkEnd w:id="44"/>
      <w:bookmarkEnd w:id="45"/>
    </w:p>
    <w:tbl>
      <w:tblPr>
        <w:tblStyle w:val="57"/>
        <w:tblW w:w="46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3880"/>
        <w:gridCol w:w="2314"/>
        <w:gridCol w:w="1915"/>
      </w:tblGrid>
      <w:tr w14:paraId="2AF3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491" w:type="pct"/>
            <w:noWrap w:val="0"/>
            <w:vAlign w:val="center"/>
          </w:tcPr>
          <w:p w14:paraId="5CC5D6C0">
            <w:pPr>
              <w:pStyle w:val="23"/>
              <w:spacing w:line="240" w:lineRule="auto"/>
              <w:ind w:left="0"/>
              <w:jc w:val="center"/>
              <w:outlineLvl w:val="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序号</w:t>
            </w:r>
          </w:p>
        </w:tc>
        <w:tc>
          <w:tcPr>
            <w:tcW w:w="2156" w:type="pct"/>
            <w:noWrap w:val="0"/>
            <w:vAlign w:val="center"/>
          </w:tcPr>
          <w:p w14:paraId="52609488">
            <w:pPr>
              <w:pStyle w:val="23"/>
              <w:spacing w:line="240" w:lineRule="auto"/>
              <w:ind w:left="0"/>
              <w:jc w:val="center"/>
              <w:outlineLvl w:val="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项目</w:t>
            </w:r>
            <w:r>
              <w:rPr>
                <w:rFonts w:hint="eastAsia" w:ascii="宋体" w:hAnsi="宋体" w:eastAsia="宋体" w:cs="宋体"/>
                <w:b/>
                <w:color w:val="auto"/>
                <w:sz w:val="21"/>
                <w:szCs w:val="21"/>
                <w:highlight w:val="none"/>
              </w:rPr>
              <w:t>名称</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标的名称</w:t>
            </w:r>
            <w:r>
              <w:rPr>
                <w:rFonts w:hint="eastAsia" w:ascii="宋体" w:hAnsi="宋体" w:cs="宋体"/>
                <w:b/>
                <w:color w:val="auto"/>
                <w:sz w:val="21"/>
                <w:szCs w:val="21"/>
                <w:highlight w:val="none"/>
                <w:lang w:eastAsia="zh-CN"/>
              </w:rPr>
              <w:t>）</w:t>
            </w:r>
          </w:p>
        </w:tc>
        <w:tc>
          <w:tcPr>
            <w:tcW w:w="1286" w:type="pct"/>
            <w:noWrap w:val="0"/>
            <w:vAlign w:val="center"/>
          </w:tcPr>
          <w:p w14:paraId="2A0CC070">
            <w:pPr>
              <w:pStyle w:val="23"/>
              <w:spacing w:line="240" w:lineRule="auto"/>
              <w:ind w:left="0" w:leftChars="0"/>
              <w:jc w:val="center"/>
              <w:outlineLvl w:val="0"/>
              <w:rPr>
                <w:rFonts w:hint="eastAsia" w:ascii="宋体" w:hAnsi="宋体" w:cs="宋体"/>
                <w:b/>
                <w:color w:val="auto"/>
                <w:sz w:val="21"/>
                <w:szCs w:val="21"/>
                <w:highlight w:val="none"/>
              </w:rPr>
            </w:pPr>
            <w:r>
              <w:rPr>
                <w:rFonts w:hint="eastAsia" w:ascii="宋体" w:hAnsi="宋体" w:cs="宋体"/>
                <w:b/>
                <w:color w:val="auto"/>
                <w:sz w:val="21"/>
                <w:szCs w:val="21"/>
                <w:highlight w:val="none"/>
              </w:rPr>
              <w:t>数量/单位</w:t>
            </w:r>
          </w:p>
        </w:tc>
        <w:tc>
          <w:tcPr>
            <w:tcW w:w="1064" w:type="pct"/>
            <w:noWrap w:val="0"/>
            <w:vAlign w:val="center"/>
          </w:tcPr>
          <w:p w14:paraId="6B94F4C7">
            <w:pPr>
              <w:pStyle w:val="23"/>
              <w:spacing w:line="240" w:lineRule="auto"/>
              <w:ind w:left="0"/>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1AC3B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91" w:type="pct"/>
            <w:noWrap w:val="0"/>
            <w:vAlign w:val="center"/>
          </w:tcPr>
          <w:p w14:paraId="25140AB4">
            <w:pPr>
              <w:pStyle w:val="15"/>
              <w:spacing w:line="240" w:lineRule="auto"/>
              <w:ind w:firstLine="0"/>
              <w:jc w:val="center"/>
              <w:outlineLv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156" w:type="pct"/>
            <w:noWrap w:val="0"/>
            <w:vAlign w:val="center"/>
          </w:tcPr>
          <w:p w14:paraId="452453B5">
            <w:pPr>
              <w:pStyle w:val="23"/>
              <w:spacing w:line="240" w:lineRule="auto"/>
              <w:ind w:left="0"/>
              <w:outlineLvl w:val="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成都消防救援机动支队主副食配送服务采购项目</w:t>
            </w:r>
          </w:p>
        </w:tc>
        <w:tc>
          <w:tcPr>
            <w:tcW w:w="1286" w:type="pct"/>
            <w:noWrap w:val="0"/>
            <w:vAlign w:val="center"/>
          </w:tcPr>
          <w:p w14:paraId="45B8E5B9">
            <w:pPr>
              <w:pStyle w:val="23"/>
              <w:spacing w:line="240" w:lineRule="auto"/>
              <w:ind w:left="0" w:leftChars="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1项</w:t>
            </w:r>
          </w:p>
        </w:tc>
        <w:tc>
          <w:tcPr>
            <w:tcW w:w="1064" w:type="pct"/>
            <w:noWrap w:val="0"/>
            <w:vAlign w:val="center"/>
          </w:tcPr>
          <w:p w14:paraId="7C7DC557">
            <w:pPr>
              <w:pStyle w:val="15"/>
              <w:spacing w:line="240" w:lineRule="auto"/>
              <w:ind w:firstLine="0"/>
              <w:jc w:val="center"/>
              <w:outlineLvl w:val="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服务期：</w:t>
            </w:r>
            <w:r>
              <w:rPr>
                <w:rFonts w:hint="eastAsia" w:ascii="宋体" w:hAnsi="宋体" w:cs="宋体"/>
                <w:color w:val="auto"/>
                <w:sz w:val="21"/>
                <w:szCs w:val="21"/>
                <w:highlight w:val="none"/>
                <w:lang w:val="en-US" w:eastAsia="zh-CN"/>
              </w:rPr>
              <w:t>8个月</w:t>
            </w:r>
          </w:p>
        </w:tc>
      </w:tr>
    </w:tbl>
    <w:p w14:paraId="29DE3157">
      <w:pPr>
        <w:spacing w:line="400" w:lineRule="exact"/>
        <w:ind w:firstLine="480" w:firstLineChars="200"/>
        <w:outlineLvl w:val="2"/>
        <w:rPr>
          <w:rFonts w:hint="eastAsia" w:ascii="宋体" w:hAnsi="宋体" w:eastAsia="宋体" w:cs="宋体"/>
          <w:color w:val="auto"/>
          <w:sz w:val="24"/>
          <w:szCs w:val="28"/>
          <w:highlight w:val="none"/>
          <w:lang w:val="en-US" w:eastAsia="zh-CN"/>
        </w:rPr>
      </w:pPr>
      <w:bookmarkStart w:id="46" w:name="_Toc18977"/>
      <w:bookmarkStart w:id="47" w:name="_Toc76387236"/>
      <w:r>
        <w:rPr>
          <w:rFonts w:hint="eastAsia" w:ascii="宋体" w:hAnsi="宋体" w:eastAsia="宋体" w:cs="宋体"/>
          <w:color w:val="auto"/>
          <w:sz w:val="24"/>
          <w:szCs w:val="28"/>
          <w:highlight w:val="none"/>
          <w:lang w:val="en-US" w:eastAsia="zh-CN"/>
        </w:rPr>
        <w:t>注：</w:t>
      </w:r>
    </w:p>
    <w:p w14:paraId="2AA47662">
      <w:pPr>
        <w:spacing w:line="400" w:lineRule="exact"/>
        <w:ind w:firstLine="480" w:firstLineChars="200"/>
        <w:outlineLvl w:val="2"/>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1、此表不用在《服务条款差异表》中进行响应。</w:t>
      </w:r>
    </w:p>
    <w:p w14:paraId="0091A7DE">
      <w:pPr>
        <w:pStyle w:val="3"/>
        <w:spacing w:line="240" w:lineRule="auto"/>
        <w:ind w:firstLine="480" w:firstLineChars="200"/>
        <w:jc w:val="left"/>
        <w:rPr>
          <w:rFonts w:hint="eastAsia" w:ascii="宋体" w:eastAsia="宋体" w:cs="宋体"/>
          <w:b/>
          <w:color w:val="auto"/>
          <w:sz w:val="24"/>
          <w:highlight w:val="none"/>
        </w:rPr>
      </w:pPr>
      <w:bookmarkStart w:id="48" w:name="_Toc1706867603"/>
      <w:bookmarkStart w:id="49" w:name="_Toc66719580"/>
      <w:bookmarkStart w:id="50" w:name="_Toc1382218607"/>
      <w:bookmarkStart w:id="51" w:name="_Toc649688000"/>
      <w:r>
        <w:rPr>
          <w:rFonts w:hint="eastAsia" w:ascii="宋体" w:hAnsi="宋体" w:eastAsia="宋体" w:cs="宋体"/>
          <w:color w:val="auto"/>
          <w:sz w:val="24"/>
          <w:szCs w:val="28"/>
          <w:highlight w:val="none"/>
          <w:lang w:val="en-US" w:eastAsia="zh-CN"/>
        </w:rPr>
        <w:t>2、“中小企业声明函”中所涉及的标的名称及其对应的所属行业需按照本表和第一篇第一条“招标项目内容”进行填写。</w:t>
      </w:r>
      <w:bookmarkEnd w:id="48"/>
      <w:bookmarkEnd w:id="49"/>
      <w:bookmarkEnd w:id="50"/>
      <w:bookmarkEnd w:id="51"/>
    </w:p>
    <w:p w14:paraId="4D11B434">
      <w:pPr>
        <w:pStyle w:val="3"/>
        <w:spacing w:line="240" w:lineRule="auto"/>
        <w:ind w:firstLine="0" w:firstLineChars="0"/>
        <w:jc w:val="left"/>
        <w:rPr>
          <w:rFonts w:hint="eastAsia" w:ascii="宋体" w:hAnsi="宋体" w:eastAsia="宋体" w:cs="宋体"/>
          <w:color w:val="auto"/>
          <w:sz w:val="24"/>
          <w:szCs w:val="28"/>
          <w:highlight w:val="none"/>
        </w:rPr>
      </w:pPr>
    </w:p>
    <w:p w14:paraId="5BA57791">
      <w:pPr>
        <w:pStyle w:val="3"/>
        <w:spacing w:line="240" w:lineRule="auto"/>
        <w:ind w:firstLine="0" w:firstLineChars="0"/>
        <w:jc w:val="left"/>
        <w:rPr>
          <w:rFonts w:hint="eastAsia" w:ascii="宋体" w:eastAsia="宋体" w:cs="宋体"/>
          <w:b/>
          <w:bCs/>
          <w:color w:val="auto"/>
          <w:sz w:val="24"/>
          <w:highlight w:val="none"/>
        </w:rPr>
      </w:pPr>
      <w:bookmarkStart w:id="52" w:name="_Toc1938536187"/>
      <w:bookmarkStart w:id="53" w:name="_Toc538126792"/>
      <w:bookmarkStart w:id="54" w:name="_Toc1457199926"/>
      <w:bookmarkStart w:id="55" w:name="_Toc961375224"/>
      <w:r>
        <w:rPr>
          <w:rFonts w:hint="eastAsia" w:ascii="宋体" w:hAnsi="宋体" w:eastAsia="宋体" w:cs="宋体"/>
          <w:b/>
          <w:bCs/>
          <w:color w:val="auto"/>
          <w:sz w:val="24"/>
          <w:szCs w:val="28"/>
          <w:highlight w:val="none"/>
        </w:rPr>
        <w:t>“※”标注的服务需求为符合性审查中的实质性要求，投标文件若不满足按无效投标处理。</w:t>
      </w:r>
      <w:bookmarkEnd w:id="52"/>
      <w:bookmarkEnd w:id="53"/>
      <w:bookmarkEnd w:id="54"/>
      <w:bookmarkEnd w:id="55"/>
    </w:p>
    <w:p w14:paraId="29206592">
      <w:pPr>
        <w:pStyle w:val="3"/>
        <w:spacing w:line="240" w:lineRule="auto"/>
        <w:ind w:firstLine="0" w:firstLineChars="0"/>
        <w:jc w:val="left"/>
        <w:rPr>
          <w:rFonts w:hint="eastAsia" w:ascii="宋体" w:eastAsia="宋体" w:cs="宋体"/>
          <w:b/>
          <w:color w:val="auto"/>
          <w:sz w:val="24"/>
          <w:highlight w:val="none"/>
        </w:rPr>
      </w:pPr>
    </w:p>
    <w:p w14:paraId="1DF95338">
      <w:pPr>
        <w:pStyle w:val="3"/>
        <w:spacing w:line="240" w:lineRule="auto"/>
        <w:ind w:firstLine="0" w:firstLineChars="0"/>
        <w:jc w:val="left"/>
        <w:rPr>
          <w:rFonts w:hint="eastAsia" w:ascii="宋体" w:eastAsia="宋体" w:cs="宋体"/>
          <w:b/>
          <w:color w:val="auto"/>
          <w:sz w:val="24"/>
          <w:highlight w:val="none"/>
        </w:rPr>
      </w:pPr>
      <w:bookmarkStart w:id="56" w:name="_Toc1634880189"/>
      <w:r>
        <w:rPr>
          <w:rFonts w:hint="eastAsia" w:ascii="宋体" w:hAnsi="宋体" w:eastAsia="宋体" w:cs="宋体"/>
          <w:color w:val="auto"/>
          <w:sz w:val="24"/>
          <w:szCs w:val="28"/>
          <w:highlight w:val="none"/>
        </w:rPr>
        <w:t>※</w:t>
      </w:r>
      <w:r>
        <w:rPr>
          <w:rFonts w:hint="eastAsia" w:ascii="宋体" w:eastAsia="宋体" w:cs="宋体"/>
          <w:b/>
          <w:color w:val="auto"/>
          <w:sz w:val="24"/>
          <w:highlight w:val="none"/>
        </w:rPr>
        <w:t>二、服务范围、要求及标准</w:t>
      </w:r>
      <w:bookmarkEnd w:id="46"/>
      <w:bookmarkEnd w:id="56"/>
    </w:p>
    <w:p w14:paraId="585B2311">
      <w:pPr>
        <w:spacing w:line="400" w:lineRule="exact"/>
        <w:ind w:firstLine="480" w:firstLineChars="200"/>
        <w:outlineLvl w:val="2"/>
        <w:rPr>
          <w:rFonts w:ascii="宋体" w:hAnsi="宋体" w:cs="宋体"/>
          <w:color w:val="auto"/>
          <w:sz w:val="24"/>
          <w:szCs w:val="28"/>
          <w:highlight w:val="none"/>
        </w:rPr>
      </w:pPr>
      <w:r>
        <w:rPr>
          <w:rFonts w:hint="eastAsia" w:ascii="宋体" w:hAnsi="宋体" w:eastAsia="宋体" w:cs="宋体"/>
          <w:color w:val="auto"/>
          <w:sz w:val="24"/>
          <w:szCs w:val="28"/>
          <w:highlight w:val="none"/>
        </w:rPr>
        <w:t>（一）</w:t>
      </w:r>
      <w:bookmarkStart w:id="57" w:name="_Hlk140683971"/>
      <w:r>
        <w:rPr>
          <w:rFonts w:hint="eastAsia" w:ascii="宋体" w:hAnsi="宋体" w:cs="宋体"/>
          <w:color w:val="auto"/>
          <w:sz w:val="24"/>
          <w:szCs w:val="28"/>
          <w:highlight w:val="none"/>
        </w:rPr>
        <w:t>服务范围：为</w:t>
      </w:r>
      <w:r>
        <w:rPr>
          <w:rFonts w:hint="eastAsia" w:ascii="宋体" w:hAnsi="宋体" w:cs="宋体"/>
          <w:color w:val="auto"/>
          <w:sz w:val="24"/>
          <w:szCs w:val="28"/>
          <w:highlight w:val="none"/>
          <w:lang w:val="en-US" w:eastAsia="zh-CN"/>
        </w:rPr>
        <w:t>采购人</w:t>
      </w:r>
      <w:r>
        <w:rPr>
          <w:rFonts w:hint="eastAsia" w:ascii="宋体" w:hAnsi="宋体" w:cs="宋体"/>
          <w:color w:val="auto"/>
          <w:sz w:val="24"/>
          <w:szCs w:val="28"/>
          <w:highlight w:val="none"/>
        </w:rPr>
        <w:t>提供食材配送服务。</w:t>
      </w:r>
    </w:p>
    <w:p w14:paraId="16B25657">
      <w:pPr>
        <w:spacing w:line="400" w:lineRule="exact"/>
        <w:ind w:firstLine="480" w:firstLineChars="200"/>
        <w:outlineLvl w:val="2"/>
        <w:rPr>
          <w:rFonts w:ascii="宋体" w:hAnsi="宋体" w:cs="宋体"/>
          <w:color w:val="auto"/>
          <w:sz w:val="24"/>
          <w:szCs w:val="28"/>
          <w:highlight w:val="none"/>
        </w:rPr>
      </w:pP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rPr>
        <w:t>服务要求：</w:t>
      </w:r>
      <w:r>
        <w:rPr>
          <w:rFonts w:hint="eastAsia" w:ascii="宋体" w:hAnsi="宋体" w:cs="宋体"/>
          <w:color w:val="auto"/>
          <w:sz w:val="24"/>
          <w:szCs w:val="28"/>
          <w:highlight w:val="none"/>
          <w:lang w:eastAsia="zh-CN"/>
        </w:rPr>
        <w:t>达到采购人相应服务需求</w:t>
      </w:r>
      <w:r>
        <w:rPr>
          <w:rFonts w:hint="eastAsia" w:ascii="宋体" w:hAnsi="宋体" w:cs="宋体"/>
          <w:color w:val="auto"/>
          <w:sz w:val="24"/>
          <w:szCs w:val="28"/>
          <w:highlight w:val="none"/>
        </w:rPr>
        <w:t>。</w:t>
      </w:r>
    </w:p>
    <w:p w14:paraId="2BE88E40">
      <w:pPr>
        <w:spacing w:line="400" w:lineRule="exact"/>
        <w:ind w:firstLine="480" w:firstLineChars="200"/>
        <w:outlineLvl w:val="2"/>
        <w:rPr>
          <w:rFonts w:ascii="宋体" w:hAnsi="宋体" w:cs="宋体"/>
          <w:color w:val="auto"/>
          <w:sz w:val="24"/>
          <w:szCs w:val="28"/>
          <w:highlight w:val="none"/>
        </w:rPr>
      </w:pP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三</w:t>
      </w:r>
      <w:r>
        <w:rPr>
          <w:rFonts w:hint="eastAsia" w:ascii="宋体" w:hAnsi="宋体" w:eastAsia="宋体" w:cs="宋体"/>
          <w:color w:val="auto"/>
          <w:sz w:val="24"/>
          <w:szCs w:val="28"/>
          <w:highlight w:val="none"/>
        </w:rPr>
        <w:t>）</w:t>
      </w:r>
      <w:r>
        <w:rPr>
          <w:rFonts w:hint="eastAsia" w:ascii="宋体" w:hAnsi="宋体" w:cs="宋体"/>
          <w:color w:val="auto"/>
          <w:sz w:val="24"/>
          <w:szCs w:val="28"/>
          <w:highlight w:val="none"/>
        </w:rPr>
        <w:t>服务标准：符合国家食品卫生相关标准。</w:t>
      </w:r>
    </w:p>
    <w:bookmarkEnd w:id="47"/>
    <w:bookmarkEnd w:id="57"/>
    <w:p w14:paraId="6FF4CF7A">
      <w:pPr>
        <w:pStyle w:val="3"/>
        <w:spacing w:line="240" w:lineRule="auto"/>
        <w:ind w:firstLine="0" w:firstLineChars="0"/>
        <w:jc w:val="left"/>
        <w:rPr>
          <w:rFonts w:hint="eastAsia" w:ascii="宋体" w:hAnsi="宋体" w:eastAsia="宋体" w:cs="宋体"/>
          <w:b/>
          <w:bCs/>
          <w:color w:val="auto"/>
          <w:sz w:val="24"/>
          <w:szCs w:val="28"/>
          <w:highlight w:val="none"/>
          <w:lang w:val="en-US" w:eastAsia="zh-CN"/>
        </w:rPr>
      </w:pPr>
      <w:bookmarkStart w:id="58" w:name="_Toc1643485692"/>
      <w:r>
        <w:rPr>
          <w:rFonts w:hint="eastAsia" w:ascii="宋体" w:hAnsi="宋体" w:eastAsia="宋体" w:cs="宋体"/>
          <w:b/>
          <w:bCs/>
          <w:color w:val="auto"/>
          <w:sz w:val="24"/>
          <w:szCs w:val="28"/>
          <w:highlight w:val="none"/>
        </w:rPr>
        <w:t>※</w:t>
      </w:r>
      <w:bookmarkEnd w:id="58"/>
      <w:r>
        <w:rPr>
          <w:rFonts w:hint="eastAsia" w:ascii="宋体" w:hAnsi="宋体" w:eastAsia="宋体" w:cs="宋体"/>
          <w:b/>
          <w:bCs/>
          <w:color w:val="auto"/>
          <w:sz w:val="24"/>
          <w:szCs w:val="28"/>
          <w:highlight w:val="none"/>
          <w:lang w:eastAsia="zh-CN"/>
        </w:rPr>
        <w:t>三、</w:t>
      </w:r>
      <w:r>
        <w:rPr>
          <w:rFonts w:hint="eastAsia" w:ascii="宋体" w:hAnsi="宋体" w:eastAsia="宋体" w:cs="宋体"/>
          <w:b/>
          <w:bCs/>
          <w:color w:val="auto"/>
          <w:sz w:val="24"/>
          <w:szCs w:val="28"/>
          <w:highlight w:val="none"/>
          <w:lang w:val="en-US" w:eastAsia="zh-CN"/>
        </w:rPr>
        <w:t>总体要求</w:t>
      </w:r>
    </w:p>
    <w:p w14:paraId="47792998">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1、供应商在合同履行期间保证对采购人的服务质量，中标后不得拒绝采购人分配的任务(至少包括食材采购)。供应商在服务期内没能达到投标文件承诺的服务要求或供应商未按要求履行合同义务或供应商的资质在服务期内发生变化不再符合要求，采购人均有权单方终止协议，由此产生的一切经济责任和法律责任由供应商自行承担。</w:t>
      </w:r>
    </w:p>
    <w:p w14:paraId="3C1ABA06">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2、货物质量严格按照《中华人民共和国食品安全法》、行业有关规定、采购文件质量要求执行，产品符合国家食品卫生标准，动物检验检疫合格标准。同时，应符合《食品安全国家标准 食品添加剂使用标准》、《食品安全国家标准 食品中污染物限量》、《食品安全国家标准 食品中真菌毒素限量》、</w:t>
      </w:r>
      <w:r>
        <w:rPr>
          <w:rFonts w:hint="eastAsia" w:ascii="宋体" w:hAnsi="宋体" w:eastAsia="宋体" w:cs="宋体"/>
          <w:color w:val="auto"/>
          <w:kern w:val="0"/>
          <w:sz w:val="24"/>
          <w:szCs w:val="24"/>
          <w:highlight w:val="none"/>
        </w:rPr>
        <w:t>《食品安全国家标准 食品中农药最大残留限量》</w:t>
      </w:r>
      <w:r>
        <w:rPr>
          <w:rFonts w:hint="eastAsia" w:ascii="宋体" w:hAnsi="宋体" w:eastAsia="宋体" w:cs="宋体"/>
          <w:color w:val="auto"/>
          <w:kern w:val="0"/>
          <w:sz w:val="24"/>
          <w:szCs w:val="24"/>
          <w:highlight w:val="none"/>
          <w:lang w:val="en-US" w:eastAsia="zh-CN"/>
        </w:rPr>
        <w:t>及其他国家相关强制性标准与要求，所有产品在配送时按要求提供产品所涉及的《全国工业产品生产许可证》、《食品生产许可证》国家强制规定材料，不得提供转基因食品或利用转基因食品原料加工的成品，质量应符合国家现行相关标准与要求。国家有出台新标准、更高标准时，以新标准、更高标准为准，供应商保证所供产品配送到指定地点时的数量(重量)、质量、卫生和安全。</w:t>
      </w:r>
    </w:p>
    <w:p w14:paraId="10376EEE">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3、因供应商供货质量原因导致的食品安全事故，应按照《中华人民共和国食品安全法》及相关规定，除赔偿当期的材料损失外，还应对由此引起的其他延续损失给予全额经济赔偿(包括医疗、声誉)，并承担其他相应法律责任。</w:t>
      </w:r>
    </w:p>
    <w:p w14:paraId="0103536C">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4、供应商须服从采购人和食品监督管理部门的监督管理，配合采购人及时更新所提供的符合卫监部门的有效证明材料。包括有效的营业执照、产品合格证或食品生产许可证。</w:t>
      </w:r>
    </w:p>
    <w:p w14:paraId="15B1B682">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5、供应商配送的所有食材必须达到现行食品生产安全标准和相关规定，保证食材的质量、安全、卫生、可追溯。供应配送食材的剩余保质期限不低于2/3保质期限，严禁配送临期食材。</w:t>
      </w:r>
    </w:p>
    <w:p w14:paraId="75A333D0">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6、供应商应具备应急保障能力，至少包括货物源头、配送、售后，以及临时协助采购人开展工作。</w:t>
      </w:r>
    </w:p>
    <w:p w14:paraId="2BC7B02A">
      <w:pPr>
        <w:snapToGrid w:val="0"/>
        <w:spacing w:line="400" w:lineRule="exact"/>
        <w:ind w:firstLine="480" w:firstLineChars="200"/>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7、供应商应做好本单位工作人员的教育工作，遵守采购人各项规定。</w:t>
      </w:r>
    </w:p>
    <w:p w14:paraId="02950212">
      <w:pPr>
        <w:pStyle w:val="3"/>
        <w:spacing w:line="240" w:lineRule="auto"/>
        <w:ind w:firstLine="0" w:firstLineChars="0"/>
        <w:jc w:val="left"/>
        <w:rPr>
          <w:rFonts w:hint="eastAsia" w:ascii="宋体" w:hAnsi="宋体" w:eastAsia="宋体" w:cs="宋体"/>
          <w:b/>
          <w:bCs/>
          <w:color w:val="auto"/>
          <w:sz w:val="24"/>
          <w:szCs w:val="28"/>
          <w:highlight w:val="none"/>
        </w:rPr>
      </w:pPr>
      <w:r>
        <w:rPr>
          <w:rFonts w:hint="eastAsia" w:ascii="宋体" w:hAnsi="宋体" w:eastAsia="宋体" w:cs="宋体"/>
          <w:color w:val="auto"/>
          <w:sz w:val="24"/>
          <w:szCs w:val="28"/>
          <w:highlight w:val="none"/>
        </w:rPr>
        <w:t>※</w:t>
      </w:r>
      <w:r>
        <w:rPr>
          <w:rFonts w:hint="eastAsia" w:ascii="宋体" w:hAnsi="宋体" w:eastAsia="宋体" w:cs="宋体"/>
          <w:b/>
          <w:bCs/>
          <w:color w:val="auto"/>
          <w:sz w:val="24"/>
          <w:szCs w:val="28"/>
          <w:highlight w:val="none"/>
          <w:lang w:eastAsia="zh-CN"/>
        </w:rPr>
        <w:t>四、</w:t>
      </w:r>
      <w:r>
        <w:rPr>
          <w:rFonts w:hint="eastAsia" w:ascii="宋体" w:hAnsi="宋体" w:eastAsia="宋体" w:cs="宋体"/>
          <w:b/>
          <w:bCs/>
          <w:color w:val="auto"/>
          <w:sz w:val="24"/>
          <w:szCs w:val="28"/>
          <w:highlight w:val="none"/>
        </w:rPr>
        <w:t>配送品种</w:t>
      </w:r>
    </w:p>
    <w:tbl>
      <w:tblPr>
        <w:tblStyle w:val="58"/>
        <w:tblW w:w="4590" w:type="pct"/>
        <w:tblInd w:w="2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792"/>
        <w:gridCol w:w="6067"/>
      </w:tblGrid>
      <w:tr w14:paraId="48400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Align w:val="center"/>
          </w:tcPr>
          <w:p w14:paraId="0FB7AE78">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013" w:type="pct"/>
            <w:vAlign w:val="center"/>
          </w:tcPr>
          <w:p w14:paraId="457E3DD0">
            <w:pPr>
              <w:keepNext w:val="0"/>
              <w:keepLines w:val="0"/>
              <w:suppressLineNumbers w:val="0"/>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类别</w:t>
            </w:r>
          </w:p>
        </w:tc>
        <w:tc>
          <w:tcPr>
            <w:tcW w:w="3432" w:type="pct"/>
            <w:vAlign w:val="center"/>
          </w:tcPr>
          <w:p w14:paraId="7612EE8B">
            <w:pPr>
              <w:keepNext w:val="0"/>
              <w:keepLines w:val="0"/>
              <w:suppressLineNumbers w:val="0"/>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品类</w:t>
            </w:r>
          </w:p>
        </w:tc>
      </w:tr>
      <w:tr w14:paraId="05A1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Align w:val="center"/>
          </w:tcPr>
          <w:p w14:paraId="3FCD5131">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013" w:type="pct"/>
            <w:vAlign w:val="center"/>
          </w:tcPr>
          <w:p w14:paraId="3285618D">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粮油类</w:t>
            </w:r>
          </w:p>
        </w:tc>
        <w:tc>
          <w:tcPr>
            <w:tcW w:w="3432" w:type="pct"/>
            <w:vAlign w:val="center"/>
          </w:tcPr>
          <w:p w14:paraId="158979C0">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米、面、食用油、豆类、杂粮</w:t>
            </w:r>
          </w:p>
        </w:tc>
      </w:tr>
      <w:tr w14:paraId="5D83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Merge w:val="restart"/>
            <w:vAlign w:val="center"/>
          </w:tcPr>
          <w:p w14:paraId="3D66F1CA">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013" w:type="pct"/>
            <w:vMerge w:val="restart"/>
            <w:vAlign w:val="center"/>
          </w:tcPr>
          <w:p w14:paraId="4C0811B4">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生鲜类</w:t>
            </w:r>
          </w:p>
        </w:tc>
        <w:tc>
          <w:tcPr>
            <w:tcW w:w="3432" w:type="pct"/>
            <w:vAlign w:val="center"/>
          </w:tcPr>
          <w:p w14:paraId="05A7618F">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畜、禽肉、蛋、水产海鲜类</w:t>
            </w:r>
          </w:p>
        </w:tc>
      </w:tr>
      <w:tr w14:paraId="3C7E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Merge w:val="continue"/>
            <w:vAlign w:val="center"/>
          </w:tcPr>
          <w:p w14:paraId="7BA5F5A6">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p>
        </w:tc>
        <w:tc>
          <w:tcPr>
            <w:tcW w:w="1013" w:type="pct"/>
            <w:vMerge w:val="continue"/>
            <w:vAlign w:val="center"/>
          </w:tcPr>
          <w:p w14:paraId="0086442B">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p>
        </w:tc>
        <w:tc>
          <w:tcPr>
            <w:tcW w:w="3432" w:type="pct"/>
            <w:vAlign w:val="center"/>
          </w:tcPr>
          <w:p w14:paraId="79BA46D5">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乳制品</w:t>
            </w:r>
          </w:p>
        </w:tc>
      </w:tr>
      <w:tr w14:paraId="16973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Merge w:val="continue"/>
            <w:vAlign w:val="center"/>
          </w:tcPr>
          <w:p w14:paraId="2F6BA998">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p>
        </w:tc>
        <w:tc>
          <w:tcPr>
            <w:tcW w:w="1013" w:type="pct"/>
            <w:vMerge w:val="continue"/>
            <w:vAlign w:val="center"/>
          </w:tcPr>
          <w:p w14:paraId="626C0FE7">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p>
        </w:tc>
        <w:tc>
          <w:tcPr>
            <w:tcW w:w="3432" w:type="pct"/>
            <w:vAlign w:val="center"/>
          </w:tcPr>
          <w:p w14:paraId="2C14214E">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冻品</w:t>
            </w:r>
          </w:p>
        </w:tc>
      </w:tr>
      <w:tr w14:paraId="638A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54" w:type="pct"/>
            <w:vAlign w:val="center"/>
          </w:tcPr>
          <w:p w14:paraId="2B8E217A">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013" w:type="pct"/>
            <w:vAlign w:val="center"/>
          </w:tcPr>
          <w:p w14:paraId="1A09EB89">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蔬果类</w:t>
            </w:r>
          </w:p>
        </w:tc>
        <w:tc>
          <w:tcPr>
            <w:tcW w:w="3432" w:type="pct"/>
            <w:vAlign w:val="center"/>
          </w:tcPr>
          <w:p w14:paraId="1C0A2B89">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蔬菜、水果、豆制品</w:t>
            </w:r>
          </w:p>
        </w:tc>
      </w:tr>
      <w:tr w14:paraId="3B39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54" w:type="pct"/>
            <w:vAlign w:val="center"/>
          </w:tcPr>
          <w:p w14:paraId="1DA00B7B">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1013" w:type="pct"/>
            <w:vAlign w:val="center"/>
          </w:tcPr>
          <w:p w14:paraId="1FD674F4">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干杂类</w:t>
            </w:r>
          </w:p>
        </w:tc>
        <w:tc>
          <w:tcPr>
            <w:tcW w:w="3432" w:type="pct"/>
            <w:vAlign w:val="center"/>
          </w:tcPr>
          <w:p w14:paraId="66C1D6BB">
            <w:pPr>
              <w:keepNext w:val="0"/>
              <w:keepLines w:val="0"/>
              <w:suppressLineNumbers w:val="0"/>
              <w:tabs>
                <w:tab w:val="left" w:pos="0"/>
              </w:tabs>
              <w:topLinePunct/>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干制品、干果、调味品</w:t>
            </w:r>
          </w:p>
        </w:tc>
      </w:tr>
    </w:tbl>
    <w:p w14:paraId="4DA23905">
      <w:pPr>
        <w:pStyle w:val="3"/>
        <w:spacing w:line="240" w:lineRule="auto"/>
        <w:ind w:firstLine="0" w:firstLineChars="0"/>
        <w:jc w:val="left"/>
        <w:rPr>
          <w:rFonts w:hint="eastAsia" w:ascii="宋体" w:hAnsi="宋体" w:eastAsia="宋体" w:cs="宋体"/>
          <w:b/>
          <w:bCs/>
          <w:color w:val="auto"/>
          <w:sz w:val="24"/>
          <w:szCs w:val="28"/>
          <w:highlight w:val="none"/>
          <w:lang w:eastAsia="zh-CN"/>
        </w:rPr>
      </w:pPr>
      <w:r>
        <w:rPr>
          <w:rFonts w:hint="eastAsia" w:ascii="宋体" w:hAnsi="宋体" w:eastAsia="宋体" w:cs="宋体"/>
          <w:color w:val="auto"/>
          <w:sz w:val="24"/>
          <w:szCs w:val="28"/>
          <w:highlight w:val="none"/>
        </w:rPr>
        <w:t>※</w:t>
      </w:r>
      <w:r>
        <w:rPr>
          <w:rFonts w:hint="eastAsia" w:ascii="宋体" w:hAnsi="宋体" w:eastAsia="宋体" w:cs="宋体"/>
          <w:b/>
          <w:bCs/>
          <w:color w:val="auto"/>
          <w:sz w:val="24"/>
          <w:szCs w:val="28"/>
          <w:highlight w:val="none"/>
          <w:lang w:eastAsia="zh-CN"/>
        </w:rPr>
        <w:t>五、食材质量要求</w:t>
      </w:r>
    </w:p>
    <w:p w14:paraId="48E4F724">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预包装原料须为该生产厂家生产的全新产品，包装完整、标识清晰（含品名、生产日期、保质期、生产商、SC编号、成分表、贮存条件等，符合《预包装食品标签通则》），未拆封、未过保质期，剩余保质期不得少于总保质期的1/3，并随货提供同批次出厂检验合格报告/合格证。</w:t>
      </w:r>
    </w:p>
    <w:p w14:paraId="16C7895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食品中污染物限量应符合《食品安全国家标准 食品中污染物限量》规定；</w:t>
      </w:r>
    </w:p>
    <w:p w14:paraId="4D078399">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真菌毒素限量应符合《食品安全国家标准 食品中真菌毒素限量》规定。</w:t>
      </w:r>
    </w:p>
    <w:p w14:paraId="197D703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1.粮油类</w:t>
      </w:r>
    </w:p>
    <w:p w14:paraId="05121969">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食品中污染物限量标准应符合国家标准《食品安全国家标准 食品中真菌毒素限量》规定或国家卫生、食品安全最新标准。</w:t>
      </w:r>
    </w:p>
    <w:p w14:paraId="017D248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①大米</w:t>
      </w:r>
    </w:p>
    <w:p w14:paraId="19B543E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籼米(一级)或粳米(一级)：色泽清白，有光泽，呈半透明状，米粒大小均匀、丰满光滑，很少有碎米、爆腰(米粒上有裂纹)、腹白(米粒上乳白色不透明部分叫腹白，是由于稻谷未成熟，糊精较多而缺乏蛋白质)，无虫蛀、无霉变、无异味，不含杂质。配送日期距生产日期不超过半年。执行标准：《食品安全国家标准 粮食》。</w:t>
      </w:r>
    </w:p>
    <w:p w14:paraId="017D621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②面粉</w:t>
      </w:r>
    </w:p>
    <w:p w14:paraId="5AABACE8">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精制粉：一级，优质面粉色泽呈白色或微黄色，手捻捏时呈细粉末状，置于手中紧捏后放开不成团。无异味。用手摸取时，手心有凉爽感，握紧时成团；味道淡而微甜；配送日期距生产日期不超过半年。执行标准：《食品安全国家标准 粮食》。</w:t>
      </w:r>
    </w:p>
    <w:p w14:paraId="2DBE5BE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③食用油</w:t>
      </w:r>
    </w:p>
    <w:p w14:paraId="341D2052">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非转基因食用油(菜籽油、大豆油、玉米油、花生油等)：色泽鲜亮，清澈透明、无杂质、无沉淀物、无任何异味，经250℃加热油色不变黑，有预包装并应符合国家的有关规定和要求，有明确的计量，标签明确标识“压榨”工艺；配送日期距生产日期不超过半年。执行标准：《食品安全国家标准 植物油》。</w:t>
      </w:r>
    </w:p>
    <w:p w14:paraId="1E7D297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④豆类</w:t>
      </w:r>
    </w:p>
    <w:p w14:paraId="109A8F2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优质大豆或其他特定品种的豆类，应完整、饱满、有光泽、无霉烂、无虫害、无异味等；干燥度：应保持在11%以下，以保证储存、运输和加工过程中不会发生变质；含杂率：应控制在1%以下。执行标准：《食品安全国家标准 粮食》、《大豆》。</w:t>
      </w:r>
    </w:p>
    <w:p w14:paraId="08B17888">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⑤杂粮</w:t>
      </w:r>
    </w:p>
    <w:p w14:paraId="5C6AD22A">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配送时距生产日期不超过半年，优先供应当年新粮。禁止提供陈粮、掺假、有毒有害杂粮。执行标准：《食品安全国家标准 粮食》。</w:t>
      </w:r>
    </w:p>
    <w:p w14:paraId="053C3DE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2.生鲜类</w:t>
      </w:r>
    </w:p>
    <w:p w14:paraId="73B8CF67">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（1）畜、禽、肉、蛋、水产、海鲜：</w:t>
      </w:r>
      <w:r>
        <w:rPr>
          <w:rFonts w:hint="eastAsia" w:ascii="宋体" w:hAnsi="宋体" w:eastAsia="宋体" w:cs="宋体"/>
          <w:color w:val="auto"/>
          <w:kern w:val="0"/>
          <w:sz w:val="24"/>
          <w:szCs w:val="24"/>
          <w:highlight w:val="none"/>
          <w:lang w:val="en-US" w:eastAsia="zh-CN"/>
        </w:rPr>
        <w:tab/>
      </w:r>
    </w:p>
    <w:p w14:paraId="5E01A787">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冷鲜畜禽肉（猪、牛、羊、禽）类应保证每日新鲜，除采购人另行要求外，所有配送的畜禽肉、油脂及食品杂碎类产品必须是当日屠宰的新鲜食材，并严格执行兽医检疫制度，采用冷链运输方式对屠宰后的畜胴体迅速进行冷却处理，使胴体温度在24小时内降为0℃～4℃，并在后续加工、流通和销售过程中始终保持0℃～4℃范围内的冷鲜肉。冷鲜肉感官湿润，触摸柔软有弹性，加工易入味，口感滑腻鲜嫩，冷鲜肉在-2℃～5℃温度下可保存七天。肉类（含禽类）符合《中华人民共和国农业部公告》（第235号）的动物性食品中兽药最高残留限量的要求。感官指标符合《食品安全国家标准 鲜（冻）畜、禽产品》要求：肌肉有光泽、指压后凹陷立即恢复、表面微湿润不粘手、无异味。</w:t>
      </w:r>
    </w:p>
    <w:p w14:paraId="4600FF5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鲜活水产品应保持活体状态，游动活泼、反应灵敏，体表有光泽、无异味，鳞片/外壳完整，鳃色正常；死体、活力差、体表发黑、有异味的一律拒收。</w:t>
      </w:r>
    </w:p>
    <w:p w14:paraId="41213171">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动物性水产品感官符合《食品安全国家标准 鲜、冻动物性水产品》要求，无腐败、无异味、无异物。不得检出孔雀石绿、氯霉素、硝基呋喃类代谢物等违禁药物；污染物限量符合《食品安全国家标准 食品中污染物限量》规定。</w:t>
      </w:r>
    </w:p>
    <w:p w14:paraId="60B83A38">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随货提供：《动物检疫合格证明》《肉品品质检验合格证》及瘦肉精、非洲猪瘟（生猪）等批批检测报告。兽药残留限量符合《食品安全国家标准 食品中兽药最大残留限量》、《食品安全国家标准 食品中41种兽药最大残留限量》的规定。</w:t>
      </w:r>
    </w:p>
    <w:p w14:paraId="30894EF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①家畜/禽肉类应色泽鲜亮、无任何异味、无毛、按压无水迹、纹理清晰、肉质细腻。</w:t>
      </w:r>
    </w:p>
    <w:p w14:paraId="1993BB2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执行标准：《鲜、冻禽产品》、《食品安全国家标准 鲜(冻)畜、禽产品》。</w:t>
      </w:r>
    </w:p>
    <w:p w14:paraId="2982CA4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②猪肉应为屠宰厂当日屠宰的活鲜肉，应符合成都市生猪溯源体系的要求并在供货时提供有地方政府卫生监督机构出具的动物检疫合格证、肉品品质检验合格证和动物检疫合格验讫印章以及肉品品质检验合格验讫印章供采购人核验。 </w:t>
      </w:r>
    </w:p>
    <w:p w14:paraId="68D98FD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鲜肉类：来源于正规肉联厂(注明肉联厂名称)，保证符合国家食品安全相关标准和要求，新鲜、无私宰、无注水现象。其它肉类在供货时提供包括定点屠宰卫生防疫合格证明材料、动物检疫、检测相关合格证明材料。</w:t>
      </w:r>
    </w:p>
    <w:p w14:paraId="636C128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鲜（冻）畜、禽产品》、《食品安全国家标准 食品中兽药最大残留限量》、《食品安全国家标准 食品中41种兽药最大残留限量》要求，且肉食品需新鲜无质变。所有产品来源均保证可追溯。其它肉类在供货时提供包括定点屠宰卫生防疫合格证明材料、动物检疫、检测相关合格证明材料。</w:t>
      </w:r>
    </w:p>
    <w:p w14:paraId="24F0C53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排骨（精肋排：去颈骨、去脊椎骨、去背骨、去里脊肉；选取中段肋排，单根肋排长度≥35cm，肥瘦适中，无碎骨、无软骨残留）、猪头(猪头去毛、去耳道、去淋巴、去骨后，半片净重≥1000g；仅限当日热鲜/冷鲜猪肉（0~4℃），严禁冷冻解冻品)、猪蹄(去毛后不得低于3斤单根)、五花(必须保证三线以上肉质，厚度不得低于4cm)、瘦肉(按市场调查对比图验收)、猪内脏(猪肝、猪心、猪舌、猪肠、猪腰确保无可见脂肪、无积液、无污物、无异味)。规格要求：按采购人要求进行分割、定量包装或不包装，二次分装须在外包装标明：供应商名称、屠宰企业名称、屠宰日期、产品名称、净含量、保质期、储存条件。所有产品须可追溯至定点屠宰企业。</w:t>
      </w:r>
    </w:p>
    <w:p w14:paraId="7B2F76B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③蛋类</w:t>
      </w:r>
    </w:p>
    <w:p w14:paraId="07AADC2A">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禽蛋无机砷、铅、镉、总汞依据相关国家标准控制在安全范围，必须保证新鲜、卫生、安全。外壳坚固完整，色泽自然有光泽。</w:t>
      </w:r>
    </w:p>
    <w:p w14:paraId="1E3D5BC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散装生鲜禽蛋在供货时提供动物产品检疫、检测合格证明或出县境动物产品检疫、检测合格证明，外地生鲜禽蛋应在供货时提供其所在地农业部门的检疫、检测合格证明和检疫、检测验讫标识。禽蛋必须新鲜、清洁、大小均匀、无破损，保证质期内新鲜、卫生、安全。配送时，鸡蛋距生产日期不超过10天，且装箱配送，否则采购人可拒绝收货。</w:t>
      </w:r>
    </w:p>
    <w:p w14:paraId="4D1B4264">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单枚重带壳≥50g（大号蛋），大小均匀，且必须注明“生产日期、品牌”字样，具有无公害农产品或绿色食品或有机产品认证之一，并提供有效期内认证证书复印件，采用常温保存。</w:t>
      </w:r>
    </w:p>
    <w:p w14:paraId="4E048A4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蛋与蛋制品》,感官指标不低于国家有关食品质量标准的二级指标要求，应保证新鲜、符合《食品安全国家标准 食品中污染物限量》的规定。</w:t>
      </w:r>
    </w:p>
    <w:p w14:paraId="409D9644">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④水产品</w:t>
      </w:r>
    </w:p>
    <w:p w14:paraId="71EBB63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水产品类应为鲜活保持活体状态固有本色，无异味，鱼类肌肉紧密有弹性，内脏清晰可辨无腐烂，个体完整无伤痕，鱼产品眼球饱满、腮丝清晰鲜红、黏液透明有光泽，应在供货时提供相关合格依据，满足《食品安全国家标准 鲜、冻动物性水产品》、《食品安全国家标准 动物性水产制品》（适用于水产制品（腌制、干制、熏制、鱼糜制品、即食水产等））的要求。</w:t>
      </w:r>
    </w:p>
    <w:p w14:paraId="44591FE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鲜活鱼类、甲壳类（虾、蟹）、贝类等:</w:t>
      </w:r>
    </w:p>
    <w:p w14:paraId="2AC76ED7">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鱼类：游动活泼（活鱼）或冰鲜鱼体表有光泽、鳞片完整、黏液透明；鳃丝鲜红、清晰；眼球饱满透明；肌肉紧密有弹性，指压后凹陷立即恢复；内脏清晰无腐烂；肛门紧缩无异常；气味为固有鲜腥味，无腐臭、氨味、哈喇味。</w:t>
      </w:r>
    </w:p>
    <w:p w14:paraId="4BBAEB84">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虾类：头身连接紧密，甲壳有光泽，鳃清晰不发黑，肌肉致密有弹性。</w:t>
      </w:r>
    </w:p>
    <w:p w14:paraId="537E8202">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蟹类：活动能力强（活蟹）或冰鲜蟹壳体完整、无异味，蟹黄/膏饱满不液化。</w:t>
      </w:r>
    </w:p>
    <w:p w14:paraId="7081564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贝类：活体受刺激后闭合迅速，壳无破损，肉质饱满无腐烂、无过量泥沙.</w:t>
      </w:r>
    </w:p>
    <w:p w14:paraId="3B72B63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配送与验收:鲜活水产品采用充氧、低温保活运输，到货存活率≥95%（按合同约定）；冰鲜水产品全程冰被/碎冰覆盖，环境温度≤4℃，到货中心温度≤7℃；到货感官异常（异味、眼球塌陷、鳃发黑、肌肉松散、死亡贝类）、无合格证明、药残/污染物抽检不合格的，采购人有权当场拒收、退货。</w:t>
      </w:r>
    </w:p>
    <w:p w14:paraId="6CD8BF8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鲜、冻动物性水产品》</w:t>
      </w:r>
    </w:p>
    <w:p w14:paraId="6F03764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⑤海鲜类：体型光洁健壮、无畸形，保证符合国家食品安全相关标准和要求；冻品、干货类：外观完整、无异味，保证符合国家食品安全相关标准和要求。</w:t>
      </w:r>
    </w:p>
    <w:p w14:paraId="2BA4593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鲜、冻动物性水产品》、《食品安全国家标准 动物性水产制品》的要求。</w:t>
      </w:r>
    </w:p>
    <w:p w14:paraId="7C7B2607">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均要求配送活体，宰杀后符合眼球透明、鳃鲜红、鱼体饱满有弹性、无离骨脱刺现象、肛门无异物流出等标准,每批次提供食用农产品承诺达标合格证及近期第三方药残检测报告（重点检测孔雀石绿、氯霉素、硝基呋喃类）。</w:t>
      </w:r>
    </w:p>
    <w:p w14:paraId="4338D66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（2）乳制品</w:t>
      </w:r>
    </w:p>
    <w:p w14:paraId="7FA025B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乳制品执行标准：《食品安全国家标准 乳制品良好生产规范》。</w:t>
      </w:r>
    </w:p>
    <w:p w14:paraId="0FC5178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（3）冻品</w:t>
      </w:r>
    </w:p>
    <w:p w14:paraId="731BB8C7">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外包装应完整，无破损、无不封口现象、有生产日期。冻品在解冻后，发现质量问题，供应商应无条件接受退/换货。生产日期应清晰喷码/压印，不可擦除；到货时距生产日期不超过约定期限（如冻肉≤6个月生产，冻调理食品≤3个月），剩余保质期≥2/3总保质期。</w:t>
      </w:r>
    </w:p>
    <w:p w14:paraId="15531F8D">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鲜、冻动物性水产品》、《食品安全国家标准 鲜（冻）畜、禽产品》、冷冻调制食品符合《食品安全国家标准 食品中污染物限量》、《食品安全国家标准 食品中农药最大残留限量》、《食品安全国家标准 食品中兽药最大残留限量》、《食品安全国家标准 食品中41种兽药最大残留限量》、《食品安全国家标准 预包装食品中致病菌限量》的规定。</w:t>
      </w:r>
    </w:p>
    <w:p w14:paraId="5DB3EEE4">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3.蔬菜类</w:t>
      </w:r>
      <w:r>
        <w:rPr>
          <w:rFonts w:hint="eastAsia" w:ascii="宋体" w:hAnsi="宋体" w:eastAsia="宋体" w:cs="宋体"/>
          <w:color w:val="auto"/>
          <w:kern w:val="0"/>
          <w:sz w:val="24"/>
          <w:szCs w:val="24"/>
          <w:highlight w:val="none"/>
          <w:lang w:val="en-US" w:eastAsia="zh-CN"/>
        </w:rPr>
        <w:tab/>
      </w:r>
    </w:p>
    <w:p w14:paraId="608509E2">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蔬菜：新鲜，保证无黄叶、枯死叶、无虫、无杂质，原菜应保证菜面干净、无明显泥土、装袋整齐、无破损、大小基本一致、瓜果类不得过熟或欠熟；净菜应保证菜面完全干净、无泥土、装袋整齐、无须二次处理可以直接进行加工。</w:t>
      </w:r>
    </w:p>
    <w:p w14:paraId="6CAECBC1">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食品中污染物限量》、《食品安全国家标准 食品中农药最大残留限量》。</w:t>
      </w:r>
    </w:p>
    <w:p w14:paraId="44B8E1D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②水果：应为当季水果且保证新鲜，果型匀称，色泽均匀，不得过熟或欠熟，无虫、无干疤、斑点、裂口、腐烂，口感好。</w:t>
      </w:r>
    </w:p>
    <w:p w14:paraId="7B0ACAC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③豆制品：保证食材干净、不含非食品化学物质、按统一标准加工，无须二次处理可以直接进行熟制作。</w:t>
      </w:r>
    </w:p>
    <w:p w14:paraId="2BB72F2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4.干杂类 </w:t>
      </w:r>
    </w:p>
    <w:p w14:paraId="1518FF4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预包装类食品原料应具有SC标记，调味品及干杂应外形完整，色泽自然，无霉斑、无虫蛀、无硫磺熏蒸刺鼻味、无过量泥沙干净、无砂石、毛发、金属等异物，不含非食品用化学物质、按统一标准加工、无须二次处理食品可以直接进行熟加工。</w:t>
      </w:r>
    </w:p>
    <w:p w14:paraId="47286DBD">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①干杂：</w:t>
      </w:r>
    </w:p>
    <w:p w14:paraId="1E0915A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至少包括粉条、雪豆、海带、大豆、香料等一切干杂辅料。不得含有二氧化硫及重金属元素和非法使用添加剂；农药残留不得超标，应优质、无感观异常。配送种类、品牌、规格标识清晰，配送时，不低于三分之二保质期可用，包装完整、无任何破损、无挤压、无破碎、无异味、无任何表面附着物或衍生物。产品符合国家质量安全检验标准，随货有该批次产品质量检测合格证、包装完好无损、外观无霉变、无斑点、无腐烂变质，有该物品独有的气味、无异味。交货时提供带检验员章的出厂合格证。</w:t>
      </w:r>
    </w:p>
    <w:p w14:paraId="3E58927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粮食》、《食品安全国家标准 食品中真菌毒素限量》、《食品安全国家标准 食品中污染物限量》、《食品安全国家标准 食品中农药最大残留限量》、《食品安全国家标准 食用菌及其制品》、《食品安全国家标准 坚果与籽类食品》、《食品安全国家标准 动物性水产制品》。</w:t>
      </w:r>
    </w:p>
    <w:p w14:paraId="4A67626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②调味品：</w:t>
      </w:r>
    </w:p>
    <w:p w14:paraId="545E97F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调味品食材至少包括味精、鸡精、酱（辣椒豆瓣）、酱油、食醋、食盐调味食品，必须是预包装，产品应符合国家质量安全检验标准、随货有该批次产品质量检测合格证、包装完好无损（无泄漏、无胀袋或鼓盖现象）、外观无霉变、无斑点、无腐烂变质，有该物品独有的气味、无异味。</w:t>
      </w:r>
    </w:p>
    <w:p w14:paraId="63060721">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执行标准：《食品安全国家标准 酱油》、《食品安全国家标准 食醋》、《食品安全国家标准 味精》、《食品安全国家标准 食用盐》、《食品安全国家标准 复合调味料》、《食品安全国家标准 酱腌菜》、《食品安全国家标准 预包装食品中致病菌限量》、《食品安全国家标准 食品生产通用卫生规范》。</w:t>
      </w:r>
    </w:p>
    <w:p w14:paraId="6D0065D2">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5.其他要求</w:t>
      </w:r>
    </w:p>
    <w:p w14:paraId="730B68D0">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（1）本需求/合同/招标文件内所有引用的国家标准、食品安全通则、限量标准，在履约周期内如国家发布新版替代旧版，全部自动适用最新现行有效版本，无需另行签订补充协议。</w:t>
      </w:r>
    </w:p>
    <w:p w14:paraId="1E69703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（2）食材必须符合《中华人民共和国食品安全法》要求，为质量合格产品，不得供应转基因食品或利用转基因食品原料加工的成品。</w:t>
      </w:r>
    </w:p>
    <w:p w14:paraId="5D18BE1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（3）预包装食材必须为原公司(厂)生产的全新产品，符合国家相关规定的质量标准、环保标准、技术参数和规格要求，不得提供假冒伪劣、有毒有害食品，并达到采购人对食材的要求。</w:t>
      </w:r>
    </w:p>
    <w:p w14:paraId="31A8E1E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（4）配送的预包装食品必须保证包装完好。必要时采购人有权要求供应商提供配送批次产品的检测报告，供应商无条件配合。</w:t>
      </w:r>
    </w:p>
    <w:p w14:paraId="552A70C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（5）供应商应更换运输过程中包装破损产品，所需费用由供应商承担。</w:t>
      </w:r>
    </w:p>
    <w:p w14:paraId="7F80752D">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（6）采购人采购过程中会根据实际使用情况调整货物种类及数量，采购清单内容可能有部分没有详细描述或未在采购文件中体现或描述不准确，具体以实际供应货物为准。</w:t>
      </w:r>
    </w:p>
    <w:p w14:paraId="61E9F58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（7）全部食品、食材禁止使用含有瘦肉精、兴奋剂的食品和添加剂，供应商应完全尊重采购人的要求以及行业惯例和要求，确保所供应食品中不出现含上述类似违禁添加剂。</w:t>
      </w:r>
    </w:p>
    <w:p w14:paraId="14B8FC79">
      <w:pPr>
        <w:pStyle w:val="3"/>
        <w:spacing w:line="240" w:lineRule="auto"/>
        <w:ind w:firstLine="0" w:firstLineChars="0"/>
        <w:jc w:val="left"/>
        <w:rPr>
          <w:rFonts w:hint="eastAsia" w:ascii="宋体" w:hAnsi="宋体" w:eastAsia="宋体" w:cs="宋体"/>
          <w:b/>
          <w:bCs/>
          <w:color w:val="auto"/>
          <w:sz w:val="24"/>
          <w:szCs w:val="28"/>
          <w:highlight w:val="none"/>
          <w:lang w:eastAsia="zh-CN"/>
        </w:rPr>
      </w:pPr>
      <w:r>
        <w:rPr>
          <w:rFonts w:hint="eastAsia" w:ascii="宋体" w:hAnsi="宋体" w:eastAsia="宋体" w:cs="宋体"/>
          <w:color w:val="auto"/>
          <w:sz w:val="24"/>
          <w:szCs w:val="28"/>
          <w:highlight w:val="none"/>
        </w:rPr>
        <w:t>※</w:t>
      </w:r>
      <w:r>
        <w:rPr>
          <w:rFonts w:hint="eastAsia" w:ascii="宋体" w:hAnsi="宋体" w:eastAsia="宋体" w:cs="宋体"/>
          <w:b/>
          <w:bCs/>
          <w:color w:val="auto"/>
          <w:sz w:val="24"/>
          <w:szCs w:val="28"/>
          <w:highlight w:val="none"/>
          <w:lang w:eastAsia="zh-CN"/>
        </w:rPr>
        <w:t>六、配送要求</w:t>
      </w:r>
    </w:p>
    <w:p w14:paraId="3E53028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供应商须以自有或长期租赁的合规车辆及人员完成食材配送，不得将本项目的食材配送业务整体转包或变相分包给第三方。因特殊情况需临时调用外部运力的，须提前书面报采购人同意，且供应商仍对食材安全、时效、验收结果承担全部责任。</w:t>
      </w:r>
    </w:p>
    <w:p w14:paraId="7C49DA31">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2.供应商须具备与配送规模相匹配的封闭式仓储场所，符合《食品安全国家标准 食品生产通用卫生规范》及《食品安全国家标准 食品冷链物流卫生规范》要求，按食材类配备封闭式厢式货车，确保食材安全储存和安全运输。</w:t>
      </w:r>
    </w:p>
    <w:p w14:paraId="769D42F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3.供应商食材配送车辆及人员要求</w:t>
      </w:r>
    </w:p>
    <w:p w14:paraId="5842287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3.1须具备符合规定的自有或租赁的食材配送专用机动车车辆。车厢应为专用封闭式，车辆内部结构应平整、便于清洁，配送冷冻、冷藏食材时车辆须具有冷藏冷冻设备，所有储藏设施符合国家、行业标准和规范，且配送车辆应不少于4辆，其中厢式食材配送专用车辆不少于2辆，运输专用冷藏车辆不少于2辆。[（1）提供车辆年审年检合格的行驶证、购置发票(或租赁合同)、交强险保单复印件)；（2）提供车辆内外部实景照片(外部照片应为车辆外观和车辆号牌的同框实景照片，内部照片应为货箱内景和车辆号牌的同框实景照片)；（3）运输专用冷藏车辆需提供冷藏设备照片。</w:t>
      </w:r>
    </w:p>
    <w:p w14:paraId="71DDE6C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3.2配送车辆应做到每日清洗、消毒并做好消毒记录，并采用双人双锁管理。</w:t>
      </w:r>
    </w:p>
    <w:p w14:paraId="774DB45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3.3须具备专职驾驶员不少于4名[提供专职驾驶员的有效驾驶证复印件(应符合专用车辆驾驶要求)，身份证复印件，健康证复印件</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提供</w:t>
      </w:r>
      <w:r>
        <w:rPr>
          <w:rFonts w:hint="eastAsia" w:ascii="宋体" w:hAnsi="宋体" w:cs="宋体"/>
          <w:color w:val="auto"/>
          <w:kern w:val="0"/>
          <w:sz w:val="24"/>
          <w:szCs w:val="24"/>
          <w:highlight w:val="none"/>
          <w:lang w:val="en-US" w:eastAsia="zh-CN"/>
        </w:rPr>
        <w:t>相应</w:t>
      </w:r>
      <w:r>
        <w:rPr>
          <w:rFonts w:hint="eastAsia" w:ascii="宋体" w:hAnsi="宋体" w:eastAsia="宋体" w:cs="宋体"/>
          <w:color w:val="auto"/>
          <w:kern w:val="0"/>
          <w:sz w:val="24"/>
          <w:szCs w:val="24"/>
          <w:highlight w:val="none"/>
          <w:lang w:val="en-US" w:eastAsia="zh-CN"/>
        </w:rPr>
        <w:t>人员</w:t>
      </w:r>
      <w:bookmarkStart w:id="286" w:name="_GoBack"/>
      <w:r>
        <w:rPr>
          <w:rFonts w:hint="eastAsia" w:ascii="宋体" w:hAnsi="宋体" w:eastAsia="宋体" w:cs="宋体"/>
          <w:color w:val="auto"/>
          <w:kern w:val="0"/>
          <w:sz w:val="24"/>
          <w:szCs w:val="24"/>
          <w:highlight w:val="none"/>
          <w:lang w:val="en-US" w:eastAsia="zh-CN"/>
        </w:rPr>
        <w:t>2026</w:t>
      </w:r>
      <w:bookmarkEnd w:id="286"/>
      <w:r>
        <w:rPr>
          <w:rFonts w:hint="eastAsia" w:ascii="宋体" w:hAnsi="宋体" w:eastAsia="宋体" w:cs="宋体"/>
          <w:color w:val="auto"/>
          <w:kern w:val="0"/>
          <w:sz w:val="24"/>
          <w:szCs w:val="24"/>
          <w:highlight w:val="none"/>
          <w:lang w:val="en-US" w:eastAsia="zh-CN"/>
        </w:rPr>
        <w:t>年1月1日至投标截止时间任意一月的社保证明复印件或劳动合同复印件</w:t>
      </w:r>
      <w:r>
        <w:rPr>
          <w:rFonts w:hint="eastAsia" w:ascii="宋体" w:hAnsi="宋体" w:cs="宋体"/>
          <w:color w:val="auto"/>
          <w:kern w:val="0"/>
          <w:sz w:val="24"/>
          <w:szCs w:val="24"/>
          <w:highlight w:val="none"/>
          <w:lang w:val="en-US" w:eastAsia="zh-CN"/>
        </w:rPr>
        <w:t>并</w:t>
      </w:r>
      <w:r>
        <w:rPr>
          <w:rFonts w:hint="eastAsia" w:ascii="宋体" w:hAnsi="宋体" w:eastAsia="宋体" w:cs="宋体"/>
          <w:color w:val="auto"/>
          <w:kern w:val="0"/>
          <w:sz w:val="24"/>
          <w:szCs w:val="24"/>
          <w:highlight w:val="none"/>
          <w:lang w:val="en-US" w:eastAsia="zh-CN"/>
        </w:rPr>
        <w:t>加盖投标人公章]。</w:t>
      </w:r>
    </w:p>
    <w:p w14:paraId="7DB36B58">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3.4须具备专职配送人员（不得兼任本项目其他职务）不少于4名[提供身份证复印件，健康证复印件</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提供</w:t>
      </w:r>
      <w:r>
        <w:rPr>
          <w:rFonts w:hint="eastAsia" w:ascii="宋体" w:hAnsi="宋体" w:cs="宋体"/>
          <w:color w:val="auto"/>
          <w:kern w:val="0"/>
          <w:sz w:val="24"/>
          <w:szCs w:val="24"/>
          <w:highlight w:val="none"/>
          <w:lang w:val="en-US" w:eastAsia="zh-CN"/>
        </w:rPr>
        <w:t>相应</w:t>
      </w:r>
      <w:r>
        <w:rPr>
          <w:rFonts w:hint="eastAsia" w:ascii="宋体" w:hAnsi="宋体" w:eastAsia="宋体" w:cs="宋体"/>
          <w:color w:val="auto"/>
          <w:kern w:val="0"/>
          <w:sz w:val="24"/>
          <w:szCs w:val="24"/>
          <w:highlight w:val="none"/>
          <w:lang w:val="en-US" w:eastAsia="zh-CN"/>
        </w:rPr>
        <w:t>人员2026年1月1日至投标截止时间任意一月的社保证明复印件或劳动合同复印件</w:t>
      </w:r>
      <w:r>
        <w:rPr>
          <w:rFonts w:hint="eastAsia" w:ascii="宋体" w:hAnsi="宋体" w:cs="宋体"/>
          <w:color w:val="auto"/>
          <w:kern w:val="0"/>
          <w:sz w:val="24"/>
          <w:szCs w:val="24"/>
          <w:highlight w:val="none"/>
          <w:lang w:val="en-US" w:eastAsia="zh-CN"/>
        </w:rPr>
        <w:t>并</w:t>
      </w:r>
      <w:r>
        <w:rPr>
          <w:rFonts w:hint="eastAsia" w:ascii="宋体" w:hAnsi="宋体" w:eastAsia="宋体" w:cs="宋体"/>
          <w:color w:val="auto"/>
          <w:kern w:val="0"/>
          <w:sz w:val="24"/>
          <w:szCs w:val="24"/>
          <w:highlight w:val="none"/>
          <w:lang w:val="en-US" w:eastAsia="zh-CN"/>
        </w:rPr>
        <w:t>加盖投标人公章]]。</w:t>
      </w:r>
    </w:p>
    <w:p w14:paraId="721FB07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3.5为本项目配备的服务人员（包括：专职驾驶员、专职配送人员）无违法犯罪记录[提供承诺函，承诺在合同签订前向采购人提供本项目所有服务人员的“无犯罪记录证明”]。</w:t>
      </w:r>
    </w:p>
    <w:p w14:paraId="2D3D94E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3.6专职驾驶员、配送人员不得身兼多岗，供应商在投标文件中提供的有效运输车辆、专职固定驾驶员、专职配送人员必须为本项目提供配送服务的固定车辆和配送人员，未列入投标文件中的有效车辆和配送人员的不能为采购人提供食材配送服务。若确因车辆老化、故障，人员生病、离职等原因需要更换配送车辆和人员的，中标供应商需书面向采购人提交更换申请，并经采购人审核确认后(含政审)，方可更换配送车辆和人员。未经采购人允许擅自更换配送车辆和人员的，采购人有权单方面终止合同，若造成采购人损失的，采购人有权进行索赔。</w:t>
      </w:r>
    </w:p>
    <w:p w14:paraId="383AD21D">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4.供应商负责运输、装卸全过程，一切费用由供应商承担。供应商在配送运输中需确保安全，在运输装卸过程中发生的安全事故或不良事件，由供应商承担一切责任。 </w:t>
      </w:r>
    </w:p>
    <w:p w14:paraId="112823D5">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履约方式及地点：采购人当天将次日需采购的食材名称、规格、数量，通过约定形式通知供应商，供应商须在早上07：00-07:30将采购人所需食材送到采购人指定地点。若采购人有临时紧急需求，供应商须在接到采购人通知后60分钟内送达。</w:t>
      </w:r>
    </w:p>
    <w:p w14:paraId="06D49FF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6.供应商必须保质保量配送，严禁以次充好、短斤缺两，否则采购人有权视事件严重程度扣罚5%～15%当月货款，甚至解除合同。 </w:t>
      </w:r>
    </w:p>
    <w:p w14:paraId="1478AADE">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供应商送货时须提供食材送货清单、合格证等，采购人对食材种类、质量、数量、价格、合格证、检测报告等进行验收确认后签字。如供应商未提供合格证、送货清单，或采购人对食材质量、数量、价格等有异议，采购人将拒绝验收，供应商须在30分钟内予以妥善处理(要求提供处理方案)，不得影响采购人食堂运作，如不能及时解决，且无采购人认可的理由，采购人视影响程度扣罚1%～5%当月货款。</w:t>
      </w:r>
    </w:p>
    <w:p w14:paraId="44DBFE49">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8.供应商所提供的食材依据《中华人民共和国食品安全法》和《餐饮服务食品采购索证索票管理规定》法律法规，应符合国家检验检疫标准。 </w:t>
      </w:r>
    </w:p>
    <w:p w14:paraId="1302A401">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9.保密要求(投标人根据自身情况在其他投标文件中提供承诺函，格式自拟)</w:t>
      </w:r>
    </w:p>
    <w:p w14:paraId="3AC3154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9.1供应商进入区域中心的工作人员，必须服从区域中心管理。</w:t>
      </w:r>
    </w:p>
    <w:p w14:paraId="6059C46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9.2供应商人员不准打听与送货无关的任何事情；供应商不准公开采购人的送货资料，不准挟带(除订单外)的任何资料出区域中心。</w:t>
      </w:r>
    </w:p>
    <w:p w14:paraId="1D07F3E6">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9.3如因配送人员泄露信息及送货相关资料造成泄密的，供应商相关人员必须承担相应的法律责任。</w:t>
      </w:r>
    </w:p>
    <w:p w14:paraId="44FACC3B">
      <w:pPr>
        <w:pStyle w:val="3"/>
        <w:spacing w:line="240" w:lineRule="auto"/>
        <w:ind w:firstLine="0" w:firstLineChars="0"/>
        <w:jc w:val="left"/>
        <w:rPr>
          <w:rFonts w:hint="eastAsia" w:ascii="宋体" w:hAnsi="宋体" w:eastAsia="宋体" w:cs="宋体"/>
          <w:b/>
          <w:bCs/>
          <w:color w:val="auto"/>
          <w:sz w:val="24"/>
          <w:szCs w:val="28"/>
          <w:highlight w:val="none"/>
          <w:lang w:eastAsia="zh-CN"/>
        </w:rPr>
      </w:pPr>
      <w:r>
        <w:rPr>
          <w:rFonts w:hint="eastAsia" w:ascii="宋体" w:hAnsi="宋体" w:eastAsia="宋体" w:cs="宋体"/>
          <w:color w:val="auto"/>
          <w:sz w:val="24"/>
          <w:szCs w:val="28"/>
          <w:highlight w:val="none"/>
        </w:rPr>
        <w:t>※</w:t>
      </w:r>
      <w:r>
        <w:rPr>
          <w:rFonts w:hint="eastAsia" w:ascii="宋体" w:hAnsi="宋体" w:eastAsia="宋体" w:cs="宋体"/>
          <w:b/>
          <w:bCs/>
          <w:color w:val="auto"/>
          <w:sz w:val="24"/>
          <w:szCs w:val="28"/>
          <w:highlight w:val="none"/>
          <w:lang w:eastAsia="zh-CN"/>
        </w:rPr>
        <w:t>七、其他要求</w:t>
      </w:r>
    </w:p>
    <w:p w14:paraId="78A6653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1.供应商保证向采购人提供符合国家食品卫生安全规定标准的商品，做到诚信经营，准时配送。</w:t>
      </w:r>
    </w:p>
    <w:p w14:paraId="30628D69">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供应商每日配送商品的种类和数量需与采购人提前一天发出并经供应商确认的订单或补充订单保持一致，如供应商实际配送商品和采购人订单不一致，采购人或采购人指定收货方现场人员应在收货时向供应商现场人员提出异议，经双方确认若异议成立则采购人有权按100元/次进行处罚，但供应商配送前提前告知采购人或采购人指定收货方无法配送的商品除外。</w:t>
      </w:r>
    </w:p>
    <w:p w14:paraId="2BE7144F">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3.对不符合质量的商品，采购人有权退货并要求供应商在不影响采购人开餐的时间内换货，确保采购人正常开餐。发现产品出现质量问题后，承诺在60分钟内无条件换货。</w:t>
      </w:r>
    </w:p>
    <w:p w14:paraId="79B53EFA">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4.供应商须承诺在配送过程中的一切安全责任自行承担。</w:t>
      </w:r>
    </w:p>
    <w:p w14:paraId="71E3D9AB">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在供货期间，中标人必须保障货源充足，如果出现断货现象，须作出书面说明，若非不可抗力因素，不论数量多少，断货1天，采购人按日平均就餐人数一天食用总量的总资金0.5倍收取中标人的违约金，断货2天，采购人按日平均就餐人数一天食用总量的总资金1.0倍收取中标人的违约金，连续断货达3天及以上的，采购人有权终止合同，且履约保证金不予退还，造成的一切后果和损失都由中标人负责。</w:t>
      </w:r>
    </w:p>
    <w:p w14:paraId="0E52947C">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6.因产品本身质量或配送原因发生的食品安全事故，由中标人承担全部经济和法律责任，并终止合同。</w:t>
      </w:r>
    </w:p>
    <w:p w14:paraId="42D08C23">
      <w:pPr>
        <w:snapToGrid w:val="0"/>
        <w:spacing w:line="4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7.如供应商接到采购人订单后，发现个别品种现有市场上质量不符合采购人要求或缺少货源，供应商应及时通知采购人，并说明需更换的品种和建议拟替换品种，经采购人同意后方可替换。</w:t>
      </w:r>
    </w:p>
    <w:p w14:paraId="0E529F8C">
      <w:pPr>
        <w:snapToGrid w:val="0"/>
        <w:spacing w:line="400" w:lineRule="exact"/>
        <w:ind w:firstLine="480" w:firstLineChars="200"/>
        <w:rPr>
          <w:rFonts w:hint="eastAsia"/>
          <w:color w:val="auto"/>
          <w:highlight w:val="none"/>
          <w:lang w:eastAsia="zh-CN"/>
        </w:rPr>
      </w:pPr>
      <w:r>
        <w:rPr>
          <w:rFonts w:hint="eastAsia" w:ascii="宋体" w:hAnsi="宋体" w:eastAsia="宋体" w:cs="宋体"/>
          <w:color w:val="auto"/>
          <w:kern w:val="0"/>
          <w:sz w:val="24"/>
          <w:szCs w:val="24"/>
          <w:highlight w:val="none"/>
          <w:lang w:val="en-US" w:eastAsia="zh-CN"/>
        </w:rPr>
        <w:t>8.执行各类救援任务时(包括野外驻训、比武外训、各类演练等)，任务地在成都第二绕城高速以内时，供应商派出不少于2名人员实施伴随保障(负责主副食采购)。</w:t>
      </w:r>
    </w:p>
    <w:p w14:paraId="1B111264">
      <w:pPr>
        <w:pStyle w:val="71"/>
        <w:rPr>
          <w:rFonts w:hint="eastAsia"/>
          <w:color w:val="auto"/>
          <w:highlight w:val="none"/>
          <w:lang w:eastAsia="zh-CN"/>
        </w:rPr>
      </w:pPr>
      <w:r>
        <w:rPr>
          <w:rFonts w:hint="eastAsia"/>
          <w:color w:val="auto"/>
          <w:highlight w:val="none"/>
          <w:lang w:eastAsia="zh-CN"/>
        </w:rPr>
        <w:t>特别说明（此条款为告知投标人，无须投标人在服务条款差异表中响应）：投标人应保证所投产品必须符合本项目相关配送食材的</w:t>
      </w:r>
      <w:r>
        <w:rPr>
          <w:rFonts w:hint="eastAsia"/>
          <w:color w:val="auto"/>
          <w:highlight w:val="none"/>
          <w:lang w:val="en-US" w:eastAsia="zh-CN"/>
        </w:rPr>
        <w:t>GB或GB</w:t>
      </w:r>
      <w:r>
        <w:rPr>
          <w:rFonts w:hint="default"/>
          <w:color w:val="auto"/>
          <w:highlight w:val="none"/>
          <w:lang w:val="en-US" w:eastAsia="zh-CN"/>
        </w:rPr>
        <w:t>/</w:t>
      </w:r>
      <w:r>
        <w:rPr>
          <w:rFonts w:hint="eastAsia"/>
          <w:color w:val="auto"/>
          <w:highlight w:val="none"/>
          <w:lang w:val="en-US" w:eastAsia="zh-CN"/>
        </w:rPr>
        <w:t>T</w:t>
      </w:r>
      <w:r>
        <w:rPr>
          <w:rFonts w:hint="eastAsia"/>
          <w:color w:val="auto"/>
          <w:highlight w:val="none"/>
          <w:lang w:eastAsia="zh-CN"/>
        </w:rPr>
        <w:t>标准要求。</w:t>
      </w:r>
    </w:p>
    <w:p w14:paraId="18C8CCFB">
      <w:pPr>
        <w:spacing w:line="400" w:lineRule="exact"/>
        <w:ind w:firstLine="480" w:firstLineChars="200"/>
        <w:outlineLvl w:val="2"/>
        <w:rPr>
          <w:rFonts w:hint="eastAsia" w:ascii="宋体" w:hAnsi="宋体" w:eastAsia="宋体" w:cs="宋体"/>
          <w:color w:val="auto"/>
          <w:sz w:val="24"/>
          <w:szCs w:val="28"/>
          <w:highlight w:val="none"/>
        </w:rPr>
      </w:pPr>
    </w:p>
    <w:p w14:paraId="53D6683C">
      <w:pPr>
        <w:snapToGrid w:val="0"/>
        <w:spacing w:line="400" w:lineRule="exact"/>
        <w:ind w:firstLine="480" w:firstLineChars="200"/>
        <w:rPr>
          <w:rFonts w:hint="eastAsia" w:ascii="宋体" w:hAnsi="宋体" w:eastAsia="宋体" w:cs="宋体"/>
          <w:color w:val="auto"/>
          <w:sz w:val="24"/>
          <w:szCs w:val="24"/>
          <w:highlight w:val="none"/>
        </w:rPr>
      </w:pPr>
    </w:p>
    <w:p w14:paraId="51701A7E">
      <w:pPr>
        <w:snapToGrid w:val="0"/>
        <w:spacing w:line="400" w:lineRule="exact"/>
        <w:ind w:firstLine="480" w:firstLineChars="200"/>
        <w:rPr>
          <w:rFonts w:hint="eastAsia" w:ascii="宋体" w:hAnsi="宋体" w:eastAsia="宋体" w:cs="宋体"/>
          <w:color w:val="auto"/>
          <w:sz w:val="24"/>
          <w:szCs w:val="24"/>
          <w:highlight w:val="none"/>
        </w:rPr>
        <w:sectPr>
          <w:footerReference r:id="rId7" w:type="default"/>
          <w:footerReference r:id="rId8" w:type="even"/>
          <w:pgSz w:w="11907" w:h="16840"/>
          <w:pgMar w:top="1134" w:right="1191" w:bottom="1134" w:left="1304" w:header="964" w:footer="992" w:gutter="0"/>
          <w:pgNumType w:fmt="numberInDash"/>
          <w:cols w:space="720" w:num="1"/>
          <w:docGrid w:linePitch="381" w:charSpace="0"/>
        </w:sectPr>
      </w:pPr>
    </w:p>
    <w:p w14:paraId="6F091923">
      <w:pPr>
        <w:pStyle w:val="2"/>
        <w:spacing w:before="0" w:beforeLines="0" w:after="0" w:afterLines="0" w:line="360" w:lineRule="auto"/>
        <w:rPr>
          <w:rFonts w:hint="eastAsia" w:ascii="宋体" w:hAnsi="宋体" w:eastAsia="宋体" w:cs="宋体"/>
          <w:b/>
          <w:color w:val="auto"/>
          <w:sz w:val="36"/>
          <w:szCs w:val="36"/>
          <w:highlight w:val="none"/>
        </w:rPr>
      </w:pPr>
      <w:bookmarkStart w:id="59" w:name="_Toc76387237"/>
      <w:bookmarkStart w:id="60" w:name="_Toc12426"/>
      <w:bookmarkStart w:id="61" w:name="_Toc2117122077"/>
      <w:r>
        <w:rPr>
          <w:rFonts w:hint="eastAsia" w:ascii="宋体" w:hAnsi="宋体" w:eastAsia="宋体" w:cs="宋体"/>
          <w:b/>
          <w:color w:val="auto"/>
          <w:sz w:val="36"/>
          <w:szCs w:val="36"/>
          <w:highlight w:val="none"/>
        </w:rPr>
        <w:t>第三篇  项目商务需求</w:t>
      </w:r>
      <w:bookmarkEnd w:id="59"/>
      <w:bookmarkEnd w:id="60"/>
      <w:bookmarkEnd w:id="61"/>
    </w:p>
    <w:p w14:paraId="53D2E585">
      <w:pPr>
        <w:snapToGrid w:val="0"/>
        <w:spacing w:line="400" w:lineRule="exact"/>
        <w:rPr>
          <w:rFonts w:hint="eastAsia" w:ascii="宋体" w:hAnsi="宋体" w:eastAsia="宋体" w:cs="宋体"/>
          <w:color w:val="auto"/>
          <w:kern w:val="0"/>
          <w:sz w:val="24"/>
          <w:szCs w:val="24"/>
          <w:highlight w:val="none"/>
        </w:rPr>
      </w:pPr>
      <w:bookmarkStart w:id="62" w:name="_Toc267320049"/>
      <w:r>
        <w:rPr>
          <w:rFonts w:hint="eastAsia" w:ascii="宋体" w:hAnsi="宋体" w:eastAsia="宋体" w:cs="宋体"/>
          <w:color w:val="auto"/>
          <w:kern w:val="0"/>
          <w:sz w:val="24"/>
          <w:szCs w:val="24"/>
          <w:highlight w:val="none"/>
        </w:rPr>
        <w:t>“※”标注的商务需求为符合性审查中的实质性要求，投标文件若不满足按无效投标处理。</w:t>
      </w:r>
    </w:p>
    <w:p w14:paraId="4B308442">
      <w:pPr>
        <w:pStyle w:val="3"/>
        <w:spacing w:line="240" w:lineRule="auto"/>
        <w:ind w:firstLine="0" w:firstLineChars="0"/>
        <w:jc w:val="left"/>
        <w:rPr>
          <w:rFonts w:hint="eastAsia" w:ascii="宋体" w:eastAsia="宋体" w:cs="宋体"/>
          <w:b/>
          <w:color w:val="auto"/>
          <w:sz w:val="24"/>
          <w:szCs w:val="20"/>
          <w:highlight w:val="none"/>
        </w:rPr>
      </w:pPr>
      <w:bookmarkStart w:id="63" w:name="_Toc27827"/>
      <w:bookmarkStart w:id="64" w:name="_Toc2023634736"/>
      <w:bookmarkStart w:id="65" w:name="_Toc76387238"/>
      <w:r>
        <w:rPr>
          <w:rFonts w:hint="eastAsia" w:ascii="宋体" w:hAnsi="宋体" w:eastAsia="宋体" w:cs="宋体"/>
          <w:color w:val="auto"/>
          <w:sz w:val="24"/>
          <w:szCs w:val="28"/>
          <w:highlight w:val="none"/>
        </w:rPr>
        <w:t>※</w:t>
      </w:r>
      <w:r>
        <w:rPr>
          <w:rFonts w:hint="eastAsia" w:ascii="宋体" w:eastAsia="宋体" w:cs="宋体"/>
          <w:b/>
          <w:color w:val="auto"/>
          <w:sz w:val="24"/>
          <w:szCs w:val="20"/>
          <w:highlight w:val="none"/>
        </w:rPr>
        <w:t>一、服务期、</w:t>
      </w:r>
      <w:r>
        <w:rPr>
          <w:rFonts w:hint="eastAsia" w:cs="宋体"/>
          <w:b/>
          <w:color w:val="auto"/>
          <w:sz w:val="24"/>
          <w:szCs w:val="20"/>
          <w:highlight w:val="none"/>
          <w:lang w:eastAsia="zh-CN"/>
        </w:rPr>
        <w:t>服务</w:t>
      </w:r>
      <w:r>
        <w:rPr>
          <w:rFonts w:hint="eastAsia" w:ascii="宋体" w:eastAsia="宋体" w:cs="宋体"/>
          <w:b/>
          <w:color w:val="auto"/>
          <w:sz w:val="24"/>
          <w:szCs w:val="20"/>
          <w:highlight w:val="none"/>
        </w:rPr>
        <w:t>地点</w:t>
      </w:r>
      <w:bookmarkEnd w:id="62"/>
      <w:bookmarkEnd w:id="63"/>
      <w:bookmarkEnd w:id="64"/>
      <w:bookmarkEnd w:id="65"/>
    </w:p>
    <w:p w14:paraId="10992696">
      <w:pPr>
        <w:snapToGrid w:val="0"/>
        <w:spacing w:line="400" w:lineRule="exact"/>
        <w:ind w:firstLine="480" w:firstLineChars="200"/>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（一）服务期</w:t>
      </w:r>
    </w:p>
    <w:p w14:paraId="7D89E477">
      <w:pPr>
        <w:snapToGrid w:val="0"/>
        <w:spacing w:line="400" w:lineRule="exact"/>
        <w:ind w:firstLine="480" w:firstLineChars="200"/>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中标人在采购合同签订后，分别从</w:t>
      </w:r>
      <w:r>
        <w:rPr>
          <w:rFonts w:hint="eastAsia" w:ascii="宋体" w:hAnsi="宋体" w:cs="宋体"/>
          <w:color w:val="auto"/>
          <w:kern w:val="0"/>
          <w:sz w:val="24"/>
          <w:szCs w:val="24"/>
          <w:highlight w:val="none"/>
          <w:lang w:val="en-US" w:eastAsia="zh-CN"/>
        </w:rPr>
        <w:t>3个收货地址</w:t>
      </w:r>
      <w:r>
        <w:rPr>
          <w:rFonts w:hint="eastAsia" w:ascii="宋体" w:hAnsi="宋体" w:eastAsia="宋体" w:cs="宋体"/>
          <w:color w:val="auto"/>
          <w:kern w:val="0"/>
          <w:sz w:val="24"/>
          <w:szCs w:val="24"/>
          <w:highlight w:val="none"/>
        </w:rPr>
        <w:t>首次配送之日起</w:t>
      </w:r>
      <w:r>
        <w:rPr>
          <w:rFonts w:hint="eastAsia" w:ascii="宋体" w:hAnsi="宋体" w:cs="宋体"/>
          <w:color w:val="auto"/>
          <w:kern w:val="0"/>
          <w:sz w:val="24"/>
          <w:szCs w:val="24"/>
          <w:highlight w:val="none"/>
          <w:lang w:val="en-US" w:eastAsia="zh-CN"/>
        </w:rPr>
        <w:t>8个月</w:t>
      </w:r>
      <w:r>
        <w:rPr>
          <w:rFonts w:hint="eastAsia" w:ascii="宋体" w:hAnsi="宋体" w:eastAsia="宋体" w:cs="宋体"/>
          <w:color w:val="auto"/>
          <w:kern w:val="0"/>
          <w:sz w:val="24"/>
          <w:szCs w:val="24"/>
          <w:highlight w:val="none"/>
        </w:rPr>
        <w:t>。</w:t>
      </w:r>
    </w:p>
    <w:p w14:paraId="5A73AADD">
      <w:pPr>
        <w:snapToGrid w:val="0"/>
        <w:spacing w:line="400" w:lineRule="exact"/>
        <w:ind w:firstLine="480" w:firstLineChars="200"/>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服务</w:t>
      </w:r>
      <w:r>
        <w:rPr>
          <w:rFonts w:hint="eastAsia" w:ascii="宋体" w:hAnsi="宋体" w:eastAsia="宋体" w:cs="宋体"/>
          <w:color w:val="auto"/>
          <w:kern w:val="0"/>
          <w:sz w:val="24"/>
          <w:szCs w:val="24"/>
          <w:highlight w:val="none"/>
        </w:rPr>
        <w:t>地点</w:t>
      </w:r>
    </w:p>
    <w:p w14:paraId="3A090FBC">
      <w:pPr>
        <w:spacing w:line="400" w:lineRule="exact"/>
        <w:ind w:firstLine="480" w:firstLineChars="200"/>
        <w:outlineLvl w:val="2"/>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1.</w:t>
      </w:r>
      <w:r>
        <w:rPr>
          <w:rFonts w:hint="eastAsia" w:ascii="宋体" w:hAnsi="宋体" w:eastAsia="宋体" w:cs="宋体"/>
          <w:color w:val="auto"/>
          <w:sz w:val="24"/>
          <w:szCs w:val="28"/>
          <w:highlight w:val="none"/>
          <w:lang w:eastAsia="zh-CN"/>
        </w:rPr>
        <w:t>收货地点1：国家西南区域应急救援中心（成都市金堂县德尔北路）；</w:t>
      </w:r>
    </w:p>
    <w:p w14:paraId="11401D0B">
      <w:pPr>
        <w:spacing w:line="400" w:lineRule="exact"/>
        <w:ind w:firstLine="480" w:firstLineChars="200"/>
        <w:outlineLvl w:val="2"/>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2.</w:t>
      </w:r>
      <w:r>
        <w:rPr>
          <w:rFonts w:hint="eastAsia" w:ascii="宋体" w:hAnsi="宋体" w:eastAsia="宋体" w:cs="宋体"/>
          <w:color w:val="auto"/>
          <w:sz w:val="24"/>
          <w:szCs w:val="28"/>
          <w:highlight w:val="none"/>
          <w:lang w:eastAsia="zh-CN"/>
        </w:rPr>
        <w:t>收货地点2：成都大队营区（四川省成都市锦江区永安路333号）；</w:t>
      </w:r>
    </w:p>
    <w:p w14:paraId="756EF421">
      <w:pPr>
        <w:spacing w:line="400" w:lineRule="exact"/>
        <w:ind w:firstLine="480" w:firstLineChars="200"/>
        <w:outlineLvl w:val="2"/>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3.</w:t>
      </w:r>
      <w:r>
        <w:rPr>
          <w:rFonts w:hint="eastAsia" w:ascii="宋体" w:hAnsi="宋体" w:eastAsia="宋体" w:cs="宋体"/>
          <w:color w:val="auto"/>
          <w:sz w:val="24"/>
          <w:szCs w:val="28"/>
          <w:highlight w:val="none"/>
          <w:lang w:eastAsia="zh-CN"/>
        </w:rPr>
        <w:t>收货地点3（临时）：成都市龙泉驿区、都江堰市（每年1月1日-5月30日，具体配送时间以采购人通知为准）。</w:t>
      </w:r>
    </w:p>
    <w:p w14:paraId="6EE258DA">
      <w:pPr>
        <w:pStyle w:val="3"/>
        <w:spacing w:line="240" w:lineRule="auto"/>
        <w:ind w:firstLine="0" w:firstLineChars="0"/>
        <w:jc w:val="left"/>
        <w:rPr>
          <w:rFonts w:hint="eastAsia" w:ascii="宋体" w:hAnsi="宋体" w:eastAsia="宋体" w:cs="宋体"/>
          <w:b/>
          <w:bCs/>
          <w:color w:val="auto"/>
          <w:sz w:val="24"/>
          <w:szCs w:val="28"/>
          <w:highlight w:val="none"/>
        </w:rPr>
      </w:pPr>
      <w:bookmarkStart w:id="66" w:name="_Toc1247032236"/>
      <w:bookmarkStart w:id="67" w:name="_Toc3655"/>
      <w:bookmarkStart w:id="68" w:name="_Toc12675"/>
      <w:bookmarkStart w:id="69" w:name="_Toc9644"/>
      <w:bookmarkStart w:id="70" w:name="_Toc24836"/>
      <w:bookmarkStart w:id="71" w:name="_Toc106964126"/>
      <w:bookmarkStart w:id="72" w:name="_Toc76387239"/>
      <w:bookmarkStart w:id="73" w:name="_Toc16942"/>
      <w:bookmarkStart w:id="74" w:name="_Toc267320050"/>
      <w:r>
        <w:rPr>
          <w:rFonts w:hint="eastAsia" w:ascii="宋体" w:hAnsi="宋体" w:eastAsia="宋体" w:cs="宋体"/>
          <w:b/>
          <w:bCs/>
          <w:color w:val="auto"/>
          <w:sz w:val="24"/>
          <w:szCs w:val="28"/>
          <w:highlight w:val="none"/>
        </w:rPr>
        <w:t>※二、验收</w:t>
      </w:r>
      <w:r>
        <w:rPr>
          <w:rFonts w:hint="eastAsia" w:ascii="宋体" w:hAnsi="宋体" w:eastAsia="宋体" w:cs="宋体"/>
          <w:b/>
          <w:bCs/>
          <w:color w:val="auto"/>
          <w:sz w:val="24"/>
          <w:szCs w:val="28"/>
          <w:highlight w:val="none"/>
          <w:lang w:eastAsia="zh-CN"/>
        </w:rPr>
        <w:t>方法及</w:t>
      </w:r>
      <w:r>
        <w:rPr>
          <w:rFonts w:hint="eastAsia" w:ascii="宋体" w:hAnsi="宋体" w:eastAsia="宋体" w:cs="宋体"/>
          <w:b/>
          <w:bCs/>
          <w:color w:val="auto"/>
          <w:sz w:val="24"/>
          <w:szCs w:val="28"/>
          <w:highlight w:val="none"/>
        </w:rPr>
        <w:t>标准</w:t>
      </w:r>
      <w:bookmarkEnd w:id="66"/>
      <w:bookmarkEnd w:id="67"/>
      <w:bookmarkEnd w:id="68"/>
      <w:bookmarkEnd w:id="69"/>
      <w:bookmarkEnd w:id="70"/>
      <w:bookmarkEnd w:id="71"/>
    </w:p>
    <w:p w14:paraId="30A32822">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（一）</w:t>
      </w:r>
      <w:r>
        <w:rPr>
          <w:rFonts w:hint="eastAsia" w:ascii="宋体" w:hAnsi="宋体" w:cs="宋体"/>
          <w:color w:val="auto"/>
          <w:kern w:val="0"/>
          <w:sz w:val="24"/>
          <w:szCs w:val="24"/>
          <w:highlight w:val="none"/>
        </w:rPr>
        <w:t>采购人将于每日收货时对配送货物进行当场验收。验收内容包括但不限于食材的品种、数量、规格、质量、新鲜度、包装及送达时间等。</w:t>
      </w:r>
    </w:p>
    <w:p w14:paraId="5C08FD78">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（二）</w:t>
      </w:r>
      <w:r>
        <w:rPr>
          <w:rFonts w:hint="eastAsia" w:ascii="宋体" w:hAnsi="宋体" w:cs="宋体"/>
          <w:color w:val="auto"/>
          <w:kern w:val="0"/>
          <w:sz w:val="24"/>
          <w:szCs w:val="24"/>
          <w:highlight w:val="none"/>
        </w:rPr>
        <w:t>技术履约验收内容：按国家有关规定以及采购人招标文件的招标项目技术、服务及其他要求、中标人的投标文件、承诺以及合同约定标准进行验收。</w:t>
      </w:r>
    </w:p>
    <w:p w14:paraId="49D6FECD">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（三）</w:t>
      </w:r>
      <w:r>
        <w:rPr>
          <w:rFonts w:hint="eastAsia" w:ascii="宋体" w:hAnsi="宋体" w:cs="宋体"/>
          <w:color w:val="auto"/>
          <w:kern w:val="0"/>
          <w:sz w:val="24"/>
          <w:szCs w:val="24"/>
          <w:highlight w:val="none"/>
        </w:rPr>
        <w:t>商务履约验收内容：按国家有关规定以及采购人招标文件的招标项目商务及其他要求、中标人的投标文件、承诺以及合同约定标准进行验收。</w:t>
      </w:r>
    </w:p>
    <w:p w14:paraId="39A5FA2E">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（四）</w:t>
      </w:r>
      <w:r>
        <w:rPr>
          <w:rFonts w:hint="eastAsia" w:ascii="宋体" w:hAnsi="宋体" w:cs="宋体"/>
          <w:color w:val="auto"/>
          <w:kern w:val="0"/>
          <w:sz w:val="24"/>
          <w:szCs w:val="24"/>
          <w:highlight w:val="none"/>
        </w:rPr>
        <w:t>履约验收标准：双方如对招标项目技术、服务、商务及其他要求的约定标准有相互抵触或异议的事项，由采购人在投标文件与招标文件中按比较优胜的原则确定该项的约定标准进行验收；如采购人有其他要求，不违背相关法律规定前提下，中标人也应当遵守；其他未尽事宜参照《政府采购需求管理办法》（财库〔2021〕22号）及《财政部关于进一步加强政府采购需求和履约验收管理的指导意见》（财库〔2016〕205号）的规定执行。</w:t>
      </w:r>
    </w:p>
    <w:p w14:paraId="454D4F82">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（五）</w:t>
      </w:r>
      <w:r>
        <w:rPr>
          <w:rFonts w:hint="eastAsia" w:ascii="宋体" w:hAnsi="宋体" w:cs="宋体"/>
          <w:color w:val="auto"/>
          <w:kern w:val="0"/>
          <w:sz w:val="24"/>
          <w:szCs w:val="24"/>
          <w:highlight w:val="none"/>
        </w:rPr>
        <w:t>验收时如发现服务团队资质不符合标准及合同规定之情形者，采购人应做出详尽的现场记录，或由双方签署备忘录，此现场记录或备忘录可用作补充、缺失和更换损坏部件的有效证据，由此产生的时间延误、有关费用及违约责任等由中标人承担，验收期限相应顺延；验收合格后，采购人和中标人签署服务质量验收报告。中标人应将所提供服务质量资质等资料交付给采购人；中标人不能完整交付服务内容及佐证资料的，必须负责补齐，否则视为未按合同约定交货并承担违约责任。</w:t>
      </w:r>
    </w:p>
    <w:p w14:paraId="6D2871C4">
      <w:pPr>
        <w:pStyle w:val="3"/>
        <w:spacing w:line="240" w:lineRule="auto"/>
        <w:ind w:firstLine="0" w:firstLineChars="0"/>
        <w:jc w:val="left"/>
        <w:rPr>
          <w:rFonts w:hint="eastAsia" w:ascii="宋体" w:eastAsia="宋体" w:cs="宋体"/>
          <w:b/>
          <w:color w:val="auto"/>
          <w:sz w:val="24"/>
          <w:szCs w:val="20"/>
          <w:highlight w:val="none"/>
        </w:rPr>
      </w:pPr>
      <w:bookmarkStart w:id="75" w:name="_Toc1794387772"/>
      <w:r>
        <w:rPr>
          <w:rFonts w:hint="eastAsia" w:ascii="宋体" w:hAnsi="宋体" w:eastAsia="宋体" w:cs="宋体"/>
          <w:color w:val="auto"/>
          <w:sz w:val="24"/>
          <w:szCs w:val="28"/>
          <w:highlight w:val="none"/>
        </w:rPr>
        <w:t>※</w:t>
      </w:r>
      <w:r>
        <w:rPr>
          <w:rFonts w:hint="eastAsia" w:eastAsia="宋体" w:cs="宋体"/>
          <w:b/>
          <w:color w:val="auto"/>
          <w:sz w:val="24"/>
          <w:szCs w:val="20"/>
          <w:highlight w:val="none"/>
          <w:lang w:eastAsia="zh-CN"/>
        </w:rPr>
        <w:t>三</w:t>
      </w:r>
      <w:r>
        <w:rPr>
          <w:rFonts w:hint="eastAsia" w:ascii="宋体" w:eastAsia="宋体" w:cs="宋体"/>
          <w:b/>
          <w:color w:val="auto"/>
          <w:sz w:val="24"/>
          <w:szCs w:val="20"/>
          <w:highlight w:val="none"/>
        </w:rPr>
        <w:t>、报价要求</w:t>
      </w:r>
      <w:bookmarkEnd w:id="72"/>
      <w:bookmarkEnd w:id="73"/>
      <w:bookmarkEnd w:id="75"/>
    </w:p>
    <w:bookmarkEnd w:id="74"/>
    <w:p w14:paraId="0556C8C3">
      <w:pPr>
        <w:snapToGrid w:val="0"/>
        <w:spacing w:line="400" w:lineRule="exact"/>
        <w:ind w:firstLine="480" w:firstLineChars="200"/>
        <w:rPr>
          <w:rFonts w:hint="eastAsia" w:ascii="宋体" w:hAnsi="宋体" w:cs="宋体"/>
          <w:color w:val="auto"/>
          <w:kern w:val="0"/>
          <w:sz w:val="24"/>
          <w:szCs w:val="24"/>
          <w:highlight w:val="none"/>
        </w:rPr>
      </w:pPr>
      <w:bookmarkStart w:id="76" w:name="_Hlk140684257"/>
      <w:bookmarkStart w:id="77" w:name="_Toc76387240"/>
      <w:bookmarkStart w:id="78" w:name="_Toc267320051"/>
      <w:bookmarkStart w:id="79" w:name="_Toc15686"/>
      <w:r>
        <w:rPr>
          <w:rFonts w:hint="eastAsia" w:ascii="宋体" w:hAnsi="宋体" w:cs="宋体"/>
          <w:color w:val="auto"/>
          <w:kern w:val="0"/>
          <w:sz w:val="24"/>
          <w:szCs w:val="24"/>
          <w:highlight w:val="none"/>
        </w:rPr>
        <w:t>1.本项目采用费率方式进行报价，采购人预算金额作为本次采购的标的金额，仅为合同期内预估采购金额，合同签订时合同总价暂按预算金额填写，结算金额以实际供应数量乘结算基准价并结合成交费率计算为准，在采购合同期内成交费率不予调整。</w:t>
      </w:r>
    </w:p>
    <w:p w14:paraId="76AA5AAC">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lang w:eastAsia="zh-CN"/>
        </w:rPr>
        <w:t>费率报价</w:t>
      </w:r>
      <w:r>
        <w:rPr>
          <w:rFonts w:hint="eastAsia" w:ascii="宋体" w:hAnsi="宋体" w:cs="宋体"/>
          <w:color w:val="auto"/>
          <w:kern w:val="0"/>
          <w:sz w:val="24"/>
          <w:szCs w:val="24"/>
          <w:highlight w:val="none"/>
        </w:rPr>
        <w:t>是供应商响应招标项目要求的全部采购内容的价格体现，包含完成本项目所涉及人员工资、福利、各类劳保、税、费、成本、利润、包装、运输、冷藏、二次搬运、退换货、保险、招标代理服务费以及完成本项目所需的一切费用。</w:t>
      </w:r>
    </w:p>
    <w:p w14:paraId="2F2C60E0">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3.价格的确定</w:t>
      </w:r>
    </w:p>
    <w:p w14:paraId="73A9777C">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（1）定价参考依据为“成都市发展和改革委员会官方网站”上公布的6个主城区所有农贸市场的食材种类价格的平均价下浮比例报价(报下浮率)。</w:t>
      </w:r>
    </w:p>
    <w:p w14:paraId="1084636E">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（2）“成都市发展和改革委员会官方网站”未公布的食材，则以采购人和供应商双方共同在采购单位周边（成都市金堂县淮口镇）的菜市场考察的零售价格的下浮比例报价作为参考依据。</w:t>
      </w:r>
    </w:p>
    <w:p w14:paraId="048F61D9">
      <w:pPr>
        <w:snapToGrid w:val="0"/>
        <w:spacing w:line="40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.费率计算方式：供应商依次按照“成都市发展和改革委员会官方网站”、采购人和供应商双方共同在采购单位周边（成都市金堂县淮口镇）的菜市场考察的零售价格报</w:t>
      </w:r>
      <w:r>
        <w:rPr>
          <w:rFonts w:hint="eastAsia" w:ascii="宋体" w:hAnsi="宋体" w:cs="宋体"/>
          <w:color w:val="auto"/>
          <w:kern w:val="0"/>
          <w:sz w:val="24"/>
          <w:szCs w:val="24"/>
          <w:highlight w:val="none"/>
          <w:lang w:eastAsia="zh-CN"/>
        </w:rPr>
        <w:t>下浮</w:t>
      </w:r>
      <w:r>
        <w:rPr>
          <w:rFonts w:hint="eastAsia" w:ascii="宋体" w:hAnsi="宋体" w:cs="宋体"/>
          <w:color w:val="auto"/>
          <w:kern w:val="0"/>
          <w:sz w:val="24"/>
          <w:szCs w:val="24"/>
          <w:highlight w:val="none"/>
        </w:rPr>
        <w:t>比例，若供应商报价下浮X%，则费率=100%-X%</w:t>
      </w:r>
      <w:r>
        <w:rPr>
          <w:rFonts w:hint="eastAsia" w:ascii="宋体" w:hAnsi="宋体" w:cs="宋体"/>
          <w:color w:val="auto"/>
          <w:kern w:val="0"/>
          <w:sz w:val="24"/>
          <w:szCs w:val="24"/>
          <w:highlight w:val="none"/>
          <w:lang w:eastAsia="zh-CN"/>
        </w:rPr>
        <w:t>。</w:t>
      </w:r>
    </w:p>
    <w:p w14:paraId="71FB4509">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.费率的确定：以中标人的投标报价的计算出的费率为准，在合同履行期间，中标费率不变。</w:t>
      </w:r>
    </w:p>
    <w:p w14:paraId="59EC303E">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.结算单价确定：</w:t>
      </w:r>
    </w:p>
    <w:p w14:paraId="31491F43">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以上</w:t>
      </w:r>
      <w:r>
        <w:rPr>
          <w:rFonts w:hint="eastAsia" w:ascii="宋体" w:hAnsi="宋体" w:cs="宋体"/>
          <w:color w:val="auto"/>
          <w:kern w:val="0"/>
          <w:sz w:val="24"/>
          <w:szCs w:val="24"/>
          <w:highlight w:val="none"/>
          <w:lang w:eastAsia="zh-CN"/>
        </w:rPr>
        <w:t>两</w:t>
      </w:r>
      <w:r>
        <w:rPr>
          <w:rFonts w:hint="eastAsia" w:ascii="宋体" w:hAnsi="宋体" w:cs="宋体"/>
          <w:color w:val="auto"/>
          <w:kern w:val="0"/>
          <w:sz w:val="24"/>
          <w:szCs w:val="24"/>
          <w:highlight w:val="none"/>
        </w:rPr>
        <w:t>种计算方式按照</w:t>
      </w:r>
      <w:r>
        <w:rPr>
          <w:rFonts w:hint="eastAsia" w:ascii="宋体" w:hAnsi="宋体" w:cs="宋体"/>
          <w:color w:val="auto"/>
          <w:kern w:val="0"/>
          <w:sz w:val="24"/>
          <w:szCs w:val="24"/>
          <w:highlight w:val="none"/>
          <w:lang w:eastAsia="zh-CN"/>
        </w:rPr>
        <w:t>下浮</w:t>
      </w:r>
      <w:r>
        <w:rPr>
          <w:rFonts w:hint="eastAsia" w:ascii="宋体" w:hAnsi="宋体" w:cs="宋体"/>
          <w:color w:val="auto"/>
          <w:kern w:val="0"/>
          <w:sz w:val="24"/>
          <w:szCs w:val="24"/>
          <w:highlight w:val="none"/>
        </w:rPr>
        <w:t>比例计算后，以最低价作为结算价。</w:t>
      </w:r>
    </w:p>
    <w:p w14:paraId="17843B89">
      <w:pPr>
        <w:snapToGrid w:val="0"/>
        <w:spacing w:line="40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结算单价=基准价×中标费率。</w:t>
      </w:r>
    </w:p>
    <w:p w14:paraId="0708F85D">
      <w:pPr>
        <w:snapToGrid w:val="0"/>
        <w:spacing w:line="400" w:lineRule="exact"/>
        <w:ind w:firstLine="480" w:firstLineChars="200"/>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例：某基准价100元/kg，中标费率为</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rPr>
        <w:t>0%，结算单价=100元/kg×</w:t>
      </w:r>
      <w:r>
        <w:rPr>
          <w:rFonts w:hint="eastAsia" w:ascii="宋体" w:hAnsi="宋体" w:cs="宋体"/>
          <w:color w:val="auto"/>
          <w:kern w:val="0"/>
          <w:sz w:val="24"/>
          <w:szCs w:val="24"/>
          <w:highlight w:val="none"/>
          <w:lang w:val="en-US" w:eastAsia="zh-CN"/>
        </w:rPr>
        <w:t>80</w:t>
      </w:r>
      <w:r>
        <w:rPr>
          <w:rFonts w:hint="eastAsia" w:ascii="宋体" w:hAnsi="宋体" w:cs="宋体"/>
          <w:color w:val="auto"/>
          <w:kern w:val="0"/>
          <w:sz w:val="24"/>
          <w:szCs w:val="24"/>
          <w:highlight w:val="none"/>
        </w:rPr>
        <w:t>%=80元/kg</w:t>
      </w:r>
      <w:r>
        <w:rPr>
          <w:rFonts w:hint="eastAsia" w:ascii="宋体" w:hAnsi="宋体" w:cs="宋体"/>
          <w:color w:val="auto"/>
          <w:kern w:val="0"/>
          <w:sz w:val="24"/>
          <w:szCs w:val="24"/>
          <w:highlight w:val="none"/>
          <w:lang w:eastAsia="zh-CN"/>
        </w:rPr>
        <w:t>。</w:t>
      </w:r>
    </w:p>
    <w:p w14:paraId="27BDAE32">
      <w:pPr>
        <w:snapToGrid w:val="0"/>
        <w:spacing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项目所有主副食定价周期统一为1个月。每月首个工作日完成当月全部食材基准价核对、确认、存档工作，当月全周期配送食材均执行本次确认的基准价与中标费率，周期内价格不作调整。次月重新核定基准价，依次循环执行。结算单价是中标人响应采购项目要求，供应及配送单位数量食材的全部服务内容的价格体现，包括但不限于完成本项目所涉及人员工资、福利、各类劳保、税、费、成本、利润、包装、运输、冷藏、二次搬运、退换货、保险、招标代理服务费以及完成本项目所需的一切费用。）</w:t>
      </w:r>
    </w:p>
    <w:bookmarkEnd w:id="76"/>
    <w:p w14:paraId="17C42363">
      <w:pPr>
        <w:pStyle w:val="3"/>
        <w:spacing w:line="240" w:lineRule="auto"/>
        <w:ind w:firstLine="0" w:firstLineChars="0"/>
        <w:jc w:val="left"/>
        <w:rPr>
          <w:rFonts w:hint="eastAsia" w:ascii="宋体" w:hAnsi="宋体" w:eastAsia="宋体" w:cs="宋体"/>
          <w:b/>
          <w:color w:val="auto"/>
          <w:sz w:val="24"/>
          <w:szCs w:val="20"/>
          <w:highlight w:val="none"/>
        </w:rPr>
      </w:pPr>
      <w:bookmarkStart w:id="80" w:name="_Toc1771856693"/>
      <w:bookmarkStart w:id="81" w:name="_Toc24531"/>
      <w:bookmarkStart w:id="82" w:name="_Toc1776"/>
      <w:r>
        <w:rPr>
          <w:rFonts w:hint="eastAsia" w:ascii="宋体" w:hAnsi="宋体" w:eastAsia="宋体" w:cs="宋体"/>
          <w:color w:val="auto"/>
          <w:sz w:val="24"/>
          <w:szCs w:val="28"/>
          <w:highlight w:val="none"/>
        </w:rPr>
        <w:t>※</w:t>
      </w:r>
      <w:r>
        <w:rPr>
          <w:rFonts w:hint="eastAsia" w:cs="宋体"/>
          <w:b/>
          <w:color w:val="auto"/>
          <w:sz w:val="24"/>
          <w:szCs w:val="20"/>
          <w:highlight w:val="none"/>
          <w:lang w:eastAsia="zh-CN"/>
        </w:rPr>
        <w:t>四</w:t>
      </w:r>
      <w:r>
        <w:rPr>
          <w:rFonts w:hint="eastAsia" w:ascii="宋体" w:hAnsi="宋体" w:eastAsia="宋体" w:cs="宋体"/>
          <w:b/>
          <w:color w:val="auto"/>
          <w:sz w:val="24"/>
          <w:szCs w:val="20"/>
          <w:highlight w:val="none"/>
        </w:rPr>
        <w:t>、</w:t>
      </w:r>
      <w:bookmarkStart w:id="83" w:name="_Hlk140684394"/>
      <w:r>
        <w:rPr>
          <w:rFonts w:hint="eastAsia" w:ascii="宋体" w:hAnsi="宋体" w:eastAsia="宋体" w:cs="宋体"/>
          <w:b/>
          <w:color w:val="auto"/>
          <w:sz w:val="24"/>
          <w:szCs w:val="20"/>
          <w:highlight w:val="none"/>
        </w:rPr>
        <w:t>付款方式</w:t>
      </w:r>
      <w:bookmarkEnd w:id="80"/>
      <w:bookmarkEnd w:id="81"/>
      <w:bookmarkEnd w:id="82"/>
    </w:p>
    <w:p w14:paraId="5492B167">
      <w:pPr>
        <w:snapToGrid w:val="0"/>
        <w:spacing w:line="400" w:lineRule="exact"/>
        <w:ind w:firstLine="480" w:firstLineChars="200"/>
        <w:outlineLvl w:val="2"/>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月结算，每个月按实际配送的货物进行结算。上月的费用次月前30个工作日内由采购人和供应商共同核实供货量办齐相关付款手续，中标人向采购人出具合法有效完整的完税发票及凭证资料后于次月前20个工作日内由采购人将货款转到供应商指定账户(如因采购人集训、出任务等原因，由采购人提前告知供应商，货款结算时间顺延)。以最终实际结算为准，且总结算金额不超过本项目预算金额。</w:t>
      </w:r>
    </w:p>
    <w:bookmarkEnd w:id="83"/>
    <w:p w14:paraId="6EFD309E">
      <w:pPr>
        <w:pStyle w:val="3"/>
        <w:spacing w:line="240" w:lineRule="auto"/>
        <w:ind w:firstLine="0" w:firstLineChars="0"/>
        <w:jc w:val="left"/>
        <w:rPr>
          <w:rFonts w:hint="eastAsia" w:ascii="宋体" w:hAnsi="宋体" w:eastAsia="宋体" w:cs="宋体"/>
          <w:b/>
          <w:color w:val="auto"/>
          <w:sz w:val="24"/>
          <w:szCs w:val="20"/>
          <w:highlight w:val="none"/>
        </w:rPr>
      </w:pPr>
      <w:bookmarkStart w:id="84" w:name="_Toc176615860"/>
      <w:bookmarkStart w:id="85" w:name="_Toc2143"/>
      <w:bookmarkStart w:id="86" w:name="_Toc26060"/>
      <w:r>
        <w:rPr>
          <w:rFonts w:hint="eastAsia" w:ascii="宋体" w:hAnsi="宋体" w:eastAsia="宋体" w:cs="宋体"/>
          <w:color w:val="auto"/>
          <w:sz w:val="24"/>
          <w:szCs w:val="28"/>
          <w:highlight w:val="none"/>
        </w:rPr>
        <w:t>※</w:t>
      </w:r>
      <w:r>
        <w:rPr>
          <w:rFonts w:hint="eastAsia" w:cs="宋体"/>
          <w:b/>
          <w:color w:val="auto"/>
          <w:sz w:val="24"/>
          <w:szCs w:val="20"/>
          <w:highlight w:val="none"/>
          <w:lang w:eastAsia="zh-CN"/>
        </w:rPr>
        <w:t>五</w:t>
      </w:r>
      <w:r>
        <w:rPr>
          <w:rFonts w:hint="eastAsia" w:ascii="宋体" w:hAnsi="宋体" w:eastAsia="宋体" w:cs="宋体"/>
          <w:b/>
          <w:color w:val="auto"/>
          <w:sz w:val="24"/>
          <w:szCs w:val="20"/>
          <w:highlight w:val="none"/>
        </w:rPr>
        <w:t>、履约保证金</w:t>
      </w:r>
      <w:bookmarkEnd w:id="84"/>
      <w:bookmarkEnd w:id="85"/>
      <w:bookmarkEnd w:id="86"/>
    </w:p>
    <w:p w14:paraId="35D76563">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（一）</w:t>
      </w:r>
      <w:r>
        <w:rPr>
          <w:rFonts w:hint="eastAsia" w:ascii="宋体" w:hAnsi="宋体" w:cs="宋体"/>
          <w:color w:val="auto"/>
          <w:kern w:val="0"/>
          <w:sz w:val="24"/>
          <w:szCs w:val="24"/>
          <w:highlight w:val="none"/>
        </w:rPr>
        <w:t>金额为</w:t>
      </w:r>
      <w:r>
        <w:rPr>
          <w:rFonts w:hint="eastAsia" w:ascii="宋体" w:hAnsi="宋体" w:cs="宋体"/>
          <w:color w:val="auto"/>
          <w:kern w:val="0"/>
          <w:sz w:val="24"/>
          <w:szCs w:val="24"/>
          <w:highlight w:val="none"/>
          <w:lang w:eastAsia="zh-CN"/>
        </w:rPr>
        <w:t>人民币323940.00元（大写：叁拾贰万叁仟玖佰肆拾元整）</w:t>
      </w:r>
      <w:r>
        <w:rPr>
          <w:rFonts w:hint="eastAsia" w:ascii="宋体" w:hAnsi="宋体" w:cs="宋体"/>
          <w:color w:val="auto"/>
          <w:kern w:val="0"/>
          <w:sz w:val="24"/>
          <w:szCs w:val="24"/>
          <w:highlight w:val="none"/>
        </w:rPr>
        <w:t>。</w:t>
      </w:r>
    </w:p>
    <w:p w14:paraId="593ABA76">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（二）</w:t>
      </w:r>
      <w:r>
        <w:rPr>
          <w:rFonts w:hint="eastAsia" w:ascii="宋体" w:hAnsi="宋体" w:cs="宋体"/>
          <w:color w:val="auto"/>
          <w:kern w:val="0"/>
          <w:sz w:val="24"/>
          <w:szCs w:val="24"/>
          <w:highlight w:val="none"/>
        </w:rPr>
        <w:t>交款方式：以支票、汇票、本票或者金融机构出具的保函等非现金形式提交至采购人(包括网银转账，电汇等方式)。</w:t>
      </w:r>
    </w:p>
    <w:p w14:paraId="50FB372C">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（三）</w:t>
      </w:r>
      <w:r>
        <w:rPr>
          <w:rFonts w:hint="eastAsia" w:ascii="宋体" w:hAnsi="宋体" w:cs="宋体"/>
          <w:color w:val="auto"/>
          <w:kern w:val="0"/>
          <w:sz w:val="24"/>
          <w:szCs w:val="24"/>
          <w:highlight w:val="none"/>
        </w:rPr>
        <w:t>交款时间：</w:t>
      </w:r>
      <w:r>
        <w:rPr>
          <w:rFonts w:hint="eastAsia" w:ascii="宋体" w:hAnsi="宋体" w:cs="宋体"/>
          <w:color w:val="auto"/>
          <w:kern w:val="0"/>
          <w:sz w:val="24"/>
          <w:szCs w:val="24"/>
          <w:highlight w:val="none"/>
          <w:lang w:eastAsia="zh-CN"/>
        </w:rPr>
        <w:t>签订合同时缴纳</w:t>
      </w:r>
      <w:r>
        <w:rPr>
          <w:rFonts w:hint="eastAsia" w:ascii="宋体" w:hAnsi="宋体" w:cs="宋体"/>
          <w:color w:val="auto"/>
          <w:kern w:val="0"/>
          <w:sz w:val="24"/>
          <w:szCs w:val="24"/>
          <w:highlight w:val="none"/>
        </w:rPr>
        <w:t>，供应商未按照招标文件的规定缴纳履约保证金，且又无正当理由的，将视为放弃中标。</w:t>
      </w:r>
    </w:p>
    <w:p w14:paraId="51417C4E">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（四）</w:t>
      </w:r>
      <w:r>
        <w:rPr>
          <w:rFonts w:hint="eastAsia" w:ascii="宋体" w:hAnsi="宋体" w:cs="宋体"/>
          <w:color w:val="auto"/>
          <w:kern w:val="0"/>
          <w:sz w:val="24"/>
          <w:szCs w:val="24"/>
          <w:highlight w:val="none"/>
        </w:rPr>
        <w:t>提供保函的担保机构必须是依法成立的具有相关资质和偿付能力的担保机构。保函是银行等金融机构出具的，保函必须在中国人民银行征信系统能够进行查询，否则将取消中标资格，采购人将重新确定中标人，并依法追究法律责任。</w:t>
      </w:r>
    </w:p>
    <w:p w14:paraId="6DF810DC">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（五）</w:t>
      </w:r>
      <w:r>
        <w:rPr>
          <w:rFonts w:hint="eastAsia" w:ascii="宋体" w:hAnsi="宋体" w:cs="宋体"/>
          <w:color w:val="auto"/>
          <w:kern w:val="0"/>
          <w:sz w:val="24"/>
          <w:szCs w:val="24"/>
          <w:highlight w:val="none"/>
        </w:rPr>
        <w:t>履约保证金退还时间及方式：中标人于合同服务期满后30个工作日内向采购人提交退还履约保证金申请，采购人自收到申请30个工作日内向中标人无息退还履约保证金。</w:t>
      </w:r>
    </w:p>
    <w:p w14:paraId="664B7D07">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（六）</w:t>
      </w:r>
      <w:r>
        <w:rPr>
          <w:rFonts w:hint="eastAsia" w:ascii="宋体" w:hAnsi="宋体" w:cs="宋体"/>
          <w:color w:val="auto"/>
          <w:kern w:val="0"/>
          <w:sz w:val="24"/>
          <w:szCs w:val="24"/>
          <w:highlight w:val="none"/>
        </w:rPr>
        <w:t>履约保证金不予退还情形：</w:t>
      </w:r>
    </w:p>
    <w:p w14:paraId="25028A77">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中标人不履行与采购人订立的合同的，履约保证金不予退还，给采购人造成的损失超过履约保证金数额的，还应当对超过部分予以赔偿。</w:t>
      </w:r>
    </w:p>
    <w:p w14:paraId="6F8052C4">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项目验收结果不合格的，履约保证金将不予退还。</w:t>
      </w:r>
    </w:p>
    <w:p w14:paraId="4DECDE9F">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其他违反国家相关法律法规的情形。</w:t>
      </w:r>
    </w:p>
    <w:p w14:paraId="2038B70A">
      <w:pPr>
        <w:snapToGrid w:val="0"/>
        <w:spacing w:line="400" w:lineRule="exact"/>
        <w:ind w:firstLine="480" w:firstLineChars="200"/>
        <w:outlineLvl w:val="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履约保证金不予退还的，将按照有关规定上缴国库。</w:t>
      </w:r>
    </w:p>
    <w:p w14:paraId="27EFCBA1">
      <w:pPr>
        <w:pStyle w:val="3"/>
        <w:spacing w:line="240" w:lineRule="auto"/>
        <w:ind w:firstLine="0" w:firstLineChars="0"/>
        <w:jc w:val="left"/>
        <w:rPr>
          <w:rFonts w:hint="eastAsia" w:ascii="宋体" w:hAnsi="宋体" w:eastAsia="宋体" w:cs="宋体"/>
          <w:b/>
          <w:color w:val="auto"/>
          <w:sz w:val="24"/>
          <w:szCs w:val="20"/>
          <w:highlight w:val="none"/>
          <w:lang w:eastAsia="zh-CN"/>
        </w:rPr>
      </w:pPr>
      <w:bookmarkStart w:id="87" w:name="_Toc16353"/>
      <w:bookmarkStart w:id="88" w:name="_Toc20442"/>
      <w:bookmarkStart w:id="89" w:name="_Toc30377"/>
      <w:bookmarkStart w:id="90" w:name="_Toc7703"/>
      <w:bookmarkStart w:id="91" w:name="_Toc106964128"/>
      <w:bookmarkStart w:id="92" w:name="_Toc748716950"/>
      <w:r>
        <w:rPr>
          <w:rFonts w:hint="eastAsia" w:ascii="宋体" w:hAnsi="宋体" w:eastAsia="宋体" w:cs="宋体"/>
          <w:color w:val="auto"/>
          <w:sz w:val="24"/>
          <w:szCs w:val="28"/>
          <w:highlight w:val="none"/>
        </w:rPr>
        <w:t>※</w:t>
      </w:r>
      <w:r>
        <w:rPr>
          <w:rFonts w:hint="eastAsia" w:ascii="宋体" w:hAnsi="宋体" w:eastAsia="宋体" w:cs="宋体"/>
          <w:b/>
          <w:color w:val="auto"/>
          <w:sz w:val="24"/>
          <w:szCs w:val="20"/>
          <w:highlight w:val="none"/>
          <w:lang w:eastAsia="zh-CN"/>
        </w:rPr>
        <w:t>六</w:t>
      </w:r>
      <w:r>
        <w:rPr>
          <w:rFonts w:hint="eastAsia" w:ascii="宋体" w:hAnsi="宋体" w:eastAsia="宋体" w:cs="宋体"/>
          <w:b/>
          <w:color w:val="auto"/>
          <w:sz w:val="24"/>
          <w:szCs w:val="20"/>
          <w:highlight w:val="none"/>
        </w:rPr>
        <w:t>、</w:t>
      </w:r>
      <w:bookmarkEnd w:id="87"/>
      <w:bookmarkEnd w:id="88"/>
      <w:bookmarkEnd w:id="89"/>
      <w:bookmarkEnd w:id="90"/>
      <w:bookmarkEnd w:id="91"/>
      <w:bookmarkStart w:id="93" w:name="_Toc15508542"/>
      <w:bookmarkStart w:id="94" w:name="_Toc474759728"/>
      <w:r>
        <w:rPr>
          <w:rFonts w:hint="eastAsia" w:cs="宋体"/>
          <w:b/>
          <w:color w:val="auto"/>
          <w:sz w:val="24"/>
          <w:szCs w:val="20"/>
          <w:highlight w:val="none"/>
          <w:lang w:eastAsia="zh-CN"/>
        </w:rPr>
        <w:t>违约责任</w:t>
      </w:r>
      <w:bookmarkEnd w:id="92"/>
    </w:p>
    <w:bookmarkEnd w:id="93"/>
    <w:bookmarkEnd w:id="94"/>
    <w:p w14:paraId="23B70CBB">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一</w:t>
      </w:r>
      <w:r>
        <w:rPr>
          <w:rFonts w:hint="eastAsia" w:ascii="宋体" w:hAnsi="宋体" w:eastAsia="宋体" w:cs="宋体"/>
          <w:color w:val="auto"/>
          <w:kern w:val="0"/>
          <w:sz w:val="24"/>
          <w:szCs w:val="24"/>
          <w:highlight w:val="none"/>
        </w:rPr>
        <w:t>）双方必须遵守本合同并执行合同中的各项规定，保证本合同的正常履行。</w:t>
      </w:r>
    </w:p>
    <w:p w14:paraId="624E17BC">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如因成交供应商工作人员在履行职务过程中的的疏忽、失职、过错等故意或者过失原因给采购人造成损失或侵害，包括但不限于采购人本身的财产损失、由此而导致的采购人对任何第三方的法律责任等，成交供应商对此均应承担全部的赔偿责任。</w:t>
      </w:r>
    </w:p>
    <w:p w14:paraId="185BBACD">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）成交供应商在服务期内无质量问题和违约行为的，采购人应准时支付成交供应商服务费，如逾期，则按应付金额每日1‰标准向成交供应商赔付违约金。</w:t>
      </w:r>
    </w:p>
    <w:p w14:paraId="1584E639">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）因采购人原因导致变更、中止或者终止政府采购合同的，采购人依照合同约定对成交供应商受到的损失予以赔偿或者补偿。</w:t>
      </w:r>
    </w:p>
    <w:p w14:paraId="6B614575">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合同履行期间，若双方发生争议，可协商或由有关部门调解解决，协商或调解不成的，由当事人依法向甲方所在地有管辖权的法院提起诉讼维护其合法权益。</w:t>
      </w:r>
    </w:p>
    <w:p w14:paraId="56E6CE88">
      <w:pPr>
        <w:pStyle w:val="3"/>
        <w:spacing w:line="240" w:lineRule="auto"/>
        <w:ind w:firstLine="0" w:firstLineChars="0"/>
        <w:jc w:val="left"/>
        <w:rPr>
          <w:rFonts w:hint="eastAsia" w:ascii="宋体" w:hAnsi="宋体" w:eastAsia="宋体" w:cs="宋体"/>
          <w:b/>
          <w:color w:val="auto"/>
          <w:sz w:val="24"/>
          <w:szCs w:val="20"/>
          <w:highlight w:val="none"/>
          <w:lang w:eastAsia="zh-CN"/>
        </w:rPr>
      </w:pPr>
      <w:bookmarkStart w:id="95" w:name="_Toc16047"/>
      <w:bookmarkStart w:id="96" w:name="_Toc127857676"/>
      <w:bookmarkStart w:id="97" w:name="_Toc32181"/>
      <w:bookmarkStart w:id="98" w:name="_Toc17432"/>
      <w:bookmarkStart w:id="99" w:name="_Toc16668"/>
      <w:bookmarkStart w:id="100" w:name="_Toc16994"/>
      <w:bookmarkStart w:id="101" w:name="_Toc106964131"/>
      <w:r>
        <w:rPr>
          <w:rFonts w:hint="eastAsia" w:ascii="宋体" w:hAnsi="宋体" w:eastAsia="宋体" w:cs="宋体"/>
          <w:b/>
          <w:color w:val="auto"/>
          <w:sz w:val="24"/>
          <w:szCs w:val="20"/>
          <w:highlight w:val="none"/>
        </w:rPr>
        <w:t>※</w:t>
      </w:r>
      <w:r>
        <w:rPr>
          <w:rFonts w:hint="eastAsia" w:cs="宋体"/>
          <w:b/>
          <w:color w:val="auto"/>
          <w:sz w:val="24"/>
          <w:szCs w:val="20"/>
          <w:highlight w:val="none"/>
          <w:lang w:eastAsia="zh-CN"/>
        </w:rPr>
        <w:t>七</w:t>
      </w:r>
      <w:r>
        <w:rPr>
          <w:rFonts w:hint="eastAsia" w:ascii="宋体" w:hAnsi="宋体" w:eastAsia="宋体" w:cs="宋体"/>
          <w:b/>
          <w:color w:val="auto"/>
          <w:sz w:val="24"/>
          <w:szCs w:val="20"/>
          <w:highlight w:val="none"/>
        </w:rPr>
        <w:t>、</w:t>
      </w:r>
      <w:bookmarkEnd w:id="95"/>
      <w:r>
        <w:rPr>
          <w:rFonts w:hint="eastAsia" w:cs="宋体"/>
          <w:b/>
          <w:color w:val="auto"/>
          <w:sz w:val="24"/>
          <w:szCs w:val="20"/>
          <w:highlight w:val="none"/>
          <w:lang w:eastAsia="zh-CN"/>
        </w:rPr>
        <w:t>其他要求</w:t>
      </w:r>
      <w:bookmarkEnd w:id="96"/>
    </w:p>
    <w:p w14:paraId="7B56C1B7">
      <w:pPr>
        <w:snapToGrid w:val="0"/>
        <w:spacing w:line="400" w:lineRule="exact"/>
        <w:ind w:firstLine="480" w:firstLineChars="200"/>
        <w:outlineLvl w:val="2"/>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（一）</w:t>
      </w:r>
      <w:r>
        <w:rPr>
          <w:rFonts w:hint="eastAsia" w:ascii="宋体" w:hAnsi="宋体" w:eastAsia="宋体" w:cs="宋体"/>
          <w:color w:val="auto"/>
          <w:kern w:val="0"/>
          <w:sz w:val="24"/>
          <w:szCs w:val="24"/>
          <w:highlight w:val="none"/>
          <w:lang w:eastAsia="zh-CN"/>
        </w:rPr>
        <w:t>供应商应承诺在采购人下一年度招投标工作启动前，其后续服务仍按本次采购所报的费率进行结算，采购人不承担任何责任。（提供承诺函，格式自拟并加盖供应商公章）</w:t>
      </w:r>
    </w:p>
    <w:p w14:paraId="06D099CC">
      <w:pPr>
        <w:snapToGrid w:val="0"/>
        <w:spacing w:line="400" w:lineRule="exact"/>
        <w:ind w:firstLine="480" w:firstLineChars="200"/>
        <w:outlineLvl w:val="2"/>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lang w:eastAsia="zh-CN"/>
        </w:rPr>
        <w:t>成交供应商不得与采购人的食堂社会化保障服务供应商存在关联，且承诺中标后不以任何形式参与采购人食堂社会化保障服务。（提供承诺函原件并加盖投标人公章）</w:t>
      </w:r>
    </w:p>
    <w:p w14:paraId="615A9A7A">
      <w:pPr>
        <w:snapToGrid w:val="0"/>
        <w:spacing w:line="400" w:lineRule="exact"/>
        <w:ind w:firstLine="480" w:firstLineChars="200"/>
        <w:outlineLvl w:val="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（三）投标人应提供在参加政府采购活动前3年内，无涉及行贿等重大违法案件承诺书（格式自拟并加盖投标人公章）。</w:t>
      </w:r>
    </w:p>
    <w:bookmarkEnd w:id="77"/>
    <w:bookmarkEnd w:id="78"/>
    <w:bookmarkEnd w:id="79"/>
    <w:bookmarkEnd w:id="97"/>
    <w:bookmarkEnd w:id="98"/>
    <w:bookmarkEnd w:id="99"/>
    <w:bookmarkEnd w:id="100"/>
    <w:bookmarkEnd w:id="101"/>
    <w:p w14:paraId="064D0802">
      <w:pPr>
        <w:pStyle w:val="2"/>
        <w:spacing w:before="0" w:beforeLines="0" w:after="0" w:afterLines="0" w:line="240" w:lineRule="auto"/>
        <w:rPr>
          <w:rFonts w:hint="eastAsia" w:ascii="宋体" w:hAnsi="宋体" w:eastAsia="宋体" w:cs="宋体"/>
          <w:b/>
          <w:color w:val="auto"/>
          <w:sz w:val="36"/>
          <w:szCs w:val="36"/>
          <w:highlight w:val="none"/>
        </w:rPr>
      </w:pPr>
      <w:r>
        <w:rPr>
          <w:rFonts w:hint="eastAsia" w:ascii="宋体" w:hAnsi="宋体" w:eastAsia="宋体" w:cs="宋体"/>
          <w:color w:val="auto"/>
          <w:sz w:val="28"/>
          <w:highlight w:val="none"/>
        </w:rPr>
        <w:br w:type="page"/>
      </w:r>
      <w:bookmarkStart w:id="102" w:name="_Toc501026113"/>
      <w:bookmarkStart w:id="103" w:name="_Toc32607"/>
      <w:bookmarkStart w:id="104" w:name="_Toc76387242"/>
      <w:r>
        <w:rPr>
          <w:rFonts w:hint="eastAsia" w:ascii="宋体" w:hAnsi="宋体" w:eastAsia="宋体" w:cs="宋体"/>
          <w:b/>
          <w:color w:val="auto"/>
          <w:sz w:val="36"/>
          <w:szCs w:val="36"/>
          <w:highlight w:val="none"/>
        </w:rPr>
        <w:t>第四篇  资格审查及评标办法</w:t>
      </w:r>
      <w:bookmarkEnd w:id="102"/>
      <w:bookmarkEnd w:id="103"/>
      <w:bookmarkEnd w:id="104"/>
    </w:p>
    <w:p w14:paraId="608D1C0E">
      <w:pPr>
        <w:pStyle w:val="3"/>
        <w:spacing w:line="240" w:lineRule="auto"/>
        <w:ind w:firstLine="0" w:firstLineChars="0"/>
        <w:jc w:val="left"/>
        <w:rPr>
          <w:rFonts w:hint="eastAsia" w:ascii="宋体" w:eastAsia="宋体" w:cs="宋体"/>
          <w:b/>
          <w:color w:val="auto"/>
          <w:sz w:val="24"/>
          <w:szCs w:val="20"/>
          <w:highlight w:val="none"/>
        </w:rPr>
      </w:pPr>
      <w:bookmarkStart w:id="105" w:name="_Toc21651"/>
      <w:bookmarkStart w:id="106" w:name="_Toc76387243"/>
      <w:bookmarkStart w:id="107" w:name="_Toc352734128"/>
      <w:r>
        <w:rPr>
          <w:rFonts w:hint="eastAsia" w:ascii="宋体" w:eastAsia="宋体" w:cs="宋体"/>
          <w:b/>
          <w:color w:val="auto"/>
          <w:sz w:val="24"/>
          <w:szCs w:val="20"/>
          <w:highlight w:val="none"/>
        </w:rPr>
        <w:t>一、</w:t>
      </w:r>
      <w:bookmarkEnd w:id="105"/>
      <w:bookmarkEnd w:id="106"/>
      <w:r>
        <w:rPr>
          <w:rFonts w:hint="eastAsia" w:ascii="宋体" w:eastAsia="宋体" w:cs="宋体"/>
          <w:b/>
          <w:color w:val="auto"/>
          <w:sz w:val="24"/>
          <w:szCs w:val="20"/>
          <w:highlight w:val="none"/>
        </w:rPr>
        <w:t>资格审查及符合性审查</w:t>
      </w:r>
      <w:bookmarkEnd w:id="107"/>
    </w:p>
    <w:p w14:paraId="748BE217">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若未通过资格审查及符合性审查的投标文件，不进入评审环节。</w:t>
      </w:r>
    </w:p>
    <w:p w14:paraId="4AEBEF6B">
      <w:pPr>
        <w:snapToGrid w:val="0"/>
        <w:spacing w:line="400" w:lineRule="exact"/>
        <w:ind w:firstLine="480" w:firstLineChars="200"/>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（一）资格审查</w:t>
      </w:r>
    </w:p>
    <w:p w14:paraId="179C6A1A">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依据政府采购相关法律法规规定，由采购人或采购代理机构对投标文件中的资格证明文件进行审查。资格审查资料表如下：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315B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4810ABD7">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14:paraId="42901F0F">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14:paraId="01ACD73D">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检查内容</w:t>
            </w:r>
          </w:p>
        </w:tc>
      </w:tr>
      <w:tr w14:paraId="503D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31CE4A7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709" w:type="dxa"/>
            <w:vMerge w:val="restart"/>
            <w:noWrap w:val="0"/>
            <w:vAlign w:val="center"/>
          </w:tcPr>
          <w:p w14:paraId="0DB3768B">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《中华人民共和国政府采购法》第二十二条规定</w:t>
            </w:r>
          </w:p>
        </w:tc>
        <w:tc>
          <w:tcPr>
            <w:tcW w:w="3118" w:type="dxa"/>
            <w:noWrap w:val="0"/>
            <w:vAlign w:val="center"/>
          </w:tcPr>
          <w:p w14:paraId="53E395E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tc>
        <w:tc>
          <w:tcPr>
            <w:tcW w:w="4984" w:type="dxa"/>
            <w:noWrap w:val="0"/>
            <w:vAlign w:val="center"/>
          </w:tcPr>
          <w:p w14:paraId="4F8FABD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1.投标人法人营业执照（副本）或事业单位法人证书（副本）或个体工商户营业执照或有效的自然人身份证明或社会团体法人登记证书（提供复印件）。 </w:t>
            </w:r>
          </w:p>
          <w:p w14:paraId="4883FC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2.投标人法定代表人身份证明和法定代表人授权代表委托书。</w:t>
            </w:r>
          </w:p>
        </w:tc>
      </w:tr>
      <w:tr w14:paraId="6EF0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8F8BE6A">
            <w:pPr>
              <w:jc w:val="center"/>
              <w:rPr>
                <w:rFonts w:hint="eastAsia" w:ascii="宋体" w:hAnsi="宋体" w:eastAsia="宋体" w:cs="宋体"/>
                <w:color w:val="auto"/>
                <w:sz w:val="21"/>
                <w:szCs w:val="21"/>
                <w:highlight w:val="none"/>
              </w:rPr>
            </w:pPr>
          </w:p>
        </w:tc>
        <w:tc>
          <w:tcPr>
            <w:tcW w:w="709" w:type="dxa"/>
            <w:vMerge w:val="continue"/>
            <w:noWrap w:val="0"/>
            <w:vAlign w:val="center"/>
          </w:tcPr>
          <w:p w14:paraId="14995496">
            <w:pPr>
              <w:rPr>
                <w:rFonts w:hint="eastAsia" w:ascii="宋体" w:hAnsi="宋体" w:eastAsia="宋体" w:cs="宋体"/>
                <w:color w:val="auto"/>
                <w:sz w:val="21"/>
                <w:szCs w:val="21"/>
                <w:highlight w:val="none"/>
                <w:lang w:val="zh-CN"/>
              </w:rPr>
            </w:pPr>
          </w:p>
        </w:tc>
        <w:tc>
          <w:tcPr>
            <w:tcW w:w="3118" w:type="dxa"/>
            <w:noWrap w:val="0"/>
            <w:vAlign w:val="center"/>
          </w:tcPr>
          <w:p w14:paraId="7E684A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具有良好的商业信誉和健全的财务会计制度</w:t>
            </w:r>
          </w:p>
        </w:tc>
        <w:tc>
          <w:tcPr>
            <w:tcW w:w="4984" w:type="dxa"/>
            <w:noWrap w:val="0"/>
            <w:vAlign w:val="center"/>
          </w:tcPr>
          <w:p w14:paraId="67990D28">
            <w:pP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1.</w:t>
            </w:r>
            <w:r>
              <w:rPr>
                <w:rFonts w:hint="eastAsia" w:ascii="宋体" w:hAnsi="宋体" w:eastAsia="宋体" w:cs="宋体"/>
                <w:color w:val="auto"/>
                <w:sz w:val="21"/>
                <w:szCs w:val="21"/>
                <w:highlight w:val="none"/>
              </w:rPr>
              <w:t>具有良好的商业信誉</w:t>
            </w:r>
            <w:r>
              <w:rPr>
                <w:rFonts w:hint="eastAsia" w:ascii="宋体" w:hAnsi="宋体" w:eastAsia="宋体" w:cs="宋体"/>
                <w:color w:val="auto"/>
                <w:sz w:val="21"/>
                <w:szCs w:val="21"/>
                <w:highlight w:val="none"/>
                <w:lang w:eastAsia="zh-CN"/>
              </w:rPr>
              <w:t>：</w:t>
            </w:r>
            <w:r>
              <w:rPr>
                <w:rFonts w:hint="eastAsia" w:ascii="宋体" w:hAnsi="宋体" w:eastAsia="宋体" w:cs="宋体"/>
                <w:b/>
                <w:color w:val="auto"/>
                <w:sz w:val="21"/>
                <w:szCs w:val="21"/>
                <w:highlight w:val="none"/>
              </w:rPr>
              <w:t>投标人提供“基本资格条件承诺函”（格式详见第七篇）</w:t>
            </w:r>
          </w:p>
          <w:p w14:paraId="154FB3EE">
            <w:pPr>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2.具有健全的财务会计制度证明(投标人根据自身情况，提供下列证明材料任意一项)：</w:t>
            </w:r>
          </w:p>
          <w:p w14:paraId="2C9986F4">
            <w:pPr>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①提供2023～2025任一年度经审计的财务报告复印件（包含审计报告和审计报告中所涉及的财务报表 和报表附注）；</w:t>
            </w:r>
          </w:p>
          <w:p w14:paraId="3B98EBA4">
            <w:pPr>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②截至投标文件递交截止日一年内银行出具的资信证明；</w:t>
            </w:r>
          </w:p>
          <w:p w14:paraId="08EE181C">
            <w:pPr>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③供应商工商注册时间至投标文件递交截止时间不足一年的，可提供：已在银行开户的相关证明材料或加盖工商备案主管部门印章的公司章程；</w:t>
            </w:r>
          </w:p>
          <w:p w14:paraId="279EF01D">
            <w:pPr>
              <w:rPr>
                <w:rFonts w:hint="default" w:ascii="宋体" w:hAnsi="宋体" w:eastAsia="宋体" w:cs="宋体"/>
                <w:b/>
                <w:color w:val="auto"/>
                <w:sz w:val="21"/>
                <w:szCs w:val="21"/>
                <w:highlight w:val="none"/>
                <w:lang w:val="en-US" w:eastAsia="zh-CN"/>
              </w:rPr>
            </w:pPr>
            <w:r>
              <w:rPr>
                <w:rFonts w:hint="eastAsia" w:ascii="宋体" w:hAnsi="宋体" w:cs="宋体"/>
                <w:b w:val="0"/>
                <w:bCs/>
                <w:color w:val="auto"/>
                <w:sz w:val="21"/>
                <w:szCs w:val="21"/>
                <w:highlight w:val="none"/>
                <w:lang w:val="en-US" w:eastAsia="zh-CN"/>
              </w:rPr>
              <w:t>④供应商为个体工商户或自然人时，可提供承诺函。</w:t>
            </w:r>
          </w:p>
        </w:tc>
      </w:tr>
      <w:tr w14:paraId="2A8C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continue"/>
            <w:noWrap w:val="0"/>
            <w:vAlign w:val="center"/>
          </w:tcPr>
          <w:p w14:paraId="2F891CF9">
            <w:pPr>
              <w:jc w:val="center"/>
              <w:rPr>
                <w:rFonts w:hint="eastAsia" w:ascii="宋体" w:hAnsi="宋体" w:eastAsia="宋体" w:cs="宋体"/>
                <w:color w:val="auto"/>
                <w:sz w:val="21"/>
                <w:szCs w:val="21"/>
                <w:highlight w:val="none"/>
              </w:rPr>
            </w:pPr>
          </w:p>
        </w:tc>
        <w:tc>
          <w:tcPr>
            <w:tcW w:w="709" w:type="dxa"/>
            <w:vMerge w:val="continue"/>
            <w:noWrap w:val="0"/>
            <w:vAlign w:val="center"/>
          </w:tcPr>
          <w:p w14:paraId="74992708">
            <w:pPr>
              <w:rPr>
                <w:rFonts w:hint="eastAsia" w:ascii="宋体" w:hAnsi="宋体" w:eastAsia="宋体" w:cs="宋体"/>
                <w:color w:val="auto"/>
                <w:sz w:val="21"/>
                <w:szCs w:val="21"/>
                <w:highlight w:val="none"/>
                <w:lang w:val="zh-CN"/>
              </w:rPr>
            </w:pPr>
          </w:p>
        </w:tc>
        <w:tc>
          <w:tcPr>
            <w:tcW w:w="3118" w:type="dxa"/>
            <w:noWrap w:val="0"/>
            <w:vAlign w:val="center"/>
          </w:tcPr>
          <w:p w14:paraId="041580D7">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3.具有履行合同所必需的设备和专业技术能力</w:t>
            </w:r>
          </w:p>
        </w:tc>
        <w:tc>
          <w:tcPr>
            <w:tcW w:w="4984" w:type="dxa"/>
            <w:vMerge w:val="restart"/>
            <w:noWrap w:val="0"/>
            <w:vAlign w:val="center"/>
          </w:tcPr>
          <w:p w14:paraId="7E5592A0">
            <w:pP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投标人提供“基本资格条件承诺函”（格式详见第七篇）</w:t>
            </w:r>
          </w:p>
        </w:tc>
      </w:tr>
      <w:tr w14:paraId="3809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279E1C94">
            <w:pPr>
              <w:jc w:val="center"/>
              <w:rPr>
                <w:rFonts w:hint="eastAsia" w:ascii="宋体" w:hAnsi="宋体" w:eastAsia="宋体" w:cs="宋体"/>
                <w:color w:val="auto"/>
                <w:sz w:val="21"/>
                <w:szCs w:val="21"/>
                <w:highlight w:val="none"/>
              </w:rPr>
            </w:pPr>
          </w:p>
        </w:tc>
        <w:tc>
          <w:tcPr>
            <w:tcW w:w="709" w:type="dxa"/>
            <w:vMerge w:val="continue"/>
            <w:noWrap w:val="0"/>
            <w:vAlign w:val="center"/>
          </w:tcPr>
          <w:p w14:paraId="0AF148FB">
            <w:pPr>
              <w:rPr>
                <w:rFonts w:hint="eastAsia" w:ascii="宋体" w:hAnsi="宋体" w:eastAsia="宋体" w:cs="宋体"/>
                <w:color w:val="auto"/>
                <w:sz w:val="21"/>
                <w:szCs w:val="21"/>
                <w:highlight w:val="none"/>
                <w:lang w:val="zh-CN"/>
              </w:rPr>
            </w:pPr>
          </w:p>
        </w:tc>
        <w:tc>
          <w:tcPr>
            <w:tcW w:w="3118" w:type="dxa"/>
            <w:noWrap w:val="0"/>
            <w:vAlign w:val="center"/>
          </w:tcPr>
          <w:p w14:paraId="0EE9A010">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4.有依法缴纳税收和社会保障金的良好记录</w:t>
            </w:r>
          </w:p>
        </w:tc>
        <w:tc>
          <w:tcPr>
            <w:tcW w:w="4984" w:type="dxa"/>
            <w:vMerge w:val="continue"/>
            <w:noWrap w:val="0"/>
            <w:vAlign w:val="center"/>
          </w:tcPr>
          <w:p w14:paraId="7C55412B">
            <w:pPr>
              <w:rPr>
                <w:rFonts w:hint="eastAsia" w:ascii="宋体" w:hAnsi="宋体" w:eastAsia="宋体" w:cs="宋体"/>
                <w:color w:val="auto"/>
                <w:sz w:val="21"/>
                <w:szCs w:val="21"/>
                <w:highlight w:val="none"/>
              </w:rPr>
            </w:pPr>
          </w:p>
        </w:tc>
      </w:tr>
      <w:tr w14:paraId="000B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494E16E2">
            <w:pPr>
              <w:jc w:val="center"/>
              <w:rPr>
                <w:rFonts w:hint="eastAsia" w:ascii="宋体" w:hAnsi="宋体" w:eastAsia="宋体" w:cs="宋体"/>
                <w:color w:val="auto"/>
                <w:sz w:val="21"/>
                <w:szCs w:val="21"/>
                <w:highlight w:val="none"/>
              </w:rPr>
            </w:pPr>
          </w:p>
        </w:tc>
        <w:tc>
          <w:tcPr>
            <w:tcW w:w="709" w:type="dxa"/>
            <w:vMerge w:val="continue"/>
            <w:noWrap w:val="0"/>
            <w:vAlign w:val="center"/>
          </w:tcPr>
          <w:p w14:paraId="70180B13">
            <w:pPr>
              <w:rPr>
                <w:rFonts w:hint="eastAsia" w:ascii="宋体" w:hAnsi="宋体" w:eastAsia="宋体" w:cs="宋体"/>
                <w:color w:val="auto"/>
                <w:sz w:val="21"/>
                <w:szCs w:val="21"/>
                <w:highlight w:val="none"/>
                <w:lang w:val="zh-CN"/>
              </w:rPr>
            </w:pPr>
          </w:p>
        </w:tc>
        <w:tc>
          <w:tcPr>
            <w:tcW w:w="3118" w:type="dxa"/>
            <w:noWrap w:val="0"/>
            <w:vAlign w:val="center"/>
          </w:tcPr>
          <w:p w14:paraId="1A7FF9C6">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5.参加政府采购活动前三年内，在经营活动中没有重大违法记录</w:t>
            </w:r>
          </w:p>
        </w:tc>
        <w:tc>
          <w:tcPr>
            <w:tcW w:w="4984" w:type="dxa"/>
            <w:vMerge w:val="continue"/>
            <w:noWrap w:val="0"/>
            <w:vAlign w:val="center"/>
          </w:tcPr>
          <w:p w14:paraId="3EAEBEB3">
            <w:pPr>
              <w:rPr>
                <w:rFonts w:hint="eastAsia" w:ascii="宋体" w:hAnsi="宋体" w:eastAsia="宋体" w:cs="宋体"/>
                <w:b/>
                <w:color w:val="auto"/>
                <w:sz w:val="21"/>
                <w:szCs w:val="21"/>
                <w:highlight w:val="none"/>
              </w:rPr>
            </w:pPr>
          </w:p>
        </w:tc>
      </w:tr>
      <w:tr w14:paraId="29B8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27BD4518">
            <w:pPr>
              <w:jc w:val="center"/>
              <w:rPr>
                <w:rFonts w:hint="eastAsia" w:ascii="宋体" w:hAnsi="宋体" w:eastAsia="宋体" w:cs="宋体"/>
                <w:color w:val="auto"/>
                <w:sz w:val="21"/>
                <w:szCs w:val="21"/>
                <w:highlight w:val="none"/>
              </w:rPr>
            </w:pPr>
          </w:p>
        </w:tc>
        <w:tc>
          <w:tcPr>
            <w:tcW w:w="709" w:type="dxa"/>
            <w:vMerge w:val="continue"/>
            <w:noWrap w:val="0"/>
            <w:vAlign w:val="center"/>
          </w:tcPr>
          <w:p w14:paraId="75D15B83">
            <w:pPr>
              <w:rPr>
                <w:rFonts w:hint="eastAsia" w:ascii="宋体" w:hAnsi="宋体" w:eastAsia="宋体" w:cs="宋体"/>
                <w:color w:val="auto"/>
                <w:sz w:val="21"/>
                <w:szCs w:val="21"/>
                <w:highlight w:val="none"/>
              </w:rPr>
            </w:pPr>
          </w:p>
        </w:tc>
        <w:tc>
          <w:tcPr>
            <w:tcW w:w="3118" w:type="dxa"/>
            <w:noWrap w:val="0"/>
            <w:vAlign w:val="center"/>
          </w:tcPr>
          <w:p w14:paraId="017F93C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tc>
        <w:tc>
          <w:tcPr>
            <w:tcW w:w="4984" w:type="dxa"/>
            <w:noWrap w:val="0"/>
            <w:vAlign w:val="center"/>
          </w:tcPr>
          <w:p w14:paraId="7AE78281">
            <w:pPr>
              <w:rPr>
                <w:rFonts w:hint="eastAsia" w:ascii="宋体" w:hAnsi="宋体" w:eastAsia="宋体" w:cs="宋体"/>
                <w:color w:val="auto"/>
                <w:sz w:val="21"/>
                <w:szCs w:val="21"/>
                <w:highlight w:val="none"/>
              </w:rPr>
            </w:pPr>
          </w:p>
        </w:tc>
      </w:tr>
      <w:tr w14:paraId="708E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6960B66B">
            <w:pPr>
              <w:jc w:val="center"/>
              <w:rPr>
                <w:rFonts w:hint="eastAsia" w:ascii="宋体" w:hAnsi="宋体" w:eastAsia="宋体" w:cs="宋体"/>
                <w:color w:val="auto"/>
                <w:sz w:val="21"/>
                <w:szCs w:val="21"/>
                <w:highlight w:val="none"/>
              </w:rPr>
            </w:pPr>
          </w:p>
        </w:tc>
        <w:tc>
          <w:tcPr>
            <w:tcW w:w="709" w:type="dxa"/>
            <w:vMerge w:val="continue"/>
            <w:noWrap w:val="0"/>
            <w:vAlign w:val="center"/>
          </w:tcPr>
          <w:p w14:paraId="60FE2EC6">
            <w:pPr>
              <w:rPr>
                <w:rFonts w:hint="eastAsia" w:ascii="宋体" w:hAnsi="宋体" w:eastAsia="宋体" w:cs="宋体"/>
                <w:color w:val="auto"/>
                <w:sz w:val="21"/>
                <w:szCs w:val="21"/>
                <w:highlight w:val="none"/>
              </w:rPr>
            </w:pPr>
          </w:p>
        </w:tc>
        <w:tc>
          <w:tcPr>
            <w:tcW w:w="3118" w:type="dxa"/>
            <w:noWrap w:val="0"/>
            <w:vAlign w:val="center"/>
          </w:tcPr>
          <w:p w14:paraId="6B1432E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7.本项目的特定资格要求</w:t>
            </w:r>
          </w:p>
        </w:tc>
        <w:tc>
          <w:tcPr>
            <w:tcW w:w="4984" w:type="dxa"/>
            <w:noWrap w:val="0"/>
            <w:vAlign w:val="center"/>
          </w:tcPr>
          <w:p w14:paraId="0B4107C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按“第一篇三、投标人资格要求（三）本项目的特定资格要求”的要求提交。</w:t>
            </w:r>
          </w:p>
        </w:tc>
      </w:tr>
      <w:tr w14:paraId="140D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DF0B9C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3827" w:type="dxa"/>
            <w:gridSpan w:val="2"/>
            <w:noWrap w:val="0"/>
            <w:vAlign w:val="center"/>
          </w:tcPr>
          <w:p w14:paraId="3AF626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4984" w:type="dxa"/>
            <w:noWrap w:val="0"/>
            <w:vAlign w:val="center"/>
          </w:tcPr>
          <w:p w14:paraId="4EE3F27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按“第一篇三、投标人资格要求（二）落实政府采购政策需满足的资格要求”的要求提交。</w:t>
            </w:r>
          </w:p>
        </w:tc>
      </w:tr>
      <w:tr w14:paraId="1620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noWrap w:val="0"/>
            <w:vAlign w:val="center"/>
          </w:tcPr>
          <w:p w14:paraId="1959E0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3827" w:type="dxa"/>
            <w:gridSpan w:val="2"/>
            <w:noWrap w:val="0"/>
            <w:vAlign w:val="center"/>
          </w:tcPr>
          <w:p w14:paraId="424262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4984" w:type="dxa"/>
            <w:noWrap w:val="0"/>
            <w:vAlign w:val="center"/>
          </w:tcPr>
          <w:p w14:paraId="0C0F246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按照招标文件要求足额交纳所投包的投标保证金。</w:t>
            </w:r>
          </w:p>
        </w:tc>
      </w:tr>
    </w:tbl>
    <w:p w14:paraId="008001B7">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p>
    <w:p w14:paraId="542761FA">
      <w:pPr>
        <w:snapToGrid w:val="0"/>
        <w:spacing w:line="4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45EAEA2F">
      <w:pPr>
        <w:snapToGrid w:val="0"/>
        <w:spacing w:line="400" w:lineRule="exact"/>
        <w:ind w:firstLine="480" w:firstLineChars="200"/>
        <w:outlineLvl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b w:val="0"/>
          <w:color w:val="auto"/>
          <w:kern w:val="0"/>
          <w:sz w:val="24"/>
          <w:szCs w:val="24"/>
          <w:highlight w:val="none"/>
        </w:rPr>
        <w:t>二</w:t>
      </w:r>
      <w:r>
        <w:rPr>
          <w:rFonts w:hint="eastAsia" w:ascii="宋体" w:hAnsi="宋体" w:eastAsia="宋体" w:cs="宋体"/>
          <w:color w:val="auto"/>
          <w:kern w:val="0"/>
          <w:sz w:val="24"/>
          <w:szCs w:val="24"/>
          <w:highlight w:val="none"/>
        </w:rPr>
        <w:t>）符合性审查</w:t>
      </w:r>
    </w:p>
    <w:p w14:paraId="2D8C0F6F">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宋体" w:hAnsi="宋体" w:eastAsia="宋体" w:cs="宋体"/>
          <w:color w:val="auto"/>
          <w:kern w:val="0"/>
          <w:sz w:val="24"/>
          <w:szCs w:val="24"/>
          <w:highlight w:val="none"/>
        </w:rPr>
        <w:t>评标委员会应当对符合资格的投标人的投标文件进行符合性审查，以确定其是否满足招标文件的实质性要求。符合性审查资料表如下：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3114E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noWrap w:val="0"/>
            <w:vAlign w:val="center"/>
          </w:tcPr>
          <w:p w14:paraId="2F20D13F">
            <w:pPr>
              <w:jc w:val="center"/>
              <w:rPr>
                <w:rFonts w:hint="eastAsia" w:ascii="宋体" w:hAnsi="宋体" w:eastAsia="宋体" w:cs="宋体"/>
                <w:b/>
                <w:color w:val="auto"/>
                <w:kern w:val="0"/>
                <w:sz w:val="21"/>
                <w:szCs w:val="21"/>
                <w:highlight w:val="none"/>
              </w:rPr>
            </w:pPr>
            <w:bookmarkStart w:id="108" w:name="_Toc76387244"/>
            <w:bookmarkStart w:id="109" w:name="_Toc7454"/>
            <w:r>
              <w:rPr>
                <w:rFonts w:hint="eastAsia" w:ascii="宋体" w:hAnsi="宋体" w:eastAsia="宋体" w:cs="宋体"/>
                <w:b/>
                <w:color w:val="auto"/>
                <w:kern w:val="0"/>
                <w:sz w:val="21"/>
                <w:szCs w:val="21"/>
                <w:highlight w:val="none"/>
              </w:rPr>
              <w:t>序号</w:t>
            </w:r>
          </w:p>
        </w:tc>
        <w:tc>
          <w:tcPr>
            <w:tcW w:w="3119" w:type="dxa"/>
            <w:gridSpan w:val="2"/>
            <w:noWrap w:val="0"/>
            <w:vAlign w:val="center"/>
          </w:tcPr>
          <w:p w14:paraId="03A4B4EC">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评审因素</w:t>
            </w:r>
          </w:p>
        </w:tc>
        <w:tc>
          <w:tcPr>
            <w:tcW w:w="5836" w:type="dxa"/>
            <w:noWrap w:val="0"/>
            <w:vAlign w:val="center"/>
          </w:tcPr>
          <w:p w14:paraId="197F5FAC">
            <w:pPr>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评审标准</w:t>
            </w:r>
          </w:p>
        </w:tc>
      </w:tr>
      <w:tr w14:paraId="578C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noWrap w:val="0"/>
            <w:vAlign w:val="center"/>
          </w:tcPr>
          <w:p w14:paraId="52DE4AD2">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562" w:type="dxa"/>
            <w:vMerge w:val="restart"/>
            <w:noWrap w:val="0"/>
            <w:vAlign w:val="center"/>
          </w:tcPr>
          <w:p w14:paraId="4A1A5A5F">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有效性审查</w:t>
            </w:r>
          </w:p>
        </w:tc>
        <w:tc>
          <w:tcPr>
            <w:tcW w:w="1557" w:type="dxa"/>
            <w:noWrap w:val="0"/>
            <w:vAlign w:val="center"/>
          </w:tcPr>
          <w:p w14:paraId="61685DA3">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投标文件签署或盖章</w:t>
            </w:r>
          </w:p>
        </w:tc>
        <w:tc>
          <w:tcPr>
            <w:tcW w:w="5836" w:type="dxa"/>
            <w:noWrap w:val="0"/>
            <w:vAlign w:val="center"/>
          </w:tcPr>
          <w:p w14:paraId="09597177">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投标文件上法定代表人（或其授权代表）或自然人（投标人为自然人）的签署或盖章齐全。</w:t>
            </w:r>
          </w:p>
        </w:tc>
      </w:tr>
      <w:tr w14:paraId="429E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noWrap w:val="0"/>
            <w:vAlign w:val="center"/>
          </w:tcPr>
          <w:p w14:paraId="088C4289">
            <w:pPr>
              <w:jc w:val="center"/>
              <w:rPr>
                <w:rFonts w:hint="eastAsia" w:ascii="宋体" w:hAnsi="宋体" w:eastAsia="宋体" w:cs="宋体"/>
                <w:color w:val="auto"/>
                <w:kern w:val="0"/>
                <w:sz w:val="21"/>
                <w:szCs w:val="21"/>
                <w:highlight w:val="none"/>
              </w:rPr>
            </w:pPr>
          </w:p>
        </w:tc>
        <w:tc>
          <w:tcPr>
            <w:tcW w:w="1562" w:type="dxa"/>
            <w:vMerge w:val="continue"/>
            <w:noWrap w:val="0"/>
            <w:vAlign w:val="center"/>
          </w:tcPr>
          <w:p w14:paraId="5F8383C0">
            <w:pPr>
              <w:rPr>
                <w:rFonts w:hint="eastAsia" w:ascii="宋体" w:hAnsi="宋体" w:eastAsia="宋体" w:cs="宋体"/>
                <w:color w:val="auto"/>
                <w:kern w:val="0"/>
                <w:sz w:val="21"/>
                <w:szCs w:val="21"/>
                <w:highlight w:val="none"/>
              </w:rPr>
            </w:pPr>
          </w:p>
        </w:tc>
        <w:tc>
          <w:tcPr>
            <w:tcW w:w="1557" w:type="dxa"/>
            <w:noWrap w:val="0"/>
            <w:vAlign w:val="center"/>
          </w:tcPr>
          <w:p w14:paraId="7F0FDDAE">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投标方案</w:t>
            </w:r>
          </w:p>
        </w:tc>
        <w:tc>
          <w:tcPr>
            <w:tcW w:w="5836" w:type="dxa"/>
            <w:noWrap w:val="0"/>
            <w:vAlign w:val="center"/>
          </w:tcPr>
          <w:p w14:paraId="32ED8241">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每个包只能有一个方案投标。</w:t>
            </w:r>
          </w:p>
        </w:tc>
      </w:tr>
      <w:tr w14:paraId="32B5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noWrap w:val="0"/>
            <w:vAlign w:val="center"/>
          </w:tcPr>
          <w:p w14:paraId="11C7568E">
            <w:pPr>
              <w:jc w:val="center"/>
              <w:rPr>
                <w:rFonts w:hint="eastAsia" w:ascii="宋体" w:hAnsi="宋体" w:eastAsia="宋体" w:cs="宋体"/>
                <w:color w:val="auto"/>
                <w:kern w:val="0"/>
                <w:sz w:val="21"/>
                <w:szCs w:val="21"/>
                <w:highlight w:val="none"/>
              </w:rPr>
            </w:pPr>
          </w:p>
        </w:tc>
        <w:tc>
          <w:tcPr>
            <w:tcW w:w="1562" w:type="dxa"/>
            <w:vMerge w:val="continue"/>
            <w:noWrap w:val="0"/>
            <w:vAlign w:val="center"/>
          </w:tcPr>
          <w:p w14:paraId="4E33AFE0">
            <w:pPr>
              <w:rPr>
                <w:rFonts w:hint="eastAsia" w:ascii="宋体" w:hAnsi="宋体" w:eastAsia="宋体" w:cs="宋体"/>
                <w:color w:val="auto"/>
                <w:kern w:val="0"/>
                <w:sz w:val="21"/>
                <w:szCs w:val="21"/>
                <w:highlight w:val="none"/>
              </w:rPr>
            </w:pPr>
          </w:p>
        </w:tc>
        <w:tc>
          <w:tcPr>
            <w:tcW w:w="1557" w:type="dxa"/>
            <w:noWrap w:val="0"/>
            <w:vAlign w:val="center"/>
          </w:tcPr>
          <w:p w14:paraId="15DA25BC">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报价唯一</w:t>
            </w:r>
          </w:p>
        </w:tc>
        <w:tc>
          <w:tcPr>
            <w:tcW w:w="5836" w:type="dxa"/>
            <w:noWrap w:val="0"/>
            <w:vAlign w:val="center"/>
          </w:tcPr>
          <w:p w14:paraId="62E5E2DC">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只能在预算金额和最高限价内报价，</w:t>
            </w:r>
            <w:r>
              <w:rPr>
                <w:rFonts w:hint="eastAsia" w:ascii="宋体" w:hAnsi="宋体" w:eastAsia="宋体" w:cs="宋体"/>
                <w:color w:val="auto"/>
                <w:sz w:val="21"/>
                <w:szCs w:val="21"/>
                <w:highlight w:val="none"/>
              </w:rPr>
              <w:t>只能有一个有效报价，不得提交选择性报价。</w:t>
            </w:r>
          </w:p>
        </w:tc>
      </w:tr>
      <w:tr w14:paraId="7012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noWrap w:val="0"/>
            <w:vAlign w:val="center"/>
          </w:tcPr>
          <w:p w14:paraId="4876CD06">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562" w:type="dxa"/>
            <w:noWrap w:val="0"/>
            <w:vAlign w:val="center"/>
          </w:tcPr>
          <w:p w14:paraId="063D1C5D">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完整性审查</w:t>
            </w:r>
          </w:p>
        </w:tc>
        <w:tc>
          <w:tcPr>
            <w:tcW w:w="1557" w:type="dxa"/>
            <w:noWrap w:val="0"/>
            <w:vAlign w:val="center"/>
          </w:tcPr>
          <w:p w14:paraId="31520CE8">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投标文件份数</w:t>
            </w:r>
          </w:p>
        </w:tc>
        <w:tc>
          <w:tcPr>
            <w:tcW w:w="5836" w:type="dxa"/>
            <w:noWrap w:val="0"/>
            <w:vAlign w:val="center"/>
          </w:tcPr>
          <w:p w14:paraId="1BA942CB">
            <w:pP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电子投标文件符合招标文件要求。</w:t>
            </w:r>
          </w:p>
        </w:tc>
      </w:tr>
      <w:tr w14:paraId="450B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noWrap w:val="0"/>
            <w:vAlign w:val="center"/>
          </w:tcPr>
          <w:p w14:paraId="72A47483">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562" w:type="dxa"/>
            <w:noWrap w:val="0"/>
            <w:vAlign w:val="center"/>
          </w:tcPr>
          <w:p w14:paraId="216729F0">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技术部分</w:t>
            </w:r>
          </w:p>
        </w:tc>
        <w:tc>
          <w:tcPr>
            <w:tcW w:w="1557" w:type="dxa"/>
            <w:noWrap w:val="0"/>
            <w:vAlign w:val="center"/>
          </w:tcPr>
          <w:p w14:paraId="7DB113A2">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投标文件内容</w:t>
            </w:r>
          </w:p>
        </w:tc>
        <w:tc>
          <w:tcPr>
            <w:tcW w:w="5836" w:type="dxa"/>
            <w:noWrap w:val="0"/>
            <w:vAlign w:val="center"/>
          </w:tcPr>
          <w:p w14:paraId="73B6CEEC">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本招标文件第二篇中（※）号标注的部分。</w:t>
            </w:r>
          </w:p>
        </w:tc>
      </w:tr>
      <w:tr w14:paraId="4BEE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noWrap w:val="0"/>
            <w:vAlign w:val="center"/>
          </w:tcPr>
          <w:p w14:paraId="3D29B30F">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562" w:type="dxa"/>
            <w:noWrap w:val="0"/>
            <w:vAlign w:val="center"/>
          </w:tcPr>
          <w:p w14:paraId="6974E50A">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商务部分</w:t>
            </w:r>
          </w:p>
        </w:tc>
        <w:tc>
          <w:tcPr>
            <w:tcW w:w="1557" w:type="dxa"/>
            <w:noWrap w:val="0"/>
            <w:vAlign w:val="center"/>
          </w:tcPr>
          <w:p w14:paraId="34EA4AF6">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投标文件内容</w:t>
            </w:r>
          </w:p>
        </w:tc>
        <w:tc>
          <w:tcPr>
            <w:tcW w:w="5836" w:type="dxa"/>
            <w:noWrap w:val="0"/>
            <w:vAlign w:val="center"/>
          </w:tcPr>
          <w:p w14:paraId="42CF4D7D">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本招标文件第三篇中（※）号标注的部分。</w:t>
            </w:r>
          </w:p>
        </w:tc>
      </w:tr>
      <w:tr w14:paraId="25DB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noWrap w:val="0"/>
            <w:vAlign w:val="center"/>
          </w:tcPr>
          <w:p w14:paraId="6C6F0CF3">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562" w:type="dxa"/>
            <w:noWrap w:val="0"/>
            <w:vAlign w:val="center"/>
          </w:tcPr>
          <w:p w14:paraId="4A607DFB">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1557" w:type="dxa"/>
            <w:noWrap w:val="0"/>
            <w:vAlign w:val="center"/>
          </w:tcPr>
          <w:p w14:paraId="70E43DAF">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投标文件内容</w:t>
            </w:r>
          </w:p>
        </w:tc>
        <w:tc>
          <w:tcPr>
            <w:tcW w:w="5836" w:type="dxa"/>
            <w:noWrap w:val="0"/>
            <w:vAlign w:val="center"/>
          </w:tcPr>
          <w:p w14:paraId="5F7E4551">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投标有效期为投标截止时间起90天。</w:t>
            </w:r>
          </w:p>
        </w:tc>
      </w:tr>
    </w:tbl>
    <w:p w14:paraId="4E95BA82">
      <w:pPr>
        <w:pStyle w:val="3"/>
        <w:spacing w:line="240" w:lineRule="auto"/>
        <w:ind w:firstLine="0" w:firstLineChars="0"/>
        <w:jc w:val="left"/>
        <w:rPr>
          <w:rFonts w:hint="eastAsia" w:ascii="宋体" w:eastAsia="宋体" w:cs="宋体"/>
          <w:b/>
          <w:color w:val="auto"/>
          <w:sz w:val="24"/>
          <w:szCs w:val="20"/>
          <w:highlight w:val="none"/>
        </w:rPr>
      </w:pPr>
      <w:bookmarkStart w:id="110" w:name="_Toc2088542234"/>
      <w:r>
        <w:rPr>
          <w:rFonts w:hint="eastAsia" w:ascii="宋体" w:eastAsia="宋体" w:cs="宋体"/>
          <w:b/>
          <w:color w:val="auto"/>
          <w:sz w:val="24"/>
          <w:szCs w:val="20"/>
          <w:highlight w:val="none"/>
        </w:rPr>
        <w:t>二、评标方法</w:t>
      </w:r>
      <w:bookmarkEnd w:id="108"/>
      <w:bookmarkEnd w:id="109"/>
      <w:bookmarkEnd w:id="110"/>
    </w:p>
    <w:p w14:paraId="694E847A">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本项目采用综合评分法进行评标。</w:t>
      </w:r>
    </w:p>
    <w:p w14:paraId="4D47F766">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综合评分法，是指投标文件满足招标文件全部实质性要求且按照评审因素的量化指标评审得分最高的投标人为中标候选人的评标方法。投标人总得分为价格、商务、</w:t>
      </w:r>
      <w:r>
        <w:rPr>
          <w:rFonts w:hint="eastAsia" w:ascii="宋体" w:hAnsi="宋体" w:eastAsia="宋体" w:cs="宋体"/>
          <w:color w:val="auto"/>
          <w:sz w:val="24"/>
          <w:szCs w:val="24"/>
          <w:highlight w:val="none"/>
          <w:lang w:eastAsia="zh-CN"/>
        </w:rPr>
        <w:t>服务部分</w:t>
      </w:r>
      <w:r>
        <w:rPr>
          <w:rFonts w:hint="eastAsia" w:ascii="宋体" w:hAnsi="宋体" w:eastAsia="宋体" w:cs="宋体"/>
          <w:color w:val="auto"/>
          <w:sz w:val="24"/>
          <w:szCs w:val="24"/>
          <w:highlight w:val="none"/>
        </w:rPr>
        <w:t>等评定因素分别按照相应权重值计算分项得分后相加，满分为100分。</w:t>
      </w:r>
    </w:p>
    <w:p w14:paraId="0D9849CE">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澄清有关问题。对投标文件中含义不明确、同类问题表述不一致或者有明显文字和计算错误的内容，评标委员会可以书面形式（应当由评标委员会成员签字）要求投标人作出必要澄清、说明或者</w:t>
      </w:r>
      <w:r>
        <w:rPr>
          <w:rFonts w:hint="eastAsia" w:ascii="宋体" w:hAnsi="宋体" w:eastAsia="宋体" w:cs="宋体"/>
          <w:color w:val="auto"/>
          <w:sz w:val="24"/>
          <w:szCs w:val="24"/>
          <w:highlight w:val="none"/>
          <w:lang w:eastAsia="zh-CN"/>
        </w:rPr>
        <w:t>补</w:t>
      </w:r>
      <w:r>
        <w:rPr>
          <w:rFonts w:hint="eastAsia" w:ascii="宋体" w:hAnsi="宋体" w:eastAsia="宋体" w:cs="宋体"/>
          <w:color w:val="auto"/>
          <w:sz w:val="24"/>
          <w:szCs w:val="24"/>
          <w:highlight w:val="none"/>
        </w:rPr>
        <w:t>正。投标人的澄清、说明或者补正应当采用书面形式，由其法定代表人（或其授权代表）或自然人（投标人为自然人）签字，其澄清的内容不得超出投标文件的范围或者改变投标文件的实质性内容。</w:t>
      </w:r>
    </w:p>
    <w:p w14:paraId="64D81FB2">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）比较与评价。按招标文件中规定的评标方法和标准，对资格审查和符合性审查合格的投标文件进行商务和服务评估。</w:t>
      </w:r>
    </w:p>
    <w:p w14:paraId="4F11D38C">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7654814B">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复核后，评标委员会汇总每个投标人每项评分因素的得分。</w:t>
      </w:r>
    </w:p>
    <w:p w14:paraId="0FD1F6B4">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）推荐中标候选人名单。</w:t>
      </w:r>
    </w:p>
    <w:p w14:paraId="752F682C">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按评审后得分由高到低的排列顺序推荐综合得分排名前三的投标人为本包（项目）中标候选人，排名第一的为第一中标候选人。得分相同的，</w:t>
      </w:r>
      <w:r>
        <w:rPr>
          <w:rFonts w:hint="eastAsia" w:ascii="宋体" w:hAnsi="宋体" w:cs="宋体"/>
          <w:color w:val="auto"/>
          <w:sz w:val="24"/>
          <w:szCs w:val="24"/>
          <w:highlight w:val="none"/>
          <w:lang w:eastAsia="zh-CN"/>
        </w:rPr>
        <w:t>按投标人</w:t>
      </w:r>
      <w:r>
        <w:rPr>
          <w:rFonts w:hint="eastAsia" w:ascii="宋体" w:hAnsi="宋体" w:eastAsia="宋体" w:cs="宋体"/>
          <w:color w:val="auto"/>
          <w:sz w:val="24"/>
          <w:szCs w:val="24"/>
          <w:highlight w:val="none"/>
        </w:rPr>
        <w:t>符合不发达地区或少数民族地区企业标准的优先排序</w:t>
      </w:r>
      <w:r>
        <w:rPr>
          <w:rFonts w:hint="eastAsia" w:ascii="宋体" w:hAnsi="宋体" w:cs="宋体"/>
          <w:color w:val="auto"/>
          <w:sz w:val="24"/>
          <w:szCs w:val="24"/>
          <w:highlight w:val="none"/>
          <w:lang w:eastAsia="zh-CN"/>
        </w:rPr>
        <w:t>，无以上情形的，</w:t>
      </w:r>
      <w:r>
        <w:rPr>
          <w:rFonts w:hint="eastAsia" w:ascii="宋体" w:hAnsi="宋体" w:eastAsia="宋体" w:cs="宋体"/>
          <w:color w:val="auto"/>
          <w:sz w:val="24"/>
          <w:szCs w:val="24"/>
          <w:highlight w:val="none"/>
        </w:rPr>
        <w:t>按投标报价由低到高顺序排列。得分且投标报价相同的并列。</w:t>
      </w:r>
    </w:p>
    <w:p w14:paraId="6DBB831E">
      <w:pPr>
        <w:pStyle w:val="3"/>
        <w:spacing w:line="240" w:lineRule="auto"/>
        <w:ind w:firstLine="0" w:firstLineChars="0"/>
        <w:jc w:val="left"/>
        <w:rPr>
          <w:rFonts w:hint="eastAsia" w:ascii="宋体" w:eastAsia="宋体" w:cs="宋体"/>
          <w:b/>
          <w:color w:val="auto"/>
          <w:sz w:val="24"/>
          <w:szCs w:val="20"/>
          <w:highlight w:val="none"/>
        </w:rPr>
      </w:pPr>
      <w:bookmarkStart w:id="111" w:name="_Toc1465"/>
      <w:bookmarkStart w:id="112" w:name="_Toc267320057"/>
      <w:bookmarkStart w:id="113" w:name="_Toc76387245"/>
      <w:bookmarkStart w:id="114" w:name="_Toc60722107"/>
      <w:r>
        <w:rPr>
          <w:rFonts w:hint="eastAsia" w:ascii="宋体" w:eastAsia="宋体" w:cs="宋体"/>
          <w:b/>
          <w:color w:val="auto"/>
          <w:sz w:val="24"/>
          <w:szCs w:val="20"/>
          <w:highlight w:val="none"/>
        </w:rPr>
        <w:t>三、评标标准</w:t>
      </w:r>
      <w:bookmarkEnd w:id="111"/>
      <w:bookmarkEnd w:id="112"/>
      <w:bookmarkEnd w:id="113"/>
      <w:bookmarkEnd w:id="114"/>
    </w:p>
    <w:p w14:paraId="42A6A420">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（一）评审因素</w:t>
      </w:r>
    </w:p>
    <w:tbl>
      <w:tblPr>
        <w:tblStyle w:val="57"/>
        <w:tblW w:w="8914"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
        <w:gridCol w:w="1245"/>
        <w:gridCol w:w="1080"/>
        <w:gridCol w:w="4798"/>
        <w:gridCol w:w="1396"/>
      </w:tblGrid>
      <w:tr w14:paraId="7F70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95" w:type="dxa"/>
            <w:noWrap w:val="0"/>
            <w:vAlign w:val="center"/>
          </w:tcPr>
          <w:p w14:paraId="773ED2B3">
            <w:pPr>
              <w:pageBreakBefore w:val="0"/>
              <w:widowControl w:val="0"/>
              <w:kinsoku/>
              <w:overflowPunct/>
              <w:autoSpaceDE/>
              <w:autoSpaceDN/>
              <w:bidi w:val="0"/>
              <w:adjustRightInd/>
              <w:snapToGrid/>
              <w:spacing w:after="0" w:line="240" w:lineRule="auto"/>
              <w:ind w:firstLine="0" w:firstLineChars="0"/>
              <w:jc w:val="center"/>
              <w:textAlignment w:val="auto"/>
              <w:rPr>
                <w:rFonts w:hint="eastAsia" w:asciiTheme="minorEastAsia" w:hAnsiTheme="minorEastAsia" w:eastAsiaTheme="minorEastAsia" w:cstheme="minorEastAsia"/>
                <w:b/>
                <w:bCs/>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eastAsia="zh-CN"/>
              </w:rPr>
              <w:t>序号</w:t>
            </w:r>
          </w:p>
        </w:tc>
        <w:tc>
          <w:tcPr>
            <w:tcW w:w="1245" w:type="dxa"/>
            <w:noWrap w:val="0"/>
            <w:vAlign w:val="center"/>
          </w:tcPr>
          <w:p w14:paraId="6C8F812F">
            <w:pPr>
              <w:pageBreakBefore w:val="0"/>
              <w:widowControl w:val="0"/>
              <w:kinsoku/>
              <w:overflowPunct/>
              <w:autoSpaceDE/>
              <w:autoSpaceDN/>
              <w:bidi w:val="0"/>
              <w:adjustRightInd/>
              <w:snapToGrid/>
              <w:spacing w:after="0" w:line="240" w:lineRule="auto"/>
              <w:ind w:firstLine="0" w:firstLineChars="0"/>
              <w:jc w:val="center"/>
              <w:textAlignment w:val="auto"/>
              <w:rPr>
                <w:rFonts w:hint="eastAsia" w:asciiTheme="minorEastAsia" w:hAnsiTheme="minorEastAsia" w:eastAsiaTheme="minorEastAsia" w:cstheme="minorEastAsia"/>
                <w:b/>
                <w:bCs/>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eastAsia="zh-CN"/>
              </w:rPr>
              <w:t>评分因素及权</w:t>
            </w:r>
            <w:r>
              <w:rPr>
                <w:rFonts w:hint="eastAsia" w:asciiTheme="minorEastAsia" w:hAnsiTheme="minorEastAsia" w:eastAsiaTheme="minorEastAsia" w:cstheme="minorEastAsia"/>
                <w:b/>
                <w:bCs/>
                <w:snapToGrid/>
                <w:color w:val="auto"/>
                <w:kern w:val="2"/>
                <w:sz w:val="21"/>
                <w:szCs w:val="21"/>
                <w:highlight w:val="none"/>
                <w:lang w:val="en-US" w:eastAsia="zh-CN"/>
              </w:rPr>
              <w:t>重</w:t>
            </w:r>
          </w:p>
        </w:tc>
        <w:tc>
          <w:tcPr>
            <w:tcW w:w="1080" w:type="dxa"/>
            <w:noWrap w:val="0"/>
            <w:vAlign w:val="center"/>
          </w:tcPr>
          <w:p w14:paraId="13163AFF">
            <w:pPr>
              <w:pageBreakBefore w:val="0"/>
              <w:widowControl w:val="0"/>
              <w:kinsoku/>
              <w:overflowPunct/>
              <w:autoSpaceDE/>
              <w:autoSpaceDN/>
              <w:bidi w:val="0"/>
              <w:adjustRightInd/>
              <w:snapToGrid/>
              <w:spacing w:after="0" w:line="240" w:lineRule="auto"/>
              <w:ind w:firstLine="0" w:firstLineChars="0"/>
              <w:jc w:val="center"/>
              <w:textAlignment w:val="auto"/>
              <w:rPr>
                <w:rFonts w:hint="eastAsia" w:asciiTheme="minorEastAsia" w:hAnsiTheme="minorEastAsia" w:eastAsiaTheme="minorEastAsia" w:cstheme="minorEastAsia"/>
                <w:b/>
                <w:bCs/>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eastAsia="zh-CN"/>
              </w:rPr>
              <w:t>分值</w:t>
            </w:r>
          </w:p>
        </w:tc>
        <w:tc>
          <w:tcPr>
            <w:tcW w:w="4798" w:type="dxa"/>
            <w:noWrap w:val="0"/>
            <w:vAlign w:val="center"/>
          </w:tcPr>
          <w:p w14:paraId="62D0CE2F">
            <w:pPr>
              <w:pageBreakBefore w:val="0"/>
              <w:widowControl w:val="0"/>
              <w:kinsoku/>
              <w:overflowPunct/>
              <w:autoSpaceDE/>
              <w:autoSpaceDN/>
              <w:bidi w:val="0"/>
              <w:adjustRightInd/>
              <w:snapToGrid/>
              <w:spacing w:after="0" w:line="240" w:lineRule="auto"/>
              <w:ind w:firstLine="0" w:firstLineChars="0"/>
              <w:jc w:val="center"/>
              <w:textAlignment w:val="auto"/>
              <w:rPr>
                <w:rFonts w:hint="eastAsia" w:asciiTheme="minorEastAsia" w:hAnsiTheme="minorEastAsia" w:eastAsiaTheme="minorEastAsia" w:cstheme="minorEastAsia"/>
                <w:b/>
                <w:bCs/>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eastAsia="zh-CN"/>
              </w:rPr>
              <w:t>评分标准</w:t>
            </w:r>
          </w:p>
        </w:tc>
        <w:tc>
          <w:tcPr>
            <w:tcW w:w="1396" w:type="dxa"/>
            <w:noWrap w:val="0"/>
            <w:vAlign w:val="center"/>
          </w:tcPr>
          <w:p w14:paraId="31FE1D65">
            <w:pPr>
              <w:pageBreakBefore w:val="0"/>
              <w:widowControl w:val="0"/>
              <w:kinsoku/>
              <w:overflowPunct/>
              <w:autoSpaceDE/>
              <w:autoSpaceDN/>
              <w:bidi w:val="0"/>
              <w:adjustRightInd/>
              <w:snapToGrid/>
              <w:spacing w:after="0" w:line="240" w:lineRule="auto"/>
              <w:ind w:firstLine="0" w:firstLineChars="0"/>
              <w:jc w:val="center"/>
              <w:textAlignment w:val="auto"/>
              <w:rPr>
                <w:rFonts w:hint="eastAsia" w:asciiTheme="minorEastAsia" w:hAnsiTheme="minorEastAsia" w:eastAsiaTheme="minorEastAsia" w:cstheme="minorEastAsia"/>
                <w:b/>
                <w:bCs/>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eastAsia="zh-CN"/>
              </w:rPr>
              <w:t>说明</w:t>
            </w:r>
          </w:p>
        </w:tc>
      </w:tr>
      <w:tr w14:paraId="0D21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95" w:type="dxa"/>
            <w:noWrap w:val="0"/>
            <w:vAlign w:val="center"/>
          </w:tcPr>
          <w:p w14:paraId="00D69FFB">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eastAsia="zh-CN"/>
              </w:rPr>
            </w:pPr>
            <w:r>
              <w:rPr>
                <w:rFonts w:hint="eastAsia" w:asciiTheme="minorEastAsia" w:hAnsiTheme="minorEastAsia" w:eastAsiaTheme="minorEastAsia" w:cstheme="minorEastAsia"/>
                <w:snapToGrid/>
                <w:color w:val="auto"/>
                <w:kern w:val="2"/>
                <w:sz w:val="21"/>
                <w:szCs w:val="21"/>
                <w:highlight w:val="none"/>
                <w:lang w:eastAsia="zh-CN"/>
              </w:rPr>
              <w:t>1</w:t>
            </w:r>
          </w:p>
        </w:tc>
        <w:tc>
          <w:tcPr>
            <w:tcW w:w="1245" w:type="dxa"/>
            <w:shd w:val="clear" w:color="auto" w:fill="auto"/>
            <w:noWrap w:val="0"/>
            <w:vAlign w:val="center"/>
          </w:tcPr>
          <w:p w14:paraId="04E16A7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rPr>
            </w:pPr>
            <w:r>
              <w:rPr>
                <w:rFonts w:hint="eastAsia" w:asciiTheme="minorEastAsia" w:hAnsiTheme="minorEastAsia" w:eastAsiaTheme="minorEastAsia" w:cstheme="minorEastAsia"/>
                <w:b w:val="0"/>
                <w:bCs w:val="0"/>
                <w:color w:val="auto"/>
                <w:kern w:val="0"/>
                <w:sz w:val="21"/>
                <w:szCs w:val="21"/>
                <w:highlight w:val="none"/>
                <w:u w:val="none"/>
              </w:rPr>
              <w:t>报价</w:t>
            </w:r>
          </w:p>
          <w:p w14:paraId="4A0681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u w:val="none"/>
              </w:rPr>
              <w:t>（</w:t>
            </w:r>
            <w:r>
              <w:rPr>
                <w:rFonts w:hint="eastAsia" w:asciiTheme="minorEastAsia" w:hAnsiTheme="minorEastAsia" w:eastAsiaTheme="minorEastAsia" w:cstheme="minorEastAsia"/>
                <w:b w:val="0"/>
                <w:bCs w:val="0"/>
                <w:color w:val="auto"/>
                <w:kern w:val="0"/>
                <w:sz w:val="21"/>
                <w:szCs w:val="21"/>
                <w:highlight w:val="none"/>
                <w:u w:val="none"/>
                <w:lang w:val="en-US" w:eastAsia="zh-CN"/>
              </w:rPr>
              <w:t>30</w:t>
            </w:r>
            <w:r>
              <w:rPr>
                <w:rFonts w:hint="eastAsia" w:asciiTheme="minorEastAsia" w:hAnsiTheme="minorEastAsia" w:eastAsiaTheme="minorEastAsia" w:cstheme="minorEastAsia"/>
                <w:b w:val="0"/>
                <w:bCs w:val="0"/>
                <w:color w:val="auto"/>
                <w:kern w:val="0"/>
                <w:sz w:val="21"/>
                <w:szCs w:val="21"/>
                <w:highlight w:val="none"/>
                <w:u w:val="none"/>
              </w:rPr>
              <w:t>%）</w:t>
            </w:r>
          </w:p>
        </w:tc>
        <w:tc>
          <w:tcPr>
            <w:tcW w:w="1080" w:type="dxa"/>
            <w:shd w:val="clear" w:color="auto" w:fill="auto"/>
            <w:noWrap w:val="0"/>
            <w:vAlign w:val="center"/>
          </w:tcPr>
          <w:p w14:paraId="60D216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bidi="ar-SA"/>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30</w:t>
            </w:r>
            <w:r>
              <w:rPr>
                <w:rFonts w:hint="eastAsia" w:asciiTheme="minorEastAsia" w:hAnsiTheme="minorEastAsia" w:eastAsiaTheme="minorEastAsia" w:cstheme="minorEastAsia"/>
                <w:b w:val="0"/>
                <w:bCs w:val="0"/>
                <w:color w:val="auto"/>
                <w:kern w:val="0"/>
                <w:sz w:val="21"/>
                <w:szCs w:val="21"/>
                <w:highlight w:val="none"/>
                <w:u w:val="none"/>
              </w:rPr>
              <w:t>分</w:t>
            </w:r>
          </w:p>
        </w:tc>
        <w:tc>
          <w:tcPr>
            <w:tcW w:w="4798" w:type="dxa"/>
            <w:shd w:val="clear" w:color="auto" w:fill="auto"/>
            <w:noWrap w:val="0"/>
            <w:vAlign w:val="center"/>
          </w:tcPr>
          <w:p w14:paraId="23F7852E">
            <w:pPr>
              <w:pStyle w:val="47"/>
              <w:keepNext w:val="0"/>
              <w:keepLines w:val="0"/>
              <w:pageBreakBefore w:val="0"/>
              <w:widowControl w:val="0"/>
              <w:tabs>
                <w:tab w:val="left" w:pos="0"/>
              </w:tabs>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成都市发展和改革委员会官方网站”费率：以满足招标文件要求且费率最低的投标报价为评标基准价，其价格分为满分。其他投标人的价格分统一按照下列公式计算：投标报价得分=【评标基准价／投标费率】×15。</w:t>
            </w:r>
          </w:p>
          <w:p w14:paraId="22D11CDA">
            <w:pPr>
              <w:pStyle w:val="47"/>
              <w:keepNext w:val="0"/>
              <w:keepLines w:val="0"/>
              <w:pageBreakBefore w:val="0"/>
              <w:widowControl w:val="0"/>
              <w:tabs>
                <w:tab w:val="left" w:pos="0"/>
              </w:tabs>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在采购单位周边（成都市金堂县淮口镇）菜市场考察的零售价格费率：以满足招标文件要求且费率最低的投标报价为评标基准价，其价格分为满分。其他投标人的价格分统一按照下列公式计算：投标报价得分=【评标基准价／投标费率】×15。</w:t>
            </w:r>
          </w:p>
          <w:p w14:paraId="7769B84F">
            <w:pPr>
              <w:pStyle w:val="47"/>
              <w:keepNext w:val="0"/>
              <w:keepLines w:val="0"/>
              <w:pageBreakBefore w:val="0"/>
              <w:widowControl w:val="0"/>
              <w:tabs>
                <w:tab w:val="left" w:pos="0"/>
              </w:tabs>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以上2项得分汇总后为该投标人最终报价得分。</w:t>
            </w:r>
          </w:p>
        </w:tc>
        <w:tc>
          <w:tcPr>
            <w:tcW w:w="1396" w:type="dxa"/>
            <w:noWrap w:val="0"/>
            <w:vAlign w:val="center"/>
          </w:tcPr>
          <w:p w14:paraId="5A056E8D">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snapToGrid/>
                <w:color w:val="auto"/>
                <w:kern w:val="2"/>
                <w:sz w:val="21"/>
                <w:szCs w:val="21"/>
                <w:highlight w:val="none"/>
                <w:lang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bidi="ar-SA"/>
              </w:rPr>
              <w:t>评标过程中，不得去掉报价中的最高报价和最低报价。</w:t>
            </w:r>
          </w:p>
        </w:tc>
      </w:tr>
      <w:tr w14:paraId="6287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5" w:type="dxa"/>
            <w:vMerge w:val="restart"/>
            <w:noWrap w:val="0"/>
            <w:vAlign w:val="center"/>
          </w:tcPr>
          <w:p w14:paraId="2C31AD38">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r>
              <w:rPr>
                <w:rFonts w:hint="eastAsia" w:asciiTheme="minorEastAsia" w:hAnsiTheme="minorEastAsia" w:eastAsiaTheme="minorEastAsia" w:cstheme="minorEastAsia"/>
                <w:snapToGrid/>
                <w:color w:val="auto"/>
                <w:kern w:val="2"/>
                <w:sz w:val="21"/>
                <w:szCs w:val="21"/>
                <w:highlight w:val="none"/>
                <w:lang w:val="en-US" w:eastAsia="zh-CN"/>
              </w:rPr>
              <w:t>2</w:t>
            </w:r>
          </w:p>
        </w:tc>
        <w:tc>
          <w:tcPr>
            <w:tcW w:w="1245" w:type="dxa"/>
            <w:vMerge w:val="restart"/>
            <w:shd w:val="clear" w:color="auto" w:fill="auto"/>
            <w:noWrap w:val="0"/>
            <w:vAlign w:val="center"/>
          </w:tcPr>
          <w:p w14:paraId="71D17CA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0B8B8A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08FB60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E3C63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F2B85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A7621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6BAD35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361A3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0E3251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1E2339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EA70F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54875A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8E48E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5C9AF84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6FE2C0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C371E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89404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C122C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B9341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A845C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91E77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9043C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服务部分</w:t>
            </w:r>
            <w:r>
              <w:rPr>
                <w:rFonts w:hint="eastAsia" w:asciiTheme="minorEastAsia" w:hAnsiTheme="minorEastAsia" w:eastAsiaTheme="minorEastAsia" w:cstheme="minorEastAsia"/>
                <w:b w:val="0"/>
                <w:bCs w:val="0"/>
                <w:color w:val="auto"/>
                <w:kern w:val="0"/>
                <w:sz w:val="21"/>
                <w:szCs w:val="21"/>
                <w:highlight w:val="none"/>
                <w:u w:val="none"/>
                <w:lang w:val="en-US" w:eastAsia="zh-CN"/>
              </w:rPr>
              <w:br w:type="textWrapping"/>
            </w:r>
            <w:r>
              <w:rPr>
                <w:rFonts w:hint="eastAsia" w:asciiTheme="minorEastAsia" w:hAnsiTheme="minorEastAsia" w:eastAsiaTheme="minorEastAsia" w:cstheme="minorEastAsia"/>
                <w:b w:val="0"/>
                <w:bCs w:val="0"/>
                <w:color w:val="auto"/>
                <w:kern w:val="0"/>
                <w:sz w:val="21"/>
                <w:szCs w:val="21"/>
                <w:highlight w:val="none"/>
                <w:u w:val="none"/>
                <w:lang w:val="en-US" w:eastAsia="zh-CN"/>
              </w:rPr>
              <w:t>（22％）</w:t>
            </w:r>
          </w:p>
          <w:p w14:paraId="5737422D">
            <w:pPr>
              <w:pStyle w:val="71"/>
              <w:pageBreakBefore w:val="0"/>
              <w:kinsoku/>
              <w:overflowPunct/>
              <w:bidi w:val="0"/>
              <w:ind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44D874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规章制度（5分）</w:t>
            </w:r>
          </w:p>
        </w:tc>
        <w:tc>
          <w:tcPr>
            <w:tcW w:w="4798" w:type="dxa"/>
            <w:shd w:val="clear" w:color="auto" w:fill="auto"/>
            <w:noWrap w:val="0"/>
            <w:vAlign w:val="center"/>
          </w:tcPr>
          <w:p w14:paraId="788718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对投标人针对本项目制定的规章制度[包含①食材配送服务人员管理制度（为实现本项目配送服务目标任务，投标人内部设置的组织机构及岗位职责，人员培训及考核制度等）；②食材配送服务卫生管理制度（应包含配送服务全过程卫生要求，仓储设备、配送装备及配送人员的卫生要求，配送服务过程中的卫生检查及处罚措施等）；③食材安全查验制度（根据国家标准、行业要求，投标人针对食材原材料查验、食材储存过程中、交货后环节的食材安全查验制度等）；④食材配送服务安全运送制度（为实现本项目配送服务目标任务，投标人内部的人员安排、路线安排、考核奖惩办法等）；⑤库房安全管理制度（为保障食材供应及配送，库房日常管理制度、库房安全检查制度、消防制度等）]进行评审；涵盖以上内容且不存在缺陷得5分，在此基础上，每缺少一项内容扣1分，每项中每有一处内容存在缺陷扣0.5分，扣完为止。</w:t>
            </w:r>
          </w:p>
          <w:p w14:paraId="4CD375D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tc>
        <w:tc>
          <w:tcPr>
            <w:tcW w:w="1396" w:type="dxa"/>
            <w:vMerge w:val="restart"/>
            <w:noWrap w:val="0"/>
            <w:vAlign w:val="center"/>
          </w:tcPr>
          <w:p w14:paraId="4BD85EE3">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5763249">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F10ADC8">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1D2660D4">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B929A69">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84C8085">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5F6A302E">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06EABEAA">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E4C1FA3">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F266E8C">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3198C75">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02486871">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688FD0BF">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66953A3">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18D81DCC">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91F730F">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A9AD8FE">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3C4D51D7">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1E8A1EB6">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1B234E31">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684E6D55">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2B4E3B75">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snapToGrid/>
                <w:color w:val="auto"/>
                <w:kern w:val="2"/>
                <w:sz w:val="21"/>
                <w:szCs w:val="21"/>
                <w:highlight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注：“缺陷”是指：①本项目提供的方案中引用法律法规、规范、标准或其他规范性文件存在失效或错误；②非专门针对本项目或内容与本项目需求无关或不符；③复制或套用其他项目内容；④仅原文照搬采购需求，未结合项目实际作出针对性详细阐述，内容缺乏细化落地说明；以上任意一种情形。</w:t>
            </w:r>
          </w:p>
        </w:tc>
      </w:tr>
      <w:tr w14:paraId="3E9F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5" w:type="dxa"/>
            <w:vMerge w:val="continue"/>
            <w:noWrap w:val="0"/>
            <w:vAlign w:val="center"/>
          </w:tcPr>
          <w:p w14:paraId="5C8C7A83">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6374BB72">
            <w:pPr>
              <w:pStyle w:val="71"/>
              <w:pageBreakBefore w:val="0"/>
              <w:kinsoku/>
              <w:overflowPunct/>
              <w:bidi w:val="0"/>
              <w:ind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59C236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配送方案（4分）</w:t>
            </w:r>
          </w:p>
        </w:tc>
        <w:tc>
          <w:tcPr>
            <w:tcW w:w="4798" w:type="dxa"/>
            <w:shd w:val="clear" w:color="auto" w:fill="auto"/>
            <w:noWrap w:val="0"/>
            <w:vAlign w:val="center"/>
          </w:tcPr>
          <w:p w14:paraId="1D2DBC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对投标人针对本项目制定的配送方案｛包含①食材仓储及出入库管理保障方案[根据采购需求提供针对食品仓储和出入库管理方案，应当包含建立的管理团队、执行团队，且分工明确，岗位职能清晰以及权限范围可追溯，提供本项目具体的针对食品需求开展原材料保存、入库的管理和分拣、出库及配送管理等]；②食材配送时效性及保障措施[应当根据采购人实际情况，提供本项目采购内容的具体及时的配送时间安排等]；③食材配送流程及保障措施(含地理因素及配送路线等)[结合供应商实际情况及采购人地理位置、合理规划配送路线，提供本项目具体的执行方案等]④食材配送服务过程中保鲜等保障措施及方案[应当根据项目所在地的常年环境情况，提供本项目具体合理的食材配送建议以及食材保存建议等]｝进行评审：涵盖以上内容且不存在缺陷得4分，在此基础上，每缺少一项内容扣1分，每项中每有一处内容存在缺陷扣0.5分，扣完为止。</w:t>
            </w:r>
          </w:p>
        </w:tc>
        <w:tc>
          <w:tcPr>
            <w:tcW w:w="1396" w:type="dxa"/>
            <w:vMerge w:val="continue"/>
            <w:noWrap w:val="0"/>
            <w:vAlign w:val="center"/>
          </w:tcPr>
          <w:p w14:paraId="620B9FAD">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tc>
      </w:tr>
      <w:tr w14:paraId="70ED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5" w:type="dxa"/>
            <w:vMerge w:val="continue"/>
            <w:noWrap w:val="0"/>
            <w:vAlign w:val="center"/>
          </w:tcPr>
          <w:p w14:paraId="4BA8E58A">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4DF028B5">
            <w:pPr>
              <w:pStyle w:val="71"/>
              <w:pageBreakBefore w:val="0"/>
              <w:kinsoku/>
              <w:overflowPunct/>
              <w:bidi w:val="0"/>
              <w:ind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27B20D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售后服务及应急预案（7分）</w:t>
            </w:r>
          </w:p>
        </w:tc>
        <w:tc>
          <w:tcPr>
            <w:tcW w:w="4798" w:type="dxa"/>
            <w:shd w:val="clear" w:color="auto" w:fill="auto"/>
            <w:noWrap w:val="0"/>
            <w:vAlign w:val="center"/>
          </w:tcPr>
          <w:p w14:paraId="641BA67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对投标人针对本项目制定的售后服务及应急预案｛包含①售后服务人员构成[售后服务团队人员中具有团队管理人员、具体经办人员，各自分工明确]；②售后服务规章制度[及时对接并了解食材配送过程中是否出现的异常情况，有回访制度及投诉处理办法]；③退换货机制[对于采购人提出的合理退换货要求，应当在收到通知后30分钟内响应并在2个小时内退换，换出的食材应保障质量及供应，有专门的人员处理、监督，处理流程记录可追溯，针对本项目制定食品召回措施]；④应急保障方案[任务点紧急食材需求、突发事故、临时配送等情况下，提供本项目具体的应急团队人员安排，应分工明确，流程以及权限范围可追溯，能提供应急联系方式，有相应的措施，如车辆调配、路线变更、紧急采买]；⑤因发生短期影响正常配送的突发情况的应急配送方案[因交通事故、恶劣天气、终端市场波动、供应商内部经营变动等，提供本项目具体的应急团队人员安排，应分工明确，流程以及权限范围可追溯，能提供应急联系方式，在正常配送情况无法满足的情况下，有相应的处理措施，如车辆调配、路线变更、紧急采买，如配送食材发生变更，应提供应急检测，提供应急响应速度承诺及应急路线]；⑥食品原料质量或卫生安全引发食物中毒事故的应急处理预案[提供本项目具体的应急团队人员安排，应分工明确，流程以及权限范围可追溯，能提供应急联系方式，含主要负责人联系方式，发生事件后，主要负责人必须第一时间到达现场配合调查处理和安抚工作，并承担所有法律责任，同时提供应急处置方案及应急赔付方案，包括处理流程、处理方式，并做出所有流程记录]；⑦因发生重大公共卫生事件提供应急保障方案(如：大面积流行性疾病)[提供本项目具体的应急团队人员安排，应分工明确，流程以及权限范围可追溯，人员风险筛查、食材来源风险、载具消毒、防交叉感染]｝进行评审：涵盖以上内容且不存在缺陷得7分，在此基础上，每缺少一项内容扣1分，每项中每有一处内容存在缺陷扣0.5分，扣完为止。</w:t>
            </w:r>
          </w:p>
        </w:tc>
        <w:tc>
          <w:tcPr>
            <w:tcW w:w="1396" w:type="dxa"/>
            <w:vMerge w:val="continue"/>
            <w:noWrap w:val="0"/>
            <w:vAlign w:val="center"/>
          </w:tcPr>
          <w:p w14:paraId="286B9B91">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tc>
      </w:tr>
      <w:tr w14:paraId="12F4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5" w:type="dxa"/>
            <w:vMerge w:val="continue"/>
            <w:noWrap w:val="0"/>
            <w:vAlign w:val="center"/>
          </w:tcPr>
          <w:p w14:paraId="444F7EE8">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70D4E627">
            <w:pPr>
              <w:pStyle w:val="71"/>
              <w:pageBreakBefore w:val="0"/>
              <w:kinsoku/>
              <w:overflowPunct/>
              <w:bidi w:val="0"/>
              <w:ind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52E04F9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管理措施（6分）</w:t>
            </w:r>
          </w:p>
        </w:tc>
        <w:tc>
          <w:tcPr>
            <w:tcW w:w="4798" w:type="dxa"/>
            <w:shd w:val="clear" w:color="auto" w:fill="auto"/>
            <w:noWrap w:val="0"/>
            <w:vAlign w:val="center"/>
          </w:tcPr>
          <w:p w14:paraId="47FB8A6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根据招标文件相关要求，对投标人针对本项目制定的管理措施[包含①食品质量安全管理体系（应包含针对本次项目设定的食品的风险评估及管理、食品管理和监督检查、食品安全教育和培训）；②食品安全管控指标(应包含符合国家、地方食品相关产品中的致病性微生物、农药残留、兽药残留、重金属、污染物质以及其他危害人体健康物质的限量规定要求，对与食品安全、营养有关的标签、标识、说明书的要求，食品检验方法与规程)；③食品安全管理岗位责任(应明确各级岗位及人员，各自分工明确，流程以及权限范围可追溯，符合风险岗位可相互监督且不相容的原则)；④食品来源追溯体系(通过可追溯食品上的可追溯标签可以查看该食品的各种信息，了解食品的质量与安全性；该食品发生食品安全问题时，相关单位可以通过可追溯体系中的信息追溯和识别问题来源)；⑤食材安全事故处理流程及处理方法(应包含各类食材安全事故处理程序、应急保障、善后措施)；⑥食材配送质量及安全动态监管机制(包含食材配送各流程的质量保障制度、食品安全管理制度，应有监管机制和自查措施)]进行评审：涵盖以上内容且不存在缺陷得6分，在此基础上，每缺少一项内容扣1分，每项中每有一处内容存在缺陷扣0.5分，扣完为止。</w:t>
            </w:r>
          </w:p>
        </w:tc>
        <w:tc>
          <w:tcPr>
            <w:tcW w:w="1396" w:type="dxa"/>
            <w:vMerge w:val="continue"/>
            <w:noWrap w:val="0"/>
            <w:vAlign w:val="center"/>
          </w:tcPr>
          <w:p w14:paraId="27AB5F45">
            <w:pPr>
              <w:keepNext w:val="0"/>
              <w:keepLines w:val="0"/>
              <w:pageBreakBefore w:val="0"/>
              <w:widowControl w:val="0"/>
              <w:kinsoku/>
              <w:wordWrap/>
              <w:overflowPunct/>
              <w:topLinePunct w:val="0"/>
              <w:autoSpaceDE/>
              <w:autoSpaceDN/>
              <w:bidi w:val="0"/>
              <w:adjustRightInd/>
              <w:snapToGrid/>
              <w:spacing w:after="0" w:line="280" w:lineRule="exact"/>
              <w:ind w:firstLine="0" w:firstLineChars="0"/>
              <w:jc w:val="both"/>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tc>
      </w:tr>
      <w:tr w14:paraId="1583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395" w:type="dxa"/>
            <w:vMerge w:val="restart"/>
            <w:noWrap w:val="0"/>
            <w:vAlign w:val="center"/>
          </w:tcPr>
          <w:p w14:paraId="641895E8">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r>
              <w:rPr>
                <w:rFonts w:hint="eastAsia" w:asciiTheme="minorEastAsia" w:hAnsiTheme="minorEastAsia" w:eastAsiaTheme="minorEastAsia" w:cstheme="minorEastAsia"/>
                <w:snapToGrid/>
                <w:color w:val="auto"/>
                <w:kern w:val="2"/>
                <w:sz w:val="21"/>
                <w:szCs w:val="21"/>
                <w:highlight w:val="none"/>
                <w:lang w:val="en-US" w:eastAsia="zh-CN"/>
              </w:rPr>
              <w:t>3</w:t>
            </w:r>
          </w:p>
        </w:tc>
        <w:tc>
          <w:tcPr>
            <w:tcW w:w="1245" w:type="dxa"/>
            <w:vMerge w:val="restart"/>
            <w:shd w:val="clear" w:color="auto" w:fill="auto"/>
            <w:noWrap w:val="0"/>
            <w:vAlign w:val="center"/>
          </w:tcPr>
          <w:p w14:paraId="62ED53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91C46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44E3E1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p>
          <w:p w14:paraId="7FD70A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商务部分</w:t>
            </w:r>
            <w:r>
              <w:rPr>
                <w:rFonts w:hint="eastAsia" w:asciiTheme="minorEastAsia" w:hAnsiTheme="minorEastAsia" w:eastAsiaTheme="minorEastAsia" w:cstheme="minorEastAsia"/>
                <w:b w:val="0"/>
                <w:bCs w:val="0"/>
                <w:color w:val="auto"/>
                <w:kern w:val="0"/>
                <w:sz w:val="21"/>
                <w:szCs w:val="21"/>
                <w:highlight w:val="none"/>
                <w:u w:val="none"/>
                <w:lang w:val="en-US" w:eastAsia="zh-CN"/>
              </w:rPr>
              <w:br w:type="textWrapping"/>
            </w:r>
            <w:r>
              <w:rPr>
                <w:rFonts w:hint="eastAsia" w:asciiTheme="minorEastAsia" w:hAnsiTheme="minorEastAsia" w:eastAsiaTheme="minorEastAsia" w:cstheme="minorEastAsia"/>
                <w:b w:val="0"/>
                <w:bCs w:val="0"/>
                <w:color w:val="auto"/>
                <w:kern w:val="0"/>
                <w:sz w:val="21"/>
                <w:szCs w:val="21"/>
                <w:highlight w:val="none"/>
                <w:u w:val="none"/>
                <w:lang w:val="en-US" w:eastAsia="zh-CN"/>
              </w:rPr>
              <w:t>（48％）</w:t>
            </w:r>
          </w:p>
          <w:p w14:paraId="3F42D000">
            <w:pPr>
              <w:pStyle w:val="71"/>
              <w:pageBreakBefore w:val="0"/>
              <w:numPr>
                <w:ilvl w:val="4"/>
                <w:numId w:val="0"/>
              </w:numPr>
              <w:kinsoku/>
              <w:overflowPunct/>
              <w:bidi w:val="0"/>
              <w:ind w:firstLine="0" w:firstLineChars="0"/>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44B095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配送保障（6分）</w:t>
            </w:r>
          </w:p>
        </w:tc>
        <w:tc>
          <w:tcPr>
            <w:tcW w:w="4798" w:type="dxa"/>
            <w:shd w:val="clear" w:color="auto" w:fill="auto"/>
            <w:noWrap w:val="0"/>
            <w:vAlign w:val="center"/>
          </w:tcPr>
          <w:p w14:paraId="12F4EFF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在满足招标文件要求的基础上，每增加运输专用冷藏车辆1辆加2分，本项最多得6分。</w:t>
            </w:r>
          </w:p>
          <w:p w14:paraId="67D10C6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注：(1)提供车辆年审年检合格的行驶证、购置发票（或租赁合同）、交强险保单复印件。</w:t>
            </w:r>
          </w:p>
          <w:p w14:paraId="3385DD4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(2)车辆内外部实景照片(外部照片应为车辆外观和车辆号牌的同框实景照片，内部照片应为货箱内景和车辆号牌的同框实景照片)。</w:t>
            </w:r>
          </w:p>
          <w:p w14:paraId="1D700AB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（3）运输专用冷藏车辆需提供冷藏设备照片。</w:t>
            </w:r>
          </w:p>
          <w:p w14:paraId="12F3FF5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（4）未按要求提供证明材料不纳入评分计算范围。</w:t>
            </w:r>
          </w:p>
        </w:tc>
        <w:tc>
          <w:tcPr>
            <w:tcW w:w="1396" w:type="dxa"/>
            <w:noWrap w:val="0"/>
            <w:vAlign w:val="center"/>
          </w:tcPr>
          <w:p w14:paraId="7C355FFE">
            <w:pPr>
              <w:pStyle w:val="71"/>
              <w:pageBreakBefore w:val="0"/>
              <w:kinsoku/>
              <w:wordWrap/>
              <w:overflowPunct/>
              <w:topLinePunct w:val="0"/>
              <w:autoSpaceDE/>
              <w:autoSpaceDN/>
              <w:bidi w:val="0"/>
              <w:adjustRightInd/>
              <w:snapToGrid/>
              <w:spacing w:line="200" w:lineRule="exact"/>
              <w:ind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p>
        </w:tc>
      </w:tr>
      <w:tr w14:paraId="5A81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395" w:type="dxa"/>
            <w:vMerge w:val="continue"/>
            <w:noWrap w:val="0"/>
            <w:vAlign w:val="center"/>
          </w:tcPr>
          <w:p w14:paraId="729FDC2F">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3FA1C456">
            <w:pPr>
              <w:pStyle w:val="71"/>
              <w:pageBreakBefore w:val="0"/>
              <w:numPr>
                <w:ilvl w:val="4"/>
                <w:numId w:val="0"/>
              </w:numPr>
              <w:kinsoku/>
              <w:overflowPunct/>
              <w:bidi w:val="0"/>
              <w:ind w:firstLine="0" w:firstLineChars="0"/>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019758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人员保障（12分）</w:t>
            </w:r>
          </w:p>
        </w:tc>
        <w:tc>
          <w:tcPr>
            <w:tcW w:w="4798" w:type="dxa"/>
            <w:shd w:val="clear" w:color="auto" w:fill="auto"/>
            <w:noWrap w:val="0"/>
            <w:vAlign w:val="center"/>
          </w:tcPr>
          <w:p w14:paraId="74A59F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1、在满足招标文件要求的基础上，每增加专职配送服务人员1人加2分，本项最多得6分。</w:t>
            </w:r>
          </w:p>
          <w:p w14:paraId="3288B29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2、在满足招标文件要求的基础上，每增加专职驾驶员1人加2分，本项最多得6分。</w:t>
            </w:r>
          </w:p>
          <w:p w14:paraId="1C23A94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注：(1)提供专职配送服务人员的有效身份证复印件、健康证复印件、</w:t>
            </w:r>
            <w:r>
              <w:rPr>
                <w:rFonts w:hint="eastAsia" w:asciiTheme="minorEastAsia" w:hAnsiTheme="minorEastAsia" w:eastAsiaTheme="minorEastAsia" w:cstheme="minorEastAsia"/>
                <w:color w:val="auto"/>
                <w:kern w:val="2"/>
                <w:sz w:val="21"/>
                <w:szCs w:val="21"/>
                <w:highlight w:val="none"/>
                <w:lang w:val="en-US" w:eastAsia="zh-CN"/>
              </w:rPr>
              <w:t>2026年1月1日至投标截止时间任意一月的社保证明复印件或劳动合同复印件并加盖投标人公章</w:t>
            </w:r>
            <w:r>
              <w:rPr>
                <w:rFonts w:hint="eastAsia" w:asciiTheme="minorEastAsia" w:hAnsiTheme="minorEastAsia" w:eastAsiaTheme="minorEastAsia" w:cstheme="minorEastAsia"/>
                <w:color w:val="auto"/>
                <w:sz w:val="21"/>
                <w:szCs w:val="21"/>
                <w:highlight w:val="none"/>
                <w:lang w:eastAsia="zh-CN"/>
              </w:rPr>
              <w:t>。</w:t>
            </w:r>
          </w:p>
          <w:p w14:paraId="3C50F0B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(2)提供专职驾驶员的有效驾驶证复印件(应符合专用车辆驾驶要求)，身份证复印件、</w:t>
            </w:r>
            <w:r>
              <w:rPr>
                <w:rFonts w:hint="eastAsia" w:asciiTheme="minorEastAsia" w:hAnsiTheme="minorEastAsia" w:eastAsiaTheme="minorEastAsia" w:cstheme="minorEastAsia"/>
                <w:color w:val="auto"/>
                <w:kern w:val="2"/>
                <w:sz w:val="21"/>
                <w:szCs w:val="21"/>
                <w:highlight w:val="none"/>
                <w:lang w:val="en-US" w:eastAsia="zh-CN"/>
              </w:rPr>
              <w:t>2026年1月1日至投标截止时间任意一月的社保证明复印件或劳动合同复印件并加盖投标人公章</w:t>
            </w:r>
            <w:r>
              <w:rPr>
                <w:rFonts w:hint="eastAsia" w:asciiTheme="minorEastAsia" w:hAnsiTheme="minorEastAsia" w:eastAsiaTheme="minorEastAsia" w:cstheme="minorEastAsia"/>
                <w:color w:val="auto"/>
                <w:sz w:val="21"/>
                <w:szCs w:val="21"/>
                <w:highlight w:val="none"/>
                <w:lang w:eastAsia="zh-CN"/>
              </w:rPr>
              <w:t>。</w:t>
            </w:r>
          </w:p>
          <w:p w14:paraId="64A630C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(3)投标人所提供人员身份证、健康证、在职证明材料等有关人员信息应为一致，如不一致，则视为相关人员不符合项目条件要求，不纳入评分计算范围。</w:t>
            </w:r>
          </w:p>
          <w:p w14:paraId="762A5E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(4)增加的专职人员不得兼任本项目其他职务（提供承诺函）。</w:t>
            </w:r>
          </w:p>
        </w:tc>
        <w:tc>
          <w:tcPr>
            <w:tcW w:w="1396" w:type="dxa"/>
            <w:noWrap w:val="0"/>
            <w:vAlign w:val="center"/>
          </w:tcPr>
          <w:p w14:paraId="02148FAD">
            <w:pPr>
              <w:pStyle w:val="71"/>
              <w:pageBreakBefore w:val="0"/>
              <w:kinsoku/>
              <w:wordWrap/>
              <w:overflowPunct/>
              <w:topLinePunct w:val="0"/>
              <w:autoSpaceDE/>
              <w:autoSpaceDN/>
              <w:bidi w:val="0"/>
              <w:adjustRightInd/>
              <w:snapToGrid/>
              <w:spacing w:line="200" w:lineRule="exact"/>
              <w:ind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p>
        </w:tc>
      </w:tr>
      <w:tr w14:paraId="388D8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395" w:type="dxa"/>
            <w:vMerge w:val="continue"/>
            <w:noWrap w:val="0"/>
            <w:vAlign w:val="center"/>
          </w:tcPr>
          <w:p w14:paraId="5DAFBC26">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3820477A">
            <w:pPr>
              <w:pStyle w:val="71"/>
              <w:pageBreakBefore w:val="0"/>
              <w:numPr>
                <w:ilvl w:val="4"/>
                <w:numId w:val="0"/>
              </w:numPr>
              <w:kinsoku/>
              <w:overflowPunct/>
              <w:bidi w:val="0"/>
              <w:ind w:firstLine="0" w:firstLineChars="0"/>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2E24DD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食品安全保障（6分）</w:t>
            </w:r>
          </w:p>
        </w:tc>
        <w:tc>
          <w:tcPr>
            <w:tcW w:w="4798" w:type="dxa"/>
            <w:shd w:val="clear" w:color="auto" w:fill="auto"/>
            <w:noWrap w:val="0"/>
            <w:vAlign w:val="center"/>
          </w:tcPr>
          <w:p w14:paraId="316953F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投标人承诺中标后针对本项目食品安全保障购买食品安全责任保险的，且保险有效期需覆盖本项目服务期限，承保额度达到1.2亿元(含)的得6分，本项最多得6分。其余不得分。</w:t>
            </w:r>
          </w:p>
          <w:p w14:paraId="55BD7F2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注：提供承诺函原件(须明确承保额度，未明确承保额度的不得分)。</w:t>
            </w:r>
          </w:p>
        </w:tc>
        <w:tc>
          <w:tcPr>
            <w:tcW w:w="1396" w:type="dxa"/>
            <w:noWrap w:val="0"/>
            <w:vAlign w:val="center"/>
          </w:tcPr>
          <w:p w14:paraId="7F215462">
            <w:pPr>
              <w:pStyle w:val="71"/>
              <w:pageBreakBefore w:val="0"/>
              <w:kinsoku/>
              <w:wordWrap/>
              <w:overflowPunct/>
              <w:topLinePunct w:val="0"/>
              <w:autoSpaceDE/>
              <w:autoSpaceDN/>
              <w:bidi w:val="0"/>
              <w:adjustRightInd/>
              <w:snapToGrid/>
              <w:spacing w:line="200" w:lineRule="exact"/>
              <w:ind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p>
        </w:tc>
      </w:tr>
      <w:tr w14:paraId="54B51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395" w:type="dxa"/>
            <w:vMerge w:val="continue"/>
            <w:noWrap w:val="0"/>
            <w:vAlign w:val="center"/>
          </w:tcPr>
          <w:p w14:paraId="67157FAC">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1D107A13">
            <w:pPr>
              <w:pStyle w:val="71"/>
              <w:pageBreakBefore w:val="0"/>
              <w:numPr>
                <w:ilvl w:val="4"/>
                <w:numId w:val="0"/>
              </w:numPr>
              <w:kinsoku/>
              <w:overflowPunct/>
              <w:bidi w:val="0"/>
              <w:ind w:firstLine="0" w:firstLineChars="0"/>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349C9E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认证证书（4分）</w:t>
            </w:r>
          </w:p>
        </w:tc>
        <w:tc>
          <w:tcPr>
            <w:tcW w:w="4798" w:type="dxa"/>
            <w:shd w:val="clear" w:color="auto" w:fill="auto"/>
            <w:noWrap w:val="0"/>
            <w:vAlign w:val="center"/>
          </w:tcPr>
          <w:p w14:paraId="457535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1、投标人通过食品安全管理体系认证得2分；</w:t>
            </w:r>
          </w:p>
          <w:p w14:paraId="109610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2、投标人通过ISO28000供应链安全管理体系认证得2分。</w:t>
            </w:r>
          </w:p>
          <w:p w14:paraId="7442FAC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注：投标人须提供评审内容中要求的有效期内证明文件复印件，加盖投标人公章作为得分依据，管理体系认证需提供中国国家认证认可监督管理委员会网站http://www.cnca.gov.cn截图。）</w:t>
            </w:r>
          </w:p>
        </w:tc>
        <w:tc>
          <w:tcPr>
            <w:tcW w:w="1396" w:type="dxa"/>
            <w:noWrap w:val="0"/>
            <w:vAlign w:val="center"/>
          </w:tcPr>
          <w:p w14:paraId="5B9B6904">
            <w:pPr>
              <w:pStyle w:val="71"/>
              <w:pageBreakBefore w:val="0"/>
              <w:kinsoku/>
              <w:wordWrap/>
              <w:overflowPunct/>
              <w:topLinePunct w:val="0"/>
              <w:autoSpaceDE/>
              <w:autoSpaceDN/>
              <w:bidi w:val="0"/>
              <w:adjustRightInd/>
              <w:snapToGrid/>
              <w:spacing w:line="200" w:lineRule="exact"/>
              <w:ind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p>
        </w:tc>
      </w:tr>
      <w:tr w14:paraId="02B5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trPr>
        <w:tc>
          <w:tcPr>
            <w:tcW w:w="395" w:type="dxa"/>
            <w:vMerge w:val="continue"/>
            <w:noWrap w:val="0"/>
            <w:vAlign w:val="center"/>
          </w:tcPr>
          <w:p w14:paraId="41E7DDAA">
            <w:pPr>
              <w:keepNext w:val="0"/>
              <w:keepLines w:val="0"/>
              <w:pageBreakBefore w:val="0"/>
              <w:widowControl w:val="0"/>
              <w:kinsoku/>
              <w:wordWrap/>
              <w:overflowPunct/>
              <w:topLinePunct w:val="0"/>
              <w:autoSpaceDE/>
              <w:autoSpaceDN/>
              <w:bidi w:val="0"/>
              <w:adjustRightInd/>
              <w:snapToGrid/>
              <w:spacing w:after="0" w:line="320" w:lineRule="exact"/>
              <w:ind w:firstLine="0" w:firstLineChars="0"/>
              <w:jc w:val="center"/>
              <w:textAlignment w:val="auto"/>
              <w:rPr>
                <w:rFonts w:hint="eastAsia" w:asciiTheme="minorEastAsia" w:hAnsiTheme="minorEastAsia" w:eastAsiaTheme="minorEastAsia" w:cstheme="minorEastAsia"/>
                <w:snapToGrid/>
                <w:color w:val="auto"/>
                <w:kern w:val="2"/>
                <w:sz w:val="21"/>
                <w:szCs w:val="21"/>
                <w:highlight w:val="none"/>
                <w:lang w:val="en-US" w:eastAsia="zh-CN"/>
              </w:rPr>
            </w:pPr>
          </w:p>
        </w:tc>
        <w:tc>
          <w:tcPr>
            <w:tcW w:w="1245" w:type="dxa"/>
            <w:vMerge w:val="continue"/>
            <w:shd w:val="clear" w:color="auto" w:fill="auto"/>
            <w:noWrap w:val="0"/>
            <w:vAlign w:val="center"/>
          </w:tcPr>
          <w:p w14:paraId="7A4C7CC7">
            <w:pPr>
              <w:pStyle w:val="71"/>
              <w:pageBreakBefore w:val="0"/>
              <w:numPr>
                <w:ilvl w:val="4"/>
                <w:numId w:val="0"/>
              </w:numPr>
              <w:kinsoku/>
              <w:overflowPunct/>
              <w:bidi w:val="0"/>
              <w:ind w:firstLine="0" w:firstLineChars="0"/>
              <w:rPr>
                <w:rFonts w:hint="eastAsia" w:asciiTheme="minorEastAsia" w:hAnsiTheme="minorEastAsia" w:eastAsiaTheme="minorEastAsia" w:cstheme="minorEastAsia"/>
                <w:color w:val="auto"/>
                <w:sz w:val="21"/>
                <w:szCs w:val="21"/>
                <w:highlight w:val="none"/>
                <w:lang w:val="en-US" w:eastAsia="zh-CN"/>
              </w:rPr>
            </w:pPr>
          </w:p>
        </w:tc>
        <w:tc>
          <w:tcPr>
            <w:tcW w:w="1080" w:type="dxa"/>
            <w:shd w:val="clear" w:color="auto" w:fill="auto"/>
            <w:noWrap w:val="0"/>
            <w:vAlign w:val="center"/>
          </w:tcPr>
          <w:p w14:paraId="3F95FB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heme="minorEastAsia" w:hAnsiTheme="minorEastAsia" w:eastAsiaTheme="minorEastAsia" w:cstheme="minorEastAsia"/>
                <w:b w:val="0"/>
                <w:bCs w:val="0"/>
                <w:color w:val="auto"/>
                <w:kern w:val="0"/>
                <w:sz w:val="21"/>
                <w:szCs w:val="21"/>
                <w:highlight w:val="none"/>
                <w:u w:val="none"/>
                <w:lang w:val="en-US" w:eastAsia="zh-CN"/>
              </w:rPr>
            </w:pPr>
            <w:r>
              <w:rPr>
                <w:rFonts w:hint="eastAsia" w:asciiTheme="minorEastAsia" w:hAnsiTheme="minorEastAsia" w:eastAsiaTheme="minorEastAsia" w:cstheme="minorEastAsia"/>
                <w:b w:val="0"/>
                <w:bCs w:val="0"/>
                <w:color w:val="auto"/>
                <w:kern w:val="0"/>
                <w:sz w:val="21"/>
                <w:szCs w:val="21"/>
                <w:highlight w:val="none"/>
                <w:u w:val="none"/>
                <w:lang w:val="en-US" w:eastAsia="zh-CN"/>
              </w:rPr>
              <w:t>履约经验（20分）</w:t>
            </w:r>
          </w:p>
        </w:tc>
        <w:tc>
          <w:tcPr>
            <w:tcW w:w="4798" w:type="dxa"/>
            <w:shd w:val="clear" w:color="auto" w:fill="auto"/>
            <w:noWrap w:val="0"/>
            <w:vAlign w:val="center"/>
          </w:tcPr>
          <w:p w14:paraId="45260DB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投标人2023年1月1日(合同履约起始时间)至本项目投标截止时间有类似项目的履约经验，每提供一个得2分，本项最多得20分。</w:t>
            </w:r>
          </w:p>
          <w:p w14:paraId="34755F2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注：投标人须提供对应项目采购合同复印件或供货协议复印件，同时附该项目至少一份回款证明复印件作为佐证材料。</w:t>
            </w:r>
          </w:p>
        </w:tc>
        <w:tc>
          <w:tcPr>
            <w:tcW w:w="1396" w:type="dxa"/>
            <w:noWrap w:val="0"/>
            <w:vAlign w:val="center"/>
          </w:tcPr>
          <w:p w14:paraId="7647BD8A">
            <w:pPr>
              <w:pStyle w:val="71"/>
              <w:pageBreakBefore w:val="0"/>
              <w:kinsoku/>
              <w:wordWrap/>
              <w:overflowPunct/>
              <w:topLinePunct w:val="0"/>
              <w:autoSpaceDE/>
              <w:autoSpaceDN/>
              <w:bidi w:val="0"/>
              <w:adjustRightInd/>
              <w:snapToGrid/>
              <w:spacing w:line="200" w:lineRule="exact"/>
              <w:ind w:firstLine="0" w:firstLineChars="0"/>
              <w:textAlignment w:val="auto"/>
              <w:rPr>
                <w:rFonts w:hint="eastAsia" w:asciiTheme="minorEastAsia" w:hAnsiTheme="minorEastAsia" w:eastAsiaTheme="minorEastAsia" w:cstheme="minorEastAsia"/>
                <w:color w:val="auto"/>
                <w:sz w:val="21"/>
                <w:szCs w:val="21"/>
                <w:highlight w:val="none"/>
                <w:lang w:val="en-US" w:eastAsia="zh-CN"/>
              </w:rPr>
            </w:pPr>
          </w:p>
        </w:tc>
      </w:tr>
      <w:tr w14:paraId="52EA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914" w:type="dxa"/>
            <w:gridSpan w:val="5"/>
            <w:noWrap w:val="0"/>
            <w:vAlign w:val="center"/>
          </w:tcPr>
          <w:p w14:paraId="36FC910D">
            <w:pPr>
              <w:keepNext w:val="0"/>
              <w:keepLines w:val="0"/>
              <w:pageBreakBefore w:val="0"/>
              <w:widowControl/>
              <w:kinsoku/>
              <w:wordWrap/>
              <w:overflowPunct/>
              <w:topLinePunct w:val="0"/>
              <w:autoSpaceDE/>
              <w:autoSpaceDN/>
              <w:bidi w:val="0"/>
              <w:adjustRightInd/>
              <w:snapToGrid/>
              <w:spacing w:line="320" w:lineRule="exact"/>
              <w:ind w:firstLine="0" w:firstLineChars="0"/>
              <w:jc w:val="both"/>
              <w:textAlignment w:val="auto"/>
              <w:rPr>
                <w:rFonts w:hint="eastAsia" w:asciiTheme="minorEastAsia" w:hAnsiTheme="minorEastAsia" w:eastAsiaTheme="minorEastAsia" w:cstheme="minorEastAsia"/>
                <w:snapToGrid/>
                <w:color w:val="auto"/>
                <w:kern w:val="2"/>
                <w:sz w:val="21"/>
                <w:szCs w:val="21"/>
                <w:highlight w:val="none"/>
                <w:lang w:eastAsia="zh-CN"/>
              </w:rPr>
            </w:pPr>
            <w:r>
              <w:rPr>
                <w:rFonts w:hint="eastAsia" w:asciiTheme="minorEastAsia" w:hAnsiTheme="minorEastAsia" w:eastAsiaTheme="minorEastAsia" w:cstheme="minorEastAsia"/>
                <w:b/>
                <w:bCs/>
                <w:snapToGrid/>
                <w:color w:val="auto"/>
                <w:kern w:val="2"/>
                <w:sz w:val="21"/>
                <w:szCs w:val="21"/>
                <w:highlight w:val="none"/>
                <w:lang w:val="zh-CN" w:eastAsia="zh-CN"/>
              </w:rPr>
              <w:t>备注：</w:t>
            </w:r>
            <w:r>
              <w:rPr>
                <w:rFonts w:hint="eastAsia" w:asciiTheme="minorEastAsia" w:hAnsiTheme="minorEastAsia" w:eastAsiaTheme="minorEastAsia" w:cstheme="minorEastAsia"/>
                <w:color w:val="auto"/>
                <w:kern w:val="0"/>
                <w:sz w:val="21"/>
                <w:szCs w:val="21"/>
                <w:highlight w:val="none"/>
              </w:rPr>
              <w:t>评分标准中要求提供证明材料的，均须加盖投标人公章；评分四舍五入精确到小数点后两位</w:t>
            </w:r>
            <w:r>
              <w:rPr>
                <w:rFonts w:hint="eastAsia" w:asciiTheme="minorEastAsia" w:hAnsiTheme="minorEastAsia" w:eastAsiaTheme="minorEastAsia" w:cstheme="minorEastAsia"/>
                <w:color w:val="auto"/>
                <w:kern w:val="0"/>
                <w:sz w:val="21"/>
                <w:szCs w:val="21"/>
                <w:highlight w:val="none"/>
                <w:lang w:eastAsia="zh-CN"/>
              </w:rPr>
              <w:t>。</w:t>
            </w:r>
          </w:p>
        </w:tc>
      </w:tr>
    </w:tbl>
    <w:p w14:paraId="20E46173">
      <w:pPr>
        <w:snapToGrid w:val="0"/>
        <w:spacing w:line="400" w:lineRule="exact"/>
        <w:ind w:firstLine="46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注：政府采购异常低价问题有关事项的说明</w:t>
      </w:r>
    </w:p>
    <w:p w14:paraId="540CACFA">
      <w:pPr>
        <w:snapToGrid w:val="0"/>
        <w:spacing w:line="400" w:lineRule="exact"/>
        <w:ind w:firstLine="465"/>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pPr>
      <w:r>
        <w:rPr>
          <w:rFonts w:hint="eastAsia" w:ascii="宋体" w:hAnsi="宋体" w:eastAsia="宋体" w:cs="宋体"/>
          <w:color w:val="auto"/>
          <w:sz w:val="24"/>
          <w:szCs w:val="24"/>
          <w:highlight w:val="none"/>
          <w:lang w:val="en-US" w:eastAsia="zh-CN"/>
        </w:rPr>
        <w:t>1.根据《关于推动解决政府采购异常低价问题的通知》财库〔2026〕2号文件规定，</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政府采购评审中出现下列情形之一的，评标委员会应当启动异常低价投标审查程序：</w:t>
      </w:r>
    </w:p>
    <w:p w14:paraId="056B9E7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napToGrid w:val="0"/>
        <w:spacing w:before="0" w:beforeAutospacing="0" w:after="0" w:afterAutospacing="0" w:line="400" w:lineRule="exact"/>
        <w:ind w:left="0" w:right="0" w:firstLine="465"/>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1 投标报价低于全部通过符合性审查投标人投标报价平均值</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65</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%的，即投标报价＜全部通过符合性审查投标人投标报价平均值×</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65</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w:t>
      </w:r>
    </w:p>
    <w:p w14:paraId="62B8A90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napToGrid w:val="0"/>
        <w:spacing w:before="0" w:beforeAutospacing="0" w:after="0" w:afterAutospacing="0" w:line="400" w:lineRule="exact"/>
        <w:ind w:left="0" w:right="0" w:firstLine="465"/>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2 投标报价低于通过符合性审查的次低报价投标人投标报价</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65</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%的，即投标报价＜通过符合性审查的次低报价投标人投标报价×</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65</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w:t>
      </w:r>
    </w:p>
    <w:p w14:paraId="5700DF9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napToGrid w:val="0"/>
        <w:spacing w:before="0" w:beforeAutospacing="0" w:after="0" w:afterAutospacing="0" w:line="400" w:lineRule="exact"/>
        <w:ind w:left="0" w:right="0" w:firstLine="465"/>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3 投标报价低于采购项目最高限价</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5%的，即投标报价＜采购项目最高限价×</w:t>
      </w:r>
      <w:r>
        <w:rPr>
          <w:rFonts w:hint="eastAsia" w:ascii="宋体" w:hAnsi="宋体" w:cs="宋体"/>
          <w:i w:val="0"/>
          <w:iCs w:val="0"/>
          <w:caps w:val="0"/>
          <w:color w:val="auto"/>
          <w:spacing w:val="0"/>
          <w:kern w:val="2"/>
          <w:sz w:val="24"/>
          <w:szCs w:val="24"/>
          <w:highlight w:val="none"/>
          <w:shd w:val="clear" w:color="auto" w:fill="auto"/>
          <w:vertAlign w:val="baseline"/>
          <w:lang w:val="en-US" w:eastAsia="zh-CN" w:bidi="ar"/>
        </w:rPr>
        <w:t>6</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5%；</w:t>
      </w:r>
    </w:p>
    <w:p w14:paraId="32BF03F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napToGrid w:val="0"/>
        <w:spacing w:before="0" w:beforeAutospacing="0" w:after="0" w:afterAutospacing="0" w:line="400" w:lineRule="exact"/>
        <w:ind w:left="0" w:right="0" w:firstLine="465"/>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4 评标委员会基于专业判断，认为投标人报价过低，有可能影响产品质量或者不能诚信履约的其他情形。</w:t>
      </w:r>
    </w:p>
    <w:p w14:paraId="3D3C050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napToGrid w:val="0"/>
        <w:spacing w:before="0" w:beforeAutospacing="0" w:after="0" w:afterAutospacing="0" w:line="400" w:lineRule="exact"/>
        <w:ind w:left="0" w:right="0" w:firstLine="465"/>
        <w:jc w:val="left"/>
        <w:textAlignment w:val="auto"/>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pP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2.评标委员会启动异常低价投标审查后，属于前述第1.1项至第1.4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1.3项情形，投标人已随投标文件一并提交相关书面说明及必要的证明材料的，在评审现场可不再重复提交。</w:t>
      </w:r>
    </w:p>
    <w:p w14:paraId="66C5E867">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2"/>
          <w:sz w:val="24"/>
          <w:szCs w:val="24"/>
          <w:highlight w:val="none"/>
          <w:shd w:val="clear" w:color="auto" w:fill="auto"/>
          <w:vertAlign w:val="baseline"/>
          <w:lang w:val="en-US" w:eastAsia="zh-CN" w:bidi="ar"/>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1677F71B">
      <w:pPr>
        <w:pStyle w:val="3"/>
        <w:spacing w:line="240" w:lineRule="auto"/>
        <w:ind w:firstLine="0"/>
        <w:jc w:val="left"/>
        <w:rPr>
          <w:rFonts w:hint="eastAsia" w:ascii="宋体" w:eastAsia="宋体" w:cs="宋体"/>
          <w:b/>
          <w:color w:val="auto"/>
          <w:sz w:val="24"/>
          <w:szCs w:val="20"/>
          <w:highlight w:val="none"/>
        </w:rPr>
      </w:pPr>
      <w:bookmarkStart w:id="115" w:name="_Toc29988"/>
      <w:bookmarkStart w:id="116" w:name="_Toc76387246"/>
      <w:bookmarkStart w:id="117" w:name="_Toc1493172939"/>
      <w:r>
        <w:rPr>
          <w:rFonts w:hint="eastAsia" w:ascii="宋体" w:eastAsia="宋体" w:cs="宋体"/>
          <w:b/>
          <w:color w:val="auto"/>
          <w:sz w:val="24"/>
          <w:szCs w:val="20"/>
          <w:highlight w:val="none"/>
        </w:rPr>
        <w:t>四、无效投标条款</w:t>
      </w:r>
      <w:bookmarkEnd w:id="115"/>
      <w:bookmarkEnd w:id="116"/>
      <w:bookmarkEnd w:id="117"/>
    </w:p>
    <w:p w14:paraId="4ABEED0C">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投标人或其投标文件出现下列情况之一者，应为无效投标：</w:t>
      </w:r>
    </w:p>
    <w:p w14:paraId="30E68612">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（一）未按照招标文件的规定提交投标保证金的；</w:t>
      </w:r>
    </w:p>
    <w:p w14:paraId="794C0623">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（二）投标文件未按招标文件要求签署、盖章的；</w:t>
      </w:r>
    </w:p>
    <w:p w14:paraId="6062B55A">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（三）不具备招标文件中规定的资格要求的；</w:t>
      </w:r>
    </w:p>
    <w:p w14:paraId="3790FAA1">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（四）报价超过招标文件中规定的预算金额或者最高限价的；</w:t>
      </w:r>
    </w:p>
    <w:p w14:paraId="4AF6FA44">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（五）投标文件含有采购人不能接受的附加条件的；</w:t>
      </w:r>
    </w:p>
    <w:p w14:paraId="6A6481B0">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（六）投标人串通投标的；</w:t>
      </w:r>
    </w:p>
    <w:p w14:paraId="735B79EF">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（七）法律、法规和招标文件规定的其他无效情形。</w:t>
      </w:r>
    </w:p>
    <w:p w14:paraId="3BAC2ECC">
      <w:pPr>
        <w:pStyle w:val="3"/>
        <w:spacing w:line="240" w:lineRule="auto"/>
        <w:ind w:firstLine="0" w:firstLineChars="0"/>
        <w:jc w:val="left"/>
        <w:rPr>
          <w:rFonts w:hint="eastAsia" w:ascii="宋体" w:eastAsia="宋体" w:cs="宋体"/>
          <w:b/>
          <w:color w:val="auto"/>
          <w:sz w:val="24"/>
          <w:szCs w:val="20"/>
          <w:highlight w:val="none"/>
        </w:rPr>
      </w:pPr>
      <w:bookmarkStart w:id="118" w:name="_Toc1378895561"/>
      <w:bookmarkStart w:id="119" w:name="_Toc7000"/>
      <w:bookmarkStart w:id="120" w:name="_Toc76387247"/>
      <w:r>
        <w:rPr>
          <w:rFonts w:hint="eastAsia" w:ascii="宋体" w:eastAsia="宋体" w:cs="宋体"/>
          <w:b/>
          <w:color w:val="auto"/>
          <w:sz w:val="24"/>
          <w:szCs w:val="20"/>
          <w:highlight w:val="none"/>
        </w:rPr>
        <w:t>五、废标条款</w:t>
      </w:r>
      <w:bookmarkEnd w:id="118"/>
      <w:bookmarkEnd w:id="119"/>
      <w:bookmarkEnd w:id="120"/>
    </w:p>
    <w:p w14:paraId="6CADE3F1">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在招标采购中，出现下列情形之一的，应予废标：</w:t>
      </w:r>
    </w:p>
    <w:p w14:paraId="0CEF818F">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（一）符合专业条件的投标人或者对招标文件作实质响应的投标人不足三家的；</w:t>
      </w:r>
    </w:p>
    <w:p w14:paraId="2E88AE37">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（二）投标人的报价均超过了采购预算，采购人不能支付的；</w:t>
      </w:r>
    </w:p>
    <w:p w14:paraId="5C24D067">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（三）出现影响采购公正的违法、违规行为的；</w:t>
      </w:r>
    </w:p>
    <w:p w14:paraId="5C715E58">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（四）因重大变故，采购任务取消的。</w:t>
      </w:r>
    </w:p>
    <w:p w14:paraId="633C076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废标后，除采购任务取消情形外，应当重新组织采购。</w:t>
      </w:r>
    </w:p>
    <w:p w14:paraId="0661305D">
      <w:pPr>
        <w:pStyle w:val="2"/>
        <w:spacing w:before="0" w:beforeLines="0" w:after="0" w:afterLines="0"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8"/>
          <w:highlight w:val="none"/>
        </w:rPr>
        <w:br w:type="page"/>
      </w:r>
      <w:bookmarkStart w:id="121" w:name="_Toc15053"/>
      <w:bookmarkStart w:id="122" w:name="_Toc76387248"/>
      <w:bookmarkStart w:id="123" w:name="_Toc156500981"/>
      <w:r>
        <w:rPr>
          <w:rFonts w:hint="eastAsia" w:ascii="宋体" w:hAnsi="宋体" w:eastAsia="宋体" w:cs="宋体"/>
          <w:b/>
          <w:color w:val="auto"/>
          <w:sz w:val="36"/>
          <w:szCs w:val="36"/>
          <w:highlight w:val="none"/>
        </w:rPr>
        <w:t>第五篇  投标人须知</w:t>
      </w:r>
      <w:bookmarkEnd w:id="121"/>
      <w:bookmarkEnd w:id="122"/>
      <w:bookmarkEnd w:id="123"/>
    </w:p>
    <w:p w14:paraId="51D030FB">
      <w:pPr>
        <w:pStyle w:val="3"/>
        <w:spacing w:line="400" w:lineRule="exact"/>
        <w:rPr>
          <w:rFonts w:hint="eastAsia" w:ascii="宋体" w:hAnsi="宋体" w:eastAsia="宋体" w:cs="宋体"/>
          <w:b/>
          <w:color w:val="auto"/>
          <w:sz w:val="24"/>
          <w:highlight w:val="none"/>
        </w:rPr>
      </w:pPr>
      <w:bookmarkStart w:id="124" w:name="_Toc1301327308"/>
      <w:bookmarkStart w:id="125" w:name="_Toc825485838"/>
      <w:bookmarkStart w:id="126" w:name="_Toc1548051007"/>
      <w:r>
        <w:rPr>
          <w:rFonts w:hint="eastAsia" w:ascii="宋体" w:hAnsi="宋体" w:eastAsia="宋体" w:cs="宋体"/>
          <w:b/>
          <w:color w:val="auto"/>
          <w:sz w:val="24"/>
          <w:highlight w:val="none"/>
        </w:rPr>
        <w:t>一、投标人</w:t>
      </w:r>
      <w:bookmarkEnd w:id="124"/>
      <w:bookmarkEnd w:id="125"/>
      <w:bookmarkEnd w:id="126"/>
    </w:p>
    <w:p w14:paraId="668D7EE1">
      <w:pPr>
        <w:snapToGrid w:val="0"/>
        <w:spacing w:line="400" w:lineRule="exact"/>
        <w:ind w:firstLine="42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z w:val="24"/>
          <w:highlight w:val="none"/>
        </w:rPr>
        <w:t>投标人</w:t>
      </w:r>
    </w:p>
    <w:p w14:paraId="41CC0E87">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投标人是指响应招标、参加投标竞争的法人、其他组织或者自然人。</w:t>
      </w:r>
    </w:p>
    <w:p w14:paraId="5AC628C2">
      <w:pPr>
        <w:snapToGrid w:val="0"/>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（二）合格投标人条件</w:t>
      </w:r>
    </w:p>
    <w:p w14:paraId="7E9C104A">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合格投标人应完全符合招标文件第一篇中规定的投标人资格条件，并对招标文件作出实质性响应。</w:t>
      </w:r>
    </w:p>
    <w:p w14:paraId="7EBB7E91">
      <w:pPr>
        <w:snapToGrid w:val="0"/>
        <w:spacing w:line="400" w:lineRule="exact"/>
        <w:ind w:firstLine="480" w:firstLineChars="200"/>
        <w:outlineLvl w:val="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（三）投标人的风险</w:t>
      </w:r>
    </w:p>
    <w:p w14:paraId="7E3568C5">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投标人没有按照招标文件要求提供全部资料，或者投标人没有对招标文件在各方面作出实质性响应，可能导致投标被拒绝或评定为无效投标。</w:t>
      </w:r>
    </w:p>
    <w:p w14:paraId="4961EC34">
      <w:pPr>
        <w:snapToGrid w:val="0"/>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（四）法律责任</w:t>
      </w:r>
    </w:p>
    <w:p w14:paraId="22AD470E">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投标人违反《中华人民共和国政府采购法》、《中华人民共和国政府采购法实施条例》等相关规定，将按规定追究投标人法律责任。</w:t>
      </w:r>
    </w:p>
    <w:p w14:paraId="5A8585B9">
      <w:pPr>
        <w:pStyle w:val="3"/>
        <w:spacing w:line="400" w:lineRule="exact"/>
        <w:rPr>
          <w:rFonts w:hint="eastAsia" w:ascii="宋体" w:hAnsi="宋体" w:eastAsia="宋体" w:cs="宋体"/>
          <w:b/>
          <w:color w:val="auto"/>
          <w:sz w:val="24"/>
          <w:highlight w:val="none"/>
        </w:rPr>
      </w:pPr>
      <w:bookmarkStart w:id="127" w:name="_Toc1425897781"/>
      <w:bookmarkStart w:id="128" w:name="_Toc2045910682"/>
      <w:bookmarkStart w:id="129" w:name="_Toc1263572685"/>
      <w:r>
        <w:rPr>
          <w:rFonts w:hint="eastAsia" w:ascii="宋体" w:hAnsi="宋体" w:eastAsia="宋体" w:cs="宋体"/>
          <w:b/>
          <w:color w:val="auto"/>
          <w:sz w:val="24"/>
          <w:highlight w:val="none"/>
        </w:rPr>
        <w:t>二、招标文件</w:t>
      </w:r>
      <w:bookmarkEnd w:id="127"/>
      <w:bookmarkEnd w:id="128"/>
      <w:bookmarkEnd w:id="129"/>
    </w:p>
    <w:p w14:paraId="5C579A70">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招标文件是投标人编制投标文件的依据，是评标委员会评判依据和标准。招标文件也是采购人与中标人签订合同的基础。</w:t>
      </w:r>
    </w:p>
    <w:p w14:paraId="11FCBE32">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（一）招标文件由投标邀请书；项目技术规格、数量及质量要求；商务条款；投标人须知；评标方法、评标标准、无效投标条款和废标条款；合同主要条款、合同范本；投标文件格式等七部分组成。</w:t>
      </w:r>
    </w:p>
    <w:p w14:paraId="74392BD4">
      <w:pPr>
        <w:snapToGrid w:val="0"/>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（二）</w:t>
      </w:r>
      <w:r>
        <w:rPr>
          <w:rFonts w:hint="eastAsia" w:ascii="宋体" w:hAnsi="宋体" w:eastAsia="宋体" w:cs="宋体"/>
          <w:color w:val="auto"/>
          <w:sz w:val="24"/>
          <w:highlight w:val="none"/>
        </w:rPr>
        <w:t>采购代理机构对招标文件所作的一切有效的书面通知、修改及补充，都是招标文件不可分割的部分。</w:t>
      </w:r>
    </w:p>
    <w:p w14:paraId="3388609B">
      <w:pPr>
        <w:snapToGrid w:val="0"/>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w:t>
      </w:r>
      <w:r>
        <w:rPr>
          <w:rFonts w:hint="eastAsia" w:ascii="宋体" w:hAnsi="宋体" w:eastAsia="宋体" w:cs="宋体"/>
          <w:color w:val="auto"/>
          <w:sz w:val="24"/>
          <w:szCs w:val="24"/>
          <w:highlight w:val="none"/>
        </w:rPr>
        <w:t>本项目的招标文件、澄清文件（如果有）一律在中国政府采购网上发布，请各投标人注意下载或到采购代理机构处领取；无论投标人下载或领取与否，均视同投标人已知晓本项目招标文件、澄清文件的内容。</w:t>
      </w:r>
    </w:p>
    <w:p w14:paraId="393D85B5">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（四）采购代理机构对已发出的招标文件需要进行澄清或修改的，应以书面形式或公告形式通知所有招标文件收受人。该澄清或者修改的内容为招标文件的组成部分。</w:t>
      </w:r>
    </w:p>
    <w:p w14:paraId="6E01CD48">
      <w:pPr>
        <w:pStyle w:val="3"/>
        <w:spacing w:line="400" w:lineRule="exact"/>
        <w:rPr>
          <w:rFonts w:hint="eastAsia" w:cs="宋体"/>
          <w:b/>
          <w:color w:val="auto"/>
          <w:sz w:val="24"/>
          <w:highlight w:val="none"/>
        </w:rPr>
      </w:pPr>
      <w:bookmarkStart w:id="130" w:name="_Toc1445835426"/>
      <w:bookmarkStart w:id="131" w:name="_Toc15426"/>
      <w:bookmarkStart w:id="132" w:name="_Toc1651896175"/>
      <w:bookmarkStart w:id="133" w:name="_Toc300554733"/>
      <w:r>
        <w:rPr>
          <w:rFonts w:hint="eastAsia" w:cs="宋体"/>
          <w:b/>
          <w:color w:val="auto"/>
          <w:sz w:val="24"/>
          <w:highlight w:val="none"/>
        </w:rPr>
        <w:t>三、电子投标文件</w:t>
      </w:r>
      <w:bookmarkEnd w:id="130"/>
      <w:bookmarkEnd w:id="131"/>
      <w:bookmarkEnd w:id="132"/>
      <w:bookmarkEnd w:id="133"/>
    </w:p>
    <w:p w14:paraId="109D8736">
      <w:pPr>
        <w:spacing w:line="400" w:lineRule="exact"/>
        <w:ind w:firstLine="480" w:firstLineChars="200"/>
        <w:rPr>
          <w:rFonts w:ascii="宋体" w:hAnsi="宋体" w:cs="宋体"/>
          <w:color w:val="auto"/>
          <w:sz w:val="24"/>
          <w:highlight w:val="none"/>
        </w:rPr>
      </w:pPr>
      <w:bookmarkStart w:id="134" w:name="_Hlk148216551"/>
      <w:r>
        <w:rPr>
          <w:rFonts w:hint="eastAsia" w:ascii="宋体" w:hAnsi="宋体" w:cs="宋体"/>
          <w:color w:val="auto"/>
          <w:sz w:val="24"/>
          <w:highlight w:val="none"/>
        </w:rPr>
        <w:t>投标人应当按照招标文件的要求编制电子投标文件，并对招标文件提出的要求和条件作出实质性响应，电子投标文件</w:t>
      </w:r>
      <w:bookmarkStart w:id="135" w:name="_Hlk148269444"/>
      <w:r>
        <w:rPr>
          <w:rFonts w:hint="eastAsia" w:ascii="宋体" w:hAnsi="宋体" w:cs="宋体"/>
          <w:color w:val="auto"/>
          <w:sz w:val="24"/>
          <w:highlight w:val="none"/>
        </w:rPr>
        <w:t>应编制完整的页码、目录</w:t>
      </w:r>
      <w:bookmarkEnd w:id="135"/>
      <w:r>
        <w:rPr>
          <w:rFonts w:hint="eastAsia" w:ascii="宋体" w:hAnsi="宋体" w:cs="宋体"/>
          <w:color w:val="auto"/>
          <w:sz w:val="24"/>
          <w:highlight w:val="none"/>
        </w:rPr>
        <w:t>。</w:t>
      </w:r>
    </w:p>
    <w:bookmarkEnd w:id="134"/>
    <w:p w14:paraId="1B9A0C2F">
      <w:pPr>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（一）电子投标文件组成</w:t>
      </w:r>
    </w:p>
    <w:p w14:paraId="448EFCE2">
      <w:pPr>
        <w:spacing w:line="400" w:lineRule="exact"/>
        <w:ind w:firstLine="480" w:firstLineChars="200"/>
        <w:rPr>
          <w:rFonts w:hint="eastAsia" w:ascii="宋体" w:hAnsi="宋体" w:cs="宋体"/>
          <w:color w:val="auto"/>
          <w:sz w:val="24"/>
          <w:highlight w:val="none"/>
        </w:rPr>
      </w:pPr>
      <w:bookmarkStart w:id="136" w:name="_Hlk148216601"/>
      <w:r>
        <w:rPr>
          <w:rFonts w:hint="eastAsia" w:ascii="宋体" w:hAnsi="宋体" w:cs="宋体"/>
          <w:color w:val="auto"/>
          <w:sz w:val="24"/>
          <w:highlight w:val="none"/>
        </w:rPr>
        <w:t>电子投标文件主体内容由第七篇“投标文件格式”规定的部分和投标人所作的一切有效补充、修改和承诺等文件组成，投标人应按照第七篇“投标文件格式”规定的目录顺序组织编写。</w:t>
      </w:r>
    </w:p>
    <w:p w14:paraId="1CF46193">
      <w:pPr>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电子投标文件必须根据《政府采购全程电子化采购系统供应商操作手册（CA证书签章版）》手册第五章内容，完成电子投标文件的报价一览表信息填写、投标文件（PDF格式）的导入、条款页码关联、电子投标文件电子章签署、下载加密电子投标文件等工作。否则有可能影响评委对电子投标文件的评审</w:t>
      </w:r>
      <w:bookmarkEnd w:id="136"/>
      <w:r>
        <w:rPr>
          <w:rFonts w:hint="eastAsia" w:ascii="宋体" w:hAnsi="宋体" w:cs="宋体"/>
          <w:color w:val="auto"/>
          <w:sz w:val="24"/>
          <w:highlight w:val="none"/>
        </w:rPr>
        <w:t>。</w:t>
      </w:r>
    </w:p>
    <w:p w14:paraId="38641E35">
      <w:pPr>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（二）联合投标</w:t>
      </w:r>
    </w:p>
    <w:p w14:paraId="56015D43">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本项目不接受联合体。</w:t>
      </w:r>
    </w:p>
    <w:p w14:paraId="7F64BB2C">
      <w:pPr>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（三）投标有效期</w:t>
      </w:r>
    </w:p>
    <w:p w14:paraId="7D401034">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投标有效期为投标截止时间起90天。</w:t>
      </w:r>
    </w:p>
    <w:p w14:paraId="149BE359">
      <w:pPr>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（四）投标保证金</w:t>
      </w:r>
    </w:p>
    <w:p w14:paraId="414DF65C">
      <w:pPr>
        <w:tabs>
          <w:tab w:val="left" w:pos="0"/>
        </w:tabs>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1.投标人应在投标截止时间前，按招标文件第一篇规定交纳投标保证金。</w:t>
      </w:r>
    </w:p>
    <w:p w14:paraId="63B15302">
      <w:pPr>
        <w:tabs>
          <w:tab w:val="left" w:pos="0"/>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2.投标保证金为投标的有效约束条件。</w:t>
      </w:r>
    </w:p>
    <w:p w14:paraId="033DF025">
      <w:pPr>
        <w:tabs>
          <w:tab w:val="left" w:pos="0"/>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3.投标保证金的有效期</w:t>
      </w:r>
      <w:r>
        <w:rPr>
          <w:rFonts w:hint="eastAsia" w:ascii="宋体" w:hAnsi="宋体" w:eastAsia="宋体" w:cs="宋体"/>
          <w:color w:val="auto"/>
          <w:sz w:val="24"/>
          <w:highlight w:val="none"/>
          <w:lang w:eastAsia="zh-CN"/>
        </w:rPr>
        <w:t>覆盖</w:t>
      </w:r>
      <w:r>
        <w:rPr>
          <w:rFonts w:hint="eastAsia" w:ascii="宋体" w:hAnsi="宋体" w:eastAsia="宋体" w:cs="宋体"/>
          <w:color w:val="auto"/>
          <w:sz w:val="24"/>
          <w:highlight w:val="none"/>
        </w:rPr>
        <w:t>投标有效期。</w:t>
      </w:r>
    </w:p>
    <w:p w14:paraId="54C98617">
      <w:pPr>
        <w:tabs>
          <w:tab w:val="left" w:pos="0"/>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4.投标保证金币种应与投标报价币种相同。</w:t>
      </w:r>
    </w:p>
    <w:p w14:paraId="4F665F2C">
      <w:pPr>
        <w:tabs>
          <w:tab w:val="left" w:pos="0"/>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5.《中标通知书》发出后，由</w:t>
      </w:r>
      <w:r>
        <w:rPr>
          <w:rFonts w:hint="eastAsia" w:ascii="宋体" w:hAnsi="宋体" w:eastAsia="宋体" w:cs="宋体"/>
          <w:color w:val="auto"/>
          <w:sz w:val="24"/>
          <w:szCs w:val="24"/>
          <w:highlight w:val="none"/>
        </w:rPr>
        <w:t>重庆市公共资源交易中心</w:t>
      </w:r>
      <w:r>
        <w:rPr>
          <w:rFonts w:hint="eastAsia" w:ascii="宋体" w:hAnsi="宋体" w:eastAsia="宋体" w:cs="宋体"/>
          <w:color w:val="auto"/>
          <w:sz w:val="24"/>
          <w:highlight w:val="none"/>
        </w:rPr>
        <w:t>五个工作日内退还未中标人的投标保证金；在采购合同签订后，由</w:t>
      </w:r>
      <w:r>
        <w:rPr>
          <w:rFonts w:hint="eastAsia" w:ascii="宋体" w:hAnsi="宋体" w:eastAsia="宋体" w:cs="宋体"/>
          <w:color w:val="auto"/>
          <w:sz w:val="24"/>
          <w:szCs w:val="24"/>
          <w:highlight w:val="none"/>
        </w:rPr>
        <w:t>重庆市公共资源交易中心</w:t>
      </w:r>
      <w:r>
        <w:rPr>
          <w:rFonts w:hint="eastAsia" w:ascii="宋体" w:hAnsi="宋体" w:eastAsia="宋体" w:cs="宋体"/>
          <w:color w:val="auto"/>
          <w:sz w:val="24"/>
          <w:highlight w:val="none"/>
        </w:rPr>
        <w:t>五个工作日退还中标人的投标保证金。</w:t>
      </w:r>
    </w:p>
    <w:p w14:paraId="529E57EA">
      <w:pPr>
        <w:tabs>
          <w:tab w:val="left" w:pos="0"/>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6.投标人有下列情形之一的，采购人或者采购代理机构可以不退还投标保证金：</w:t>
      </w:r>
    </w:p>
    <w:p w14:paraId="43A3F3F5">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6.1投标人在投标有效期撤回投标文件的；</w:t>
      </w:r>
    </w:p>
    <w:p w14:paraId="3C2DBCF4">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6.2投标人未按规定提交履约保证金的；</w:t>
      </w:r>
    </w:p>
    <w:p w14:paraId="6EB30DC0">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6.3投标人在投标过程中弄虚作假，提供虚假材料的；</w:t>
      </w:r>
    </w:p>
    <w:p w14:paraId="0518422E">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6.4中标人无正当理由不与采购人签订合同的；</w:t>
      </w:r>
    </w:p>
    <w:p w14:paraId="27EF21D7">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6.5中标人将中标项目转让给他人或者在投标文件中未说明且未经采购人同意，将中标项目分包给他人的；</w:t>
      </w:r>
    </w:p>
    <w:p w14:paraId="303989F1">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6.6中标人拒绝履行合同义务的；</w:t>
      </w:r>
    </w:p>
    <w:p w14:paraId="5BD95F7E">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6.7其他严重扰乱招投标程序的。</w:t>
      </w:r>
    </w:p>
    <w:p w14:paraId="78ED1B6D">
      <w:pPr>
        <w:snapToGrid w:val="0"/>
        <w:spacing w:line="400" w:lineRule="exact"/>
        <w:ind w:firstLine="470" w:firstLineChars="196"/>
        <w:jc w:val="left"/>
        <w:outlineLvl w:val="2"/>
        <w:rPr>
          <w:rFonts w:hint="eastAsia" w:ascii="宋体" w:hAnsi="宋体" w:cs="宋体"/>
          <w:bCs/>
          <w:color w:val="auto"/>
          <w:sz w:val="24"/>
          <w:highlight w:val="none"/>
        </w:rPr>
      </w:pPr>
      <w:r>
        <w:rPr>
          <w:rFonts w:hint="eastAsia" w:ascii="宋体" w:hAnsi="宋体" w:cs="宋体"/>
          <w:bCs/>
          <w:color w:val="auto"/>
          <w:sz w:val="24"/>
          <w:highlight w:val="none"/>
        </w:rPr>
        <w:t>（五）电子投标文件的份数和签署</w:t>
      </w:r>
    </w:p>
    <w:p w14:paraId="74E595E9">
      <w:pPr>
        <w:tabs>
          <w:tab w:val="left" w:pos="1764"/>
        </w:tabs>
        <w:snapToGrid w:val="0"/>
        <w:spacing w:line="400" w:lineRule="exact"/>
        <w:ind w:firstLine="480" w:firstLineChars="200"/>
        <w:rPr>
          <w:rFonts w:ascii="宋体" w:hAnsi="宋体" w:cs="宋体"/>
          <w:color w:val="auto"/>
          <w:sz w:val="24"/>
          <w:highlight w:val="none"/>
        </w:rPr>
      </w:pPr>
      <w:bookmarkStart w:id="137" w:name="_Hlk148216690"/>
      <w:r>
        <w:rPr>
          <w:rFonts w:hint="eastAsia" w:ascii="宋体" w:hAnsi="宋体" w:cs="宋体"/>
          <w:color w:val="auto"/>
          <w:sz w:val="24"/>
          <w:highlight w:val="none"/>
        </w:rPr>
        <w:t>1.</w:t>
      </w:r>
      <w:bookmarkStart w:id="138" w:name="_Hlk148269965"/>
      <w:r>
        <w:rPr>
          <w:rFonts w:hint="eastAsia" w:ascii="宋体" w:hAnsi="宋体" w:cs="宋体"/>
          <w:color w:val="auto"/>
          <w:sz w:val="24"/>
          <w:highlight w:val="none"/>
        </w:rPr>
        <w:t>电子投标文件一式一份，投标时请提交通过投标文件制作系统下载的电子加密投标文件。若因系统或CA证书异常原因无法正常解密，投标人须在电子开标室向采购代理机构申请提交电子备份投标文件，电子招投标系统会对电子备份投标文件与电子加密投标文件的一致性进行核验，若投标人操作失误，后果自行负责。</w:t>
      </w:r>
      <w:bookmarkEnd w:id="138"/>
    </w:p>
    <w:p w14:paraId="313B3054">
      <w:pPr>
        <w:tabs>
          <w:tab w:val="left" w:pos="1764"/>
        </w:tabs>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2.在电子投标文件中，招标文件第七篇投标文件格式中规定签署、盖章的地方必须按其规定签署、盖章。</w:t>
      </w:r>
    </w:p>
    <w:bookmarkEnd w:id="137"/>
    <w:p w14:paraId="158EB9F7">
      <w:pPr>
        <w:snapToGrid w:val="0"/>
        <w:spacing w:line="400" w:lineRule="exact"/>
        <w:ind w:firstLine="470" w:firstLineChars="196"/>
        <w:jc w:val="left"/>
        <w:rPr>
          <w:rFonts w:hint="eastAsia" w:ascii="宋体" w:hAnsi="宋体" w:cs="宋体"/>
          <w:bCs/>
          <w:color w:val="auto"/>
          <w:sz w:val="24"/>
          <w:highlight w:val="none"/>
        </w:rPr>
      </w:pPr>
      <w:bookmarkStart w:id="139" w:name="_Hlk148216710"/>
      <w:r>
        <w:rPr>
          <w:rFonts w:ascii="宋体" w:hAnsi="宋体" w:cs="宋体"/>
          <w:color w:val="auto"/>
          <w:sz w:val="24"/>
          <w:highlight w:val="none"/>
        </w:rPr>
        <w:t>3</w:t>
      </w:r>
      <w:r>
        <w:rPr>
          <w:rFonts w:hint="eastAsia" w:ascii="宋体" w:hAnsi="宋体" w:cs="宋体"/>
          <w:color w:val="auto"/>
          <w:sz w:val="24"/>
          <w:highlight w:val="none"/>
        </w:rPr>
        <w:t>.电报、电话、传真形式的投标文件概不接受。</w:t>
      </w:r>
    </w:p>
    <w:bookmarkEnd w:id="139"/>
    <w:p w14:paraId="4052C570">
      <w:pPr>
        <w:snapToGrid w:val="0"/>
        <w:spacing w:line="400" w:lineRule="exact"/>
        <w:ind w:firstLine="470" w:firstLineChars="196"/>
        <w:jc w:val="left"/>
        <w:outlineLvl w:val="2"/>
        <w:rPr>
          <w:rFonts w:hint="eastAsia" w:ascii="宋体" w:hAnsi="宋体" w:cs="宋体"/>
          <w:bCs/>
          <w:color w:val="auto"/>
          <w:sz w:val="24"/>
          <w:highlight w:val="none"/>
        </w:rPr>
      </w:pPr>
      <w:r>
        <w:rPr>
          <w:rFonts w:hint="eastAsia" w:ascii="宋体" w:hAnsi="宋体" w:cs="宋体"/>
          <w:bCs/>
          <w:color w:val="auto"/>
          <w:sz w:val="24"/>
          <w:highlight w:val="none"/>
        </w:rPr>
        <w:t>（六）投标报价</w:t>
      </w:r>
    </w:p>
    <w:p w14:paraId="603CCD2C">
      <w:pPr>
        <w:pStyle w:val="30"/>
        <w:spacing w:line="400" w:lineRule="exact"/>
        <w:ind w:firstLine="480" w:firstLineChars="200"/>
        <w:rPr>
          <w:rFonts w:hint="eastAsia" w:hAnsi="宋体" w:cs="宋体"/>
          <w:bCs/>
          <w:color w:val="auto"/>
          <w:sz w:val="24"/>
          <w:highlight w:val="none"/>
        </w:rPr>
      </w:pPr>
      <w:r>
        <w:rPr>
          <w:rFonts w:hint="eastAsia" w:hAnsi="宋体" w:cs="宋体"/>
          <w:bCs/>
          <w:color w:val="auto"/>
          <w:sz w:val="24"/>
          <w:highlight w:val="none"/>
        </w:rPr>
        <w:t>1.投标人应严格按照“投标文件格式”中“开标一览表”、“分项报价明细表”和“电子投标文件制作系统中的报价一览表”的格式填写报价。</w:t>
      </w:r>
    </w:p>
    <w:p w14:paraId="1873926C">
      <w:pPr>
        <w:snapToGrid w:val="0"/>
        <w:spacing w:line="400" w:lineRule="exact"/>
        <w:ind w:left="3" w:leftChars="1"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2.投标人的报价为一次性报价，即在投标有效期内投标价格固定不变。</w:t>
      </w:r>
    </w:p>
    <w:p w14:paraId="7D0FC599">
      <w:pPr>
        <w:pStyle w:val="30"/>
        <w:spacing w:line="400" w:lineRule="exact"/>
        <w:ind w:firstLine="480" w:firstLineChars="200"/>
        <w:rPr>
          <w:rFonts w:hint="eastAsia" w:hAnsi="宋体" w:cs="宋体"/>
          <w:bCs/>
          <w:color w:val="auto"/>
          <w:sz w:val="24"/>
          <w:highlight w:val="none"/>
        </w:rPr>
      </w:pPr>
      <w:r>
        <w:rPr>
          <w:rFonts w:hint="eastAsia" w:hAnsi="宋体" w:cs="宋体"/>
          <w:bCs/>
          <w:color w:val="auto"/>
          <w:sz w:val="24"/>
          <w:highlight w:val="none"/>
        </w:rPr>
        <w:t>3.本项目只接受一个投标报价（“投标文件格式”中“开标一览表”的报价必须和电子招投标系统中《开标一览汇总表》所展示报价一致。如果不一致时，以电子招投标系统中《开标一览汇总表》所展示报价为准），有选择的或有条件的报价将不予接受。</w:t>
      </w:r>
    </w:p>
    <w:p w14:paraId="5C8AADE7">
      <w:pPr>
        <w:snapToGrid w:val="0"/>
        <w:spacing w:line="400" w:lineRule="exact"/>
        <w:ind w:left="3" w:leftChars="1" w:firstLine="480" w:firstLineChars="200"/>
        <w:rPr>
          <w:rFonts w:hint="eastAsia" w:ascii="宋体" w:hAnsi="宋体" w:eastAsia="宋体" w:cs="宋体"/>
          <w:color w:val="auto"/>
          <w:sz w:val="24"/>
          <w:highlight w:val="none"/>
        </w:rPr>
      </w:pPr>
      <w:r>
        <w:rPr>
          <w:rFonts w:hint="eastAsia" w:hAnsi="宋体" w:cs="宋体"/>
          <w:bCs/>
          <w:color w:val="auto"/>
          <w:sz w:val="24"/>
          <w:highlight w:val="none"/>
        </w:rPr>
        <w:t>注：“在电子投标文件制作系统中的报价一览表所填报价”即为“电子招投标系统中《开标一览汇总表》所展示报价”。</w:t>
      </w:r>
    </w:p>
    <w:p w14:paraId="7E1FE142">
      <w:pPr>
        <w:pStyle w:val="30"/>
        <w:spacing w:line="400" w:lineRule="exact"/>
        <w:ind w:firstLine="480" w:firstLineChars="200"/>
        <w:outlineLvl w:val="2"/>
        <w:rPr>
          <w:rFonts w:hint="eastAsia" w:hAnsi="宋体" w:cs="宋体"/>
          <w:color w:val="auto"/>
          <w:sz w:val="24"/>
          <w:highlight w:val="none"/>
        </w:rPr>
      </w:pPr>
      <w:r>
        <w:rPr>
          <w:rFonts w:hint="eastAsia" w:hAnsi="宋体" w:cs="宋体"/>
          <w:color w:val="auto"/>
          <w:sz w:val="24"/>
          <w:highlight w:val="none"/>
        </w:rPr>
        <w:t>（七）修正错误</w:t>
      </w:r>
    </w:p>
    <w:p w14:paraId="3427EF1C">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若电子投标文件出现计算或表达上的错误，修正错误的原则如下：</w:t>
      </w:r>
    </w:p>
    <w:p w14:paraId="1D4C8B2A">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1.电子投标文件中开标一览表（报价表）内容与电子投标文件中相应内容不一致的，以开标一览表（报价表）为准；</w:t>
      </w:r>
    </w:p>
    <w:p w14:paraId="39C7CF3D">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2.大写金额和小写金额不一致的，以大写金额为准；</w:t>
      </w:r>
    </w:p>
    <w:p w14:paraId="199F38CE">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3.单价金额小数点或者百分比有明显错位的，以开标一览表的总价为准，并修改单价；</w:t>
      </w:r>
    </w:p>
    <w:p w14:paraId="6DBC7FB3">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4.总价金额与按单价汇总金额不一致的，以单价金额计算结果为准。</w:t>
      </w:r>
    </w:p>
    <w:p w14:paraId="6481448D">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5.电子投标文件中开标一览表（报价表）内容与电子招投标系统中《开标一览汇总表》所展示内容不一致时，以电子招投标系统中《开标一览汇总表》所展示内容为准。</w:t>
      </w:r>
    </w:p>
    <w:p w14:paraId="78121A0D">
      <w:pPr>
        <w:pStyle w:val="30"/>
        <w:spacing w:line="400" w:lineRule="exact"/>
        <w:ind w:firstLine="480" w:firstLineChars="200"/>
        <w:rPr>
          <w:rFonts w:hint="eastAsia" w:hAnsi="宋体" w:cs="宋体"/>
          <w:color w:val="auto"/>
          <w:sz w:val="24"/>
          <w:highlight w:val="none"/>
        </w:rPr>
      </w:pPr>
      <w:r>
        <w:rPr>
          <w:rFonts w:hint="eastAsia" w:hAnsi="宋体" w:cs="宋体"/>
          <w:color w:val="auto"/>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187F10E0">
      <w:pPr>
        <w:pStyle w:val="30"/>
        <w:spacing w:line="400" w:lineRule="exact"/>
        <w:ind w:firstLine="480" w:firstLineChars="200"/>
        <w:outlineLvl w:val="2"/>
        <w:rPr>
          <w:rFonts w:hint="eastAsia" w:hAnsi="宋体" w:cs="宋体"/>
          <w:color w:val="auto"/>
          <w:sz w:val="24"/>
          <w:highlight w:val="none"/>
        </w:rPr>
      </w:pPr>
      <w:r>
        <w:rPr>
          <w:rFonts w:hint="eastAsia" w:hAnsi="宋体" w:cs="宋体"/>
          <w:color w:val="auto"/>
          <w:sz w:val="24"/>
          <w:highlight w:val="none"/>
        </w:rPr>
        <w:t>（八）投标文件的递交</w:t>
      </w:r>
    </w:p>
    <w:p w14:paraId="4BDCBCB7">
      <w:pPr>
        <w:pStyle w:val="30"/>
        <w:spacing w:line="400" w:lineRule="exact"/>
        <w:ind w:firstLine="480" w:firstLineChars="200"/>
        <w:rPr>
          <w:rFonts w:hAnsi="宋体" w:cs="宋体"/>
          <w:color w:val="auto"/>
          <w:sz w:val="24"/>
          <w:highlight w:val="none"/>
        </w:rPr>
      </w:pPr>
      <w:bookmarkStart w:id="140" w:name="_Hlk148216841"/>
      <w:r>
        <w:rPr>
          <w:rFonts w:hint="eastAsia" w:hAnsi="宋体" w:cs="宋体"/>
          <w:color w:val="auto"/>
          <w:sz w:val="24"/>
          <w:highlight w:val="none"/>
        </w:rPr>
        <w:t>1.电子投标文件的递交按照《政府采购全程电子化采购系统供应商操作手册（CA证书签章版）》手册第七章流程操作。</w:t>
      </w:r>
    </w:p>
    <w:p w14:paraId="429F8FD6">
      <w:pPr>
        <w:pStyle w:val="30"/>
        <w:spacing w:line="400" w:lineRule="exact"/>
        <w:ind w:firstLine="480" w:firstLineChars="200"/>
        <w:rPr>
          <w:rFonts w:hint="eastAsia" w:ascii="宋体" w:hAnsi="宋体" w:eastAsia="宋体" w:cs="宋体"/>
          <w:color w:val="auto"/>
          <w:sz w:val="24"/>
          <w:highlight w:val="none"/>
        </w:rPr>
      </w:pPr>
      <w:r>
        <w:rPr>
          <w:rFonts w:hint="eastAsia" w:hAnsi="宋体" w:cs="宋体"/>
          <w:color w:val="auto"/>
          <w:sz w:val="24"/>
          <w:highlight w:val="none"/>
        </w:rPr>
        <w:t>2.须提交的相关原件（如果有）：应完整封装，且在封套上注明项目名称、投标人名称，递交时间地点同开标时间地点</w:t>
      </w:r>
      <w:bookmarkEnd w:id="140"/>
      <w:r>
        <w:rPr>
          <w:rFonts w:hint="eastAsia" w:hAnsi="宋体" w:cs="宋体"/>
          <w:color w:val="auto"/>
          <w:sz w:val="24"/>
          <w:highlight w:val="none"/>
        </w:rPr>
        <w:t>。</w:t>
      </w:r>
    </w:p>
    <w:p w14:paraId="683E4442">
      <w:pPr>
        <w:pStyle w:val="3"/>
        <w:spacing w:line="400" w:lineRule="exact"/>
        <w:rPr>
          <w:rFonts w:hint="eastAsia" w:cs="宋体"/>
          <w:b/>
          <w:color w:val="auto"/>
          <w:sz w:val="24"/>
          <w:highlight w:val="none"/>
        </w:rPr>
      </w:pPr>
      <w:bookmarkStart w:id="141" w:name="_Toc692519749"/>
      <w:bookmarkStart w:id="142" w:name="_Toc24544049"/>
      <w:bookmarkStart w:id="143" w:name="_Toc970932252"/>
      <w:bookmarkStart w:id="144" w:name="_Toc26354"/>
      <w:r>
        <w:rPr>
          <w:rFonts w:hint="eastAsia" w:cs="宋体"/>
          <w:b/>
          <w:color w:val="auto"/>
          <w:sz w:val="24"/>
          <w:highlight w:val="none"/>
        </w:rPr>
        <w:t>四、开标</w:t>
      </w:r>
      <w:bookmarkEnd w:id="141"/>
      <w:bookmarkEnd w:id="142"/>
      <w:bookmarkEnd w:id="143"/>
      <w:bookmarkEnd w:id="144"/>
    </w:p>
    <w:p w14:paraId="6D42F695">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（一）开标应当在招标文件中“投标邀请书”确定的时间和地点公开进行。</w:t>
      </w:r>
    </w:p>
    <w:p w14:paraId="2B35175D">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（二）采购代理机构可视采购具体情况，延长</w:t>
      </w:r>
      <w:bookmarkStart w:id="145" w:name="_Hlk148216888"/>
      <w:r>
        <w:rPr>
          <w:rFonts w:hint="eastAsia" w:ascii="宋体" w:hAnsi="宋体" w:cs="宋体"/>
          <w:color w:val="auto"/>
          <w:sz w:val="24"/>
          <w:highlight w:val="none"/>
        </w:rPr>
        <w:t>电子投标文件截止时间</w:t>
      </w:r>
      <w:bookmarkEnd w:id="145"/>
      <w:r>
        <w:rPr>
          <w:rFonts w:hint="eastAsia" w:ascii="宋体" w:hAnsi="宋体" w:cs="宋体"/>
          <w:color w:val="auto"/>
          <w:sz w:val="24"/>
          <w:highlight w:val="none"/>
        </w:rPr>
        <w:t>和开标时间，并将变更时间书面通知所有招标文件收受人。</w:t>
      </w:r>
    </w:p>
    <w:p w14:paraId="617706FF">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（三）开标由采购人或采购代理机构主持，邀请投标人和有关监督部门代表参加,有关监督部门可视情况派员现场监督。</w:t>
      </w:r>
    </w:p>
    <w:p w14:paraId="03CA3681">
      <w:pPr>
        <w:snapToGrid w:val="0"/>
        <w:spacing w:line="400" w:lineRule="exact"/>
        <w:ind w:firstLine="480" w:firstLineChars="200"/>
        <w:rPr>
          <w:rFonts w:hint="eastAsia" w:ascii="宋体" w:hAnsi="宋体" w:cs="宋体"/>
          <w:color w:val="auto"/>
          <w:sz w:val="24"/>
          <w:highlight w:val="none"/>
        </w:rPr>
      </w:pPr>
      <w:bookmarkStart w:id="146" w:name="_Hlk148293689"/>
      <w:r>
        <w:rPr>
          <w:rFonts w:hint="eastAsia" w:ascii="宋体" w:hAnsi="宋体" w:cs="宋体"/>
          <w:color w:val="auto"/>
          <w:sz w:val="24"/>
          <w:highlight w:val="none"/>
        </w:rPr>
        <w:t>（四）</w:t>
      </w:r>
      <w:bookmarkStart w:id="147" w:name="_Hlk148216925"/>
      <w:r>
        <w:rPr>
          <w:rFonts w:hint="eastAsia" w:ascii="宋体" w:hAnsi="宋体" w:cs="宋体"/>
          <w:color w:val="auto"/>
          <w:sz w:val="24"/>
          <w:highlight w:val="none"/>
        </w:rPr>
        <w:t>开标时，采取电子开标，投标人在规定的时间内解密电子投标文件，电子开标室将展示投标人名称、投标价格和《开标一览汇总表》。投标人不足三家的，不得开标</w:t>
      </w:r>
      <w:bookmarkEnd w:id="147"/>
      <w:r>
        <w:rPr>
          <w:rFonts w:hint="eastAsia" w:ascii="宋体" w:hAnsi="宋体" w:cs="宋体"/>
          <w:color w:val="auto"/>
          <w:sz w:val="24"/>
          <w:highlight w:val="none"/>
        </w:rPr>
        <w:t>。</w:t>
      </w:r>
    </w:p>
    <w:bookmarkEnd w:id="146"/>
    <w:p w14:paraId="2E3BBEBD">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（五）未宣读的投标价格、价格折扣和招标文件允许提供的备选投标方案等实质性内容等，评标时不予承认。</w:t>
      </w:r>
    </w:p>
    <w:p w14:paraId="255ED188">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（六）开标过程应由采购人或采购代理机构或重庆市公共资源交易中心指定专人负责记录，并存档备查。</w:t>
      </w:r>
    </w:p>
    <w:p w14:paraId="5B1D580A">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（七）投标人未参加开标的，视同认可开标结果。</w:t>
      </w:r>
    </w:p>
    <w:p w14:paraId="302DB0AE">
      <w:pPr>
        <w:pStyle w:val="30"/>
        <w:ind w:firstLine="482" w:firstLineChars="200"/>
        <w:rPr>
          <w:rFonts w:hint="eastAsia" w:ascii="宋体" w:hAnsi="宋体" w:eastAsia="宋体" w:cs="宋体"/>
          <w:b/>
          <w:color w:val="auto"/>
          <w:sz w:val="24"/>
          <w:highlight w:val="none"/>
        </w:rPr>
      </w:pPr>
      <w:bookmarkStart w:id="148" w:name="_Toc76373896"/>
      <w:bookmarkStart w:id="149" w:name="_Toc14882"/>
      <w:bookmarkStart w:id="150" w:name="_Toc176520732"/>
      <w:bookmarkStart w:id="151" w:name="_Toc821838262"/>
      <w:bookmarkStart w:id="152" w:name="_Toc177135497"/>
      <w:bookmarkStart w:id="153" w:name="_Toc4514"/>
      <w:bookmarkStart w:id="154" w:name="_Toc6547"/>
      <w:bookmarkStart w:id="155" w:name="_Toc30704"/>
      <w:bookmarkStart w:id="156" w:name="_Toc177567424"/>
      <w:r>
        <w:rPr>
          <w:rFonts w:hint="eastAsia" w:ascii="宋体" w:hAnsi="宋体" w:eastAsia="宋体" w:cs="宋体"/>
          <w:b/>
          <w:color w:val="auto"/>
          <w:sz w:val="24"/>
          <w:highlight w:val="none"/>
        </w:rPr>
        <w:t>五、评标</w:t>
      </w:r>
      <w:bookmarkEnd w:id="148"/>
      <w:bookmarkEnd w:id="149"/>
      <w:bookmarkEnd w:id="150"/>
      <w:bookmarkEnd w:id="151"/>
      <w:bookmarkEnd w:id="152"/>
      <w:bookmarkEnd w:id="153"/>
      <w:bookmarkEnd w:id="154"/>
      <w:bookmarkEnd w:id="155"/>
      <w:bookmarkEnd w:id="156"/>
    </w:p>
    <w:p w14:paraId="34DEF2E2">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见第四篇内容。</w:t>
      </w:r>
    </w:p>
    <w:p w14:paraId="5C717944">
      <w:pPr>
        <w:pStyle w:val="3"/>
        <w:spacing w:line="400" w:lineRule="exact"/>
        <w:rPr>
          <w:rFonts w:hint="eastAsia" w:ascii="宋体" w:hAnsi="宋体" w:eastAsia="宋体" w:cs="宋体"/>
          <w:b/>
          <w:color w:val="auto"/>
          <w:sz w:val="24"/>
          <w:highlight w:val="none"/>
        </w:rPr>
      </w:pPr>
      <w:bookmarkStart w:id="157" w:name="_Toc27920"/>
      <w:bookmarkStart w:id="158" w:name="_Toc177135498"/>
      <w:bookmarkStart w:id="159" w:name="_Toc13262"/>
      <w:bookmarkStart w:id="160" w:name="_Toc16489"/>
      <w:bookmarkStart w:id="161" w:name="_Toc28129"/>
      <w:bookmarkStart w:id="162" w:name="_Toc177567425"/>
      <w:bookmarkStart w:id="163" w:name="_Toc176520733"/>
      <w:bookmarkStart w:id="164" w:name="_Toc1467383397"/>
      <w:bookmarkStart w:id="165" w:name="_Toc1982593376"/>
      <w:bookmarkStart w:id="166" w:name="_Toc1831112486"/>
      <w:bookmarkStart w:id="167" w:name="_Toc76373897"/>
      <w:r>
        <w:rPr>
          <w:rFonts w:hint="eastAsia" w:ascii="宋体" w:hAnsi="宋体" w:eastAsia="宋体" w:cs="宋体"/>
          <w:b/>
          <w:color w:val="auto"/>
          <w:sz w:val="24"/>
          <w:highlight w:val="none"/>
        </w:rPr>
        <w:t>六、定标</w:t>
      </w:r>
      <w:bookmarkEnd w:id="157"/>
      <w:bookmarkEnd w:id="158"/>
      <w:bookmarkEnd w:id="159"/>
      <w:bookmarkEnd w:id="160"/>
      <w:bookmarkEnd w:id="161"/>
      <w:bookmarkEnd w:id="162"/>
      <w:bookmarkEnd w:id="163"/>
      <w:bookmarkEnd w:id="164"/>
      <w:bookmarkEnd w:id="165"/>
      <w:bookmarkEnd w:id="166"/>
      <w:bookmarkEnd w:id="167"/>
    </w:p>
    <w:p w14:paraId="5326A51E">
      <w:pPr>
        <w:snapToGrid w:val="0"/>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（一）定标原则</w:t>
      </w:r>
    </w:p>
    <w:p w14:paraId="2BDC0CF6">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采购人或其授权的评标委员会应按照评标报告中推荐的中标候选人排名顺序确定中标人。</w:t>
      </w:r>
    </w:p>
    <w:p w14:paraId="5CB1FD41">
      <w:pPr>
        <w:pStyle w:val="30"/>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（二）定标程序</w:t>
      </w:r>
    </w:p>
    <w:p w14:paraId="1D001820">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采购代理机构应当在评标结束后2个工作日内将评标报告送采购人。</w:t>
      </w:r>
    </w:p>
    <w:p w14:paraId="63B6DF70">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2.采购人应当自收到评标报告之日起5个工作日内按评标报告推荐的中标候选人顺序确定中标人。</w:t>
      </w:r>
    </w:p>
    <w:p w14:paraId="0B6E2C1A">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中标候选人并列的，由采购人或者采购人委托评标委员会按照</w:t>
      </w:r>
      <w:r>
        <w:rPr>
          <w:rFonts w:hint="eastAsia" w:hAnsi="宋体" w:eastAsia="宋体" w:cs="宋体"/>
          <w:color w:val="auto"/>
          <w:sz w:val="24"/>
          <w:szCs w:val="20"/>
          <w:highlight w:val="none"/>
          <w:u w:val="none"/>
          <w:lang w:eastAsia="zh-CN"/>
        </w:rPr>
        <w:t>投标人</w:t>
      </w:r>
      <w:r>
        <w:rPr>
          <w:rFonts w:hint="eastAsia" w:ascii="宋体" w:hAnsi="宋体" w:eastAsia="宋体" w:cs="宋体"/>
          <w:color w:val="auto"/>
          <w:sz w:val="24"/>
          <w:szCs w:val="20"/>
          <w:highlight w:val="none"/>
          <w:u w:val="none"/>
        </w:rPr>
        <w:t>符合不发达地区或少数民族地区企业标准的优先排序</w:t>
      </w:r>
      <w:r>
        <w:rPr>
          <w:rFonts w:hint="eastAsia" w:ascii="宋体" w:hAnsi="宋体" w:eastAsia="宋体" w:cs="宋体"/>
          <w:color w:val="auto"/>
          <w:sz w:val="24"/>
          <w:szCs w:val="20"/>
          <w:highlight w:val="none"/>
        </w:rPr>
        <w:t>。</w:t>
      </w:r>
      <w:r>
        <w:rPr>
          <w:rFonts w:hint="eastAsia" w:hAnsi="宋体" w:eastAsia="宋体" w:cs="宋体"/>
          <w:color w:val="auto"/>
          <w:sz w:val="24"/>
          <w:szCs w:val="20"/>
          <w:highlight w:val="none"/>
          <w:lang w:eastAsia="zh-CN"/>
        </w:rPr>
        <w:t>无以上情况的，</w:t>
      </w:r>
      <w:r>
        <w:rPr>
          <w:rFonts w:hint="eastAsia" w:ascii="宋体" w:hAnsi="宋体" w:eastAsia="宋体" w:cs="宋体"/>
          <w:color w:val="auto"/>
          <w:sz w:val="24"/>
          <w:highlight w:val="none"/>
        </w:rPr>
        <w:t>按照技术部分</w:t>
      </w:r>
      <w:r>
        <w:rPr>
          <w:rFonts w:hint="eastAsia" w:ascii="宋体" w:hAnsi="宋体" w:eastAsia="宋体" w:cs="宋体"/>
          <w:color w:val="auto"/>
          <w:sz w:val="24"/>
          <w:szCs w:val="24"/>
          <w:highlight w:val="none"/>
        </w:rPr>
        <w:t>得分由高到低的顺序排列；技术部分得分相同的，按商务部分得分由高到低的顺序排列</w:t>
      </w:r>
      <w:r>
        <w:rPr>
          <w:rFonts w:hint="eastAsia" w:ascii="宋体" w:hAnsi="宋体" w:eastAsia="宋体" w:cs="宋体"/>
          <w:color w:val="auto"/>
          <w:sz w:val="24"/>
          <w:highlight w:val="none"/>
        </w:rPr>
        <w:t>确定中标人。</w:t>
      </w:r>
    </w:p>
    <w:p w14:paraId="5FAC5929">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3.采购人或者采购代理机构应当自中标人确定之日起2个工作日内，在中国政府采购网上公告中标结果。中标公告期限为1个工作日。</w:t>
      </w:r>
    </w:p>
    <w:p w14:paraId="7BCB296C">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4.中标人变更</w:t>
      </w:r>
    </w:p>
    <w:p w14:paraId="5307E1C2">
      <w:pPr>
        <w:pStyle w:val="3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中标人拒绝与采购人签订合同的，采购人可以按照评标报告推荐的中标候选人顺序，确定排名下一位的候选人为中标人，也可以重新开展政府采购活动。</w:t>
      </w:r>
    </w:p>
    <w:p w14:paraId="6F8F999F">
      <w:pPr>
        <w:pStyle w:val="3"/>
        <w:spacing w:line="400" w:lineRule="exact"/>
        <w:rPr>
          <w:rFonts w:hint="eastAsia" w:ascii="宋体" w:hAnsi="宋体" w:eastAsia="宋体" w:cs="宋体"/>
          <w:b/>
          <w:color w:val="auto"/>
          <w:sz w:val="24"/>
          <w:highlight w:val="none"/>
        </w:rPr>
      </w:pPr>
      <w:bookmarkStart w:id="168" w:name="_Toc25825"/>
      <w:bookmarkStart w:id="169" w:name="_Toc177567426"/>
      <w:bookmarkStart w:id="170" w:name="_Toc170787110"/>
      <w:bookmarkStart w:id="171" w:name="_Toc887758000"/>
      <w:bookmarkStart w:id="172" w:name="_Toc1779"/>
      <w:bookmarkStart w:id="173" w:name="_Toc177135499"/>
      <w:bookmarkStart w:id="174" w:name="_Toc76373898"/>
      <w:bookmarkStart w:id="175" w:name="_Toc23869"/>
      <w:bookmarkStart w:id="176" w:name="_Toc1572082451"/>
      <w:bookmarkStart w:id="177" w:name="_Toc176520734"/>
      <w:bookmarkStart w:id="178" w:name="_Toc30543"/>
      <w:r>
        <w:rPr>
          <w:rFonts w:hint="eastAsia" w:ascii="宋体" w:hAnsi="宋体" w:eastAsia="宋体" w:cs="宋体"/>
          <w:b/>
          <w:color w:val="auto"/>
          <w:sz w:val="24"/>
          <w:highlight w:val="none"/>
        </w:rPr>
        <w:t>七、中标</w:t>
      </w:r>
      <w:bookmarkEnd w:id="168"/>
      <w:bookmarkEnd w:id="169"/>
      <w:bookmarkEnd w:id="170"/>
      <w:bookmarkEnd w:id="171"/>
      <w:bookmarkEnd w:id="172"/>
      <w:bookmarkEnd w:id="173"/>
      <w:bookmarkEnd w:id="174"/>
      <w:bookmarkEnd w:id="175"/>
      <w:bookmarkEnd w:id="176"/>
      <w:bookmarkEnd w:id="177"/>
      <w:bookmarkEnd w:id="178"/>
    </w:p>
    <w:p w14:paraId="2CB92413">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（一）采购人依法确定中标人后，采购代理机构以书面形式发出中标通知书。</w:t>
      </w:r>
    </w:p>
    <w:p w14:paraId="5BDF3542">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（二）中标通知书发出后，采购人改变中标结果，或者中标人放弃中标，应当承担相应的法律责任。</w:t>
      </w:r>
    </w:p>
    <w:p w14:paraId="7BC77B01">
      <w:pPr>
        <w:pStyle w:val="3"/>
        <w:spacing w:line="400" w:lineRule="exact"/>
        <w:rPr>
          <w:rFonts w:hint="eastAsia" w:cs="宋体"/>
          <w:b/>
          <w:color w:val="auto"/>
          <w:sz w:val="24"/>
          <w:highlight w:val="none"/>
        </w:rPr>
      </w:pPr>
      <w:bookmarkStart w:id="179" w:name="_Toc303847491"/>
      <w:bookmarkStart w:id="180" w:name="_Toc273960414"/>
      <w:bookmarkStart w:id="181" w:name="_Toc32314"/>
      <w:bookmarkStart w:id="182" w:name="_Toc355910205"/>
      <w:r>
        <w:rPr>
          <w:rFonts w:hint="eastAsia" w:cs="宋体"/>
          <w:b/>
          <w:color w:val="auto"/>
          <w:sz w:val="24"/>
          <w:highlight w:val="none"/>
        </w:rPr>
        <w:t>八、询问、质疑和投诉</w:t>
      </w:r>
      <w:bookmarkEnd w:id="179"/>
      <w:bookmarkEnd w:id="180"/>
      <w:bookmarkEnd w:id="181"/>
      <w:bookmarkEnd w:id="182"/>
    </w:p>
    <w:p w14:paraId="4ECF4AB6">
      <w:pPr>
        <w:spacing w:line="400" w:lineRule="exact"/>
        <w:ind w:right="12" w:firstLine="480"/>
        <w:outlineLvl w:val="2"/>
        <w:rPr>
          <w:rFonts w:hint="eastAsia" w:ascii="宋体" w:hAnsi="宋体" w:cs="宋体"/>
          <w:color w:val="auto"/>
          <w:sz w:val="24"/>
          <w:highlight w:val="none"/>
        </w:rPr>
      </w:pPr>
      <w:r>
        <w:rPr>
          <w:rFonts w:hint="eastAsia" w:ascii="宋体" w:hAnsi="宋体" w:cs="宋体"/>
          <w:color w:val="auto"/>
          <w:sz w:val="24"/>
          <w:highlight w:val="none"/>
        </w:rPr>
        <w:t>（一）询问</w:t>
      </w:r>
    </w:p>
    <w:p w14:paraId="651778C9">
      <w:pPr>
        <w:spacing w:line="400" w:lineRule="exact"/>
        <w:ind w:right="12" w:firstLine="480"/>
        <w:rPr>
          <w:rFonts w:hint="eastAsia" w:ascii="宋体" w:hAnsi="宋体" w:cs="宋体"/>
          <w:color w:val="auto"/>
          <w:sz w:val="24"/>
          <w:highlight w:val="none"/>
        </w:rPr>
      </w:pPr>
      <w:r>
        <w:rPr>
          <w:rFonts w:hint="eastAsia" w:ascii="宋体" w:hAnsi="宋体" w:cs="宋体"/>
          <w:color w:val="auto"/>
          <w:sz w:val="24"/>
          <w:highlight w:val="none"/>
        </w:rPr>
        <w:t>采购人或者采购代理机构应当在3个工作日内对投标人依法提出的询问作出答复。投标人询问可以是口头或书面形式。</w:t>
      </w:r>
    </w:p>
    <w:p w14:paraId="45DAAD13">
      <w:pPr>
        <w:snapToGrid w:val="0"/>
        <w:spacing w:line="400" w:lineRule="exact"/>
        <w:ind w:firstLine="480" w:firstLineChars="200"/>
        <w:outlineLvl w:val="2"/>
        <w:rPr>
          <w:rFonts w:hint="eastAsia" w:ascii="宋体" w:hAnsi="宋体" w:cs="宋体"/>
          <w:color w:val="auto"/>
          <w:sz w:val="24"/>
          <w:highlight w:val="none"/>
        </w:rPr>
      </w:pPr>
      <w:r>
        <w:rPr>
          <w:rFonts w:hint="eastAsia" w:ascii="宋体" w:hAnsi="宋体" w:cs="宋体"/>
          <w:color w:val="auto"/>
          <w:sz w:val="24"/>
          <w:highlight w:val="none"/>
        </w:rPr>
        <w:t>（二）质疑</w:t>
      </w:r>
    </w:p>
    <w:p w14:paraId="2331EA90">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投标人认为采购文件、采购过程和中标结果使自己的权益受到伤害的，可向采购人或采购代理机构以书面形式提出质疑。</w:t>
      </w:r>
    </w:p>
    <w:p w14:paraId="0646B876">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提出质疑的应当是参与所质疑项目采购活动的投标人。 </w:t>
      </w:r>
    </w:p>
    <w:p w14:paraId="66A6F56A">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1.质疑时限、内容</w:t>
      </w:r>
    </w:p>
    <w:p w14:paraId="7BB75101">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1.1投标人对招标文件提出质疑的，应在依法获取招标文件之日或者招标文件公告期限届满之日起七个工作日内提出。</w:t>
      </w:r>
    </w:p>
    <w:p w14:paraId="1DA29E22">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 投标人对采购过程提出质疑的，应在各采购程序环节结束之日起七个工作日内提出。</w:t>
      </w:r>
    </w:p>
    <w:p w14:paraId="76DE6313">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1.3投标人对中标结果提出质疑的，应当在中标结果公告期限届满之日起七个工作日内提出。</w:t>
      </w:r>
    </w:p>
    <w:p w14:paraId="2A4B76CA">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1.4投标人提出质疑应当提交质疑函和必要的证明材料，质疑函应当包括下列内容：</w:t>
      </w:r>
    </w:p>
    <w:p w14:paraId="4C991821">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1.4.1供应商的姓名或者名称、地址、邮编、联系人及联系电话；</w:t>
      </w:r>
    </w:p>
    <w:p w14:paraId="3BCDD288">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1.4.2质疑项目的名称、项目号以及采购执行编号；</w:t>
      </w:r>
    </w:p>
    <w:p w14:paraId="696F3D70">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1.4.3具体、明确的质疑事项和与质疑事项相关的请求；</w:t>
      </w:r>
    </w:p>
    <w:p w14:paraId="19C32157">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1.4.4事实依据；</w:t>
      </w:r>
    </w:p>
    <w:p w14:paraId="0DD42D41">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1.4.5必要的法律依据；</w:t>
      </w:r>
    </w:p>
    <w:p w14:paraId="7A32879D">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1.4.6提出质疑的日期；</w:t>
      </w:r>
    </w:p>
    <w:p w14:paraId="70723C2E">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1.4.7营业执照（或事业单位法人证书，或个体工商户营业执照或有效的自然人身份证明）复印件或扫描件；</w:t>
      </w:r>
    </w:p>
    <w:p w14:paraId="72D41234">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1.4.8法定代表人授权委托书原件、法定代表人身份证复印件或扫描件和其授权代表的身份证复印件或扫描件（供应商为自然人的提供自然人身份证复印件或扫描件）；</w:t>
      </w:r>
    </w:p>
    <w:p w14:paraId="1BA7A3AA">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1.4.9在大家采-数智招采服务平台依法获取招标文件截图证明（获取招标文件状态截图证明流程：“大家采-数智招采服务平台”→“在线开评标”→“我的投标项目”→找到该项目点击“查看详情”进行项目获取招标文件信息截图）；</w:t>
      </w:r>
    </w:p>
    <w:p w14:paraId="4D8BFD49">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1.5供应商为自然人的，质疑函应当由本人签字；供应商为法人或者其他组织的，质疑函应当由法定代表人、主要负责人，或者其授权代表签字或者盖章，并加盖公章。</w:t>
      </w:r>
    </w:p>
    <w:p w14:paraId="4A0C6221">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2.质疑答复</w:t>
      </w:r>
    </w:p>
    <w:p w14:paraId="52DF2082">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采购人、采购代理机构应当在收到投标人的书面质疑后七个工作日内作出答复，并以书面形式通知质疑投标人和其他有关投标人。</w:t>
      </w:r>
    </w:p>
    <w:p w14:paraId="4E5FA6F8">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3.其他</w:t>
      </w:r>
    </w:p>
    <w:p w14:paraId="1D69F99C">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3.1投标人应按照《政府采购质疑和投诉办法》（财政部令第94号）及相关法律法规要求，在法定质疑期内一次性提出针对同一采购程序环节的质疑。</w:t>
      </w:r>
    </w:p>
    <w:p w14:paraId="4A84184B">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3.2质疑函范本可在财政部门户网站和中国政府采购网下载。</w:t>
      </w:r>
    </w:p>
    <w:p w14:paraId="194F6784">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4.质疑联系方式详见第一篇“联系方式”。</w:t>
      </w:r>
    </w:p>
    <w:p w14:paraId="6256A92F">
      <w:pPr>
        <w:snapToGrid w:val="0"/>
        <w:spacing w:line="400" w:lineRule="exact"/>
        <w:ind w:firstLine="480" w:firstLineChars="200"/>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（三）投诉</w:t>
      </w:r>
    </w:p>
    <w:p w14:paraId="5B667DE6">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1.投标人对采购人、采购代理机构的答复不满意，或者采购人、采购代理机构未在规定时间内作出答复的，可以在答复期满后15个工作日内按照相关法律法规向财政部门提起投诉。</w:t>
      </w:r>
    </w:p>
    <w:p w14:paraId="48660EFF">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2.投标人应按照《政府采购质疑和投诉办法》（财政部令第94号）及相关法律法规要求递交投诉书和必要的证明材料。投诉书范本可在财政部门户网站和中国政府采购网下载。</w:t>
      </w:r>
    </w:p>
    <w:p w14:paraId="75B70486">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1DDE2FFA">
      <w:pPr>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5B8C707C">
      <w:pPr>
        <w:pStyle w:val="3"/>
        <w:spacing w:line="400" w:lineRule="exact"/>
        <w:rPr>
          <w:rFonts w:hint="eastAsia" w:ascii="宋体" w:hAnsi="宋体" w:eastAsia="宋体" w:cs="宋体"/>
          <w:b/>
          <w:color w:val="auto"/>
          <w:sz w:val="24"/>
          <w:highlight w:val="none"/>
        </w:rPr>
      </w:pPr>
      <w:bookmarkStart w:id="183" w:name="_Toc22227"/>
      <w:bookmarkStart w:id="184" w:name="_Toc766345931"/>
      <w:bookmarkStart w:id="185" w:name="_Toc177567428"/>
      <w:bookmarkStart w:id="186" w:name="_Toc18235"/>
      <w:bookmarkStart w:id="187" w:name="_Toc176520736"/>
      <w:bookmarkStart w:id="188" w:name="_Toc1519408001"/>
      <w:bookmarkStart w:id="189" w:name="_Toc14546"/>
      <w:bookmarkStart w:id="190" w:name="_Toc76373900"/>
      <w:bookmarkStart w:id="191" w:name="_Toc18352"/>
      <w:bookmarkStart w:id="192" w:name="_Toc177135501"/>
      <w:r>
        <w:rPr>
          <w:rFonts w:hint="eastAsia" w:ascii="宋体" w:hAnsi="宋体" w:eastAsia="宋体" w:cs="宋体"/>
          <w:b/>
          <w:color w:val="auto"/>
          <w:sz w:val="24"/>
          <w:highlight w:val="none"/>
        </w:rPr>
        <w:t>九、采购代理服务费</w:t>
      </w:r>
      <w:bookmarkEnd w:id="183"/>
      <w:bookmarkEnd w:id="184"/>
      <w:bookmarkEnd w:id="185"/>
      <w:bookmarkEnd w:id="186"/>
      <w:bookmarkEnd w:id="187"/>
      <w:bookmarkEnd w:id="188"/>
      <w:bookmarkEnd w:id="189"/>
      <w:bookmarkEnd w:id="190"/>
      <w:bookmarkEnd w:id="191"/>
      <w:bookmarkEnd w:id="192"/>
    </w:p>
    <w:p w14:paraId="6B388743">
      <w:pPr>
        <w:spacing w:line="400" w:lineRule="exact"/>
        <w:ind w:firstLine="480" w:firstLineChars="200"/>
        <w:rPr>
          <w:rFonts w:hint="eastAsia" w:ascii="宋体" w:hAnsi="宋体" w:eastAsia="宋体" w:cs="宋体"/>
          <w:color w:val="auto"/>
          <w:sz w:val="21"/>
          <w:szCs w:val="21"/>
          <w:highlight w:val="none"/>
        </w:rPr>
      </w:pPr>
      <w:bookmarkStart w:id="193" w:name="OLE_LINK8"/>
      <w:bookmarkStart w:id="194" w:name="OLE_LINK7"/>
      <w:r>
        <w:rPr>
          <w:rFonts w:hint="eastAsia" w:ascii="宋体" w:hAnsi="宋体" w:eastAsia="宋体" w:cs="宋体"/>
          <w:color w:val="auto"/>
          <w:sz w:val="24"/>
          <w:highlight w:val="none"/>
        </w:rPr>
        <w:t>（一）投标人中标后向采购代理机构缴纳招标代理服务费，</w:t>
      </w:r>
      <w:r>
        <w:rPr>
          <w:rFonts w:hint="eastAsia" w:ascii="宋体" w:hAnsi="宋体" w:cs="宋体"/>
          <w:color w:val="auto"/>
          <w:sz w:val="24"/>
          <w:highlight w:val="none"/>
        </w:rPr>
        <w:t>招标代理服务费的收取标准按照投标人所报折扣*该包预算金额后的价格作为中标金额再按以下标准执行</w:t>
      </w:r>
      <w:r>
        <w:rPr>
          <w:rFonts w:hint="eastAsia" w:ascii="宋体" w:hAnsi="宋体" w:eastAsia="宋体" w:cs="宋体"/>
          <w:color w:val="auto"/>
          <w:sz w:val="24"/>
          <w:highlight w:val="none"/>
        </w:rPr>
        <w:t>:</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1815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noWrap w:val="0"/>
            <w:vAlign w:val="top"/>
          </w:tcPr>
          <w:p w14:paraId="765C9933">
            <w:pPr>
              <w:spacing w:line="4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z75g9YAAAAI&#10;AQAADwAAAAAAAAABACAAAAAiAAAAZHJzL2Rvd25yZXYueG1sUEsBAhQAFAAAAAgAh07iQGFrA8rl&#10;AQAAtgMAAA4AAAAAAAAAAQAgAAAAJQEAAGRycy9lMm9Eb2MueG1sUEsFBgAAAAAGAAYAWQEAAHwF&#10;AAAAAA==&#10;">
                      <v:fill on="f" focussize="0,0"/>
                      <v:stroke color="#000000" joinstyle="round"/>
                      <v:imagedata o:title=""/>
                      <o:lock v:ext="edit" aspectratio="f"/>
                    </v:line>
                  </w:pict>
                </mc:Fallback>
              </mc:AlternateContent>
            </w:r>
            <w:r>
              <w:rPr>
                <w:rFonts w:hint="eastAsia" w:ascii="宋体" w:hAnsi="宋体" w:eastAsia="宋体" w:cs="宋体"/>
                <w:color w:val="auto"/>
                <w:sz w:val="21"/>
                <w:szCs w:val="21"/>
                <w:highlight w:val="none"/>
              </w:rPr>
              <w:t>招标类型</w:t>
            </w:r>
          </w:p>
          <w:p w14:paraId="5D984BD9">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中标金额（万元）</w:t>
            </w:r>
          </w:p>
        </w:tc>
        <w:tc>
          <w:tcPr>
            <w:tcW w:w="2273" w:type="dxa"/>
            <w:noWrap w:val="0"/>
            <w:vAlign w:val="center"/>
          </w:tcPr>
          <w:p w14:paraId="0FF0FD97">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货物招标</w:t>
            </w:r>
          </w:p>
        </w:tc>
        <w:tc>
          <w:tcPr>
            <w:tcW w:w="2273" w:type="dxa"/>
            <w:noWrap w:val="0"/>
            <w:vAlign w:val="center"/>
          </w:tcPr>
          <w:p w14:paraId="3C1313A7">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服务招标</w:t>
            </w:r>
          </w:p>
        </w:tc>
        <w:tc>
          <w:tcPr>
            <w:tcW w:w="2272" w:type="dxa"/>
            <w:noWrap w:val="0"/>
            <w:vAlign w:val="center"/>
          </w:tcPr>
          <w:p w14:paraId="66F8980F">
            <w:pPr>
              <w:pStyle w:val="179"/>
              <w:widowControl w:val="0"/>
              <w:pBdr>
                <w:left w:val="none" w:color="auto" w:sz="0" w:space="0"/>
                <w:right w:val="none" w:color="auto" w:sz="0" w:space="0"/>
              </w:pBdr>
              <w:spacing w:before="0" w:beforeAutospacing="0" w:after="0" w:afterAutospacing="0" w:line="42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工程招标</w:t>
            </w:r>
          </w:p>
        </w:tc>
      </w:tr>
      <w:tr w14:paraId="443D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441893E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100以下</w:t>
            </w:r>
          </w:p>
        </w:tc>
        <w:tc>
          <w:tcPr>
            <w:tcW w:w="2273" w:type="dxa"/>
            <w:noWrap w:val="0"/>
            <w:vAlign w:val="center"/>
          </w:tcPr>
          <w:p w14:paraId="59193665">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2273" w:type="dxa"/>
            <w:noWrap w:val="0"/>
            <w:vAlign w:val="center"/>
          </w:tcPr>
          <w:p w14:paraId="2F4DDB22">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2272" w:type="dxa"/>
            <w:noWrap w:val="0"/>
            <w:vAlign w:val="center"/>
          </w:tcPr>
          <w:p w14:paraId="6DC70A58">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6D70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07052568">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100-200</w:t>
            </w:r>
          </w:p>
        </w:tc>
        <w:tc>
          <w:tcPr>
            <w:tcW w:w="2273" w:type="dxa"/>
            <w:noWrap w:val="0"/>
            <w:vAlign w:val="center"/>
          </w:tcPr>
          <w:p w14:paraId="78146BAD">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273" w:type="dxa"/>
            <w:noWrap w:val="0"/>
            <w:vAlign w:val="center"/>
          </w:tcPr>
          <w:p w14:paraId="02BAD1ED">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0.8%</w:t>
            </w:r>
          </w:p>
        </w:tc>
        <w:tc>
          <w:tcPr>
            <w:tcW w:w="2272" w:type="dxa"/>
            <w:noWrap w:val="0"/>
            <w:vAlign w:val="center"/>
          </w:tcPr>
          <w:p w14:paraId="290DEF82">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w:t>
            </w:r>
          </w:p>
        </w:tc>
      </w:tr>
      <w:tr w14:paraId="2084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441B2F14">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200-500</w:t>
            </w:r>
          </w:p>
        </w:tc>
        <w:tc>
          <w:tcPr>
            <w:tcW w:w="2273" w:type="dxa"/>
            <w:noWrap w:val="0"/>
            <w:vAlign w:val="center"/>
          </w:tcPr>
          <w:p w14:paraId="7E857768">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w:t>
            </w:r>
          </w:p>
        </w:tc>
        <w:tc>
          <w:tcPr>
            <w:tcW w:w="2273" w:type="dxa"/>
            <w:noWrap w:val="0"/>
            <w:vAlign w:val="center"/>
          </w:tcPr>
          <w:p w14:paraId="2FC2060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0.78%</w:t>
            </w:r>
          </w:p>
        </w:tc>
        <w:tc>
          <w:tcPr>
            <w:tcW w:w="2272" w:type="dxa"/>
            <w:noWrap w:val="0"/>
            <w:vAlign w:val="center"/>
          </w:tcPr>
          <w:p w14:paraId="441CC0D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0.69%</w:t>
            </w:r>
          </w:p>
        </w:tc>
      </w:tr>
      <w:tr w14:paraId="635B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539BA9EC">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500-1000</w:t>
            </w:r>
          </w:p>
        </w:tc>
        <w:tc>
          <w:tcPr>
            <w:tcW w:w="2273" w:type="dxa"/>
            <w:noWrap w:val="0"/>
            <w:vAlign w:val="center"/>
          </w:tcPr>
          <w:p w14:paraId="33D163B7">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0.76%</w:t>
            </w:r>
          </w:p>
        </w:tc>
        <w:tc>
          <w:tcPr>
            <w:tcW w:w="2273" w:type="dxa"/>
            <w:noWrap w:val="0"/>
            <w:vAlign w:val="center"/>
          </w:tcPr>
          <w:p w14:paraId="032DF71D">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0.43%</w:t>
            </w:r>
          </w:p>
        </w:tc>
        <w:tc>
          <w:tcPr>
            <w:tcW w:w="2272" w:type="dxa"/>
            <w:noWrap w:val="0"/>
            <w:vAlign w:val="center"/>
          </w:tcPr>
          <w:p w14:paraId="583B0C97">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0.52%</w:t>
            </w:r>
          </w:p>
        </w:tc>
      </w:tr>
      <w:tr w14:paraId="1E19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07B5B116">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1000-5000</w:t>
            </w:r>
          </w:p>
        </w:tc>
        <w:tc>
          <w:tcPr>
            <w:tcW w:w="2273" w:type="dxa"/>
            <w:noWrap w:val="0"/>
            <w:vAlign w:val="center"/>
          </w:tcPr>
          <w:p w14:paraId="7CE36CC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0.45%</w:t>
            </w:r>
          </w:p>
        </w:tc>
        <w:tc>
          <w:tcPr>
            <w:tcW w:w="2273" w:type="dxa"/>
            <w:noWrap w:val="0"/>
            <w:vAlign w:val="center"/>
          </w:tcPr>
          <w:p w14:paraId="541A91BE">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2272" w:type="dxa"/>
            <w:noWrap w:val="0"/>
            <w:vAlign w:val="center"/>
          </w:tcPr>
          <w:p w14:paraId="173623EF">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0.32%</w:t>
            </w:r>
          </w:p>
        </w:tc>
      </w:tr>
      <w:tr w14:paraId="5CEF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62739948">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5000-10000</w:t>
            </w:r>
          </w:p>
        </w:tc>
        <w:tc>
          <w:tcPr>
            <w:tcW w:w="2273" w:type="dxa"/>
            <w:noWrap w:val="0"/>
            <w:vAlign w:val="center"/>
          </w:tcPr>
          <w:p w14:paraId="1DDB086C">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2273" w:type="dxa"/>
            <w:noWrap w:val="0"/>
            <w:vAlign w:val="center"/>
          </w:tcPr>
          <w:p w14:paraId="21BBE600">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0.09%</w:t>
            </w:r>
          </w:p>
        </w:tc>
        <w:tc>
          <w:tcPr>
            <w:tcW w:w="2272" w:type="dxa"/>
            <w:noWrap w:val="0"/>
            <w:vAlign w:val="center"/>
          </w:tcPr>
          <w:p w14:paraId="4487FFE4">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w:t>
            </w:r>
          </w:p>
        </w:tc>
      </w:tr>
      <w:tr w14:paraId="0DBF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45C34C16">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10000-100000</w:t>
            </w:r>
          </w:p>
        </w:tc>
        <w:tc>
          <w:tcPr>
            <w:tcW w:w="2273" w:type="dxa"/>
            <w:noWrap w:val="0"/>
            <w:vAlign w:val="center"/>
          </w:tcPr>
          <w:p w14:paraId="75C1833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0.045%</w:t>
            </w:r>
          </w:p>
        </w:tc>
        <w:tc>
          <w:tcPr>
            <w:tcW w:w="2273" w:type="dxa"/>
            <w:noWrap w:val="0"/>
            <w:vAlign w:val="center"/>
          </w:tcPr>
          <w:p w14:paraId="0117B7B1">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0.045%</w:t>
            </w:r>
          </w:p>
        </w:tc>
        <w:tc>
          <w:tcPr>
            <w:tcW w:w="2272" w:type="dxa"/>
            <w:noWrap w:val="0"/>
            <w:vAlign w:val="center"/>
          </w:tcPr>
          <w:p w14:paraId="51A3D0F9">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0.045%</w:t>
            </w:r>
          </w:p>
        </w:tc>
      </w:tr>
      <w:tr w14:paraId="79F3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0"/>
            <w:vAlign w:val="center"/>
          </w:tcPr>
          <w:p w14:paraId="357BD33B">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100000以上</w:t>
            </w:r>
          </w:p>
        </w:tc>
        <w:tc>
          <w:tcPr>
            <w:tcW w:w="2273" w:type="dxa"/>
            <w:noWrap w:val="0"/>
            <w:vAlign w:val="center"/>
          </w:tcPr>
          <w:p w14:paraId="23E83597">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0.009%</w:t>
            </w:r>
          </w:p>
        </w:tc>
        <w:tc>
          <w:tcPr>
            <w:tcW w:w="2273" w:type="dxa"/>
            <w:noWrap w:val="0"/>
            <w:vAlign w:val="center"/>
          </w:tcPr>
          <w:p w14:paraId="1A72A191">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0.009%</w:t>
            </w:r>
          </w:p>
        </w:tc>
        <w:tc>
          <w:tcPr>
            <w:tcW w:w="2272" w:type="dxa"/>
            <w:noWrap w:val="0"/>
            <w:vAlign w:val="center"/>
          </w:tcPr>
          <w:p w14:paraId="1F59E003">
            <w:pPr>
              <w:spacing w:line="4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0.009%</w:t>
            </w:r>
          </w:p>
        </w:tc>
      </w:tr>
      <w:bookmarkEnd w:id="193"/>
      <w:bookmarkEnd w:id="194"/>
    </w:tbl>
    <w:p w14:paraId="235A50E7">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注：招标代理服务收费按差额定率累进法计算。例如：某服务招标代理业务中标金额为500万元，计算招标代理服务收费额如下：</w:t>
      </w:r>
    </w:p>
    <w:p w14:paraId="5963CE65">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100万元×1.5%=1.5万元</w:t>
      </w:r>
    </w:p>
    <w:p w14:paraId="4E50BF8D">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（200-100）万元×0.8%=0.8万元</w:t>
      </w:r>
    </w:p>
    <w:p w14:paraId="4B7CD57E">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（500-200）×0.78%=2.34万元</w:t>
      </w:r>
    </w:p>
    <w:p w14:paraId="748EB2A1">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合计收费=1.5+0.8+2.34=4.64（万元）</w:t>
      </w:r>
    </w:p>
    <w:p w14:paraId="4DFA7D11">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（二）采购代理服务费缴纳账号：</w:t>
      </w:r>
    </w:p>
    <w:p w14:paraId="4E8839F4">
      <w:pPr>
        <w:spacing w:line="400" w:lineRule="exact"/>
        <w:ind w:firstLine="480" w:firstLineChars="200"/>
        <w:rPr>
          <w:rFonts w:hint="eastAsia" w:ascii="宋体" w:hAnsi="宋体" w:eastAsia="宋体" w:cs="宋体"/>
          <w:color w:val="auto"/>
          <w:sz w:val="24"/>
          <w:highlight w:val="none"/>
        </w:rPr>
      </w:pPr>
      <w:bookmarkStart w:id="195" w:name="_Toc177567429"/>
      <w:bookmarkStart w:id="196" w:name="_Toc6078"/>
      <w:bookmarkStart w:id="197" w:name="_Toc345318310"/>
      <w:bookmarkStart w:id="198" w:name="_Toc429584878"/>
      <w:bookmarkStart w:id="199" w:name="_Toc28913"/>
      <w:bookmarkStart w:id="200" w:name="_Toc177135502"/>
      <w:bookmarkStart w:id="201" w:name="_Toc76373901"/>
      <w:bookmarkStart w:id="202" w:name="_Toc342983494"/>
      <w:bookmarkStart w:id="203" w:name="_Toc14077"/>
      <w:bookmarkStart w:id="204" w:name="_Toc176520737"/>
      <w:bookmarkStart w:id="205" w:name="_Toc343881212"/>
      <w:bookmarkStart w:id="206" w:name="_Toc30332"/>
      <w:r>
        <w:rPr>
          <w:rFonts w:hint="eastAsia" w:ascii="宋体" w:hAnsi="宋体" w:eastAsia="宋体" w:cs="宋体"/>
          <w:color w:val="auto"/>
          <w:sz w:val="24"/>
          <w:highlight w:val="none"/>
        </w:rPr>
        <w:t>户  名：重庆市政府采购中心</w:t>
      </w:r>
    </w:p>
    <w:p w14:paraId="1E399157">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开户行：中国工商银行股份有限公司重庆五里店支行（行号：102653000177）</w:t>
      </w:r>
    </w:p>
    <w:p w14:paraId="7CEB658E">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号：3100023409200174780</w:t>
      </w:r>
    </w:p>
    <w:p w14:paraId="1DD31A84">
      <w:pPr>
        <w:pStyle w:val="3"/>
        <w:spacing w:line="400" w:lineRule="exact"/>
        <w:rPr>
          <w:rFonts w:hint="eastAsia" w:ascii="宋体" w:hAnsi="宋体" w:eastAsia="宋体" w:cs="宋体"/>
          <w:b/>
          <w:color w:val="auto"/>
          <w:sz w:val="24"/>
          <w:highlight w:val="none"/>
        </w:rPr>
      </w:pPr>
      <w:bookmarkStart w:id="207" w:name="_Toc94417243"/>
      <w:bookmarkStart w:id="208" w:name="_Toc1325279591"/>
      <w:r>
        <w:rPr>
          <w:rFonts w:hint="eastAsia" w:ascii="宋体" w:hAnsi="宋体" w:eastAsia="宋体" w:cs="宋体"/>
          <w:b/>
          <w:color w:val="auto"/>
          <w:sz w:val="24"/>
          <w:highlight w:val="none"/>
        </w:rPr>
        <w:t>十、交易服务费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1162CDB8">
      <w:pPr>
        <w:spacing w:line="400" w:lineRule="exact"/>
        <w:ind w:firstLine="480" w:firstLineChars="200"/>
        <w:rPr>
          <w:rFonts w:hint="eastAsia" w:ascii="宋体" w:hAnsi="宋体" w:eastAsia="宋体" w:cs="宋体"/>
          <w:color w:val="auto"/>
          <w:sz w:val="24"/>
          <w:highlight w:val="none"/>
        </w:rPr>
      </w:pPr>
      <w:bookmarkStart w:id="209" w:name="_Toc18118"/>
      <w:bookmarkStart w:id="210" w:name="_Toc6985"/>
      <w:bookmarkStart w:id="211" w:name="_Toc76373902"/>
      <w:bookmarkStart w:id="212" w:name="_Toc20951"/>
      <w:bookmarkStart w:id="213" w:name="_Toc16111"/>
      <w:r>
        <w:rPr>
          <w:rFonts w:hint="eastAsia" w:ascii="宋体" w:hAnsi="宋体" w:eastAsia="宋体" w:cs="宋体"/>
          <w:color w:val="auto"/>
          <w:sz w:val="24"/>
          <w:highlight w:val="none"/>
        </w:rPr>
        <w:t>投标人中标后向“重庆联合产权交易所集团股份有限公司”缴纳交易服务费，服务费的收取标准按渝发改收费(2023)115号执行。</w:t>
      </w:r>
    </w:p>
    <w:p w14:paraId="4D597A00">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重庆市公共资源交易中心咨询电话：023-63625633</w:t>
      </w:r>
    </w:p>
    <w:p w14:paraId="236A2AF6">
      <w:pPr>
        <w:pStyle w:val="3"/>
        <w:spacing w:line="400" w:lineRule="exact"/>
        <w:rPr>
          <w:rFonts w:hint="eastAsia" w:ascii="宋体" w:hAnsi="宋体" w:eastAsia="宋体" w:cs="宋体"/>
          <w:b/>
          <w:color w:val="auto"/>
          <w:sz w:val="24"/>
          <w:highlight w:val="none"/>
        </w:rPr>
      </w:pPr>
      <w:bookmarkStart w:id="214" w:name="_Toc881450299"/>
      <w:bookmarkStart w:id="215" w:name="_Toc177567430"/>
      <w:bookmarkStart w:id="216" w:name="_Toc177135503"/>
      <w:bookmarkStart w:id="217" w:name="_Toc176520738"/>
      <w:bookmarkStart w:id="218" w:name="_Toc483377243"/>
      <w:r>
        <w:rPr>
          <w:rFonts w:hint="eastAsia" w:ascii="宋体" w:hAnsi="宋体" w:eastAsia="宋体" w:cs="宋体"/>
          <w:b/>
          <w:color w:val="auto"/>
          <w:sz w:val="24"/>
          <w:highlight w:val="none"/>
        </w:rPr>
        <w:t>十一、签订合同</w:t>
      </w:r>
      <w:bookmarkEnd w:id="209"/>
      <w:bookmarkEnd w:id="210"/>
      <w:bookmarkEnd w:id="211"/>
      <w:bookmarkEnd w:id="212"/>
      <w:bookmarkEnd w:id="213"/>
      <w:bookmarkEnd w:id="214"/>
      <w:bookmarkEnd w:id="215"/>
      <w:bookmarkEnd w:id="216"/>
      <w:bookmarkEnd w:id="217"/>
      <w:bookmarkEnd w:id="218"/>
    </w:p>
    <w:p w14:paraId="63DDF8B2">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（一）采购人应当自中标通知书发出之日起</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rPr>
        <w:t>十日内，按照招标文件和中标人投标文件的约定，与中标人签订书面合同。所签订的合同不得对招标文件和中标人投标文件作实质性修改。</w:t>
      </w:r>
      <w:r>
        <w:rPr>
          <w:rFonts w:hint="eastAsia" w:ascii="宋体" w:hAnsi="宋体" w:eastAsia="宋体" w:cs="宋体"/>
          <w:color w:val="auto"/>
          <w:kern w:val="0"/>
          <w:sz w:val="24"/>
          <w:szCs w:val="24"/>
          <w:highlight w:val="none"/>
        </w:rPr>
        <w:t>其他未尽事宜由采购人和中标人在采购合同中详细约定。</w:t>
      </w:r>
    </w:p>
    <w:p w14:paraId="5CA3CE7B">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（二）采购人应当自政府采购合同签订之日起2个工作日内，将政府采购合同在中国政府采购网上公告，但政府采购合同中涉及国家秘密、商业秘密的内容除外。</w:t>
      </w:r>
    </w:p>
    <w:p w14:paraId="784A04E2">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（三）招标文件、中标人的投标文件及澄清文件等，均为签订政府采购合同的依据。</w:t>
      </w:r>
    </w:p>
    <w:p w14:paraId="5C23BCB0">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（四）合同生效条款由供需双方约定，法律、行政法规规定应当办理批准、登记等手续后生效的合同，依照其规定。</w:t>
      </w:r>
    </w:p>
    <w:p w14:paraId="144DE995">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（五）合同原则上应按照《政府采购合同》签订，相关单位要求适用合同通用格式版本的，应按其要求另行签订其他合同。</w:t>
      </w:r>
    </w:p>
    <w:p w14:paraId="2D8CDC9A">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（六）采购人要求中标人提供履约保证金的，应当在招标文件中予以约定。中标人履约完毕后，采购人应按招标文件及合同的约定无息退还其履约保证金。</w:t>
      </w:r>
    </w:p>
    <w:p w14:paraId="35DF2F4B">
      <w:pPr>
        <w:pStyle w:val="3"/>
        <w:spacing w:line="240" w:lineRule="auto"/>
        <w:ind w:firstLine="0" w:firstLineChars="0"/>
        <w:jc w:val="left"/>
        <w:rPr>
          <w:rFonts w:hint="eastAsia" w:ascii="宋体" w:hAnsi="宋体" w:eastAsia="宋体" w:cs="宋体"/>
          <w:b/>
          <w:color w:val="auto"/>
          <w:sz w:val="24"/>
          <w:highlight w:val="none"/>
        </w:rPr>
      </w:pPr>
      <w:bookmarkStart w:id="219" w:name="_Toc23671"/>
      <w:bookmarkStart w:id="220" w:name="_Toc11558"/>
      <w:bookmarkStart w:id="221" w:name="_Toc11349"/>
      <w:bookmarkStart w:id="222" w:name="_Toc23965"/>
      <w:bookmarkStart w:id="223" w:name="_Toc13934"/>
      <w:bookmarkStart w:id="224" w:name="_Toc4207"/>
      <w:bookmarkStart w:id="225" w:name="_Toc1406"/>
      <w:bookmarkStart w:id="226" w:name="_Toc26438"/>
      <w:bookmarkStart w:id="227" w:name="_Toc13027"/>
      <w:bookmarkStart w:id="228" w:name="_Toc9393"/>
      <w:bookmarkStart w:id="229" w:name="_Toc312140754"/>
      <w:bookmarkStart w:id="230" w:name="_Toc4923"/>
      <w:bookmarkStart w:id="231" w:name="_Toc29139"/>
      <w:bookmarkStart w:id="232" w:name="_Toc25795"/>
      <w:bookmarkStart w:id="233" w:name="_Toc19650"/>
      <w:bookmarkStart w:id="234" w:name="_Toc30327"/>
      <w:r>
        <w:rPr>
          <w:rFonts w:hint="eastAsia" w:ascii="宋体" w:eastAsia="宋体" w:cs="宋体"/>
          <w:b/>
          <w:color w:val="auto"/>
          <w:sz w:val="24"/>
          <w:highlight w:val="none"/>
        </w:rPr>
        <w:t>十二、</w:t>
      </w:r>
      <w:bookmarkEnd w:id="219"/>
      <w:bookmarkEnd w:id="220"/>
      <w:bookmarkEnd w:id="221"/>
      <w:bookmarkEnd w:id="222"/>
      <w:r>
        <w:rPr>
          <w:rFonts w:hint="eastAsia" w:ascii="宋体" w:eastAsia="宋体" w:cs="宋体"/>
          <w:b/>
          <w:color w:val="auto"/>
          <w:sz w:val="24"/>
          <w:highlight w:val="none"/>
        </w:rPr>
        <w:t>项目验收</w:t>
      </w:r>
      <w:bookmarkEnd w:id="223"/>
      <w:bookmarkEnd w:id="224"/>
      <w:bookmarkEnd w:id="225"/>
      <w:bookmarkEnd w:id="226"/>
      <w:bookmarkEnd w:id="227"/>
      <w:bookmarkEnd w:id="228"/>
      <w:bookmarkEnd w:id="229"/>
      <w:bookmarkEnd w:id="230"/>
      <w:bookmarkEnd w:id="231"/>
      <w:bookmarkEnd w:id="232"/>
      <w:bookmarkEnd w:id="233"/>
      <w:bookmarkEnd w:id="234"/>
    </w:p>
    <w:p w14:paraId="77F9C2EC">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合同执行完毕，采购人或采购代理机构原则上应在7个工作日内组织履约情况验收，不得无故拖延或附加额外条件。</w:t>
      </w:r>
    </w:p>
    <w:p w14:paraId="50E91B6D">
      <w:pPr>
        <w:pStyle w:val="2"/>
        <w:spacing w:before="0" w:beforeLines="0" w:after="0" w:afterLines="0" w:line="360" w:lineRule="auto"/>
        <w:rPr>
          <w:rFonts w:hint="eastAsia" w:ascii="宋体" w:hAnsi="宋体" w:eastAsia="宋体" w:cs="宋体"/>
          <w:b/>
          <w:color w:val="auto"/>
          <w:sz w:val="44"/>
          <w:highlight w:val="none"/>
        </w:rPr>
      </w:pPr>
      <w:r>
        <w:rPr>
          <w:rFonts w:hint="eastAsia" w:ascii="宋体" w:hAnsi="宋体" w:eastAsia="宋体" w:cs="宋体"/>
          <w:color w:val="auto"/>
          <w:highlight w:val="none"/>
        </w:rPr>
        <w:br w:type="page"/>
      </w:r>
      <w:bookmarkStart w:id="235" w:name="_Toc161136823"/>
      <w:bookmarkStart w:id="236" w:name="_Toc688"/>
      <w:bookmarkStart w:id="237" w:name="_Toc76387261"/>
      <w:r>
        <w:rPr>
          <w:rFonts w:hint="eastAsia" w:ascii="宋体" w:hAnsi="宋体" w:eastAsia="宋体" w:cs="宋体"/>
          <w:b/>
          <w:color w:val="auto"/>
          <w:sz w:val="36"/>
          <w:szCs w:val="36"/>
          <w:highlight w:val="none"/>
        </w:rPr>
        <w:t>第六篇  合同主要条款和格式合同（样本）</w:t>
      </w:r>
      <w:bookmarkEnd w:id="235"/>
      <w:bookmarkEnd w:id="236"/>
      <w:bookmarkEnd w:id="237"/>
    </w:p>
    <w:p w14:paraId="7785EB14">
      <w:pPr>
        <w:keepNext w:val="0"/>
        <w:keepLines w:val="0"/>
        <w:widowControl w:val="0"/>
        <w:suppressLineNumbers w:val="0"/>
        <w:spacing w:before="0" w:beforeAutospacing="0" w:after="160" w:afterAutospacing="0" w:line="256"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kern w:val="2"/>
          <w:sz w:val="24"/>
          <w:szCs w:val="24"/>
          <w:highlight w:val="none"/>
          <w:lang w:val="en-US" w:eastAsia="zh-CN" w:bidi="ar"/>
        </w:rPr>
        <w:t>成都消防救援机动支队主副食配送服务合同</w:t>
      </w:r>
    </w:p>
    <w:p w14:paraId="5F8A265B">
      <w:pPr>
        <w:pStyle w:val="50"/>
        <w:keepNext w:val="0"/>
        <w:keepLines w:val="0"/>
        <w:widowControl w:val="0"/>
        <w:suppressLineNumbers w:val="0"/>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p>
    <w:p w14:paraId="6D210207">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合同编号：</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r>
        <w:rPr>
          <w:rFonts w:hint="eastAsia" w:asciiTheme="minorEastAsia" w:hAnsiTheme="minorEastAsia" w:eastAsiaTheme="minorEastAsia" w:cstheme="minorEastAsia"/>
          <w:color w:val="auto"/>
          <w:kern w:val="2"/>
          <w:sz w:val="21"/>
          <w:szCs w:val="21"/>
          <w:highlight w:val="none"/>
          <w:lang w:val="en-US" w:eastAsia="zh-CN" w:bidi="ar"/>
        </w:rPr>
        <w:t>(与项目编号一致)</w:t>
      </w:r>
    </w:p>
    <w:p w14:paraId="713EB615">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签订时间：</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3643499B">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签订地点：</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09B1330E">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p>
    <w:p w14:paraId="382E511C">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采购人名称(甲方)：</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47B65B79">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项目负责人：</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78AA6A5B">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联系方式：</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46D0E005">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联系地址：</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79726606">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中标人名称(乙方)：</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76045ACB">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项目负责人：</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70641476">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kern w:val="2"/>
          <w:sz w:val="21"/>
          <w:szCs w:val="21"/>
          <w:highlight w:val="none"/>
          <w:lang w:val="en-US" w:eastAsia="zh-CN" w:bidi="ar"/>
        </w:rPr>
        <w:t>联系方式：</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113CADAC">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联系地址：</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08524C50">
      <w:pPr>
        <w:keepNext w:val="0"/>
        <w:keepLines w:val="0"/>
        <w:widowControl w:val="0"/>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合同类型：</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7C8F9D50">
      <w:pPr>
        <w:keepNext w:val="0"/>
        <w:keepLines w:val="0"/>
        <w:widowControl/>
        <w:suppressLineNumbers w:val="0"/>
        <w:topLinePunct/>
        <w:spacing w:before="0" w:beforeAutospacing="0" w:after="160" w:afterAutospacing="0" w:line="360" w:lineRule="auto"/>
        <w:ind w:left="0" w:right="0" w:firstLine="480"/>
        <w:jc w:val="both"/>
        <w:rPr>
          <w:rFonts w:hint="eastAsia" w:asciiTheme="minorEastAsia" w:hAnsiTheme="minorEastAsia" w:eastAsiaTheme="minorEastAsia" w:cstheme="minorEastAsia"/>
          <w:bCs/>
          <w:color w:val="auto"/>
          <w:sz w:val="21"/>
          <w:szCs w:val="21"/>
          <w:highlight w:val="none"/>
          <w:lang w:val="en-US"/>
        </w:rPr>
      </w:pPr>
    </w:p>
    <w:p w14:paraId="06C76833">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bookmarkStart w:id="238" w:name="_Toc4724"/>
      <w:bookmarkStart w:id="239" w:name="_Toc21635"/>
      <w:r>
        <w:rPr>
          <w:rFonts w:hint="eastAsia" w:asciiTheme="minorEastAsia" w:hAnsiTheme="minorEastAsia" w:eastAsiaTheme="minorEastAsia" w:cstheme="minorEastAsia"/>
          <w:color w:val="auto"/>
          <w:sz w:val="21"/>
          <w:szCs w:val="21"/>
          <w:highlight w:val="none"/>
          <w:lang w:eastAsia="zh-CN"/>
        </w:rPr>
        <w:t>根据《中华人民共和国民法典》及“</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项目编号：</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bookmarkEnd w:id="238"/>
    <w:bookmarkEnd w:id="239"/>
    <w:p w14:paraId="3C0CE2E5">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b w:val="0"/>
          <w:bCs w:val="0"/>
          <w:color w:val="auto"/>
          <w:sz w:val="21"/>
          <w:szCs w:val="21"/>
          <w:highlight w:val="none"/>
          <w:lang w:val="en-US"/>
        </w:rPr>
      </w:pPr>
      <w:bookmarkStart w:id="240" w:name="_Toc14224"/>
      <w:r>
        <w:rPr>
          <w:rFonts w:hint="eastAsia" w:asciiTheme="minorEastAsia" w:hAnsiTheme="minorEastAsia" w:eastAsiaTheme="minorEastAsia" w:cstheme="minorEastAsia"/>
          <w:color w:val="auto"/>
          <w:sz w:val="21"/>
          <w:szCs w:val="21"/>
          <w:highlight w:val="none"/>
          <w:lang w:eastAsia="zh-CN"/>
        </w:rPr>
        <w:t>一、项目概况</w:t>
      </w:r>
      <w:bookmarkEnd w:id="240"/>
    </w:p>
    <w:p w14:paraId="29C152DF">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为</w:t>
      </w:r>
      <w:r>
        <w:rPr>
          <w:rFonts w:hint="eastAsia" w:asciiTheme="minorEastAsia" w:hAnsiTheme="minorEastAsia" w:eastAsiaTheme="minorEastAsia" w:cstheme="minorEastAsia"/>
          <w:bCs/>
          <w:color w:val="auto"/>
          <w:sz w:val="21"/>
          <w:szCs w:val="21"/>
          <w:highlight w:val="none"/>
          <w:lang w:eastAsia="zh-CN"/>
        </w:rPr>
        <w:t>满足</w:t>
      </w:r>
      <w:r>
        <w:rPr>
          <w:rFonts w:hint="eastAsia" w:asciiTheme="minorEastAsia" w:hAnsiTheme="minorEastAsia" w:eastAsiaTheme="minorEastAsia" w:cstheme="minorEastAsia"/>
          <w:color w:val="auto"/>
          <w:sz w:val="21"/>
          <w:szCs w:val="21"/>
          <w:highlight w:val="none"/>
          <w:u w:val="single"/>
          <w:lang w:val="en-US"/>
        </w:rPr>
        <w:t xml:space="preserve">              </w:t>
      </w:r>
      <w:r>
        <w:rPr>
          <w:rFonts w:hint="eastAsia" w:asciiTheme="minorEastAsia" w:hAnsiTheme="minorEastAsia" w:eastAsiaTheme="minorEastAsia" w:cstheme="minorEastAsia"/>
          <w:bCs/>
          <w:color w:val="auto"/>
          <w:sz w:val="21"/>
          <w:szCs w:val="21"/>
          <w:highlight w:val="none"/>
          <w:lang w:eastAsia="zh-CN"/>
        </w:rPr>
        <w:t>就餐需要，通过公开招标方式确定乙方为其提供</w:t>
      </w:r>
      <w:r>
        <w:rPr>
          <w:rFonts w:hint="eastAsia" w:asciiTheme="minorEastAsia" w:hAnsiTheme="minorEastAsia" w:eastAsiaTheme="minorEastAsia" w:cstheme="minorEastAsia"/>
          <w:color w:val="auto"/>
          <w:sz w:val="21"/>
          <w:szCs w:val="21"/>
          <w:highlight w:val="none"/>
          <w:lang w:eastAsia="zh-CN"/>
        </w:rPr>
        <w:t>主副食配送服务。</w:t>
      </w:r>
    </w:p>
    <w:p w14:paraId="062CD6A5">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1" w:name="_Toc23393"/>
      <w:r>
        <w:rPr>
          <w:rFonts w:hint="eastAsia" w:asciiTheme="minorEastAsia" w:hAnsiTheme="minorEastAsia" w:eastAsiaTheme="minorEastAsia" w:cstheme="minorEastAsia"/>
          <w:color w:val="auto"/>
          <w:sz w:val="21"/>
          <w:szCs w:val="21"/>
          <w:highlight w:val="none"/>
          <w:lang w:eastAsia="zh-CN"/>
        </w:rPr>
        <w:t>二、服务内容及要求</w:t>
      </w:r>
      <w:bookmarkEnd w:id="241"/>
    </w:p>
    <w:p w14:paraId="07F081E1">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2"/>
        <w:jc w:val="both"/>
        <w:textAlignment w:val="auto"/>
        <w:rPr>
          <w:rFonts w:hint="eastAsia" w:asciiTheme="minorEastAsia" w:hAnsiTheme="minorEastAsia" w:eastAsiaTheme="minorEastAsia" w:cstheme="minorEastAsia"/>
          <w:b/>
          <w:bCs w:val="0"/>
          <w:color w:val="auto"/>
          <w:sz w:val="21"/>
          <w:szCs w:val="21"/>
          <w:highlight w:val="none"/>
          <w:lang w:val="en-US"/>
        </w:rPr>
      </w:pP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(一</w:t>
      </w:r>
      <w:r>
        <w:rPr>
          <w:rFonts w:hint="eastAsia" w:asciiTheme="minorEastAsia" w:hAnsiTheme="minorEastAsia" w:eastAsiaTheme="minorEastAsia" w:cstheme="minorEastAsia"/>
          <w:b/>
          <w:bCs w:val="0"/>
          <w:color w:val="auto"/>
          <w:kern w:val="2"/>
          <w:sz w:val="21"/>
          <w:szCs w:val="21"/>
          <w:highlight w:val="none"/>
          <w:lang w:val="en-US" w:eastAsia="zh-CN" w:bidi="ar"/>
        </w:rPr>
        <w:t>)</w:t>
      </w: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总体要求</w:t>
      </w:r>
    </w:p>
    <w:p w14:paraId="66E29BFE">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1、乙方在合同履行期间保证对甲方的服务质量，中标后不得拒绝甲方分配的任务</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包括但不限于采购</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乙方在服务期内没能达到投标文件承诺的服务要求或乙方未按要求履行合同义务或乙方的资质在服务期内发生变化不再符合要求，甲方均有权单方终止协议，由此产生的一切经济责任和法律责任由乙方自行承担。</w:t>
      </w:r>
    </w:p>
    <w:p w14:paraId="03882483">
      <w:pPr>
        <w:keepNext w:val="0"/>
        <w:keepLines w:val="0"/>
        <w:pageBreakBefore w:val="0"/>
        <w:widowControl w:val="0"/>
        <w:numPr>
          <w:ilvl w:val="2"/>
          <w:numId w:val="0"/>
        </w:numPr>
        <w:suppressLineNumbers w:val="0"/>
        <w:tabs>
          <w:tab w:val="left" w:pos="0"/>
        </w:tabs>
        <w:kinsoku/>
        <w:wordWrap w:val="0"/>
        <w:overflowPunct/>
        <w:topLinePunct/>
        <w:autoSpaceDE/>
        <w:autoSpaceDN/>
        <w:bidi w:val="0"/>
        <w:adjustRightInd/>
        <w:snapToGrid/>
        <w:spacing w:before="0" w:beforeAutospacing="0" w:afterAutospacing="0" w:line="240" w:lineRule="auto"/>
        <w:ind w:left="0" w:leftChars="0" w:right="0" w:firstLine="420" w:firstLineChars="200"/>
        <w:jc w:val="left"/>
        <w:textAlignment w:val="auto"/>
        <w:rPr>
          <w:rFonts w:hint="eastAsia" w:asciiTheme="minorEastAsia" w:hAnsiTheme="minorEastAsia" w:eastAsiaTheme="minorEastAsia" w:cstheme="minorEastAsia"/>
          <w:bCs/>
          <w:snapToGrid w:val="0"/>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2、</w:t>
      </w:r>
      <w:r>
        <w:rPr>
          <w:rFonts w:hint="eastAsia" w:asciiTheme="minorEastAsia" w:hAnsiTheme="minorEastAsia" w:eastAsiaTheme="minorEastAsia" w:cstheme="minorEastAsia"/>
          <w:bCs/>
          <w:snapToGrid w:val="0"/>
          <w:color w:val="auto"/>
          <w:sz w:val="21"/>
          <w:szCs w:val="21"/>
          <w:highlight w:val="none"/>
          <w:lang w:val="en-US" w:eastAsia="zh-CN"/>
        </w:rPr>
        <w:t>货物质量严格按照《中华人民共和国食品安全法》、行业有关规定、采购文件质量要求执行，产品符合国家食品卫生标准，动物检验检疫合格标准。同时，应符合《食品安全国家标准 食品添加剂使用标准》、《食品安全国家标准 食品中污染物限量》、《食品安全国家标准 食品中真菌毒素限量》、</w:t>
      </w:r>
      <w:r>
        <w:rPr>
          <w:rFonts w:hint="eastAsia" w:asciiTheme="minorEastAsia" w:hAnsiTheme="minorEastAsia" w:eastAsiaTheme="minorEastAsia" w:cstheme="minorEastAsia"/>
          <w:bCs/>
          <w:snapToGrid w:val="0"/>
          <w:color w:val="auto"/>
          <w:sz w:val="21"/>
          <w:szCs w:val="21"/>
          <w:highlight w:val="none"/>
        </w:rPr>
        <w:t>《食品安全国家标准 食品中农药最大残留限量》</w:t>
      </w:r>
      <w:r>
        <w:rPr>
          <w:rFonts w:hint="eastAsia" w:asciiTheme="minorEastAsia" w:hAnsiTheme="minorEastAsia" w:eastAsiaTheme="minorEastAsia" w:cstheme="minorEastAsia"/>
          <w:bCs/>
          <w:snapToGrid w:val="0"/>
          <w:color w:val="auto"/>
          <w:sz w:val="21"/>
          <w:szCs w:val="21"/>
          <w:highlight w:val="none"/>
          <w:lang w:val="en-US" w:eastAsia="zh-CN"/>
        </w:rPr>
        <w:t>及其他国家相关强制性标准与要求，所有产品在配送时按要求提供产品所涉及的《全国工业产品生产许可证》、《食品生产许可证》国家强制规定材料，不得提供转基因食品或利用转基因食品原料加工的成品，质量应符合国家现行相关标准与要求。国家有出台新标准、更高标准时，以新标准、更高标准为准，乙方保证所供产品配送到指定地点时的数量(重量)、质量、卫生和安全。</w:t>
      </w:r>
    </w:p>
    <w:p w14:paraId="160A639E">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3、因乙方供货质量原因导致的食品安全事故，应按照《中华人民共和国食品安全法》及相关规定，除赔偿当期的材料损失外，还应对由此引起的其他延续损失给予全额经济赔偿</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包括医疗、声誉</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，并承担其他相应法律责任。</w:t>
      </w:r>
    </w:p>
    <w:p w14:paraId="753E492A">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4、乙方须服从甲方和食品监督管理部门的监督管理，配合甲方及时更新所提供的符合卫监部门的有效证明材料。如有效的营业执照、产品合格证或食品生产许可证等。</w:t>
      </w:r>
    </w:p>
    <w:p w14:paraId="042FE567">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5、乙方配送的所有食材必须达到现行食品生产安全标准和相关规定，保证食材的质量、安全、卫生、可追溯。供应配送食材的剩余保质期限不低于</w:t>
      </w:r>
      <w:r>
        <w:rPr>
          <w:rFonts w:hint="eastAsia" w:asciiTheme="minorEastAsia" w:hAnsiTheme="minorEastAsia" w:eastAsiaTheme="minorEastAsia" w:cstheme="minorEastAsia"/>
          <w:bCs/>
          <w:color w:val="auto"/>
          <w:kern w:val="2"/>
          <w:sz w:val="21"/>
          <w:szCs w:val="21"/>
          <w:highlight w:val="none"/>
          <w:lang w:val="en-US" w:eastAsia="zh-CN" w:bidi="ar"/>
        </w:rPr>
        <w:t>2/3</w:t>
      </w:r>
      <w:r>
        <w:rPr>
          <w:rFonts w:hint="eastAsia" w:asciiTheme="minorEastAsia" w:hAnsiTheme="minorEastAsia" w:eastAsiaTheme="minorEastAsia" w:cstheme="minorEastAsia"/>
          <w:bCs/>
          <w:snapToGrid w:val="0"/>
          <w:color w:val="auto"/>
          <w:kern w:val="2"/>
          <w:sz w:val="21"/>
          <w:szCs w:val="21"/>
          <w:highlight w:val="none"/>
          <w:lang w:val="en-US" w:eastAsia="zh-CN" w:bidi="ar"/>
        </w:rPr>
        <w:t>保质期限，严禁配送临期食材。</w:t>
      </w:r>
    </w:p>
    <w:p w14:paraId="119D514B">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6、乙方应具备应急保障能力，包括但不限于货物源头、配送、售后，以及临时协助甲方开展工作。</w:t>
      </w:r>
    </w:p>
    <w:p w14:paraId="3E67001D">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7、乙方应做好本单位工作人员的教育工作，遵守甲方各项规定。</w:t>
      </w:r>
    </w:p>
    <w:p w14:paraId="5F1E6269">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2"/>
        <w:jc w:val="both"/>
        <w:textAlignment w:val="auto"/>
        <w:rPr>
          <w:rFonts w:hint="eastAsia" w:asciiTheme="minorEastAsia" w:hAnsiTheme="minorEastAsia" w:eastAsiaTheme="minorEastAsia" w:cstheme="minorEastAsia"/>
          <w:b/>
          <w:bCs w:val="0"/>
          <w:color w:val="auto"/>
          <w:sz w:val="21"/>
          <w:szCs w:val="21"/>
          <w:highlight w:val="none"/>
          <w:lang w:val="en-US"/>
        </w:rPr>
      </w:pP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(二</w:t>
      </w:r>
      <w:r>
        <w:rPr>
          <w:rFonts w:hint="eastAsia" w:asciiTheme="minorEastAsia" w:hAnsiTheme="minorEastAsia" w:eastAsiaTheme="minorEastAsia" w:cstheme="minorEastAsia"/>
          <w:b/>
          <w:bCs w:val="0"/>
          <w:color w:val="auto"/>
          <w:kern w:val="2"/>
          <w:sz w:val="21"/>
          <w:szCs w:val="21"/>
          <w:highlight w:val="none"/>
          <w:lang w:val="en-US" w:eastAsia="zh-CN" w:bidi="ar"/>
        </w:rPr>
        <w:t>)</w:t>
      </w: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配送内容</w:t>
      </w:r>
    </w:p>
    <w:tbl>
      <w:tblPr>
        <w:tblStyle w:val="58"/>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74"/>
        <w:gridCol w:w="2038"/>
        <w:gridCol w:w="6387"/>
      </w:tblGrid>
      <w:tr w14:paraId="080A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67113ADA">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序号</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410E5696">
            <w:pPr>
              <w:keepNext w:val="0"/>
              <w:keepLines w:val="0"/>
              <w:pageBreakBefore w:val="0"/>
              <w:widowControl w:val="0"/>
              <w:suppressLineNumbers w:val="0"/>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类别</w:t>
            </w: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5A98673B">
            <w:pPr>
              <w:keepNext w:val="0"/>
              <w:keepLines w:val="0"/>
              <w:pageBreakBefore w:val="0"/>
              <w:widowControl w:val="0"/>
              <w:suppressLineNumbers w:val="0"/>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品类</w:t>
            </w:r>
          </w:p>
        </w:tc>
      </w:tr>
      <w:tr w14:paraId="0430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2BF21060">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1</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4F003C53">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粮油类</w:t>
            </w: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7F6D5FB3">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米、面、食用油、豆类、杂粮</w:t>
            </w:r>
          </w:p>
        </w:tc>
      </w:tr>
      <w:tr w14:paraId="1FD1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1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7FB1A4">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2</w:t>
            </w:r>
          </w:p>
        </w:tc>
        <w:tc>
          <w:tcPr>
            <w:tcW w:w="20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884E28">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生鲜类</w:t>
            </w: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3D2F2424">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畜、禽肉、蛋、水产海鲜类</w:t>
            </w:r>
          </w:p>
        </w:tc>
      </w:tr>
      <w:tr w14:paraId="0D01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1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CCEF0D">
            <w:pPr>
              <w:keepNext w:val="0"/>
              <w:keepLines w:val="0"/>
              <w:pageBreakBefore w:val="0"/>
              <w:suppressLineNumbers w:val="0"/>
              <w:kinsoku/>
              <w:overflowPunct/>
              <w:autoSpaceDE/>
              <w:autoSpaceDN/>
              <w:bidi w:val="0"/>
              <w:adjustRightInd/>
              <w:spacing w:before="0" w:beforeAutospacing="0" w:after="0" w:afterAutospacing="0"/>
              <w:ind w:left="0" w:right="0"/>
              <w:jc w:val="both"/>
              <w:textAlignment w:val="auto"/>
              <w:rPr>
                <w:rFonts w:hint="eastAsia" w:asciiTheme="minorEastAsia" w:hAnsiTheme="minorEastAsia" w:eastAsiaTheme="minorEastAsia" w:cstheme="minorEastAsia"/>
                <w:color w:val="auto"/>
                <w:sz w:val="21"/>
                <w:szCs w:val="21"/>
                <w:highlight w:val="none"/>
              </w:rPr>
            </w:pPr>
          </w:p>
        </w:tc>
        <w:tc>
          <w:tcPr>
            <w:tcW w:w="20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E8AD5F">
            <w:pPr>
              <w:keepNext w:val="0"/>
              <w:keepLines w:val="0"/>
              <w:pageBreakBefore w:val="0"/>
              <w:suppressLineNumbers w:val="0"/>
              <w:kinsoku/>
              <w:overflowPunct/>
              <w:autoSpaceDE/>
              <w:autoSpaceDN/>
              <w:bidi w:val="0"/>
              <w:adjustRightInd/>
              <w:spacing w:before="0" w:beforeAutospacing="0" w:after="0" w:afterAutospacing="0"/>
              <w:ind w:left="0" w:right="0"/>
              <w:jc w:val="both"/>
              <w:textAlignment w:val="auto"/>
              <w:rPr>
                <w:rFonts w:hint="eastAsia" w:asciiTheme="minorEastAsia" w:hAnsiTheme="minorEastAsia" w:eastAsiaTheme="minorEastAsia" w:cstheme="minorEastAsia"/>
                <w:color w:val="auto"/>
                <w:sz w:val="21"/>
                <w:szCs w:val="21"/>
                <w:highlight w:val="none"/>
              </w:rPr>
            </w:pP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2482FDDE">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乳制品</w:t>
            </w:r>
          </w:p>
        </w:tc>
      </w:tr>
      <w:tr w14:paraId="545A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1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9F18C6">
            <w:pPr>
              <w:keepNext w:val="0"/>
              <w:keepLines w:val="0"/>
              <w:pageBreakBefore w:val="0"/>
              <w:suppressLineNumbers w:val="0"/>
              <w:kinsoku/>
              <w:overflowPunct/>
              <w:autoSpaceDE/>
              <w:autoSpaceDN/>
              <w:bidi w:val="0"/>
              <w:adjustRightInd/>
              <w:spacing w:before="0" w:beforeAutospacing="0" w:after="0" w:afterAutospacing="0"/>
              <w:ind w:left="0" w:right="0"/>
              <w:jc w:val="both"/>
              <w:textAlignment w:val="auto"/>
              <w:rPr>
                <w:rFonts w:hint="eastAsia" w:asciiTheme="minorEastAsia" w:hAnsiTheme="minorEastAsia" w:eastAsiaTheme="minorEastAsia" w:cstheme="minorEastAsia"/>
                <w:color w:val="auto"/>
                <w:sz w:val="21"/>
                <w:szCs w:val="21"/>
                <w:highlight w:val="none"/>
              </w:rPr>
            </w:pPr>
          </w:p>
        </w:tc>
        <w:tc>
          <w:tcPr>
            <w:tcW w:w="20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F77D0B">
            <w:pPr>
              <w:keepNext w:val="0"/>
              <w:keepLines w:val="0"/>
              <w:pageBreakBefore w:val="0"/>
              <w:suppressLineNumbers w:val="0"/>
              <w:kinsoku/>
              <w:overflowPunct/>
              <w:autoSpaceDE/>
              <w:autoSpaceDN/>
              <w:bidi w:val="0"/>
              <w:adjustRightInd/>
              <w:spacing w:before="0" w:beforeAutospacing="0" w:after="0" w:afterAutospacing="0"/>
              <w:ind w:left="0" w:right="0"/>
              <w:jc w:val="both"/>
              <w:textAlignment w:val="auto"/>
              <w:rPr>
                <w:rFonts w:hint="eastAsia" w:asciiTheme="minorEastAsia" w:hAnsiTheme="minorEastAsia" w:eastAsiaTheme="minorEastAsia" w:cstheme="minorEastAsia"/>
                <w:color w:val="auto"/>
                <w:sz w:val="21"/>
                <w:szCs w:val="21"/>
                <w:highlight w:val="none"/>
              </w:rPr>
            </w:pP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31A6DAAE">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冻品</w:t>
            </w:r>
          </w:p>
        </w:tc>
      </w:tr>
      <w:tr w14:paraId="59C3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5" w:hRule="atLeast"/>
        </w:trPr>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5D962D4E">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3</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44AAB454">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蔬果类</w:t>
            </w: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2130D9E4">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蔬菜、水果、豆制品</w:t>
            </w:r>
          </w:p>
        </w:tc>
      </w:tr>
      <w:tr w14:paraId="2F5E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1175" w:type="dxa"/>
            <w:tcBorders>
              <w:top w:val="single" w:color="auto" w:sz="4" w:space="0"/>
              <w:left w:val="single" w:color="auto" w:sz="4" w:space="0"/>
              <w:bottom w:val="single" w:color="auto" w:sz="4" w:space="0"/>
              <w:right w:val="single" w:color="auto" w:sz="4" w:space="0"/>
            </w:tcBorders>
            <w:shd w:val="clear" w:color="auto" w:fill="auto"/>
            <w:vAlign w:val="center"/>
          </w:tcPr>
          <w:p w14:paraId="5A32B111">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4</w:t>
            </w:r>
          </w:p>
        </w:tc>
        <w:tc>
          <w:tcPr>
            <w:tcW w:w="2040" w:type="dxa"/>
            <w:tcBorders>
              <w:top w:val="single" w:color="auto" w:sz="4" w:space="0"/>
              <w:left w:val="single" w:color="auto" w:sz="4" w:space="0"/>
              <w:bottom w:val="single" w:color="auto" w:sz="4" w:space="0"/>
              <w:right w:val="single" w:color="auto" w:sz="4" w:space="0"/>
            </w:tcBorders>
            <w:shd w:val="clear" w:color="auto" w:fill="auto"/>
            <w:vAlign w:val="center"/>
          </w:tcPr>
          <w:p w14:paraId="2042995B">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干杂类</w:t>
            </w:r>
          </w:p>
        </w:tc>
        <w:tc>
          <w:tcPr>
            <w:tcW w:w="6391" w:type="dxa"/>
            <w:tcBorders>
              <w:top w:val="single" w:color="auto" w:sz="4" w:space="0"/>
              <w:left w:val="single" w:color="auto" w:sz="4" w:space="0"/>
              <w:bottom w:val="single" w:color="auto" w:sz="4" w:space="0"/>
              <w:right w:val="single" w:color="auto" w:sz="4" w:space="0"/>
            </w:tcBorders>
            <w:shd w:val="clear" w:color="auto" w:fill="auto"/>
            <w:vAlign w:val="center"/>
          </w:tcPr>
          <w:p w14:paraId="6F0DD0B7">
            <w:pPr>
              <w:keepNext w:val="0"/>
              <w:keepLines w:val="0"/>
              <w:pageBreakBefore w:val="0"/>
              <w:widowControl w:val="0"/>
              <w:suppressLineNumbers w:val="0"/>
              <w:tabs>
                <w:tab w:val="left" w:pos="0"/>
              </w:tabs>
              <w:kinsoku/>
              <w:overflowPunct/>
              <w:topLinePunct/>
              <w:autoSpaceDE/>
              <w:autoSpaceDN/>
              <w:bidi w:val="0"/>
              <w:adjustRightIn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bidi="ar"/>
              </w:rPr>
              <w:t>干制品、干果、调味品</w:t>
            </w:r>
          </w:p>
        </w:tc>
      </w:tr>
    </w:tbl>
    <w:p w14:paraId="008B9C2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2"/>
        <w:jc w:val="both"/>
        <w:textAlignment w:val="auto"/>
        <w:rPr>
          <w:rFonts w:hint="eastAsia" w:asciiTheme="minorEastAsia" w:hAnsiTheme="minorEastAsia" w:eastAsiaTheme="minorEastAsia" w:cstheme="minorEastAsia"/>
          <w:b/>
          <w:bCs w:val="0"/>
          <w:color w:val="auto"/>
          <w:sz w:val="21"/>
          <w:szCs w:val="21"/>
          <w:highlight w:val="none"/>
          <w:lang w:val="en-US"/>
        </w:rPr>
      </w:pP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(三</w:t>
      </w:r>
      <w:r>
        <w:rPr>
          <w:rFonts w:hint="eastAsia" w:asciiTheme="minorEastAsia" w:hAnsiTheme="minorEastAsia" w:eastAsiaTheme="minorEastAsia" w:cstheme="minorEastAsia"/>
          <w:b/>
          <w:bCs w:val="0"/>
          <w:color w:val="auto"/>
          <w:kern w:val="2"/>
          <w:sz w:val="21"/>
          <w:szCs w:val="21"/>
          <w:highlight w:val="none"/>
          <w:lang w:val="en-US" w:eastAsia="zh-CN" w:bidi="ar"/>
        </w:rPr>
        <w:t>)</w:t>
      </w:r>
      <w:r>
        <w:rPr>
          <w:rFonts w:hint="eastAsia" w:asciiTheme="minorEastAsia" w:hAnsiTheme="minorEastAsia" w:eastAsiaTheme="minorEastAsia" w:cstheme="minorEastAsia"/>
          <w:b/>
          <w:bCs w:val="0"/>
          <w:snapToGrid w:val="0"/>
          <w:color w:val="auto"/>
          <w:kern w:val="2"/>
          <w:sz w:val="21"/>
          <w:szCs w:val="21"/>
          <w:highlight w:val="none"/>
          <w:lang w:val="en-US" w:eastAsia="zh-CN" w:bidi="ar"/>
        </w:rPr>
        <w:t>食材质量要求</w:t>
      </w:r>
    </w:p>
    <w:p w14:paraId="198CB07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预包装原料须为该生产厂家生产的全新产品，包装完整、标识清晰（含品名、生产日期、保质期、生产商、SC编号、成分表、贮存条件等，符合《预包装食品标签通则》），未拆封、未过保质期，剩余保质期不得少于总保质期的1/3，并随货提供同批次出厂检验合格报告/合格证。</w:t>
      </w:r>
    </w:p>
    <w:p w14:paraId="4E18567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食品中污染物限量应符合《食品安全国家标准 食品中污染物限量》规定；</w:t>
      </w:r>
    </w:p>
    <w:p w14:paraId="512FAB5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真菌毒素限量应符合《食品安全国家标准 食品中真菌毒素限量》规定。</w:t>
      </w:r>
    </w:p>
    <w:p w14:paraId="12D46789">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ind w:left="560" w:leftChars="200" w:right="0"/>
        <w:jc w:val="left"/>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1.粮油类</w:t>
      </w:r>
    </w:p>
    <w:p w14:paraId="065C821B">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食品中污染物限量标准应符合国家标准《食品安全国家标准 食品中真菌毒素限量》规定或国家卫生、食品安全最新标准。</w:t>
      </w:r>
    </w:p>
    <w:p w14:paraId="2F62113C">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①大米</w:t>
      </w:r>
    </w:p>
    <w:p w14:paraId="04C16CF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籼米(一级)或粳米(一级)：色泽清白，有光泽，呈半透明状，米粒大小均匀、丰满光滑，很少有碎米、爆腰(米粒上有裂纹)、腹白(米粒上乳白色不透明部分叫腹白，是由于稻谷未成熟，糊精较多而缺乏蛋白质)，无虫蛀、无霉变、无异味，不含杂质。配送日期距生产日期不超过半年。执行标准：《食品安全国家标准 粮食》。</w:t>
      </w:r>
    </w:p>
    <w:p w14:paraId="488DB7A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②面粉</w:t>
      </w:r>
    </w:p>
    <w:p w14:paraId="34695E4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精制粉：一级，优质面粉色泽呈白色或微黄色，手捻捏时呈细粉末状，置于手中紧捏后放开不成团。无异味。用手摸取时，手心有凉爽感，握紧时成团；味道淡而微甜；配送日期距生产日期不超过半年。执行标准：《食品安全国家标准 粮食》。</w:t>
      </w:r>
    </w:p>
    <w:p w14:paraId="54E51F4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③食用油</w:t>
      </w:r>
    </w:p>
    <w:p w14:paraId="020FDBC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非转基因食用油(菜籽油、大豆油、玉米油、花生油等)：色泽鲜亮，清澈透明、无杂质、无沉淀物、无任何异味，经250℃加热油色不变黑，有预包装并应符合国家的有关规定和要求，有明确的计量，标签明确标识“压榨”工艺；配送日期距生产日期不超过半年。执行标准：《食品安全国家标准 植物油》。</w:t>
      </w:r>
    </w:p>
    <w:p w14:paraId="43677C4A">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④豆类</w:t>
      </w:r>
    </w:p>
    <w:p w14:paraId="0765E4E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优质大豆或其他特定品种的豆类，应完整、饱满、有光泽、无霉烂、无虫害、无异味等；干燥度：应保持在11%以下，以保证储存、运输和加工过程中不会发生变质；含杂率：应控制在1%以下。执行标准：《食品安全国家标准 粮食》、《大豆》。</w:t>
      </w:r>
    </w:p>
    <w:p w14:paraId="4397D80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⑤杂粮</w:t>
      </w:r>
    </w:p>
    <w:p w14:paraId="0F23B5C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配送时距生产日期不超过半年，优先供应当年新粮。禁止提供陈粮、掺假、有毒有害杂粮。执行标准：《食品安全国家标准 粮食》。</w:t>
      </w:r>
    </w:p>
    <w:p w14:paraId="0D75118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2.生鲜类</w:t>
      </w:r>
    </w:p>
    <w:p w14:paraId="42AB3AF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（1）畜、禽、肉、蛋、水产、海鲜：</w:t>
      </w:r>
      <w:r>
        <w:rPr>
          <w:rFonts w:hint="eastAsia" w:asciiTheme="minorEastAsia" w:hAnsiTheme="minorEastAsia" w:eastAsiaTheme="minorEastAsia" w:cstheme="minorEastAsia"/>
          <w:bCs/>
          <w:color w:val="auto"/>
          <w:kern w:val="2"/>
          <w:sz w:val="21"/>
          <w:szCs w:val="21"/>
          <w:highlight w:val="none"/>
          <w:lang w:val="en-US" w:eastAsia="zh-CN" w:bidi="ar"/>
        </w:rPr>
        <w:tab/>
      </w:r>
    </w:p>
    <w:p w14:paraId="26CFE54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冷鲜畜禽肉（猪、牛、羊、禽）类应保证每日新鲜，除采购人另行要求外，所有配送的畜禽肉、油脂及食品杂碎类产品必须是当日屠宰的新鲜食材，并严格执行兽医检疫制度，采用冷链运输方式对屠宰后的畜胴体迅速进行冷却处理，使胴体温度在24小时内降为0℃～4℃，并在后续加工、流通和销售过程中始终保持0℃～4℃范围内的冷鲜肉。冷鲜肉感官湿润，触摸柔软有弹性，加工易入味，口感滑腻鲜嫩，冷鲜肉在-2℃～5℃温度下可保存七天。肉类（含禽类）符合《中华人民共和国农业部公告》（第235号）的动物性食品中兽药最高残留限量的要求。感官指标符合《食品安全国家标准 鲜（冻）畜、禽产品》要求：肌肉有光泽、指压后凹陷立即恢复、表面微湿润不粘手、无异味。</w:t>
      </w:r>
    </w:p>
    <w:p w14:paraId="293C894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鲜活水产品应保持活体状态，游动活泼、反应灵敏，体表有光泽、无异味，鳞片/外壳完整，鳃色正常；死体、活力差、体表发黑、有异味的一律拒收。</w:t>
      </w:r>
    </w:p>
    <w:p w14:paraId="42AF88F0">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动物性水产品感官符合《食品安全国家标准 鲜、冻动物性水产品》要求，无腐败、无异味、无异物。不得检出孔雀石绿、氯霉素、硝基呋喃类代谢物等违禁药物；污染物限量符合《食品安全国家标准 食品中污染物限量》规定。</w:t>
      </w:r>
    </w:p>
    <w:p w14:paraId="63A8D5C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随货提供：《动物检疫合格证明》《肉品品质检验合格证》及瘦肉精、非洲猪瘟（生猪）等批批检测报告。兽药残留限量符合《食品安全国家标准 食品中兽药最大残留限量》、《食品安全国家标准 食品中41种兽药最大残留限量》的规定。</w:t>
      </w:r>
    </w:p>
    <w:p w14:paraId="3DE009F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①家畜/禽肉类应色泽鲜亮、无任何异味、无毛、按压无水迹、纹理清晰、肉质细腻。</w:t>
      </w:r>
    </w:p>
    <w:p w14:paraId="3A7CA7E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执行标准：《鲜、冻禽产品》、《食品安全国家标准 鲜(冻)畜、禽产品》。</w:t>
      </w:r>
    </w:p>
    <w:p w14:paraId="4D972CE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 xml:space="preserve">②猪肉应为屠宰厂当日屠宰的活鲜肉，应符合成都市生猪溯源体系的要求并在供货时提供有地方政府卫生监督机构出具的动物检疫合格证、肉品品质检验合格证和动物检疫合格验讫印章以及肉品品质检验合格验讫印章供采购人核验。 </w:t>
      </w:r>
    </w:p>
    <w:p w14:paraId="081DE0C9">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鲜肉类：来源于正规肉联厂(注明肉联厂名称)，保证符合国家食品安全相关标准和要求，新鲜、无私宰、无注水现象。其它肉类在供货时提供包括定点屠宰卫生防疫合格证明材料、动物检疫、检测相关合格证明材料。</w:t>
      </w:r>
    </w:p>
    <w:p w14:paraId="1AF2B27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鲜（冻）畜、禽产品》、《食品安全国家标准 食品中兽药最大残留限量》、《食品安全国家标准 食品中41种兽药最大残留限量》要求，且肉食品需新鲜无质变。所有产品来源均保证可追溯。其它肉类在供货时提供包括定点屠宰卫生防疫合格证明材料、动物检疫、检测相关合格证明材料。</w:t>
      </w:r>
    </w:p>
    <w:p w14:paraId="09C37DD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排骨（精肋排：去颈骨、去脊椎骨、去背骨、去里脊肉；选取中段肋排，单根肋排长度≥35cm，肥瘦适中，无碎骨、无软骨残留）、猪头(猪头去毛、去耳道、去淋巴、去骨后，半片净重≥1000g；仅限当日热鲜/冷鲜猪肉（0~4℃），严禁冷冻解冻品)、猪蹄(去毛后不得低于3斤单根)、五花(必须保证三线以上肉质，厚度不得低于4cm)、瘦肉(按市场调查对比图验收)、猪内脏(猪肝、猪心、猪舌、猪肠、猪腰确保无可见脂肪、无积液、无污物、无异味)。规格要求：按采购人要求进行分割、定量包装或不包装，二次分装须在外包装标明：乙方名称、屠宰企业名称、屠宰日期、产品名称、净含量、保质期、储存条件。所有产品须可追溯至定点屠宰企业。</w:t>
      </w:r>
    </w:p>
    <w:p w14:paraId="36D8491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③蛋类</w:t>
      </w:r>
    </w:p>
    <w:p w14:paraId="7B7A527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禽蛋无机砷、铅、镉、总汞依据相关国家标准控制在安全范围，必须保证新鲜、卫生、安全。外壳坚固完整，色泽自然有光泽。</w:t>
      </w:r>
    </w:p>
    <w:p w14:paraId="0D0DDBE4">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散装生鲜禽蛋在供货时提供动物产品检疫、检测合格证明或出县境动物产品检疫、检测合格证明，外地生鲜禽蛋应在供货时提供其所在地农业部门的检疫、检测合格证明和检疫、检测验讫标识。禽蛋必须新鲜、清洁、大小均匀、无破损，保证质期内新鲜、卫生、安全。配送时，鸡蛋距生产日期不超过10天，且装箱配送，否则采购人可拒绝收货。</w:t>
      </w:r>
    </w:p>
    <w:p w14:paraId="4B0F3FC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单枚重带壳≥50g（大号蛋），大小均匀，且必须注明“生产日期、品牌”字样，具有无公害农产品或绿色食品或有机产品认证之一，并提供有效期内认证证书复印件，采用常温保存。</w:t>
      </w:r>
    </w:p>
    <w:p w14:paraId="421A1DA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蛋与蛋制品》,感官指标不低于国家有关食品质量标准的二级指标要求，应保证新鲜、符合《食品安全国家标准 食品中污染物限量》的规定。</w:t>
      </w:r>
    </w:p>
    <w:p w14:paraId="0CFC1B6A">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④水产品</w:t>
      </w:r>
    </w:p>
    <w:p w14:paraId="325BFD4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水产品类应为鲜活保持活体状态固有本色，无异味，鱼类肌肉紧密有弹性，内脏清晰可辨无腐烂，个体完整无伤痕，鱼产品眼球饱满、腮丝清晰鲜红、黏液透明有光泽，应在供货时提供相关合格依据，满足《食品安全国家标准 鲜、冻动物性水产品》、《食品安全国家标准 动物性水产制品》（适用于水产制品（腌制、干制、熏制、鱼糜制品、即食水产等））的要求。</w:t>
      </w:r>
    </w:p>
    <w:p w14:paraId="63460435">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鲜活鱼类、甲壳类（虾、蟹）、贝类等:</w:t>
      </w:r>
    </w:p>
    <w:p w14:paraId="70253A1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鱼类：游动活泼（活鱼）或冰鲜鱼体表有光泽、鳞片完整、黏液透明；鳃丝鲜红、清晰；眼球饱满透明；肌肉紧密有弹性，指压后凹陷立即恢复；内脏清晰无腐烂；肛门紧缩无异常；气味为固有鲜腥味，无腐臭、氨味、哈喇味。</w:t>
      </w:r>
    </w:p>
    <w:p w14:paraId="2E77C51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虾类：头身连接紧密，甲壳有光泽，鳃清晰不发黑，肌肉致密有弹性。</w:t>
      </w:r>
    </w:p>
    <w:p w14:paraId="25E759E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蟹类：活动能力强（活蟹）或冰鲜蟹壳体完整、无异味，蟹黄/膏饱满不液化。</w:t>
      </w:r>
    </w:p>
    <w:p w14:paraId="586F8BCA">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贝类：活体受刺激后闭合迅速，壳无破损，肉质饱满无腐烂、无过量泥沙.</w:t>
      </w:r>
    </w:p>
    <w:p w14:paraId="7E80A317">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配送与验收:鲜活水产品采用充氧、低温保活运输，到货存活率≥95%（按合同约定）；冰鲜水产品全程冰被/碎冰覆盖，环境温度≤4℃，到货中心温度≤7℃；到货感官异常（异味、眼球塌陷、鳃发黑、肌肉松散、死亡贝类）、无合格证明、药残/污染物抽检不合格的，采购人有权当场拒收、退货。</w:t>
      </w:r>
    </w:p>
    <w:p w14:paraId="222AB91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鲜、冻动物性水产品》</w:t>
      </w:r>
    </w:p>
    <w:p w14:paraId="39E67C2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⑤海鲜类：体型光洁健壮、无畸形，保证符合国家食品安全相关标准和要求；冻品、干货类：外观完整、无异味，保证符合国家食品安全相关标准和要求。</w:t>
      </w:r>
    </w:p>
    <w:p w14:paraId="41409011">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鲜、冻动物性水产品》、《食品安全国家标准 动物性水产制品》的要求。</w:t>
      </w:r>
    </w:p>
    <w:p w14:paraId="1F598A8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均要求配送活体，宰杀后符合眼球透明、鳃鲜红、鱼体饱满有弹性、无离骨脱刺现象、肛门无异物流出等标准,每批次提供食用农产品承诺达标合格证及近期第三方药残检测报告（重点检测孔雀石绿、氯霉素、硝基呋喃类）。</w:t>
      </w:r>
    </w:p>
    <w:p w14:paraId="3A1B83FA">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（2）乳制品</w:t>
      </w:r>
    </w:p>
    <w:p w14:paraId="1B40B87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乳制品执行标准：《食品安全国家标准 乳制品良好生产规范》。</w:t>
      </w:r>
    </w:p>
    <w:p w14:paraId="28C5D66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（3）冻品</w:t>
      </w:r>
    </w:p>
    <w:p w14:paraId="56092E34">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外包装应完整，无破损、无不封口现象、有生产日期。冻品在解冻后，发现质量问题，乙方应无条件接受退/换货。生产日期应清晰喷码/压印，不可擦除；到货时距生产日期不超过约定期限（如冻肉≤6个月生产，冻调理食品≤3个月），剩余保质期≥2/3总保质期。</w:t>
      </w:r>
    </w:p>
    <w:p w14:paraId="50EF44E5">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鲜、冻动物性水产品》、《食品安全国家标准 鲜（冻）畜、禽产品》、冷冻调制食品符合《食品安全国家标准 食品中污染物限量》、《食品安全国家标准 食品中农药最大残留限量》、《食品安全国家标准 食品中兽药最大残留限量》、《食品安全国家标准 食品中41种兽药最大残留限量》、《食品安全国家标准 预包装食品中致病菌限量》的规定。</w:t>
      </w:r>
    </w:p>
    <w:p w14:paraId="093F48A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3.蔬菜类</w:t>
      </w:r>
      <w:r>
        <w:rPr>
          <w:rFonts w:hint="eastAsia" w:asciiTheme="minorEastAsia" w:hAnsiTheme="minorEastAsia" w:eastAsiaTheme="minorEastAsia" w:cstheme="minorEastAsia"/>
          <w:bCs/>
          <w:color w:val="auto"/>
          <w:kern w:val="2"/>
          <w:sz w:val="21"/>
          <w:szCs w:val="21"/>
          <w:highlight w:val="none"/>
          <w:lang w:val="en-US" w:eastAsia="zh-CN" w:bidi="ar"/>
        </w:rPr>
        <w:tab/>
      </w:r>
    </w:p>
    <w:p w14:paraId="1F5A78C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①蔬菜：新鲜，保证无黄叶、枯死叶、无虫、无杂质，原菜应保证菜面干净、无明显泥土、装袋整齐、无破损、大小基本一致、瓜果类不得过熟或欠熟；净菜应保证菜面完全干净、无泥土、装袋整齐、无须二次处理可以直接进行加工。</w:t>
      </w:r>
    </w:p>
    <w:p w14:paraId="228E373A">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食品中污染物限量》、《食品安全国家标准 食品中农药最大残留限量》。</w:t>
      </w:r>
    </w:p>
    <w:p w14:paraId="2FC4D1B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②水果：应为当季水果且保证新鲜，果型匀称，色泽均匀，不得过熟或欠熟，无虫、无干疤、斑点、裂口、腐烂，口感好。</w:t>
      </w:r>
    </w:p>
    <w:p w14:paraId="33B6EC50">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③豆制品：保证食材干净、不含非食品化学物质、按统一标准加工，无须二次处理可以直接进行熟制作。</w:t>
      </w:r>
    </w:p>
    <w:p w14:paraId="09EF33B0">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 xml:space="preserve">4.干杂类 </w:t>
      </w:r>
    </w:p>
    <w:p w14:paraId="07125AB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预包装类食品原料应具有SC标记，调味品及干杂应外形完整，色泽自然，无霉斑、无虫蛀、无硫磺熏蒸刺鼻味、无过量泥沙干净、无砂石、毛发、金属等异物，不含非食品用化学物质、按统一标准加工、无须二次处理食品可以直接进行熟加工。</w:t>
      </w:r>
    </w:p>
    <w:p w14:paraId="4E503F0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①干杂：</w:t>
      </w:r>
    </w:p>
    <w:p w14:paraId="66CD70D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至少包括粉条、雪豆、海带、大豆、香料等一切干杂辅料。不得含有二氧化硫及重金属元素和非法使用添加剂；农药残留不得超标，应优质、无感观异常。配送种类、品牌、规格标识清晰，配送时，不低于三分之二保质期可用，包装完整、无任何破损、无挤压、无破碎、无异味、无任何表面附着物或衍生物。产品符合国家质量安全检验标准，随货有该批次产品质量检测合格证、包装完好无损、外观无霉变、无斑点、无腐烂变质，有该物品独有的气味、无异味。交货时提供带检验员章的出厂合格证。</w:t>
      </w:r>
    </w:p>
    <w:p w14:paraId="0D5F1EF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粮食》、《食品安全国家标准 食品中真菌毒素限量》、《食品安全国家标准 食品中污染物限量》、《食品安全国家标准 食品中农药最大残留限量》、《食品安全国家标准 食用菌及其制品》、《食品安全国家标准 坚果与籽类食品》、《食品安全国家标准 动物性水产制品》。</w:t>
      </w:r>
    </w:p>
    <w:p w14:paraId="54EDB93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②调味品：</w:t>
      </w:r>
    </w:p>
    <w:p w14:paraId="3BAC73EB">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调味品食材至少包括味精、鸡精、酱（辣椒豆瓣）、酱油、食醋、食盐调味食品，必须是预包装，产品应符合国家质量安全检验标准、随货有该批次产品质量检测合格证、包装完好无损（无泄漏、无胀袋或鼓盖现象）、外观无霉变、无斑点、无腐烂变质，有该物品独有的气味、无异味。</w:t>
      </w:r>
    </w:p>
    <w:p w14:paraId="1A564B99">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执行标准：《食品安全国家标准 酱油》、《食品安全国家标准 食醋》、《食品安全国家标准 味精》、《食品安全国家标准 食用盐》、《食品安全国家标准 复合调味料》、《食品安全国家标准 酱腌菜》、《食品安全国家标准 预包装食品中致病菌限量》、《食品安全国家标准 食品生产通用卫生规范》。</w:t>
      </w:r>
    </w:p>
    <w:p w14:paraId="2A67B20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5.其他要求</w:t>
      </w:r>
    </w:p>
    <w:p w14:paraId="48A533E5">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（1）本需求/合同/招标文件内所有引用的国家标准、食品安全通则、限量标准，在履约周期内如国家发布新版替代旧版，全部自动适用最新现行有效版本，无需另行签订补充协议。</w:t>
      </w:r>
    </w:p>
    <w:p w14:paraId="0960D4D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0"/>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（2）食材必须符合</w:t>
      </w:r>
      <w:r>
        <w:rPr>
          <w:rFonts w:hint="eastAsia" w:asciiTheme="minorEastAsia" w:hAnsiTheme="minorEastAsia" w:eastAsiaTheme="minorEastAsia" w:cstheme="minorEastAsia"/>
          <w:color w:val="auto"/>
          <w:kern w:val="0"/>
          <w:sz w:val="21"/>
          <w:szCs w:val="21"/>
          <w:highlight w:val="none"/>
          <w:lang w:val="en-US" w:eastAsia="zh-CN" w:bidi="ar"/>
        </w:rPr>
        <w:t>《中华人民共和国食品安全法》</w:t>
      </w:r>
      <w:r>
        <w:rPr>
          <w:rFonts w:hint="eastAsia" w:asciiTheme="minorEastAsia" w:hAnsiTheme="minorEastAsia" w:eastAsiaTheme="minorEastAsia" w:cstheme="minorEastAsia"/>
          <w:bCs/>
          <w:color w:val="auto"/>
          <w:kern w:val="0"/>
          <w:sz w:val="21"/>
          <w:szCs w:val="21"/>
          <w:highlight w:val="none"/>
          <w:lang w:val="en-US" w:eastAsia="zh-CN" w:bidi="ar"/>
        </w:rPr>
        <w:t>要求，为质量合格产品，不得供应转基因食品或利用转基因食品原料加工的成品。</w:t>
      </w:r>
    </w:p>
    <w:p w14:paraId="58DC8FB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（3）预包装食材必须为原公司(厂)生产的全新产品，符合国家相关规定的质量标准、环保标准、技术参数和规格要求，不得提供假冒伪劣、有毒有害食品，并达到采购人对食材的要求。</w:t>
      </w:r>
    </w:p>
    <w:p w14:paraId="71879D11">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（4）配送的预包装食品必须保证包装完好。必要时采购人有权要求乙方提供配送批次产品的检测报告，乙方无条件配合。</w:t>
      </w:r>
    </w:p>
    <w:p w14:paraId="74107BBB">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（5）乙方应更换运输过程中包装破损产品，所需费用由乙方承担。</w:t>
      </w:r>
    </w:p>
    <w:p w14:paraId="1E1D229B">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（6）采购人采购过程中会根据实际使用情况调整货物种类及数量，采购清单内容可能有部分没有详细描述或未在采购文件中体现或描述不准确，具体以实际供应货物为准。</w:t>
      </w:r>
    </w:p>
    <w:p w14:paraId="61DADCEC">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（7）全部食品、食材禁止使用含有瘦肉精、兴奋剂的食品和添加剂，乙方应完全尊重采购人的要求以及行业惯例和要求，确保所供应食品中不出现含上述类似违禁添加剂</w:t>
      </w:r>
      <w:r>
        <w:rPr>
          <w:rFonts w:hint="eastAsia" w:asciiTheme="minorEastAsia" w:hAnsiTheme="minorEastAsia" w:eastAsiaTheme="minorEastAsia" w:cstheme="minorEastAsia"/>
          <w:color w:val="auto"/>
          <w:kern w:val="0"/>
          <w:sz w:val="21"/>
          <w:szCs w:val="21"/>
          <w:highlight w:val="none"/>
          <w:lang w:val="en-US" w:eastAsia="zh-CN" w:bidi="ar"/>
        </w:rPr>
        <w:t>。</w:t>
      </w:r>
    </w:p>
    <w:p w14:paraId="3A39FC2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2"/>
        <w:jc w:val="both"/>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kern w:val="2"/>
          <w:sz w:val="21"/>
          <w:szCs w:val="21"/>
          <w:highlight w:val="none"/>
          <w:lang w:val="en-US" w:eastAsia="zh-CN" w:bidi="ar"/>
        </w:rPr>
        <w:t>(四)配送要求</w:t>
      </w:r>
    </w:p>
    <w:p w14:paraId="6953B2C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1.乙方须以自有或长期租赁的合规车辆及人员完成食材配送，不得将本项目的食材配送业务整体转包或变相分包给第三方。因特殊情况需临时调用外部运力的，须提前书面报采购人同意，且乙方仍对食材安全、时效、验收结果承担全部责任。</w:t>
      </w:r>
    </w:p>
    <w:p w14:paraId="7633D15D">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2.乙方须具备与配送规模相匹配的封闭式仓储场所，符合《食品安全国家标准 食品生产通用卫生规范》及《食品安全国家标准 食品冷链物流卫生规范》要求，按食材类配备封闭式厢式货车，确保食材安全储存和安全运输。</w:t>
      </w:r>
    </w:p>
    <w:p w14:paraId="705F2BD8">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3.乙方食材配送车辆及人员要求</w:t>
      </w:r>
    </w:p>
    <w:p w14:paraId="6283CC0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3.1须具备符合规定的自有或租赁的食材配送专用机动车车辆。车厢应为专用封闭式，车辆内部结构应平整、便于清洁，配送冷冻、冷藏食材时车辆须具有冷藏冷冻设备，所有储藏设施符合国家、行业标准和规范。</w:t>
      </w:r>
    </w:p>
    <w:p w14:paraId="13C9593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乙方提供配送车辆为   辆，其中厢式食材配送专用车辆   辆，运输专用冷藏车辆   辆，乙方应提供车辆年审年检合格的行驶证、购置发票(或租赁合同)、交强险保单复印件)。</w:t>
      </w:r>
    </w:p>
    <w:p w14:paraId="7F17D92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3.2配送车辆应做到每日清洗、消毒并做好消毒记录，并采用双人双锁管理。</w:t>
      </w:r>
    </w:p>
    <w:p w14:paraId="58F6435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3.3乙方提供专职驾驶员    名，乙方应提供专职驾驶员的有效驾驶证复印件(应符合专用车辆驾驶要求)，身份证复印件，健康证复印件，提供相应人员2026年1月1日至投标截止时间任意一月的社保证明复印件或劳动合同复印件并加盖投标人公章，无犯罪证明]。</w:t>
      </w:r>
    </w:p>
    <w:p w14:paraId="200D7274">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3.4乙方提供专职配送员    名，乙方应提供专职配送员的身份证复印件，健康证复印件，提供相应人员2026年1月1日至投标截止时间任意一月的社保证明复印件或劳动合同复印件并加盖投标人公章，无犯罪记录证明。</w:t>
      </w:r>
    </w:p>
    <w:p w14:paraId="69609724">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3.5专职驾驶员、配送人员不得身兼多岗，乙方投标文件中提供的有效运输车辆、专职固定驾驶员、专职配送人员必须为本项目提供配送服务的固定车辆和配送人员，未列入投标文件中的有效车辆和配送人员的不能为甲方提供食材配送服务。若确因车辆老化、故障，人员生病、离职等原因需要更换配送车辆和人员的，乙方需书面向甲方提交更换申请，并经甲方审核确认后(含政审)，方可更换配送车辆和人员。未经甲方允许擅自更换配送车辆和人员的，甲方有权单方面终止合同，若造成甲方损失的，甲方有权进行索赔。</w:t>
      </w:r>
    </w:p>
    <w:p w14:paraId="73EF608B">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4.乙方负责运输、装卸全过程，一切费用由乙方承担。乙方在配送运输中需确保安全，在运输装卸过程中发生的安全事故或不良事件，由乙方承担一切责任。</w:t>
      </w:r>
    </w:p>
    <w:p w14:paraId="6596E7F4">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5.履约方式及地点：采购人当天将次日需采购的食材名称、规格、数量，通过约定形式通知乙方，乙方须在早上07：00-07:30将采购人所需食材送到采购人指定地点。若采购人有临时紧急需求，乙方须在接到采购人通知后60分钟内送达。</w:t>
      </w:r>
    </w:p>
    <w:p w14:paraId="0C064723">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 xml:space="preserve">6.乙方必须保质保量配送，严禁以次充好、短斤缺两，否则采购人有权视事件严重程度扣罚5%～15%当月货款，甚至解除合同。 </w:t>
      </w:r>
    </w:p>
    <w:p w14:paraId="001B3402">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7.乙方送货时须提供食材送货清单、合格证等，采购人对食材种类、质量、数量、价格、合格证、检测报告等进行验收确认后签字。如乙方未提供合格证、送货清单，或采购人对食材质量、数量、价格等有异议，采购人将拒绝验收，乙方须在30分钟内予以妥善处理(要求提供处理方案)，不得影响采购人食堂运作，如不能及时解决，且无采购人认可的理由，采购人视影响程度扣罚1%～5%当月货款。</w:t>
      </w:r>
    </w:p>
    <w:p w14:paraId="40BED25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 xml:space="preserve">8.乙方所提供的食材依据《中华人民共和国食品安全法》和《餐饮服务食品采购索证索票管理规定》法律法规，应符合国家检验检疫标准。 </w:t>
      </w:r>
    </w:p>
    <w:p w14:paraId="6280C74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9.保密要求</w:t>
      </w:r>
    </w:p>
    <w:p w14:paraId="28CC816E">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9.1乙方进入区域中心的工作人员，必须服从区域中心管理。</w:t>
      </w:r>
    </w:p>
    <w:p w14:paraId="4E62D076">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9.2乙方人员不准打听与送货无关的任何事情；乙方不准公开采购人的送货资料，不准挟带(除订单外)的任何资料出区域中心。</w:t>
      </w:r>
    </w:p>
    <w:p w14:paraId="5D7749AF">
      <w:pPr>
        <w:keepNext w:val="0"/>
        <w:keepLines w:val="0"/>
        <w:pageBreakBefore w:val="0"/>
        <w:widowControl w:val="0"/>
        <w:suppressLineNumbers w:val="0"/>
        <w:kinsoku/>
        <w:overflowPunct/>
        <w:topLinePunct/>
        <w:autoSpaceDE/>
        <w:autoSpaceDN/>
        <w:bidi w:val="0"/>
        <w:adjustRightInd/>
        <w:spacing w:before="0" w:beforeAutospacing="0" w:afterAutospacing="0"/>
        <w:ind w:left="0" w:right="0" w:firstLine="480"/>
        <w:jc w:val="both"/>
        <w:textAlignment w:val="auto"/>
        <w:rPr>
          <w:rFonts w:hint="eastAsia" w:asciiTheme="minorEastAsia" w:hAnsiTheme="minorEastAsia" w:eastAsiaTheme="minorEastAsia" w:cstheme="minorEastAsia"/>
          <w:bCs/>
          <w:color w:val="auto"/>
          <w:kern w:val="2"/>
          <w:sz w:val="21"/>
          <w:szCs w:val="21"/>
          <w:highlight w:val="none"/>
          <w:lang w:val="en-US" w:eastAsia="zh-CN" w:bidi="ar"/>
        </w:rPr>
      </w:pPr>
      <w:r>
        <w:rPr>
          <w:rFonts w:hint="eastAsia" w:asciiTheme="minorEastAsia" w:hAnsiTheme="minorEastAsia" w:eastAsiaTheme="minorEastAsia" w:cstheme="minorEastAsia"/>
          <w:bCs/>
          <w:color w:val="auto"/>
          <w:kern w:val="2"/>
          <w:sz w:val="21"/>
          <w:szCs w:val="21"/>
          <w:highlight w:val="none"/>
          <w:lang w:val="en-US" w:eastAsia="zh-CN" w:bidi="ar"/>
        </w:rPr>
        <w:t>9.3如因配送人员泄露信息及送货相关资料造成泄密的，乙方相关人员必须承担相应的法律责任。</w:t>
      </w:r>
    </w:p>
    <w:p w14:paraId="50DB1214">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2"/>
        <w:jc w:val="both"/>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kern w:val="2"/>
          <w:sz w:val="21"/>
          <w:szCs w:val="21"/>
          <w:highlight w:val="none"/>
          <w:lang w:val="en-US" w:eastAsia="zh-CN" w:bidi="ar"/>
        </w:rPr>
        <w:t>(五)其他要求</w:t>
      </w:r>
    </w:p>
    <w:p w14:paraId="4F0071E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、乙方保证向甲方提供符合国家食品卫生安全规定标准的商品，做到诚信经营，准时配送。</w:t>
      </w:r>
    </w:p>
    <w:p w14:paraId="58056DA0">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bookmarkStart w:id="242" w:name="_Toc28734"/>
      <w:r>
        <w:rPr>
          <w:rFonts w:hint="eastAsia" w:asciiTheme="minorEastAsia" w:hAnsiTheme="minorEastAsia" w:eastAsiaTheme="minorEastAsia" w:cstheme="minorEastAsia"/>
          <w:color w:val="auto"/>
          <w:kern w:val="2"/>
          <w:sz w:val="21"/>
          <w:szCs w:val="21"/>
          <w:highlight w:val="none"/>
          <w:lang w:val="en-US" w:eastAsia="zh-CN" w:bidi="ar"/>
        </w:rPr>
        <w:t>2、乙方每日配送清单中需列出当前市场价和合同约定优惠后价格的对比。如乙方未按照合同约定价格进行配送时，经双方确认异议成立时，按照第一次扣减结算款500元、第二次扣减结算款1000元、第三次扣除全部履约保证金，并且由乙方派出专人进行整改，第四次解除合同。</w:t>
      </w:r>
    </w:p>
    <w:p w14:paraId="45D1CF8D">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3、乙方每日配送商品的种类和数量需与甲方提前一天发出并经乙方确认的订单或补充订单保持一致，如乙方实际配送商品和甲方订单不一致，甲方或甲方指定收货方现场人员应在收货时向乙方现场人员提出异议，经双方确认若异议成立则采购人有权按100元/次进行处罚，但乙方配送前提前告知甲方或甲方指定收货方无法配送的商品除外。</w:t>
      </w:r>
    </w:p>
    <w:p w14:paraId="48CDF85E">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4、对不符合质量的食材（腐烂、变质）甲方有权退货并要求乙方在不影响甲方开餐的时间内换货，确保甲方正常开餐。发现产品出现质量问题后，承诺在60分钟内无条件换货。经更换后若存在质量问题，经双方确认若异议成立则甲方有权按第一次500元标准扣减结算款，第二次1000元标准扣减结算款，第三次扣除全部履约保证金。</w:t>
      </w:r>
    </w:p>
    <w:p w14:paraId="2A168638">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5、甲方遇有临时救援任务，需要紧急配送食材时，乙方需在甲方指定时间内将食材配送至相应营区，未按约定时间配送到位的，第一次500元标准扣减结算款，第二次1000元标准扣减结算款，第三次扣除全部履约保证金。</w:t>
      </w:r>
    </w:p>
    <w:p w14:paraId="3537A5D4">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6、乙方所提供商品数量以甲方伙食管理系统终端显示的数量为准，待甲方验收完毕后由双方人员签字确认。</w:t>
      </w:r>
    </w:p>
    <w:p w14:paraId="1629E4E7">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7、乙方应承诺在配送过程中的一切安全责任自行承担。</w:t>
      </w:r>
    </w:p>
    <w:p w14:paraId="2284C43F">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8、在供货期间，乙方必须保障货源充足，如果出现断货现象，须作出书面说明，若非不可抗力因素，不论数量多少，断货1天，甲方按日平均就餐人数一天食用总量的总资金0.5倍收取乙方的违约金，断货2天，甲方按日平均就餐人数一天食用总量的总资金1.0倍收取乙方的违约金，连续断货达3天及以上的，甲方有权终止合同，且履约保证金不予退还，造成的一切后果和损失都由乙方负责。</w:t>
      </w:r>
    </w:p>
    <w:p w14:paraId="53F8679C">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9、因产品本身质量或配送原因发生的食品安全事故，由乙方承担全部经济和法律责任，并终止合同。</w:t>
      </w:r>
    </w:p>
    <w:p w14:paraId="5309DC3C">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10、如乙方接到甲方订单后，发现个别品种现有市场上质量差或缺少货源，乙方应及时通知甲方，并说明需更换的品种和建议拟替换品种，经甲方同意后方可替换。</w:t>
      </w:r>
    </w:p>
    <w:p w14:paraId="695B1C8E">
      <w:pPr>
        <w:keepNext w:val="0"/>
        <w:keepLines w:val="0"/>
        <w:pageBreakBefore w:val="0"/>
        <w:widowControl w:val="0"/>
        <w:suppressLineNumbers w:val="0"/>
        <w:tabs>
          <w:tab w:val="left" w:pos="0"/>
        </w:tabs>
        <w:kinsoku/>
        <w:wordWrap w:val="0"/>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11、执行各类救援任务时（包括野外驻训、各类演练等），任务地成都第二绕城高速以内时，乙方派出不少于2名人员实施伴随保障（负责主副食采购）。</w:t>
      </w:r>
    </w:p>
    <w:p w14:paraId="7E03B6DA">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12、乙方应承诺在甲方下一年度招投标工作启动前，其后续服务仍按本次采购所报的费率进行结算，甲方不承担任何责任。</w:t>
      </w:r>
    </w:p>
    <w:p w14:paraId="5B3639B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13、乙方按照甲方主副食费用结算要求，每月结算主副食费用时由乙方按照合同价款要求提供当月主副食费用的结算依据，由甲方进行复核，在复核中出现超出合同价款要求的予以退还。</w:t>
      </w:r>
    </w:p>
    <w:p w14:paraId="1847C4B4">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三、服务要求</w:t>
      </w:r>
      <w:bookmarkEnd w:id="242"/>
    </w:p>
    <w:p w14:paraId="261F738E">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（一）服务水平</w:t>
      </w:r>
    </w:p>
    <w:p w14:paraId="6B569D99">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1.乙方应针对本项目制定的规章制度。包括食材配送服务人员管理制度、食材配送服务卫生管理制度、食材安全查验制度、食材配送服务安全运送制度、库房安全管理制度等。</w:t>
      </w:r>
    </w:p>
    <w:p w14:paraId="4CEC725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2.乙方应针对本项目制定的配送方案。包括食材仓储及出入库管理保障方案、食材配送时效性及保障措施、食材配送流程及保障措施、食材配送服务过程中保鲜等保障措施及方案等。</w:t>
      </w:r>
    </w:p>
    <w:p w14:paraId="5524FA3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3.乙方应针对本项目制定的管理措施。包括食品质量安全管理体系、食品安全管控指标、食品安全管理岗位责任、食品来源追溯体系、食材安全事故处理流程及处理方法、食材配送质量及安全动态监管机制等。</w:t>
      </w:r>
    </w:p>
    <w:p w14:paraId="75A6106D">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4.乙方应针对本项目制定的售后服务及应急预案。包括售后服务人员构成、售后服务规章制度、退换货机制、食品召回措施、不同办公区应急保障方案、因发生短期影响正常配送的突发情况的应急配送方案、食品原料质量或卫生安全引发食物中毒事故的应急处理预案、因发生重大公共卫生事件提供长期应急保障方案等。</w:t>
      </w:r>
    </w:p>
    <w:p w14:paraId="3DADB4B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（二）物流保障</w:t>
      </w:r>
    </w:p>
    <w:p w14:paraId="65AE05D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乙方应配备的配送车辆为厢式货车或冷链运输车，车辆内部结构应平整、干净整洁，符合相关卫生要求。乙方应提供车辆年审年检合格的行驶证、购置发票</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或租赁合同</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、交强险保单复印件。</w:t>
      </w:r>
    </w:p>
    <w:p w14:paraId="1E2A103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（三）人员保障</w:t>
      </w:r>
    </w:p>
    <w:p w14:paraId="4EB0E2BD">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1.乙方应配备专职配送服务人员，提供专职配送服务人员的有效身份证复印件、健康证复印件，并提供服务项目的人员均为本单位人员的证明材料。</w:t>
      </w:r>
    </w:p>
    <w:p w14:paraId="586DDA1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2.乙方应配备专职驾驶员，提供专职驾驶员的有效驾驶证复印件</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应符合专用车辆驾驶要求</w:t>
      </w:r>
      <w:r>
        <w:rPr>
          <w:rFonts w:hint="eastAsia" w:asciiTheme="minorEastAsia" w:hAnsiTheme="minorEastAsia" w:eastAsiaTheme="minorEastAsia" w:cstheme="minorEastAsia"/>
          <w:bCs/>
          <w:color w:val="auto"/>
          <w:kern w:val="2"/>
          <w:sz w:val="21"/>
          <w:szCs w:val="21"/>
          <w:highlight w:val="none"/>
          <w:lang w:val="en-US" w:eastAsia="zh-CN" w:bidi="ar"/>
        </w:rPr>
        <w:t>)</w:t>
      </w:r>
      <w:r>
        <w:rPr>
          <w:rFonts w:hint="eastAsia" w:asciiTheme="minorEastAsia" w:hAnsiTheme="minorEastAsia" w:eastAsiaTheme="minorEastAsia" w:cstheme="minorEastAsia"/>
          <w:bCs/>
          <w:snapToGrid w:val="0"/>
          <w:color w:val="auto"/>
          <w:kern w:val="2"/>
          <w:sz w:val="21"/>
          <w:szCs w:val="21"/>
          <w:highlight w:val="none"/>
          <w:lang w:val="en-US" w:eastAsia="zh-CN" w:bidi="ar"/>
        </w:rPr>
        <w:t>、身份证复印件、健康证复印件，并提供服务项目的人员均为本单位人员的证明材料。</w:t>
      </w:r>
    </w:p>
    <w:p w14:paraId="60E3F08F">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3.乙方专职人员不得兼任本项目其他职务。</w:t>
      </w:r>
    </w:p>
    <w:p w14:paraId="05A259AA">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（四）食品安全保障</w:t>
      </w:r>
    </w:p>
    <w:p w14:paraId="6E69471C">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乙方应保障供货食品安全，提供有效期内的食品安全责任保单复印件或承诺函原件。</w:t>
      </w:r>
    </w:p>
    <w:p w14:paraId="62C5960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（五）应急保障能力</w:t>
      </w:r>
    </w:p>
    <w:p w14:paraId="58929697">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如遇特殊情况（地震、火灾等紧急救援），乙方须在本项目服务所在地</w:t>
      </w:r>
      <w:r>
        <w:rPr>
          <w:rFonts w:hint="eastAsia" w:asciiTheme="minorEastAsia" w:hAnsiTheme="minorEastAsia" w:eastAsiaTheme="minorEastAsia" w:cstheme="minorEastAsia"/>
          <w:bCs/>
          <w:color w:val="auto"/>
          <w:kern w:val="2"/>
          <w:sz w:val="21"/>
          <w:szCs w:val="21"/>
          <w:highlight w:val="none"/>
          <w:lang w:val="en-US" w:eastAsia="zh-CN" w:bidi="ar"/>
        </w:rPr>
        <w:t>100km</w:t>
      </w:r>
      <w:r>
        <w:rPr>
          <w:rFonts w:hint="eastAsia" w:asciiTheme="minorEastAsia" w:hAnsiTheme="minorEastAsia" w:eastAsiaTheme="minorEastAsia" w:cstheme="minorEastAsia"/>
          <w:bCs/>
          <w:snapToGrid w:val="0"/>
          <w:color w:val="auto"/>
          <w:kern w:val="2"/>
          <w:sz w:val="21"/>
          <w:szCs w:val="21"/>
          <w:highlight w:val="none"/>
          <w:lang w:val="en-US" w:eastAsia="zh-CN" w:bidi="ar"/>
        </w:rPr>
        <w:t>范围内，具有自有或者合作的中央厨房，能满足相应就餐的应急送餐保障能力。</w:t>
      </w:r>
    </w:p>
    <w:p w14:paraId="15E1BFA7">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（六）包装方式及运输：</w:t>
      </w:r>
    </w:p>
    <w:p w14:paraId="77D4EF21">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snapToGrid w:val="0"/>
          <w:color w:val="auto"/>
          <w:kern w:val="2"/>
          <w:sz w:val="21"/>
          <w:szCs w:val="21"/>
          <w:highlight w:val="none"/>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120AF1C">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3" w:name="_Toc13478"/>
      <w:r>
        <w:rPr>
          <w:rFonts w:hint="eastAsia" w:asciiTheme="minorEastAsia" w:hAnsiTheme="minorEastAsia" w:eastAsiaTheme="minorEastAsia" w:cstheme="minorEastAsia"/>
          <w:color w:val="auto"/>
          <w:sz w:val="21"/>
          <w:szCs w:val="21"/>
          <w:highlight w:val="none"/>
          <w:lang w:eastAsia="zh-CN"/>
        </w:rPr>
        <w:t>四、履约期限和地点</w:t>
      </w:r>
      <w:bookmarkEnd w:id="243"/>
    </w:p>
    <w:p w14:paraId="1F22CBB5">
      <w:pPr>
        <w:pStyle w:val="227"/>
        <w:pageBreakBefore w:val="0"/>
        <w:widowControl/>
        <w:numPr>
          <w:ilvl w:val="0"/>
          <w:numId w:val="19"/>
        </w:numPr>
        <w:kinsoku/>
        <w:overflowPunct/>
        <w:topLinePunct/>
        <w:autoSpaceDE/>
        <w:autoSpaceDN/>
        <w:bidi w:val="0"/>
        <w:adjustRightInd/>
        <w:spacing w:after="0" w:line="360" w:lineRule="auto"/>
        <w:ind w:left="992" w:hanging="51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履约地点</w:t>
      </w:r>
      <w:r>
        <w:rPr>
          <w:rFonts w:hint="eastAsia" w:asciiTheme="minorEastAsia" w:hAnsiTheme="minorEastAsia" w:eastAsiaTheme="minorEastAsia" w:cstheme="minorEastAsia"/>
          <w:b/>
          <w:bCs/>
          <w:color w:val="auto"/>
          <w:sz w:val="21"/>
          <w:szCs w:val="21"/>
          <w:highlight w:val="none"/>
          <w:lang w:val="en-US"/>
        </w:rPr>
        <w:t>1</w:t>
      </w:r>
      <w:r>
        <w:rPr>
          <w:rFonts w:hint="eastAsia" w:asciiTheme="minorEastAsia" w:hAnsiTheme="minorEastAsia" w:eastAsiaTheme="minorEastAsia" w:cstheme="minorEastAsia"/>
          <w:b/>
          <w:bCs/>
          <w:color w:val="auto"/>
          <w:sz w:val="21"/>
          <w:szCs w:val="21"/>
          <w:highlight w:val="none"/>
          <w:lang w:eastAsia="zh-CN"/>
        </w:rPr>
        <w:t xml:space="preserve">： </w:t>
      </w:r>
    </w:p>
    <w:p w14:paraId="58940054">
      <w:pPr>
        <w:pStyle w:val="227"/>
        <w:pageBreakBefore w:val="0"/>
        <w:widowControl/>
        <w:kinsoku/>
        <w:overflowPunct/>
        <w:topLinePunct/>
        <w:autoSpaceDE/>
        <w:autoSpaceDN/>
        <w:bidi w:val="0"/>
        <w:adjustRightInd/>
        <w:spacing w:after="0" w:line="360" w:lineRule="auto"/>
        <w:ind w:left="992" w:firstLine="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履约期限：</w:t>
      </w:r>
      <w:r>
        <w:rPr>
          <w:rFonts w:hint="eastAsia" w:asciiTheme="minorEastAsia" w:hAnsiTheme="minorEastAsia" w:eastAsiaTheme="minorEastAsia" w:cstheme="minorEastAsia"/>
          <w:color w:val="auto"/>
          <w:sz w:val="21"/>
          <w:szCs w:val="21"/>
          <w:highlight w:val="none"/>
          <w:lang w:val="en-US" w:eastAsia="zh-CN"/>
        </w:rPr>
        <w:t>8个月</w:t>
      </w:r>
      <w:r>
        <w:rPr>
          <w:rFonts w:hint="eastAsia" w:asciiTheme="minorEastAsia" w:hAnsiTheme="minorEastAsia" w:eastAsiaTheme="minorEastAsia" w:cstheme="minorEastAsia"/>
          <w:color w:val="auto"/>
          <w:sz w:val="21"/>
          <w:szCs w:val="21"/>
          <w:highlight w:val="none"/>
          <w:lang w:eastAsia="zh-CN"/>
        </w:rPr>
        <w:t>，自【】年【】月【】日至【】年【】月【】日止。</w:t>
      </w:r>
    </w:p>
    <w:p w14:paraId="0C9F2225">
      <w:pPr>
        <w:pStyle w:val="227"/>
        <w:pageBreakBefore w:val="0"/>
        <w:widowControl/>
        <w:numPr>
          <w:ilvl w:val="0"/>
          <w:numId w:val="19"/>
        </w:numPr>
        <w:kinsoku/>
        <w:overflowPunct/>
        <w:topLinePunct/>
        <w:autoSpaceDE/>
        <w:autoSpaceDN/>
        <w:bidi w:val="0"/>
        <w:adjustRightInd/>
        <w:spacing w:after="0" w:line="360" w:lineRule="auto"/>
        <w:ind w:left="992" w:hanging="51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履约地点</w:t>
      </w:r>
      <w:r>
        <w:rPr>
          <w:rFonts w:hint="eastAsia" w:asciiTheme="minorEastAsia" w:hAnsiTheme="minorEastAsia" w:eastAsiaTheme="minorEastAsia" w:cstheme="minorEastAsia"/>
          <w:b/>
          <w:bCs/>
          <w:color w:val="auto"/>
          <w:sz w:val="21"/>
          <w:szCs w:val="21"/>
          <w:highlight w:val="none"/>
          <w:lang w:val="en-US"/>
        </w:rPr>
        <w:t>2</w:t>
      </w:r>
      <w:r>
        <w:rPr>
          <w:rFonts w:hint="eastAsia" w:asciiTheme="minorEastAsia" w:hAnsiTheme="minorEastAsia" w:eastAsiaTheme="minorEastAsia" w:cstheme="minorEastAsia"/>
          <w:b/>
          <w:bCs/>
          <w:color w:val="auto"/>
          <w:sz w:val="21"/>
          <w:szCs w:val="21"/>
          <w:highlight w:val="none"/>
          <w:lang w:eastAsia="zh-CN"/>
        </w:rPr>
        <w:t xml:space="preserve">： </w:t>
      </w:r>
    </w:p>
    <w:p w14:paraId="0CDFB8A4">
      <w:pPr>
        <w:pStyle w:val="227"/>
        <w:pageBreakBefore w:val="0"/>
        <w:widowControl/>
        <w:kinsoku/>
        <w:overflowPunct/>
        <w:topLinePunct/>
        <w:autoSpaceDE/>
        <w:autoSpaceDN/>
        <w:bidi w:val="0"/>
        <w:adjustRightInd/>
        <w:spacing w:after="0" w:line="360" w:lineRule="auto"/>
        <w:ind w:left="992" w:firstLine="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履约期限：</w:t>
      </w:r>
      <w:r>
        <w:rPr>
          <w:rFonts w:hint="eastAsia" w:asciiTheme="minorEastAsia" w:hAnsiTheme="minorEastAsia" w:eastAsiaTheme="minorEastAsia" w:cstheme="minorEastAsia"/>
          <w:color w:val="auto"/>
          <w:sz w:val="21"/>
          <w:szCs w:val="21"/>
          <w:highlight w:val="none"/>
          <w:lang w:val="en-US" w:eastAsia="zh-CN"/>
        </w:rPr>
        <w:t>8个月</w:t>
      </w:r>
      <w:r>
        <w:rPr>
          <w:rFonts w:hint="eastAsia" w:asciiTheme="minorEastAsia" w:hAnsiTheme="minorEastAsia" w:eastAsiaTheme="minorEastAsia" w:cstheme="minorEastAsia"/>
          <w:color w:val="auto"/>
          <w:sz w:val="21"/>
          <w:szCs w:val="21"/>
          <w:highlight w:val="none"/>
          <w:lang w:eastAsia="zh-CN"/>
        </w:rPr>
        <w:t>，自【】年【】月【】日至【】年【】月【】日止。</w:t>
      </w:r>
    </w:p>
    <w:p w14:paraId="0F637FC4">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合同期限满，鉴于甲方的采购需求具有相对固定性、延续性且价格变化幅度小以及年度预算能保障的前提下，到下一年度招投标工作启动前甲方有权按照采购文件和合同约定的费用要求乙方继续提供服务。</w:t>
      </w:r>
    </w:p>
    <w:p w14:paraId="3E649432">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4" w:name="_Toc4769"/>
      <w:r>
        <w:rPr>
          <w:rFonts w:hint="eastAsia" w:asciiTheme="minorEastAsia" w:hAnsiTheme="minorEastAsia" w:eastAsiaTheme="minorEastAsia" w:cstheme="minorEastAsia"/>
          <w:color w:val="auto"/>
          <w:sz w:val="21"/>
          <w:szCs w:val="21"/>
          <w:highlight w:val="none"/>
          <w:lang w:eastAsia="zh-CN"/>
        </w:rPr>
        <w:t>五、履约保证金</w:t>
      </w:r>
      <w:bookmarkEnd w:id="244"/>
    </w:p>
    <w:p w14:paraId="45B7AA43">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乙方缴纳人民币</w:t>
      </w:r>
      <w:r>
        <w:rPr>
          <w:rFonts w:hint="eastAsia" w:asciiTheme="minorEastAsia" w:hAnsiTheme="minorEastAsia" w:eastAsiaTheme="minorEastAsia" w:cstheme="minorEastAsia"/>
          <w:color w:val="auto"/>
          <w:sz w:val="21"/>
          <w:szCs w:val="21"/>
          <w:highlight w:val="none"/>
          <w:u w:val="single"/>
          <w:lang w:val="en-US" w:eastAsia="zh-CN"/>
        </w:rPr>
        <w:t>323940.00</w:t>
      </w:r>
      <w:r>
        <w:rPr>
          <w:rFonts w:hint="eastAsia" w:asciiTheme="minorEastAsia" w:hAnsiTheme="minorEastAsia" w:eastAsiaTheme="minorEastAsia" w:cstheme="minorEastAsia"/>
          <w:color w:val="auto"/>
          <w:sz w:val="21"/>
          <w:szCs w:val="21"/>
          <w:highlight w:val="none"/>
          <w:lang w:eastAsia="zh-CN"/>
        </w:rPr>
        <w:t>元作为本合同的履约保证金。</w:t>
      </w:r>
    </w:p>
    <w:p w14:paraId="4378B9D2">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收款单位：</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val="en-US"/>
        </w:rPr>
        <w:t xml:space="preserve">                         </w:t>
      </w:r>
    </w:p>
    <w:p w14:paraId="28DBAD7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开户行：</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val="en-US"/>
        </w:rPr>
        <w:t xml:space="preserve">                         </w:t>
      </w:r>
    </w:p>
    <w:p w14:paraId="377F4EC1">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银行账号：</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val="en-US"/>
        </w:rPr>
        <w:t xml:space="preserve">                         </w:t>
      </w:r>
    </w:p>
    <w:p w14:paraId="0AD54083">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zh-CN" w:eastAsia="zh-CN"/>
        </w:rPr>
        <w:t>履约保证金退还</w:t>
      </w:r>
      <w:r>
        <w:rPr>
          <w:rFonts w:hint="eastAsia" w:asciiTheme="minorEastAsia" w:hAnsiTheme="minorEastAsia" w:eastAsiaTheme="minorEastAsia" w:cstheme="minorEastAsia"/>
          <w:color w:val="auto"/>
          <w:sz w:val="21"/>
          <w:szCs w:val="21"/>
          <w:highlight w:val="none"/>
          <w:lang w:eastAsia="zh-CN"/>
        </w:rPr>
        <w:t>时间及</w:t>
      </w:r>
      <w:r>
        <w:rPr>
          <w:rFonts w:hint="eastAsia" w:asciiTheme="minorEastAsia" w:hAnsiTheme="minorEastAsia" w:eastAsiaTheme="minorEastAsia" w:cstheme="minorEastAsia"/>
          <w:color w:val="auto"/>
          <w:sz w:val="21"/>
          <w:szCs w:val="21"/>
          <w:highlight w:val="none"/>
          <w:lang w:val="zh-CN" w:eastAsia="zh-CN"/>
        </w:rPr>
        <w:t>方式：</w:t>
      </w:r>
      <w:r>
        <w:rPr>
          <w:rFonts w:hint="eastAsia" w:asciiTheme="minorEastAsia" w:hAnsiTheme="minorEastAsia" w:eastAsiaTheme="minorEastAsia" w:cstheme="minorEastAsia"/>
          <w:color w:val="auto"/>
          <w:sz w:val="21"/>
          <w:szCs w:val="21"/>
          <w:highlight w:val="none"/>
          <w:lang w:eastAsia="zh-CN"/>
        </w:rPr>
        <w:t>乙方于合同服务期满后</w:t>
      </w:r>
      <w:r>
        <w:rPr>
          <w:rFonts w:hint="eastAsia" w:asciiTheme="minorEastAsia" w:hAnsiTheme="minorEastAsia" w:eastAsiaTheme="minorEastAsia" w:cstheme="minorEastAsia"/>
          <w:color w:val="auto"/>
          <w:sz w:val="21"/>
          <w:szCs w:val="21"/>
          <w:highlight w:val="none"/>
          <w:lang w:val="en-US"/>
        </w:rPr>
        <w:t>15</w:t>
      </w:r>
      <w:r>
        <w:rPr>
          <w:rFonts w:hint="eastAsia" w:asciiTheme="minorEastAsia" w:hAnsiTheme="minorEastAsia" w:eastAsiaTheme="minorEastAsia" w:cstheme="minorEastAsia"/>
          <w:color w:val="auto"/>
          <w:sz w:val="21"/>
          <w:szCs w:val="21"/>
          <w:highlight w:val="none"/>
          <w:lang w:eastAsia="zh-CN"/>
        </w:rPr>
        <w:t>个工作日内向甲方提交退还履约保证金申请，甲方自收到申请</w:t>
      </w:r>
      <w:r>
        <w:rPr>
          <w:rFonts w:hint="eastAsia" w:asciiTheme="minorEastAsia" w:hAnsiTheme="minorEastAsia" w:eastAsiaTheme="minorEastAsia" w:cstheme="minorEastAsia"/>
          <w:color w:val="auto"/>
          <w:sz w:val="21"/>
          <w:szCs w:val="21"/>
          <w:highlight w:val="none"/>
          <w:lang w:val="en-US"/>
        </w:rPr>
        <w:t>15</w:t>
      </w:r>
      <w:r>
        <w:rPr>
          <w:rFonts w:hint="eastAsia" w:asciiTheme="minorEastAsia" w:hAnsiTheme="minorEastAsia" w:eastAsiaTheme="minorEastAsia" w:cstheme="minorEastAsia"/>
          <w:color w:val="auto"/>
          <w:sz w:val="21"/>
          <w:szCs w:val="21"/>
          <w:highlight w:val="none"/>
          <w:lang w:eastAsia="zh-CN"/>
        </w:rPr>
        <w:t>个工作日内向乙方无息退还履约保证金</w:t>
      </w:r>
      <w:r>
        <w:rPr>
          <w:rFonts w:hint="eastAsia" w:asciiTheme="minorEastAsia" w:hAnsiTheme="minorEastAsia" w:eastAsiaTheme="minorEastAsia" w:cstheme="minorEastAsia"/>
          <w:color w:val="auto"/>
          <w:sz w:val="21"/>
          <w:szCs w:val="21"/>
          <w:highlight w:val="none"/>
          <w:lang w:val="zh-CN" w:eastAsia="zh-CN"/>
        </w:rPr>
        <w:t>。</w:t>
      </w:r>
    </w:p>
    <w:p w14:paraId="10DEF1C5">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zh-CN" w:eastAsia="zh-CN"/>
        </w:rPr>
        <w:t>履约保证金不予退还情形：</w:t>
      </w:r>
    </w:p>
    <w:p w14:paraId="5C0B0DEA">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 xml:space="preserve">1. </w:t>
      </w:r>
      <w:r>
        <w:rPr>
          <w:rFonts w:hint="eastAsia" w:asciiTheme="minorEastAsia" w:hAnsiTheme="minorEastAsia" w:eastAsiaTheme="minorEastAsia" w:cstheme="minorEastAsia"/>
          <w:color w:val="auto"/>
          <w:sz w:val="21"/>
          <w:szCs w:val="21"/>
          <w:highlight w:val="none"/>
          <w:lang w:eastAsia="zh-CN"/>
        </w:rPr>
        <w:t>乙方在中标后拒绝与甲方签订本合同</w:t>
      </w:r>
    </w:p>
    <w:p w14:paraId="7B0DC24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乙方</w:t>
      </w:r>
      <w:r>
        <w:rPr>
          <w:rFonts w:hint="eastAsia" w:asciiTheme="minorEastAsia" w:hAnsiTheme="minorEastAsia" w:eastAsiaTheme="minorEastAsia" w:cstheme="minorEastAsia"/>
          <w:color w:val="auto"/>
          <w:sz w:val="21"/>
          <w:szCs w:val="21"/>
          <w:highlight w:val="none"/>
          <w:lang w:val="zh-CN" w:eastAsia="zh-CN"/>
        </w:rPr>
        <w:t>不履行与</w:t>
      </w:r>
      <w:r>
        <w:rPr>
          <w:rFonts w:hint="eastAsia" w:asciiTheme="minorEastAsia" w:hAnsiTheme="minorEastAsia" w:eastAsiaTheme="minorEastAsia" w:cstheme="minorEastAsia"/>
          <w:color w:val="auto"/>
          <w:sz w:val="21"/>
          <w:szCs w:val="21"/>
          <w:highlight w:val="none"/>
          <w:lang w:eastAsia="zh-CN"/>
        </w:rPr>
        <w:t>甲方</w:t>
      </w:r>
      <w:r>
        <w:rPr>
          <w:rFonts w:hint="eastAsia" w:asciiTheme="minorEastAsia" w:hAnsiTheme="minorEastAsia" w:eastAsiaTheme="minorEastAsia" w:cstheme="minorEastAsia"/>
          <w:color w:val="auto"/>
          <w:sz w:val="21"/>
          <w:szCs w:val="21"/>
          <w:highlight w:val="none"/>
          <w:lang w:val="zh-CN" w:eastAsia="zh-CN"/>
        </w:rPr>
        <w:t>订立的合同的，履约保证金不予退还，给</w:t>
      </w:r>
      <w:r>
        <w:rPr>
          <w:rFonts w:hint="eastAsia" w:asciiTheme="minorEastAsia" w:hAnsiTheme="minorEastAsia" w:eastAsiaTheme="minorEastAsia" w:cstheme="minorEastAsia"/>
          <w:color w:val="auto"/>
          <w:sz w:val="21"/>
          <w:szCs w:val="21"/>
          <w:highlight w:val="none"/>
          <w:lang w:eastAsia="zh-CN"/>
        </w:rPr>
        <w:t>甲方</w:t>
      </w:r>
      <w:r>
        <w:rPr>
          <w:rFonts w:hint="eastAsia" w:asciiTheme="minorEastAsia" w:hAnsiTheme="minorEastAsia" w:eastAsiaTheme="minorEastAsia" w:cstheme="minorEastAsia"/>
          <w:color w:val="auto"/>
          <w:sz w:val="21"/>
          <w:szCs w:val="21"/>
          <w:highlight w:val="none"/>
          <w:lang w:val="zh-CN" w:eastAsia="zh-CN"/>
        </w:rPr>
        <w:t>造成的损失超过履约保证金数额的，还应当对超过部分予以赔偿。</w:t>
      </w:r>
    </w:p>
    <w:p w14:paraId="57F07522">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项目</w:t>
      </w:r>
      <w:r>
        <w:rPr>
          <w:rFonts w:hint="eastAsia" w:asciiTheme="minorEastAsia" w:hAnsiTheme="minorEastAsia" w:eastAsiaTheme="minorEastAsia" w:cstheme="minorEastAsia"/>
          <w:color w:val="auto"/>
          <w:sz w:val="21"/>
          <w:szCs w:val="21"/>
          <w:highlight w:val="none"/>
          <w:lang w:val="zh-CN" w:eastAsia="zh-CN"/>
        </w:rPr>
        <w:t>验收结果不合格的，履约保证金将不予退还</w:t>
      </w:r>
      <w:r>
        <w:rPr>
          <w:rFonts w:hint="eastAsia" w:asciiTheme="minorEastAsia" w:hAnsiTheme="minorEastAsia" w:eastAsiaTheme="minorEastAsia" w:cstheme="minorEastAsia"/>
          <w:color w:val="auto"/>
          <w:sz w:val="21"/>
          <w:szCs w:val="21"/>
          <w:highlight w:val="none"/>
          <w:lang w:eastAsia="zh-CN"/>
        </w:rPr>
        <w:t>。</w:t>
      </w:r>
    </w:p>
    <w:p w14:paraId="3E668275">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4.</w:t>
      </w:r>
      <w:r>
        <w:rPr>
          <w:rFonts w:hint="eastAsia" w:asciiTheme="minorEastAsia" w:hAnsiTheme="minorEastAsia" w:eastAsiaTheme="minorEastAsia" w:cstheme="minorEastAsia"/>
          <w:color w:val="auto"/>
          <w:sz w:val="21"/>
          <w:szCs w:val="21"/>
          <w:highlight w:val="none"/>
          <w:lang w:eastAsia="zh-CN"/>
        </w:rPr>
        <w:t>其他违反国家相关法律法规的情形。</w:t>
      </w:r>
    </w:p>
    <w:p w14:paraId="2F6D4852">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若乙方在履行合同过程中存在违约情形的，甲方有权从履约保证金中直接扣除相应违约金或赔偿金，并要求乙方限期内补足履约保证金。逾期补足的，甲方有权依约追究乙方逾期付款违约责任。</w:t>
      </w:r>
    </w:p>
    <w:p w14:paraId="4797C5AD">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四</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zh-CN" w:eastAsia="zh-CN"/>
        </w:rPr>
        <w:t>履约保证金不予退还的，将按照有关规定上缴国库。逾期退还履约保证金的，将依法承担法律责任，并赔偿乙方损失。</w:t>
      </w:r>
    </w:p>
    <w:p w14:paraId="02A73E7A">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eastAsia="zh-CN"/>
        </w:rPr>
      </w:pPr>
      <w:bookmarkStart w:id="245" w:name="_Toc6793"/>
      <w:r>
        <w:rPr>
          <w:rFonts w:hint="eastAsia" w:asciiTheme="minorEastAsia" w:hAnsiTheme="minorEastAsia" w:eastAsiaTheme="minorEastAsia" w:cstheme="minorEastAsia"/>
          <w:color w:val="auto"/>
          <w:sz w:val="21"/>
          <w:szCs w:val="21"/>
          <w:highlight w:val="none"/>
          <w:lang w:eastAsia="zh-CN"/>
        </w:rPr>
        <w:t>六、合同价款</w:t>
      </w:r>
      <w:bookmarkEnd w:id="245"/>
    </w:p>
    <w:p w14:paraId="6B95332C">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基准价</w:t>
      </w:r>
    </w:p>
    <w:p w14:paraId="5F069C08">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定价参考依据为“</w:t>
      </w:r>
      <w:r>
        <w:rPr>
          <w:rFonts w:hint="eastAsia" w:asciiTheme="minorEastAsia" w:hAnsiTheme="minorEastAsia" w:eastAsiaTheme="minorEastAsia" w:cstheme="minorEastAsia"/>
          <w:color w:val="auto"/>
          <w:sz w:val="21"/>
          <w:szCs w:val="21"/>
          <w:highlight w:val="none"/>
          <w:u w:val="single"/>
          <w:lang w:eastAsia="zh-CN"/>
        </w:rPr>
        <w:t>成都市发展和改革委员会官方网站</w:t>
      </w:r>
      <w:r>
        <w:rPr>
          <w:rFonts w:hint="eastAsia" w:asciiTheme="minorEastAsia" w:hAnsiTheme="minorEastAsia" w:eastAsiaTheme="minorEastAsia" w:cstheme="minorEastAsia"/>
          <w:color w:val="auto"/>
          <w:sz w:val="21"/>
          <w:szCs w:val="21"/>
          <w:highlight w:val="none"/>
          <w:lang w:eastAsia="zh-CN"/>
        </w:rPr>
        <w:t>”上公布的</w:t>
      </w:r>
      <w:r>
        <w:rPr>
          <w:rFonts w:hint="eastAsia" w:asciiTheme="minorEastAsia" w:hAnsiTheme="minorEastAsia" w:eastAsiaTheme="minorEastAsia" w:cstheme="minorEastAsia"/>
          <w:color w:val="auto"/>
          <w:sz w:val="21"/>
          <w:szCs w:val="21"/>
          <w:highlight w:val="none"/>
          <w:lang w:val="en-US"/>
        </w:rPr>
        <w:t>6</w:t>
      </w:r>
      <w:r>
        <w:rPr>
          <w:rFonts w:hint="eastAsia" w:asciiTheme="minorEastAsia" w:hAnsiTheme="minorEastAsia" w:eastAsiaTheme="minorEastAsia" w:cstheme="minorEastAsia"/>
          <w:color w:val="auto"/>
          <w:sz w:val="21"/>
          <w:szCs w:val="21"/>
          <w:highlight w:val="none"/>
          <w:lang w:eastAsia="zh-CN"/>
        </w:rPr>
        <w:t>个主城区所有农贸市场的食材种类价格的平均价下浮比例报价</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下浮</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w:t>
      </w:r>
    </w:p>
    <w:p w14:paraId="29AD8057">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u w:val="single"/>
          <w:lang w:eastAsia="zh-CN"/>
        </w:rPr>
        <w:t>成都市发展和改革委员会官方网站</w:t>
      </w:r>
      <w:r>
        <w:rPr>
          <w:rFonts w:hint="eastAsia" w:asciiTheme="minorEastAsia" w:hAnsiTheme="minorEastAsia" w:eastAsiaTheme="minorEastAsia" w:cstheme="minorEastAsia"/>
          <w:color w:val="auto"/>
          <w:sz w:val="21"/>
          <w:szCs w:val="21"/>
          <w:highlight w:val="none"/>
          <w:lang w:eastAsia="zh-CN"/>
        </w:rPr>
        <w:t>”未公布的食材，以甲乙双方共同在甲方周边</w:t>
      </w:r>
      <w:r>
        <w:rPr>
          <w:rFonts w:hint="eastAsia" w:asciiTheme="minorEastAsia" w:hAnsiTheme="minorEastAsia" w:eastAsiaTheme="minorEastAsia" w:cstheme="minorEastAsia"/>
          <w:color w:val="auto"/>
          <w:sz w:val="21"/>
          <w:szCs w:val="21"/>
          <w:highlight w:val="none"/>
          <w:u w:val="single"/>
          <w:lang w:eastAsia="zh-CN"/>
        </w:rPr>
        <w:t>（成都市金堂县淮口镇）</w:t>
      </w:r>
      <w:r>
        <w:rPr>
          <w:rFonts w:hint="eastAsia" w:asciiTheme="minorEastAsia" w:hAnsiTheme="minorEastAsia" w:eastAsiaTheme="minorEastAsia" w:cstheme="minorEastAsia"/>
          <w:color w:val="auto"/>
          <w:sz w:val="21"/>
          <w:szCs w:val="21"/>
          <w:highlight w:val="none"/>
          <w:lang w:eastAsia="zh-CN"/>
        </w:rPr>
        <w:t>的菜市场考察的零售价格的下浮比例报价作为参考依据。</w:t>
      </w:r>
    </w:p>
    <w:p w14:paraId="48643216">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4.费率计算方式：乙方依次按照“成都市发展和改革委员会官方网站”、甲方和乙方双方共同在采购单位周边（成都市金堂县淮口镇）的菜市场考察的零售价格报下浮比例，若乙方报价下浮X%，则费率=100%-X%。</w:t>
      </w:r>
    </w:p>
    <w:p w14:paraId="0F0D87F2">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5.费率的确定：以乙方的投标报价的计算出的费率为准，在合同履行期间，中标费率不变。</w:t>
      </w:r>
    </w:p>
    <w:p w14:paraId="295001CB">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6.结算单价确定：</w:t>
      </w:r>
    </w:p>
    <w:p w14:paraId="40D7CB05">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以上两种计算方式按照下浮比例计算后，以最低价作为结算价。</w:t>
      </w:r>
    </w:p>
    <w:p w14:paraId="066D72CE">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结算单价=基准价×中标费率。</w:t>
      </w:r>
    </w:p>
    <w:p w14:paraId="4136A984">
      <w:pPr>
        <w:keepNext w:val="0"/>
        <w:keepLines w:val="0"/>
        <w:pageBreakBefore w:val="0"/>
        <w:suppressLineNumbers w:val="0"/>
        <w:tabs>
          <w:tab w:val="left" w:pos="0"/>
        </w:tabs>
        <w:kinsoku/>
        <w:wordWrap w:val="0"/>
        <w:overflowPunct/>
        <w:topLinePunct/>
        <w:autoSpaceDE/>
        <w:autoSpaceDN/>
        <w:bidi w:val="0"/>
        <w:adjustRightInd/>
        <w:spacing w:before="0" w:beforeAutospacing="0" w:afterAutospacing="0" w:line="24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例：某基准价100元/kg，中标费率为下浮20%，结算单价=100元/kg×(1-20%)=80元/kg。</w:t>
      </w:r>
    </w:p>
    <w:p w14:paraId="00D085E0">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本项目所有主副食定价周期统一为1个月。每月首个工作日完成当月全部食材基准价核对、确认、存档工作，当月全周期配送食材均执行本次确认的基准价与中标费率，周期内价格不作调整。次月重新核定基准价，依次循环执行。结算单价是乙方响应采购项目要求，供应及配送单位数量食材的全部服务内容的价格体现，包括但不限于完成本项目所涉及人员工资、福利、各类劳保、税、费、成本、利润、包装、运输、冷藏、二次搬运、退换货、保险、招标代理服务费以及完成本项目所需的一切费用。）</w:t>
      </w:r>
    </w:p>
    <w:p w14:paraId="6C42E639">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五</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在执行定价当月周期内，食材市场价格涨跌幅超过</w:t>
      </w:r>
      <w:r>
        <w:rPr>
          <w:rFonts w:hint="eastAsia" w:asciiTheme="minorEastAsia" w:hAnsiTheme="minorEastAsia" w:eastAsiaTheme="minorEastAsia" w:cstheme="minorEastAsia"/>
          <w:color w:val="auto"/>
          <w:sz w:val="21"/>
          <w:szCs w:val="21"/>
          <w:highlight w:val="none"/>
          <w:lang w:val="en-US"/>
        </w:rPr>
        <w:t>10%(</w:t>
      </w:r>
      <w:r>
        <w:rPr>
          <w:rFonts w:hint="eastAsia" w:asciiTheme="minorEastAsia" w:hAnsiTheme="minorEastAsia" w:eastAsiaTheme="minorEastAsia" w:cstheme="minorEastAsia"/>
          <w:color w:val="auto"/>
          <w:sz w:val="21"/>
          <w:szCs w:val="21"/>
          <w:highlight w:val="none"/>
          <w:lang w:eastAsia="zh-CN"/>
        </w:rPr>
        <w:t>含</w:t>
      </w:r>
      <w:r>
        <w:rPr>
          <w:rFonts w:hint="eastAsia" w:asciiTheme="minorEastAsia" w:hAnsiTheme="minorEastAsia" w:eastAsiaTheme="minorEastAsia" w:cstheme="minorEastAsia"/>
          <w:color w:val="auto"/>
          <w:sz w:val="21"/>
          <w:szCs w:val="21"/>
          <w:highlight w:val="none"/>
          <w:lang w:val="en-US"/>
        </w:rPr>
        <w:t>10%)</w:t>
      </w:r>
      <w:r>
        <w:rPr>
          <w:rFonts w:hint="eastAsia" w:asciiTheme="minorEastAsia" w:hAnsiTheme="minorEastAsia" w:eastAsiaTheme="minorEastAsia" w:cstheme="minorEastAsia"/>
          <w:color w:val="auto"/>
          <w:sz w:val="21"/>
          <w:szCs w:val="21"/>
          <w:highlight w:val="none"/>
          <w:lang w:eastAsia="zh-CN"/>
        </w:rPr>
        <w:t>以上，乙方应向甲方履行及时如实告知义务，乙方向甲方提交书面调价申请时，应一并提供相关食材涨跌幅超过</w:t>
      </w:r>
      <w:r>
        <w:rPr>
          <w:rFonts w:hint="eastAsia" w:asciiTheme="minorEastAsia" w:hAnsiTheme="minorEastAsia" w:eastAsiaTheme="minorEastAsia" w:cstheme="minorEastAsia"/>
          <w:color w:val="auto"/>
          <w:sz w:val="21"/>
          <w:szCs w:val="21"/>
          <w:highlight w:val="none"/>
          <w:lang w:val="en-US"/>
        </w:rPr>
        <w:t>10%(</w:t>
      </w:r>
      <w:r>
        <w:rPr>
          <w:rFonts w:hint="eastAsia" w:asciiTheme="minorEastAsia" w:hAnsiTheme="minorEastAsia" w:eastAsiaTheme="minorEastAsia" w:cstheme="minorEastAsia"/>
          <w:color w:val="auto"/>
          <w:sz w:val="21"/>
          <w:szCs w:val="21"/>
          <w:highlight w:val="none"/>
          <w:lang w:eastAsia="zh-CN"/>
        </w:rPr>
        <w:t>含</w:t>
      </w:r>
      <w:r>
        <w:rPr>
          <w:rFonts w:hint="eastAsia" w:asciiTheme="minorEastAsia" w:hAnsiTheme="minorEastAsia" w:eastAsiaTheme="minorEastAsia" w:cstheme="minorEastAsia"/>
          <w:color w:val="auto"/>
          <w:sz w:val="21"/>
          <w:szCs w:val="21"/>
          <w:highlight w:val="none"/>
          <w:lang w:val="en-US"/>
        </w:rPr>
        <w:t>10%)</w:t>
      </w:r>
      <w:r>
        <w:rPr>
          <w:rFonts w:hint="eastAsia" w:asciiTheme="minorEastAsia" w:hAnsiTheme="minorEastAsia" w:eastAsiaTheme="minorEastAsia" w:cstheme="minorEastAsia"/>
          <w:color w:val="auto"/>
          <w:sz w:val="21"/>
          <w:szCs w:val="21"/>
          <w:highlight w:val="none"/>
          <w:lang w:eastAsia="zh-CN"/>
        </w:rPr>
        <w:t>的详细材料，经甲方委托第三方专业询价人员市场调研核实后，提交甲方定价小组重新调整食材基准价。同时，在采购合同执行期间，若在定价后市场价格出现涨幅，其食材配送结算率不变，按照乙方投标承诺的折扣率进行结算。</w:t>
      </w:r>
    </w:p>
    <w:p w14:paraId="1EA30CB7">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（六）本项目预算是根据当前实际需求预估金额，最终以实际发生的配送数量及结算价格，据实结算。</w:t>
      </w:r>
    </w:p>
    <w:p w14:paraId="762AF9C9">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6" w:name="_Toc29430"/>
      <w:r>
        <w:rPr>
          <w:rFonts w:hint="eastAsia" w:asciiTheme="minorEastAsia" w:hAnsiTheme="minorEastAsia" w:eastAsiaTheme="minorEastAsia" w:cstheme="minorEastAsia"/>
          <w:color w:val="auto"/>
          <w:sz w:val="21"/>
          <w:szCs w:val="21"/>
          <w:highlight w:val="none"/>
          <w:lang w:eastAsia="zh-CN"/>
        </w:rPr>
        <w:t>七、配送时间及价格调整</w:t>
      </w:r>
      <w:bookmarkEnd w:id="246"/>
    </w:p>
    <w:p w14:paraId="64AE22BE">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配送时间：政府采购合同约定之日起按每日规定时间</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早上</w:t>
      </w:r>
      <w:r>
        <w:rPr>
          <w:rFonts w:hint="eastAsia" w:asciiTheme="minorEastAsia" w:hAnsiTheme="minorEastAsia" w:eastAsiaTheme="minorEastAsia" w:cstheme="minorEastAsia"/>
          <w:color w:val="auto"/>
          <w:sz w:val="21"/>
          <w:szCs w:val="21"/>
          <w:highlight w:val="none"/>
          <w:lang w:val="en-US" w:eastAsia="zh-CN"/>
        </w:rPr>
        <w:t>07：00-</w:t>
      </w:r>
      <w:r>
        <w:rPr>
          <w:rFonts w:hint="eastAsia" w:asciiTheme="minorEastAsia" w:hAnsiTheme="minorEastAsia" w:eastAsiaTheme="minorEastAsia" w:cstheme="minorEastAsia"/>
          <w:color w:val="auto"/>
          <w:sz w:val="21"/>
          <w:szCs w:val="21"/>
          <w:highlight w:val="none"/>
          <w:lang w:val="en-US"/>
        </w:rPr>
        <w:t>07:30)</w:t>
      </w:r>
      <w:r>
        <w:rPr>
          <w:rFonts w:hint="eastAsia" w:asciiTheme="minorEastAsia" w:hAnsiTheme="minorEastAsia" w:eastAsiaTheme="minorEastAsia" w:cstheme="minorEastAsia"/>
          <w:color w:val="auto"/>
          <w:sz w:val="21"/>
          <w:szCs w:val="21"/>
          <w:highlight w:val="none"/>
          <w:lang w:eastAsia="zh-CN"/>
        </w:rPr>
        <w:t>送达，并负责交货时的卸载。</w:t>
      </w:r>
    </w:p>
    <w:p w14:paraId="19B62B0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如果由于季节性因素或台风暴雨洪水冰雹等自然灾害及其他不可抗拒因素造成部分商品价格暴涨需临时提高价格的，乙方应通知甲方，经双方协商同意后，乙方方可调价并配送。若甲方未同意乙方价格调整，则乙方有权拒绝配送该类商品且不承担任何违约责任；或经双方协商一致后甲方可选择配送价格范围内类似商品进行替代。</w:t>
      </w:r>
    </w:p>
    <w:p w14:paraId="7F280830">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配送地址：以销售单</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供货单</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所载地址为准，若销售单</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供货单</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所载地址与实际地址不一致，则以实际配送地址为准。</w:t>
      </w:r>
    </w:p>
    <w:p w14:paraId="6DA19E0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四</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因特殊情况</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包括但不限于交通管制、战争、暴乱、火灾、台风、洪水和地震等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若货物不能按时到达甲方指定收货地址，乙方须提前向甲方通知并作预案处理，处理方式由甲乙双方协商。</w:t>
      </w:r>
    </w:p>
    <w:p w14:paraId="49A87677">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7" w:name="_Toc22582"/>
      <w:r>
        <w:rPr>
          <w:rFonts w:hint="eastAsia" w:asciiTheme="minorEastAsia" w:hAnsiTheme="minorEastAsia" w:eastAsiaTheme="minorEastAsia" w:cstheme="minorEastAsia"/>
          <w:color w:val="auto"/>
          <w:sz w:val="21"/>
          <w:szCs w:val="21"/>
          <w:highlight w:val="none"/>
          <w:lang w:eastAsia="zh-CN"/>
        </w:rPr>
        <w:t>八、验收方法和标准</w:t>
      </w:r>
      <w:bookmarkEnd w:id="247"/>
    </w:p>
    <w:p w14:paraId="7FE6285D">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履约验收主体：甲方。</w:t>
      </w:r>
    </w:p>
    <w:p w14:paraId="0FBB3276">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履约验收时间：乙方向甲方交付货物后，甲方随时进行验收。对于生鲜类不宜长期保存的货物，乙方应及时提请甲方进行验收。</w:t>
      </w:r>
    </w:p>
    <w:p w14:paraId="1E87DA3B">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验收组织方式：自行验收，有权邀请第三方机构或质检部门共同验收。</w:t>
      </w:r>
    </w:p>
    <w:p w14:paraId="5ADA9C15">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四</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履约验收程序：</w:t>
      </w:r>
    </w:p>
    <w:p w14:paraId="13F92646">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、甲方设置验收人员，与乙方共同对配送的食材进行验收。</w:t>
      </w:r>
    </w:p>
    <w:p w14:paraId="2A3275C8">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、验收人员核对食材品种、规格、数量、价格等信息，确保与采购要求一致。</w:t>
      </w:r>
    </w:p>
    <w:p w14:paraId="69D729F2">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、验收人员检查食材的质量和新鲜度，包括外观、气味、质地等，如有异常应及时通知乙方并处理。</w:t>
      </w:r>
    </w:p>
    <w:p w14:paraId="3C74F5DD">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4</w:t>
      </w:r>
      <w:r>
        <w:rPr>
          <w:rFonts w:hint="eastAsia" w:asciiTheme="minorEastAsia" w:hAnsiTheme="minorEastAsia" w:eastAsiaTheme="minorEastAsia" w:cstheme="minorEastAsia"/>
          <w:color w:val="auto"/>
          <w:sz w:val="21"/>
          <w:szCs w:val="21"/>
          <w:highlight w:val="none"/>
          <w:lang w:eastAsia="zh-CN"/>
        </w:rPr>
        <w:t>、验收人员核对食材的检验合格证明和结算单，确保与真实情况相符。</w:t>
      </w:r>
    </w:p>
    <w:p w14:paraId="14999733">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5</w:t>
      </w:r>
      <w:r>
        <w:rPr>
          <w:rFonts w:hint="eastAsia" w:asciiTheme="minorEastAsia" w:hAnsiTheme="minorEastAsia" w:eastAsiaTheme="minorEastAsia" w:cstheme="minorEastAsia"/>
          <w:color w:val="auto"/>
          <w:sz w:val="21"/>
          <w:szCs w:val="21"/>
          <w:highlight w:val="none"/>
          <w:lang w:eastAsia="zh-CN"/>
        </w:rPr>
        <w:t>、验收合格后，验收人员在配送清单上签字确认。</w:t>
      </w:r>
    </w:p>
    <w:p w14:paraId="48BA6035">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6</w:t>
      </w:r>
      <w:r>
        <w:rPr>
          <w:rFonts w:hint="eastAsia" w:asciiTheme="minorEastAsia" w:hAnsiTheme="minorEastAsia" w:eastAsiaTheme="minorEastAsia" w:cstheme="minorEastAsia"/>
          <w:color w:val="auto"/>
          <w:sz w:val="21"/>
          <w:szCs w:val="21"/>
          <w:highlight w:val="none"/>
          <w:lang w:eastAsia="zh-CN"/>
        </w:rPr>
        <w:t>、签字后的配送清单一式两联，甲方保管一联，乙方保管一联，作为核算结账凭证之一。</w:t>
      </w:r>
    </w:p>
    <w:p w14:paraId="4CC2F05E">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五</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履约验收标准</w:t>
      </w:r>
    </w:p>
    <w:p w14:paraId="725B6F4F">
      <w:pPr>
        <w:pStyle w:val="226"/>
        <w:pageBreakBefore w:val="0"/>
        <w:widowControl/>
        <w:kinsoku/>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参照</w:t>
      </w:r>
      <w:r>
        <w:rPr>
          <w:rFonts w:hint="eastAsia" w:asciiTheme="minorEastAsia" w:hAnsiTheme="minorEastAsia" w:eastAsiaTheme="minorEastAsia" w:cstheme="minorEastAsia"/>
          <w:color w:val="auto"/>
          <w:sz w:val="21"/>
          <w:szCs w:val="21"/>
          <w:highlight w:val="none"/>
          <w:lang w:eastAsia="zh-CN"/>
        </w:rPr>
        <w:t>国家、行业标准，食品安全标准、《财政部关于进一步加强政府采购需求和履约验收管理的指导意见》</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财库〔</w:t>
      </w:r>
      <w:r>
        <w:rPr>
          <w:rFonts w:hint="eastAsia" w:asciiTheme="minorEastAsia" w:hAnsiTheme="minorEastAsia" w:eastAsiaTheme="minorEastAsia" w:cstheme="minorEastAsia"/>
          <w:color w:val="auto"/>
          <w:sz w:val="21"/>
          <w:szCs w:val="21"/>
          <w:highlight w:val="none"/>
          <w:lang w:val="en-US"/>
        </w:rPr>
        <w:t>2016</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205</w:t>
      </w:r>
      <w:r>
        <w:rPr>
          <w:rFonts w:hint="eastAsia" w:asciiTheme="minorEastAsia" w:hAnsiTheme="minorEastAsia" w:eastAsiaTheme="minorEastAsia" w:cstheme="minorEastAsia"/>
          <w:color w:val="auto"/>
          <w:sz w:val="21"/>
          <w:szCs w:val="21"/>
          <w:highlight w:val="none"/>
          <w:lang w:eastAsia="zh-CN"/>
        </w:rPr>
        <w:t>号</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、《政府采购需求管理办法》</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财库〔</w:t>
      </w:r>
      <w:r>
        <w:rPr>
          <w:rFonts w:hint="eastAsia" w:asciiTheme="minorEastAsia" w:hAnsiTheme="minorEastAsia" w:eastAsiaTheme="minorEastAsia" w:cstheme="minorEastAsia"/>
          <w:color w:val="auto"/>
          <w:sz w:val="21"/>
          <w:szCs w:val="21"/>
          <w:highlight w:val="none"/>
          <w:lang w:val="en-US"/>
        </w:rPr>
        <w:t>2021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22</w:t>
      </w:r>
      <w:r>
        <w:rPr>
          <w:rFonts w:hint="eastAsia" w:asciiTheme="minorEastAsia" w:hAnsiTheme="minorEastAsia" w:eastAsiaTheme="minorEastAsia" w:cstheme="minorEastAsia"/>
          <w:color w:val="auto"/>
          <w:sz w:val="21"/>
          <w:szCs w:val="21"/>
          <w:highlight w:val="none"/>
          <w:lang w:eastAsia="zh-CN"/>
        </w:rPr>
        <w:t>号</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等有关要求进行验收。</w:t>
      </w:r>
    </w:p>
    <w:p w14:paraId="4999653D">
      <w:pPr>
        <w:pStyle w:val="226"/>
        <w:pageBreakBefore w:val="0"/>
        <w:widowControl/>
        <w:kinsoku/>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、按照招标文件、投标文件、合同等约定的标准进行验收。</w:t>
      </w:r>
    </w:p>
    <w:p w14:paraId="4055B544">
      <w:pPr>
        <w:pStyle w:val="226"/>
        <w:pageBreakBefore w:val="0"/>
        <w:widowControl/>
        <w:kinsoku/>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、甲乙双方对按以上标准进行的验收有异议的，可由质量技术监督部门或其指定的质量鉴定机构进行质量鉴定。符合标准质量的，鉴定费由甲方承担；不符合质量标准的，鉴定费由乙方承担。</w:t>
      </w:r>
    </w:p>
    <w:p w14:paraId="0F7113DF">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六</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其他要求：验收不合格时，甲乙双方应协商一致，乙方应根据相关验收证明材料及时补足或更换，费用由乙方自行承担。</w:t>
      </w:r>
    </w:p>
    <w:p w14:paraId="2E8A823E">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8" w:name="_Toc24592"/>
      <w:r>
        <w:rPr>
          <w:rFonts w:hint="eastAsia" w:asciiTheme="minorEastAsia" w:hAnsiTheme="minorEastAsia" w:eastAsiaTheme="minorEastAsia" w:cstheme="minorEastAsia"/>
          <w:color w:val="auto"/>
          <w:sz w:val="21"/>
          <w:szCs w:val="21"/>
          <w:highlight w:val="none"/>
          <w:lang w:eastAsia="zh-CN"/>
        </w:rPr>
        <w:t>九、结算与支付方式</w:t>
      </w:r>
      <w:bookmarkEnd w:id="248"/>
    </w:p>
    <w:p w14:paraId="133B2B6B">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、结算凭证：乙方每次供货后，向甲方提供供货单，由甲方签字确认，一式两份，双方各留存一份，结算时以双方持有的供货单进行结算对账。有证据证明结算单与实际配送情况不符的，以实际配送情况为准。</w:t>
      </w:r>
    </w:p>
    <w:p w14:paraId="1A165287">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、支付方式：按月结算，每个月按实际配送的货物进行结算。上月的费用在次月</w:t>
      </w:r>
      <w:r>
        <w:rPr>
          <w:rFonts w:hint="eastAsia" w:asciiTheme="minorEastAsia" w:hAnsiTheme="minorEastAsia" w:eastAsiaTheme="minorEastAsia" w:cstheme="minorEastAsia"/>
          <w:color w:val="auto"/>
          <w:sz w:val="21"/>
          <w:szCs w:val="21"/>
          <w:highlight w:val="none"/>
          <w:lang w:val="en-US" w:eastAsia="zh-CN"/>
        </w:rPr>
        <w:t>30</w:t>
      </w:r>
      <w:r>
        <w:rPr>
          <w:rFonts w:hint="eastAsia" w:asciiTheme="minorEastAsia" w:hAnsiTheme="minorEastAsia" w:eastAsiaTheme="minorEastAsia" w:cstheme="minorEastAsia"/>
          <w:color w:val="auto"/>
          <w:sz w:val="21"/>
          <w:szCs w:val="21"/>
          <w:highlight w:val="none"/>
          <w:lang w:eastAsia="zh-CN"/>
        </w:rPr>
        <w:t>个工作日内由甲方和乙方共同核实供货量办齐相关付款手续，乙方向甲方出具合法有效完整的完税发票及凭证资料之日起</w:t>
      </w:r>
      <w:r>
        <w:rPr>
          <w:rFonts w:hint="eastAsia" w:asciiTheme="minorEastAsia" w:hAnsiTheme="minorEastAsia" w:eastAsiaTheme="minorEastAsia" w:cstheme="minorEastAsia"/>
          <w:color w:val="auto"/>
          <w:sz w:val="21"/>
          <w:szCs w:val="21"/>
          <w:highlight w:val="none"/>
          <w:lang w:val="en-US" w:eastAsia="zh-CN"/>
        </w:rPr>
        <w:t>30</w:t>
      </w:r>
      <w:r>
        <w:rPr>
          <w:rFonts w:hint="eastAsia" w:asciiTheme="minorEastAsia" w:hAnsiTheme="minorEastAsia" w:eastAsiaTheme="minorEastAsia" w:cstheme="minorEastAsia"/>
          <w:color w:val="auto"/>
          <w:sz w:val="21"/>
          <w:szCs w:val="21"/>
          <w:highlight w:val="none"/>
          <w:lang w:eastAsia="zh-CN"/>
        </w:rPr>
        <w:t>个工作日内由甲方将货款转到乙方指定账户</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如因甲方集训、出任务等原因，甲方提前告知乙方，货款结算时间顺延</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zh-CN" w:eastAsia="zh-CN"/>
        </w:rPr>
        <w:t>，付款方式均采用公对公的银行转账，</w:t>
      </w:r>
      <w:r>
        <w:rPr>
          <w:rFonts w:hint="eastAsia" w:asciiTheme="minorEastAsia" w:hAnsiTheme="minorEastAsia" w:eastAsiaTheme="minorEastAsia" w:cstheme="minorEastAsia"/>
          <w:color w:val="auto"/>
          <w:sz w:val="21"/>
          <w:szCs w:val="21"/>
          <w:highlight w:val="none"/>
          <w:lang w:eastAsia="zh-CN"/>
        </w:rPr>
        <w:t>乙方</w:t>
      </w:r>
      <w:r>
        <w:rPr>
          <w:rFonts w:hint="eastAsia" w:asciiTheme="minorEastAsia" w:hAnsiTheme="minorEastAsia" w:eastAsiaTheme="minorEastAsia" w:cstheme="minorEastAsia"/>
          <w:color w:val="auto"/>
          <w:sz w:val="21"/>
          <w:szCs w:val="21"/>
          <w:highlight w:val="none"/>
          <w:lang w:val="zh-CN" w:eastAsia="zh-CN"/>
        </w:rPr>
        <w:t>接受转账的开户信息</w:t>
      </w:r>
      <w:r>
        <w:rPr>
          <w:rFonts w:hint="eastAsia" w:asciiTheme="minorEastAsia" w:hAnsiTheme="minorEastAsia" w:eastAsiaTheme="minorEastAsia" w:cstheme="minorEastAsia"/>
          <w:color w:val="auto"/>
          <w:sz w:val="21"/>
          <w:szCs w:val="21"/>
          <w:highlight w:val="none"/>
          <w:lang w:eastAsia="zh-CN"/>
        </w:rPr>
        <w:t>如下：</w:t>
      </w:r>
    </w:p>
    <w:p w14:paraId="7CDB5F67">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snapToGrid w:val="0"/>
          <w:color w:val="auto"/>
          <w:kern w:val="2"/>
          <w:sz w:val="21"/>
          <w:szCs w:val="21"/>
          <w:highlight w:val="none"/>
          <w:lang w:val="en-US" w:eastAsia="zh-CN" w:bidi="ar"/>
        </w:rPr>
        <w:t>账户名称：</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0B30FA8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snapToGrid w:val="0"/>
          <w:color w:val="auto"/>
          <w:kern w:val="2"/>
          <w:sz w:val="21"/>
          <w:szCs w:val="21"/>
          <w:highlight w:val="none"/>
          <w:lang w:val="en-US" w:eastAsia="zh-CN" w:bidi="ar"/>
        </w:rPr>
        <w:t>开户银行：</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216FEAD9">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snapToGrid w:val="0"/>
          <w:color w:val="auto"/>
          <w:kern w:val="2"/>
          <w:sz w:val="21"/>
          <w:szCs w:val="21"/>
          <w:highlight w:val="none"/>
          <w:lang w:val="en-US" w:eastAsia="zh-CN" w:bidi="ar"/>
        </w:rPr>
        <w:t>银行行号：</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399D1F3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snapToGrid w:val="0"/>
          <w:color w:val="auto"/>
          <w:kern w:val="2"/>
          <w:sz w:val="21"/>
          <w:szCs w:val="21"/>
          <w:highlight w:val="none"/>
          <w:lang w:val="en-US" w:eastAsia="zh-CN" w:bidi="ar"/>
        </w:rPr>
        <w:t>银行账号：</w:t>
      </w:r>
      <w:r>
        <w:rPr>
          <w:rFonts w:hint="eastAsia" w:asciiTheme="minorEastAsia" w:hAnsiTheme="minorEastAsia" w:eastAsiaTheme="minorEastAsia" w:cstheme="minorEastAsia"/>
          <w:color w:val="auto"/>
          <w:kern w:val="2"/>
          <w:sz w:val="21"/>
          <w:szCs w:val="21"/>
          <w:highlight w:val="none"/>
          <w:u w:val="single"/>
          <w:lang w:val="en-US" w:eastAsia="zh-CN" w:bidi="ar"/>
        </w:rPr>
        <w:t xml:space="preserve">                  </w:t>
      </w:r>
    </w:p>
    <w:p w14:paraId="2F94FFCA">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49" w:name="_Toc22560"/>
      <w:r>
        <w:rPr>
          <w:rFonts w:hint="eastAsia" w:asciiTheme="minorEastAsia" w:hAnsiTheme="minorEastAsia" w:eastAsiaTheme="minorEastAsia" w:cstheme="minorEastAsia"/>
          <w:color w:val="auto"/>
          <w:sz w:val="21"/>
          <w:szCs w:val="21"/>
          <w:highlight w:val="none"/>
          <w:lang w:eastAsia="zh-CN"/>
        </w:rPr>
        <w:t>十、违约责任</w:t>
      </w:r>
      <w:bookmarkEnd w:id="249"/>
    </w:p>
    <w:p w14:paraId="20D55B50">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(一)甲方的违约责任</w:t>
      </w:r>
    </w:p>
    <w:p w14:paraId="32EB2F21">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1.甲方无正当理由拒收乙方配送食材的，甲方应偿付乙方被拒食材价格万分之一的违约金；</w:t>
      </w:r>
    </w:p>
    <w:p w14:paraId="7F37E423">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2.甲方无正当理由逾期支付合同价款的，甲方应偿付乙方该金额万分之一的违约金；</w:t>
      </w:r>
      <w:r>
        <w:rPr>
          <w:rFonts w:hint="eastAsia" w:asciiTheme="minorEastAsia" w:hAnsiTheme="minorEastAsia" w:eastAsiaTheme="minorEastAsia" w:cstheme="minorEastAsia"/>
          <w:bCs/>
          <w:color w:val="auto"/>
          <w:kern w:val="2"/>
          <w:sz w:val="21"/>
          <w:szCs w:val="21"/>
          <w:highlight w:val="none"/>
          <w:lang w:val="en-US" w:eastAsia="zh-CN" w:bidi="ar"/>
        </w:rPr>
        <w:t>逾期付款超过</w:t>
      </w:r>
      <w:r>
        <w:rPr>
          <w:rFonts w:hint="eastAsia" w:asciiTheme="minorEastAsia" w:hAnsiTheme="minorEastAsia" w:eastAsiaTheme="minorEastAsia" w:cstheme="minorEastAsia"/>
          <w:bCs/>
          <w:color w:val="auto"/>
          <w:kern w:val="2"/>
          <w:sz w:val="21"/>
          <w:szCs w:val="21"/>
          <w:highlight w:val="none"/>
          <w:u w:val="single"/>
          <w:lang w:val="en-US" w:eastAsia="zh-CN" w:bidi="ar"/>
        </w:rPr>
        <w:t xml:space="preserve"> 60 </w:t>
      </w:r>
      <w:r>
        <w:rPr>
          <w:rFonts w:hint="eastAsia" w:asciiTheme="minorEastAsia" w:hAnsiTheme="minorEastAsia" w:eastAsiaTheme="minorEastAsia" w:cstheme="minorEastAsia"/>
          <w:bCs/>
          <w:color w:val="auto"/>
          <w:kern w:val="2"/>
          <w:sz w:val="21"/>
          <w:szCs w:val="21"/>
          <w:highlight w:val="none"/>
          <w:lang w:val="en-US" w:eastAsia="zh-CN" w:bidi="ar"/>
        </w:rPr>
        <w:t>天的，乙方有权单方面解除本合同</w:t>
      </w:r>
      <w:r>
        <w:rPr>
          <w:rFonts w:hint="eastAsia" w:asciiTheme="minorEastAsia" w:hAnsiTheme="minorEastAsia" w:eastAsiaTheme="minorEastAsia" w:cstheme="minorEastAsia"/>
          <w:color w:val="auto"/>
          <w:kern w:val="2"/>
          <w:sz w:val="21"/>
          <w:szCs w:val="21"/>
          <w:highlight w:val="none"/>
          <w:lang w:val="en-US" w:eastAsia="zh-CN" w:bidi="ar"/>
        </w:rPr>
        <w:t>。</w:t>
      </w:r>
    </w:p>
    <w:p w14:paraId="27FCED20">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3.</w:t>
      </w:r>
      <w:r>
        <w:rPr>
          <w:rFonts w:hint="eastAsia" w:asciiTheme="minorEastAsia" w:hAnsiTheme="minorEastAsia" w:eastAsiaTheme="minorEastAsia" w:cstheme="minorEastAsia"/>
          <w:bCs/>
          <w:color w:val="auto"/>
          <w:kern w:val="2"/>
          <w:sz w:val="21"/>
          <w:szCs w:val="21"/>
          <w:highlight w:val="none"/>
          <w:lang w:val="en-US" w:eastAsia="zh-CN" w:bidi="ar"/>
        </w:rPr>
        <w:t>甲方偿付的违约金不足以弥补乙方直接损失的，还应按乙方直接损失尚未弥补的部分，支付赔偿金给乙方。</w:t>
      </w:r>
    </w:p>
    <w:p w14:paraId="230DF303">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(二)乙方的违约责任</w:t>
      </w:r>
    </w:p>
    <w:p w14:paraId="0398C09C">
      <w:pPr>
        <w:keepNext w:val="0"/>
        <w:keepLines w:val="0"/>
        <w:pageBreakBefore w:val="0"/>
        <w:widowControl w:val="0"/>
        <w:suppressLineNumbers w:val="0"/>
        <w:kinsoku/>
        <w:overflow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1.乙方延迟配送食材影响甲方正常用餐的(不可抗力因素除外)，乙方偿付甲方临时解决用餐的费用(以每份盒饭30元的单价×当日实际用餐人数计算)及该费用百分之一的违约金。</w:t>
      </w:r>
    </w:p>
    <w:p w14:paraId="2D73010E">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kern w:val="2"/>
          <w:sz w:val="21"/>
          <w:szCs w:val="21"/>
          <w:highlight w:val="none"/>
          <w:lang w:val="en-US" w:eastAsia="zh-CN" w:bidi="ar"/>
        </w:rPr>
        <w:t>2.因乙方配送食材质量问题退换货影响甲方正常用餐的，乙方按上条偿付甲方临时解决用餐的费用及该费用百分之二的违约金。</w:t>
      </w:r>
    </w:p>
    <w:p w14:paraId="2485B948">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3.乙方偿付的违约金不足以弥补甲方损失的，还应按甲方损失尚未弥补的部分，支付赔偿金给甲方。</w:t>
      </w:r>
    </w:p>
    <w:p w14:paraId="49CDB95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4.若乙方未按本合同约定交纳履约保证金的，甲方有权单方面解除本合同。</w:t>
      </w:r>
    </w:p>
    <w:p w14:paraId="0C5B405E">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5.若乙方出现违约情形应当支付违约金时，甲方有权直接从乙方交纳的履约保证金中直接扣除，履约保证金不足以支付违约金及赔偿的，甲方有权就不足部分向乙方赔偿。履约保证金扣除后，甲方有权要求乙方在3日内补足。</w:t>
      </w:r>
    </w:p>
    <w:p w14:paraId="1022F30B">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6.若乙方提供的食材质量存在问题，导致甲方发生食品安全事故的，乙方应承担全部赔偿责任。若以上事故是由于乙方故意向甲方提供有质量问题的食材引起的，乙方应承担全部赔偿责任，甲方有权单方面解除本合同，并不予退还履约保证金。</w:t>
      </w:r>
    </w:p>
    <w:p w14:paraId="5E88907C">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7.在采购服务配送期间，如发现乙方没有遵守服务承诺，有如下行为者，甲方有权单方面无责解除本合同，并按《中华人民共和国民法典》的规定追究乙方责任，并扣除全部履约保证金。</w:t>
      </w:r>
    </w:p>
    <w:p w14:paraId="39657456">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(1）乙方无正当理由拒绝供应甲方副食品的。</w:t>
      </w:r>
    </w:p>
    <w:p w14:paraId="700501AB">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(2）乙方不能在规定的时间完成供应2次以上（含2次）的。</w:t>
      </w:r>
    </w:p>
    <w:p w14:paraId="38258C0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(3）甲方验收过程中发现乙方缺斤少两2次以上（含2次）行为的。</w:t>
      </w:r>
    </w:p>
    <w:p w14:paraId="5CE9A4B0">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(4）若甲方在食用乙方配送的副食品后，发生经食品检验检疫部门界定为食品中毒的事件，由此引发的直接或间接经济责任和法律责任均由乙方负责。</w:t>
      </w:r>
    </w:p>
    <w:p w14:paraId="682E3CBD">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(5）乙方拒绝接受甲方的监督检查的。</w:t>
      </w:r>
    </w:p>
    <w:p w14:paraId="5105073C">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(6）乙方不能按甲方要求提供肉类、禽类副食品的相关检疫检验证明。</w:t>
      </w:r>
    </w:p>
    <w:p w14:paraId="234AF958">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(7）甲方在检查过程中发现乙方所提供的副食品有过期、变质或质量不合格的副食品2次以上（含2次）的。包含但不限于乙方供应的同种类副食品有超15%以上（含15%）出现霉烂、变质等质量问题的情况。</w:t>
      </w:r>
    </w:p>
    <w:p w14:paraId="6989EB4F">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(8）乙方以任何形式与甲方所属人员发生债务问题或不正当利益关系的。</w:t>
      </w:r>
    </w:p>
    <w:p w14:paraId="7694E59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(9）乙方拒绝甲方出入检查的。</w:t>
      </w:r>
    </w:p>
    <w:p w14:paraId="2F0BE4F7">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8.乙方配合甲方相关人员以实物套取现金和换取实物的、无实物套取现金和换取实物的、以次充好的，甲方有权单方面无责解除本合同，并按《中华人民共和国民法典》的规定追究乙方责任，并全款扣除履约保证金。</w:t>
      </w:r>
    </w:p>
    <w:p w14:paraId="03136C75">
      <w:pPr>
        <w:keepNext w:val="0"/>
        <w:keepLines w:val="0"/>
        <w:pageBreakBefore w:val="0"/>
        <w:widowControl w:val="0"/>
        <w:suppressLineNumbers w:val="0"/>
        <w:kinsoku/>
        <w:overflowPunct/>
        <w:topLinePunct/>
        <w:autoSpaceDE/>
        <w:autoSpaceDN/>
        <w:bidi w:val="0"/>
        <w:adjustRightInd/>
        <w:spacing w:before="0" w:beforeAutospacing="0" w:afterAutospacing="0" w:line="360" w:lineRule="auto"/>
        <w:ind w:left="0" w:right="0" w:firstLine="480"/>
        <w:jc w:val="both"/>
        <w:textAlignment w:val="auto"/>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kern w:val="2"/>
          <w:sz w:val="21"/>
          <w:szCs w:val="21"/>
          <w:highlight w:val="none"/>
          <w:lang w:val="en-US" w:eastAsia="zh-CN" w:bidi="ar"/>
        </w:rPr>
        <w:t>9.交货质量检验仅为简单的初步检验，不代表乙方所供食材的最终质量。在质量保证期满之前，任何因乙方配送食材质量问题导致的食品安全或食物中毒责任，在确认导致问题的食材品种后，甲方有权单方面无责解除本合同，并由乙方承担全部法律责任与经济损失（包括但不限于：医疗费、残疾赔偿金、赔偿金、误工费、人身损害费用及可能产生的一切费用）。</w:t>
      </w:r>
    </w:p>
    <w:p w14:paraId="201F38A6">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50" w:name="_Toc24003"/>
      <w:r>
        <w:rPr>
          <w:rFonts w:hint="eastAsia" w:asciiTheme="minorEastAsia" w:hAnsiTheme="minorEastAsia" w:eastAsiaTheme="minorEastAsia" w:cstheme="minorEastAsia"/>
          <w:color w:val="auto"/>
          <w:sz w:val="21"/>
          <w:szCs w:val="21"/>
          <w:highlight w:val="none"/>
          <w:lang w:eastAsia="zh-CN"/>
        </w:rPr>
        <w:t>十一、解决争议的方法</w:t>
      </w:r>
      <w:bookmarkEnd w:id="250"/>
    </w:p>
    <w:p w14:paraId="6D8F19C4">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因食材质量问题发生争议，由质量技术监督部门或其指定的质量鉴定机构进行质量鉴定。符合标准质量的，鉴定费由甲方承担；不符合质量标准的，鉴定费由乙方承担。</w:t>
      </w:r>
    </w:p>
    <w:p w14:paraId="7A1BC11A">
      <w:pPr>
        <w:pStyle w:val="226"/>
        <w:pageBreakBefore w:val="0"/>
        <w:widowControl/>
        <w:kinsoku/>
        <w:wordWrap/>
        <w:overflowPunct/>
        <w:autoSpaceDE/>
        <w:autoSpaceDN/>
        <w:bidi w:val="0"/>
        <w:adjustRightInd/>
        <w:spacing w:after="0"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合同履行期间</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若双方发生争议，可协商或由有关部门调解解决，协商或调解不成的， 向甲方所在地人民法院起诉。</w:t>
      </w:r>
    </w:p>
    <w:p w14:paraId="52B5E79D">
      <w:pPr>
        <w:pStyle w:val="3"/>
        <w:pageBreakBefore w:val="0"/>
        <w:widowControl/>
        <w:kinsoku/>
        <w:overflowPunct/>
        <w:autoSpaceDE/>
        <w:autoSpaceDN/>
        <w:bidi w:val="0"/>
        <w:adjustRightInd/>
        <w:spacing w:before="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auto"/>
          <w:sz w:val="21"/>
          <w:szCs w:val="21"/>
          <w:highlight w:val="none"/>
          <w:lang w:val="en-US"/>
        </w:rPr>
      </w:pPr>
      <w:bookmarkStart w:id="251" w:name="_Toc25669"/>
      <w:bookmarkStart w:id="252" w:name="_Toc16731"/>
      <w:bookmarkStart w:id="253" w:name="_Toc24628"/>
      <w:bookmarkStart w:id="254" w:name="_Toc2164"/>
      <w:bookmarkStart w:id="255" w:name="_Toc28943"/>
      <w:bookmarkStart w:id="256" w:name="_Toc217446115"/>
      <w:bookmarkStart w:id="257" w:name="_Toc8003"/>
      <w:bookmarkStart w:id="258" w:name="_Toc20531"/>
      <w:bookmarkStart w:id="259" w:name="_Toc27988"/>
      <w:r>
        <w:rPr>
          <w:rFonts w:hint="eastAsia" w:asciiTheme="minorEastAsia" w:hAnsiTheme="minorEastAsia" w:eastAsiaTheme="minorEastAsia" w:cstheme="minorEastAsia"/>
          <w:color w:val="auto"/>
          <w:sz w:val="21"/>
          <w:szCs w:val="21"/>
          <w:highlight w:val="none"/>
          <w:lang w:eastAsia="zh-CN"/>
        </w:rPr>
        <w:t>十二、其他</w:t>
      </w:r>
      <w:bookmarkEnd w:id="251"/>
      <w:bookmarkEnd w:id="252"/>
      <w:bookmarkEnd w:id="253"/>
      <w:bookmarkEnd w:id="254"/>
      <w:bookmarkEnd w:id="255"/>
      <w:bookmarkEnd w:id="256"/>
      <w:bookmarkEnd w:id="257"/>
      <w:bookmarkEnd w:id="258"/>
      <w:r>
        <w:rPr>
          <w:rFonts w:hint="eastAsia" w:asciiTheme="minorEastAsia" w:hAnsiTheme="minorEastAsia" w:eastAsiaTheme="minorEastAsia" w:cstheme="minorEastAsia"/>
          <w:color w:val="auto"/>
          <w:sz w:val="21"/>
          <w:szCs w:val="21"/>
          <w:highlight w:val="none"/>
          <w:lang w:eastAsia="zh-CN"/>
        </w:rPr>
        <w:t>要求</w:t>
      </w:r>
      <w:bookmarkEnd w:id="259"/>
    </w:p>
    <w:p w14:paraId="6D492ED7">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乙方应保证所提供的食材、服务或其任何一部分均不会侵犯任何第三方的专利权、商标权或著作权。</w:t>
      </w:r>
    </w:p>
    <w:p w14:paraId="524BDEE4">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甲方定期核对乙方提供食材、服务所配备的人员数量及相关信息，对于未按照采购文件及响应要求执行或存在不合理的部分有权下达整改通知书，并要求甲方限期整改，并根据违约情况扣除履约保证金。</w:t>
      </w:r>
    </w:p>
    <w:p w14:paraId="3D1D8333">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乙方定期及时向甲方通告本项目服务范围内有关服务的重大事项及其进度。</w:t>
      </w:r>
    </w:p>
    <w:p w14:paraId="40C9EA0B">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四</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接受项目行业管理部门及有关部门的指导，接受甲方的监督。</w:t>
      </w:r>
    </w:p>
    <w:p w14:paraId="02847516">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十三、通知与送达</w:t>
      </w:r>
    </w:p>
    <w:p w14:paraId="62976B40">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、本合同任何一方向对方发出的通知、信件、数据电文等，应当发送至本合同约定的通讯地址、联系人、联系电话或电子邮箱。</w:t>
      </w:r>
    </w:p>
    <w:p w14:paraId="65AE1618">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、一方当事人变更名称、住所、联系人、联系电话或电子邮箱等信息的，应当在变更后</w:t>
      </w: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日内及时书面通知对方，对方实际收到变更通知前的送达仍为有效送达。</w:t>
      </w:r>
    </w:p>
    <w:p w14:paraId="4F96F0E8">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、本合同一方给另一方的通知均应采用书面形式，传真或快递送到本合同中规定的对方的地址和办理签收手续。</w:t>
      </w:r>
    </w:p>
    <w:p w14:paraId="008EE224">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4</w:t>
      </w:r>
      <w:r>
        <w:rPr>
          <w:rFonts w:hint="eastAsia" w:asciiTheme="minorEastAsia" w:hAnsiTheme="minorEastAsia" w:eastAsiaTheme="minorEastAsia" w:cstheme="minorEastAsia"/>
          <w:color w:val="auto"/>
          <w:sz w:val="21"/>
          <w:szCs w:val="21"/>
          <w:highlight w:val="none"/>
          <w:lang w:eastAsia="zh-CN"/>
        </w:rPr>
        <w:t>、通知以送达之日或通知书中规定的生效之日起生效，两者中以较迟之日为准。</w:t>
      </w:r>
    </w:p>
    <w:p w14:paraId="0DEFAE3B">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十四、其他</w:t>
      </w:r>
    </w:p>
    <w:p w14:paraId="14CA8FEF">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一</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如有未尽事宜，由双方依法订立补充合同。</w:t>
      </w:r>
    </w:p>
    <w:p w14:paraId="24AF9665">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二</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本合同一式伍份，自双方签章之日起生效。甲方执贰份，乙方、财政部门、采购代理机构各执壹份。</w:t>
      </w:r>
    </w:p>
    <w:p w14:paraId="0114709F">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（三）以下文件作为本合同附件，与本合同具有同等法律效力。</w:t>
      </w:r>
    </w:p>
    <w:p w14:paraId="48C6F700">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1</w:t>
      </w:r>
      <w:r>
        <w:rPr>
          <w:rFonts w:hint="eastAsia" w:asciiTheme="minorEastAsia" w:hAnsiTheme="minorEastAsia" w:eastAsiaTheme="minorEastAsia" w:cstheme="minorEastAsia"/>
          <w:color w:val="auto"/>
          <w:sz w:val="21"/>
          <w:szCs w:val="21"/>
          <w:highlight w:val="none"/>
          <w:lang w:eastAsia="zh-CN"/>
        </w:rPr>
        <w:t>）中标通知书；</w:t>
      </w:r>
    </w:p>
    <w:p w14:paraId="3300B4D3">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2</w:t>
      </w:r>
      <w:r>
        <w:rPr>
          <w:rFonts w:hint="eastAsia" w:asciiTheme="minorEastAsia" w:hAnsiTheme="minorEastAsia" w:eastAsiaTheme="minorEastAsia" w:cstheme="minorEastAsia"/>
          <w:color w:val="auto"/>
          <w:sz w:val="21"/>
          <w:szCs w:val="21"/>
          <w:highlight w:val="none"/>
          <w:lang w:eastAsia="zh-CN"/>
        </w:rPr>
        <w:t>）招标文件；</w:t>
      </w:r>
    </w:p>
    <w:p w14:paraId="5DCD3DC9">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3</w:t>
      </w:r>
      <w:r>
        <w:rPr>
          <w:rFonts w:hint="eastAsia" w:asciiTheme="minorEastAsia" w:hAnsiTheme="minorEastAsia" w:eastAsiaTheme="minorEastAsia" w:cstheme="minorEastAsia"/>
          <w:color w:val="auto"/>
          <w:sz w:val="21"/>
          <w:szCs w:val="21"/>
          <w:highlight w:val="none"/>
          <w:lang w:eastAsia="zh-CN"/>
        </w:rPr>
        <w:t>）投标文件；</w:t>
      </w:r>
    </w:p>
    <w:p w14:paraId="36C26ABD">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4</w:t>
      </w:r>
      <w:r>
        <w:rPr>
          <w:rFonts w:hint="eastAsia" w:asciiTheme="minorEastAsia" w:hAnsiTheme="minorEastAsia" w:eastAsiaTheme="minorEastAsia" w:cstheme="minorEastAsia"/>
          <w:color w:val="auto"/>
          <w:sz w:val="21"/>
          <w:szCs w:val="21"/>
          <w:highlight w:val="none"/>
          <w:lang w:eastAsia="zh-CN"/>
        </w:rPr>
        <w:t>）乙方澄清函</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如有</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eastAsia="zh-CN"/>
        </w:rPr>
        <w:t>；</w:t>
      </w:r>
    </w:p>
    <w:p w14:paraId="52D915A3">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rPr>
        <w:t>5</w:t>
      </w:r>
      <w:r>
        <w:rPr>
          <w:rFonts w:hint="eastAsia" w:asciiTheme="minorEastAsia" w:hAnsiTheme="minorEastAsia" w:eastAsiaTheme="minorEastAsia" w:cstheme="minorEastAsia"/>
          <w:color w:val="auto"/>
          <w:sz w:val="21"/>
          <w:szCs w:val="21"/>
          <w:highlight w:val="none"/>
          <w:lang w:eastAsia="zh-CN"/>
        </w:rPr>
        <w:t>）其他材料；</w:t>
      </w:r>
    </w:p>
    <w:p w14:paraId="08C61D32">
      <w:pPr>
        <w:pStyle w:val="228"/>
        <w:pageBreakBefore w:val="0"/>
        <w:widowControl/>
        <w:numPr>
          <w:ilvl w:val="1"/>
          <w:numId w:val="0"/>
        </w:numPr>
        <w:kinsoku/>
        <w:wordWrap/>
        <w:overflowPunct/>
        <w:autoSpaceDE/>
        <w:autoSpaceDN/>
        <w:bidi w:val="0"/>
        <w:adjustRightInd/>
        <w:snapToGrid/>
        <w:spacing w:after="0" w:line="360" w:lineRule="auto"/>
        <w:ind w:left="0" w:firstLine="48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上述附件文本与本合同互相补充和解释。如果合同与文件之间存在矛盾或者不一致之处，应当以高标准优于低标准适用原则解决前述冲突。</w:t>
      </w:r>
    </w:p>
    <w:p w14:paraId="1E1E4299">
      <w:pPr>
        <w:pStyle w:val="228"/>
        <w:pageBreakBefore w:val="0"/>
        <w:widowControl/>
        <w:numPr>
          <w:ilvl w:val="1"/>
          <w:numId w:val="0"/>
        </w:numPr>
        <w:kinsoku/>
        <w:wordWrap/>
        <w:overflowPunct/>
        <w:autoSpaceDE/>
        <w:autoSpaceDN/>
        <w:bidi w:val="0"/>
        <w:adjustRightInd/>
        <w:snapToGrid/>
        <w:spacing w:after="0" w:line="360" w:lineRule="auto"/>
        <w:ind w:left="0" w:firstLine="480"/>
        <w:jc w:val="center"/>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（以下无正文）</w:t>
      </w:r>
    </w:p>
    <w:tbl>
      <w:tblPr>
        <w:tblStyle w:val="58"/>
        <w:tblW w:w="996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Layout w:type="fixed"/>
        <w:tblCellMar>
          <w:top w:w="0" w:type="dxa"/>
          <w:left w:w="108" w:type="dxa"/>
          <w:bottom w:w="0" w:type="dxa"/>
          <w:right w:w="108" w:type="dxa"/>
        </w:tblCellMar>
      </w:tblPr>
      <w:tblGrid>
        <w:gridCol w:w="4980"/>
        <w:gridCol w:w="4980"/>
      </w:tblGrid>
      <w:tr w14:paraId="37B5BBD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18" w:hRule="atLeast"/>
          <w:jc w:val="center"/>
        </w:trPr>
        <w:tc>
          <w:tcPr>
            <w:tcW w:w="4981" w:type="dxa"/>
            <w:shd w:val="clear" w:color="auto" w:fill="auto"/>
            <w:vAlign w:val="center"/>
          </w:tcPr>
          <w:p w14:paraId="1C9B9FFD">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甲方：</w:t>
            </w:r>
            <w:r>
              <w:rPr>
                <w:rFonts w:hint="eastAsia" w:asciiTheme="minorEastAsia" w:hAnsiTheme="minorEastAsia" w:eastAsiaTheme="minorEastAsia" w:cstheme="minorEastAsia"/>
                <w:color w:val="auto"/>
                <w:kern w:val="0"/>
                <w:sz w:val="21"/>
                <w:szCs w:val="21"/>
                <w:highlight w:val="none"/>
                <w:lang w:val="en-US"/>
              </w:rPr>
              <w:t xml:space="preserve">   (</w:t>
            </w:r>
            <w:r>
              <w:rPr>
                <w:rFonts w:hint="eastAsia" w:asciiTheme="minorEastAsia" w:hAnsiTheme="minorEastAsia" w:eastAsiaTheme="minorEastAsia" w:cstheme="minorEastAsia"/>
                <w:color w:val="auto"/>
                <w:kern w:val="0"/>
                <w:sz w:val="21"/>
                <w:szCs w:val="21"/>
                <w:highlight w:val="none"/>
              </w:rPr>
              <w:t>盖章</w:t>
            </w:r>
            <w:r>
              <w:rPr>
                <w:rFonts w:hint="eastAsia" w:asciiTheme="minorEastAsia" w:hAnsiTheme="minorEastAsia" w:eastAsiaTheme="minorEastAsia" w:cstheme="minorEastAsia"/>
                <w:color w:val="auto"/>
                <w:kern w:val="0"/>
                <w:sz w:val="21"/>
                <w:szCs w:val="21"/>
                <w:highlight w:val="none"/>
                <w:lang w:val="en-US"/>
              </w:rPr>
              <w:t>)</w:t>
            </w:r>
          </w:p>
        </w:tc>
        <w:tc>
          <w:tcPr>
            <w:tcW w:w="4981" w:type="dxa"/>
            <w:shd w:val="clear" w:color="auto" w:fill="auto"/>
            <w:vAlign w:val="center"/>
          </w:tcPr>
          <w:p w14:paraId="683D57A0">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乙方：</w:t>
            </w:r>
            <w:r>
              <w:rPr>
                <w:rFonts w:hint="eastAsia" w:asciiTheme="minorEastAsia" w:hAnsiTheme="minorEastAsia" w:eastAsiaTheme="minorEastAsia" w:cstheme="minorEastAsia"/>
                <w:color w:val="auto"/>
                <w:kern w:val="0"/>
                <w:sz w:val="21"/>
                <w:szCs w:val="21"/>
                <w:highlight w:val="none"/>
                <w:lang w:val="en-US"/>
              </w:rPr>
              <w:t xml:space="preserve">   (</w:t>
            </w:r>
            <w:r>
              <w:rPr>
                <w:rFonts w:hint="eastAsia" w:asciiTheme="minorEastAsia" w:hAnsiTheme="minorEastAsia" w:eastAsiaTheme="minorEastAsia" w:cstheme="minorEastAsia"/>
                <w:color w:val="auto"/>
                <w:kern w:val="0"/>
                <w:sz w:val="21"/>
                <w:szCs w:val="21"/>
                <w:highlight w:val="none"/>
              </w:rPr>
              <w:t>盖章</w:t>
            </w:r>
            <w:r>
              <w:rPr>
                <w:rFonts w:hint="eastAsia" w:asciiTheme="minorEastAsia" w:hAnsiTheme="minorEastAsia" w:eastAsiaTheme="minorEastAsia" w:cstheme="minorEastAsia"/>
                <w:color w:val="auto"/>
                <w:kern w:val="0"/>
                <w:sz w:val="21"/>
                <w:szCs w:val="21"/>
                <w:highlight w:val="none"/>
                <w:lang w:val="en-US"/>
              </w:rPr>
              <w:t>)</w:t>
            </w:r>
          </w:p>
        </w:tc>
      </w:tr>
      <w:tr w14:paraId="4D5BA31B">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18" w:hRule="atLeast"/>
          <w:jc w:val="center"/>
        </w:trPr>
        <w:tc>
          <w:tcPr>
            <w:tcW w:w="4981" w:type="dxa"/>
            <w:shd w:val="clear" w:color="auto" w:fill="auto"/>
            <w:vAlign w:val="center"/>
          </w:tcPr>
          <w:p w14:paraId="5A0BEAD7">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法定代表人</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授权代表</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w:t>
            </w:r>
          </w:p>
        </w:tc>
        <w:tc>
          <w:tcPr>
            <w:tcW w:w="4981" w:type="dxa"/>
            <w:shd w:val="clear" w:color="auto" w:fill="auto"/>
            <w:vAlign w:val="center"/>
          </w:tcPr>
          <w:p w14:paraId="1281E57F">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法定代表人</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授权代表</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w:t>
            </w:r>
          </w:p>
        </w:tc>
      </w:tr>
      <w:tr w14:paraId="674B38D9">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18" w:hRule="atLeast"/>
          <w:jc w:val="center"/>
        </w:trPr>
        <w:tc>
          <w:tcPr>
            <w:tcW w:w="4981" w:type="dxa"/>
            <w:shd w:val="clear" w:color="auto" w:fill="auto"/>
            <w:vAlign w:val="center"/>
          </w:tcPr>
          <w:p w14:paraId="4782DA5F">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地址</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住所</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w:t>
            </w:r>
          </w:p>
        </w:tc>
        <w:tc>
          <w:tcPr>
            <w:tcW w:w="4981" w:type="dxa"/>
            <w:shd w:val="clear" w:color="auto" w:fill="auto"/>
            <w:vAlign w:val="center"/>
          </w:tcPr>
          <w:p w14:paraId="05248706">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地址</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住所</w:t>
            </w:r>
            <w:r>
              <w:rPr>
                <w:rFonts w:hint="eastAsia" w:asciiTheme="minorEastAsia" w:hAnsiTheme="minorEastAsia" w:eastAsiaTheme="minorEastAsia" w:cstheme="minorEastAsia"/>
                <w:color w:val="auto"/>
                <w:kern w:val="0"/>
                <w:sz w:val="21"/>
                <w:szCs w:val="21"/>
                <w:highlight w:val="none"/>
                <w:lang w:val="en-US"/>
              </w:rPr>
              <w:t>)</w:t>
            </w:r>
            <w:r>
              <w:rPr>
                <w:rFonts w:hint="eastAsia" w:asciiTheme="minorEastAsia" w:hAnsiTheme="minorEastAsia" w:eastAsiaTheme="minorEastAsia" w:cstheme="minorEastAsia"/>
                <w:color w:val="auto"/>
                <w:kern w:val="0"/>
                <w:sz w:val="21"/>
                <w:szCs w:val="21"/>
                <w:highlight w:val="none"/>
              </w:rPr>
              <w:t>：</w:t>
            </w:r>
          </w:p>
        </w:tc>
      </w:tr>
      <w:tr w14:paraId="245EDB0F">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18" w:hRule="atLeast"/>
          <w:jc w:val="center"/>
        </w:trPr>
        <w:tc>
          <w:tcPr>
            <w:tcW w:w="4981" w:type="dxa"/>
            <w:shd w:val="clear" w:color="auto" w:fill="auto"/>
            <w:vAlign w:val="center"/>
          </w:tcPr>
          <w:p w14:paraId="2925F605">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开户银行：</w:t>
            </w:r>
          </w:p>
        </w:tc>
        <w:tc>
          <w:tcPr>
            <w:tcW w:w="4981" w:type="dxa"/>
            <w:shd w:val="clear" w:color="auto" w:fill="auto"/>
            <w:vAlign w:val="center"/>
          </w:tcPr>
          <w:p w14:paraId="38C78057">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开户银行：</w:t>
            </w:r>
          </w:p>
        </w:tc>
      </w:tr>
      <w:tr w14:paraId="03D2D4A2">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18" w:hRule="atLeast"/>
          <w:jc w:val="center"/>
        </w:trPr>
        <w:tc>
          <w:tcPr>
            <w:tcW w:w="4981" w:type="dxa"/>
            <w:shd w:val="clear" w:color="auto" w:fill="auto"/>
            <w:vAlign w:val="center"/>
          </w:tcPr>
          <w:p w14:paraId="6C2D6E9F">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账号：</w:t>
            </w:r>
          </w:p>
        </w:tc>
        <w:tc>
          <w:tcPr>
            <w:tcW w:w="4981" w:type="dxa"/>
            <w:shd w:val="clear" w:color="auto" w:fill="auto"/>
            <w:vAlign w:val="center"/>
          </w:tcPr>
          <w:p w14:paraId="6F10560E">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账号：</w:t>
            </w:r>
          </w:p>
        </w:tc>
      </w:tr>
      <w:tr w14:paraId="7502C473">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18" w:hRule="atLeast"/>
          <w:jc w:val="center"/>
        </w:trPr>
        <w:tc>
          <w:tcPr>
            <w:tcW w:w="4981" w:type="dxa"/>
            <w:shd w:val="clear" w:color="auto" w:fill="auto"/>
            <w:vAlign w:val="center"/>
          </w:tcPr>
          <w:p w14:paraId="61C8E0BC">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 xml:space="preserve">电话： </w:t>
            </w:r>
          </w:p>
        </w:tc>
        <w:tc>
          <w:tcPr>
            <w:tcW w:w="4981" w:type="dxa"/>
            <w:shd w:val="clear" w:color="auto" w:fill="auto"/>
            <w:vAlign w:val="center"/>
          </w:tcPr>
          <w:p w14:paraId="09B05631">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 xml:space="preserve">电话： </w:t>
            </w:r>
          </w:p>
        </w:tc>
      </w:tr>
      <w:tr w14:paraId="6806545F">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24" w:hRule="atLeast"/>
          <w:jc w:val="center"/>
        </w:trPr>
        <w:tc>
          <w:tcPr>
            <w:tcW w:w="4981" w:type="dxa"/>
            <w:shd w:val="clear" w:color="auto" w:fill="auto"/>
            <w:vAlign w:val="center"/>
          </w:tcPr>
          <w:p w14:paraId="6D3C7728">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传真：</w:t>
            </w:r>
          </w:p>
        </w:tc>
        <w:tc>
          <w:tcPr>
            <w:tcW w:w="4981" w:type="dxa"/>
            <w:shd w:val="clear" w:color="auto" w:fill="auto"/>
            <w:vAlign w:val="center"/>
          </w:tcPr>
          <w:p w14:paraId="7626288F">
            <w:pPr>
              <w:pStyle w:val="226"/>
              <w:widowControl/>
              <w:wordWrap/>
              <w:spacing w:line="360" w:lineRule="auto"/>
              <w:ind w:left="0" w:firstLine="480"/>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传真：</w:t>
            </w:r>
          </w:p>
        </w:tc>
      </w:tr>
      <w:tr w14:paraId="58847ABB">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24" w:hRule="atLeast"/>
          <w:jc w:val="center"/>
        </w:trPr>
        <w:tc>
          <w:tcPr>
            <w:tcW w:w="9962" w:type="dxa"/>
            <w:gridSpan w:val="2"/>
            <w:shd w:val="clear" w:color="auto" w:fill="auto"/>
            <w:vAlign w:val="center"/>
          </w:tcPr>
          <w:p w14:paraId="66A5B23C">
            <w:pPr>
              <w:pStyle w:val="226"/>
              <w:widowControl/>
              <w:wordWrap/>
              <w:spacing w:line="360" w:lineRule="auto"/>
              <w:ind w:left="0" w:firstLine="480"/>
              <w:jc w:val="right"/>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rPr>
              <w:t>签约日期：</w:t>
            </w:r>
            <w:r>
              <w:rPr>
                <w:rFonts w:hint="eastAsia" w:asciiTheme="minorEastAsia" w:hAnsiTheme="minorEastAsia" w:eastAsiaTheme="minorEastAsia" w:cstheme="minorEastAsia"/>
                <w:color w:val="auto"/>
                <w:kern w:val="0"/>
                <w:sz w:val="21"/>
                <w:szCs w:val="21"/>
                <w:highlight w:val="none"/>
                <w:lang w:val="en-US"/>
              </w:rPr>
              <w:t>XX</w:t>
            </w:r>
            <w:r>
              <w:rPr>
                <w:rFonts w:hint="eastAsia" w:asciiTheme="minorEastAsia" w:hAnsiTheme="minorEastAsia" w:eastAsiaTheme="minorEastAsia" w:cstheme="minorEastAsia"/>
                <w:color w:val="auto"/>
                <w:kern w:val="0"/>
                <w:sz w:val="21"/>
                <w:szCs w:val="21"/>
                <w:highlight w:val="none"/>
              </w:rPr>
              <w:t>年</w:t>
            </w:r>
            <w:r>
              <w:rPr>
                <w:rFonts w:hint="eastAsia" w:asciiTheme="minorEastAsia" w:hAnsiTheme="minorEastAsia" w:eastAsiaTheme="minorEastAsia" w:cstheme="minorEastAsia"/>
                <w:color w:val="auto"/>
                <w:kern w:val="0"/>
                <w:sz w:val="21"/>
                <w:szCs w:val="21"/>
                <w:highlight w:val="none"/>
                <w:lang w:val="en-US"/>
              </w:rPr>
              <w:t>XX</w:t>
            </w:r>
            <w:r>
              <w:rPr>
                <w:rFonts w:hint="eastAsia" w:asciiTheme="minorEastAsia" w:hAnsiTheme="minorEastAsia" w:eastAsiaTheme="minorEastAsia" w:cstheme="minorEastAsia"/>
                <w:color w:val="auto"/>
                <w:kern w:val="0"/>
                <w:sz w:val="21"/>
                <w:szCs w:val="21"/>
                <w:highlight w:val="none"/>
              </w:rPr>
              <w:t>月</w:t>
            </w:r>
            <w:r>
              <w:rPr>
                <w:rFonts w:hint="eastAsia" w:asciiTheme="minorEastAsia" w:hAnsiTheme="minorEastAsia" w:eastAsiaTheme="minorEastAsia" w:cstheme="minorEastAsia"/>
                <w:color w:val="auto"/>
                <w:kern w:val="0"/>
                <w:sz w:val="21"/>
                <w:szCs w:val="21"/>
                <w:highlight w:val="none"/>
                <w:lang w:val="en-US"/>
              </w:rPr>
              <w:t>XX</w:t>
            </w:r>
            <w:r>
              <w:rPr>
                <w:rFonts w:hint="eastAsia" w:asciiTheme="minorEastAsia" w:hAnsiTheme="minorEastAsia" w:eastAsiaTheme="minorEastAsia" w:cstheme="minorEastAsia"/>
                <w:color w:val="auto"/>
                <w:kern w:val="0"/>
                <w:sz w:val="21"/>
                <w:szCs w:val="21"/>
                <w:highlight w:val="none"/>
              </w:rPr>
              <w:t>日</w:t>
            </w:r>
          </w:p>
        </w:tc>
      </w:tr>
    </w:tbl>
    <w:p w14:paraId="18BC21F6">
      <w:pPr>
        <w:spacing w:line="500" w:lineRule="exact"/>
        <w:ind w:firstLine="480" w:firstLineChars="200"/>
        <w:rPr>
          <w:rFonts w:hint="eastAsia" w:ascii="宋体" w:hAnsi="宋体" w:eastAsia="宋体" w:cs="宋体"/>
          <w:color w:val="auto"/>
          <w:sz w:val="24"/>
          <w:highlight w:val="none"/>
        </w:rPr>
      </w:pPr>
    </w:p>
    <w:p w14:paraId="2F32490C">
      <w:pPr>
        <w:spacing w:line="500" w:lineRule="exact"/>
        <w:ind w:firstLine="560" w:firstLineChars="200"/>
        <w:rPr>
          <w:rFonts w:hint="eastAsia" w:ascii="宋体" w:hAnsi="宋体" w:eastAsia="宋体" w:cs="宋体"/>
          <w:color w:val="auto"/>
          <w:highlight w:val="none"/>
        </w:rPr>
        <w:sectPr>
          <w:pgSz w:w="11907" w:h="16840"/>
          <w:pgMar w:top="1134" w:right="1191" w:bottom="1134" w:left="1304" w:header="964" w:footer="992" w:gutter="0"/>
          <w:pgNumType w:fmt="numberInDash"/>
          <w:cols w:space="720" w:num="1"/>
          <w:docGrid w:linePitch="312" w:charSpace="0"/>
        </w:sectPr>
      </w:pPr>
    </w:p>
    <w:p w14:paraId="3C0B7F01">
      <w:pPr>
        <w:pStyle w:val="2"/>
        <w:spacing w:before="0" w:beforeLines="0" w:after="0" w:afterLines="0" w:line="360" w:lineRule="auto"/>
        <w:rPr>
          <w:rFonts w:hint="eastAsia" w:ascii="宋体" w:hAnsi="宋体" w:eastAsia="宋体" w:cs="宋体"/>
          <w:b/>
          <w:color w:val="auto"/>
          <w:sz w:val="36"/>
          <w:szCs w:val="36"/>
          <w:highlight w:val="none"/>
        </w:rPr>
      </w:pPr>
      <w:bookmarkStart w:id="260" w:name="_Toc76387264"/>
      <w:bookmarkStart w:id="261" w:name="_Toc1842825524"/>
      <w:bookmarkStart w:id="262" w:name="_Toc21676"/>
      <w:r>
        <w:rPr>
          <w:rFonts w:hint="eastAsia" w:ascii="宋体" w:hAnsi="宋体" w:eastAsia="宋体" w:cs="宋体"/>
          <w:b/>
          <w:color w:val="auto"/>
          <w:sz w:val="36"/>
          <w:szCs w:val="36"/>
          <w:highlight w:val="none"/>
        </w:rPr>
        <w:t>第七篇  投标文件格式</w:t>
      </w:r>
      <w:bookmarkEnd w:id="260"/>
      <w:bookmarkEnd w:id="261"/>
      <w:bookmarkEnd w:id="262"/>
    </w:p>
    <w:p w14:paraId="7349E89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一、经济文件</w:t>
      </w:r>
    </w:p>
    <w:p w14:paraId="3E90129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（一）开标一览表</w:t>
      </w:r>
    </w:p>
    <w:p w14:paraId="11334682">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二、服务文件</w:t>
      </w:r>
    </w:p>
    <w:p w14:paraId="64A45579">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（一）服务条款差异表</w:t>
      </w:r>
    </w:p>
    <w:p w14:paraId="567BE628">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（二）提供第四篇评分标准中服务部分要求的内容或方案（格式自定）</w:t>
      </w:r>
    </w:p>
    <w:p w14:paraId="769108C3">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三、商务文件</w:t>
      </w:r>
    </w:p>
    <w:p w14:paraId="4DDDFE17">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w:t>
      </w:r>
    </w:p>
    <w:p w14:paraId="2E579F9B">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（二）商务条款差异表</w:t>
      </w:r>
    </w:p>
    <w:p w14:paraId="3A1615A5">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（三）提供第四篇评分标准中商务部分要求的内容或证明材料复印件（格式自定）</w:t>
      </w:r>
    </w:p>
    <w:p w14:paraId="5B1E0E84">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四、其他</w:t>
      </w:r>
    </w:p>
    <w:p w14:paraId="6BC92BC9">
      <w:pPr>
        <w:tabs>
          <w:tab w:val="left" w:pos="6300"/>
        </w:tabs>
        <w:snapToGrid w:val="0"/>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（一）中小企业声明函、监狱企业证明文件、残疾人福利性单位声明函</w:t>
      </w:r>
    </w:p>
    <w:p w14:paraId="13490836">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（二）其他与项目有关的资料（自附）</w:t>
      </w:r>
    </w:p>
    <w:p w14:paraId="0424536D">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五、资格文件</w:t>
      </w:r>
    </w:p>
    <w:p w14:paraId="7A0B182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（一）法人营业执照（副本）或事业单位法人证书（副本）或个体工商户营业执照或有效的自然人身份证明或社会团体法人登记证书复印件</w:t>
      </w:r>
    </w:p>
    <w:p w14:paraId="5D71943C">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（二）法定代表人身份证明书（格式）</w:t>
      </w:r>
    </w:p>
    <w:p w14:paraId="03863FF1">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w:t>
      </w:r>
    </w:p>
    <w:p w14:paraId="13EC9CF1">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）基本资格条件承诺函（格式）</w:t>
      </w:r>
    </w:p>
    <w:p w14:paraId="2601ED8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）特定资格条件证书或证明文件</w:t>
      </w:r>
    </w:p>
    <w:p w14:paraId="2EBE8EC6">
      <w:pPr>
        <w:snapToGrid w:val="0"/>
        <w:spacing w:line="400" w:lineRule="exact"/>
        <w:ind w:firstLine="480" w:firstLineChars="200"/>
        <w:rPr>
          <w:rFonts w:hint="eastAsia" w:ascii="宋体" w:hAnsi="宋体" w:eastAsia="宋体" w:cs="宋体"/>
          <w:color w:val="auto"/>
          <w:sz w:val="24"/>
          <w:szCs w:val="24"/>
          <w:highlight w:val="none"/>
        </w:rPr>
      </w:pPr>
    </w:p>
    <w:p w14:paraId="3F78BA12">
      <w:pPr>
        <w:pStyle w:val="3"/>
        <w:spacing w:line="500" w:lineRule="exact"/>
        <w:ind w:firstLine="560" w:firstLineChars="200"/>
        <w:rPr>
          <w:rFonts w:hint="eastAsia" w:ascii="宋体" w:eastAsia="宋体" w:cs="宋体"/>
          <w:b/>
          <w:color w:val="auto"/>
          <w:szCs w:val="28"/>
          <w:highlight w:val="none"/>
        </w:rPr>
      </w:pPr>
      <w:r>
        <w:rPr>
          <w:rFonts w:hint="eastAsia" w:ascii="宋体" w:eastAsia="宋体" w:cs="宋体"/>
          <w:color w:val="auto"/>
          <w:highlight w:val="none"/>
        </w:rPr>
        <w:br w:type="page"/>
      </w:r>
      <w:bookmarkStart w:id="263" w:name="_Toc23658"/>
      <w:bookmarkStart w:id="264" w:name="_Toc1947020943"/>
      <w:bookmarkStart w:id="265" w:name="_Toc429584884"/>
      <w:bookmarkStart w:id="266" w:name="_Toc76387265"/>
      <w:r>
        <w:rPr>
          <w:rFonts w:hint="eastAsia" w:ascii="宋体" w:eastAsia="宋体" w:cs="宋体"/>
          <w:b/>
          <w:color w:val="auto"/>
          <w:szCs w:val="28"/>
          <w:highlight w:val="none"/>
        </w:rPr>
        <w:t>一、经济文件</w:t>
      </w:r>
      <w:bookmarkEnd w:id="263"/>
      <w:bookmarkEnd w:id="264"/>
      <w:bookmarkEnd w:id="265"/>
      <w:bookmarkEnd w:id="266"/>
    </w:p>
    <w:p w14:paraId="0A72A72E">
      <w:pPr>
        <w:snapToGrid w:val="0"/>
        <w:spacing w:line="500" w:lineRule="exact"/>
        <w:jc w:val="center"/>
        <w:rPr>
          <w:rFonts w:hint="eastAsia" w:ascii="宋体" w:hAnsi="宋体" w:eastAsia="宋体" w:cs="宋体"/>
          <w:color w:val="auto"/>
          <w:szCs w:val="36"/>
          <w:highlight w:val="none"/>
        </w:rPr>
      </w:pPr>
      <w:r>
        <w:rPr>
          <w:rFonts w:hint="eastAsia" w:ascii="宋体" w:hAnsi="宋体" w:eastAsia="宋体" w:cs="宋体"/>
          <w:color w:val="auto"/>
          <w:szCs w:val="36"/>
          <w:highlight w:val="none"/>
        </w:rPr>
        <w:t>（一）开标一览表</w:t>
      </w:r>
    </w:p>
    <w:p w14:paraId="5826E465">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项目号</w:t>
      </w:r>
      <w:r>
        <w:rPr>
          <w:rFonts w:hint="eastAsia" w:ascii="宋体" w:hAnsi="宋体" w:eastAsia="宋体" w:cs="宋体"/>
          <w:color w:val="auto"/>
          <w:sz w:val="24"/>
          <w:szCs w:val="28"/>
          <w:highlight w:val="none"/>
        </w:rPr>
        <w:t>：</w:t>
      </w:r>
    </w:p>
    <w:p w14:paraId="356A36D4">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招标项目名称：</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9"/>
        <w:gridCol w:w="3760"/>
        <w:gridCol w:w="1455"/>
        <w:gridCol w:w="2606"/>
      </w:tblGrid>
      <w:tr w14:paraId="0681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noWrap w:val="0"/>
            <w:vAlign w:val="center"/>
          </w:tcPr>
          <w:p w14:paraId="2683C1CD">
            <w:pPr>
              <w:spacing w:line="500" w:lineRule="exact"/>
              <w:jc w:val="center"/>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投标人名称</w:t>
            </w:r>
          </w:p>
        </w:tc>
        <w:tc>
          <w:tcPr>
            <w:tcW w:w="7840" w:type="dxa"/>
            <w:gridSpan w:val="4"/>
            <w:noWrap w:val="0"/>
            <w:vAlign w:val="center"/>
          </w:tcPr>
          <w:p w14:paraId="0C3F135B">
            <w:pPr>
              <w:spacing w:line="500" w:lineRule="exact"/>
              <w:jc w:val="center"/>
              <w:rPr>
                <w:rFonts w:hint="eastAsia" w:ascii="宋体" w:hAnsi="宋体" w:eastAsia="宋体" w:cs="宋体"/>
                <w:color w:val="auto"/>
                <w:sz w:val="21"/>
                <w:szCs w:val="28"/>
                <w:highlight w:val="none"/>
              </w:rPr>
            </w:pPr>
          </w:p>
        </w:tc>
      </w:tr>
      <w:tr w14:paraId="1F84F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807" w:type="dxa"/>
            <w:gridSpan w:val="2"/>
            <w:noWrap w:val="0"/>
            <w:vAlign w:val="center"/>
          </w:tcPr>
          <w:p w14:paraId="1968C6DF">
            <w:pPr>
              <w:spacing w:line="500" w:lineRule="exact"/>
              <w:jc w:val="center"/>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lang w:eastAsia="zh-CN"/>
              </w:rPr>
              <w:t>项目</w:t>
            </w:r>
            <w:r>
              <w:rPr>
                <w:rFonts w:hint="eastAsia" w:ascii="宋体" w:hAnsi="宋体" w:eastAsia="宋体" w:cs="宋体"/>
                <w:color w:val="auto"/>
                <w:sz w:val="21"/>
                <w:szCs w:val="28"/>
                <w:highlight w:val="none"/>
              </w:rPr>
              <w:t>名称</w:t>
            </w:r>
          </w:p>
        </w:tc>
        <w:tc>
          <w:tcPr>
            <w:tcW w:w="3760" w:type="dxa"/>
            <w:noWrap w:val="0"/>
            <w:vAlign w:val="center"/>
          </w:tcPr>
          <w:p w14:paraId="0AC9A8B5">
            <w:pPr>
              <w:spacing w:line="500" w:lineRule="exact"/>
              <w:jc w:val="center"/>
              <w:rPr>
                <w:rFonts w:hint="eastAsia" w:ascii="宋体" w:hAnsi="宋体" w:eastAsia="宋体" w:cs="宋体"/>
                <w:color w:val="auto"/>
                <w:sz w:val="21"/>
                <w:szCs w:val="28"/>
                <w:highlight w:val="none"/>
                <w:lang w:eastAsia="zh-CN"/>
              </w:rPr>
            </w:pPr>
            <w:r>
              <w:rPr>
                <w:rFonts w:hint="eastAsia" w:ascii="宋体" w:hAnsi="宋体" w:cs="宋体"/>
                <w:color w:val="auto"/>
                <w:sz w:val="21"/>
                <w:szCs w:val="28"/>
                <w:highlight w:val="none"/>
                <w:lang w:eastAsia="zh-CN"/>
              </w:rPr>
              <w:t>报价名称</w:t>
            </w:r>
          </w:p>
        </w:tc>
        <w:tc>
          <w:tcPr>
            <w:tcW w:w="1455" w:type="dxa"/>
            <w:noWrap w:val="0"/>
            <w:vAlign w:val="center"/>
          </w:tcPr>
          <w:p w14:paraId="5E90C015">
            <w:pPr>
              <w:spacing w:line="500" w:lineRule="exact"/>
              <w:jc w:val="center"/>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rPr>
              <w:t>数量</w:t>
            </w:r>
          </w:p>
        </w:tc>
        <w:tc>
          <w:tcPr>
            <w:tcW w:w="2606" w:type="dxa"/>
            <w:noWrap w:val="0"/>
            <w:vAlign w:val="center"/>
          </w:tcPr>
          <w:p w14:paraId="0BD235D2">
            <w:pPr>
              <w:spacing w:line="500" w:lineRule="exact"/>
              <w:jc w:val="center"/>
              <w:rPr>
                <w:rFonts w:hint="eastAsia" w:ascii="宋体" w:hAnsi="宋体" w:eastAsia="宋体" w:cs="宋体"/>
                <w:color w:val="auto"/>
                <w:sz w:val="21"/>
                <w:szCs w:val="28"/>
                <w:highlight w:val="none"/>
              </w:rPr>
            </w:pPr>
            <w:r>
              <w:rPr>
                <w:rFonts w:hint="eastAsia" w:ascii="宋体" w:hAnsi="宋体" w:cs="宋体"/>
                <w:color w:val="auto"/>
                <w:sz w:val="21"/>
                <w:szCs w:val="28"/>
                <w:highlight w:val="none"/>
              </w:rPr>
              <w:t>投标报价（</w:t>
            </w:r>
            <w:r>
              <w:rPr>
                <w:rFonts w:hint="eastAsia" w:ascii="宋体" w:hAnsi="宋体" w:cs="宋体"/>
                <w:color w:val="auto"/>
                <w:sz w:val="21"/>
                <w:szCs w:val="28"/>
                <w:highlight w:val="none"/>
                <w:lang w:eastAsia="zh-CN"/>
              </w:rPr>
              <w:t>费率</w:t>
            </w:r>
            <w:r>
              <w:rPr>
                <w:rFonts w:hint="eastAsia" w:ascii="宋体" w:hAnsi="宋体" w:cs="宋体"/>
                <w:color w:val="auto"/>
                <w:sz w:val="21"/>
                <w:szCs w:val="28"/>
                <w:highlight w:val="none"/>
              </w:rPr>
              <w:t>小写）</w:t>
            </w:r>
          </w:p>
        </w:tc>
      </w:tr>
      <w:tr w14:paraId="3A13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807" w:type="dxa"/>
            <w:gridSpan w:val="2"/>
            <w:vMerge w:val="restart"/>
            <w:noWrap w:val="0"/>
            <w:vAlign w:val="center"/>
          </w:tcPr>
          <w:p w14:paraId="7EF580C4">
            <w:pPr>
              <w:spacing w:line="500" w:lineRule="exact"/>
              <w:jc w:val="center"/>
              <w:rPr>
                <w:rFonts w:hint="eastAsia" w:ascii="宋体" w:hAnsi="宋体" w:eastAsia="宋体" w:cs="宋体"/>
                <w:color w:val="auto"/>
                <w:sz w:val="21"/>
                <w:szCs w:val="28"/>
                <w:highlight w:val="none"/>
                <w:lang w:eastAsia="zh-CN"/>
              </w:rPr>
            </w:pPr>
          </w:p>
        </w:tc>
        <w:tc>
          <w:tcPr>
            <w:tcW w:w="3760" w:type="dxa"/>
            <w:noWrap w:val="0"/>
            <w:vAlign w:val="center"/>
          </w:tcPr>
          <w:p w14:paraId="7D509896">
            <w:pPr>
              <w:spacing w:line="300" w:lineRule="exact"/>
              <w:jc w:val="center"/>
              <w:rPr>
                <w:rFonts w:hint="eastAsia" w:ascii="宋体" w:hAnsi="宋体" w:eastAsia="宋体" w:cs="宋体"/>
                <w:color w:val="auto"/>
                <w:sz w:val="21"/>
                <w:szCs w:val="28"/>
                <w:highlight w:val="none"/>
                <w:lang w:eastAsia="zh-CN"/>
              </w:rPr>
            </w:pPr>
            <w:r>
              <w:rPr>
                <w:rFonts w:hint="eastAsia" w:asciiTheme="minorEastAsia" w:hAnsiTheme="minorEastAsia" w:eastAsiaTheme="minorEastAsia" w:cstheme="minorEastAsia"/>
                <w:color w:val="auto"/>
                <w:sz w:val="21"/>
                <w:szCs w:val="21"/>
                <w:highlight w:val="none"/>
                <w:lang w:val="en-US" w:eastAsia="zh-CN"/>
              </w:rPr>
              <w:t>“成都市发展和改革委员会官方网站”费率</w:t>
            </w:r>
          </w:p>
        </w:tc>
        <w:tc>
          <w:tcPr>
            <w:tcW w:w="1455" w:type="dxa"/>
            <w:noWrap w:val="0"/>
            <w:vAlign w:val="center"/>
          </w:tcPr>
          <w:p w14:paraId="5E6D4EE8">
            <w:pPr>
              <w:spacing w:line="500" w:lineRule="exact"/>
              <w:jc w:val="center"/>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lang w:val="en-US" w:eastAsia="zh-CN"/>
              </w:rPr>
              <w:t>1项</w:t>
            </w:r>
          </w:p>
        </w:tc>
        <w:tc>
          <w:tcPr>
            <w:tcW w:w="2606" w:type="dxa"/>
            <w:noWrap w:val="0"/>
            <w:vAlign w:val="center"/>
          </w:tcPr>
          <w:p w14:paraId="05B01FA0">
            <w:pPr>
              <w:spacing w:line="500" w:lineRule="exact"/>
              <w:jc w:val="center"/>
              <w:rPr>
                <w:rFonts w:hint="eastAsia" w:ascii="宋体" w:hAnsi="宋体" w:cs="宋体"/>
                <w:color w:val="auto"/>
                <w:sz w:val="21"/>
                <w:szCs w:val="28"/>
                <w:highlight w:val="none"/>
              </w:rPr>
            </w:pPr>
          </w:p>
        </w:tc>
      </w:tr>
      <w:tr w14:paraId="134F3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807" w:type="dxa"/>
            <w:gridSpan w:val="2"/>
            <w:vMerge w:val="continue"/>
            <w:noWrap w:val="0"/>
            <w:vAlign w:val="center"/>
          </w:tcPr>
          <w:p w14:paraId="739295BE">
            <w:pPr>
              <w:spacing w:line="500" w:lineRule="exact"/>
              <w:jc w:val="center"/>
              <w:rPr>
                <w:rFonts w:hint="eastAsia" w:ascii="宋体" w:hAnsi="宋体" w:eastAsia="宋体" w:cs="宋体"/>
                <w:color w:val="auto"/>
                <w:sz w:val="21"/>
                <w:szCs w:val="28"/>
                <w:highlight w:val="none"/>
                <w:lang w:eastAsia="zh-CN"/>
              </w:rPr>
            </w:pPr>
          </w:p>
        </w:tc>
        <w:tc>
          <w:tcPr>
            <w:tcW w:w="3760" w:type="dxa"/>
            <w:noWrap w:val="0"/>
            <w:vAlign w:val="center"/>
          </w:tcPr>
          <w:p w14:paraId="0ABFF75D">
            <w:pPr>
              <w:spacing w:line="300" w:lineRule="exact"/>
              <w:jc w:val="center"/>
              <w:rPr>
                <w:rFonts w:hint="eastAsia" w:ascii="宋体" w:hAnsi="宋体" w:eastAsia="宋体" w:cs="宋体"/>
                <w:color w:val="auto"/>
                <w:sz w:val="21"/>
                <w:szCs w:val="28"/>
                <w:highlight w:val="none"/>
                <w:lang w:eastAsia="zh-CN"/>
              </w:rPr>
            </w:pPr>
            <w:r>
              <w:rPr>
                <w:rFonts w:hint="eastAsia" w:asciiTheme="minorEastAsia" w:hAnsiTheme="minorEastAsia" w:eastAsiaTheme="minorEastAsia" w:cstheme="minorEastAsia"/>
                <w:color w:val="auto"/>
                <w:sz w:val="21"/>
                <w:szCs w:val="21"/>
                <w:highlight w:val="none"/>
                <w:lang w:val="en-US" w:eastAsia="zh-CN"/>
              </w:rPr>
              <w:t>在采购单位周边（成都市金堂县淮口镇）菜市场考察的零售价格费率</w:t>
            </w:r>
          </w:p>
        </w:tc>
        <w:tc>
          <w:tcPr>
            <w:tcW w:w="1455" w:type="dxa"/>
            <w:noWrap w:val="0"/>
            <w:vAlign w:val="center"/>
          </w:tcPr>
          <w:p w14:paraId="41787D94">
            <w:pPr>
              <w:spacing w:line="500" w:lineRule="exact"/>
              <w:jc w:val="center"/>
              <w:rPr>
                <w:rFonts w:hint="eastAsia" w:ascii="宋体" w:hAnsi="宋体" w:eastAsia="宋体" w:cs="宋体"/>
                <w:color w:val="auto"/>
                <w:sz w:val="21"/>
                <w:szCs w:val="28"/>
                <w:highlight w:val="none"/>
              </w:rPr>
            </w:pPr>
            <w:r>
              <w:rPr>
                <w:rFonts w:hint="eastAsia" w:ascii="宋体" w:hAnsi="宋体" w:eastAsia="宋体" w:cs="宋体"/>
                <w:color w:val="auto"/>
                <w:sz w:val="21"/>
                <w:szCs w:val="28"/>
                <w:highlight w:val="none"/>
                <w:lang w:val="en-US" w:eastAsia="zh-CN"/>
              </w:rPr>
              <w:t>1项</w:t>
            </w:r>
          </w:p>
        </w:tc>
        <w:tc>
          <w:tcPr>
            <w:tcW w:w="2606" w:type="dxa"/>
            <w:noWrap w:val="0"/>
            <w:vAlign w:val="center"/>
          </w:tcPr>
          <w:p w14:paraId="6C70FCE9">
            <w:pPr>
              <w:spacing w:line="500" w:lineRule="exact"/>
              <w:jc w:val="center"/>
              <w:rPr>
                <w:rFonts w:hint="eastAsia" w:ascii="宋体" w:hAnsi="宋体" w:cs="宋体"/>
                <w:color w:val="auto"/>
                <w:sz w:val="21"/>
                <w:szCs w:val="28"/>
                <w:highlight w:val="none"/>
              </w:rPr>
            </w:pPr>
          </w:p>
        </w:tc>
      </w:tr>
      <w:tr w14:paraId="3C24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5"/>
            <w:tcBorders>
              <w:bottom w:val="single" w:color="auto" w:sz="4" w:space="0"/>
            </w:tcBorders>
            <w:noWrap w:val="0"/>
            <w:vAlign w:val="center"/>
          </w:tcPr>
          <w:p w14:paraId="5C5503D2">
            <w:pPr>
              <w:spacing w:line="560" w:lineRule="exact"/>
              <w:rPr>
                <w:rFonts w:hint="eastAsia" w:ascii="宋体" w:hAnsi="宋体" w:cs="宋体"/>
                <w:color w:val="auto"/>
                <w:sz w:val="18"/>
                <w:szCs w:val="22"/>
                <w:highlight w:val="none"/>
              </w:rPr>
            </w:pPr>
            <w:r>
              <w:rPr>
                <w:rFonts w:hint="eastAsia" w:ascii="宋体" w:hAnsi="宋体" w:cs="宋体"/>
                <w:color w:val="auto"/>
                <w:sz w:val="18"/>
                <w:szCs w:val="22"/>
                <w:highlight w:val="none"/>
              </w:rPr>
              <w:t>投标报价（</w:t>
            </w:r>
            <w:r>
              <w:rPr>
                <w:rFonts w:hint="eastAsia" w:asciiTheme="minorEastAsia" w:hAnsiTheme="minorEastAsia" w:eastAsiaTheme="minorEastAsia" w:cstheme="minorEastAsia"/>
                <w:color w:val="auto"/>
                <w:sz w:val="18"/>
                <w:szCs w:val="18"/>
                <w:highlight w:val="none"/>
                <w:lang w:val="en-US" w:eastAsia="zh-CN"/>
              </w:rPr>
              <w:t>“成都市发展和改革委员会官方网站”费率</w:t>
            </w:r>
            <w:r>
              <w:rPr>
                <w:rFonts w:hint="eastAsia" w:ascii="宋体" w:hAnsi="宋体" w:cs="宋体"/>
                <w:color w:val="auto"/>
                <w:sz w:val="18"/>
                <w:szCs w:val="22"/>
                <w:highlight w:val="none"/>
              </w:rPr>
              <w:t xml:space="preserve">大写）： </w:t>
            </w:r>
          </w:p>
          <w:p w14:paraId="5231EED9">
            <w:pPr>
              <w:spacing w:line="560" w:lineRule="exact"/>
              <w:rPr>
                <w:rFonts w:hint="eastAsia" w:ascii="宋体" w:hAnsi="宋体" w:eastAsia="宋体" w:cs="宋体"/>
                <w:color w:val="auto"/>
                <w:sz w:val="21"/>
                <w:szCs w:val="28"/>
                <w:highlight w:val="none"/>
              </w:rPr>
            </w:pPr>
            <w:r>
              <w:rPr>
                <w:rFonts w:hint="eastAsia" w:ascii="宋体" w:hAnsi="宋体" w:cs="宋体"/>
                <w:color w:val="auto"/>
                <w:sz w:val="18"/>
                <w:szCs w:val="22"/>
                <w:highlight w:val="none"/>
              </w:rPr>
              <w:t>投标报价（</w:t>
            </w:r>
            <w:r>
              <w:rPr>
                <w:rFonts w:hint="eastAsia" w:asciiTheme="minorEastAsia" w:hAnsiTheme="minorEastAsia" w:eastAsiaTheme="minorEastAsia" w:cstheme="minorEastAsia"/>
                <w:color w:val="auto"/>
                <w:sz w:val="18"/>
                <w:szCs w:val="18"/>
                <w:highlight w:val="none"/>
                <w:lang w:val="en-US" w:eastAsia="zh-CN"/>
              </w:rPr>
              <w:t>“在采购单位周边（成都市金堂县淮口镇）菜市场考察的零售价格费率费率</w:t>
            </w:r>
            <w:r>
              <w:rPr>
                <w:rFonts w:hint="eastAsia" w:ascii="宋体" w:hAnsi="宋体" w:cs="宋体"/>
                <w:color w:val="auto"/>
                <w:sz w:val="18"/>
                <w:szCs w:val="22"/>
                <w:highlight w:val="none"/>
              </w:rPr>
              <w:t>大写）：</w:t>
            </w:r>
            <w:r>
              <w:rPr>
                <w:rFonts w:hint="eastAsia" w:ascii="宋体" w:hAnsi="宋体" w:eastAsia="宋体" w:cs="宋体"/>
                <w:color w:val="auto"/>
                <w:sz w:val="21"/>
                <w:szCs w:val="28"/>
                <w:highlight w:val="none"/>
              </w:rPr>
              <w:t xml:space="preserve">                      </w:t>
            </w:r>
          </w:p>
        </w:tc>
      </w:tr>
      <w:tr w14:paraId="4E24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5" w:hRule="atLeast"/>
        </w:trPr>
        <w:tc>
          <w:tcPr>
            <w:tcW w:w="9628" w:type="dxa"/>
            <w:gridSpan w:val="5"/>
            <w:noWrap w:val="0"/>
            <w:vAlign w:val="center"/>
          </w:tcPr>
          <w:p w14:paraId="5E6E86EE">
            <w:pPr>
              <w:pStyle w:val="32"/>
              <w:spacing w:line="500" w:lineRule="exact"/>
              <w:rPr>
                <w:rFonts w:hint="default" w:ascii="宋体" w:hAnsi="宋体" w:eastAsia="宋体" w:cs="宋体"/>
                <w:color w:val="auto"/>
                <w:sz w:val="21"/>
                <w:szCs w:val="28"/>
                <w:highlight w:val="none"/>
                <w:lang w:val="en-US" w:eastAsia="zh-CN"/>
              </w:rPr>
            </w:pPr>
            <w:r>
              <w:rPr>
                <w:rFonts w:hint="eastAsia" w:ascii="宋体" w:hAnsi="宋体" w:eastAsia="宋体" w:cs="宋体"/>
                <w:color w:val="auto"/>
                <w:sz w:val="21"/>
                <w:szCs w:val="28"/>
                <w:highlight w:val="none"/>
              </w:rPr>
              <w:t>备注：</w:t>
            </w:r>
            <w:r>
              <w:rPr>
                <w:rFonts w:hint="eastAsia" w:ascii="宋体" w:hAnsi="宋体" w:eastAsia="宋体" w:cs="宋体"/>
                <w:color w:val="auto"/>
                <w:sz w:val="21"/>
                <w:szCs w:val="28"/>
                <w:highlight w:val="none"/>
                <w:lang w:eastAsia="zh-CN"/>
              </w:rPr>
              <w:t>服务期：</w:t>
            </w:r>
            <w:r>
              <w:rPr>
                <w:rFonts w:hint="eastAsia" w:ascii="宋体" w:hAnsi="宋体" w:cs="宋体"/>
                <w:color w:val="auto"/>
                <w:sz w:val="21"/>
                <w:szCs w:val="28"/>
                <w:highlight w:val="none"/>
                <w:lang w:val="en-US" w:eastAsia="zh-CN"/>
              </w:rPr>
              <w:t>8个月</w:t>
            </w:r>
          </w:p>
        </w:tc>
      </w:tr>
      <w:tr w14:paraId="4EEA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9628" w:type="dxa"/>
            <w:gridSpan w:val="5"/>
            <w:noWrap w:val="0"/>
            <w:vAlign w:val="center"/>
          </w:tcPr>
          <w:p w14:paraId="48609472">
            <w:pPr>
              <w:pStyle w:val="32"/>
              <w:spacing w:line="500" w:lineRule="exact"/>
              <w:rPr>
                <w:rFonts w:hint="eastAsia" w:ascii="宋体" w:hAnsi="宋体" w:eastAsia="宋体" w:cs="宋体"/>
                <w:color w:val="auto"/>
                <w:sz w:val="21"/>
                <w:szCs w:val="28"/>
                <w:highlight w:val="none"/>
              </w:rPr>
            </w:pPr>
            <w:r>
              <w:rPr>
                <w:rFonts w:hint="eastAsia" w:ascii="宋体" w:hAnsi="宋体" w:cs="宋体"/>
                <w:color w:val="auto"/>
                <w:sz w:val="21"/>
                <w:szCs w:val="28"/>
                <w:highlight w:val="none"/>
              </w:rPr>
              <w:t>例如：投标报价</w:t>
            </w:r>
            <w:r>
              <w:rPr>
                <w:rFonts w:hint="eastAsia" w:ascii="宋体" w:hAnsi="宋体" w:cs="宋体"/>
                <w:color w:val="auto"/>
                <w:sz w:val="21"/>
                <w:szCs w:val="28"/>
                <w:highlight w:val="none"/>
                <w:lang w:eastAsia="zh-CN"/>
              </w:rPr>
              <w:t>费率</w:t>
            </w:r>
            <w:r>
              <w:rPr>
                <w:rFonts w:hint="eastAsia" w:ascii="宋体" w:hAnsi="宋体" w:cs="宋体"/>
                <w:color w:val="auto"/>
                <w:sz w:val="21"/>
                <w:szCs w:val="28"/>
                <w:highlight w:val="none"/>
              </w:rPr>
              <w:t>小写为：</w:t>
            </w:r>
            <w:r>
              <w:rPr>
                <w:rFonts w:hint="eastAsia" w:ascii="宋体" w:hAnsi="宋体" w:cs="宋体"/>
                <w:color w:val="auto"/>
                <w:sz w:val="21"/>
                <w:szCs w:val="28"/>
                <w:highlight w:val="none"/>
                <w:lang w:val="en-US" w:eastAsia="zh-CN"/>
              </w:rPr>
              <w:t>80%</w:t>
            </w:r>
            <w:r>
              <w:rPr>
                <w:rFonts w:hint="eastAsia" w:ascii="宋体" w:hAnsi="宋体" w:cs="宋体"/>
                <w:color w:val="auto"/>
                <w:sz w:val="21"/>
                <w:szCs w:val="28"/>
                <w:highlight w:val="none"/>
              </w:rPr>
              <w:t>，投标报价大写为：</w:t>
            </w:r>
            <w:r>
              <w:rPr>
                <w:rFonts w:hint="eastAsia" w:ascii="宋体" w:hAnsi="宋体" w:cs="宋体"/>
                <w:color w:val="auto"/>
                <w:sz w:val="21"/>
                <w:szCs w:val="28"/>
                <w:highlight w:val="none"/>
                <w:lang w:eastAsia="zh-CN"/>
              </w:rPr>
              <w:t>百分之捌拾</w:t>
            </w:r>
            <w:r>
              <w:rPr>
                <w:rFonts w:hint="eastAsia" w:ascii="宋体" w:hAnsi="宋体" w:cs="宋体"/>
                <w:color w:val="auto"/>
                <w:sz w:val="21"/>
                <w:szCs w:val="28"/>
                <w:highlight w:val="none"/>
              </w:rPr>
              <w:t>。</w:t>
            </w:r>
          </w:p>
        </w:tc>
      </w:tr>
    </w:tbl>
    <w:p w14:paraId="4995F3A6">
      <w:pPr>
        <w:pStyle w:val="32"/>
        <w:spacing w:line="500" w:lineRule="exact"/>
        <w:rPr>
          <w:rFonts w:hint="eastAsia" w:ascii="宋体" w:hAnsi="宋体" w:eastAsia="宋体" w:cs="宋体"/>
          <w:color w:val="auto"/>
          <w:sz w:val="24"/>
          <w:szCs w:val="28"/>
          <w:highlight w:val="none"/>
        </w:rPr>
      </w:pPr>
    </w:p>
    <w:p w14:paraId="45B215DF">
      <w:pPr>
        <w:rPr>
          <w:rFonts w:hint="eastAsia" w:ascii="宋体" w:hAnsi="宋体" w:eastAsia="宋体" w:cs="宋体"/>
          <w:color w:val="auto"/>
          <w:highlight w:val="none"/>
        </w:rPr>
      </w:pPr>
    </w:p>
    <w:p w14:paraId="4F171834">
      <w:pPr>
        <w:spacing w:line="500" w:lineRule="exact"/>
        <w:rPr>
          <w:rFonts w:hint="eastAsia" w:ascii="宋体" w:hAnsi="宋体" w:eastAsia="宋体" w:cs="宋体"/>
          <w:color w:val="auto"/>
          <w:sz w:val="24"/>
          <w:szCs w:val="28"/>
          <w:highlight w:val="none"/>
        </w:rPr>
      </w:pPr>
    </w:p>
    <w:p w14:paraId="69BBC501">
      <w:pPr>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                     法定代表人（或法定代表人授权代表）或自然人：</w:t>
      </w:r>
    </w:p>
    <w:p w14:paraId="1201DF68">
      <w:pPr>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（投标人公章）                               （签署或盖章）</w:t>
      </w:r>
    </w:p>
    <w:p w14:paraId="00A9A42F">
      <w:pPr>
        <w:spacing w:line="500" w:lineRule="exact"/>
        <w:rPr>
          <w:rFonts w:hint="eastAsia" w:ascii="宋体" w:hAnsi="宋体" w:eastAsia="宋体" w:cs="宋体"/>
          <w:color w:val="auto"/>
          <w:sz w:val="24"/>
          <w:szCs w:val="28"/>
          <w:highlight w:val="none"/>
        </w:rPr>
      </w:pPr>
    </w:p>
    <w:p w14:paraId="62025894">
      <w:pPr>
        <w:spacing w:line="500" w:lineRule="exact"/>
        <w:rPr>
          <w:rFonts w:hint="eastAsia" w:ascii="宋体" w:hAnsi="宋体" w:eastAsia="宋体" w:cs="宋体"/>
          <w:color w:val="auto"/>
          <w:sz w:val="24"/>
          <w:szCs w:val="28"/>
          <w:highlight w:val="none"/>
        </w:rPr>
      </w:pPr>
    </w:p>
    <w:p w14:paraId="4E633544">
      <w:pPr>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年     月     日</w:t>
      </w:r>
    </w:p>
    <w:p w14:paraId="0F3602B8">
      <w:pPr>
        <w:snapToGrid w:val="0"/>
        <w:spacing w:line="500" w:lineRule="exact"/>
        <w:rPr>
          <w:rFonts w:hint="eastAsia" w:ascii="宋体" w:hAnsi="宋体" w:eastAsia="宋体" w:cs="宋体"/>
          <w:color w:val="auto"/>
          <w:sz w:val="24"/>
          <w:szCs w:val="28"/>
          <w:highlight w:val="none"/>
        </w:rPr>
      </w:pPr>
    </w:p>
    <w:p w14:paraId="3811FD70">
      <w:pPr>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说明：</w:t>
      </w:r>
    </w:p>
    <w:p w14:paraId="451485A4">
      <w:pPr>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1.开标一览表按格式填列；</w:t>
      </w:r>
    </w:p>
    <w:p w14:paraId="5C019B88">
      <w:pPr>
        <w:snapToGrid w:val="0"/>
        <w:spacing w:line="500" w:lineRule="exact"/>
        <w:ind w:firstLine="480" w:firstLineChars="200"/>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2.开标一览表务必填写清楚，准确无误</w:t>
      </w:r>
      <w:r>
        <w:rPr>
          <w:rFonts w:hint="eastAsia" w:ascii="宋体" w:hAnsi="宋体" w:eastAsia="宋体" w:cs="宋体"/>
          <w:color w:val="auto"/>
          <w:sz w:val="24"/>
          <w:szCs w:val="28"/>
          <w:highlight w:val="none"/>
          <w:lang w:eastAsia="zh-CN"/>
        </w:rPr>
        <w:t>。</w:t>
      </w:r>
    </w:p>
    <w:p w14:paraId="111CC3F6">
      <w:pPr>
        <w:pStyle w:val="3"/>
        <w:spacing w:line="500" w:lineRule="exact"/>
        <w:ind w:firstLine="560" w:firstLineChars="200"/>
        <w:rPr>
          <w:rFonts w:hint="eastAsia" w:ascii="宋体" w:eastAsia="宋体" w:cs="宋体"/>
          <w:b/>
          <w:color w:val="auto"/>
          <w:szCs w:val="28"/>
          <w:highlight w:val="none"/>
        </w:rPr>
      </w:pPr>
      <w:r>
        <w:rPr>
          <w:rFonts w:hint="eastAsia" w:ascii="宋体" w:hAnsi="宋体" w:eastAsia="宋体" w:cs="宋体"/>
          <w:color w:val="auto"/>
          <w:szCs w:val="28"/>
          <w:highlight w:val="none"/>
        </w:rPr>
        <w:br w:type="page"/>
      </w:r>
      <w:bookmarkStart w:id="267" w:name="_Toc28221"/>
      <w:bookmarkStart w:id="268" w:name="_Toc493178790"/>
      <w:bookmarkStart w:id="269" w:name="_Toc76387266"/>
      <w:bookmarkStart w:id="270" w:name="_Toc1804622515"/>
      <w:r>
        <w:rPr>
          <w:rFonts w:hint="eastAsia" w:ascii="宋体" w:eastAsia="宋体" w:cs="宋体"/>
          <w:b/>
          <w:color w:val="auto"/>
          <w:szCs w:val="28"/>
          <w:highlight w:val="none"/>
        </w:rPr>
        <w:t>二、服务文件</w:t>
      </w:r>
      <w:bookmarkEnd w:id="267"/>
      <w:bookmarkEnd w:id="268"/>
      <w:bookmarkEnd w:id="269"/>
      <w:bookmarkEnd w:id="270"/>
    </w:p>
    <w:p w14:paraId="0BA334B1">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（一）服务条款差异表</w:t>
      </w:r>
    </w:p>
    <w:p w14:paraId="4FF6C815">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项目号</w:t>
      </w:r>
      <w:r>
        <w:rPr>
          <w:rFonts w:hint="eastAsia" w:ascii="宋体" w:hAnsi="宋体" w:eastAsia="宋体" w:cs="宋体"/>
          <w:color w:val="auto"/>
          <w:sz w:val="24"/>
          <w:szCs w:val="28"/>
          <w:highlight w:val="none"/>
        </w:rPr>
        <w:t>：</w:t>
      </w:r>
    </w:p>
    <w:p w14:paraId="346F685D">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招标项目名称：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446C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noWrap w:val="0"/>
            <w:vAlign w:val="center"/>
          </w:tcPr>
          <w:p w14:paraId="51483721">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42" w:type="pct"/>
            <w:noWrap w:val="0"/>
            <w:vAlign w:val="center"/>
          </w:tcPr>
          <w:p w14:paraId="1B95E3D9">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招标要求</w:t>
            </w:r>
          </w:p>
        </w:tc>
        <w:tc>
          <w:tcPr>
            <w:tcW w:w="1600" w:type="pct"/>
            <w:noWrap w:val="0"/>
            <w:vAlign w:val="center"/>
          </w:tcPr>
          <w:p w14:paraId="724CFC23">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投标应答</w:t>
            </w:r>
          </w:p>
        </w:tc>
        <w:tc>
          <w:tcPr>
            <w:tcW w:w="1199" w:type="pct"/>
            <w:noWrap w:val="0"/>
            <w:vAlign w:val="center"/>
          </w:tcPr>
          <w:p w14:paraId="29DC7DAA">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差异说明</w:t>
            </w:r>
          </w:p>
        </w:tc>
      </w:tr>
      <w:tr w14:paraId="4EB4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0E9E0B8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5CF6CB6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1BEFA236">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提醒：请注明具体内容以及投标文件中具体内容的位置（页码）</w:t>
            </w:r>
          </w:p>
        </w:tc>
        <w:tc>
          <w:tcPr>
            <w:tcW w:w="1199" w:type="pct"/>
            <w:noWrap w:val="0"/>
            <w:vAlign w:val="center"/>
          </w:tcPr>
          <w:p w14:paraId="0D547AE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49C62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333C5D7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6D63FD5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22BFB53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0EB6624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29BD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733F87E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364D6E97">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685CE57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403C1D2D">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6BC5B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1DCFE1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190F1B9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0AE80F2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0631D5F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1D8E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1F19202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321C301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77DAAD8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48B5A53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0820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03EEADF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584BD35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3948D2CB">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5D557D79">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272D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395DB4AE">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4440D63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1546E412">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56470339">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4812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173B283C">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2B04419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5AAE801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2A1B905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1271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44D2142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30D3236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54D73AB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6E2085B9">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2897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770C0C7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578E9AD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2D849FF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077C2AC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bl>
    <w:p w14:paraId="43D9B92C">
      <w:pPr>
        <w:tabs>
          <w:tab w:val="left" w:pos="6300"/>
        </w:tabs>
        <w:snapToGrid w:val="0"/>
        <w:spacing w:line="500" w:lineRule="exact"/>
        <w:ind w:firstLine="570"/>
        <w:rPr>
          <w:rFonts w:hint="eastAsia" w:ascii="宋体" w:hAnsi="宋体" w:eastAsia="宋体" w:cs="宋体"/>
          <w:color w:val="auto"/>
          <w:sz w:val="24"/>
          <w:szCs w:val="28"/>
          <w:highlight w:val="none"/>
        </w:rPr>
      </w:pPr>
    </w:p>
    <w:p w14:paraId="0F05B72E">
      <w:pPr>
        <w:tabs>
          <w:tab w:val="left" w:pos="6300"/>
        </w:tabs>
        <w:snapToGrid w:val="0"/>
        <w:spacing w:line="500" w:lineRule="exact"/>
        <w:ind w:firstLine="570"/>
        <w:rPr>
          <w:rFonts w:hint="eastAsia" w:ascii="宋体" w:hAnsi="宋体" w:eastAsia="宋体" w:cs="宋体"/>
          <w:color w:val="auto"/>
          <w:sz w:val="24"/>
          <w:szCs w:val="28"/>
          <w:highlight w:val="none"/>
        </w:rPr>
      </w:pPr>
    </w:p>
    <w:p w14:paraId="36A084D4">
      <w:pPr>
        <w:tabs>
          <w:tab w:val="left" w:pos="6300"/>
        </w:tabs>
        <w:snapToGrid w:val="0"/>
        <w:spacing w:line="500" w:lineRule="exact"/>
        <w:ind w:firstLine="570"/>
        <w:rPr>
          <w:rFonts w:hint="eastAsia" w:ascii="宋体" w:hAnsi="宋体" w:eastAsia="宋体" w:cs="宋体"/>
          <w:color w:val="auto"/>
          <w:sz w:val="24"/>
          <w:szCs w:val="28"/>
          <w:highlight w:val="none"/>
        </w:rPr>
      </w:pPr>
    </w:p>
    <w:p w14:paraId="0F0BE829">
      <w:pPr>
        <w:tabs>
          <w:tab w:val="left" w:pos="6300"/>
        </w:tabs>
        <w:snapToGrid w:val="0"/>
        <w:spacing w:line="500" w:lineRule="exact"/>
        <w:ind w:firstLine="570"/>
        <w:rPr>
          <w:rFonts w:hint="eastAsia" w:ascii="宋体" w:hAnsi="宋体" w:eastAsia="宋体" w:cs="宋体"/>
          <w:color w:val="auto"/>
          <w:sz w:val="24"/>
          <w:szCs w:val="28"/>
          <w:highlight w:val="none"/>
        </w:rPr>
      </w:pPr>
    </w:p>
    <w:p w14:paraId="0FABE289">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6257F52D">
      <w:pPr>
        <w:tabs>
          <w:tab w:val="left" w:pos="6300"/>
        </w:tabs>
        <w:snapToGrid w:val="0"/>
        <w:spacing w:line="500" w:lineRule="exact"/>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1.本表即为对本项目“第二篇  项目服务需求”中所列条款进行比较和响应</w:t>
      </w:r>
      <w:r>
        <w:rPr>
          <w:rFonts w:hint="eastAsia" w:ascii="宋体" w:hAnsi="宋体" w:eastAsia="宋体" w:cs="宋体"/>
          <w:color w:val="auto"/>
          <w:sz w:val="24"/>
          <w:szCs w:val="24"/>
          <w:highlight w:val="none"/>
          <w:lang w:eastAsia="zh-CN"/>
        </w:rPr>
        <w:t>（包含二、服务范围、要求及标准的内容）</w:t>
      </w:r>
      <w:r>
        <w:rPr>
          <w:rFonts w:hint="eastAsia" w:ascii="宋体" w:hAnsi="宋体" w:eastAsia="宋体" w:cs="宋体"/>
          <w:color w:val="auto"/>
          <w:sz w:val="24"/>
          <w:szCs w:val="24"/>
          <w:highlight w:val="none"/>
        </w:rPr>
        <w:t>；</w:t>
      </w:r>
    </w:p>
    <w:p w14:paraId="5DDE3037">
      <w:pPr>
        <w:tabs>
          <w:tab w:val="left" w:pos="6300"/>
        </w:tabs>
        <w:snapToGrid w:val="0"/>
        <w:spacing w:line="500" w:lineRule="exact"/>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2.本表可扩展。</w:t>
      </w:r>
    </w:p>
    <w:p w14:paraId="4C16DEC3">
      <w:pPr>
        <w:tabs>
          <w:tab w:val="left" w:pos="6300"/>
        </w:tabs>
        <w:snapToGrid w:val="0"/>
        <w:spacing w:line="500" w:lineRule="exact"/>
        <w:ind w:firstLine="57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投标应答栏中应当注明具体内容以及投标文件中具体内容的位置（页码）。</w:t>
      </w:r>
    </w:p>
    <w:p w14:paraId="0A775011">
      <w:pPr>
        <w:tabs>
          <w:tab w:val="left" w:pos="6300"/>
        </w:tabs>
        <w:snapToGrid w:val="0"/>
        <w:spacing w:line="500" w:lineRule="exact"/>
        <w:ind w:firstLine="570"/>
        <w:rPr>
          <w:rFonts w:hint="eastAsia" w:ascii="宋体" w:hAnsi="宋体" w:eastAsia="宋体" w:cs="宋体"/>
          <w:color w:val="auto"/>
          <w:szCs w:val="24"/>
          <w:highlight w:val="none"/>
        </w:rPr>
      </w:pPr>
    </w:p>
    <w:p w14:paraId="41C43923">
      <w:pPr>
        <w:spacing w:line="400" w:lineRule="exact"/>
        <w:ind w:firstLine="560" w:firstLineChars="200"/>
        <w:rPr>
          <w:rFonts w:hint="eastAsia" w:ascii="宋体" w:hAnsi="宋体" w:eastAsia="宋体" w:cs="宋体"/>
          <w:color w:val="auto"/>
          <w:sz w:val="24"/>
          <w:szCs w:val="28"/>
          <w:highlight w:val="none"/>
        </w:rPr>
      </w:pPr>
      <w:r>
        <w:rPr>
          <w:rFonts w:hint="eastAsia" w:ascii="宋体" w:hAnsi="宋体" w:eastAsia="宋体" w:cs="宋体"/>
          <w:color w:val="auto"/>
          <w:szCs w:val="24"/>
          <w:highlight w:val="none"/>
        </w:rPr>
        <w:br w:type="page"/>
      </w:r>
      <w:r>
        <w:rPr>
          <w:rFonts w:hint="eastAsia" w:ascii="宋体" w:hAnsi="宋体" w:eastAsia="宋体" w:cs="宋体"/>
          <w:color w:val="auto"/>
          <w:sz w:val="24"/>
          <w:szCs w:val="28"/>
          <w:highlight w:val="none"/>
        </w:rPr>
        <w:t>（二）提供第四篇评分标准中服务部分要求的内容或方案（格式自定）</w:t>
      </w:r>
    </w:p>
    <w:p w14:paraId="74327466">
      <w:pPr>
        <w:tabs>
          <w:tab w:val="left" w:pos="6300"/>
        </w:tabs>
        <w:snapToGrid w:val="0"/>
        <w:spacing w:line="500" w:lineRule="exact"/>
        <w:ind w:firstLine="570"/>
        <w:rPr>
          <w:rFonts w:hint="eastAsia" w:ascii="宋体" w:hAnsi="宋体" w:eastAsia="宋体" w:cs="宋体"/>
          <w:color w:val="auto"/>
          <w:sz w:val="24"/>
          <w:szCs w:val="24"/>
          <w:highlight w:val="none"/>
        </w:rPr>
      </w:pPr>
    </w:p>
    <w:p w14:paraId="0ED78884">
      <w:pPr>
        <w:snapToGrid w:val="0"/>
        <w:spacing w:line="500" w:lineRule="exact"/>
        <w:ind w:firstLine="480" w:firstLineChars="200"/>
        <w:rPr>
          <w:rFonts w:hint="eastAsia" w:ascii="宋体" w:hAnsi="宋体" w:eastAsia="宋体" w:cs="宋体"/>
          <w:color w:val="auto"/>
          <w:sz w:val="24"/>
          <w:szCs w:val="28"/>
          <w:highlight w:val="none"/>
        </w:rPr>
      </w:pPr>
    </w:p>
    <w:p w14:paraId="5FAEC4B7">
      <w:pPr>
        <w:pStyle w:val="3"/>
        <w:spacing w:line="500" w:lineRule="exact"/>
        <w:ind w:firstLine="562" w:firstLineChars="200"/>
        <w:rPr>
          <w:rFonts w:hint="eastAsia" w:ascii="宋体" w:eastAsia="宋体" w:cs="宋体"/>
          <w:b/>
          <w:color w:val="auto"/>
          <w:szCs w:val="28"/>
          <w:highlight w:val="none"/>
        </w:rPr>
      </w:pPr>
      <w:bookmarkStart w:id="271" w:name="_Toc492721039"/>
      <w:bookmarkStart w:id="272" w:name="_Toc493178791"/>
      <w:r>
        <w:rPr>
          <w:rFonts w:hint="eastAsia" w:ascii="宋体" w:eastAsia="宋体" w:cs="宋体"/>
          <w:b/>
          <w:color w:val="auto"/>
          <w:szCs w:val="28"/>
          <w:highlight w:val="none"/>
        </w:rPr>
        <w:br w:type="page"/>
      </w:r>
      <w:bookmarkStart w:id="273" w:name="_Toc22732"/>
      <w:bookmarkStart w:id="274" w:name="_Toc76387267"/>
      <w:bookmarkStart w:id="275" w:name="_Toc1911254027"/>
      <w:r>
        <w:rPr>
          <w:rFonts w:hint="eastAsia" w:ascii="宋体" w:eastAsia="宋体" w:cs="宋体"/>
          <w:b/>
          <w:color w:val="auto"/>
          <w:szCs w:val="28"/>
          <w:highlight w:val="none"/>
        </w:rPr>
        <w:t>三、商务文件</w:t>
      </w:r>
      <w:bookmarkEnd w:id="271"/>
      <w:bookmarkEnd w:id="272"/>
      <w:bookmarkEnd w:id="273"/>
      <w:bookmarkEnd w:id="274"/>
      <w:bookmarkEnd w:id="275"/>
    </w:p>
    <w:p w14:paraId="2576559A">
      <w:pPr>
        <w:snapToGrid w:val="0"/>
        <w:spacing w:before="120" w:beforeLines="50" w:line="500" w:lineRule="exact"/>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t>（一）投标函（格式）</w:t>
      </w:r>
    </w:p>
    <w:p w14:paraId="2EB15400">
      <w:pPr>
        <w:spacing w:line="500" w:lineRule="exact"/>
        <w:rPr>
          <w:rFonts w:hint="eastAsia" w:ascii="宋体" w:hAnsi="宋体" w:eastAsia="宋体" w:cs="宋体"/>
          <w:color w:val="auto"/>
          <w:sz w:val="24"/>
          <w:szCs w:val="28"/>
          <w:highlight w:val="none"/>
        </w:rPr>
      </w:pPr>
    </w:p>
    <w:p w14:paraId="7B44867B">
      <w:pPr>
        <w:spacing w:line="500" w:lineRule="exact"/>
        <w:ind w:firstLine="480" w:firstLineChars="200"/>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招标项目名称：</w:t>
      </w:r>
      <w:r>
        <w:rPr>
          <w:rFonts w:hint="eastAsia" w:ascii="宋体" w:hAnsi="宋体" w:eastAsia="宋体" w:cs="宋体"/>
          <w:color w:val="auto"/>
          <w:sz w:val="24"/>
          <w:szCs w:val="28"/>
          <w:highlight w:val="none"/>
          <w:u w:val="single"/>
        </w:rPr>
        <w:t xml:space="preserve">                                             </w:t>
      </w:r>
    </w:p>
    <w:p w14:paraId="6E679B29">
      <w:pPr>
        <w:spacing w:line="500" w:lineRule="exact"/>
        <w:rPr>
          <w:rFonts w:hint="eastAsia" w:ascii="宋体" w:hAnsi="宋体" w:eastAsia="宋体" w:cs="宋体"/>
          <w:color w:val="auto"/>
          <w:sz w:val="24"/>
          <w:szCs w:val="28"/>
          <w:highlight w:val="none"/>
        </w:rPr>
      </w:pPr>
    </w:p>
    <w:p w14:paraId="07910992">
      <w:pPr>
        <w:tabs>
          <w:tab w:val="left" w:pos="6300"/>
        </w:tabs>
        <w:snapToGrid w:val="0"/>
        <w:spacing w:line="50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（采购代理机构名称）：</w:t>
      </w:r>
    </w:p>
    <w:p w14:paraId="61B10F7C">
      <w:pPr>
        <w:snapToGrid w:val="0"/>
        <w:spacing w:before="120" w:beforeLines="50"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（投标人名称）系中华人民共和国合法企业，注册地址：</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。我方就参加本次投标有关事项郑重声明如下：</w:t>
      </w:r>
    </w:p>
    <w:p w14:paraId="42F7B0D5">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一、我方完全理解并接受该项目招标文件所有要求。</w:t>
      </w:r>
    </w:p>
    <w:p w14:paraId="0F891C02">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二、我方提交的所有投标文件、资料都是准确和真实的，如有虚假或隐瞒，我方愿意承担一切法律责任。</w:t>
      </w:r>
    </w:p>
    <w:p w14:paraId="2C8F6E20">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三、我方承诺按照招标文件要求，提供招标项目的服务。</w:t>
      </w:r>
    </w:p>
    <w:p w14:paraId="6017085E">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四、我方按招标文件要求提交的投标文件为：</w:t>
      </w:r>
      <w:r>
        <w:rPr>
          <w:rFonts w:hint="eastAsia" w:ascii="宋体" w:hAnsi="宋体" w:cs="宋体"/>
          <w:color w:val="auto"/>
          <w:sz w:val="24"/>
          <w:szCs w:val="28"/>
          <w:highlight w:val="none"/>
        </w:rPr>
        <w:t>电子投标文件</w:t>
      </w:r>
      <w:r>
        <w:rPr>
          <w:rFonts w:hint="eastAsia" w:ascii="宋体" w:hAnsi="宋体" w:cs="宋体"/>
          <w:color w:val="auto"/>
          <w:sz w:val="24"/>
          <w:szCs w:val="28"/>
          <w:highlight w:val="none"/>
          <w:u w:val="single"/>
        </w:rPr>
        <w:t>壹</w:t>
      </w:r>
      <w:r>
        <w:rPr>
          <w:rFonts w:hint="eastAsia" w:ascii="宋体" w:hAnsi="宋体" w:cs="宋体"/>
          <w:color w:val="auto"/>
          <w:sz w:val="24"/>
          <w:szCs w:val="28"/>
          <w:highlight w:val="none"/>
        </w:rPr>
        <w:t>份。</w:t>
      </w:r>
    </w:p>
    <w:p w14:paraId="78DE0E24">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五、我方承诺：</w:t>
      </w:r>
      <w:r>
        <w:rPr>
          <w:rFonts w:hint="eastAsia" w:ascii="宋体" w:hAnsi="宋体" w:cs="宋体"/>
          <w:color w:val="auto"/>
          <w:sz w:val="24"/>
          <w:szCs w:val="28"/>
          <w:highlight w:val="none"/>
        </w:rPr>
        <w:t>本次投标的投标有效期为电子</w:t>
      </w:r>
      <w:r>
        <w:rPr>
          <w:rFonts w:hint="eastAsia" w:ascii="宋体" w:hAnsi="宋体" w:cs="宋体"/>
          <w:color w:val="auto"/>
          <w:sz w:val="24"/>
          <w:highlight w:val="none"/>
        </w:rPr>
        <w:t>投标文件递交截止时间</w:t>
      </w:r>
      <w:r>
        <w:rPr>
          <w:rFonts w:hint="eastAsia" w:ascii="宋体" w:hAnsi="宋体" w:cs="宋体"/>
          <w:color w:val="auto"/>
          <w:sz w:val="24"/>
          <w:szCs w:val="28"/>
          <w:highlight w:val="none"/>
        </w:rPr>
        <w:t>起90天</w:t>
      </w:r>
      <w:r>
        <w:rPr>
          <w:rFonts w:hint="eastAsia" w:ascii="宋体" w:hAnsi="宋体" w:eastAsia="宋体" w:cs="宋体"/>
          <w:color w:val="auto"/>
          <w:sz w:val="24"/>
          <w:szCs w:val="28"/>
          <w:highlight w:val="none"/>
        </w:rPr>
        <w:t>。</w:t>
      </w:r>
    </w:p>
    <w:p w14:paraId="45CA968E">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六、我方投标报价为闭口价。即在投标有效期和合同有效期内，该报价固定不变。</w:t>
      </w:r>
    </w:p>
    <w:p w14:paraId="00671D9E">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七、如果我方中标，我方将履行招标文件中规定的各项要求以及我方投标文件的各项承诺，按《中华人民共和国政府采购法》、《中华人民共和国民法典》及合同约定条款承担我方责任。</w:t>
      </w:r>
    </w:p>
    <w:p w14:paraId="4D847668">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八、我方未</w:t>
      </w:r>
      <w:r>
        <w:rPr>
          <w:rFonts w:hint="eastAsia" w:ascii="宋体" w:hAnsi="宋体" w:eastAsia="宋体" w:cs="宋体"/>
          <w:color w:val="auto"/>
          <w:sz w:val="24"/>
          <w:szCs w:val="24"/>
          <w:highlight w:val="none"/>
        </w:rPr>
        <w:t>为采购项目提供整体设计、规范编制或者项目管理、监理、检测等服务。</w:t>
      </w:r>
    </w:p>
    <w:p w14:paraId="009FD205">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九、我方理解，最低报价不是中标的唯一条件。</w:t>
      </w:r>
    </w:p>
    <w:p w14:paraId="4A775F84">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十、我方同意按有关规定及招标文件要求，交纳足额投标保证金。</w:t>
      </w:r>
    </w:p>
    <w:p w14:paraId="71370B89">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十一、若我方中标，愿意按有关规定及招标文件要求缴纳</w:t>
      </w:r>
      <w:r>
        <w:rPr>
          <w:rFonts w:hint="eastAsia" w:ascii="宋体" w:hAnsi="宋体" w:eastAsia="宋体" w:cs="宋体"/>
          <w:color w:val="auto"/>
          <w:sz w:val="24"/>
          <w:szCs w:val="28"/>
          <w:highlight w:val="none"/>
          <w:lang w:eastAsia="zh-CN"/>
        </w:rPr>
        <w:t>采购</w:t>
      </w:r>
      <w:r>
        <w:rPr>
          <w:rFonts w:hint="eastAsia" w:ascii="宋体" w:hAnsi="宋体" w:eastAsia="宋体" w:cs="宋体"/>
          <w:color w:val="auto"/>
          <w:sz w:val="24"/>
          <w:szCs w:val="28"/>
          <w:highlight w:val="none"/>
        </w:rPr>
        <w:t>代理服务费和交易服务费。</w:t>
      </w:r>
    </w:p>
    <w:p w14:paraId="10284F37">
      <w:pPr>
        <w:tabs>
          <w:tab w:val="left" w:pos="6300"/>
        </w:tabs>
        <w:snapToGrid w:val="0"/>
        <w:spacing w:line="500" w:lineRule="exact"/>
        <w:ind w:firstLine="570"/>
        <w:rPr>
          <w:rFonts w:hint="eastAsia" w:ascii="宋体" w:hAnsi="宋体" w:eastAsia="宋体" w:cs="宋体"/>
          <w:color w:val="auto"/>
          <w:sz w:val="24"/>
          <w:szCs w:val="28"/>
          <w:highlight w:val="none"/>
        </w:rPr>
      </w:pPr>
    </w:p>
    <w:p w14:paraId="1FA0A57F">
      <w:pPr>
        <w:tabs>
          <w:tab w:val="left" w:pos="6300"/>
        </w:tabs>
        <w:snapToGrid w:val="0"/>
        <w:spacing w:line="500" w:lineRule="exact"/>
        <w:ind w:firstLine="5460" w:firstLineChars="2275"/>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（投标人公章或自然人签署）</w:t>
      </w:r>
    </w:p>
    <w:p w14:paraId="2DC0BC37">
      <w:pPr>
        <w:tabs>
          <w:tab w:val="left" w:pos="6300"/>
        </w:tabs>
        <w:snapToGrid w:val="0"/>
        <w:spacing w:line="500" w:lineRule="exact"/>
        <w:ind w:firstLine="570"/>
        <w:rPr>
          <w:rFonts w:hint="eastAsia" w:ascii="宋体" w:hAnsi="宋体" w:eastAsia="宋体" w:cs="宋体"/>
          <w:color w:val="auto"/>
          <w:sz w:val="24"/>
          <w:szCs w:val="28"/>
          <w:highlight w:val="none"/>
        </w:rPr>
      </w:pPr>
    </w:p>
    <w:p w14:paraId="4E34314F">
      <w:pPr>
        <w:tabs>
          <w:tab w:val="left" w:pos="6300"/>
        </w:tabs>
        <w:snapToGrid w:val="0"/>
        <w:spacing w:line="500" w:lineRule="exact"/>
        <w:ind w:firstLine="5760" w:firstLineChars="2400"/>
        <w:rPr>
          <w:rFonts w:hint="eastAsia" w:ascii="宋体" w:hAnsi="宋体" w:eastAsia="宋体" w:cs="宋体"/>
          <w:color w:val="auto"/>
          <w:szCs w:val="28"/>
          <w:highlight w:val="none"/>
        </w:rPr>
      </w:pPr>
      <w:r>
        <w:rPr>
          <w:rFonts w:hint="eastAsia" w:ascii="宋体" w:hAnsi="宋体" w:eastAsia="宋体" w:cs="宋体"/>
          <w:color w:val="auto"/>
          <w:sz w:val="24"/>
          <w:szCs w:val="28"/>
          <w:highlight w:val="none"/>
        </w:rPr>
        <w:t>年    月   日</w:t>
      </w:r>
    </w:p>
    <w:p w14:paraId="7930D094">
      <w:pPr>
        <w:spacing w:line="400" w:lineRule="exact"/>
        <w:ind w:firstLine="560" w:firstLineChars="200"/>
        <w:rPr>
          <w:rFonts w:hint="default" w:ascii="宋体" w:hAnsi="宋体" w:eastAsia="宋体" w:cs="宋体"/>
          <w:color w:val="auto"/>
          <w:sz w:val="24"/>
          <w:szCs w:val="28"/>
          <w:highlight w:val="none"/>
          <w:lang w:val="en-US" w:eastAsia="zh-CN"/>
        </w:rPr>
      </w:pPr>
      <w:r>
        <w:rPr>
          <w:rFonts w:hint="eastAsia" w:ascii="宋体" w:hAnsi="宋体" w:eastAsia="宋体" w:cs="宋体"/>
          <w:color w:val="auto"/>
          <w:szCs w:val="44"/>
          <w:highlight w:val="none"/>
        </w:rPr>
        <w:br w:type="page"/>
      </w:r>
      <w:r>
        <w:rPr>
          <w:rFonts w:hint="eastAsia" w:ascii="宋体" w:hAnsi="宋体" w:eastAsia="宋体" w:cs="宋体"/>
          <w:color w:val="auto"/>
          <w:sz w:val="24"/>
          <w:szCs w:val="28"/>
          <w:highlight w:val="none"/>
        </w:rPr>
        <w:t>（二）商务条款差异表</w:t>
      </w:r>
      <w:r>
        <w:rPr>
          <w:rFonts w:hint="eastAsia" w:ascii="宋体" w:hAnsi="宋体" w:eastAsia="宋体" w:cs="宋体"/>
          <w:color w:val="auto"/>
          <w:sz w:val="24"/>
          <w:szCs w:val="28"/>
          <w:highlight w:val="none"/>
          <w:lang w:val="en-US" w:eastAsia="zh-CN"/>
        </w:rPr>
        <w:t xml:space="preserve">     </w:t>
      </w:r>
    </w:p>
    <w:p w14:paraId="66CE76EB">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项目号</w:t>
      </w:r>
      <w:r>
        <w:rPr>
          <w:rFonts w:hint="eastAsia" w:ascii="宋体" w:hAnsi="宋体" w:eastAsia="宋体" w:cs="宋体"/>
          <w:color w:val="auto"/>
          <w:sz w:val="24"/>
          <w:szCs w:val="28"/>
          <w:highlight w:val="none"/>
        </w:rPr>
        <w:t>：</w:t>
      </w:r>
    </w:p>
    <w:p w14:paraId="717F11E6">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招标项目名称：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198E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noWrap w:val="0"/>
            <w:vAlign w:val="center"/>
          </w:tcPr>
          <w:p w14:paraId="488376DA">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42" w:type="pct"/>
            <w:noWrap w:val="0"/>
            <w:vAlign w:val="center"/>
          </w:tcPr>
          <w:p w14:paraId="6C35451C">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招标商务要求</w:t>
            </w:r>
          </w:p>
        </w:tc>
        <w:tc>
          <w:tcPr>
            <w:tcW w:w="1600" w:type="pct"/>
            <w:noWrap w:val="0"/>
            <w:vAlign w:val="center"/>
          </w:tcPr>
          <w:p w14:paraId="7E71FE5D">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投标商务应答</w:t>
            </w:r>
          </w:p>
        </w:tc>
        <w:tc>
          <w:tcPr>
            <w:tcW w:w="1199" w:type="pct"/>
            <w:noWrap w:val="0"/>
            <w:vAlign w:val="center"/>
          </w:tcPr>
          <w:p w14:paraId="0A5199B7">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差异说明</w:t>
            </w:r>
          </w:p>
        </w:tc>
      </w:tr>
      <w:tr w14:paraId="3884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4DDC61A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7D9F86E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6FF470B3">
            <w:pPr>
              <w:tabs>
                <w:tab w:val="left" w:pos="6300"/>
              </w:tabs>
              <w:snapToGrid w:val="0"/>
              <w:spacing w:line="500" w:lineRule="exact"/>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提醒：请注明具体内容以及投标文件中具体内容的位置（页码）</w:t>
            </w:r>
          </w:p>
        </w:tc>
        <w:tc>
          <w:tcPr>
            <w:tcW w:w="1199" w:type="pct"/>
            <w:noWrap w:val="0"/>
            <w:vAlign w:val="center"/>
          </w:tcPr>
          <w:p w14:paraId="4953968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3D9B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6406E28B">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6A6981CE">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4F142892">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75B1D980">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670DB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78A019F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4EDE437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5E9B658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70C9763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5FE3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60DCD91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05F3A152">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2F5040E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1321E519">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13B5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A027D88">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7E4D84E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648EC3F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704C045C">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235E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4C7AC7D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596FBE97">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16CA169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079CE7F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7C0FD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1B75793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64503CB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1A99B63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7B55463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79BA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C0EAAD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465C9B6C">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65835C1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605FC31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64AD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50EF4F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309CAB8D">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75BF2FC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470B4EDC">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2B1B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B6E18C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6D3D650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1C666F6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1D48EA62">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0D8A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15E200E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7CDBEC51">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787B08D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041F2B8F">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7F6E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29A5748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3C316FB6">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0AF8770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107A2094">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r w14:paraId="5A5A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noWrap w:val="0"/>
            <w:vAlign w:val="center"/>
          </w:tcPr>
          <w:p w14:paraId="74E1599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542" w:type="pct"/>
            <w:noWrap w:val="0"/>
            <w:vAlign w:val="center"/>
          </w:tcPr>
          <w:p w14:paraId="06E64843">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600" w:type="pct"/>
            <w:noWrap w:val="0"/>
            <w:vAlign w:val="center"/>
          </w:tcPr>
          <w:p w14:paraId="36ADFDB5">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c>
          <w:tcPr>
            <w:tcW w:w="1199" w:type="pct"/>
            <w:noWrap w:val="0"/>
            <w:vAlign w:val="center"/>
          </w:tcPr>
          <w:p w14:paraId="7D41128A">
            <w:pPr>
              <w:tabs>
                <w:tab w:val="left" w:pos="6300"/>
              </w:tabs>
              <w:snapToGrid w:val="0"/>
              <w:spacing w:line="500" w:lineRule="exact"/>
              <w:jc w:val="center"/>
              <w:outlineLvl w:val="0"/>
              <w:rPr>
                <w:rFonts w:hint="eastAsia" w:ascii="宋体" w:hAnsi="宋体" w:eastAsia="宋体" w:cs="宋体"/>
                <w:color w:val="auto"/>
                <w:sz w:val="21"/>
                <w:szCs w:val="21"/>
                <w:highlight w:val="none"/>
              </w:rPr>
            </w:pPr>
          </w:p>
        </w:tc>
      </w:tr>
    </w:tbl>
    <w:p w14:paraId="72F4F1FC">
      <w:pPr>
        <w:tabs>
          <w:tab w:val="left" w:pos="6300"/>
        </w:tabs>
        <w:snapToGrid w:val="0"/>
        <w:spacing w:line="500" w:lineRule="exact"/>
        <w:ind w:firstLine="570"/>
        <w:rPr>
          <w:rFonts w:hint="eastAsia" w:ascii="宋体" w:hAnsi="宋体" w:eastAsia="宋体" w:cs="宋体"/>
          <w:color w:val="auto"/>
          <w:sz w:val="24"/>
          <w:highlight w:val="none"/>
        </w:rPr>
      </w:pPr>
    </w:p>
    <w:p w14:paraId="42DCE327">
      <w:pPr>
        <w:tabs>
          <w:tab w:val="left" w:pos="6300"/>
        </w:tabs>
        <w:snapToGrid w:val="0"/>
        <w:spacing w:line="500" w:lineRule="exact"/>
        <w:ind w:firstLine="570"/>
        <w:rPr>
          <w:rFonts w:hint="eastAsia" w:ascii="宋体" w:hAnsi="宋体" w:eastAsia="宋体" w:cs="宋体"/>
          <w:color w:val="auto"/>
          <w:sz w:val="24"/>
          <w:highlight w:val="none"/>
        </w:rPr>
      </w:pPr>
    </w:p>
    <w:p w14:paraId="6D22E65A">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7EAD6FD2">
      <w:pPr>
        <w:tabs>
          <w:tab w:val="left" w:pos="6300"/>
        </w:tabs>
        <w:snapToGrid w:val="0"/>
        <w:spacing w:line="500" w:lineRule="exact"/>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1.本表即为对本项目“第三篇 项目商务需求”中所列条款进行比较和响应；</w:t>
      </w:r>
    </w:p>
    <w:p w14:paraId="52254374">
      <w:pPr>
        <w:tabs>
          <w:tab w:val="left" w:pos="6300"/>
        </w:tabs>
        <w:snapToGrid w:val="0"/>
        <w:spacing w:line="500" w:lineRule="exact"/>
        <w:ind w:firstLine="5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2.本表可扩展。</w:t>
      </w:r>
    </w:p>
    <w:p w14:paraId="61E6AABB">
      <w:pPr>
        <w:tabs>
          <w:tab w:val="left" w:pos="6300"/>
        </w:tabs>
        <w:snapToGrid w:val="0"/>
        <w:spacing w:line="500" w:lineRule="exact"/>
        <w:ind w:firstLine="57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投标应答栏中应当注明具体内容，且必须标注具体内容在投标文件中的位置（页码）。</w:t>
      </w:r>
    </w:p>
    <w:p w14:paraId="282E5058">
      <w:pPr>
        <w:spacing w:line="400" w:lineRule="exact"/>
        <w:ind w:firstLine="560" w:firstLineChars="200"/>
        <w:rPr>
          <w:rFonts w:hint="eastAsia" w:ascii="宋体" w:hAnsi="宋体" w:eastAsia="宋体" w:cs="宋体"/>
          <w:color w:val="auto"/>
          <w:sz w:val="24"/>
          <w:szCs w:val="28"/>
          <w:highlight w:val="none"/>
        </w:rPr>
      </w:pPr>
      <w:r>
        <w:rPr>
          <w:rFonts w:hint="eastAsia" w:ascii="宋体" w:hAnsi="宋体" w:eastAsia="宋体" w:cs="宋体"/>
          <w:color w:val="auto"/>
          <w:szCs w:val="28"/>
          <w:highlight w:val="none"/>
        </w:rPr>
        <w:br w:type="page"/>
      </w:r>
      <w:r>
        <w:rPr>
          <w:rFonts w:hint="eastAsia" w:ascii="宋体" w:hAnsi="宋体" w:eastAsia="宋体" w:cs="宋体"/>
          <w:color w:val="auto"/>
          <w:sz w:val="24"/>
          <w:szCs w:val="28"/>
          <w:highlight w:val="none"/>
        </w:rPr>
        <w:t>（三）提供第四篇评分标准中商务部分要求的内容或证明材料复印件（格式自定）</w:t>
      </w:r>
    </w:p>
    <w:p w14:paraId="03259C1C">
      <w:pPr>
        <w:snapToGrid w:val="0"/>
        <w:spacing w:before="120" w:beforeLines="50" w:line="500" w:lineRule="exact"/>
        <w:ind w:firstLine="560"/>
        <w:jc w:val="left"/>
        <w:rPr>
          <w:rFonts w:hint="eastAsia" w:ascii="宋体" w:hAnsi="宋体" w:eastAsia="宋体" w:cs="宋体"/>
          <w:color w:val="auto"/>
          <w:szCs w:val="28"/>
          <w:highlight w:val="none"/>
        </w:rPr>
      </w:pPr>
    </w:p>
    <w:p w14:paraId="21899B78">
      <w:pPr>
        <w:snapToGrid w:val="0"/>
        <w:spacing w:before="120" w:beforeLines="50" w:line="500" w:lineRule="exact"/>
        <w:ind w:firstLine="560"/>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 </w:t>
      </w:r>
    </w:p>
    <w:p w14:paraId="43E8B184">
      <w:pPr>
        <w:pStyle w:val="3"/>
        <w:spacing w:line="500" w:lineRule="exact"/>
        <w:ind w:firstLine="562" w:firstLineChars="200"/>
        <w:rPr>
          <w:rFonts w:hint="eastAsia" w:ascii="宋体" w:eastAsia="宋体" w:cs="宋体"/>
          <w:b/>
          <w:color w:val="auto"/>
          <w:szCs w:val="28"/>
          <w:highlight w:val="none"/>
        </w:rPr>
      </w:pPr>
      <w:bookmarkStart w:id="276" w:name="_Toc493178792"/>
      <w:bookmarkStart w:id="277" w:name="_Toc492721041"/>
      <w:r>
        <w:rPr>
          <w:rFonts w:hint="eastAsia" w:ascii="宋体" w:eastAsia="宋体" w:cs="宋体"/>
          <w:b/>
          <w:color w:val="auto"/>
          <w:szCs w:val="28"/>
          <w:highlight w:val="none"/>
        </w:rPr>
        <w:br w:type="page"/>
      </w:r>
      <w:bookmarkStart w:id="278" w:name="_Toc1916659372"/>
      <w:bookmarkStart w:id="279" w:name="_Toc10101"/>
      <w:bookmarkStart w:id="280" w:name="_Toc76387268"/>
      <w:r>
        <w:rPr>
          <w:rFonts w:hint="eastAsia" w:ascii="宋体" w:eastAsia="宋体" w:cs="宋体"/>
          <w:b/>
          <w:color w:val="auto"/>
          <w:szCs w:val="28"/>
          <w:highlight w:val="none"/>
        </w:rPr>
        <w:t>四、其他</w:t>
      </w:r>
      <w:bookmarkEnd w:id="276"/>
      <w:bookmarkEnd w:id="277"/>
      <w:bookmarkEnd w:id="278"/>
      <w:bookmarkEnd w:id="279"/>
      <w:bookmarkEnd w:id="280"/>
    </w:p>
    <w:p w14:paraId="3AD95529">
      <w:pPr>
        <w:spacing w:line="4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（一）中小企业声明函、监狱企业证明文件、残疾人福利性单位声明函</w:t>
      </w:r>
    </w:p>
    <w:p w14:paraId="238149E0">
      <w:pPr>
        <w:tabs>
          <w:tab w:val="left" w:pos="6300"/>
        </w:tabs>
        <w:snapToGrid w:val="0"/>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中小企业声明函</w:t>
      </w:r>
    </w:p>
    <w:p w14:paraId="3EF35DA1">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本公司郑重声明，根据《政府采购促进中小企业发展管理办法》（</w:t>
      </w:r>
      <w:r>
        <w:rPr>
          <w:rFonts w:hint="eastAsia" w:ascii="宋体" w:hAnsi="宋体" w:eastAsia="宋体" w:cs="宋体"/>
          <w:color w:val="auto"/>
          <w:sz w:val="24"/>
          <w:szCs w:val="24"/>
          <w:highlight w:val="none"/>
        </w:rPr>
        <w:t>财库〔2020〕46号</w:t>
      </w:r>
      <w:r>
        <w:rPr>
          <w:rFonts w:hint="eastAsia" w:ascii="宋体" w:hAnsi="宋体" w:eastAsia="宋体" w:cs="宋体"/>
          <w:color w:val="auto"/>
          <w:sz w:val="24"/>
          <w:szCs w:val="28"/>
          <w:highlight w:val="none"/>
        </w:rPr>
        <w:t>）的规定，本公司参加</w:t>
      </w:r>
      <w:r>
        <w:rPr>
          <w:rFonts w:hint="eastAsia" w:ascii="宋体" w:hAnsi="宋体" w:cs="宋体"/>
          <w:color w:val="auto"/>
          <w:sz w:val="24"/>
          <w:szCs w:val="28"/>
          <w:highlight w:val="none"/>
          <w:u w:val="single"/>
          <w:lang w:eastAsia="zh-CN"/>
        </w:rPr>
        <w:t>四川消防救援机动总队</w:t>
      </w:r>
      <w:r>
        <w:rPr>
          <w:rFonts w:hint="eastAsia" w:ascii="宋体" w:hAnsi="宋体" w:eastAsia="宋体" w:cs="宋体"/>
          <w:color w:val="auto"/>
          <w:sz w:val="24"/>
          <w:szCs w:val="28"/>
          <w:highlight w:val="none"/>
        </w:rPr>
        <w:t>的</w:t>
      </w:r>
      <w:r>
        <w:rPr>
          <w:rFonts w:hint="eastAsia" w:ascii="宋体" w:hAnsi="宋体" w:cs="宋体"/>
          <w:color w:val="auto"/>
          <w:sz w:val="24"/>
          <w:szCs w:val="28"/>
          <w:highlight w:val="none"/>
          <w:u w:val="single"/>
          <w:lang w:eastAsia="zh-CN"/>
        </w:rPr>
        <w:t>成都消防救援机动支队主副食配送服务采购项目</w:t>
      </w:r>
      <w:r>
        <w:rPr>
          <w:rFonts w:hint="eastAsia" w:ascii="宋体" w:hAnsi="宋体" w:eastAsia="宋体" w:cs="宋体"/>
          <w:color w:val="auto"/>
          <w:sz w:val="24"/>
          <w:szCs w:val="28"/>
          <w:highlight w:val="none"/>
        </w:rPr>
        <w:t>采购活动，服务全部由符合政策要求的中小企业承接。相关企业（</w:t>
      </w:r>
      <w:r>
        <w:rPr>
          <w:rFonts w:hint="eastAsia" w:ascii="宋体" w:hAnsi="宋体" w:cs="宋体"/>
          <w:color w:val="auto"/>
          <w:sz w:val="24"/>
          <w:szCs w:val="28"/>
          <w:highlight w:val="none"/>
          <w:lang w:eastAsia="zh-CN"/>
        </w:rPr>
        <w:t>含</w:t>
      </w:r>
      <w:r>
        <w:rPr>
          <w:rFonts w:hint="eastAsia" w:ascii="宋体" w:hAnsi="宋体" w:eastAsia="宋体" w:cs="宋体"/>
          <w:color w:val="auto"/>
          <w:sz w:val="24"/>
          <w:szCs w:val="28"/>
          <w:highlight w:val="none"/>
        </w:rPr>
        <w:t>签订分包意向协议的中小企业）的具体情况如下：</w:t>
      </w:r>
    </w:p>
    <w:p w14:paraId="470F999E">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i/>
          <w:color w:val="auto"/>
          <w:sz w:val="24"/>
          <w:szCs w:val="28"/>
          <w:highlight w:val="none"/>
          <w:u w:val="single"/>
        </w:rPr>
        <w:t>（标的名称）</w:t>
      </w:r>
      <w:r>
        <w:rPr>
          <w:rFonts w:hint="eastAsia" w:ascii="宋体" w:hAnsi="宋体" w:eastAsia="宋体" w:cs="宋体"/>
          <w:color w:val="auto"/>
          <w:sz w:val="24"/>
          <w:szCs w:val="28"/>
          <w:highlight w:val="none"/>
        </w:rPr>
        <w:t>，属于</w:t>
      </w:r>
      <w:r>
        <w:rPr>
          <w:rFonts w:hint="eastAsia" w:ascii="宋体" w:hAnsi="宋体" w:eastAsia="宋体" w:cs="宋体"/>
          <w:color w:val="auto"/>
          <w:sz w:val="24"/>
          <w:szCs w:val="28"/>
          <w:highlight w:val="none"/>
          <w:u w:val="single"/>
        </w:rPr>
        <w:t>批发业</w:t>
      </w:r>
      <w:r>
        <w:rPr>
          <w:rFonts w:hint="eastAsia" w:ascii="宋体" w:hAnsi="宋体" w:eastAsia="宋体" w:cs="宋体"/>
          <w:color w:val="auto"/>
          <w:sz w:val="24"/>
          <w:szCs w:val="28"/>
          <w:highlight w:val="none"/>
        </w:rPr>
        <w:t>；承接企业为</w:t>
      </w:r>
      <w:r>
        <w:rPr>
          <w:rFonts w:hint="eastAsia" w:ascii="宋体" w:hAnsi="宋体" w:eastAsia="宋体" w:cs="宋体"/>
          <w:i/>
          <w:color w:val="auto"/>
          <w:sz w:val="24"/>
          <w:szCs w:val="28"/>
          <w:highlight w:val="none"/>
          <w:u w:val="single"/>
        </w:rPr>
        <w:t>（企业名称）</w:t>
      </w:r>
      <w:r>
        <w:rPr>
          <w:rFonts w:hint="eastAsia" w:ascii="宋体" w:hAnsi="宋体" w:eastAsia="宋体" w:cs="宋体"/>
          <w:color w:val="auto"/>
          <w:sz w:val="24"/>
          <w:szCs w:val="28"/>
          <w:highlight w:val="none"/>
        </w:rPr>
        <w:t>，从业人员</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人，营业收入为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万元，资产总额为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万元，属于</w:t>
      </w:r>
      <w:r>
        <w:rPr>
          <w:rFonts w:hint="eastAsia" w:ascii="宋体" w:hAnsi="宋体" w:eastAsia="宋体" w:cs="宋体"/>
          <w:i/>
          <w:color w:val="auto"/>
          <w:sz w:val="24"/>
          <w:szCs w:val="28"/>
          <w:highlight w:val="none"/>
          <w:u w:val="single"/>
        </w:rPr>
        <w:t>（中型企业、小型企业、微型企业）</w:t>
      </w:r>
      <w:r>
        <w:rPr>
          <w:rFonts w:hint="eastAsia" w:ascii="宋体" w:hAnsi="宋体" w:eastAsia="宋体" w:cs="宋体"/>
          <w:color w:val="auto"/>
          <w:sz w:val="24"/>
          <w:szCs w:val="28"/>
          <w:highlight w:val="none"/>
        </w:rPr>
        <w:t>；</w:t>
      </w:r>
    </w:p>
    <w:p w14:paraId="0BF73004">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为本标的提供的服务人员</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人，其中与本企业签订劳动合同</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人，其他人员</w:t>
      </w:r>
      <w:r>
        <w:rPr>
          <w:rFonts w:hint="eastAsia" w:ascii="宋体" w:hAnsi="宋体" w:eastAsia="宋体" w:cs="宋体"/>
          <w:color w:val="auto"/>
          <w:sz w:val="24"/>
          <w:szCs w:val="28"/>
          <w:highlight w:val="none"/>
          <w:u w:val="single"/>
          <w:lang w:val="en-US" w:eastAsia="zh-CN"/>
        </w:rPr>
        <w:t>/</w:t>
      </w:r>
      <w:r>
        <w:rPr>
          <w:rFonts w:hint="eastAsia" w:ascii="宋体" w:hAnsi="宋体" w:eastAsia="宋体" w:cs="宋体"/>
          <w:color w:val="auto"/>
          <w:sz w:val="24"/>
          <w:szCs w:val="28"/>
          <w:highlight w:val="none"/>
        </w:rPr>
        <w:t>人。有其他人员的不符合中小企业扶持政策（适用于服务采购项目）;</w:t>
      </w:r>
    </w:p>
    <w:p w14:paraId="1917E195">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i/>
          <w:color w:val="auto"/>
          <w:sz w:val="24"/>
          <w:szCs w:val="28"/>
          <w:highlight w:val="none"/>
          <w:u w:val="single"/>
        </w:rPr>
        <w:t xml:space="preserve"> （标的名称）</w:t>
      </w:r>
      <w:r>
        <w:rPr>
          <w:rFonts w:hint="eastAsia" w:ascii="宋体" w:hAnsi="宋体" w:eastAsia="宋体" w:cs="宋体"/>
          <w:color w:val="auto"/>
          <w:sz w:val="24"/>
          <w:szCs w:val="28"/>
          <w:highlight w:val="none"/>
        </w:rPr>
        <w:t>，属于</w:t>
      </w:r>
      <w:r>
        <w:rPr>
          <w:rFonts w:hint="eastAsia" w:ascii="宋体" w:hAnsi="宋体" w:eastAsia="宋体" w:cs="宋体"/>
          <w:color w:val="auto"/>
          <w:sz w:val="24"/>
          <w:szCs w:val="28"/>
          <w:highlight w:val="none"/>
          <w:u w:val="single"/>
        </w:rPr>
        <w:t>批发业</w:t>
      </w:r>
      <w:r>
        <w:rPr>
          <w:rFonts w:hint="eastAsia" w:ascii="宋体" w:hAnsi="宋体" w:eastAsia="宋体" w:cs="宋体"/>
          <w:color w:val="auto"/>
          <w:sz w:val="24"/>
          <w:szCs w:val="28"/>
          <w:highlight w:val="none"/>
        </w:rPr>
        <w:t>；承接企业为</w:t>
      </w:r>
      <w:r>
        <w:rPr>
          <w:rFonts w:hint="eastAsia" w:ascii="宋体" w:hAnsi="宋体" w:eastAsia="宋体" w:cs="宋体"/>
          <w:i/>
          <w:color w:val="auto"/>
          <w:sz w:val="24"/>
          <w:szCs w:val="28"/>
          <w:highlight w:val="none"/>
          <w:u w:val="single"/>
        </w:rPr>
        <w:t>（企业名称）</w:t>
      </w:r>
      <w:r>
        <w:rPr>
          <w:rFonts w:hint="eastAsia" w:ascii="宋体" w:hAnsi="宋体" w:eastAsia="宋体" w:cs="宋体"/>
          <w:color w:val="auto"/>
          <w:sz w:val="24"/>
          <w:szCs w:val="28"/>
          <w:highlight w:val="none"/>
        </w:rPr>
        <w:t>，从业人员</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人，营业收入为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万元，资产总额为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万元，属于</w:t>
      </w:r>
      <w:r>
        <w:rPr>
          <w:rFonts w:hint="eastAsia" w:ascii="宋体" w:hAnsi="宋体" w:eastAsia="宋体" w:cs="宋体"/>
          <w:i/>
          <w:color w:val="auto"/>
          <w:sz w:val="24"/>
          <w:szCs w:val="28"/>
          <w:highlight w:val="none"/>
          <w:u w:val="single"/>
        </w:rPr>
        <w:t>（中型企业、小型企业、微型企业）</w:t>
      </w:r>
      <w:r>
        <w:rPr>
          <w:rFonts w:hint="eastAsia" w:ascii="宋体" w:hAnsi="宋体" w:eastAsia="宋体" w:cs="宋体"/>
          <w:color w:val="auto"/>
          <w:sz w:val="24"/>
          <w:szCs w:val="28"/>
          <w:highlight w:val="none"/>
        </w:rPr>
        <w:t>；</w:t>
      </w:r>
    </w:p>
    <w:p w14:paraId="7FB0C49F">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为本标的提供的服务人员</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人，其中与本企业签订劳动合同</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人，其他人员</w:t>
      </w:r>
      <w:r>
        <w:rPr>
          <w:rFonts w:hint="eastAsia" w:ascii="宋体" w:hAnsi="宋体" w:eastAsia="宋体" w:cs="宋体"/>
          <w:color w:val="auto"/>
          <w:sz w:val="24"/>
          <w:szCs w:val="28"/>
          <w:highlight w:val="none"/>
          <w:u w:val="single"/>
          <w:lang w:val="en-US" w:eastAsia="zh-CN"/>
        </w:rPr>
        <w:t>/</w:t>
      </w:r>
      <w:r>
        <w:rPr>
          <w:rFonts w:hint="eastAsia" w:ascii="宋体" w:hAnsi="宋体" w:eastAsia="宋体" w:cs="宋体"/>
          <w:color w:val="auto"/>
          <w:sz w:val="24"/>
          <w:szCs w:val="28"/>
          <w:highlight w:val="none"/>
        </w:rPr>
        <w:t>人。有其他人员的不符合中小企业扶持政策（适用于服务采购项目）;</w:t>
      </w:r>
    </w:p>
    <w:p w14:paraId="5DD1DA7F">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w:t>
      </w:r>
    </w:p>
    <w:p w14:paraId="5BB6DEE4">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以上企业，不属于大企业的分支机构，不存在控股股东为大企业的情形，也不存在与大企业的负责人为同一人的情形。</w:t>
      </w:r>
    </w:p>
    <w:p w14:paraId="120CD579">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本企业对上述声明内容的真实性负责。如有虚假，将依法承担相应责任。</w:t>
      </w:r>
    </w:p>
    <w:p w14:paraId="5697F21D">
      <w:pPr>
        <w:tabs>
          <w:tab w:val="left" w:pos="6300"/>
        </w:tabs>
        <w:snapToGrid w:val="0"/>
        <w:spacing w:line="500" w:lineRule="exact"/>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w:t>
      </w:r>
    </w:p>
    <w:p w14:paraId="7B277AD2">
      <w:pPr>
        <w:tabs>
          <w:tab w:val="left" w:pos="6300"/>
        </w:tabs>
        <w:snapToGrid w:val="0"/>
        <w:spacing w:line="500" w:lineRule="exact"/>
        <w:ind w:firstLine="6120" w:firstLineChars="25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企业名称（盖章）： </w:t>
      </w:r>
    </w:p>
    <w:p w14:paraId="010131F8">
      <w:pPr>
        <w:tabs>
          <w:tab w:val="left" w:pos="6300"/>
        </w:tabs>
        <w:snapToGrid w:val="0"/>
        <w:spacing w:line="500" w:lineRule="exact"/>
        <w:ind w:firstLine="6120" w:firstLineChars="25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w:t>
      </w:r>
    </w:p>
    <w:p w14:paraId="12F8B82C">
      <w:pPr>
        <w:tabs>
          <w:tab w:val="left" w:pos="6300"/>
        </w:tabs>
        <w:snapToGrid w:val="0"/>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填写时应注意以下事项：</w:t>
      </w:r>
    </w:p>
    <w:p w14:paraId="37249DDB">
      <w:pPr>
        <w:tabs>
          <w:tab w:val="left" w:pos="6300"/>
        </w:tabs>
        <w:snapToGrid w:val="0"/>
        <w:spacing w:line="42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1.从业人员、营业收入、资产总额填报上一年度数据，无上一年度数据的新成立企业可不填报。</w:t>
      </w:r>
    </w:p>
    <w:p w14:paraId="45AC059E">
      <w:pPr>
        <w:tabs>
          <w:tab w:val="left" w:pos="6300"/>
        </w:tabs>
        <w:snapToGrid w:val="0"/>
        <w:spacing w:line="420" w:lineRule="exact"/>
        <w:ind w:firstLine="422" w:firstLineChars="200"/>
        <w:jc w:val="left"/>
        <w:rPr>
          <w:rFonts w:hint="eastAsia" w:ascii="宋体" w:hAnsi="宋体" w:eastAsia="宋体" w:cs="宋体"/>
          <w:b/>
          <w:color w:val="auto"/>
          <w:kern w:val="0"/>
          <w:sz w:val="21"/>
          <w:szCs w:val="21"/>
          <w:highlight w:val="none"/>
          <w:u w:val="single"/>
        </w:rPr>
      </w:pPr>
      <w:r>
        <w:rPr>
          <w:rFonts w:hint="eastAsia" w:ascii="宋体" w:hAnsi="宋体" w:eastAsia="宋体" w:cs="宋体"/>
          <w:b/>
          <w:color w:val="auto"/>
          <w:kern w:val="0"/>
          <w:sz w:val="21"/>
          <w:szCs w:val="21"/>
          <w:highlight w:val="none"/>
          <w:u w:val="single"/>
        </w:rPr>
        <w:t>2.中小企业应当按照《中小企业划型标准规定》（工信部联企业〔2011〕300号），如实填写并提交《中小企业声明函》。</w:t>
      </w:r>
    </w:p>
    <w:p w14:paraId="196A4D72">
      <w:pPr>
        <w:tabs>
          <w:tab w:val="left" w:pos="6300"/>
        </w:tabs>
        <w:snapToGrid w:val="0"/>
        <w:spacing w:line="420" w:lineRule="exact"/>
        <w:ind w:firstLine="422" w:firstLineChars="200"/>
        <w:rPr>
          <w:rFonts w:hint="eastAsia" w:ascii="宋体" w:hAnsi="宋体" w:eastAsia="宋体" w:cs="宋体"/>
          <w:b/>
          <w:color w:val="auto"/>
          <w:kern w:val="0"/>
          <w:sz w:val="21"/>
          <w:szCs w:val="21"/>
          <w:highlight w:val="none"/>
          <w:u w:val="single"/>
        </w:rPr>
      </w:pPr>
      <w:r>
        <w:rPr>
          <w:rFonts w:hint="eastAsia" w:ascii="宋体" w:hAnsi="宋体" w:eastAsia="宋体" w:cs="宋体"/>
          <w:b/>
          <w:color w:val="auto"/>
          <w:kern w:val="0"/>
          <w:sz w:val="21"/>
          <w:szCs w:val="21"/>
          <w:highlight w:val="none"/>
          <w:u w:val="single"/>
        </w:rPr>
        <w:t>3.投标人填写《中小企业声明函》中所属行业时，应与采购文件第一篇 “采购标的对应的中小企业划分标准所属行业”中填写的所属行业一致。</w:t>
      </w:r>
    </w:p>
    <w:p w14:paraId="420D6C69">
      <w:pPr>
        <w:tabs>
          <w:tab w:val="left" w:pos="6300"/>
        </w:tabs>
        <w:snapToGrid w:val="0"/>
        <w:spacing w:line="420" w:lineRule="exact"/>
        <w:ind w:firstLine="422" w:firstLineChars="200"/>
        <w:rPr>
          <w:rFonts w:hint="eastAsia" w:ascii="宋体" w:hAnsi="宋体" w:eastAsia="宋体" w:cs="宋体"/>
          <w:b/>
          <w:color w:val="auto"/>
          <w:kern w:val="0"/>
          <w:sz w:val="21"/>
          <w:szCs w:val="21"/>
          <w:highlight w:val="none"/>
          <w:u w:val="single"/>
        </w:rPr>
      </w:pPr>
      <w:r>
        <w:rPr>
          <w:rFonts w:hint="eastAsia" w:ascii="宋体" w:hAnsi="宋体" w:eastAsia="宋体" w:cs="宋体"/>
          <w:b/>
          <w:color w:val="auto"/>
          <w:kern w:val="0"/>
          <w:sz w:val="21"/>
          <w:szCs w:val="21"/>
          <w:highlight w:val="none"/>
          <w:u w:val="single"/>
        </w:rPr>
        <w:t>4.本声明函“企业名称（盖章）”处为投标人盖章。</w:t>
      </w:r>
    </w:p>
    <w:p w14:paraId="1EAF4FFF">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注：各行业划型标准：</w:t>
      </w:r>
    </w:p>
    <w:p w14:paraId="38DAC2B5">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579D4BA0">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952C5A2">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C616360">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0F79E4">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3BDEB5">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B127C6">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D1B82B2">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AD5B5EE">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2B3872">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C38DAF">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60911CA">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73923D">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4FD4475">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2DE1CA2">
      <w:pPr>
        <w:tabs>
          <w:tab w:val="left" w:pos="6300"/>
        </w:tabs>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2E840D">
      <w:pPr>
        <w:tabs>
          <w:tab w:val="left" w:pos="6300"/>
        </w:tabs>
        <w:snapToGrid w:val="0"/>
        <w:spacing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79EFDB95">
      <w:pPr>
        <w:tabs>
          <w:tab w:val="left" w:pos="6300"/>
        </w:tabs>
        <w:snapToGrid w:val="0"/>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监狱企业证明文件</w:t>
      </w:r>
    </w:p>
    <w:p w14:paraId="29A6CE03">
      <w:pPr>
        <w:tabs>
          <w:tab w:val="left" w:pos="6300"/>
        </w:tabs>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以省级以上监狱管理局、戒毒管理局（含新疆生产建设兵团）出具的属于监狱企业的证明文件为准。</w:t>
      </w:r>
    </w:p>
    <w:p w14:paraId="545A5CEF">
      <w:pPr>
        <w:tabs>
          <w:tab w:val="left" w:pos="6300"/>
        </w:tabs>
        <w:snapToGrid w:val="0"/>
        <w:spacing w:line="500" w:lineRule="exact"/>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highlight w:val="none"/>
        </w:rPr>
        <w:t>残疾人福利性单位声明函</w:t>
      </w:r>
    </w:p>
    <w:p w14:paraId="336C4C87">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D4DE18">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10EDAA98">
      <w:pPr>
        <w:tabs>
          <w:tab w:val="left" w:pos="6300"/>
        </w:tabs>
        <w:snapToGrid w:val="0"/>
        <w:spacing w:line="500" w:lineRule="exact"/>
        <w:ind w:firstLine="480" w:firstLineChars="200"/>
        <w:rPr>
          <w:rFonts w:hint="eastAsia" w:ascii="宋体" w:hAnsi="宋体" w:eastAsia="宋体" w:cs="宋体"/>
          <w:color w:val="auto"/>
          <w:sz w:val="24"/>
          <w:highlight w:val="none"/>
        </w:rPr>
      </w:pPr>
    </w:p>
    <w:p w14:paraId="58CD25DA">
      <w:pPr>
        <w:tabs>
          <w:tab w:val="left" w:pos="6300"/>
        </w:tabs>
        <w:snapToGrid w:val="0"/>
        <w:spacing w:line="500" w:lineRule="exact"/>
        <w:ind w:firstLine="480" w:firstLineChars="200"/>
        <w:rPr>
          <w:rFonts w:hint="eastAsia" w:ascii="宋体" w:hAnsi="宋体" w:eastAsia="宋体" w:cs="宋体"/>
          <w:color w:val="auto"/>
          <w:sz w:val="24"/>
          <w:highlight w:val="none"/>
        </w:rPr>
      </w:pPr>
    </w:p>
    <w:p w14:paraId="74554C4C">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残疾人福利性单位名称（盖章）：</w:t>
      </w:r>
    </w:p>
    <w:p w14:paraId="769D12BE">
      <w:pPr>
        <w:tabs>
          <w:tab w:val="left" w:pos="6300"/>
        </w:tabs>
        <w:snapToGrid w:val="0"/>
        <w:spacing w:line="500" w:lineRule="exact"/>
        <w:ind w:firstLine="57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p>
    <w:p w14:paraId="14C839AA">
      <w:pPr>
        <w:tabs>
          <w:tab w:val="left" w:pos="6300"/>
        </w:tabs>
        <w:snapToGrid w:val="0"/>
        <w:spacing w:line="500" w:lineRule="exact"/>
        <w:ind w:firstLine="570"/>
        <w:jc w:val="left"/>
        <w:rPr>
          <w:rFonts w:hint="eastAsia" w:ascii="宋体" w:hAnsi="宋体" w:eastAsia="宋体" w:cs="宋体"/>
          <w:color w:val="auto"/>
          <w:sz w:val="24"/>
          <w:highlight w:val="none"/>
        </w:rPr>
      </w:pPr>
    </w:p>
    <w:p w14:paraId="1C78B4D1">
      <w:pPr>
        <w:tabs>
          <w:tab w:val="left" w:pos="6300"/>
        </w:tabs>
        <w:snapToGrid w:val="0"/>
        <w:spacing w:line="500" w:lineRule="exact"/>
        <w:ind w:firstLine="570"/>
        <w:jc w:val="left"/>
        <w:rPr>
          <w:rFonts w:hint="eastAsia" w:ascii="宋体" w:hAnsi="宋体" w:eastAsia="宋体" w:cs="宋体"/>
          <w:color w:val="auto"/>
          <w:sz w:val="24"/>
          <w:highlight w:val="none"/>
        </w:rPr>
      </w:pPr>
    </w:p>
    <w:p w14:paraId="5C449210">
      <w:pPr>
        <w:tabs>
          <w:tab w:val="left" w:pos="6300"/>
        </w:tabs>
        <w:snapToGrid w:val="0"/>
        <w:spacing w:line="500" w:lineRule="exact"/>
        <w:ind w:firstLine="570"/>
        <w:jc w:val="left"/>
        <w:rPr>
          <w:rFonts w:hint="eastAsia" w:ascii="宋体" w:hAnsi="宋体" w:eastAsia="宋体" w:cs="宋体"/>
          <w:color w:val="auto"/>
          <w:sz w:val="24"/>
          <w:highlight w:val="none"/>
        </w:rPr>
      </w:pPr>
    </w:p>
    <w:p w14:paraId="41D3B622">
      <w:pPr>
        <w:tabs>
          <w:tab w:val="left" w:pos="6300"/>
        </w:tabs>
        <w:snapToGrid w:val="0"/>
        <w:spacing w:line="500" w:lineRule="exact"/>
        <w:ind w:firstLine="570"/>
        <w:jc w:val="left"/>
        <w:rPr>
          <w:rFonts w:hint="eastAsia" w:ascii="宋体" w:hAnsi="宋体" w:eastAsia="宋体" w:cs="宋体"/>
          <w:color w:val="auto"/>
          <w:sz w:val="24"/>
          <w:highlight w:val="none"/>
        </w:rPr>
      </w:pPr>
    </w:p>
    <w:p w14:paraId="452468A9">
      <w:pPr>
        <w:tabs>
          <w:tab w:val="left" w:pos="6300"/>
        </w:tabs>
        <w:snapToGrid w:val="0"/>
        <w:spacing w:line="500" w:lineRule="exact"/>
        <w:ind w:firstLine="570"/>
        <w:jc w:val="left"/>
        <w:rPr>
          <w:rFonts w:hint="eastAsia" w:ascii="宋体" w:hAnsi="宋体" w:eastAsia="宋体" w:cs="宋体"/>
          <w:color w:val="auto"/>
          <w:sz w:val="24"/>
          <w:highlight w:val="none"/>
        </w:rPr>
      </w:pPr>
    </w:p>
    <w:p w14:paraId="5184F848">
      <w:pPr>
        <w:tabs>
          <w:tab w:val="left" w:pos="6300"/>
        </w:tabs>
        <w:snapToGrid w:val="0"/>
        <w:spacing w:line="500" w:lineRule="exact"/>
        <w:ind w:firstLine="570"/>
        <w:jc w:val="left"/>
        <w:rPr>
          <w:rFonts w:hint="eastAsia" w:ascii="宋体" w:hAnsi="宋体" w:eastAsia="宋体" w:cs="宋体"/>
          <w:color w:val="auto"/>
          <w:sz w:val="24"/>
          <w:highlight w:val="none"/>
        </w:rPr>
      </w:pPr>
    </w:p>
    <w:p w14:paraId="24957F28">
      <w:pPr>
        <w:tabs>
          <w:tab w:val="left" w:pos="6300"/>
        </w:tabs>
        <w:snapToGrid w:val="0"/>
        <w:spacing w:line="500" w:lineRule="exact"/>
        <w:ind w:firstLine="570"/>
        <w:jc w:val="left"/>
        <w:rPr>
          <w:rFonts w:hint="eastAsia" w:ascii="宋体" w:hAnsi="宋体" w:eastAsia="宋体" w:cs="宋体"/>
          <w:color w:val="auto"/>
          <w:sz w:val="24"/>
          <w:highlight w:val="none"/>
        </w:rPr>
      </w:pPr>
    </w:p>
    <w:p w14:paraId="152F6574">
      <w:pPr>
        <w:tabs>
          <w:tab w:val="left" w:pos="6300"/>
        </w:tabs>
        <w:snapToGrid w:val="0"/>
        <w:spacing w:line="500" w:lineRule="exact"/>
        <w:ind w:firstLine="570"/>
        <w:jc w:val="left"/>
        <w:rPr>
          <w:rFonts w:hint="eastAsia" w:ascii="宋体" w:hAnsi="宋体" w:eastAsia="宋体" w:cs="宋体"/>
          <w:color w:val="auto"/>
          <w:sz w:val="24"/>
          <w:highlight w:val="none"/>
        </w:rPr>
      </w:pPr>
    </w:p>
    <w:p w14:paraId="382E56BF">
      <w:pPr>
        <w:tabs>
          <w:tab w:val="left" w:pos="6300"/>
        </w:tabs>
        <w:snapToGrid w:val="0"/>
        <w:spacing w:line="500" w:lineRule="exact"/>
        <w:ind w:firstLine="570"/>
        <w:jc w:val="left"/>
        <w:rPr>
          <w:rFonts w:hint="eastAsia" w:ascii="宋体" w:hAnsi="宋体" w:eastAsia="宋体" w:cs="宋体"/>
          <w:color w:val="auto"/>
          <w:sz w:val="24"/>
          <w:highlight w:val="none"/>
        </w:rPr>
      </w:pPr>
    </w:p>
    <w:p w14:paraId="55E1775A">
      <w:pPr>
        <w:tabs>
          <w:tab w:val="left" w:pos="6300"/>
        </w:tabs>
        <w:snapToGrid w:val="0"/>
        <w:spacing w:line="500" w:lineRule="exact"/>
        <w:ind w:firstLine="570"/>
        <w:jc w:val="left"/>
        <w:rPr>
          <w:rFonts w:hint="eastAsia" w:ascii="宋体" w:hAnsi="宋体" w:eastAsia="宋体" w:cs="宋体"/>
          <w:color w:val="auto"/>
          <w:sz w:val="24"/>
          <w:highlight w:val="none"/>
        </w:rPr>
      </w:pPr>
    </w:p>
    <w:p w14:paraId="589A8F7A">
      <w:pPr>
        <w:tabs>
          <w:tab w:val="left" w:pos="6300"/>
        </w:tabs>
        <w:snapToGrid w:val="0"/>
        <w:spacing w:line="500" w:lineRule="exact"/>
        <w:ind w:firstLine="57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rPr>
        <w:t>若中标人为残疾人福利性单位的，将在结果公告时公告其《残疾人福利性单位声明函》。</w:t>
      </w:r>
    </w:p>
    <w:p w14:paraId="5955C81C">
      <w:pPr>
        <w:spacing w:line="400" w:lineRule="exact"/>
        <w:ind w:firstLine="560" w:firstLineChars="200"/>
        <w:rPr>
          <w:rFonts w:hint="eastAsia" w:ascii="宋体" w:hAnsi="宋体" w:eastAsia="宋体" w:cs="宋体"/>
          <w:color w:val="auto"/>
          <w:sz w:val="24"/>
          <w:szCs w:val="28"/>
          <w:highlight w:val="none"/>
        </w:rPr>
      </w:pPr>
      <w:r>
        <w:rPr>
          <w:rFonts w:hint="eastAsia" w:ascii="宋体" w:hAnsi="宋体" w:eastAsia="宋体" w:cs="宋体"/>
          <w:color w:val="auto"/>
          <w:highlight w:val="none"/>
        </w:rPr>
        <w:br w:type="page"/>
      </w:r>
      <w:r>
        <w:rPr>
          <w:rFonts w:hint="eastAsia" w:ascii="宋体" w:hAnsi="宋体" w:eastAsia="宋体" w:cs="宋体"/>
          <w:color w:val="auto"/>
          <w:sz w:val="24"/>
          <w:szCs w:val="28"/>
          <w:highlight w:val="none"/>
        </w:rPr>
        <w:t>（二）其他与项目有关的资料（自附）</w:t>
      </w:r>
    </w:p>
    <w:p w14:paraId="2BA1443D">
      <w:pPr>
        <w:pStyle w:val="3"/>
        <w:spacing w:line="500" w:lineRule="exact"/>
        <w:ind w:firstLine="562" w:firstLineChars="200"/>
        <w:rPr>
          <w:rFonts w:hint="eastAsia" w:ascii="宋体" w:eastAsia="宋体" w:cs="宋体"/>
          <w:b/>
          <w:color w:val="auto"/>
          <w:szCs w:val="28"/>
          <w:highlight w:val="none"/>
        </w:rPr>
      </w:pPr>
      <w:bookmarkStart w:id="281" w:name="_Toc493178793"/>
      <w:bookmarkStart w:id="282" w:name="_Toc492721038"/>
      <w:r>
        <w:rPr>
          <w:rFonts w:hint="eastAsia" w:ascii="宋体" w:eastAsia="宋体" w:cs="宋体"/>
          <w:b/>
          <w:color w:val="auto"/>
          <w:szCs w:val="28"/>
          <w:highlight w:val="none"/>
        </w:rPr>
        <w:br w:type="page"/>
      </w:r>
      <w:bookmarkStart w:id="283" w:name="_Toc1322"/>
      <w:bookmarkStart w:id="284" w:name="_Toc1680773603"/>
      <w:bookmarkStart w:id="285" w:name="_Toc76387269"/>
      <w:r>
        <w:rPr>
          <w:rFonts w:hint="eastAsia" w:ascii="宋体" w:eastAsia="宋体" w:cs="宋体"/>
          <w:b/>
          <w:color w:val="auto"/>
          <w:szCs w:val="28"/>
          <w:highlight w:val="none"/>
        </w:rPr>
        <w:t>五、资格文件</w:t>
      </w:r>
      <w:bookmarkEnd w:id="281"/>
      <w:bookmarkEnd w:id="282"/>
      <w:bookmarkEnd w:id="283"/>
      <w:bookmarkEnd w:id="284"/>
      <w:bookmarkEnd w:id="285"/>
    </w:p>
    <w:p w14:paraId="6AEA15F6">
      <w:pPr>
        <w:tabs>
          <w:tab w:val="left" w:pos="6300"/>
        </w:tabs>
        <w:snapToGrid w:val="0"/>
        <w:spacing w:line="500" w:lineRule="exact"/>
        <w:ind w:firstLine="570"/>
        <w:rPr>
          <w:rFonts w:hint="eastAsia" w:ascii="宋体" w:hAnsi="宋体" w:eastAsia="宋体" w:cs="宋体"/>
          <w:color w:val="auto"/>
          <w:highlight w:val="none"/>
        </w:rPr>
      </w:pPr>
      <w:r>
        <w:rPr>
          <w:rFonts w:hint="eastAsia" w:ascii="宋体" w:hAnsi="宋体" w:eastAsia="宋体" w:cs="宋体"/>
          <w:color w:val="auto"/>
          <w:highlight w:val="none"/>
        </w:rPr>
        <w:t>（一）法人营业执照（副本）或事业单位法人证书（副本）或个体工商户营业执照或有效的自然人身份证明或社会团体法人登记证书复印件</w:t>
      </w:r>
    </w:p>
    <w:p w14:paraId="315B10E7">
      <w:pPr>
        <w:tabs>
          <w:tab w:val="left" w:pos="6300"/>
        </w:tabs>
        <w:snapToGrid w:val="0"/>
        <w:spacing w:line="500" w:lineRule="exact"/>
        <w:ind w:firstLine="570"/>
        <w:rPr>
          <w:rFonts w:hint="eastAsia" w:ascii="宋体" w:hAnsi="宋体" w:eastAsia="宋体" w:cs="宋体"/>
          <w:color w:val="auto"/>
          <w:highlight w:val="none"/>
        </w:rPr>
      </w:pPr>
    </w:p>
    <w:p w14:paraId="0680F24D">
      <w:pPr>
        <w:tabs>
          <w:tab w:val="left" w:pos="6300"/>
        </w:tabs>
        <w:snapToGrid w:val="0"/>
        <w:spacing w:line="500" w:lineRule="exact"/>
        <w:ind w:firstLine="570"/>
        <w:rPr>
          <w:rFonts w:hint="eastAsia" w:ascii="宋体" w:hAnsi="宋体" w:eastAsia="宋体" w:cs="宋体"/>
          <w:color w:val="auto"/>
          <w:highlight w:val="none"/>
        </w:rPr>
      </w:pPr>
    </w:p>
    <w:p w14:paraId="4BC7F351">
      <w:pPr>
        <w:tabs>
          <w:tab w:val="left" w:pos="6300"/>
        </w:tabs>
        <w:snapToGrid w:val="0"/>
        <w:spacing w:line="500" w:lineRule="exact"/>
        <w:ind w:firstLine="570"/>
        <w:rPr>
          <w:rFonts w:hint="eastAsia" w:ascii="宋体" w:hAnsi="宋体" w:eastAsia="宋体" w:cs="宋体"/>
          <w:color w:val="auto"/>
          <w:highlight w:val="none"/>
        </w:rPr>
      </w:pPr>
    </w:p>
    <w:p w14:paraId="7A233A3E">
      <w:pPr>
        <w:tabs>
          <w:tab w:val="left" w:pos="6300"/>
        </w:tabs>
        <w:snapToGrid w:val="0"/>
        <w:spacing w:line="500" w:lineRule="exact"/>
        <w:ind w:firstLine="570"/>
        <w:rPr>
          <w:rFonts w:hint="eastAsia" w:ascii="宋体" w:hAnsi="宋体" w:eastAsia="宋体" w:cs="宋体"/>
          <w:color w:val="auto"/>
          <w:highlight w:val="none"/>
        </w:rPr>
      </w:pPr>
    </w:p>
    <w:p w14:paraId="1612FA38">
      <w:pPr>
        <w:tabs>
          <w:tab w:val="left" w:pos="6300"/>
        </w:tabs>
        <w:snapToGrid w:val="0"/>
        <w:spacing w:line="500" w:lineRule="exact"/>
        <w:ind w:firstLine="570"/>
        <w:rPr>
          <w:rFonts w:hint="eastAsia" w:ascii="宋体" w:hAnsi="宋体" w:eastAsia="宋体" w:cs="宋体"/>
          <w:color w:val="auto"/>
          <w:highlight w:val="none"/>
        </w:rPr>
      </w:pPr>
    </w:p>
    <w:p w14:paraId="2ED6E43C">
      <w:pPr>
        <w:widowControl/>
        <w:ind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（二）法定代表人身份证明书（格式）</w:t>
      </w:r>
    </w:p>
    <w:p w14:paraId="1217CBA6">
      <w:pPr>
        <w:tabs>
          <w:tab w:val="left" w:pos="6300"/>
        </w:tabs>
        <w:snapToGrid w:val="0"/>
        <w:spacing w:line="500" w:lineRule="exact"/>
        <w:ind w:firstLine="570"/>
        <w:rPr>
          <w:rFonts w:hint="eastAsia" w:ascii="宋体" w:hAnsi="宋体" w:eastAsia="宋体" w:cs="宋体"/>
          <w:color w:val="auto"/>
          <w:sz w:val="24"/>
          <w:highlight w:val="none"/>
        </w:rPr>
      </w:pPr>
    </w:p>
    <w:p w14:paraId="10B8FAB0">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招标项目名称：</w:t>
      </w:r>
      <w:r>
        <w:rPr>
          <w:rFonts w:hint="eastAsia" w:ascii="宋体" w:hAnsi="宋体" w:eastAsia="宋体" w:cs="宋体"/>
          <w:color w:val="auto"/>
          <w:sz w:val="24"/>
          <w:highlight w:val="none"/>
          <w:u w:val="single"/>
        </w:rPr>
        <w:t xml:space="preserve">                                                </w:t>
      </w:r>
    </w:p>
    <w:p w14:paraId="21AC04CC">
      <w:pPr>
        <w:tabs>
          <w:tab w:val="left" w:pos="6300"/>
        </w:tabs>
        <w:snapToGrid w:val="0"/>
        <w:spacing w:line="500" w:lineRule="exact"/>
        <w:ind w:firstLine="570"/>
        <w:rPr>
          <w:rFonts w:hint="eastAsia" w:ascii="宋体" w:hAnsi="宋体" w:eastAsia="宋体" w:cs="宋体"/>
          <w:color w:val="auto"/>
          <w:sz w:val="24"/>
          <w:highlight w:val="none"/>
        </w:rPr>
      </w:pPr>
    </w:p>
    <w:p w14:paraId="60CE1C27">
      <w:pPr>
        <w:tabs>
          <w:tab w:val="left" w:pos="6300"/>
        </w:tabs>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（采购代理机构名称）：</w:t>
      </w:r>
    </w:p>
    <w:p w14:paraId="534B56DD">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（法定代表人姓名）在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（职务名称）职务，是（投标人名称）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w:t>
      </w:r>
    </w:p>
    <w:p w14:paraId="5B70EDD6">
      <w:pPr>
        <w:tabs>
          <w:tab w:val="left" w:pos="6300"/>
        </w:tabs>
        <w:snapToGrid w:val="0"/>
        <w:spacing w:line="500" w:lineRule="exact"/>
        <w:ind w:firstLine="570"/>
        <w:rPr>
          <w:rFonts w:hint="eastAsia" w:ascii="宋体" w:hAnsi="宋体" w:eastAsia="宋体" w:cs="宋体"/>
          <w:color w:val="auto"/>
          <w:sz w:val="24"/>
          <w:highlight w:val="none"/>
        </w:rPr>
      </w:pPr>
    </w:p>
    <w:p w14:paraId="6B16368C">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76F40CF2">
      <w:pPr>
        <w:tabs>
          <w:tab w:val="left" w:pos="6300"/>
        </w:tabs>
        <w:snapToGrid w:val="0"/>
        <w:spacing w:line="500" w:lineRule="exact"/>
        <w:ind w:firstLine="570"/>
        <w:rPr>
          <w:rFonts w:hint="eastAsia" w:ascii="宋体" w:hAnsi="宋体" w:eastAsia="宋体" w:cs="宋体"/>
          <w:color w:val="auto"/>
          <w:sz w:val="24"/>
          <w:highlight w:val="none"/>
        </w:rPr>
      </w:pPr>
    </w:p>
    <w:p w14:paraId="5820A14A">
      <w:pPr>
        <w:tabs>
          <w:tab w:val="left" w:pos="6300"/>
        </w:tabs>
        <w:snapToGrid w:val="0"/>
        <w:spacing w:line="500" w:lineRule="exact"/>
        <w:ind w:firstLine="570"/>
        <w:rPr>
          <w:rFonts w:hint="eastAsia" w:ascii="宋体" w:hAnsi="宋体" w:eastAsia="宋体" w:cs="宋体"/>
          <w:color w:val="auto"/>
          <w:sz w:val="24"/>
          <w:highlight w:val="none"/>
        </w:rPr>
      </w:pPr>
    </w:p>
    <w:p w14:paraId="1B939D17">
      <w:pPr>
        <w:tabs>
          <w:tab w:val="left" w:pos="6300"/>
        </w:tabs>
        <w:snapToGrid w:val="0"/>
        <w:spacing w:line="500" w:lineRule="exact"/>
        <w:ind w:firstLine="570"/>
        <w:rPr>
          <w:rFonts w:hint="eastAsia" w:ascii="宋体" w:hAnsi="宋体" w:eastAsia="宋体" w:cs="宋体"/>
          <w:color w:val="auto"/>
          <w:sz w:val="24"/>
          <w:highlight w:val="none"/>
        </w:rPr>
      </w:pPr>
    </w:p>
    <w:p w14:paraId="23698F54">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（投标人公章）</w:t>
      </w:r>
    </w:p>
    <w:p w14:paraId="20273DFA">
      <w:pPr>
        <w:tabs>
          <w:tab w:val="left" w:pos="6300"/>
        </w:tabs>
        <w:snapToGrid w:val="0"/>
        <w:spacing w:line="500" w:lineRule="exact"/>
        <w:ind w:firstLine="570"/>
        <w:rPr>
          <w:rFonts w:hint="eastAsia" w:ascii="宋体" w:hAnsi="宋体" w:eastAsia="宋体" w:cs="宋体"/>
          <w:color w:val="auto"/>
          <w:sz w:val="24"/>
          <w:highlight w:val="none"/>
        </w:rPr>
      </w:pPr>
    </w:p>
    <w:p w14:paraId="5ADBE076">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E6DF00F">
      <w:pPr>
        <w:tabs>
          <w:tab w:val="left" w:pos="6300"/>
        </w:tabs>
        <w:snapToGrid w:val="0"/>
        <w:spacing w:line="500" w:lineRule="exact"/>
        <w:ind w:firstLine="570"/>
        <w:rPr>
          <w:rFonts w:hint="eastAsia" w:ascii="宋体" w:hAnsi="宋体" w:eastAsia="宋体" w:cs="宋体"/>
          <w:color w:val="auto"/>
          <w:sz w:val="24"/>
          <w:highlight w:val="none"/>
        </w:rPr>
      </w:pPr>
    </w:p>
    <w:p w14:paraId="33E03929">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法定代表人电话：XXXXXXX      电子邮箱：XXXXXX@XXXXX（若授权他人办理并签署投标文件的可不填写）</w:t>
      </w:r>
    </w:p>
    <w:p w14:paraId="54593291">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（附：法定代表人身份证正反面复印件）</w:t>
      </w:r>
    </w:p>
    <w:p w14:paraId="0B5C5841">
      <w:pPr>
        <w:tabs>
          <w:tab w:val="left" w:pos="6300"/>
        </w:tabs>
        <w:snapToGrid w:val="0"/>
        <w:spacing w:line="500" w:lineRule="exact"/>
        <w:ind w:firstLine="570"/>
        <w:rPr>
          <w:rFonts w:hint="eastAsia" w:ascii="宋体" w:hAnsi="宋体" w:eastAsia="宋体" w:cs="宋体"/>
          <w:color w:val="auto"/>
          <w:sz w:val="24"/>
          <w:highlight w:val="none"/>
        </w:rPr>
      </w:pPr>
    </w:p>
    <w:p w14:paraId="20B0266B">
      <w:pPr>
        <w:tabs>
          <w:tab w:val="left" w:pos="6300"/>
        </w:tabs>
        <w:snapToGrid w:val="0"/>
        <w:spacing w:line="500" w:lineRule="exact"/>
        <w:ind w:firstLine="570"/>
        <w:rPr>
          <w:rFonts w:hint="eastAsia" w:ascii="宋体" w:hAnsi="宋体" w:eastAsia="宋体" w:cs="宋体"/>
          <w:color w:val="auto"/>
          <w:sz w:val="24"/>
          <w:highlight w:val="none"/>
        </w:rPr>
      </w:pPr>
    </w:p>
    <w:p w14:paraId="464D9EB6">
      <w:pPr>
        <w:tabs>
          <w:tab w:val="left" w:pos="6300"/>
        </w:tabs>
        <w:snapToGrid w:val="0"/>
        <w:spacing w:line="500" w:lineRule="exact"/>
        <w:ind w:firstLine="570"/>
        <w:rPr>
          <w:rFonts w:hint="eastAsia" w:ascii="宋体" w:hAnsi="宋体" w:eastAsia="宋体" w:cs="宋体"/>
          <w:color w:val="auto"/>
          <w:sz w:val="24"/>
          <w:highlight w:val="none"/>
        </w:rPr>
      </w:pPr>
    </w:p>
    <w:p w14:paraId="0B7CCDA3">
      <w:pPr>
        <w:tabs>
          <w:tab w:val="left" w:pos="6300"/>
        </w:tabs>
        <w:snapToGrid w:val="0"/>
        <w:spacing w:line="500" w:lineRule="exact"/>
        <w:ind w:firstLine="570"/>
        <w:rPr>
          <w:rFonts w:hint="eastAsia" w:ascii="宋体" w:hAnsi="宋体" w:eastAsia="宋体" w:cs="宋体"/>
          <w:color w:val="auto"/>
          <w:sz w:val="24"/>
          <w:highlight w:val="none"/>
        </w:rPr>
      </w:pPr>
    </w:p>
    <w:p w14:paraId="2FCDEFE0">
      <w:pPr>
        <w:tabs>
          <w:tab w:val="left" w:pos="6300"/>
        </w:tabs>
        <w:snapToGrid w:val="0"/>
        <w:spacing w:line="500" w:lineRule="exact"/>
        <w:ind w:firstLine="570"/>
        <w:rPr>
          <w:rFonts w:hint="eastAsia" w:ascii="宋体" w:hAnsi="宋体" w:eastAsia="宋体" w:cs="宋体"/>
          <w:color w:val="auto"/>
          <w:sz w:val="24"/>
          <w:highlight w:val="none"/>
        </w:rPr>
      </w:pPr>
    </w:p>
    <w:p w14:paraId="2FD60CE5">
      <w:pPr>
        <w:tabs>
          <w:tab w:val="left" w:pos="6300"/>
        </w:tabs>
        <w:snapToGrid w:val="0"/>
        <w:spacing w:line="500" w:lineRule="exact"/>
        <w:ind w:firstLine="570"/>
        <w:rPr>
          <w:rFonts w:hint="eastAsia" w:ascii="宋体" w:hAnsi="宋体" w:eastAsia="宋体" w:cs="宋体"/>
          <w:color w:val="auto"/>
          <w:sz w:val="24"/>
          <w:highlight w:val="none"/>
        </w:rPr>
      </w:pPr>
    </w:p>
    <w:p w14:paraId="7E20337D">
      <w:pPr>
        <w:tabs>
          <w:tab w:val="left" w:pos="6300"/>
        </w:tabs>
        <w:snapToGrid w:val="0"/>
        <w:spacing w:line="500" w:lineRule="exact"/>
        <w:ind w:firstLine="570"/>
        <w:rPr>
          <w:rFonts w:hint="eastAsia" w:ascii="宋体" w:hAnsi="宋体" w:eastAsia="宋体" w:cs="宋体"/>
          <w:color w:val="auto"/>
          <w:sz w:val="24"/>
          <w:szCs w:val="28"/>
          <w:highlight w:val="none"/>
        </w:rPr>
      </w:pPr>
      <w:r>
        <w:rPr>
          <w:rFonts w:hint="eastAsia" w:ascii="宋体" w:hAnsi="宋体" w:eastAsia="宋体" w:cs="宋体"/>
          <w:color w:val="auto"/>
          <w:highlight w:val="none"/>
        </w:rPr>
        <w:br w:type="column"/>
      </w:r>
      <w:r>
        <w:rPr>
          <w:rFonts w:hint="eastAsia" w:ascii="宋体" w:hAnsi="宋体" w:eastAsia="宋体" w:cs="宋体"/>
          <w:color w:val="auto"/>
          <w:sz w:val="24"/>
          <w:szCs w:val="28"/>
          <w:highlight w:val="none"/>
        </w:rPr>
        <w:t>（三）法定代表人授权委托书（格式）</w:t>
      </w:r>
    </w:p>
    <w:p w14:paraId="1193D03A">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47BB223">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招标项目名称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5A20C380">
      <w:pPr>
        <w:tabs>
          <w:tab w:val="left" w:pos="6300"/>
        </w:tabs>
        <w:snapToGrid w:val="0"/>
        <w:spacing w:line="500" w:lineRule="exact"/>
        <w:ind w:firstLine="570"/>
        <w:rPr>
          <w:rFonts w:hint="eastAsia" w:ascii="宋体" w:hAnsi="宋体" w:eastAsia="宋体" w:cs="宋体"/>
          <w:color w:val="auto"/>
          <w:sz w:val="24"/>
          <w:highlight w:val="none"/>
        </w:rPr>
      </w:pPr>
    </w:p>
    <w:p w14:paraId="0C9F3140">
      <w:pPr>
        <w:tabs>
          <w:tab w:val="left" w:pos="6300"/>
        </w:tabs>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（采购代理机构名称）：</w:t>
      </w:r>
    </w:p>
    <w:p w14:paraId="43CA29EB">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（投标人法定代表人名称）是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（投标人名称）的法定代表人，特授权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（被授权人姓名及身份证代码）代表我单位全权办理上述项目的投标、谈判、签约等具体工作，并签署全部有关文件、协议及合同。</w:t>
      </w:r>
    </w:p>
    <w:p w14:paraId="77BAD509">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我单位对被授权人的签署负全部责任。</w:t>
      </w:r>
    </w:p>
    <w:p w14:paraId="135BF5E3">
      <w:pPr>
        <w:tabs>
          <w:tab w:val="left" w:pos="6300"/>
        </w:tabs>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在撤销授权的书面通知以前，本授权书一直有效。被授权人在授权书有效期内签署的所有文件不因授权的撤销而失效。</w:t>
      </w:r>
    </w:p>
    <w:p w14:paraId="56F2DF1D">
      <w:pPr>
        <w:tabs>
          <w:tab w:val="left" w:pos="6300"/>
        </w:tabs>
        <w:snapToGrid w:val="0"/>
        <w:spacing w:line="500" w:lineRule="exact"/>
        <w:ind w:firstLine="570"/>
        <w:rPr>
          <w:rFonts w:hint="eastAsia" w:ascii="宋体" w:hAnsi="宋体" w:eastAsia="宋体" w:cs="宋体"/>
          <w:color w:val="auto"/>
          <w:sz w:val="24"/>
          <w:highlight w:val="none"/>
        </w:rPr>
      </w:pPr>
    </w:p>
    <w:p w14:paraId="2DBCB258">
      <w:pPr>
        <w:tabs>
          <w:tab w:val="left" w:pos="6300"/>
        </w:tabs>
        <w:snapToGrid w:val="0"/>
        <w:spacing w:line="500" w:lineRule="exact"/>
        <w:ind w:firstLine="570"/>
        <w:rPr>
          <w:rFonts w:hint="eastAsia" w:ascii="宋体" w:hAnsi="宋体" w:eastAsia="宋体" w:cs="宋体"/>
          <w:color w:val="auto"/>
          <w:sz w:val="24"/>
          <w:highlight w:val="none"/>
        </w:rPr>
      </w:pPr>
    </w:p>
    <w:p w14:paraId="06460FF2">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                                 投标人法定代表人：</w:t>
      </w:r>
    </w:p>
    <w:p w14:paraId="5FAC3DA5">
      <w:pPr>
        <w:tabs>
          <w:tab w:val="left" w:pos="6300"/>
        </w:tabs>
        <w:snapToGrid w:val="0"/>
        <w:spacing w:line="500" w:lineRule="exact"/>
        <w:ind w:firstLine="57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（签署或盖章）                                （签署或盖章）</w:t>
      </w:r>
    </w:p>
    <w:p w14:paraId="353C7AD2">
      <w:pPr>
        <w:tabs>
          <w:tab w:val="left" w:pos="6300"/>
        </w:tabs>
        <w:snapToGrid w:val="0"/>
        <w:spacing w:line="500" w:lineRule="exact"/>
        <w:ind w:firstLine="570"/>
        <w:rPr>
          <w:rFonts w:hint="eastAsia" w:ascii="宋体" w:hAnsi="宋体" w:eastAsia="宋体" w:cs="宋体"/>
          <w:color w:val="auto"/>
          <w:sz w:val="24"/>
          <w:szCs w:val="28"/>
          <w:highlight w:val="none"/>
        </w:rPr>
      </w:pPr>
    </w:p>
    <w:p w14:paraId="6C4CD376">
      <w:pPr>
        <w:tabs>
          <w:tab w:val="left" w:pos="6300"/>
        </w:tabs>
        <w:snapToGrid w:val="0"/>
        <w:spacing w:line="500" w:lineRule="exact"/>
        <w:ind w:firstLine="570"/>
        <w:rPr>
          <w:rFonts w:hint="eastAsia" w:ascii="宋体" w:hAnsi="宋体" w:eastAsia="宋体" w:cs="宋体"/>
          <w:color w:val="auto"/>
          <w:sz w:val="24"/>
          <w:highlight w:val="none"/>
        </w:rPr>
      </w:pPr>
    </w:p>
    <w:p w14:paraId="5FC65B1A">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（附：被授权人身份证正反面复印件）</w:t>
      </w:r>
    </w:p>
    <w:p w14:paraId="1C14B65D">
      <w:pPr>
        <w:tabs>
          <w:tab w:val="left" w:pos="6300"/>
        </w:tabs>
        <w:snapToGrid w:val="0"/>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69A5645">
      <w:pPr>
        <w:tabs>
          <w:tab w:val="left" w:pos="6300"/>
        </w:tabs>
        <w:snapToGrid w:val="0"/>
        <w:spacing w:line="500" w:lineRule="exact"/>
        <w:ind w:firstLine="570"/>
        <w:rPr>
          <w:rFonts w:hint="eastAsia" w:ascii="宋体" w:hAnsi="宋体" w:eastAsia="宋体" w:cs="宋体"/>
          <w:color w:val="auto"/>
          <w:sz w:val="24"/>
          <w:highlight w:val="none"/>
        </w:rPr>
      </w:pPr>
    </w:p>
    <w:p w14:paraId="779200FD">
      <w:pPr>
        <w:tabs>
          <w:tab w:val="left" w:pos="6300"/>
        </w:tabs>
        <w:snapToGrid w:val="0"/>
        <w:spacing w:line="500" w:lineRule="exact"/>
        <w:ind w:firstLine="570"/>
        <w:rPr>
          <w:rFonts w:hint="eastAsia" w:ascii="宋体" w:hAnsi="宋体" w:eastAsia="宋体" w:cs="宋体"/>
          <w:color w:val="auto"/>
          <w:sz w:val="24"/>
          <w:highlight w:val="none"/>
        </w:rPr>
      </w:pPr>
    </w:p>
    <w:p w14:paraId="7CA77587">
      <w:pPr>
        <w:tabs>
          <w:tab w:val="left" w:pos="6300"/>
        </w:tabs>
        <w:snapToGrid w:val="0"/>
        <w:spacing w:line="500" w:lineRule="exact"/>
        <w:ind w:right="480" w:firstLine="57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（投标人公章）</w:t>
      </w:r>
    </w:p>
    <w:p w14:paraId="700289D2">
      <w:pPr>
        <w:tabs>
          <w:tab w:val="left" w:pos="6300"/>
        </w:tabs>
        <w:snapToGrid w:val="0"/>
        <w:spacing w:line="500" w:lineRule="exact"/>
        <w:ind w:right="480" w:firstLine="57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4539E10D">
      <w:pPr>
        <w:tabs>
          <w:tab w:val="left" w:pos="6300"/>
        </w:tabs>
        <w:snapToGrid w:val="0"/>
        <w:spacing w:line="500" w:lineRule="exact"/>
        <w:ind w:right="480" w:firstLine="57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被授权人电话：XXXXXXX     电子邮箱：XXXXXX@XXXXX（若法定代表人办理并签署投标文件的可不填写）</w:t>
      </w:r>
    </w:p>
    <w:p w14:paraId="0FE356CD">
      <w:pPr>
        <w:tabs>
          <w:tab w:val="left" w:pos="6300"/>
        </w:tabs>
        <w:snapToGrid w:val="0"/>
        <w:spacing w:line="500" w:lineRule="exact"/>
        <w:ind w:right="480" w:firstLine="57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注：若为法定代表人办理并签署投标文件的，不提供此文件。</w:t>
      </w:r>
    </w:p>
    <w:p w14:paraId="78491A6A">
      <w:pPr>
        <w:tabs>
          <w:tab w:val="left" w:pos="6300"/>
        </w:tabs>
        <w:snapToGrid w:val="0"/>
        <w:spacing w:line="500" w:lineRule="exact"/>
        <w:rPr>
          <w:rFonts w:hint="eastAsia" w:ascii="宋体" w:hAnsi="宋体" w:eastAsia="宋体" w:cs="宋体"/>
          <w:color w:val="auto"/>
          <w:sz w:val="24"/>
          <w:szCs w:val="28"/>
          <w:highlight w:val="none"/>
          <w:lang w:eastAsia="zh-CN"/>
        </w:rPr>
      </w:pPr>
      <w:r>
        <w:rPr>
          <w:rFonts w:hint="eastAsia" w:ascii="宋体" w:hAnsi="宋体" w:eastAsia="宋体" w:cs="宋体"/>
          <w:color w:val="auto"/>
          <w:highlight w:val="none"/>
        </w:rPr>
        <w:br w:type="column"/>
      </w:r>
      <w:r>
        <w:rPr>
          <w:rFonts w:hint="eastAsia" w:ascii="宋体" w:hAnsi="宋体" w:eastAsia="宋体" w:cs="宋体"/>
          <w:color w:val="auto"/>
          <w:sz w:val="24"/>
          <w:szCs w:val="28"/>
          <w:highlight w:val="none"/>
        </w:rPr>
        <w:t>（四）基本资格条件承诺函</w:t>
      </w:r>
      <w:r>
        <w:rPr>
          <w:rFonts w:hint="eastAsia" w:ascii="宋体" w:hAnsi="宋体" w:eastAsia="宋体" w:cs="宋体"/>
          <w:color w:val="auto"/>
          <w:sz w:val="24"/>
          <w:szCs w:val="28"/>
          <w:highlight w:val="none"/>
          <w:lang w:eastAsia="zh-CN"/>
        </w:rPr>
        <w:t>（格式）</w:t>
      </w:r>
    </w:p>
    <w:p w14:paraId="04B407CA">
      <w:pPr>
        <w:snapToGrid/>
        <w:spacing w:line="530" w:lineRule="exact"/>
        <w:ind w:firstLine="723" w:firstLineChars="200"/>
        <w:jc w:val="center"/>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基本资格条件承诺函</w:t>
      </w:r>
    </w:p>
    <w:p w14:paraId="450656F4">
      <w:pPr>
        <w:tabs>
          <w:tab w:val="left" w:pos="6300"/>
        </w:tabs>
        <w:snapToGrid w:val="0"/>
        <w:spacing w:line="530" w:lineRule="exact"/>
        <w:rPr>
          <w:color w:val="auto"/>
          <w:sz w:val="24"/>
          <w:highlight w:val="none"/>
        </w:rPr>
      </w:pPr>
    </w:p>
    <w:p w14:paraId="2E806E6B">
      <w:pPr>
        <w:tabs>
          <w:tab w:val="left" w:pos="6300"/>
        </w:tabs>
        <w:snapToGrid w:val="0"/>
        <w:spacing w:line="5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（采购代理机构名称）：</w:t>
      </w:r>
    </w:p>
    <w:p w14:paraId="22FB2CDF">
      <w:pPr>
        <w:tabs>
          <w:tab w:val="left" w:pos="6300"/>
        </w:tabs>
        <w:snapToGrid w:val="0"/>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（投标人名称）郑重承诺：</w:t>
      </w:r>
    </w:p>
    <w:p w14:paraId="705E8383">
      <w:pPr>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1.我方具有良好的商业信誉和健全的财务会计制度，具有履行合同所必需的设备和专业技术能力，具</w:t>
      </w:r>
      <w:r>
        <w:rPr>
          <w:rFonts w:hint="eastAsia" w:ascii="宋体" w:hAnsi="宋体" w:eastAsia="宋体" w:cs="宋体"/>
          <w:color w:val="auto"/>
          <w:sz w:val="24"/>
          <w:szCs w:val="24"/>
          <w:highlight w:val="none"/>
          <w:lang w:val="zh-CN"/>
        </w:rPr>
        <w:t>有依法缴纳税收和社会保障金的良好记录</w:t>
      </w:r>
      <w:r>
        <w:rPr>
          <w:rFonts w:hint="eastAsia" w:ascii="宋体" w:hAnsi="宋体" w:eastAsia="宋体" w:cs="宋体"/>
          <w:color w:val="auto"/>
          <w:sz w:val="24"/>
          <w:szCs w:val="24"/>
          <w:highlight w:val="none"/>
        </w:rPr>
        <w:t>，参加本项目采购活动前三年内无重大违法活动记录。</w:t>
      </w:r>
    </w:p>
    <w:p w14:paraId="30C7F058">
      <w:pPr>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17184F6F">
      <w:pPr>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3.我方在采购项目评审（评标）环节结束后，随时接受采购人、采购代理机构的检查验证，配合提供相关证明材料，证明符合《中华人民共和国政府采购法》规定的投标人基本资格条件。</w:t>
      </w:r>
    </w:p>
    <w:p w14:paraId="1DA9E369">
      <w:pPr>
        <w:tabs>
          <w:tab w:val="left" w:pos="6300"/>
        </w:tabs>
        <w:snapToGrid w:val="0"/>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我方对以上承诺负全部法律责任。</w:t>
      </w:r>
    </w:p>
    <w:p w14:paraId="45F7FD8F">
      <w:pPr>
        <w:tabs>
          <w:tab w:val="left" w:pos="6300"/>
        </w:tabs>
        <w:snapToGrid w:val="0"/>
        <w:spacing w:line="53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0A7504FE">
      <w:pPr>
        <w:tabs>
          <w:tab w:val="left" w:pos="6300"/>
        </w:tabs>
        <w:snapToGrid w:val="0"/>
        <w:spacing w:line="530" w:lineRule="exact"/>
        <w:rPr>
          <w:rFonts w:hint="eastAsia" w:ascii="宋体" w:hAnsi="宋体" w:eastAsia="宋体" w:cs="宋体"/>
          <w:color w:val="auto"/>
          <w:sz w:val="24"/>
          <w:szCs w:val="24"/>
          <w:highlight w:val="none"/>
        </w:rPr>
      </w:pPr>
    </w:p>
    <w:p w14:paraId="02F9F2A0">
      <w:pPr>
        <w:tabs>
          <w:tab w:val="left" w:pos="6300"/>
        </w:tabs>
        <w:snapToGrid w:val="0"/>
        <w:spacing w:line="530" w:lineRule="exact"/>
        <w:ind w:right="424" w:firstLine="57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w:t>
      </w:r>
    </w:p>
    <w:p w14:paraId="20777499">
      <w:pPr>
        <w:tabs>
          <w:tab w:val="left" w:pos="6300"/>
        </w:tabs>
        <w:snapToGrid w:val="0"/>
        <w:spacing w:line="500" w:lineRule="exact"/>
        <w:ind w:firstLine="7442" w:firstLineChars="3101"/>
        <w:rPr>
          <w:rFonts w:hint="eastAsia" w:ascii="宋体" w:hAnsi="宋体" w:eastAsia="宋体" w:cs="宋体"/>
          <w:color w:val="auto"/>
          <w:highlight w:val="none"/>
        </w:rPr>
      </w:pPr>
      <w:r>
        <w:rPr>
          <w:rFonts w:hint="eastAsia" w:ascii="宋体" w:hAnsi="宋体" w:eastAsia="宋体" w:cs="宋体"/>
          <w:color w:val="auto"/>
          <w:sz w:val="24"/>
          <w:szCs w:val="24"/>
          <w:highlight w:val="none"/>
        </w:rPr>
        <w:t>年   月   日</w:t>
      </w:r>
    </w:p>
    <w:p w14:paraId="1B8C21E4">
      <w:pPr>
        <w:tabs>
          <w:tab w:val="left" w:pos="6300"/>
        </w:tabs>
        <w:snapToGrid w:val="0"/>
        <w:spacing w:line="500" w:lineRule="exact"/>
        <w:ind w:firstLine="560" w:firstLineChars="200"/>
        <w:rPr>
          <w:rFonts w:hint="eastAsia" w:ascii="宋体" w:hAnsi="宋体" w:eastAsia="宋体" w:cs="宋体"/>
          <w:color w:val="auto"/>
          <w:sz w:val="24"/>
          <w:szCs w:val="28"/>
          <w:highlight w:val="none"/>
        </w:rPr>
      </w:pPr>
      <w:r>
        <w:rPr>
          <w:rFonts w:hint="eastAsia" w:ascii="宋体" w:hAnsi="宋体" w:eastAsia="宋体" w:cs="宋体"/>
          <w:color w:val="auto"/>
          <w:highlight w:val="none"/>
        </w:rPr>
        <w:br w:type="page"/>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五</w:t>
      </w:r>
      <w:r>
        <w:rPr>
          <w:rFonts w:hint="eastAsia" w:ascii="宋体" w:hAnsi="宋体" w:eastAsia="宋体" w:cs="宋体"/>
          <w:color w:val="auto"/>
          <w:sz w:val="24"/>
          <w:szCs w:val="28"/>
          <w:highlight w:val="none"/>
        </w:rPr>
        <w:t>）特定资格条件证书或证明文件</w:t>
      </w:r>
    </w:p>
    <w:p w14:paraId="352B3DD2">
      <w:pPr>
        <w:tabs>
          <w:tab w:val="left" w:pos="6300"/>
        </w:tabs>
        <w:snapToGrid w:val="0"/>
        <w:spacing w:line="500" w:lineRule="exact"/>
        <w:ind w:firstLine="570"/>
        <w:jc w:val="left"/>
        <w:rPr>
          <w:rFonts w:hint="eastAsia" w:ascii="宋体" w:hAnsi="宋体" w:eastAsia="宋体" w:cs="宋体"/>
          <w:color w:val="auto"/>
          <w:sz w:val="24"/>
          <w:highlight w:val="none"/>
        </w:rPr>
      </w:pPr>
    </w:p>
    <w:p w14:paraId="7FDABFD4">
      <w:pPr>
        <w:tabs>
          <w:tab w:val="left" w:pos="6300"/>
        </w:tabs>
        <w:snapToGrid w:val="0"/>
        <w:spacing w:line="500" w:lineRule="exact"/>
        <w:ind w:firstLine="570"/>
        <w:jc w:val="left"/>
        <w:rPr>
          <w:rFonts w:hint="eastAsia" w:ascii="宋体" w:hAnsi="宋体" w:eastAsia="宋体" w:cs="宋体"/>
          <w:color w:val="auto"/>
          <w:sz w:val="24"/>
          <w:highlight w:val="none"/>
        </w:rPr>
      </w:pPr>
    </w:p>
    <w:p w14:paraId="6E562E06">
      <w:pPr>
        <w:tabs>
          <w:tab w:val="left" w:pos="6300"/>
        </w:tabs>
        <w:snapToGrid w:val="0"/>
        <w:spacing w:line="500" w:lineRule="exact"/>
        <w:ind w:firstLine="570"/>
        <w:jc w:val="left"/>
        <w:rPr>
          <w:rFonts w:hint="eastAsia" w:ascii="宋体" w:hAnsi="宋体" w:eastAsia="宋体" w:cs="宋体"/>
          <w:color w:val="auto"/>
          <w:sz w:val="24"/>
          <w:highlight w:val="none"/>
        </w:rPr>
      </w:pPr>
    </w:p>
    <w:p w14:paraId="12A73208">
      <w:pPr>
        <w:tabs>
          <w:tab w:val="left" w:pos="6300"/>
        </w:tabs>
        <w:snapToGrid w:val="0"/>
        <w:spacing w:line="500" w:lineRule="exact"/>
        <w:ind w:firstLine="570"/>
        <w:jc w:val="left"/>
        <w:rPr>
          <w:rFonts w:hint="eastAsia" w:ascii="宋体" w:hAnsi="宋体" w:eastAsia="宋体" w:cs="宋体"/>
          <w:color w:val="auto"/>
          <w:sz w:val="24"/>
          <w:highlight w:val="none"/>
        </w:rPr>
      </w:pPr>
    </w:p>
    <w:p w14:paraId="6E2BC0BF">
      <w:pPr>
        <w:tabs>
          <w:tab w:val="left" w:pos="6300"/>
        </w:tabs>
        <w:snapToGrid w:val="0"/>
        <w:spacing w:line="500" w:lineRule="exact"/>
        <w:ind w:firstLine="570"/>
        <w:jc w:val="left"/>
        <w:rPr>
          <w:rFonts w:hint="eastAsia" w:ascii="宋体" w:hAnsi="宋体" w:eastAsia="宋体" w:cs="宋体"/>
          <w:color w:val="auto"/>
          <w:sz w:val="24"/>
          <w:highlight w:val="none"/>
        </w:rPr>
      </w:pPr>
    </w:p>
    <w:p w14:paraId="33267E6B">
      <w:pPr>
        <w:tabs>
          <w:tab w:val="left" w:pos="6300"/>
        </w:tabs>
        <w:snapToGrid w:val="0"/>
        <w:spacing w:line="500" w:lineRule="exact"/>
        <w:ind w:firstLine="570"/>
        <w:jc w:val="left"/>
        <w:rPr>
          <w:rFonts w:hint="eastAsia" w:ascii="宋体" w:hAnsi="宋体" w:eastAsia="宋体" w:cs="宋体"/>
          <w:color w:val="auto"/>
          <w:sz w:val="24"/>
          <w:highlight w:val="none"/>
        </w:rPr>
      </w:pPr>
    </w:p>
    <w:p w14:paraId="2AB7E308">
      <w:pPr>
        <w:tabs>
          <w:tab w:val="left" w:pos="6300"/>
        </w:tabs>
        <w:snapToGrid w:val="0"/>
        <w:spacing w:line="500" w:lineRule="exact"/>
        <w:ind w:firstLine="570"/>
        <w:jc w:val="left"/>
        <w:rPr>
          <w:rFonts w:hint="eastAsia" w:ascii="宋体" w:hAnsi="宋体" w:eastAsia="宋体" w:cs="宋体"/>
          <w:color w:val="auto"/>
          <w:sz w:val="24"/>
          <w:highlight w:val="none"/>
        </w:rPr>
      </w:pPr>
    </w:p>
    <w:p w14:paraId="5A4E00E7">
      <w:pPr>
        <w:tabs>
          <w:tab w:val="left" w:pos="6300"/>
        </w:tabs>
        <w:snapToGrid w:val="0"/>
        <w:spacing w:line="500" w:lineRule="exact"/>
        <w:ind w:firstLine="570"/>
        <w:jc w:val="left"/>
        <w:rPr>
          <w:rFonts w:hint="eastAsia" w:ascii="宋体" w:hAnsi="宋体" w:eastAsia="宋体" w:cs="宋体"/>
          <w:color w:val="auto"/>
          <w:sz w:val="24"/>
          <w:highlight w:val="none"/>
        </w:rPr>
      </w:pPr>
    </w:p>
    <w:p w14:paraId="7967D90C">
      <w:pPr>
        <w:tabs>
          <w:tab w:val="left" w:pos="6300"/>
        </w:tabs>
        <w:snapToGrid w:val="0"/>
        <w:spacing w:line="500" w:lineRule="exact"/>
        <w:ind w:firstLine="570"/>
        <w:jc w:val="left"/>
        <w:rPr>
          <w:rFonts w:hint="eastAsia" w:ascii="宋体" w:hAnsi="宋体" w:eastAsia="宋体" w:cs="宋体"/>
          <w:color w:val="auto"/>
          <w:sz w:val="24"/>
          <w:highlight w:val="none"/>
        </w:rPr>
      </w:pPr>
    </w:p>
    <w:p w14:paraId="2EEAC632">
      <w:pPr>
        <w:tabs>
          <w:tab w:val="left" w:pos="6300"/>
        </w:tabs>
        <w:snapToGrid w:val="0"/>
        <w:spacing w:line="500" w:lineRule="exact"/>
        <w:ind w:firstLine="570"/>
        <w:jc w:val="left"/>
        <w:rPr>
          <w:rFonts w:hint="eastAsia" w:ascii="宋体" w:hAnsi="宋体" w:eastAsia="宋体" w:cs="宋体"/>
          <w:color w:val="auto"/>
          <w:sz w:val="24"/>
          <w:highlight w:val="none"/>
        </w:rPr>
      </w:pPr>
    </w:p>
    <w:p w14:paraId="1D42F1DB">
      <w:pPr>
        <w:tabs>
          <w:tab w:val="left" w:pos="6300"/>
        </w:tabs>
        <w:snapToGrid w:val="0"/>
        <w:spacing w:line="500" w:lineRule="exact"/>
        <w:ind w:firstLine="570"/>
        <w:jc w:val="left"/>
        <w:rPr>
          <w:rFonts w:hint="eastAsia" w:ascii="宋体" w:hAnsi="宋体" w:eastAsia="宋体" w:cs="宋体"/>
          <w:color w:val="auto"/>
          <w:sz w:val="24"/>
          <w:highlight w:val="none"/>
        </w:rPr>
      </w:pPr>
    </w:p>
    <w:p w14:paraId="58A5C54F">
      <w:pPr>
        <w:tabs>
          <w:tab w:val="left" w:pos="6300"/>
        </w:tabs>
        <w:snapToGrid w:val="0"/>
        <w:spacing w:line="500" w:lineRule="exact"/>
        <w:ind w:firstLine="570"/>
        <w:jc w:val="left"/>
        <w:rPr>
          <w:rFonts w:hint="eastAsia" w:ascii="宋体" w:hAnsi="宋体" w:eastAsia="宋体" w:cs="宋体"/>
          <w:color w:val="auto"/>
          <w:sz w:val="24"/>
          <w:highlight w:val="none"/>
        </w:rPr>
      </w:pPr>
    </w:p>
    <w:p w14:paraId="71C9FFEF">
      <w:pPr>
        <w:tabs>
          <w:tab w:val="left" w:pos="6300"/>
        </w:tabs>
        <w:snapToGrid w:val="0"/>
        <w:spacing w:line="500" w:lineRule="exact"/>
        <w:ind w:firstLine="570"/>
        <w:jc w:val="left"/>
        <w:rPr>
          <w:rFonts w:hint="eastAsia" w:ascii="宋体" w:hAnsi="宋体" w:eastAsia="宋体" w:cs="宋体"/>
          <w:color w:val="auto"/>
          <w:sz w:val="24"/>
          <w:highlight w:val="none"/>
        </w:rPr>
      </w:pPr>
    </w:p>
    <w:p w14:paraId="454BF5D7">
      <w:pPr>
        <w:tabs>
          <w:tab w:val="left" w:pos="6300"/>
        </w:tabs>
        <w:snapToGrid w:val="0"/>
        <w:spacing w:line="500" w:lineRule="exact"/>
        <w:ind w:firstLine="570"/>
        <w:jc w:val="left"/>
        <w:rPr>
          <w:rFonts w:hint="eastAsia" w:ascii="宋体" w:hAnsi="宋体" w:eastAsia="宋体" w:cs="宋体"/>
          <w:color w:val="auto"/>
          <w:sz w:val="24"/>
          <w:highlight w:val="none"/>
        </w:rPr>
      </w:pPr>
    </w:p>
    <w:p w14:paraId="5571669A">
      <w:pPr>
        <w:tabs>
          <w:tab w:val="left" w:pos="6300"/>
        </w:tabs>
        <w:snapToGrid w:val="0"/>
        <w:spacing w:line="500" w:lineRule="exact"/>
        <w:ind w:firstLine="570"/>
        <w:jc w:val="left"/>
        <w:rPr>
          <w:rFonts w:hint="eastAsia" w:ascii="宋体" w:hAnsi="宋体" w:eastAsia="宋体" w:cs="宋体"/>
          <w:color w:val="auto"/>
          <w:sz w:val="24"/>
          <w:highlight w:val="none"/>
        </w:rPr>
      </w:pPr>
    </w:p>
    <w:p w14:paraId="41DBE9D1">
      <w:pPr>
        <w:tabs>
          <w:tab w:val="left" w:pos="6300"/>
        </w:tabs>
        <w:snapToGrid w:val="0"/>
        <w:spacing w:line="500" w:lineRule="exact"/>
        <w:ind w:firstLine="570"/>
        <w:jc w:val="left"/>
        <w:rPr>
          <w:rFonts w:hint="eastAsia" w:ascii="宋体" w:hAnsi="宋体" w:eastAsia="宋体" w:cs="宋体"/>
          <w:color w:val="auto"/>
          <w:sz w:val="24"/>
          <w:highlight w:val="none"/>
        </w:rPr>
      </w:pPr>
    </w:p>
    <w:p w14:paraId="27E57285">
      <w:pPr>
        <w:tabs>
          <w:tab w:val="left" w:pos="6300"/>
        </w:tabs>
        <w:snapToGrid w:val="0"/>
        <w:spacing w:line="500" w:lineRule="exact"/>
        <w:ind w:firstLine="570"/>
        <w:jc w:val="left"/>
        <w:rPr>
          <w:rFonts w:hint="eastAsia" w:ascii="宋体" w:hAnsi="宋体" w:eastAsia="宋体" w:cs="宋体"/>
          <w:color w:val="auto"/>
          <w:sz w:val="24"/>
          <w:highlight w:val="none"/>
        </w:rPr>
      </w:pPr>
    </w:p>
    <w:p w14:paraId="413FB541">
      <w:pPr>
        <w:tabs>
          <w:tab w:val="left" w:pos="6300"/>
        </w:tabs>
        <w:snapToGrid w:val="0"/>
        <w:spacing w:line="500" w:lineRule="exact"/>
        <w:ind w:firstLine="570"/>
        <w:jc w:val="left"/>
        <w:rPr>
          <w:rFonts w:hint="eastAsia" w:ascii="宋体" w:hAnsi="宋体" w:eastAsia="宋体" w:cs="宋体"/>
          <w:color w:val="auto"/>
          <w:sz w:val="24"/>
          <w:highlight w:val="none"/>
        </w:rPr>
      </w:pPr>
    </w:p>
    <w:p w14:paraId="1068367D">
      <w:pPr>
        <w:tabs>
          <w:tab w:val="left" w:pos="6300"/>
        </w:tabs>
        <w:snapToGrid w:val="0"/>
        <w:spacing w:line="500" w:lineRule="exact"/>
        <w:ind w:firstLine="570"/>
        <w:jc w:val="left"/>
        <w:rPr>
          <w:rFonts w:hint="eastAsia" w:ascii="宋体" w:hAnsi="宋体" w:eastAsia="宋体" w:cs="宋体"/>
          <w:color w:val="auto"/>
          <w:sz w:val="24"/>
          <w:highlight w:val="none"/>
        </w:rPr>
      </w:pPr>
    </w:p>
    <w:p w14:paraId="3A5A574D">
      <w:pPr>
        <w:tabs>
          <w:tab w:val="left" w:pos="6300"/>
        </w:tabs>
        <w:snapToGrid w:val="0"/>
        <w:spacing w:line="500" w:lineRule="exact"/>
        <w:ind w:firstLine="570"/>
        <w:jc w:val="left"/>
        <w:rPr>
          <w:rFonts w:hint="eastAsia" w:ascii="宋体" w:hAnsi="宋体" w:eastAsia="宋体" w:cs="宋体"/>
          <w:color w:val="auto"/>
          <w:sz w:val="24"/>
          <w:highlight w:val="none"/>
        </w:rPr>
      </w:pPr>
    </w:p>
    <w:p w14:paraId="6CDD7D58">
      <w:pPr>
        <w:tabs>
          <w:tab w:val="left" w:pos="6300"/>
        </w:tabs>
        <w:snapToGrid w:val="0"/>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（结束）</w:t>
      </w:r>
    </w:p>
    <w:p w14:paraId="399D2004">
      <w:pPr>
        <w:snapToGrid w:val="0"/>
        <w:spacing w:line="500" w:lineRule="exact"/>
        <w:ind w:firstLine="560" w:firstLineChars="200"/>
        <w:rPr>
          <w:rFonts w:hint="eastAsia" w:ascii="宋体" w:hAnsi="宋体" w:eastAsia="宋体" w:cs="宋体"/>
          <w:color w:val="auto"/>
          <w:highlight w:val="none"/>
        </w:rPr>
      </w:pPr>
    </w:p>
    <w:sectPr>
      <w:footerReference r:id="rId9"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Droid Sans Fallbac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CESI黑体-GB13000">
    <w:panose1 w:val="02000500000000000000"/>
    <w:charset w:val="86"/>
    <w:family w:val="auto"/>
    <w:pitch w:val="default"/>
    <w:sig w:usb0="800002BF" w:usb1="38CF7CF8" w:usb2="00000016" w:usb3="00000000" w:csb0="0004000F" w:csb1="00000000"/>
  </w:font>
  <w:font w:name="国标宋体-超大字符集扩">
    <w:panose1 w:val="00000500000000000000"/>
    <w:charset w:val="86"/>
    <w:family w:val="auto"/>
    <w:pitch w:val="default"/>
    <w:sig w:usb0="00000001" w:usb1="08000000" w:usb2="00000000" w:usb3="00000000" w:csb0="00040000" w:csb1="00000000"/>
  </w:font>
  <w:font w:name="PMingLiU">
    <w:altName w:val="Droid Sans Fallback"/>
    <w:panose1 w:val="02020500000000000000"/>
    <w:charset w:val="88"/>
    <w:family w:val="roman"/>
    <w:pitch w:val="default"/>
    <w:sig w:usb0="00000000" w:usb1="00000000" w:usb2="00000016" w:usb3="00000000" w:csb0="00100001" w:csb1="00000000"/>
  </w:font>
  <w:font w:name="仿宋_GB2312">
    <w:altName w:val="CESI仿宋-GB13000"/>
    <w:panose1 w:val="02010609030101010101"/>
    <w:charset w:val="86"/>
    <w:family w:val="modern"/>
    <w:pitch w:val="default"/>
    <w:sig w:usb0="00000000" w:usb1="00000000" w:usb2="00000000" w:usb3="00000000" w:csb0="00040000" w:csb1="00000000"/>
  </w:font>
  <w:font w:name="CESI仿宋-GB13000">
    <w:panose1 w:val="02000500000000000000"/>
    <w:charset w:val="86"/>
    <w:family w:val="auto"/>
    <w:pitch w:val="default"/>
    <w:sig w:usb0="800002BF" w:usb1="18CF7CF8" w:usb2="00000016" w:usb3="00000000" w:csb0="0004000F" w:csb1="00000000"/>
  </w:font>
  <w:font w:name="Arial Unicode MS">
    <w:altName w:val="DejaVu Sans"/>
    <w:panose1 w:val="020B0604020202020204"/>
    <w:charset w:val="86"/>
    <w:family w:val="swiss"/>
    <w:pitch w:val="default"/>
    <w:sig w:usb0="00000000" w:usb1="00000000" w:usb2="0000003F" w:usb3="00000000" w:csb0="603F01FF" w:csb1="FFFF0000"/>
  </w:font>
  <w:font w:name="_x000B__x000C_">
    <w:altName w:val="华文仿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文鼎粗黑">
    <w:altName w:val="Noto Sans CJK SC"/>
    <w:panose1 w:val="00000000000000000000"/>
    <w:charset w:val="86"/>
    <w:family w:val="modern"/>
    <w:pitch w:val="default"/>
    <w:sig w:usb0="00000000" w:usb1="00000000" w:usb2="00000010" w:usb3="00000000" w:csb0="00040000" w:csb1="00000000"/>
  </w:font>
  <w:font w:name="Noto Sans CJK SC">
    <w:panose1 w:val="020B0500000000000000"/>
    <w:charset w:val="86"/>
    <w:family w:val="auto"/>
    <w:pitch w:val="default"/>
    <w:sig w:usb0="30000083" w:usb1="2BDF3C10" w:usb2="00000016" w:usb3="00000000" w:csb0="602E0107"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Arial Narrow">
    <w:altName w:val="DejaVu Sans"/>
    <w:panose1 w:val="020B0606020202030204"/>
    <w:charset w:val="00"/>
    <w:family w:val="swiss"/>
    <w:pitch w:val="default"/>
    <w:sig w:usb0="00000000" w:usb1="00000000" w:usb2="00000000" w:usb3="00000000" w:csb0="2000009F" w:csb1="DFD70000"/>
  </w:font>
  <w:font w:name="昆仑楷体">
    <w:altName w:val="Droid Sans Fallback"/>
    <w:panose1 w:val="00000000000000000000"/>
    <w:charset w:val="86"/>
    <w:family w:val="modern"/>
    <w:pitch w:val="default"/>
    <w:sig w:usb0="00000000" w:usb1="00000000" w:usb2="00000010" w:usb3="00000000" w:csb0="00040000" w:csb1="00000000"/>
  </w:font>
  <w:font w:name="楷体_GB2312">
    <w:altName w:val="CESI楷体-GB13000"/>
    <w:panose1 w:val="02010609030101010101"/>
    <w:charset w:val="86"/>
    <w:family w:val="modern"/>
    <w:pitch w:val="default"/>
    <w:sig w:usb0="00000000" w:usb1="00000000" w:usb2="00000000" w:usb3="00000000" w:csb0="00040000" w:csb1="00000000"/>
  </w:font>
  <w:font w:name="CESI楷体-GB13000">
    <w:panose1 w:val="02000500000000000000"/>
    <w:charset w:val="86"/>
    <w:family w:val="auto"/>
    <w:pitch w:val="default"/>
    <w:sig w:usb0="800002BF" w:usb1="38CF7CF8" w:usb2="00000016" w:usb3="00000000" w:csb0="0004000F" w:csb1="00000000"/>
  </w:font>
  <w:font w:name="华文宋体">
    <w:panose1 w:val="02010600040101010101"/>
    <w:charset w:val="86"/>
    <w:family w:val="auto"/>
    <w:pitch w:val="default"/>
    <w:sig w:usb0="00000287" w:usb1="080F0000" w:usb2="00000000" w:usb3="00000000" w:csb0="0004009F" w:csb1="DFD70000"/>
  </w:font>
  <w:font w:name="方正仿宋_GBK">
    <w:altName w:val="CESI仿宋-GB13000"/>
    <w:panose1 w:val="03000509000000000000"/>
    <w:charset w:val="86"/>
    <w:family w:val="script"/>
    <w:pitch w:val="default"/>
    <w:sig w:usb0="00000000" w:usb1="00000000" w:usb2="00000000" w:usb3="00000000" w:csb0="00040000" w:csb1="00000000"/>
  </w:font>
  <w:font w:name="仿宋">
    <w:altName w:val="CESI仿宋-GB13000"/>
    <w:panose1 w:val="02010609060101010101"/>
    <w:charset w:val="86"/>
    <w:family w:val="auto"/>
    <w:pitch w:val="default"/>
    <w:sig w:usb0="00000000" w:usb1="00000000" w:usb2="00000016" w:usb3="00000000" w:csb0="00040001" w:csb1="00000000"/>
  </w:font>
  <w:font w:name="方正黑体_GBK">
    <w:altName w:val="CESI黑体-GB13000"/>
    <w:panose1 w:val="03000509000000000000"/>
    <w:charset w:val="86"/>
    <w:family w:val="script"/>
    <w:pitch w:val="default"/>
    <w:sig w:usb0="00000000" w:usb1="00000000" w:usb2="00000000" w:usb3="00000000" w:csb0="00040000" w:csb1="00000000"/>
  </w:font>
  <w:font w:name="方正小标宋_GBK">
    <w:altName w:val="CESI小标宋-GB13000"/>
    <w:panose1 w:val="02000000000000000000"/>
    <w:charset w:val="86"/>
    <w:family w:val="script"/>
    <w:pitch w:val="default"/>
    <w:sig w:usb0="00000000" w:usb1="00000000" w:usb2="00000000" w:usb3="00000000" w:csb0="00040000" w:csb1="00000000"/>
  </w:font>
  <w:font w:name="CESI小标宋-GB13000">
    <w:panose1 w:val="02000500000000000000"/>
    <w:charset w:val="86"/>
    <w:family w:val="auto"/>
    <w:pitch w:val="default"/>
    <w:sig w:usb0="800002BF" w:usb1="18CF7CF8" w:usb2="00000016" w:usb3="00000000" w:csb0="0004000F" w:csb1="00000000"/>
  </w:font>
  <w:font w:name="微软雅黑">
    <w:altName w:val="Droid Sans Fallbac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FE97">
    <w:pPr>
      <w:pStyle w:val="35"/>
      <w:jc w:val="center"/>
      <w:rPr>
        <w:rFonts w:hint="eastAsia"/>
        <w:sz w:val="24"/>
      </w:rPr>
    </w:pPr>
    <w:r>
      <w:rPr>
        <w:sz w:val="24"/>
      </w:rPr>
      <w:fldChar w:fldCharType="begin"/>
    </w:r>
    <w:r>
      <w:rPr>
        <w:rStyle w:val="61"/>
        <w:sz w:val="24"/>
      </w:rPr>
      <w:instrText xml:space="preserve"> PAGE </w:instrText>
    </w:r>
    <w:r>
      <w:rPr>
        <w:sz w:val="24"/>
      </w:rPr>
      <w:fldChar w:fldCharType="separate"/>
    </w:r>
    <w:r>
      <w:rPr>
        <w:rStyle w:val="61"/>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AFAF2">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30D681D2">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1CC2B">
    <w:pPr>
      <w:pStyle w:val="35"/>
      <w:ind w:right="360"/>
      <w:jc w:val="center"/>
    </w:pPr>
    <w:r>
      <w:fldChar w:fldCharType="begin"/>
    </w:r>
    <w:r>
      <w:rPr>
        <w:rStyle w:val="61"/>
      </w:rPr>
      <w:instrText xml:space="preserve"> PAGE </w:instrText>
    </w:r>
    <w:r>
      <w:fldChar w:fldCharType="separate"/>
    </w:r>
    <w:r>
      <w:rPr>
        <w:rStyle w:val="61"/>
      </w:rPr>
      <w:t>- 22 -</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3EC12">
    <w:pPr>
      <w:pStyle w:val="35"/>
      <w:framePr w:wrap="around" w:vAnchor="text" w:hAnchor="margin" w:xAlign="right" w:y="1"/>
      <w:rPr>
        <w:rStyle w:val="61"/>
      </w:rPr>
    </w:pPr>
    <w:r>
      <w:fldChar w:fldCharType="begin"/>
    </w:r>
    <w:r>
      <w:rPr>
        <w:rStyle w:val="61"/>
      </w:rPr>
      <w:instrText xml:space="preserve">PAGE  </w:instrText>
    </w:r>
    <w:r>
      <w:fldChar w:fldCharType="separate"/>
    </w:r>
    <w:r>
      <w:fldChar w:fldCharType="end"/>
    </w:r>
  </w:p>
  <w:p w14:paraId="5ADC494C">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06580">
    <w:pPr>
      <w:pStyle w:val="35"/>
      <w:jc w:val="center"/>
      <w:rPr>
        <w:sz w:val="24"/>
      </w:rPr>
    </w:pPr>
    <w:r>
      <w:rPr>
        <w:sz w:val="24"/>
      </w:rPr>
      <w:fldChar w:fldCharType="begin"/>
    </w:r>
    <w:r>
      <w:rPr>
        <w:rStyle w:val="61"/>
        <w:sz w:val="24"/>
      </w:rPr>
      <w:instrText xml:space="preserve"> PAGE </w:instrText>
    </w:r>
    <w:r>
      <w:rPr>
        <w:sz w:val="24"/>
      </w:rPr>
      <w:fldChar w:fldCharType="separate"/>
    </w:r>
    <w:r>
      <w:rPr>
        <w:rStyle w:val="61"/>
        <w:sz w:val="24"/>
      </w:rPr>
      <w:t>- 39 -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8B538">
    <w:pPr>
      <w:pStyle w:val="36"/>
      <w:pBdr>
        <w:bottom w:val="single" w:color="auto" w:sz="4" w:space="1"/>
      </w:pBdr>
      <w:jc w:val="both"/>
      <w:rPr>
        <w:rFonts w:hint="eastAsia" w:ascii="方正仿宋_GBK" w:eastAsia="方正仿宋_GBK"/>
        <w:sz w:val="21"/>
        <w:szCs w:val="24"/>
      </w:rPr>
    </w:pPr>
    <w:r>
      <w:rPr>
        <w:rFonts w:hint="eastAsia" w:ascii="方正仿宋_GBK" w:eastAsia="方正仿宋_GBK"/>
        <w:sz w:val="21"/>
        <w:szCs w:val="24"/>
      </w:rPr>
      <w:t xml:space="preserve">重庆市政府采购中心         </w:t>
    </w:r>
    <w:r>
      <w:rPr>
        <w:rFonts w:hint="eastAsia" w:ascii="方正仿宋_GBK" w:eastAsia="方正仿宋_GBK"/>
        <w:sz w:val="21"/>
        <w:szCs w:val="24"/>
        <w:lang w:val="en-US" w:eastAsia="zh-CN"/>
      </w:rPr>
      <w:t xml:space="preserve">                            </w:t>
    </w:r>
    <w:r>
      <w:rPr>
        <w:rFonts w:hint="eastAsia" w:ascii="方正仿宋_GBK" w:eastAsia="方正仿宋_GBK"/>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53A9D">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pStyle w:val="13"/>
      <w:lvlText w:val="%1."/>
      <w:lvlJc w:val="left"/>
      <w:pPr>
        <w:tabs>
          <w:tab w:val="left" w:pos="780"/>
        </w:tabs>
        <w:ind w:left="780" w:hanging="360"/>
      </w:pPr>
    </w:lvl>
  </w:abstractNum>
  <w:abstractNum w:abstractNumId="1">
    <w:nsid w:val="00000005"/>
    <w:multiLevelType w:val="multilevel"/>
    <w:tmpl w:val="00000005"/>
    <w:lvl w:ilvl="0" w:tentative="0">
      <w:start w:val="1"/>
      <w:numFmt w:val="bullet"/>
      <w:pStyle w:val="205"/>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
    <w:nsid w:val="00000006"/>
    <w:multiLevelType w:val="singleLevel"/>
    <w:tmpl w:val="00000006"/>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3">
    <w:nsid w:val="00000007"/>
    <w:multiLevelType w:val="multilevel"/>
    <w:tmpl w:val="00000007"/>
    <w:lvl w:ilvl="0" w:tentative="0">
      <w:start w:val="1"/>
      <w:numFmt w:val="bullet"/>
      <w:pStyle w:val="14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8"/>
    <w:multiLevelType w:val="multilevel"/>
    <w:tmpl w:val="00000008"/>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9"/>
    <w:multiLevelType w:val="multilevel"/>
    <w:tmpl w:val="00000009"/>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1"/>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A"/>
    <w:multiLevelType w:val="multilevel"/>
    <w:tmpl w:val="0000000A"/>
    <w:lvl w:ilvl="0" w:tentative="0">
      <w:start w:val="8"/>
      <w:numFmt w:val="decimal"/>
      <w:pStyle w:val="123"/>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48"/>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12"/>
    <w:multiLevelType w:val="singleLevel"/>
    <w:tmpl w:val="00000012"/>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8">
    <w:nsid w:val="00000013"/>
    <w:multiLevelType w:val="multilevel"/>
    <w:tmpl w:val="00000013"/>
    <w:lvl w:ilvl="0" w:tentative="0">
      <w:start w:val="1"/>
      <w:numFmt w:val="bullet"/>
      <w:pStyle w:val="146"/>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5"/>
    <w:multiLevelType w:val="multilevel"/>
    <w:tmpl w:val="00000015"/>
    <w:lvl w:ilvl="0" w:tentative="0">
      <w:start w:val="1"/>
      <w:numFmt w:val="decimal"/>
      <w:pStyle w:val="147"/>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6"/>
    <w:multiLevelType w:val="singleLevel"/>
    <w:tmpl w:val="00000016"/>
    <w:lvl w:ilvl="0" w:tentative="0">
      <w:start w:val="1"/>
      <w:numFmt w:val="bullet"/>
      <w:pStyle w:val="145"/>
      <w:lvlText w:val=""/>
      <w:lvlJc w:val="left"/>
      <w:pPr>
        <w:tabs>
          <w:tab w:val="left" w:pos="360"/>
        </w:tabs>
        <w:ind w:left="360" w:hanging="360"/>
      </w:pPr>
      <w:rPr>
        <w:rFonts w:hint="default" w:ascii="Wingdings" w:hAnsi="Wingdings"/>
      </w:rPr>
    </w:lvl>
  </w:abstractNum>
  <w:abstractNum w:abstractNumId="11">
    <w:nsid w:val="00000017"/>
    <w:multiLevelType w:val="singleLevel"/>
    <w:tmpl w:val="00000017"/>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2">
    <w:nsid w:val="00000019"/>
    <w:multiLevelType w:val="singleLevel"/>
    <w:tmpl w:val="00000019"/>
    <w:lvl w:ilvl="0" w:tentative="0">
      <w:start w:val="1"/>
      <w:numFmt w:val="decimal"/>
      <w:pStyle w:val="155"/>
      <w:lvlText w:val="%1)"/>
      <w:lvlJc w:val="left"/>
      <w:pPr>
        <w:tabs>
          <w:tab w:val="left" w:pos="425"/>
        </w:tabs>
        <w:ind w:left="425" w:hanging="425"/>
      </w:pPr>
      <w:rPr>
        <w:rFonts w:hint="eastAsia"/>
      </w:rPr>
    </w:lvl>
  </w:abstractNum>
  <w:abstractNum w:abstractNumId="13">
    <w:nsid w:val="0000001A"/>
    <w:multiLevelType w:val="multilevel"/>
    <w:tmpl w:val="0000001A"/>
    <w:lvl w:ilvl="0" w:tentative="0">
      <w:start w:val="1"/>
      <w:numFmt w:val="decimal"/>
      <w:pStyle w:val="196"/>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1D"/>
    <w:multiLevelType w:val="multilevel"/>
    <w:tmpl w:val="0000001D"/>
    <w:lvl w:ilvl="0" w:tentative="0">
      <w:start w:val="1"/>
      <w:numFmt w:val="chineseCountingThousand"/>
      <w:pStyle w:val="13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0942FA6"/>
    <w:multiLevelType w:val="singleLevel"/>
    <w:tmpl w:val="30942FA6"/>
    <w:lvl w:ilvl="0" w:tentative="0">
      <w:start w:val="1"/>
      <w:numFmt w:val="decimal"/>
      <w:pStyle w:val="70"/>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7D74A65D"/>
    <w:multiLevelType w:val="multilevel"/>
    <w:tmpl w:val="7D74A65D"/>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228"/>
      <w:suff w:val="nothing"/>
      <w:lvlText w:val="(%2)"/>
      <w:lvlJc w:val="left"/>
      <w:pPr>
        <w:ind w:left="0" w:firstLine="0"/>
      </w:pPr>
      <w:rPr>
        <w:rFonts w:hint="eastAsia" w:ascii="仿宋" w:hAnsi="仿宋" w:eastAsia="仿宋" w:cs="仿宋"/>
        <w:sz w:val="24"/>
        <w:szCs w:val="24"/>
      </w:rPr>
    </w:lvl>
    <w:lvl w:ilvl="2" w:tentative="0">
      <w:start w:val="1"/>
      <w:numFmt w:val="decimal"/>
      <w:suff w:val="nothing"/>
      <w:lvlText w:val="%3."/>
      <w:lvlJc w:val="left"/>
      <w:pPr>
        <w:ind w:left="0" w:firstLine="0"/>
      </w:pPr>
      <w:rPr>
        <w:rFonts w:hint="eastAsia" w:ascii="仿宋" w:hAnsi="仿宋" w:eastAsia="仿宋" w:cs="仿宋"/>
        <w:sz w:val="24"/>
        <w:szCs w:val="24"/>
      </w:rPr>
    </w:lvl>
    <w:lvl w:ilvl="3" w:tentative="0">
      <w:start w:val="1"/>
      <w:numFmt w:val="decimal"/>
      <w:suff w:val="nothing"/>
      <w:lvlText w:val="%3.%4"/>
      <w:lvlJc w:val="left"/>
      <w:pPr>
        <w:ind w:left="0" w:firstLine="0"/>
      </w:pPr>
      <w:rPr>
        <w:rFonts w:hint="eastAsia" w:ascii="仿宋" w:hAnsi="仿宋" w:eastAsia="仿宋" w:cs="仿宋"/>
        <w:sz w:val="24"/>
        <w:szCs w:val="24"/>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lvl>
    <w:lvl w:ilvl="6" w:tentative="0">
      <w:start w:val="1"/>
      <w:numFmt w:val="lowerLetter"/>
      <w:suff w:val="nothing"/>
      <w:lvlText w:val="%7．"/>
      <w:lvlJc w:val="left"/>
      <w:pPr>
        <w:ind w:left="0" w:firstLine="402"/>
      </w:pPr>
    </w:lvl>
    <w:lvl w:ilvl="7" w:tentative="0">
      <w:start w:val="1"/>
      <w:numFmt w:val="lowerLetter"/>
      <w:suff w:val="nothing"/>
      <w:lvlText w:val="%8）"/>
      <w:lvlJc w:val="left"/>
      <w:pPr>
        <w:ind w:left="0" w:firstLine="402"/>
      </w:pPr>
    </w:lvl>
    <w:lvl w:ilvl="8" w:tentative="0">
      <w:start w:val="1"/>
      <w:numFmt w:val="lowerRoman"/>
      <w:suff w:val="nothing"/>
      <w:lvlText w:val="%9 "/>
      <w:lvlJc w:val="left"/>
      <w:pPr>
        <w:ind w:left="0" w:firstLine="402"/>
      </w:pPr>
    </w:lvl>
  </w:abstractNum>
  <w:abstractNum w:abstractNumId="18">
    <w:nsid w:val="7DA4651B"/>
    <w:multiLevelType w:val="multilevel"/>
    <w:tmpl w:val="7DA4651B"/>
    <w:lvl w:ilvl="0" w:tentative="0">
      <w:start w:val="1"/>
      <w:numFmt w:val="japaneseCounting"/>
      <w:lvlText w:val="(%1)"/>
      <w:lvlJc w:val="left"/>
      <w:pPr>
        <w:ind w:left="992" w:hanging="510"/>
      </w:pPr>
      <w:rPr>
        <w:b/>
      </w:rPr>
    </w:lvl>
    <w:lvl w:ilvl="1" w:tentative="0">
      <w:start w:val="1"/>
      <w:numFmt w:val="lowerLetter"/>
      <w:lvlText w:val="%2)"/>
      <w:lvlJc w:val="left"/>
      <w:pPr>
        <w:ind w:left="1362" w:hanging="440"/>
      </w:pPr>
    </w:lvl>
    <w:lvl w:ilvl="2" w:tentative="0">
      <w:start w:val="1"/>
      <w:numFmt w:val="lowerRoman"/>
      <w:lvlText w:val="%3."/>
      <w:lvlJc w:val="right"/>
      <w:pPr>
        <w:ind w:left="1802" w:hanging="440"/>
      </w:pPr>
    </w:lvl>
    <w:lvl w:ilvl="3" w:tentative="0">
      <w:start w:val="1"/>
      <w:numFmt w:val="decimal"/>
      <w:lvlText w:val="%4."/>
      <w:lvlJc w:val="left"/>
      <w:pPr>
        <w:ind w:left="2242" w:hanging="440"/>
      </w:pPr>
    </w:lvl>
    <w:lvl w:ilvl="4" w:tentative="0">
      <w:start w:val="1"/>
      <w:numFmt w:val="lowerLetter"/>
      <w:lvlText w:val="%5)"/>
      <w:lvlJc w:val="left"/>
      <w:pPr>
        <w:ind w:left="2682" w:hanging="440"/>
      </w:pPr>
    </w:lvl>
    <w:lvl w:ilvl="5" w:tentative="0">
      <w:start w:val="1"/>
      <w:numFmt w:val="lowerRoman"/>
      <w:lvlText w:val="%6."/>
      <w:lvlJc w:val="right"/>
      <w:pPr>
        <w:ind w:left="3122" w:hanging="440"/>
      </w:pPr>
    </w:lvl>
    <w:lvl w:ilvl="6" w:tentative="0">
      <w:start w:val="1"/>
      <w:numFmt w:val="decimal"/>
      <w:lvlText w:val="%7."/>
      <w:lvlJc w:val="left"/>
      <w:pPr>
        <w:ind w:left="3562" w:hanging="440"/>
      </w:pPr>
    </w:lvl>
    <w:lvl w:ilvl="7" w:tentative="0">
      <w:start w:val="1"/>
      <w:numFmt w:val="lowerLetter"/>
      <w:lvlText w:val="%8)"/>
      <w:lvlJc w:val="left"/>
      <w:pPr>
        <w:ind w:left="4002" w:hanging="440"/>
      </w:pPr>
    </w:lvl>
    <w:lvl w:ilvl="8" w:tentative="0">
      <w:start w:val="1"/>
      <w:numFmt w:val="lowerRoman"/>
      <w:lvlText w:val="%9."/>
      <w:lvlJc w:val="right"/>
      <w:pPr>
        <w:ind w:left="4442" w:hanging="440"/>
      </w:pPr>
    </w:lvl>
  </w:abstractNum>
  <w:num w:numId="1">
    <w:abstractNumId w:val="4"/>
  </w:num>
  <w:num w:numId="2">
    <w:abstractNumId w:val="0"/>
  </w:num>
  <w:num w:numId="3">
    <w:abstractNumId w:val="2"/>
  </w:num>
  <w:num w:numId="4">
    <w:abstractNumId w:val="11"/>
  </w:num>
  <w:num w:numId="5">
    <w:abstractNumId w:val="7"/>
  </w:num>
  <w:num w:numId="6">
    <w:abstractNumId w:val="15"/>
  </w:num>
  <w:num w:numId="7">
    <w:abstractNumId w:val="16"/>
  </w:num>
  <w:num w:numId="8">
    <w:abstractNumId w:val="5"/>
  </w:num>
  <w:num w:numId="9">
    <w:abstractNumId w:val="6"/>
  </w:num>
  <w:num w:numId="10">
    <w:abstractNumId w:val="14"/>
  </w:num>
  <w:num w:numId="11">
    <w:abstractNumId w:val="3"/>
  </w:num>
  <w:num w:numId="12">
    <w:abstractNumId w:val="10"/>
  </w:num>
  <w:num w:numId="13">
    <w:abstractNumId w:val="8"/>
  </w:num>
  <w:num w:numId="14">
    <w:abstractNumId w:val="9"/>
  </w:num>
  <w:num w:numId="15">
    <w:abstractNumId w:val="12"/>
  </w:num>
  <w:num w:numId="16">
    <w:abstractNumId w:val="13"/>
  </w:num>
  <w:num w:numId="17">
    <w:abstractNumId w:val="1"/>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hyphenationZone w:val="36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djYTk2Y2YyYTU0Y2ZlYmRlY2Y4ODdlM2Q3MGU5ZTIifQ=="/>
  </w:docVars>
  <w:rsids>
    <w:rsidRoot w:val="00172A27"/>
    <w:rsid w:val="00001804"/>
    <w:rsid w:val="0000222D"/>
    <w:rsid w:val="00003684"/>
    <w:rsid w:val="000072F0"/>
    <w:rsid w:val="00007D1F"/>
    <w:rsid w:val="00011AF1"/>
    <w:rsid w:val="00013BFF"/>
    <w:rsid w:val="00021946"/>
    <w:rsid w:val="000266A1"/>
    <w:rsid w:val="0003075E"/>
    <w:rsid w:val="00031F64"/>
    <w:rsid w:val="0003282A"/>
    <w:rsid w:val="00034A67"/>
    <w:rsid w:val="0003767C"/>
    <w:rsid w:val="000376BA"/>
    <w:rsid w:val="00037FAD"/>
    <w:rsid w:val="00042250"/>
    <w:rsid w:val="00042F22"/>
    <w:rsid w:val="00043311"/>
    <w:rsid w:val="0004452E"/>
    <w:rsid w:val="00044D30"/>
    <w:rsid w:val="00047144"/>
    <w:rsid w:val="000477D1"/>
    <w:rsid w:val="00056058"/>
    <w:rsid w:val="00057565"/>
    <w:rsid w:val="00060807"/>
    <w:rsid w:val="00063B7F"/>
    <w:rsid w:val="00064EA7"/>
    <w:rsid w:val="0006572E"/>
    <w:rsid w:val="00075520"/>
    <w:rsid w:val="00077C89"/>
    <w:rsid w:val="0008272E"/>
    <w:rsid w:val="000871AF"/>
    <w:rsid w:val="000908E7"/>
    <w:rsid w:val="0009136B"/>
    <w:rsid w:val="000946BD"/>
    <w:rsid w:val="00094D91"/>
    <w:rsid w:val="000A2FB3"/>
    <w:rsid w:val="000A3ABD"/>
    <w:rsid w:val="000A5589"/>
    <w:rsid w:val="000A7D62"/>
    <w:rsid w:val="000B2716"/>
    <w:rsid w:val="000B279B"/>
    <w:rsid w:val="000B2953"/>
    <w:rsid w:val="000B4F50"/>
    <w:rsid w:val="000B6CA6"/>
    <w:rsid w:val="000B71EF"/>
    <w:rsid w:val="000B7516"/>
    <w:rsid w:val="000C06D1"/>
    <w:rsid w:val="000C2017"/>
    <w:rsid w:val="000C211D"/>
    <w:rsid w:val="000C2606"/>
    <w:rsid w:val="000C2A90"/>
    <w:rsid w:val="000C47BC"/>
    <w:rsid w:val="000C5334"/>
    <w:rsid w:val="000C7237"/>
    <w:rsid w:val="000C7F1A"/>
    <w:rsid w:val="000D1C04"/>
    <w:rsid w:val="000D1CE8"/>
    <w:rsid w:val="000D568F"/>
    <w:rsid w:val="000D6185"/>
    <w:rsid w:val="000E32C9"/>
    <w:rsid w:val="000E43DC"/>
    <w:rsid w:val="000E448B"/>
    <w:rsid w:val="000E491B"/>
    <w:rsid w:val="000E52BD"/>
    <w:rsid w:val="000E6331"/>
    <w:rsid w:val="000E7B26"/>
    <w:rsid w:val="000F16AA"/>
    <w:rsid w:val="000F176A"/>
    <w:rsid w:val="000F1E7A"/>
    <w:rsid w:val="000F2213"/>
    <w:rsid w:val="000F30CC"/>
    <w:rsid w:val="000F391C"/>
    <w:rsid w:val="000F482B"/>
    <w:rsid w:val="000F54DE"/>
    <w:rsid w:val="00101981"/>
    <w:rsid w:val="00102597"/>
    <w:rsid w:val="001035DF"/>
    <w:rsid w:val="001103D7"/>
    <w:rsid w:val="00110AA3"/>
    <w:rsid w:val="00111819"/>
    <w:rsid w:val="0011194D"/>
    <w:rsid w:val="001125BF"/>
    <w:rsid w:val="00115115"/>
    <w:rsid w:val="00115565"/>
    <w:rsid w:val="00120F7F"/>
    <w:rsid w:val="00121660"/>
    <w:rsid w:val="00121DF0"/>
    <w:rsid w:val="00121E47"/>
    <w:rsid w:val="001227CA"/>
    <w:rsid w:val="0012297F"/>
    <w:rsid w:val="00122FAE"/>
    <w:rsid w:val="001254D3"/>
    <w:rsid w:val="00125B25"/>
    <w:rsid w:val="00125E3E"/>
    <w:rsid w:val="0013102B"/>
    <w:rsid w:val="001329C4"/>
    <w:rsid w:val="00135250"/>
    <w:rsid w:val="0014045A"/>
    <w:rsid w:val="001407F6"/>
    <w:rsid w:val="0015178A"/>
    <w:rsid w:val="0015271E"/>
    <w:rsid w:val="001528E5"/>
    <w:rsid w:val="00155A15"/>
    <w:rsid w:val="00161645"/>
    <w:rsid w:val="0016795E"/>
    <w:rsid w:val="00170D90"/>
    <w:rsid w:val="00171FA0"/>
    <w:rsid w:val="00172B4D"/>
    <w:rsid w:val="00173AC9"/>
    <w:rsid w:val="00174645"/>
    <w:rsid w:val="001767A8"/>
    <w:rsid w:val="0018194D"/>
    <w:rsid w:val="0018361D"/>
    <w:rsid w:val="00185269"/>
    <w:rsid w:val="001864B0"/>
    <w:rsid w:val="00186A28"/>
    <w:rsid w:val="00187F68"/>
    <w:rsid w:val="001914BD"/>
    <w:rsid w:val="00191C9F"/>
    <w:rsid w:val="00191EDB"/>
    <w:rsid w:val="00194E17"/>
    <w:rsid w:val="00195FDD"/>
    <w:rsid w:val="001961B5"/>
    <w:rsid w:val="0019721E"/>
    <w:rsid w:val="00197352"/>
    <w:rsid w:val="00197B98"/>
    <w:rsid w:val="001A0940"/>
    <w:rsid w:val="001A3422"/>
    <w:rsid w:val="001A648A"/>
    <w:rsid w:val="001B18A7"/>
    <w:rsid w:val="001B4A20"/>
    <w:rsid w:val="001B539D"/>
    <w:rsid w:val="001C08B0"/>
    <w:rsid w:val="001C0EFC"/>
    <w:rsid w:val="001C2080"/>
    <w:rsid w:val="001C4398"/>
    <w:rsid w:val="001C54FE"/>
    <w:rsid w:val="001C6A1E"/>
    <w:rsid w:val="001D3224"/>
    <w:rsid w:val="001D3B7E"/>
    <w:rsid w:val="001D55FF"/>
    <w:rsid w:val="001D7E51"/>
    <w:rsid w:val="001E00AD"/>
    <w:rsid w:val="001E0EEA"/>
    <w:rsid w:val="001E2993"/>
    <w:rsid w:val="001E2F12"/>
    <w:rsid w:val="001E3A73"/>
    <w:rsid w:val="001E4F32"/>
    <w:rsid w:val="001E5383"/>
    <w:rsid w:val="001F07F7"/>
    <w:rsid w:val="001F1597"/>
    <w:rsid w:val="001F2CAB"/>
    <w:rsid w:val="001F381D"/>
    <w:rsid w:val="001F4FBB"/>
    <w:rsid w:val="001F6C1F"/>
    <w:rsid w:val="001F707E"/>
    <w:rsid w:val="00203395"/>
    <w:rsid w:val="00206C40"/>
    <w:rsid w:val="002101B3"/>
    <w:rsid w:val="00211510"/>
    <w:rsid w:val="00215BA6"/>
    <w:rsid w:val="00217474"/>
    <w:rsid w:val="00217C0F"/>
    <w:rsid w:val="00220225"/>
    <w:rsid w:val="00221CCE"/>
    <w:rsid w:val="00223B03"/>
    <w:rsid w:val="00225C9A"/>
    <w:rsid w:val="0022640C"/>
    <w:rsid w:val="0022711C"/>
    <w:rsid w:val="00227651"/>
    <w:rsid w:val="00230CE6"/>
    <w:rsid w:val="00233AFE"/>
    <w:rsid w:val="0023537E"/>
    <w:rsid w:val="00236A54"/>
    <w:rsid w:val="00236E09"/>
    <w:rsid w:val="00237468"/>
    <w:rsid w:val="00237C42"/>
    <w:rsid w:val="002423C3"/>
    <w:rsid w:val="00243084"/>
    <w:rsid w:val="002435D0"/>
    <w:rsid w:val="00243F8F"/>
    <w:rsid w:val="002474A9"/>
    <w:rsid w:val="00250567"/>
    <w:rsid w:val="00251AB6"/>
    <w:rsid w:val="00251E45"/>
    <w:rsid w:val="00252691"/>
    <w:rsid w:val="00252999"/>
    <w:rsid w:val="0025308A"/>
    <w:rsid w:val="0025530F"/>
    <w:rsid w:val="0025601D"/>
    <w:rsid w:val="00257FF1"/>
    <w:rsid w:val="00261D69"/>
    <w:rsid w:val="00262267"/>
    <w:rsid w:val="00262F6F"/>
    <w:rsid w:val="00263F00"/>
    <w:rsid w:val="00264A68"/>
    <w:rsid w:val="00265244"/>
    <w:rsid w:val="00266BCA"/>
    <w:rsid w:val="00267EDC"/>
    <w:rsid w:val="00270B2B"/>
    <w:rsid w:val="00275F04"/>
    <w:rsid w:val="0028038E"/>
    <w:rsid w:val="0028066C"/>
    <w:rsid w:val="00281077"/>
    <w:rsid w:val="00282E57"/>
    <w:rsid w:val="002833CF"/>
    <w:rsid w:val="0028346E"/>
    <w:rsid w:val="00286D19"/>
    <w:rsid w:val="00287AB5"/>
    <w:rsid w:val="0029022C"/>
    <w:rsid w:val="002919F0"/>
    <w:rsid w:val="00293471"/>
    <w:rsid w:val="00297B69"/>
    <w:rsid w:val="002A0397"/>
    <w:rsid w:val="002A0576"/>
    <w:rsid w:val="002A3478"/>
    <w:rsid w:val="002A4174"/>
    <w:rsid w:val="002B02CF"/>
    <w:rsid w:val="002B103B"/>
    <w:rsid w:val="002B12DD"/>
    <w:rsid w:val="002B1A88"/>
    <w:rsid w:val="002B26F0"/>
    <w:rsid w:val="002B304A"/>
    <w:rsid w:val="002B31D4"/>
    <w:rsid w:val="002B6669"/>
    <w:rsid w:val="002C64CD"/>
    <w:rsid w:val="002C6836"/>
    <w:rsid w:val="002C7F2B"/>
    <w:rsid w:val="002D2F75"/>
    <w:rsid w:val="002D4EBC"/>
    <w:rsid w:val="002D6665"/>
    <w:rsid w:val="002E0FB6"/>
    <w:rsid w:val="002E1162"/>
    <w:rsid w:val="002E1597"/>
    <w:rsid w:val="002E17D8"/>
    <w:rsid w:val="002E2816"/>
    <w:rsid w:val="002E3949"/>
    <w:rsid w:val="002E41DF"/>
    <w:rsid w:val="002E5580"/>
    <w:rsid w:val="002E6DFA"/>
    <w:rsid w:val="002F0BAE"/>
    <w:rsid w:val="002F1086"/>
    <w:rsid w:val="002F1557"/>
    <w:rsid w:val="002F35C1"/>
    <w:rsid w:val="002F5EEF"/>
    <w:rsid w:val="003051FD"/>
    <w:rsid w:val="003055FB"/>
    <w:rsid w:val="00305EFD"/>
    <w:rsid w:val="00305F51"/>
    <w:rsid w:val="003075D9"/>
    <w:rsid w:val="00307772"/>
    <w:rsid w:val="003078AE"/>
    <w:rsid w:val="003131E0"/>
    <w:rsid w:val="00313530"/>
    <w:rsid w:val="00316847"/>
    <w:rsid w:val="00316C9A"/>
    <w:rsid w:val="00317BBE"/>
    <w:rsid w:val="00321104"/>
    <w:rsid w:val="003220FF"/>
    <w:rsid w:val="003231A8"/>
    <w:rsid w:val="00331597"/>
    <w:rsid w:val="00331AC1"/>
    <w:rsid w:val="003327FC"/>
    <w:rsid w:val="003340BB"/>
    <w:rsid w:val="003361CA"/>
    <w:rsid w:val="00337B7B"/>
    <w:rsid w:val="003431D8"/>
    <w:rsid w:val="00344FF3"/>
    <w:rsid w:val="00346EF0"/>
    <w:rsid w:val="00347CE1"/>
    <w:rsid w:val="00350F6A"/>
    <w:rsid w:val="00356617"/>
    <w:rsid w:val="00357DCC"/>
    <w:rsid w:val="00360A42"/>
    <w:rsid w:val="00364602"/>
    <w:rsid w:val="003657B2"/>
    <w:rsid w:val="00367369"/>
    <w:rsid w:val="00367EEC"/>
    <w:rsid w:val="00370BF4"/>
    <w:rsid w:val="0037133A"/>
    <w:rsid w:val="0037169E"/>
    <w:rsid w:val="00372DC7"/>
    <w:rsid w:val="00373D11"/>
    <w:rsid w:val="0037479B"/>
    <w:rsid w:val="003754CD"/>
    <w:rsid w:val="00375B89"/>
    <w:rsid w:val="00380469"/>
    <w:rsid w:val="00381AAF"/>
    <w:rsid w:val="00381F76"/>
    <w:rsid w:val="003822B1"/>
    <w:rsid w:val="00383322"/>
    <w:rsid w:val="003836F8"/>
    <w:rsid w:val="00383C9F"/>
    <w:rsid w:val="0038467E"/>
    <w:rsid w:val="003846F7"/>
    <w:rsid w:val="00385BDB"/>
    <w:rsid w:val="0038635F"/>
    <w:rsid w:val="00386B26"/>
    <w:rsid w:val="003902F6"/>
    <w:rsid w:val="00391252"/>
    <w:rsid w:val="003968A8"/>
    <w:rsid w:val="003A2D0C"/>
    <w:rsid w:val="003A4636"/>
    <w:rsid w:val="003A6A32"/>
    <w:rsid w:val="003A7281"/>
    <w:rsid w:val="003B01D1"/>
    <w:rsid w:val="003B2994"/>
    <w:rsid w:val="003B35D0"/>
    <w:rsid w:val="003C153C"/>
    <w:rsid w:val="003C3995"/>
    <w:rsid w:val="003C5E6A"/>
    <w:rsid w:val="003C75A9"/>
    <w:rsid w:val="003D00D2"/>
    <w:rsid w:val="003D0992"/>
    <w:rsid w:val="003D1857"/>
    <w:rsid w:val="003D1D8F"/>
    <w:rsid w:val="003D1F45"/>
    <w:rsid w:val="003D6FF0"/>
    <w:rsid w:val="003D7297"/>
    <w:rsid w:val="003E39B8"/>
    <w:rsid w:val="003E5E95"/>
    <w:rsid w:val="003E61EF"/>
    <w:rsid w:val="003E699F"/>
    <w:rsid w:val="003F0777"/>
    <w:rsid w:val="003F2CFF"/>
    <w:rsid w:val="003F5BC7"/>
    <w:rsid w:val="003F6A6B"/>
    <w:rsid w:val="0040154D"/>
    <w:rsid w:val="0040366C"/>
    <w:rsid w:val="00404747"/>
    <w:rsid w:val="00406EB7"/>
    <w:rsid w:val="0040799A"/>
    <w:rsid w:val="00410665"/>
    <w:rsid w:val="00410D92"/>
    <w:rsid w:val="00411390"/>
    <w:rsid w:val="00411686"/>
    <w:rsid w:val="00411C41"/>
    <w:rsid w:val="004157DD"/>
    <w:rsid w:val="00415899"/>
    <w:rsid w:val="004159EC"/>
    <w:rsid w:val="00420FC9"/>
    <w:rsid w:val="00421FE4"/>
    <w:rsid w:val="00422693"/>
    <w:rsid w:val="00422860"/>
    <w:rsid w:val="004258FA"/>
    <w:rsid w:val="00425B08"/>
    <w:rsid w:val="004265C9"/>
    <w:rsid w:val="004271E9"/>
    <w:rsid w:val="00430738"/>
    <w:rsid w:val="00432D3B"/>
    <w:rsid w:val="004333D4"/>
    <w:rsid w:val="004344E7"/>
    <w:rsid w:val="004376BB"/>
    <w:rsid w:val="0044202B"/>
    <w:rsid w:val="00442474"/>
    <w:rsid w:val="0044361E"/>
    <w:rsid w:val="004437F7"/>
    <w:rsid w:val="0044637A"/>
    <w:rsid w:val="00446B28"/>
    <w:rsid w:val="00447B1A"/>
    <w:rsid w:val="0045181E"/>
    <w:rsid w:val="00454511"/>
    <w:rsid w:val="004558F5"/>
    <w:rsid w:val="0045590E"/>
    <w:rsid w:val="00457A2F"/>
    <w:rsid w:val="004610B8"/>
    <w:rsid w:val="00462D63"/>
    <w:rsid w:val="00465805"/>
    <w:rsid w:val="00466D5A"/>
    <w:rsid w:val="00470F54"/>
    <w:rsid w:val="00472923"/>
    <w:rsid w:val="00474A60"/>
    <w:rsid w:val="00475385"/>
    <w:rsid w:val="0047562B"/>
    <w:rsid w:val="00477B69"/>
    <w:rsid w:val="00480379"/>
    <w:rsid w:val="00481478"/>
    <w:rsid w:val="00481814"/>
    <w:rsid w:val="00482023"/>
    <w:rsid w:val="0048396B"/>
    <w:rsid w:val="00485174"/>
    <w:rsid w:val="00486EC6"/>
    <w:rsid w:val="00486EE6"/>
    <w:rsid w:val="00487CDA"/>
    <w:rsid w:val="004915E3"/>
    <w:rsid w:val="00491AED"/>
    <w:rsid w:val="004978F0"/>
    <w:rsid w:val="004A0052"/>
    <w:rsid w:val="004A2306"/>
    <w:rsid w:val="004A263F"/>
    <w:rsid w:val="004A3E70"/>
    <w:rsid w:val="004B1497"/>
    <w:rsid w:val="004B159F"/>
    <w:rsid w:val="004B2038"/>
    <w:rsid w:val="004B2831"/>
    <w:rsid w:val="004B69BC"/>
    <w:rsid w:val="004B6CA6"/>
    <w:rsid w:val="004B7FE0"/>
    <w:rsid w:val="004C1FC5"/>
    <w:rsid w:val="004C278B"/>
    <w:rsid w:val="004C2A6E"/>
    <w:rsid w:val="004D009E"/>
    <w:rsid w:val="004D2588"/>
    <w:rsid w:val="004D32AF"/>
    <w:rsid w:val="004D5994"/>
    <w:rsid w:val="004E0781"/>
    <w:rsid w:val="004E1A81"/>
    <w:rsid w:val="004E257E"/>
    <w:rsid w:val="004E2D07"/>
    <w:rsid w:val="004E6CFB"/>
    <w:rsid w:val="004E7B9B"/>
    <w:rsid w:val="004F0B79"/>
    <w:rsid w:val="004F0D15"/>
    <w:rsid w:val="004F2721"/>
    <w:rsid w:val="004F2BA7"/>
    <w:rsid w:val="004F2DF9"/>
    <w:rsid w:val="004F323B"/>
    <w:rsid w:val="004F73CF"/>
    <w:rsid w:val="00500E9B"/>
    <w:rsid w:val="005016D9"/>
    <w:rsid w:val="005017C1"/>
    <w:rsid w:val="00501938"/>
    <w:rsid w:val="0050253D"/>
    <w:rsid w:val="00502629"/>
    <w:rsid w:val="00503149"/>
    <w:rsid w:val="00504ACE"/>
    <w:rsid w:val="00507347"/>
    <w:rsid w:val="005102E2"/>
    <w:rsid w:val="00510FCB"/>
    <w:rsid w:val="00512491"/>
    <w:rsid w:val="00512C2F"/>
    <w:rsid w:val="00513CBD"/>
    <w:rsid w:val="0051425E"/>
    <w:rsid w:val="00515415"/>
    <w:rsid w:val="00517F73"/>
    <w:rsid w:val="00523546"/>
    <w:rsid w:val="00524465"/>
    <w:rsid w:val="00525E4A"/>
    <w:rsid w:val="00526C0A"/>
    <w:rsid w:val="005310E4"/>
    <w:rsid w:val="0053343F"/>
    <w:rsid w:val="00533F51"/>
    <w:rsid w:val="005358E1"/>
    <w:rsid w:val="005359D5"/>
    <w:rsid w:val="00535FF1"/>
    <w:rsid w:val="00536251"/>
    <w:rsid w:val="005375CE"/>
    <w:rsid w:val="005378DE"/>
    <w:rsid w:val="00537C42"/>
    <w:rsid w:val="00540284"/>
    <w:rsid w:val="00541231"/>
    <w:rsid w:val="00543C27"/>
    <w:rsid w:val="00546C36"/>
    <w:rsid w:val="0055311C"/>
    <w:rsid w:val="00556C4B"/>
    <w:rsid w:val="00557AA1"/>
    <w:rsid w:val="0056013A"/>
    <w:rsid w:val="00563C00"/>
    <w:rsid w:val="00564418"/>
    <w:rsid w:val="005645D3"/>
    <w:rsid w:val="00565ABB"/>
    <w:rsid w:val="005663BA"/>
    <w:rsid w:val="00566980"/>
    <w:rsid w:val="00566CBB"/>
    <w:rsid w:val="005731EA"/>
    <w:rsid w:val="005735D7"/>
    <w:rsid w:val="00583A49"/>
    <w:rsid w:val="00583A55"/>
    <w:rsid w:val="005870EE"/>
    <w:rsid w:val="00587496"/>
    <w:rsid w:val="005908C3"/>
    <w:rsid w:val="00591451"/>
    <w:rsid w:val="005943B0"/>
    <w:rsid w:val="005963E8"/>
    <w:rsid w:val="0059690B"/>
    <w:rsid w:val="005A18A4"/>
    <w:rsid w:val="005A4766"/>
    <w:rsid w:val="005A56F6"/>
    <w:rsid w:val="005A6846"/>
    <w:rsid w:val="005A7181"/>
    <w:rsid w:val="005B1105"/>
    <w:rsid w:val="005B1829"/>
    <w:rsid w:val="005B2466"/>
    <w:rsid w:val="005B47B6"/>
    <w:rsid w:val="005B5D00"/>
    <w:rsid w:val="005C00AC"/>
    <w:rsid w:val="005C4345"/>
    <w:rsid w:val="005C466D"/>
    <w:rsid w:val="005C6296"/>
    <w:rsid w:val="005C6486"/>
    <w:rsid w:val="005C789B"/>
    <w:rsid w:val="005D288F"/>
    <w:rsid w:val="005D2F52"/>
    <w:rsid w:val="005D4D42"/>
    <w:rsid w:val="005D4E6B"/>
    <w:rsid w:val="005D5111"/>
    <w:rsid w:val="005D6728"/>
    <w:rsid w:val="005D6AC1"/>
    <w:rsid w:val="005E117E"/>
    <w:rsid w:val="005E12B4"/>
    <w:rsid w:val="005E150E"/>
    <w:rsid w:val="005E3225"/>
    <w:rsid w:val="005E7B12"/>
    <w:rsid w:val="005F1587"/>
    <w:rsid w:val="005F3C45"/>
    <w:rsid w:val="005F5262"/>
    <w:rsid w:val="005F65A7"/>
    <w:rsid w:val="00600DF2"/>
    <w:rsid w:val="00601283"/>
    <w:rsid w:val="006016E0"/>
    <w:rsid w:val="00602545"/>
    <w:rsid w:val="0060469C"/>
    <w:rsid w:val="006048ED"/>
    <w:rsid w:val="00606612"/>
    <w:rsid w:val="006069DE"/>
    <w:rsid w:val="006165CD"/>
    <w:rsid w:val="00616EC6"/>
    <w:rsid w:val="006178FA"/>
    <w:rsid w:val="00627A96"/>
    <w:rsid w:val="00633632"/>
    <w:rsid w:val="006341BD"/>
    <w:rsid w:val="006347BE"/>
    <w:rsid w:val="00634DCC"/>
    <w:rsid w:val="006356C4"/>
    <w:rsid w:val="00636C1F"/>
    <w:rsid w:val="006412F3"/>
    <w:rsid w:val="00641FD5"/>
    <w:rsid w:val="0064246C"/>
    <w:rsid w:val="0064263E"/>
    <w:rsid w:val="0064298F"/>
    <w:rsid w:val="00642DAF"/>
    <w:rsid w:val="00644AA7"/>
    <w:rsid w:val="006452D5"/>
    <w:rsid w:val="006456C7"/>
    <w:rsid w:val="0064587D"/>
    <w:rsid w:val="00653FC4"/>
    <w:rsid w:val="00655645"/>
    <w:rsid w:val="006558D7"/>
    <w:rsid w:val="00655CB3"/>
    <w:rsid w:val="00662357"/>
    <w:rsid w:val="00662F21"/>
    <w:rsid w:val="00664954"/>
    <w:rsid w:val="00664D6E"/>
    <w:rsid w:val="006661A4"/>
    <w:rsid w:val="0066764A"/>
    <w:rsid w:val="006738EF"/>
    <w:rsid w:val="00674125"/>
    <w:rsid w:val="00675735"/>
    <w:rsid w:val="00675E52"/>
    <w:rsid w:val="0067699C"/>
    <w:rsid w:val="00676D6D"/>
    <w:rsid w:val="0067799C"/>
    <w:rsid w:val="00680072"/>
    <w:rsid w:val="006800A2"/>
    <w:rsid w:val="00680CC4"/>
    <w:rsid w:val="00680EEC"/>
    <w:rsid w:val="0068128E"/>
    <w:rsid w:val="00682019"/>
    <w:rsid w:val="0068367F"/>
    <w:rsid w:val="00683DDF"/>
    <w:rsid w:val="00684C53"/>
    <w:rsid w:val="00687999"/>
    <w:rsid w:val="00692295"/>
    <w:rsid w:val="00696EEA"/>
    <w:rsid w:val="006A052E"/>
    <w:rsid w:val="006A0741"/>
    <w:rsid w:val="006A09B7"/>
    <w:rsid w:val="006A0B45"/>
    <w:rsid w:val="006A2E67"/>
    <w:rsid w:val="006A3DC1"/>
    <w:rsid w:val="006A5644"/>
    <w:rsid w:val="006A56C2"/>
    <w:rsid w:val="006A71EB"/>
    <w:rsid w:val="006B1D0E"/>
    <w:rsid w:val="006C2CA6"/>
    <w:rsid w:val="006C32BC"/>
    <w:rsid w:val="006C4663"/>
    <w:rsid w:val="006C4830"/>
    <w:rsid w:val="006C4988"/>
    <w:rsid w:val="006C4D2A"/>
    <w:rsid w:val="006C53C9"/>
    <w:rsid w:val="006C790A"/>
    <w:rsid w:val="006D2E18"/>
    <w:rsid w:val="006D3608"/>
    <w:rsid w:val="006D3760"/>
    <w:rsid w:val="006D560A"/>
    <w:rsid w:val="006D7125"/>
    <w:rsid w:val="006E016E"/>
    <w:rsid w:val="006E1550"/>
    <w:rsid w:val="006E2F2B"/>
    <w:rsid w:val="006E54AA"/>
    <w:rsid w:val="006F1A60"/>
    <w:rsid w:val="006F2F80"/>
    <w:rsid w:val="006F7A3C"/>
    <w:rsid w:val="006F7B0F"/>
    <w:rsid w:val="00701C96"/>
    <w:rsid w:val="00701E8B"/>
    <w:rsid w:val="00704DC4"/>
    <w:rsid w:val="00705BAA"/>
    <w:rsid w:val="007070E3"/>
    <w:rsid w:val="007101F0"/>
    <w:rsid w:val="00711349"/>
    <w:rsid w:val="00714F15"/>
    <w:rsid w:val="00716087"/>
    <w:rsid w:val="007201FE"/>
    <w:rsid w:val="00721A8E"/>
    <w:rsid w:val="00726CCC"/>
    <w:rsid w:val="007274D8"/>
    <w:rsid w:val="00727554"/>
    <w:rsid w:val="00730AB1"/>
    <w:rsid w:val="00731E6E"/>
    <w:rsid w:val="0073357F"/>
    <w:rsid w:val="00733B6B"/>
    <w:rsid w:val="00735BA5"/>
    <w:rsid w:val="00736B87"/>
    <w:rsid w:val="007430D5"/>
    <w:rsid w:val="007440E6"/>
    <w:rsid w:val="007445DB"/>
    <w:rsid w:val="00746361"/>
    <w:rsid w:val="00747C22"/>
    <w:rsid w:val="00751B58"/>
    <w:rsid w:val="007570BB"/>
    <w:rsid w:val="00757139"/>
    <w:rsid w:val="00757B02"/>
    <w:rsid w:val="007613AA"/>
    <w:rsid w:val="0076140A"/>
    <w:rsid w:val="007615A8"/>
    <w:rsid w:val="00761E7F"/>
    <w:rsid w:val="007629D1"/>
    <w:rsid w:val="007641FC"/>
    <w:rsid w:val="007718D8"/>
    <w:rsid w:val="0077350A"/>
    <w:rsid w:val="0077586D"/>
    <w:rsid w:val="00781400"/>
    <w:rsid w:val="00781E90"/>
    <w:rsid w:val="007842E8"/>
    <w:rsid w:val="00784336"/>
    <w:rsid w:val="007843B7"/>
    <w:rsid w:val="007849C7"/>
    <w:rsid w:val="007856C6"/>
    <w:rsid w:val="007859FF"/>
    <w:rsid w:val="0079150F"/>
    <w:rsid w:val="00793B9D"/>
    <w:rsid w:val="007953B5"/>
    <w:rsid w:val="00795641"/>
    <w:rsid w:val="00795A90"/>
    <w:rsid w:val="007977A7"/>
    <w:rsid w:val="007A1958"/>
    <w:rsid w:val="007A1D16"/>
    <w:rsid w:val="007A483D"/>
    <w:rsid w:val="007A4884"/>
    <w:rsid w:val="007A4D8F"/>
    <w:rsid w:val="007A7855"/>
    <w:rsid w:val="007B08DC"/>
    <w:rsid w:val="007B12C5"/>
    <w:rsid w:val="007B346A"/>
    <w:rsid w:val="007B4063"/>
    <w:rsid w:val="007B6CDF"/>
    <w:rsid w:val="007C2699"/>
    <w:rsid w:val="007C7FA8"/>
    <w:rsid w:val="007D0A31"/>
    <w:rsid w:val="007D5328"/>
    <w:rsid w:val="007E0353"/>
    <w:rsid w:val="007E0FF7"/>
    <w:rsid w:val="007E15D1"/>
    <w:rsid w:val="007E2F17"/>
    <w:rsid w:val="007E34AB"/>
    <w:rsid w:val="007E6F61"/>
    <w:rsid w:val="007E7604"/>
    <w:rsid w:val="007F12C8"/>
    <w:rsid w:val="007F13DC"/>
    <w:rsid w:val="007F396F"/>
    <w:rsid w:val="007F3ED7"/>
    <w:rsid w:val="007F4318"/>
    <w:rsid w:val="007F5180"/>
    <w:rsid w:val="007F5D9A"/>
    <w:rsid w:val="00800612"/>
    <w:rsid w:val="00800A7E"/>
    <w:rsid w:val="00803C27"/>
    <w:rsid w:val="00805E84"/>
    <w:rsid w:val="00810596"/>
    <w:rsid w:val="00810E4A"/>
    <w:rsid w:val="00813DCB"/>
    <w:rsid w:val="00823323"/>
    <w:rsid w:val="00824EEF"/>
    <w:rsid w:val="00825E3B"/>
    <w:rsid w:val="0082654D"/>
    <w:rsid w:val="00830B2D"/>
    <w:rsid w:val="00830EE4"/>
    <w:rsid w:val="00830F47"/>
    <w:rsid w:val="00831A50"/>
    <w:rsid w:val="00831D38"/>
    <w:rsid w:val="00831DEF"/>
    <w:rsid w:val="00832447"/>
    <w:rsid w:val="00832498"/>
    <w:rsid w:val="00836907"/>
    <w:rsid w:val="00841A10"/>
    <w:rsid w:val="00841C46"/>
    <w:rsid w:val="0084235F"/>
    <w:rsid w:val="00843954"/>
    <w:rsid w:val="00843BE8"/>
    <w:rsid w:val="00846749"/>
    <w:rsid w:val="00846FC1"/>
    <w:rsid w:val="00847436"/>
    <w:rsid w:val="008478C8"/>
    <w:rsid w:val="00850495"/>
    <w:rsid w:val="0085174E"/>
    <w:rsid w:val="00851796"/>
    <w:rsid w:val="00852CCF"/>
    <w:rsid w:val="0085341E"/>
    <w:rsid w:val="00855708"/>
    <w:rsid w:val="00860B96"/>
    <w:rsid w:val="00860FA0"/>
    <w:rsid w:val="008678CC"/>
    <w:rsid w:val="00867A74"/>
    <w:rsid w:val="00872421"/>
    <w:rsid w:val="00872CE0"/>
    <w:rsid w:val="0087767F"/>
    <w:rsid w:val="008805E7"/>
    <w:rsid w:val="00882D14"/>
    <w:rsid w:val="00883476"/>
    <w:rsid w:val="00885CBF"/>
    <w:rsid w:val="00887F44"/>
    <w:rsid w:val="008922A1"/>
    <w:rsid w:val="008A056B"/>
    <w:rsid w:val="008A0CEB"/>
    <w:rsid w:val="008A1349"/>
    <w:rsid w:val="008A6A87"/>
    <w:rsid w:val="008A6DB1"/>
    <w:rsid w:val="008B23C2"/>
    <w:rsid w:val="008C0317"/>
    <w:rsid w:val="008C4238"/>
    <w:rsid w:val="008C54D0"/>
    <w:rsid w:val="008C5917"/>
    <w:rsid w:val="008D29B0"/>
    <w:rsid w:val="008D2FB6"/>
    <w:rsid w:val="008D39F3"/>
    <w:rsid w:val="008D4BC1"/>
    <w:rsid w:val="008D5795"/>
    <w:rsid w:val="008D5CA7"/>
    <w:rsid w:val="008D5D99"/>
    <w:rsid w:val="008E19F1"/>
    <w:rsid w:val="008E1D2F"/>
    <w:rsid w:val="008E44EF"/>
    <w:rsid w:val="008E4A4A"/>
    <w:rsid w:val="008E5FD0"/>
    <w:rsid w:val="008F0CB3"/>
    <w:rsid w:val="008F10AC"/>
    <w:rsid w:val="008F265B"/>
    <w:rsid w:val="008F41B9"/>
    <w:rsid w:val="008F4863"/>
    <w:rsid w:val="008F6B0B"/>
    <w:rsid w:val="008F7FC7"/>
    <w:rsid w:val="0090086A"/>
    <w:rsid w:val="0090406B"/>
    <w:rsid w:val="009060B1"/>
    <w:rsid w:val="00906A06"/>
    <w:rsid w:val="00906CF9"/>
    <w:rsid w:val="00907D95"/>
    <w:rsid w:val="009111F7"/>
    <w:rsid w:val="00914050"/>
    <w:rsid w:val="00914445"/>
    <w:rsid w:val="00915BCC"/>
    <w:rsid w:val="00915F0F"/>
    <w:rsid w:val="009162DC"/>
    <w:rsid w:val="009170B2"/>
    <w:rsid w:val="00917A39"/>
    <w:rsid w:val="0092098F"/>
    <w:rsid w:val="00923C4C"/>
    <w:rsid w:val="009264DF"/>
    <w:rsid w:val="0092759C"/>
    <w:rsid w:val="00927881"/>
    <w:rsid w:val="00932194"/>
    <w:rsid w:val="00932299"/>
    <w:rsid w:val="00935773"/>
    <w:rsid w:val="00936A84"/>
    <w:rsid w:val="00937DD4"/>
    <w:rsid w:val="00937ED6"/>
    <w:rsid w:val="0094262A"/>
    <w:rsid w:val="009431CE"/>
    <w:rsid w:val="0094345B"/>
    <w:rsid w:val="009442E0"/>
    <w:rsid w:val="00946ECC"/>
    <w:rsid w:val="0094736A"/>
    <w:rsid w:val="00947BBF"/>
    <w:rsid w:val="00952A37"/>
    <w:rsid w:val="0095360A"/>
    <w:rsid w:val="00954627"/>
    <w:rsid w:val="00955FF1"/>
    <w:rsid w:val="009573B7"/>
    <w:rsid w:val="00960C44"/>
    <w:rsid w:val="0096296D"/>
    <w:rsid w:val="00964F91"/>
    <w:rsid w:val="00965D3C"/>
    <w:rsid w:val="009704E8"/>
    <w:rsid w:val="009705C7"/>
    <w:rsid w:val="009708E7"/>
    <w:rsid w:val="00972165"/>
    <w:rsid w:val="0097237A"/>
    <w:rsid w:val="00977025"/>
    <w:rsid w:val="00977404"/>
    <w:rsid w:val="00977EA2"/>
    <w:rsid w:val="009815D1"/>
    <w:rsid w:val="00982FCA"/>
    <w:rsid w:val="009847F2"/>
    <w:rsid w:val="00986FC8"/>
    <w:rsid w:val="0099180F"/>
    <w:rsid w:val="00991EEB"/>
    <w:rsid w:val="0099205D"/>
    <w:rsid w:val="009925D3"/>
    <w:rsid w:val="009931BD"/>
    <w:rsid w:val="0099391B"/>
    <w:rsid w:val="00993E75"/>
    <w:rsid w:val="009961AF"/>
    <w:rsid w:val="00997ED7"/>
    <w:rsid w:val="009A19B4"/>
    <w:rsid w:val="009A2F0C"/>
    <w:rsid w:val="009A5276"/>
    <w:rsid w:val="009A559F"/>
    <w:rsid w:val="009A6751"/>
    <w:rsid w:val="009A7A6A"/>
    <w:rsid w:val="009B01ED"/>
    <w:rsid w:val="009B075D"/>
    <w:rsid w:val="009B45E1"/>
    <w:rsid w:val="009B57C1"/>
    <w:rsid w:val="009B6803"/>
    <w:rsid w:val="009B7144"/>
    <w:rsid w:val="009C33FD"/>
    <w:rsid w:val="009C3582"/>
    <w:rsid w:val="009C6566"/>
    <w:rsid w:val="009C7802"/>
    <w:rsid w:val="009D2DB8"/>
    <w:rsid w:val="009D3468"/>
    <w:rsid w:val="009D3B7C"/>
    <w:rsid w:val="009D3E23"/>
    <w:rsid w:val="009D5736"/>
    <w:rsid w:val="009E310B"/>
    <w:rsid w:val="009E621D"/>
    <w:rsid w:val="009E6755"/>
    <w:rsid w:val="009E7274"/>
    <w:rsid w:val="009F0877"/>
    <w:rsid w:val="009F09A1"/>
    <w:rsid w:val="009F0EF5"/>
    <w:rsid w:val="009F2029"/>
    <w:rsid w:val="009F2E9F"/>
    <w:rsid w:val="009F3F85"/>
    <w:rsid w:val="00A01922"/>
    <w:rsid w:val="00A05776"/>
    <w:rsid w:val="00A058FC"/>
    <w:rsid w:val="00A10C2E"/>
    <w:rsid w:val="00A11F85"/>
    <w:rsid w:val="00A216BD"/>
    <w:rsid w:val="00A22FA7"/>
    <w:rsid w:val="00A25D6E"/>
    <w:rsid w:val="00A2600F"/>
    <w:rsid w:val="00A26C9F"/>
    <w:rsid w:val="00A303BE"/>
    <w:rsid w:val="00A317F2"/>
    <w:rsid w:val="00A331D1"/>
    <w:rsid w:val="00A33344"/>
    <w:rsid w:val="00A336ED"/>
    <w:rsid w:val="00A33DAC"/>
    <w:rsid w:val="00A3430F"/>
    <w:rsid w:val="00A348D5"/>
    <w:rsid w:val="00A34F03"/>
    <w:rsid w:val="00A36EAF"/>
    <w:rsid w:val="00A42D9F"/>
    <w:rsid w:val="00A43B02"/>
    <w:rsid w:val="00A43BFA"/>
    <w:rsid w:val="00A44532"/>
    <w:rsid w:val="00A46A31"/>
    <w:rsid w:val="00A52466"/>
    <w:rsid w:val="00A52485"/>
    <w:rsid w:val="00A52858"/>
    <w:rsid w:val="00A557BA"/>
    <w:rsid w:val="00A559A4"/>
    <w:rsid w:val="00A628D1"/>
    <w:rsid w:val="00A63C4E"/>
    <w:rsid w:val="00A64C89"/>
    <w:rsid w:val="00A700EA"/>
    <w:rsid w:val="00A70CFF"/>
    <w:rsid w:val="00A7491D"/>
    <w:rsid w:val="00A7593E"/>
    <w:rsid w:val="00A80C44"/>
    <w:rsid w:val="00A84CC4"/>
    <w:rsid w:val="00A85534"/>
    <w:rsid w:val="00A85AFE"/>
    <w:rsid w:val="00A87965"/>
    <w:rsid w:val="00A9187C"/>
    <w:rsid w:val="00A926AD"/>
    <w:rsid w:val="00A962BF"/>
    <w:rsid w:val="00A96E37"/>
    <w:rsid w:val="00A96FAC"/>
    <w:rsid w:val="00A97379"/>
    <w:rsid w:val="00A974D4"/>
    <w:rsid w:val="00AA135C"/>
    <w:rsid w:val="00AA1511"/>
    <w:rsid w:val="00AA178F"/>
    <w:rsid w:val="00AA29D5"/>
    <w:rsid w:val="00AA3559"/>
    <w:rsid w:val="00AA3A39"/>
    <w:rsid w:val="00AA3DB5"/>
    <w:rsid w:val="00AA3EA9"/>
    <w:rsid w:val="00AA4882"/>
    <w:rsid w:val="00AA5FAE"/>
    <w:rsid w:val="00AB2B10"/>
    <w:rsid w:val="00AB2CBD"/>
    <w:rsid w:val="00AB3539"/>
    <w:rsid w:val="00AB43B6"/>
    <w:rsid w:val="00AB49FE"/>
    <w:rsid w:val="00AB505D"/>
    <w:rsid w:val="00AB5BF1"/>
    <w:rsid w:val="00AB65A4"/>
    <w:rsid w:val="00AB6BE9"/>
    <w:rsid w:val="00AC0D4B"/>
    <w:rsid w:val="00AC34CB"/>
    <w:rsid w:val="00AC5DAD"/>
    <w:rsid w:val="00AC76E8"/>
    <w:rsid w:val="00AC7D5D"/>
    <w:rsid w:val="00AC7E13"/>
    <w:rsid w:val="00AD0665"/>
    <w:rsid w:val="00AD13BD"/>
    <w:rsid w:val="00AD345E"/>
    <w:rsid w:val="00AD5E85"/>
    <w:rsid w:val="00AE317A"/>
    <w:rsid w:val="00AE66C3"/>
    <w:rsid w:val="00AE6D6B"/>
    <w:rsid w:val="00AE7E8A"/>
    <w:rsid w:val="00AF0317"/>
    <w:rsid w:val="00AF0EB0"/>
    <w:rsid w:val="00AF2AB1"/>
    <w:rsid w:val="00AF34DE"/>
    <w:rsid w:val="00AF54C3"/>
    <w:rsid w:val="00B0025D"/>
    <w:rsid w:val="00B00575"/>
    <w:rsid w:val="00B00DDD"/>
    <w:rsid w:val="00B01DC4"/>
    <w:rsid w:val="00B03427"/>
    <w:rsid w:val="00B035A4"/>
    <w:rsid w:val="00B10447"/>
    <w:rsid w:val="00B1086D"/>
    <w:rsid w:val="00B124CC"/>
    <w:rsid w:val="00B12F06"/>
    <w:rsid w:val="00B14D67"/>
    <w:rsid w:val="00B15773"/>
    <w:rsid w:val="00B16B8F"/>
    <w:rsid w:val="00B17FFB"/>
    <w:rsid w:val="00B20D2D"/>
    <w:rsid w:val="00B20DE3"/>
    <w:rsid w:val="00B26CCF"/>
    <w:rsid w:val="00B31094"/>
    <w:rsid w:val="00B332F8"/>
    <w:rsid w:val="00B40E48"/>
    <w:rsid w:val="00B44B63"/>
    <w:rsid w:val="00B4651A"/>
    <w:rsid w:val="00B46AE5"/>
    <w:rsid w:val="00B47211"/>
    <w:rsid w:val="00B477F3"/>
    <w:rsid w:val="00B479A2"/>
    <w:rsid w:val="00B47BE9"/>
    <w:rsid w:val="00B47EE6"/>
    <w:rsid w:val="00B50125"/>
    <w:rsid w:val="00B54C95"/>
    <w:rsid w:val="00B560A9"/>
    <w:rsid w:val="00B57186"/>
    <w:rsid w:val="00B5734D"/>
    <w:rsid w:val="00B61D5E"/>
    <w:rsid w:val="00B6252D"/>
    <w:rsid w:val="00B649BC"/>
    <w:rsid w:val="00B66F07"/>
    <w:rsid w:val="00B70BAA"/>
    <w:rsid w:val="00B7368D"/>
    <w:rsid w:val="00B744BA"/>
    <w:rsid w:val="00B74E30"/>
    <w:rsid w:val="00B82429"/>
    <w:rsid w:val="00B82C14"/>
    <w:rsid w:val="00B83E7A"/>
    <w:rsid w:val="00B859EF"/>
    <w:rsid w:val="00B86553"/>
    <w:rsid w:val="00B9347F"/>
    <w:rsid w:val="00B935EF"/>
    <w:rsid w:val="00B93A9E"/>
    <w:rsid w:val="00B94DDB"/>
    <w:rsid w:val="00B95CBD"/>
    <w:rsid w:val="00B964E1"/>
    <w:rsid w:val="00B966B5"/>
    <w:rsid w:val="00BA0493"/>
    <w:rsid w:val="00BA1E85"/>
    <w:rsid w:val="00BA2364"/>
    <w:rsid w:val="00BA23A2"/>
    <w:rsid w:val="00BA33A9"/>
    <w:rsid w:val="00BA3864"/>
    <w:rsid w:val="00BA4C26"/>
    <w:rsid w:val="00BA4E65"/>
    <w:rsid w:val="00BB1C92"/>
    <w:rsid w:val="00BB2EA8"/>
    <w:rsid w:val="00BB33E0"/>
    <w:rsid w:val="00BB7EE0"/>
    <w:rsid w:val="00BC1F99"/>
    <w:rsid w:val="00BC1FA6"/>
    <w:rsid w:val="00BC3CA7"/>
    <w:rsid w:val="00BC4027"/>
    <w:rsid w:val="00BC4871"/>
    <w:rsid w:val="00BC4D5D"/>
    <w:rsid w:val="00BC7CD5"/>
    <w:rsid w:val="00BD2763"/>
    <w:rsid w:val="00BD5761"/>
    <w:rsid w:val="00BD6D76"/>
    <w:rsid w:val="00BD7D77"/>
    <w:rsid w:val="00BE1321"/>
    <w:rsid w:val="00BE200A"/>
    <w:rsid w:val="00BE4B8F"/>
    <w:rsid w:val="00BF02C4"/>
    <w:rsid w:val="00BF16D0"/>
    <w:rsid w:val="00BF312A"/>
    <w:rsid w:val="00BF391A"/>
    <w:rsid w:val="00BF4212"/>
    <w:rsid w:val="00BF4C43"/>
    <w:rsid w:val="00BF69B2"/>
    <w:rsid w:val="00BF7047"/>
    <w:rsid w:val="00C00F2D"/>
    <w:rsid w:val="00C06066"/>
    <w:rsid w:val="00C0793E"/>
    <w:rsid w:val="00C10BC3"/>
    <w:rsid w:val="00C11DF3"/>
    <w:rsid w:val="00C11EC1"/>
    <w:rsid w:val="00C15C6F"/>
    <w:rsid w:val="00C165A1"/>
    <w:rsid w:val="00C22FB5"/>
    <w:rsid w:val="00C23C59"/>
    <w:rsid w:val="00C2583F"/>
    <w:rsid w:val="00C33173"/>
    <w:rsid w:val="00C33D5D"/>
    <w:rsid w:val="00C35F43"/>
    <w:rsid w:val="00C36A2F"/>
    <w:rsid w:val="00C36A5C"/>
    <w:rsid w:val="00C423BA"/>
    <w:rsid w:val="00C4289D"/>
    <w:rsid w:val="00C45ACD"/>
    <w:rsid w:val="00C50D1D"/>
    <w:rsid w:val="00C518E8"/>
    <w:rsid w:val="00C53C69"/>
    <w:rsid w:val="00C54522"/>
    <w:rsid w:val="00C558E6"/>
    <w:rsid w:val="00C56A16"/>
    <w:rsid w:val="00C56F90"/>
    <w:rsid w:val="00C6046F"/>
    <w:rsid w:val="00C62071"/>
    <w:rsid w:val="00C62A1C"/>
    <w:rsid w:val="00C6529B"/>
    <w:rsid w:val="00C6671D"/>
    <w:rsid w:val="00C71166"/>
    <w:rsid w:val="00C71788"/>
    <w:rsid w:val="00C73510"/>
    <w:rsid w:val="00C74BE1"/>
    <w:rsid w:val="00C74BE4"/>
    <w:rsid w:val="00C75E3A"/>
    <w:rsid w:val="00C76777"/>
    <w:rsid w:val="00C778A3"/>
    <w:rsid w:val="00C7796A"/>
    <w:rsid w:val="00C815BF"/>
    <w:rsid w:val="00C823BD"/>
    <w:rsid w:val="00C826B3"/>
    <w:rsid w:val="00C83DBD"/>
    <w:rsid w:val="00C922B8"/>
    <w:rsid w:val="00C9307C"/>
    <w:rsid w:val="00C95622"/>
    <w:rsid w:val="00C96695"/>
    <w:rsid w:val="00CA003C"/>
    <w:rsid w:val="00CA0EBE"/>
    <w:rsid w:val="00CA1E5E"/>
    <w:rsid w:val="00CA2BDE"/>
    <w:rsid w:val="00CA35F2"/>
    <w:rsid w:val="00CA3EC9"/>
    <w:rsid w:val="00CA4768"/>
    <w:rsid w:val="00CB0517"/>
    <w:rsid w:val="00CB0CE6"/>
    <w:rsid w:val="00CB1B17"/>
    <w:rsid w:val="00CB2295"/>
    <w:rsid w:val="00CB3FAF"/>
    <w:rsid w:val="00CB6218"/>
    <w:rsid w:val="00CC0DF4"/>
    <w:rsid w:val="00CC1130"/>
    <w:rsid w:val="00CC658E"/>
    <w:rsid w:val="00CC6653"/>
    <w:rsid w:val="00CD07B0"/>
    <w:rsid w:val="00CD0F11"/>
    <w:rsid w:val="00CD4761"/>
    <w:rsid w:val="00CD4831"/>
    <w:rsid w:val="00CD5E38"/>
    <w:rsid w:val="00CD77FD"/>
    <w:rsid w:val="00CE03A4"/>
    <w:rsid w:val="00CE0795"/>
    <w:rsid w:val="00CE2ECE"/>
    <w:rsid w:val="00CE69EB"/>
    <w:rsid w:val="00CE6A29"/>
    <w:rsid w:val="00CE7EBD"/>
    <w:rsid w:val="00CF468F"/>
    <w:rsid w:val="00CF7D09"/>
    <w:rsid w:val="00D00074"/>
    <w:rsid w:val="00D004DE"/>
    <w:rsid w:val="00D054B6"/>
    <w:rsid w:val="00D066E4"/>
    <w:rsid w:val="00D104E4"/>
    <w:rsid w:val="00D175E6"/>
    <w:rsid w:val="00D221D3"/>
    <w:rsid w:val="00D23720"/>
    <w:rsid w:val="00D2387A"/>
    <w:rsid w:val="00D2771C"/>
    <w:rsid w:val="00D3144D"/>
    <w:rsid w:val="00D32C5F"/>
    <w:rsid w:val="00D32E09"/>
    <w:rsid w:val="00D33903"/>
    <w:rsid w:val="00D33981"/>
    <w:rsid w:val="00D342C1"/>
    <w:rsid w:val="00D34647"/>
    <w:rsid w:val="00D40ED4"/>
    <w:rsid w:val="00D502C3"/>
    <w:rsid w:val="00D521D5"/>
    <w:rsid w:val="00D52469"/>
    <w:rsid w:val="00D532B0"/>
    <w:rsid w:val="00D5598F"/>
    <w:rsid w:val="00D56691"/>
    <w:rsid w:val="00D61D7B"/>
    <w:rsid w:val="00D629C4"/>
    <w:rsid w:val="00D66FE9"/>
    <w:rsid w:val="00D70362"/>
    <w:rsid w:val="00D72A76"/>
    <w:rsid w:val="00D731A0"/>
    <w:rsid w:val="00D7495F"/>
    <w:rsid w:val="00D75720"/>
    <w:rsid w:val="00D771DD"/>
    <w:rsid w:val="00D805F6"/>
    <w:rsid w:val="00D81485"/>
    <w:rsid w:val="00D84383"/>
    <w:rsid w:val="00D93C83"/>
    <w:rsid w:val="00D93E8A"/>
    <w:rsid w:val="00D95EF5"/>
    <w:rsid w:val="00D96D4D"/>
    <w:rsid w:val="00D9797E"/>
    <w:rsid w:val="00DA255D"/>
    <w:rsid w:val="00DA2A32"/>
    <w:rsid w:val="00DA46EA"/>
    <w:rsid w:val="00DA473D"/>
    <w:rsid w:val="00DA5311"/>
    <w:rsid w:val="00DA5EE0"/>
    <w:rsid w:val="00DA65E8"/>
    <w:rsid w:val="00DA7321"/>
    <w:rsid w:val="00DA76AA"/>
    <w:rsid w:val="00DB120C"/>
    <w:rsid w:val="00DB142F"/>
    <w:rsid w:val="00DB1DD6"/>
    <w:rsid w:val="00DB361F"/>
    <w:rsid w:val="00DB3F12"/>
    <w:rsid w:val="00DB4665"/>
    <w:rsid w:val="00DB5171"/>
    <w:rsid w:val="00DB54D4"/>
    <w:rsid w:val="00DB5600"/>
    <w:rsid w:val="00DB6F55"/>
    <w:rsid w:val="00DB7DF8"/>
    <w:rsid w:val="00DC16CA"/>
    <w:rsid w:val="00DC406F"/>
    <w:rsid w:val="00DC663A"/>
    <w:rsid w:val="00DC6F45"/>
    <w:rsid w:val="00DD0496"/>
    <w:rsid w:val="00DD10E8"/>
    <w:rsid w:val="00DD16EF"/>
    <w:rsid w:val="00DD291E"/>
    <w:rsid w:val="00DD3DE2"/>
    <w:rsid w:val="00DD58E5"/>
    <w:rsid w:val="00DE00AC"/>
    <w:rsid w:val="00DE144F"/>
    <w:rsid w:val="00DE4196"/>
    <w:rsid w:val="00DE4E0A"/>
    <w:rsid w:val="00DE57E7"/>
    <w:rsid w:val="00DE63D8"/>
    <w:rsid w:val="00DE6DDE"/>
    <w:rsid w:val="00DF1F97"/>
    <w:rsid w:val="00DF461B"/>
    <w:rsid w:val="00DF47EF"/>
    <w:rsid w:val="00E0288B"/>
    <w:rsid w:val="00E0374D"/>
    <w:rsid w:val="00E03A0F"/>
    <w:rsid w:val="00E059BE"/>
    <w:rsid w:val="00E070B4"/>
    <w:rsid w:val="00E12C8D"/>
    <w:rsid w:val="00E13838"/>
    <w:rsid w:val="00E14091"/>
    <w:rsid w:val="00E15AE5"/>
    <w:rsid w:val="00E209E7"/>
    <w:rsid w:val="00E26D12"/>
    <w:rsid w:val="00E306E5"/>
    <w:rsid w:val="00E30B66"/>
    <w:rsid w:val="00E31CA1"/>
    <w:rsid w:val="00E33591"/>
    <w:rsid w:val="00E34FF3"/>
    <w:rsid w:val="00E35EB0"/>
    <w:rsid w:val="00E3738C"/>
    <w:rsid w:val="00E3776E"/>
    <w:rsid w:val="00E37AF0"/>
    <w:rsid w:val="00E408C3"/>
    <w:rsid w:val="00E44AC1"/>
    <w:rsid w:val="00E46CC4"/>
    <w:rsid w:val="00E4796E"/>
    <w:rsid w:val="00E53A4C"/>
    <w:rsid w:val="00E53BC6"/>
    <w:rsid w:val="00E54008"/>
    <w:rsid w:val="00E5556A"/>
    <w:rsid w:val="00E60B6E"/>
    <w:rsid w:val="00E61A19"/>
    <w:rsid w:val="00E61E33"/>
    <w:rsid w:val="00E626F9"/>
    <w:rsid w:val="00E6301A"/>
    <w:rsid w:val="00E74456"/>
    <w:rsid w:val="00E7550C"/>
    <w:rsid w:val="00E81948"/>
    <w:rsid w:val="00E81991"/>
    <w:rsid w:val="00E82AAD"/>
    <w:rsid w:val="00E835B7"/>
    <w:rsid w:val="00E8452C"/>
    <w:rsid w:val="00E879E7"/>
    <w:rsid w:val="00E91361"/>
    <w:rsid w:val="00E92712"/>
    <w:rsid w:val="00E92802"/>
    <w:rsid w:val="00E93790"/>
    <w:rsid w:val="00E952C0"/>
    <w:rsid w:val="00E9551F"/>
    <w:rsid w:val="00E97F8A"/>
    <w:rsid w:val="00EA09A7"/>
    <w:rsid w:val="00EA229F"/>
    <w:rsid w:val="00EA4E45"/>
    <w:rsid w:val="00EA5253"/>
    <w:rsid w:val="00EA7670"/>
    <w:rsid w:val="00EB0239"/>
    <w:rsid w:val="00EB0DCB"/>
    <w:rsid w:val="00EB4F06"/>
    <w:rsid w:val="00EB5698"/>
    <w:rsid w:val="00EB6316"/>
    <w:rsid w:val="00EB640D"/>
    <w:rsid w:val="00EB6C2D"/>
    <w:rsid w:val="00EC0958"/>
    <w:rsid w:val="00EC272E"/>
    <w:rsid w:val="00EC53CC"/>
    <w:rsid w:val="00EC6822"/>
    <w:rsid w:val="00ED1202"/>
    <w:rsid w:val="00ED4DE3"/>
    <w:rsid w:val="00ED516D"/>
    <w:rsid w:val="00ED51FD"/>
    <w:rsid w:val="00EE0EE9"/>
    <w:rsid w:val="00EE4B26"/>
    <w:rsid w:val="00EE50D3"/>
    <w:rsid w:val="00EE6FB0"/>
    <w:rsid w:val="00EE719A"/>
    <w:rsid w:val="00EF1FD9"/>
    <w:rsid w:val="00EF7D65"/>
    <w:rsid w:val="00F028F2"/>
    <w:rsid w:val="00F03B5D"/>
    <w:rsid w:val="00F06FCC"/>
    <w:rsid w:val="00F07AB9"/>
    <w:rsid w:val="00F1115C"/>
    <w:rsid w:val="00F11682"/>
    <w:rsid w:val="00F121EA"/>
    <w:rsid w:val="00F13887"/>
    <w:rsid w:val="00F15581"/>
    <w:rsid w:val="00F15A69"/>
    <w:rsid w:val="00F15DD7"/>
    <w:rsid w:val="00F16232"/>
    <w:rsid w:val="00F170A4"/>
    <w:rsid w:val="00F1727E"/>
    <w:rsid w:val="00F229B1"/>
    <w:rsid w:val="00F277B7"/>
    <w:rsid w:val="00F30D73"/>
    <w:rsid w:val="00F311D0"/>
    <w:rsid w:val="00F32D08"/>
    <w:rsid w:val="00F32D45"/>
    <w:rsid w:val="00F3718A"/>
    <w:rsid w:val="00F402EC"/>
    <w:rsid w:val="00F40CE1"/>
    <w:rsid w:val="00F419E7"/>
    <w:rsid w:val="00F44885"/>
    <w:rsid w:val="00F47A09"/>
    <w:rsid w:val="00F47D12"/>
    <w:rsid w:val="00F5045C"/>
    <w:rsid w:val="00F5092F"/>
    <w:rsid w:val="00F52093"/>
    <w:rsid w:val="00F53286"/>
    <w:rsid w:val="00F5378F"/>
    <w:rsid w:val="00F54177"/>
    <w:rsid w:val="00F626E3"/>
    <w:rsid w:val="00F62A4D"/>
    <w:rsid w:val="00F65063"/>
    <w:rsid w:val="00F70963"/>
    <w:rsid w:val="00F71A3D"/>
    <w:rsid w:val="00F753A8"/>
    <w:rsid w:val="00F758B4"/>
    <w:rsid w:val="00F76CFF"/>
    <w:rsid w:val="00F76D1C"/>
    <w:rsid w:val="00F7735B"/>
    <w:rsid w:val="00F830A4"/>
    <w:rsid w:val="00F84D14"/>
    <w:rsid w:val="00F8738A"/>
    <w:rsid w:val="00F923B8"/>
    <w:rsid w:val="00FA3477"/>
    <w:rsid w:val="00FA422E"/>
    <w:rsid w:val="00FA63C9"/>
    <w:rsid w:val="00FA65AC"/>
    <w:rsid w:val="00FA72B1"/>
    <w:rsid w:val="00FB26B3"/>
    <w:rsid w:val="00FB2D62"/>
    <w:rsid w:val="00FB501D"/>
    <w:rsid w:val="00FB562A"/>
    <w:rsid w:val="00FB626A"/>
    <w:rsid w:val="00FB72A8"/>
    <w:rsid w:val="00FB7965"/>
    <w:rsid w:val="00FC059C"/>
    <w:rsid w:val="00FC10F7"/>
    <w:rsid w:val="00FC21FA"/>
    <w:rsid w:val="00FC6A7B"/>
    <w:rsid w:val="00FD07BB"/>
    <w:rsid w:val="00FD5C43"/>
    <w:rsid w:val="00FD5F25"/>
    <w:rsid w:val="00FD666D"/>
    <w:rsid w:val="00FE21C0"/>
    <w:rsid w:val="00FE416D"/>
    <w:rsid w:val="00FF19E5"/>
    <w:rsid w:val="00FF25A5"/>
    <w:rsid w:val="00FF2D68"/>
    <w:rsid w:val="00FF4EB9"/>
    <w:rsid w:val="00FF6A3A"/>
    <w:rsid w:val="00FF7EB1"/>
    <w:rsid w:val="00FF7ECD"/>
    <w:rsid w:val="010B0EF0"/>
    <w:rsid w:val="012C0F4A"/>
    <w:rsid w:val="012F4812"/>
    <w:rsid w:val="013276C1"/>
    <w:rsid w:val="013750E1"/>
    <w:rsid w:val="016F3AF3"/>
    <w:rsid w:val="01752A43"/>
    <w:rsid w:val="01812963"/>
    <w:rsid w:val="01862D7E"/>
    <w:rsid w:val="018646D6"/>
    <w:rsid w:val="0191031D"/>
    <w:rsid w:val="019E0896"/>
    <w:rsid w:val="01B20DAC"/>
    <w:rsid w:val="01B60410"/>
    <w:rsid w:val="01C9036C"/>
    <w:rsid w:val="01CA2CF6"/>
    <w:rsid w:val="01CF221D"/>
    <w:rsid w:val="01D26B0C"/>
    <w:rsid w:val="01D639DE"/>
    <w:rsid w:val="01EC6E92"/>
    <w:rsid w:val="01ED0DE4"/>
    <w:rsid w:val="01F82BB9"/>
    <w:rsid w:val="0201710F"/>
    <w:rsid w:val="020418F5"/>
    <w:rsid w:val="020E5176"/>
    <w:rsid w:val="02142CB5"/>
    <w:rsid w:val="021C68C6"/>
    <w:rsid w:val="02444F13"/>
    <w:rsid w:val="024D7D3E"/>
    <w:rsid w:val="025307A0"/>
    <w:rsid w:val="02581BD3"/>
    <w:rsid w:val="025A02F4"/>
    <w:rsid w:val="025A2E0B"/>
    <w:rsid w:val="026200C1"/>
    <w:rsid w:val="026F01D0"/>
    <w:rsid w:val="02791DF3"/>
    <w:rsid w:val="02857138"/>
    <w:rsid w:val="02953F16"/>
    <w:rsid w:val="02A324BB"/>
    <w:rsid w:val="02B2150F"/>
    <w:rsid w:val="02B86A56"/>
    <w:rsid w:val="02BE0C0D"/>
    <w:rsid w:val="02BF3D91"/>
    <w:rsid w:val="02CB67CC"/>
    <w:rsid w:val="02D46394"/>
    <w:rsid w:val="02D47BBA"/>
    <w:rsid w:val="02D658AE"/>
    <w:rsid w:val="02D87456"/>
    <w:rsid w:val="02F15F55"/>
    <w:rsid w:val="030A1193"/>
    <w:rsid w:val="03122FCF"/>
    <w:rsid w:val="031B7BF1"/>
    <w:rsid w:val="032F4BA1"/>
    <w:rsid w:val="03310E8F"/>
    <w:rsid w:val="03321A4B"/>
    <w:rsid w:val="03330D67"/>
    <w:rsid w:val="03342F9F"/>
    <w:rsid w:val="03465A45"/>
    <w:rsid w:val="0348330D"/>
    <w:rsid w:val="0359239A"/>
    <w:rsid w:val="03855D10"/>
    <w:rsid w:val="0386744C"/>
    <w:rsid w:val="03941C14"/>
    <w:rsid w:val="03C5727B"/>
    <w:rsid w:val="03CC3656"/>
    <w:rsid w:val="03E24B31"/>
    <w:rsid w:val="03E9013D"/>
    <w:rsid w:val="03EE5695"/>
    <w:rsid w:val="03F37ABE"/>
    <w:rsid w:val="03F53118"/>
    <w:rsid w:val="03F860BB"/>
    <w:rsid w:val="040B3FEF"/>
    <w:rsid w:val="04185A87"/>
    <w:rsid w:val="041D5230"/>
    <w:rsid w:val="042A2120"/>
    <w:rsid w:val="042D33E4"/>
    <w:rsid w:val="042D7C1D"/>
    <w:rsid w:val="043962C4"/>
    <w:rsid w:val="043E1360"/>
    <w:rsid w:val="0443616A"/>
    <w:rsid w:val="0443657D"/>
    <w:rsid w:val="04453CCF"/>
    <w:rsid w:val="0448009E"/>
    <w:rsid w:val="045460E9"/>
    <w:rsid w:val="045B3B64"/>
    <w:rsid w:val="04815529"/>
    <w:rsid w:val="048E6674"/>
    <w:rsid w:val="049B66C2"/>
    <w:rsid w:val="04AE3891"/>
    <w:rsid w:val="04BF3F3D"/>
    <w:rsid w:val="04BF62AB"/>
    <w:rsid w:val="04C87868"/>
    <w:rsid w:val="04F869D1"/>
    <w:rsid w:val="052019DF"/>
    <w:rsid w:val="05215DE5"/>
    <w:rsid w:val="0537248C"/>
    <w:rsid w:val="05420E03"/>
    <w:rsid w:val="055D60E4"/>
    <w:rsid w:val="05673E91"/>
    <w:rsid w:val="0573676B"/>
    <w:rsid w:val="058433BD"/>
    <w:rsid w:val="058C3A6A"/>
    <w:rsid w:val="058E0E77"/>
    <w:rsid w:val="058F3476"/>
    <w:rsid w:val="059A7FB0"/>
    <w:rsid w:val="05A817AE"/>
    <w:rsid w:val="05AB1093"/>
    <w:rsid w:val="05AD5A10"/>
    <w:rsid w:val="05B236EE"/>
    <w:rsid w:val="05B66960"/>
    <w:rsid w:val="05BE036B"/>
    <w:rsid w:val="05BE185E"/>
    <w:rsid w:val="05D338F8"/>
    <w:rsid w:val="05D56BCA"/>
    <w:rsid w:val="05D64B82"/>
    <w:rsid w:val="05E6158E"/>
    <w:rsid w:val="05EB5FB2"/>
    <w:rsid w:val="05EF1948"/>
    <w:rsid w:val="05F622EA"/>
    <w:rsid w:val="05F6526F"/>
    <w:rsid w:val="05FB5660"/>
    <w:rsid w:val="06072BCD"/>
    <w:rsid w:val="060919D3"/>
    <w:rsid w:val="06132318"/>
    <w:rsid w:val="06174250"/>
    <w:rsid w:val="06296259"/>
    <w:rsid w:val="0633224E"/>
    <w:rsid w:val="063810E3"/>
    <w:rsid w:val="063D51C1"/>
    <w:rsid w:val="0643104C"/>
    <w:rsid w:val="06463B0D"/>
    <w:rsid w:val="064E6C10"/>
    <w:rsid w:val="06523A3D"/>
    <w:rsid w:val="0662770E"/>
    <w:rsid w:val="06642E89"/>
    <w:rsid w:val="068C6136"/>
    <w:rsid w:val="06905406"/>
    <w:rsid w:val="06A01771"/>
    <w:rsid w:val="06AA7BE6"/>
    <w:rsid w:val="06AD272B"/>
    <w:rsid w:val="06B430A5"/>
    <w:rsid w:val="06C161AE"/>
    <w:rsid w:val="06C924FF"/>
    <w:rsid w:val="06DD323F"/>
    <w:rsid w:val="06E73686"/>
    <w:rsid w:val="06E759BC"/>
    <w:rsid w:val="06EA4B6D"/>
    <w:rsid w:val="06FB06A2"/>
    <w:rsid w:val="06FB6DB6"/>
    <w:rsid w:val="06FC25AD"/>
    <w:rsid w:val="06FE0231"/>
    <w:rsid w:val="0708263A"/>
    <w:rsid w:val="07097E6D"/>
    <w:rsid w:val="07125898"/>
    <w:rsid w:val="07165C52"/>
    <w:rsid w:val="072C17E4"/>
    <w:rsid w:val="072D18DD"/>
    <w:rsid w:val="072D48EC"/>
    <w:rsid w:val="07355672"/>
    <w:rsid w:val="073752C1"/>
    <w:rsid w:val="073D2829"/>
    <w:rsid w:val="07407DDE"/>
    <w:rsid w:val="07483753"/>
    <w:rsid w:val="07501CFD"/>
    <w:rsid w:val="07520871"/>
    <w:rsid w:val="075A0E9E"/>
    <w:rsid w:val="076117CC"/>
    <w:rsid w:val="0778145C"/>
    <w:rsid w:val="077D7AA6"/>
    <w:rsid w:val="0783132E"/>
    <w:rsid w:val="078C3895"/>
    <w:rsid w:val="07951119"/>
    <w:rsid w:val="07997158"/>
    <w:rsid w:val="079C42DA"/>
    <w:rsid w:val="079D0E6F"/>
    <w:rsid w:val="07A03AB9"/>
    <w:rsid w:val="07A43982"/>
    <w:rsid w:val="07A46E86"/>
    <w:rsid w:val="07B9716F"/>
    <w:rsid w:val="07D86369"/>
    <w:rsid w:val="07D87A17"/>
    <w:rsid w:val="07F561DD"/>
    <w:rsid w:val="07F72499"/>
    <w:rsid w:val="07FB659B"/>
    <w:rsid w:val="08235B70"/>
    <w:rsid w:val="08271421"/>
    <w:rsid w:val="082B4F5E"/>
    <w:rsid w:val="08392150"/>
    <w:rsid w:val="083D1D66"/>
    <w:rsid w:val="08411549"/>
    <w:rsid w:val="08500D53"/>
    <w:rsid w:val="086434D9"/>
    <w:rsid w:val="0876284B"/>
    <w:rsid w:val="08762939"/>
    <w:rsid w:val="088C00B8"/>
    <w:rsid w:val="088F2B91"/>
    <w:rsid w:val="088F7BAA"/>
    <w:rsid w:val="089D1F72"/>
    <w:rsid w:val="08AC2C30"/>
    <w:rsid w:val="08B02E5B"/>
    <w:rsid w:val="08B1331A"/>
    <w:rsid w:val="08C17973"/>
    <w:rsid w:val="08CD0546"/>
    <w:rsid w:val="08CD3A35"/>
    <w:rsid w:val="08D135B6"/>
    <w:rsid w:val="08D30FB1"/>
    <w:rsid w:val="08DF2249"/>
    <w:rsid w:val="08E76A62"/>
    <w:rsid w:val="08FC59BD"/>
    <w:rsid w:val="09020D7B"/>
    <w:rsid w:val="0906765F"/>
    <w:rsid w:val="0908117B"/>
    <w:rsid w:val="09102A0F"/>
    <w:rsid w:val="091B17E4"/>
    <w:rsid w:val="09227F64"/>
    <w:rsid w:val="09325991"/>
    <w:rsid w:val="093724E9"/>
    <w:rsid w:val="0939516F"/>
    <w:rsid w:val="094F2507"/>
    <w:rsid w:val="09645E82"/>
    <w:rsid w:val="09722678"/>
    <w:rsid w:val="0978355D"/>
    <w:rsid w:val="09937A88"/>
    <w:rsid w:val="099D1D10"/>
    <w:rsid w:val="09B55AFE"/>
    <w:rsid w:val="09C6383A"/>
    <w:rsid w:val="09C77962"/>
    <w:rsid w:val="09DB5571"/>
    <w:rsid w:val="09DC4010"/>
    <w:rsid w:val="09E53D8B"/>
    <w:rsid w:val="09E61993"/>
    <w:rsid w:val="09E9472A"/>
    <w:rsid w:val="0A0D5396"/>
    <w:rsid w:val="0A1960D9"/>
    <w:rsid w:val="0A290768"/>
    <w:rsid w:val="0A304765"/>
    <w:rsid w:val="0A3250BB"/>
    <w:rsid w:val="0A346299"/>
    <w:rsid w:val="0A384570"/>
    <w:rsid w:val="0A3A0029"/>
    <w:rsid w:val="0A3C0617"/>
    <w:rsid w:val="0A4565D5"/>
    <w:rsid w:val="0A506D07"/>
    <w:rsid w:val="0A564288"/>
    <w:rsid w:val="0A584DFD"/>
    <w:rsid w:val="0A5A1E1A"/>
    <w:rsid w:val="0A5C2D11"/>
    <w:rsid w:val="0A6204D3"/>
    <w:rsid w:val="0A6549F2"/>
    <w:rsid w:val="0A692500"/>
    <w:rsid w:val="0A7B67B1"/>
    <w:rsid w:val="0A7F7EAC"/>
    <w:rsid w:val="0A8175F2"/>
    <w:rsid w:val="0A873904"/>
    <w:rsid w:val="0A8E17A8"/>
    <w:rsid w:val="0A8F0500"/>
    <w:rsid w:val="0A9135F3"/>
    <w:rsid w:val="0AA53A3B"/>
    <w:rsid w:val="0AA604D5"/>
    <w:rsid w:val="0ACF095E"/>
    <w:rsid w:val="0AF60865"/>
    <w:rsid w:val="0B041E9F"/>
    <w:rsid w:val="0B077D4F"/>
    <w:rsid w:val="0B1E4E13"/>
    <w:rsid w:val="0B292596"/>
    <w:rsid w:val="0B2C2823"/>
    <w:rsid w:val="0B315D0A"/>
    <w:rsid w:val="0B324248"/>
    <w:rsid w:val="0B3B271C"/>
    <w:rsid w:val="0B510A88"/>
    <w:rsid w:val="0B577548"/>
    <w:rsid w:val="0B64274A"/>
    <w:rsid w:val="0B6B11CB"/>
    <w:rsid w:val="0B775B78"/>
    <w:rsid w:val="0B8260E2"/>
    <w:rsid w:val="0B903838"/>
    <w:rsid w:val="0B960A3D"/>
    <w:rsid w:val="0B9A64CB"/>
    <w:rsid w:val="0BA136DC"/>
    <w:rsid w:val="0BB544E3"/>
    <w:rsid w:val="0BCA39D3"/>
    <w:rsid w:val="0BD84F97"/>
    <w:rsid w:val="0BDE338B"/>
    <w:rsid w:val="0BE65C40"/>
    <w:rsid w:val="0BE81E81"/>
    <w:rsid w:val="0BE92707"/>
    <w:rsid w:val="0BEC62B7"/>
    <w:rsid w:val="0BF5461D"/>
    <w:rsid w:val="0BFA0D23"/>
    <w:rsid w:val="0BFE1AD5"/>
    <w:rsid w:val="0C070E2C"/>
    <w:rsid w:val="0C106343"/>
    <w:rsid w:val="0C15619D"/>
    <w:rsid w:val="0C160EC2"/>
    <w:rsid w:val="0C2A2EBF"/>
    <w:rsid w:val="0C3D5F89"/>
    <w:rsid w:val="0C3E68F2"/>
    <w:rsid w:val="0C6D7D11"/>
    <w:rsid w:val="0C7442CA"/>
    <w:rsid w:val="0C7629CA"/>
    <w:rsid w:val="0C81075E"/>
    <w:rsid w:val="0C885F62"/>
    <w:rsid w:val="0C893EF8"/>
    <w:rsid w:val="0C8F38F7"/>
    <w:rsid w:val="0C946F66"/>
    <w:rsid w:val="0C97439D"/>
    <w:rsid w:val="0C9A6C86"/>
    <w:rsid w:val="0C9F76B7"/>
    <w:rsid w:val="0CB23589"/>
    <w:rsid w:val="0CB5181B"/>
    <w:rsid w:val="0CB94B60"/>
    <w:rsid w:val="0CC169FC"/>
    <w:rsid w:val="0CD165FC"/>
    <w:rsid w:val="0CD31154"/>
    <w:rsid w:val="0CD87A44"/>
    <w:rsid w:val="0CE2395C"/>
    <w:rsid w:val="0CE86F6D"/>
    <w:rsid w:val="0CEB6F42"/>
    <w:rsid w:val="0CF946A3"/>
    <w:rsid w:val="0D052197"/>
    <w:rsid w:val="0D084089"/>
    <w:rsid w:val="0D0E250B"/>
    <w:rsid w:val="0D0E6330"/>
    <w:rsid w:val="0D100EDD"/>
    <w:rsid w:val="0D175EC6"/>
    <w:rsid w:val="0D1858EB"/>
    <w:rsid w:val="0D1D4296"/>
    <w:rsid w:val="0D2D46A3"/>
    <w:rsid w:val="0D2E5ACE"/>
    <w:rsid w:val="0D3449EC"/>
    <w:rsid w:val="0D3D0408"/>
    <w:rsid w:val="0D446DA4"/>
    <w:rsid w:val="0D561EB4"/>
    <w:rsid w:val="0D57388F"/>
    <w:rsid w:val="0D5A24B1"/>
    <w:rsid w:val="0D5D472F"/>
    <w:rsid w:val="0D63310D"/>
    <w:rsid w:val="0D6B5E2E"/>
    <w:rsid w:val="0D7A6C39"/>
    <w:rsid w:val="0D840696"/>
    <w:rsid w:val="0D8F60D3"/>
    <w:rsid w:val="0D926069"/>
    <w:rsid w:val="0D945DDB"/>
    <w:rsid w:val="0DAC655E"/>
    <w:rsid w:val="0DAF3A7C"/>
    <w:rsid w:val="0DBD5BE2"/>
    <w:rsid w:val="0DBE685B"/>
    <w:rsid w:val="0DC60649"/>
    <w:rsid w:val="0DD21257"/>
    <w:rsid w:val="0DDE6619"/>
    <w:rsid w:val="0DE106AE"/>
    <w:rsid w:val="0DE67082"/>
    <w:rsid w:val="0DEC69C4"/>
    <w:rsid w:val="0DF44E7E"/>
    <w:rsid w:val="0DFA2232"/>
    <w:rsid w:val="0E0F5205"/>
    <w:rsid w:val="0E1F2272"/>
    <w:rsid w:val="0E225462"/>
    <w:rsid w:val="0E2305E5"/>
    <w:rsid w:val="0E2C2B2D"/>
    <w:rsid w:val="0E34320B"/>
    <w:rsid w:val="0E384DDA"/>
    <w:rsid w:val="0E4146FE"/>
    <w:rsid w:val="0E4449F3"/>
    <w:rsid w:val="0E496ABD"/>
    <w:rsid w:val="0E4C5238"/>
    <w:rsid w:val="0E506676"/>
    <w:rsid w:val="0E5230BB"/>
    <w:rsid w:val="0E567DC9"/>
    <w:rsid w:val="0E5743B6"/>
    <w:rsid w:val="0E5B7825"/>
    <w:rsid w:val="0E5D14FB"/>
    <w:rsid w:val="0E602CF4"/>
    <w:rsid w:val="0E6C48D3"/>
    <w:rsid w:val="0E6F6A75"/>
    <w:rsid w:val="0E72555D"/>
    <w:rsid w:val="0E8970F4"/>
    <w:rsid w:val="0E8C0A97"/>
    <w:rsid w:val="0E9D6B9D"/>
    <w:rsid w:val="0EA0130C"/>
    <w:rsid w:val="0EA76BC0"/>
    <w:rsid w:val="0EA866CA"/>
    <w:rsid w:val="0EB1036C"/>
    <w:rsid w:val="0EB10673"/>
    <w:rsid w:val="0EBC3D95"/>
    <w:rsid w:val="0EC22F0C"/>
    <w:rsid w:val="0EC86ACC"/>
    <w:rsid w:val="0ECC22E8"/>
    <w:rsid w:val="0EE161E4"/>
    <w:rsid w:val="0EE432D9"/>
    <w:rsid w:val="0EFC1774"/>
    <w:rsid w:val="0EFE1E3E"/>
    <w:rsid w:val="0F0726A0"/>
    <w:rsid w:val="0F19313F"/>
    <w:rsid w:val="0F225CA4"/>
    <w:rsid w:val="0F231AB5"/>
    <w:rsid w:val="0F352579"/>
    <w:rsid w:val="0F3C2325"/>
    <w:rsid w:val="0F50588E"/>
    <w:rsid w:val="0F537DDB"/>
    <w:rsid w:val="0F6247B2"/>
    <w:rsid w:val="0F6568B6"/>
    <w:rsid w:val="0F6E6899"/>
    <w:rsid w:val="0F7360F0"/>
    <w:rsid w:val="0F755E13"/>
    <w:rsid w:val="0F7C2488"/>
    <w:rsid w:val="0F860CA5"/>
    <w:rsid w:val="0FBC2AFC"/>
    <w:rsid w:val="0FC405D7"/>
    <w:rsid w:val="0FC430F7"/>
    <w:rsid w:val="0FD6120D"/>
    <w:rsid w:val="0FDA3EB7"/>
    <w:rsid w:val="0FDE02D3"/>
    <w:rsid w:val="100517DD"/>
    <w:rsid w:val="100D70C9"/>
    <w:rsid w:val="10101FE5"/>
    <w:rsid w:val="101A018D"/>
    <w:rsid w:val="101C5AE0"/>
    <w:rsid w:val="101D1F13"/>
    <w:rsid w:val="101D7D60"/>
    <w:rsid w:val="102C37E6"/>
    <w:rsid w:val="103416DE"/>
    <w:rsid w:val="10361217"/>
    <w:rsid w:val="103E1202"/>
    <w:rsid w:val="103F50B0"/>
    <w:rsid w:val="1046298E"/>
    <w:rsid w:val="10510DDB"/>
    <w:rsid w:val="105159AD"/>
    <w:rsid w:val="10664997"/>
    <w:rsid w:val="106720BA"/>
    <w:rsid w:val="10757C48"/>
    <w:rsid w:val="107723D6"/>
    <w:rsid w:val="107A18D0"/>
    <w:rsid w:val="109237D3"/>
    <w:rsid w:val="10977671"/>
    <w:rsid w:val="109957CB"/>
    <w:rsid w:val="10AB039B"/>
    <w:rsid w:val="10B40234"/>
    <w:rsid w:val="10B778F2"/>
    <w:rsid w:val="10BA59FF"/>
    <w:rsid w:val="10BF3354"/>
    <w:rsid w:val="10C32BCC"/>
    <w:rsid w:val="10C91B2A"/>
    <w:rsid w:val="10CB52F4"/>
    <w:rsid w:val="10CC671B"/>
    <w:rsid w:val="10CD331D"/>
    <w:rsid w:val="10CF3691"/>
    <w:rsid w:val="10D2503F"/>
    <w:rsid w:val="10D778EB"/>
    <w:rsid w:val="10DA46A3"/>
    <w:rsid w:val="10E7146D"/>
    <w:rsid w:val="10FF168B"/>
    <w:rsid w:val="11011676"/>
    <w:rsid w:val="11277B42"/>
    <w:rsid w:val="112856B3"/>
    <w:rsid w:val="1128578E"/>
    <w:rsid w:val="11342A13"/>
    <w:rsid w:val="114357DC"/>
    <w:rsid w:val="115764FB"/>
    <w:rsid w:val="1158245A"/>
    <w:rsid w:val="1158509E"/>
    <w:rsid w:val="11634D79"/>
    <w:rsid w:val="116435C2"/>
    <w:rsid w:val="11654A5A"/>
    <w:rsid w:val="116A61E0"/>
    <w:rsid w:val="117459C4"/>
    <w:rsid w:val="117A3549"/>
    <w:rsid w:val="117C7663"/>
    <w:rsid w:val="117D6134"/>
    <w:rsid w:val="11886ACB"/>
    <w:rsid w:val="119266CE"/>
    <w:rsid w:val="11A73CFC"/>
    <w:rsid w:val="11BD20DC"/>
    <w:rsid w:val="11BE49AC"/>
    <w:rsid w:val="11C84464"/>
    <w:rsid w:val="11DD615A"/>
    <w:rsid w:val="11DE4B0C"/>
    <w:rsid w:val="11EC21D5"/>
    <w:rsid w:val="1205766F"/>
    <w:rsid w:val="120E3740"/>
    <w:rsid w:val="12136CA9"/>
    <w:rsid w:val="12190CC0"/>
    <w:rsid w:val="1233271A"/>
    <w:rsid w:val="12464A81"/>
    <w:rsid w:val="1247143D"/>
    <w:rsid w:val="124A7D5C"/>
    <w:rsid w:val="124F6220"/>
    <w:rsid w:val="12656CF7"/>
    <w:rsid w:val="1278601B"/>
    <w:rsid w:val="128A7EFE"/>
    <w:rsid w:val="12942D6A"/>
    <w:rsid w:val="129C6916"/>
    <w:rsid w:val="129D4A29"/>
    <w:rsid w:val="12B24172"/>
    <w:rsid w:val="12B26FC4"/>
    <w:rsid w:val="12BA2BB6"/>
    <w:rsid w:val="12C51291"/>
    <w:rsid w:val="12C72ACF"/>
    <w:rsid w:val="12CF188B"/>
    <w:rsid w:val="12DE2460"/>
    <w:rsid w:val="12E31A52"/>
    <w:rsid w:val="12E64AF3"/>
    <w:rsid w:val="12F24C6C"/>
    <w:rsid w:val="12F844BA"/>
    <w:rsid w:val="12FD0857"/>
    <w:rsid w:val="13006C2C"/>
    <w:rsid w:val="1314451D"/>
    <w:rsid w:val="13174914"/>
    <w:rsid w:val="131E63B5"/>
    <w:rsid w:val="13204224"/>
    <w:rsid w:val="13210A5E"/>
    <w:rsid w:val="13294467"/>
    <w:rsid w:val="132B006A"/>
    <w:rsid w:val="132B6A2E"/>
    <w:rsid w:val="13441425"/>
    <w:rsid w:val="13441EC2"/>
    <w:rsid w:val="13473D69"/>
    <w:rsid w:val="1348742C"/>
    <w:rsid w:val="134F174E"/>
    <w:rsid w:val="13685323"/>
    <w:rsid w:val="13721870"/>
    <w:rsid w:val="137775A0"/>
    <w:rsid w:val="13802100"/>
    <w:rsid w:val="13805B97"/>
    <w:rsid w:val="138109F7"/>
    <w:rsid w:val="138444BD"/>
    <w:rsid w:val="13845879"/>
    <w:rsid w:val="138D7D25"/>
    <w:rsid w:val="138E5B6B"/>
    <w:rsid w:val="13A151C5"/>
    <w:rsid w:val="13A61BA4"/>
    <w:rsid w:val="13AC15CD"/>
    <w:rsid w:val="13B43D46"/>
    <w:rsid w:val="13BB2E20"/>
    <w:rsid w:val="13D02323"/>
    <w:rsid w:val="13D23EA8"/>
    <w:rsid w:val="13D37B33"/>
    <w:rsid w:val="13E7405D"/>
    <w:rsid w:val="13EB4791"/>
    <w:rsid w:val="13EF4952"/>
    <w:rsid w:val="13F62F18"/>
    <w:rsid w:val="141A1109"/>
    <w:rsid w:val="142C5137"/>
    <w:rsid w:val="14362853"/>
    <w:rsid w:val="143F76E4"/>
    <w:rsid w:val="144422A1"/>
    <w:rsid w:val="14604BAD"/>
    <w:rsid w:val="14654241"/>
    <w:rsid w:val="146C6B45"/>
    <w:rsid w:val="147025CB"/>
    <w:rsid w:val="14705DF0"/>
    <w:rsid w:val="147359D3"/>
    <w:rsid w:val="14753D80"/>
    <w:rsid w:val="148E4602"/>
    <w:rsid w:val="149862E9"/>
    <w:rsid w:val="149E2FB0"/>
    <w:rsid w:val="14A02F37"/>
    <w:rsid w:val="14A4682F"/>
    <w:rsid w:val="14B610DE"/>
    <w:rsid w:val="14BE7944"/>
    <w:rsid w:val="14BF35E3"/>
    <w:rsid w:val="14C248C0"/>
    <w:rsid w:val="14D8068D"/>
    <w:rsid w:val="14EB6039"/>
    <w:rsid w:val="14EF214B"/>
    <w:rsid w:val="14F7697C"/>
    <w:rsid w:val="14FA53AB"/>
    <w:rsid w:val="14FF30C4"/>
    <w:rsid w:val="15015C9D"/>
    <w:rsid w:val="15034FA2"/>
    <w:rsid w:val="1507041B"/>
    <w:rsid w:val="15077FA4"/>
    <w:rsid w:val="15081732"/>
    <w:rsid w:val="1511680D"/>
    <w:rsid w:val="15121519"/>
    <w:rsid w:val="152973AC"/>
    <w:rsid w:val="153B3593"/>
    <w:rsid w:val="153C0852"/>
    <w:rsid w:val="1541091E"/>
    <w:rsid w:val="15446C69"/>
    <w:rsid w:val="1559734C"/>
    <w:rsid w:val="15725320"/>
    <w:rsid w:val="157764C3"/>
    <w:rsid w:val="1580508B"/>
    <w:rsid w:val="15836D4B"/>
    <w:rsid w:val="158904E8"/>
    <w:rsid w:val="158B5CF5"/>
    <w:rsid w:val="15A1258F"/>
    <w:rsid w:val="15A629AA"/>
    <w:rsid w:val="15B46F0F"/>
    <w:rsid w:val="15B87AA5"/>
    <w:rsid w:val="15C36D02"/>
    <w:rsid w:val="15D04F62"/>
    <w:rsid w:val="15DA6B86"/>
    <w:rsid w:val="15DB495A"/>
    <w:rsid w:val="15FD5252"/>
    <w:rsid w:val="16007325"/>
    <w:rsid w:val="160840F8"/>
    <w:rsid w:val="160941E4"/>
    <w:rsid w:val="160B406F"/>
    <w:rsid w:val="160D1956"/>
    <w:rsid w:val="161B6C4B"/>
    <w:rsid w:val="16216A78"/>
    <w:rsid w:val="16353C55"/>
    <w:rsid w:val="164E620E"/>
    <w:rsid w:val="16503D31"/>
    <w:rsid w:val="16642554"/>
    <w:rsid w:val="167C0431"/>
    <w:rsid w:val="168E3A9C"/>
    <w:rsid w:val="16995E6D"/>
    <w:rsid w:val="16AC2295"/>
    <w:rsid w:val="16AE4C83"/>
    <w:rsid w:val="16AF0CE6"/>
    <w:rsid w:val="16B117AE"/>
    <w:rsid w:val="16B73E18"/>
    <w:rsid w:val="16C04E7B"/>
    <w:rsid w:val="16CA475B"/>
    <w:rsid w:val="16D11708"/>
    <w:rsid w:val="16DC7AD7"/>
    <w:rsid w:val="16DD2DE5"/>
    <w:rsid w:val="16DF77B0"/>
    <w:rsid w:val="16E1184F"/>
    <w:rsid w:val="16E55D42"/>
    <w:rsid w:val="170109B0"/>
    <w:rsid w:val="17026217"/>
    <w:rsid w:val="1706633F"/>
    <w:rsid w:val="170A63EB"/>
    <w:rsid w:val="170C0A23"/>
    <w:rsid w:val="17311784"/>
    <w:rsid w:val="17403289"/>
    <w:rsid w:val="17453D04"/>
    <w:rsid w:val="174F782B"/>
    <w:rsid w:val="175B0387"/>
    <w:rsid w:val="17667990"/>
    <w:rsid w:val="17716F83"/>
    <w:rsid w:val="17735948"/>
    <w:rsid w:val="177E0327"/>
    <w:rsid w:val="178611F0"/>
    <w:rsid w:val="178636FC"/>
    <w:rsid w:val="17893BE2"/>
    <w:rsid w:val="1791038B"/>
    <w:rsid w:val="17911301"/>
    <w:rsid w:val="1798371B"/>
    <w:rsid w:val="17A002B4"/>
    <w:rsid w:val="17A032FB"/>
    <w:rsid w:val="17A07F70"/>
    <w:rsid w:val="17A21774"/>
    <w:rsid w:val="17A87DED"/>
    <w:rsid w:val="17C0669B"/>
    <w:rsid w:val="17C14542"/>
    <w:rsid w:val="17C51875"/>
    <w:rsid w:val="17D1095D"/>
    <w:rsid w:val="17D15D40"/>
    <w:rsid w:val="17D92BE4"/>
    <w:rsid w:val="17E2032C"/>
    <w:rsid w:val="17E54884"/>
    <w:rsid w:val="17EE02D7"/>
    <w:rsid w:val="17F039AF"/>
    <w:rsid w:val="17F25BE8"/>
    <w:rsid w:val="17F40004"/>
    <w:rsid w:val="17FB2A7B"/>
    <w:rsid w:val="1803765C"/>
    <w:rsid w:val="1807345D"/>
    <w:rsid w:val="1826194B"/>
    <w:rsid w:val="182E61B9"/>
    <w:rsid w:val="183C3C91"/>
    <w:rsid w:val="184C5E7B"/>
    <w:rsid w:val="18655DF3"/>
    <w:rsid w:val="1874649F"/>
    <w:rsid w:val="18782662"/>
    <w:rsid w:val="187B6562"/>
    <w:rsid w:val="18A62F65"/>
    <w:rsid w:val="18B26E3E"/>
    <w:rsid w:val="18B50627"/>
    <w:rsid w:val="18BD793F"/>
    <w:rsid w:val="18C06058"/>
    <w:rsid w:val="18D47BDB"/>
    <w:rsid w:val="18D63B51"/>
    <w:rsid w:val="18D86385"/>
    <w:rsid w:val="18DD41FB"/>
    <w:rsid w:val="18E7465B"/>
    <w:rsid w:val="18ED4A78"/>
    <w:rsid w:val="18F47486"/>
    <w:rsid w:val="18FB661B"/>
    <w:rsid w:val="190C584F"/>
    <w:rsid w:val="190E3C42"/>
    <w:rsid w:val="19113B01"/>
    <w:rsid w:val="19165B06"/>
    <w:rsid w:val="191F5DB5"/>
    <w:rsid w:val="19252371"/>
    <w:rsid w:val="19272BD1"/>
    <w:rsid w:val="192E2652"/>
    <w:rsid w:val="192F359A"/>
    <w:rsid w:val="193C1BFA"/>
    <w:rsid w:val="194565FD"/>
    <w:rsid w:val="195059E0"/>
    <w:rsid w:val="1953025A"/>
    <w:rsid w:val="19593B1A"/>
    <w:rsid w:val="19605E6A"/>
    <w:rsid w:val="1961203C"/>
    <w:rsid w:val="19667B1D"/>
    <w:rsid w:val="196E2A55"/>
    <w:rsid w:val="196E7A30"/>
    <w:rsid w:val="19734BE8"/>
    <w:rsid w:val="19743A8E"/>
    <w:rsid w:val="1974687C"/>
    <w:rsid w:val="19923F97"/>
    <w:rsid w:val="19A10262"/>
    <w:rsid w:val="19B4246D"/>
    <w:rsid w:val="19BA404F"/>
    <w:rsid w:val="19D043DD"/>
    <w:rsid w:val="19DF204A"/>
    <w:rsid w:val="19F03533"/>
    <w:rsid w:val="19F3148A"/>
    <w:rsid w:val="19FE0198"/>
    <w:rsid w:val="1A017917"/>
    <w:rsid w:val="1A143D04"/>
    <w:rsid w:val="1A1700C4"/>
    <w:rsid w:val="1A1B1CB3"/>
    <w:rsid w:val="1A1C49D9"/>
    <w:rsid w:val="1A1D759F"/>
    <w:rsid w:val="1A2104E2"/>
    <w:rsid w:val="1A282330"/>
    <w:rsid w:val="1A286F7B"/>
    <w:rsid w:val="1A2A45C1"/>
    <w:rsid w:val="1A3C2A5E"/>
    <w:rsid w:val="1A436AF9"/>
    <w:rsid w:val="1A4D56B3"/>
    <w:rsid w:val="1A5319B3"/>
    <w:rsid w:val="1A5606E8"/>
    <w:rsid w:val="1A586245"/>
    <w:rsid w:val="1A612AE9"/>
    <w:rsid w:val="1A6E32FF"/>
    <w:rsid w:val="1A740342"/>
    <w:rsid w:val="1A7C1FEB"/>
    <w:rsid w:val="1A7E059F"/>
    <w:rsid w:val="1A8F1F0E"/>
    <w:rsid w:val="1A9E35E0"/>
    <w:rsid w:val="1AA57C5E"/>
    <w:rsid w:val="1AAA4EEE"/>
    <w:rsid w:val="1AAC1B8E"/>
    <w:rsid w:val="1ACA6152"/>
    <w:rsid w:val="1ACF0FF7"/>
    <w:rsid w:val="1AD0285B"/>
    <w:rsid w:val="1AD51C4F"/>
    <w:rsid w:val="1AD62286"/>
    <w:rsid w:val="1AE11FB4"/>
    <w:rsid w:val="1AF659E1"/>
    <w:rsid w:val="1AFC31DC"/>
    <w:rsid w:val="1B03403A"/>
    <w:rsid w:val="1B2A275D"/>
    <w:rsid w:val="1B465425"/>
    <w:rsid w:val="1B485520"/>
    <w:rsid w:val="1B4B03FD"/>
    <w:rsid w:val="1B5F6461"/>
    <w:rsid w:val="1B6B2166"/>
    <w:rsid w:val="1B6F0D59"/>
    <w:rsid w:val="1B7D2A58"/>
    <w:rsid w:val="1B837887"/>
    <w:rsid w:val="1B971EC5"/>
    <w:rsid w:val="1B9C20D8"/>
    <w:rsid w:val="1BAB5CA5"/>
    <w:rsid w:val="1BAD4E18"/>
    <w:rsid w:val="1BBF3327"/>
    <w:rsid w:val="1BCB774D"/>
    <w:rsid w:val="1BD42118"/>
    <w:rsid w:val="1BED560D"/>
    <w:rsid w:val="1BF62DCB"/>
    <w:rsid w:val="1BF665E3"/>
    <w:rsid w:val="1BF845F1"/>
    <w:rsid w:val="1BFA2DC9"/>
    <w:rsid w:val="1C0D3979"/>
    <w:rsid w:val="1C1370A1"/>
    <w:rsid w:val="1C1A27E3"/>
    <w:rsid w:val="1C1B5980"/>
    <w:rsid w:val="1C294F9D"/>
    <w:rsid w:val="1C2B228A"/>
    <w:rsid w:val="1C367568"/>
    <w:rsid w:val="1C3F26EE"/>
    <w:rsid w:val="1C401B09"/>
    <w:rsid w:val="1C465A18"/>
    <w:rsid w:val="1C497972"/>
    <w:rsid w:val="1C4B04E1"/>
    <w:rsid w:val="1C4F23CC"/>
    <w:rsid w:val="1C557589"/>
    <w:rsid w:val="1C6F399F"/>
    <w:rsid w:val="1C6F5447"/>
    <w:rsid w:val="1C72374D"/>
    <w:rsid w:val="1C8D17A0"/>
    <w:rsid w:val="1C94097C"/>
    <w:rsid w:val="1CA42F48"/>
    <w:rsid w:val="1CAF452C"/>
    <w:rsid w:val="1CB109E3"/>
    <w:rsid w:val="1CB260F3"/>
    <w:rsid w:val="1CB52DF0"/>
    <w:rsid w:val="1CC47AAB"/>
    <w:rsid w:val="1CD137D8"/>
    <w:rsid w:val="1CDC0967"/>
    <w:rsid w:val="1CF52EE2"/>
    <w:rsid w:val="1CF868B9"/>
    <w:rsid w:val="1CFC5A09"/>
    <w:rsid w:val="1D0F0378"/>
    <w:rsid w:val="1D162A49"/>
    <w:rsid w:val="1D236595"/>
    <w:rsid w:val="1D2C0029"/>
    <w:rsid w:val="1D350989"/>
    <w:rsid w:val="1D5B4B98"/>
    <w:rsid w:val="1D5B7779"/>
    <w:rsid w:val="1D5F08F8"/>
    <w:rsid w:val="1D655A16"/>
    <w:rsid w:val="1D69418F"/>
    <w:rsid w:val="1D6A6A79"/>
    <w:rsid w:val="1D8C4B43"/>
    <w:rsid w:val="1D8D21DA"/>
    <w:rsid w:val="1D9168BF"/>
    <w:rsid w:val="1D963E79"/>
    <w:rsid w:val="1D9B0BF5"/>
    <w:rsid w:val="1DA25633"/>
    <w:rsid w:val="1DA801CA"/>
    <w:rsid w:val="1DAC13DA"/>
    <w:rsid w:val="1DB7235D"/>
    <w:rsid w:val="1DBC7E87"/>
    <w:rsid w:val="1DC32CAA"/>
    <w:rsid w:val="1DCB1C61"/>
    <w:rsid w:val="1DD61FF7"/>
    <w:rsid w:val="1DD729E3"/>
    <w:rsid w:val="1DDA04DA"/>
    <w:rsid w:val="1DFA246B"/>
    <w:rsid w:val="1DFB6D10"/>
    <w:rsid w:val="1E033E90"/>
    <w:rsid w:val="1E1D0038"/>
    <w:rsid w:val="1E1E6732"/>
    <w:rsid w:val="1E2A348B"/>
    <w:rsid w:val="1E2A6EA1"/>
    <w:rsid w:val="1E3066C6"/>
    <w:rsid w:val="1E3B1DA9"/>
    <w:rsid w:val="1E3C6F8C"/>
    <w:rsid w:val="1E4025F1"/>
    <w:rsid w:val="1E4B310F"/>
    <w:rsid w:val="1E4C2856"/>
    <w:rsid w:val="1E4D6BD0"/>
    <w:rsid w:val="1E600CD2"/>
    <w:rsid w:val="1E60665F"/>
    <w:rsid w:val="1E6C3F94"/>
    <w:rsid w:val="1E7C5A3A"/>
    <w:rsid w:val="1E7D6699"/>
    <w:rsid w:val="1E9B7301"/>
    <w:rsid w:val="1E9D710B"/>
    <w:rsid w:val="1EA30943"/>
    <w:rsid w:val="1EB57B5A"/>
    <w:rsid w:val="1EB72505"/>
    <w:rsid w:val="1EBA03F3"/>
    <w:rsid w:val="1EC03154"/>
    <w:rsid w:val="1EC13F09"/>
    <w:rsid w:val="1ED60889"/>
    <w:rsid w:val="1EE44D57"/>
    <w:rsid w:val="1EE839CD"/>
    <w:rsid w:val="1EF21ACB"/>
    <w:rsid w:val="1F0B6F27"/>
    <w:rsid w:val="1F0C7481"/>
    <w:rsid w:val="1F0F24AA"/>
    <w:rsid w:val="1F217A23"/>
    <w:rsid w:val="1F35176B"/>
    <w:rsid w:val="1F354EE1"/>
    <w:rsid w:val="1F3E7F5F"/>
    <w:rsid w:val="1F467D09"/>
    <w:rsid w:val="1F53566E"/>
    <w:rsid w:val="1F5E0B3C"/>
    <w:rsid w:val="1F65756A"/>
    <w:rsid w:val="1F6942D8"/>
    <w:rsid w:val="1F744BBC"/>
    <w:rsid w:val="1F7C55A7"/>
    <w:rsid w:val="1F7F56BD"/>
    <w:rsid w:val="1F8A4060"/>
    <w:rsid w:val="1F922013"/>
    <w:rsid w:val="1FA549DA"/>
    <w:rsid w:val="1FAA725D"/>
    <w:rsid w:val="1FAD283B"/>
    <w:rsid w:val="1FB44987"/>
    <w:rsid w:val="1FB94320"/>
    <w:rsid w:val="1FC06332"/>
    <w:rsid w:val="1FDA5399"/>
    <w:rsid w:val="1FDA6D85"/>
    <w:rsid w:val="1FDC4BE3"/>
    <w:rsid w:val="1FDC5329"/>
    <w:rsid w:val="1FE26274"/>
    <w:rsid w:val="1FEE0DEB"/>
    <w:rsid w:val="1FFE7D01"/>
    <w:rsid w:val="2011201C"/>
    <w:rsid w:val="20142D74"/>
    <w:rsid w:val="20454AE2"/>
    <w:rsid w:val="20480C08"/>
    <w:rsid w:val="20534C19"/>
    <w:rsid w:val="205C1CF8"/>
    <w:rsid w:val="20607D12"/>
    <w:rsid w:val="20630FD0"/>
    <w:rsid w:val="2064482D"/>
    <w:rsid w:val="20646052"/>
    <w:rsid w:val="20754442"/>
    <w:rsid w:val="207B460D"/>
    <w:rsid w:val="20902036"/>
    <w:rsid w:val="20A465AF"/>
    <w:rsid w:val="20A46E28"/>
    <w:rsid w:val="20B42581"/>
    <w:rsid w:val="20B56C20"/>
    <w:rsid w:val="20CE62AF"/>
    <w:rsid w:val="20D20C20"/>
    <w:rsid w:val="20EA7DDB"/>
    <w:rsid w:val="20F8358C"/>
    <w:rsid w:val="20F87D74"/>
    <w:rsid w:val="20FB66BF"/>
    <w:rsid w:val="20FD0C94"/>
    <w:rsid w:val="2102236C"/>
    <w:rsid w:val="210E392C"/>
    <w:rsid w:val="210F2A1B"/>
    <w:rsid w:val="21210AF9"/>
    <w:rsid w:val="212A1369"/>
    <w:rsid w:val="21312BF1"/>
    <w:rsid w:val="214063FE"/>
    <w:rsid w:val="2147344D"/>
    <w:rsid w:val="2152114D"/>
    <w:rsid w:val="215975FB"/>
    <w:rsid w:val="215F1C6B"/>
    <w:rsid w:val="2160158B"/>
    <w:rsid w:val="21741A95"/>
    <w:rsid w:val="218239F5"/>
    <w:rsid w:val="2189473A"/>
    <w:rsid w:val="218B45F1"/>
    <w:rsid w:val="219C5895"/>
    <w:rsid w:val="21AE3219"/>
    <w:rsid w:val="21B32D78"/>
    <w:rsid w:val="21B86BE6"/>
    <w:rsid w:val="21CB1DCB"/>
    <w:rsid w:val="21CC666F"/>
    <w:rsid w:val="21D71F3A"/>
    <w:rsid w:val="21E23D87"/>
    <w:rsid w:val="21E2424C"/>
    <w:rsid w:val="21E762FD"/>
    <w:rsid w:val="21EE793A"/>
    <w:rsid w:val="21F62003"/>
    <w:rsid w:val="21FD0165"/>
    <w:rsid w:val="21FD0187"/>
    <w:rsid w:val="21FD243E"/>
    <w:rsid w:val="220F0731"/>
    <w:rsid w:val="22113EC5"/>
    <w:rsid w:val="22136D33"/>
    <w:rsid w:val="221671FA"/>
    <w:rsid w:val="221C59B5"/>
    <w:rsid w:val="223529FA"/>
    <w:rsid w:val="223C12F0"/>
    <w:rsid w:val="223E2604"/>
    <w:rsid w:val="22537FEA"/>
    <w:rsid w:val="22653E72"/>
    <w:rsid w:val="226761E5"/>
    <w:rsid w:val="227579F0"/>
    <w:rsid w:val="228F480E"/>
    <w:rsid w:val="22915C75"/>
    <w:rsid w:val="22923840"/>
    <w:rsid w:val="22984627"/>
    <w:rsid w:val="22A65372"/>
    <w:rsid w:val="22AE1C4D"/>
    <w:rsid w:val="22B9705B"/>
    <w:rsid w:val="22CC483E"/>
    <w:rsid w:val="22D41629"/>
    <w:rsid w:val="22D7491C"/>
    <w:rsid w:val="22DB4F7A"/>
    <w:rsid w:val="22E704F4"/>
    <w:rsid w:val="22F040B3"/>
    <w:rsid w:val="22F33479"/>
    <w:rsid w:val="23037A6E"/>
    <w:rsid w:val="230F7C98"/>
    <w:rsid w:val="231C365F"/>
    <w:rsid w:val="23371B93"/>
    <w:rsid w:val="233D40EC"/>
    <w:rsid w:val="234026B7"/>
    <w:rsid w:val="23404606"/>
    <w:rsid w:val="23405D6B"/>
    <w:rsid w:val="234D7E80"/>
    <w:rsid w:val="23535891"/>
    <w:rsid w:val="235425FB"/>
    <w:rsid w:val="235A5787"/>
    <w:rsid w:val="236045B5"/>
    <w:rsid w:val="23700DC9"/>
    <w:rsid w:val="23922FB8"/>
    <w:rsid w:val="239A28D5"/>
    <w:rsid w:val="23A51B28"/>
    <w:rsid w:val="23A87C7E"/>
    <w:rsid w:val="23B10C74"/>
    <w:rsid w:val="23B55D9E"/>
    <w:rsid w:val="23C24578"/>
    <w:rsid w:val="23C61EB5"/>
    <w:rsid w:val="23CE69AC"/>
    <w:rsid w:val="23D24C1D"/>
    <w:rsid w:val="23D36DAD"/>
    <w:rsid w:val="23FA5F4C"/>
    <w:rsid w:val="240E4911"/>
    <w:rsid w:val="2411062F"/>
    <w:rsid w:val="241614E4"/>
    <w:rsid w:val="241771D1"/>
    <w:rsid w:val="242A515C"/>
    <w:rsid w:val="242D5A0F"/>
    <w:rsid w:val="242E1A7B"/>
    <w:rsid w:val="243270F8"/>
    <w:rsid w:val="24345A0C"/>
    <w:rsid w:val="24372224"/>
    <w:rsid w:val="24404529"/>
    <w:rsid w:val="245B45CA"/>
    <w:rsid w:val="24610E25"/>
    <w:rsid w:val="246A6007"/>
    <w:rsid w:val="247003C4"/>
    <w:rsid w:val="24786E23"/>
    <w:rsid w:val="24795E2F"/>
    <w:rsid w:val="247E4EC2"/>
    <w:rsid w:val="24813134"/>
    <w:rsid w:val="248E2ACA"/>
    <w:rsid w:val="248E34FB"/>
    <w:rsid w:val="24AA34D7"/>
    <w:rsid w:val="24AA7759"/>
    <w:rsid w:val="24AB1375"/>
    <w:rsid w:val="24B16C17"/>
    <w:rsid w:val="24B47F4F"/>
    <w:rsid w:val="24B63E82"/>
    <w:rsid w:val="24B821F2"/>
    <w:rsid w:val="24BB0186"/>
    <w:rsid w:val="24C32D11"/>
    <w:rsid w:val="24CE6CDD"/>
    <w:rsid w:val="24E86738"/>
    <w:rsid w:val="24EA0599"/>
    <w:rsid w:val="24EA0CA3"/>
    <w:rsid w:val="24EA615B"/>
    <w:rsid w:val="24F3730C"/>
    <w:rsid w:val="251A145B"/>
    <w:rsid w:val="252609D4"/>
    <w:rsid w:val="252E6398"/>
    <w:rsid w:val="252F5D61"/>
    <w:rsid w:val="25343F90"/>
    <w:rsid w:val="25355611"/>
    <w:rsid w:val="253748D8"/>
    <w:rsid w:val="253C651E"/>
    <w:rsid w:val="25405A22"/>
    <w:rsid w:val="254E61F4"/>
    <w:rsid w:val="25632401"/>
    <w:rsid w:val="2569494E"/>
    <w:rsid w:val="25705B43"/>
    <w:rsid w:val="257262D3"/>
    <w:rsid w:val="25834F8C"/>
    <w:rsid w:val="25842054"/>
    <w:rsid w:val="2591426D"/>
    <w:rsid w:val="25AD0024"/>
    <w:rsid w:val="25B13B94"/>
    <w:rsid w:val="25B97065"/>
    <w:rsid w:val="25B97933"/>
    <w:rsid w:val="25C306FD"/>
    <w:rsid w:val="25D64D38"/>
    <w:rsid w:val="25F53866"/>
    <w:rsid w:val="25F62117"/>
    <w:rsid w:val="25F62C14"/>
    <w:rsid w:val="25FB6C6E"/>
    <w:rsid w:val="26044D38"/>
    <w:rsid w:val="260530FC"/>
    <w:rsid w:val="260A4503"/>
    <w:rsid w:val="26143BB4"/>
    <w:rsid w:val="262B66A0"/>
    <w:rsid w:val="263F325B"/>
    <w:rsid w:val="26402EE7"/>
    <w:rsid w:val="264B59BC"/>
    <w:rsid w:val="264C52C2"/>
    <w:rsid w:val="26536B92"/>
    <w:rsid w:val="26563C9C"/>
    <w:rsid w:val="26601EE4"/>
    <w:rsid w:val="267115C7"/>
    <w:rsid w:val="26805622"/>
    <w:rsid w:val="26872603"/>
    <w:rsid w:val="268B4C59"/>
    <w:rsid w:val="26953DF3"/>
    <w:rsid w:val="269F4DB3"/>
    <w:rsid w:val="26AF0E1E"/>
    <w:rsid w:val="26C43D99"/>
    <w:rsid w:val="26CE6FD4"/>
    <w:rsid w:val="26D4674D"/>
    <w:rsid w:val="26E232FC"/>
    <w:rsid w:val="26E86D8F"/>
    <w:rsid w:val="26FC3D6C"/>
    <w:rsid w:val="26FF8E86"/>
    <w:rsid w:val="270244FB"/>
    <w:rsid w:val="270723BB"/>
    <w:rsid w:val="272B55A2"/>
    <w:rsid w:val="27396134"/>
    <w:rsid w:val="273D7000"/>
    <w:rsid w:val="274A653F"/>
    <w:rsid w:val="274B476D"/>
    <w:rsid w:val="275C6E57"/>
    <w:rsid w:val="27641D28"/>
    <w:rsid w:val="277558DC"/>
    <w:rsid w:val="2787014D"/>
    <w:rsid w:val="279A781C"/>
    <w:rsid w:val="27A23706"/>
    <w:rsid w:val="27AF32B4"/>
    <w:rsid w:val="27B34DBF"/>
    <w:rsid w:val="27BA32DD"/>
    <w:rsid w:val="27BB6709"/>
    <w:rsid w:val="27BD39CB"/>
    <w:rsid w:val="27BE7EE3"/>
    <w:rsid w:val="27BF554B"/>
    <w:rsid w:val="27D24530"/>
    <w:rsid w:val="27E87F77"/>
    <w:rsid w:val="27F214D7"/>
    <w:rsid w:val="27F56BB6"/>
    <w:rsid w:val="27F767CC"/>
    <w:rsid w:val="281233C7"/>
    <w:rsid w:val="281752E0"/>
    <w:rsid w:val="281C3F79"/>
    <w:rsid w:val="282A23EB"/>
    <w:rsid w:val="28327DBF"/>
    <w:rsid w:val="28354A34"/>
    <w:rsid w:val="28356B5A"/>
    <w:rsid w:val="28405C53"/>
    <w:rsid w:val="284545C5"/>
    <w:rsid w:val="28464AB2"/>
    <w:rsid w:val="28467B0E"/>
    <w:rsid w:val="285421C9"/>
    <w:rsid w:val="287312BD"/>
    <w:rsid w:val="28803716"/>
    <w:rsid w:val="288E4A59"/>
    <w:rsid w:val="28907556"/>
    <w:rsid w:val="28970831"/>
    <w:rsid w:val="28990FDF"/>
    <w:rsid w:val="28AE270B"/>
    <w:rsid w:val="28B94BA6"/>
    <w:rsid w:val="28BE3D7B"/>
    <w:rsid w:val="28C035AE"/>
    <w:rsid w:val="28C55DC4"/>
    <w:rsid w:val="28D57CC6"/>
    <w:rsid w:val="28DC44E9"/>
    <w:rsid w:val="28E4536B"/>
    <w:rsid w:val="28E5449C"/>
    <w:rsid w:val="28F07C39"/>
    <w:rsid w:val="28F21EB3"/>
    <w:rsid w:val="28FB1B6A"/>
    <w:rsid w:val="29086B72"/>
    <w:rsid w:val="290B318F"/>
    <w:rsid w:val="29113D2B"/>
    <w:rsid w:val="291653E5"/>
    <w:rsid w:val="292077AF"/>
    <w:rsid w:val="292374CE"/>
    <w:rsid w:val="2937689C"/>
    <w:rsid w:val="293F1815"/>
    <w:rsid w:val="293F68C4"/>
    <w:rsid w:val="29400807"/>
    <w:rsid w:val="294538AD"/>
    <w:rsid w:val="29485B9A"/>
    <w:rsid w:val="294B7D02"/>
    <w:rsid w:val="294E08C6"/>
    <w:rsid w:val="29525626"/>
    <w:rsid w:val="29573BCE"/>
    <w:rsid w:val="295D08DF"/>
    <w:rsid w:val="296B7187"/>
    <w:rsid w:val="297D03EE"/>
    <w:rsid w:val="297F2C6C"/>
    <w:rsid w:val="297F3667"/>
    <w:rsid w:val="299329D3"/>
    <w:rsid w:val="299B3E8C"/>
    <w:rsid w:val="299E4CF3"/>
    <w:rsid w:val="29AC5305"/>
    <w:rsid w:val="29B24E46"/>
    <w:rsid w:val="29BA5CDA"/>
    <w:rsid w:val="29C033EE"/>
    <w:rsid w:val="29D93718"/>
    <w:rsid w:val="29F202D3"/>
    <w:rsid w:val="2A01254D"/>
    <w:rsid w:val="2A0E0598"/>
    <w:rsid w:val="2A4341F7"/>
    <w:rsid w:val="2A4966D0"/>
    <w:rsid w:val="2A4B638A"/>
    <w:rsid w:val="2A5F38FD"/>
    <w:rsid w:val="2A6603D4"/>
    <w:rsid w:val="2A724CE7"/>
    <w:rsid w:val="2A7308A2"/>
    <w:rsid w:val="2A760A98"/>
    <w:rsid w:val="2A8A0466"/>
    <w:rsid w:val="2A9B001B"/>
    <w:rsid w:val="2AAF2FB1"/>
    <w:rsid w:val="2AB05F67"/>
    <w:rsid w:val="2AB46F1C"/>
    <w:rsid w:val="2ABC7476"/>
    <w:rsid w:val="2AC1126A"/>
    <w:rsid w:val="2ACB1205"/>
    <w:rsid w:val="2ACB515E"/>
    <w:rsid w:val="2ACD2DCC"/>
    <w:rsid w:val="2AD169E2"/>
    <w:rsid w:val="2AE61A60"/>
    <w:rsid w:val="2AF20F0B"/>
    <w:rsid w:val="2B0047BA"/>
    <w:rsid w:val="2B1A5F49"/>
    <w:rsid w:val="2B2A4461"/>
    <w:rsid w:val="2B40425A"/>
    <w:rsid w:val="2B4A6FCE"/>
    <w:rsid w:val="2B523CA1"/>
    <w:rsid w:val="2B5F3762"/>
    <w:rsid w:val="2B6200E4"/>
    <w:rsid w:val="2B7504BD"/>
    <w:rsid w:val="2B782551"/>
    <w:rsid w:val="2B823141"/>
    <w:rsid w:val="2B82797C"/>
    <w:rsid w:val="2B8344F9"/>
    <w:rsid w:val="2B882050"/>
    <w:rsid w:val="2B943B0D"/>
    <w:rsid w:val="2BA40818"/>
    <w:rsid w:val="2BB23795"/>
    <w:rsid w:val="2BB614AE"/>
    <w:rsid w:val="2BBD2E35"/>
    <w:rsid w:val="2BC25A47"/>
    <w:rsid w:val="2BC5149D"/>
    <w:rsid w:val="2BCB3513"/>
    <w:rsid w:val="2BD02B53"/>
    <w:rsid w:val="2BD407D1"/>
    <w:rsid w:val="2BD46CCB"/>
    <w:rsid w:val="2BE348E8"/>
    <w:rsid w:val="2BE6624A"/>
    <w:rsid w:val="2BE824A3"/>
    <w:rsid w:val="2BEF1B6B"/>
    <w:rsid w:val="2BFA7ED0"/>
    <w:rsid w:val="2BFF4C47"/>
    <w:rsid w:val="2C06465B"/>
    <w:rsid w:val="2C122E54"/>
    <w:rsid w:val="2C173E63"/>
    <w:rsid w:val="2C1E0FD2"/>
    <w:rsid w:val="2C1E141B"/>
    <w:rsid w:val="2C252597"/>
    <w:rsid w:val="2C302209"/>
    <w:rsid w:val="2C38537A"/>
    <w:rsid w:val="2C3D7EBE"/>
    <w:rsid w:val="2C4237EA"/>
    <w:rsid w:val="2C44565A"/>
    <w:rsid w:val="2C4B547A"/>
    <w:rsid w:val="2C4C7DA6"/>
    <w:rsid w:val="2C515E76"/>
    <w:rsid w:val="2C62443D"/>
    <w:rsid w:val="2C66384E"/>
    <w:rsid w:val="2C6652F0"/>
    <w:rsid w:val="2C7C7902"/>
    <w:rsid w:val="2C7D3689"/>
    <w:rsid w:val="2C7D45B7"/>
    <w:rsid w:val="2C87006C"/>
    <w:rsid w:val="2C9B3C61"/>
    <w:rsid w:val="2CA174A1"/>
    <w:rsid w:val="2CA46A34"/>
    <w:rsid w:val="2CA94BD8"/>
    <w:rsid w:val="2CB32561"/>
    <w:rsid w:val="2CC70DAA"/>
    <w:rsid w:val="2CD1734B"/>
    <w:rsid w:val="2CD80D1D"/>
    <w:rsid w:val="2CE67871"/>
    <w:rsid w:val="2CEE4153"/>
    <w:rsid w:val="2CF65820"/>
    <w:rsid w:val="2CFC6A17"/>
    <w:rsid w:val="2D0935BF"/>
    <w:rsid w:val="2D0D0ABC"/>
    <w:rsid w:val="2D0F3BFC"/>
    <w:rsid w:val="2D107580"/>
    <w:rsid w:val="2D14061A"/>
    <w:rsid w:val="2D186246"/>
    <w:rsid w:val="2D1945B2"/>
    <w:rsid w:val="2D2B319A"/>
    <w:rsid w:val="2D36282A"/>
    <w:rsid w:val="2D365F40"/>
    <w:rsid w:val="2D3D2BD1"/>
    <w:rsid w:val="2D536C61"/>
    <w:rsid w:val="2D6239B5"/>
    <w:rsid w:val="2D9C3154"/>
    <w:rsid w:val="2DA01F0C"/>
    <w:rsid w:val="2DBD04EA"/>
    <w:rsid w:val="2DC461A7"/>
    <w:rsid w:val="2DC55411"/>
    <w:rsid w:val="2DC66F77"/>
    <w:rsid w:val="2DCA5D9A"/>
    <w:rsid w:val="2DCC51BC"/>
    <w:rsid w:val="2DCE5DBD"/>
    <w:rsid w:val="2DDA3DF5"/>
    <w:rsid w:val="2DE86972"/>
    <w:rsid w:val="2DFC151A"/>
    <w:rsid w:val="2DFE2023"/>
    <w:rsid w:val="2E025FBA"/>
    <w:rsid w:val="2E0B296D"/>
    <w:rsid w:val="2E1235C4"/>
    <w:rsid w:val="2E1856DC"/>
    <w:rsid w:val="2E2E1E11"/>
    <w:rsid w:val="2E2F2E7E"/>
    <w:rsid w:val="2E3A4B07"/>
    <w:rsid w:val="2E3D56EB"/>
    <w:rsid w:val="2E4208BC"/>
    <w:rsid w:val="2E4D15BF"/>
    <w:rsid w:val="2E5A13DD"/>
    <w:rsid w:val="2E5F0949"/>
    <w:rsid w:val="2E6C7EAA"/>
    <w:rsid w:val="2E703F59"/>
    <w:rsid w:val="2E8C4E72"/>
    <w:rsid w:val="2EB07E70"/>
    <w:rsid w:val="2EBC45C6"/>
    <w:rsid w:val="2ECC1B62"/>
    <w:rsid w:val="2EE42FCC"/>
    <w:rsid w:val="2EFC20EF"/>
    <w:rsid w:val="2EFD5A40"/>
    <w:rsid w:val="2F067DD1"/>
    <w:rsid w:val="2F0A6405"/>
    <w:rsid w:val="2F0D021B"/>
    <w:rsid w:val="2F0D1234"/>
    <w:rsid w:val="2F10778D"/>
    <w:rsid w:val="2F1768EE"/>
    <w:rsid w:val="2F2222D5"/>
    <w:rsid w:val="2F296A08"/>
    <w:rsid w:val="2F2C1734"/>
    <w:rsid w:val="2F3C5900"/>
    <w:rsid w:val="2F3F47B3"/>
    <w:rsid w:val="2F4B41B7"/>
    <w:rsid w:val="2F4B5D29"/>
    <w:rsid w:val="2F4F61BD"/>
    <w:rsid w:val="2F5F0425"/>
    <w:rsid w:val="2F6009F9"/>
    <w:rsid w:val="2F662C40"/>
    <w:rsid w:val="2F6742EA"/>
    <w:rsid w:val="2F681D7A"/>
    <w:rsid w:val="2F6949FB"/>
    <w:rsid w:val="2F6A2961"/>
    <w:rsid w:val="2F7026B2"/>
    <w:rsid w:val="2F733126"/>
    <w:rsid w:val="2F74035F"/>
    <w:rsid w:val="2F8F1A45"/>
    <w:rsid w:val="2F9247A2"/>
    <w:rsid w:val="2F98446E"/>
    <w:rsid w:val="2F99760A"/>
    <w:rsid w:val="2FAB239C"/>
    <w:rsid w:val="2FB60F05"/>
    <w:rsid w:val="2FC52277"/>
    <w:rsid w:val="2FD86002"/>
    <w:rsid w:val="2FE50367"/>
    <w:rsid w:val="2FEC06B3"/>
    <w:rsid w:val="2FEC4E36"/>
    <w:rsid w:val="30016FA1"/>
    <w:rsid w:val="30140635"/>
    <w:rsid w:val="301E6058"/>
    <w:rsid w:val="302B75B1"/>
    <w:rsid w:val="303A299D"/>
    <w:rsid w:val="303B16A9"/>
    <w:rsid w:val="303F629C"/>
    <w:rsid w:val="30434F86"/>
    <w:rsid w:val="304841D1"/>
    <w:rsid w:val="304A76A5"/>
    <w:rsid w:val="3051067B"/>
    <w:rsid w:val="30555767"/>
    <w:rsid w:val="305B3E0B"/>
    <w:rsid w:val="30676823"/>
    <w:rsid w:val="306904E1"/>
    <w:rsid w:val="306B242E"/>
    <w:rsid w:val="306B5ED7"/>
    <w:rsid w:val="306E57E3"/>
    <w:rsid w:val="307C6E42"/>
    <w:rsid w:val="30855F88"/>
    <w:rsid w:val="30943051"/>
    <w:rsid w:val="309B4959"/>
    <w:rsid w:val="309C1588"/>
    <w:rsid w:val="309D4D71"/>
    <w:rsid w:val="309D4DAB"/>
    <w:rsid w:val="309E76BD"/>
    <w:rsid w:val="30A04259"/>
    <w:rsid w:val="30A10C9A"/>
    <w:rsid w:val="30A12BA3"/>
    <w:rsid w:val="30A1422C"/>
    <w:rsid w:val="30A17F85"/>
    <w:rsid w:val="30AA5304"/>
    <w:rsid w:val="30B31915"/>
    <w:rsid w:val="30BA179C"/>
    <w:rsid w:val="30BB04C7"/>
    <w:rsid w:val="30DC2A0F"/>
    <w:rsid w:val="30E12268"/>
    <w:rsid w:val="30EB5402"/>
    <w:rsid w:val="30F07157"/>
    <w:rsid w:val="30FE71F8"/>
    <w:rsid w:val="31104F05"/>
    <w:rsid w:val="311D0C39"/>
    <w:rsid w:val="311F5E53"/>
    <w:rsid w:val="312761CC"/>
    <w:rsid w:val="31336C49"/>
    <w:rsid w:val="313802B1"/>
    <w:rsid w:val="31415A47"/>
    <w:rsid w:val="314555EC"/>
    <w:rsid w:val="31491FD3"/>
    <w:rsid w:val="314A770C"/>
    <w:rsid w:val="31626BC6"/>
    <w:rsid w:val="31676241"/>
    <w:rsid w:val="316922FC"/>
    <w:rsid w:val="316C69F0"/>
    <w:rsid w:val="316D63F9"/>
    <w:rsid w:val="3173156C"/>
    <w:rsid w:val="317501E4"/>
    <w:rsid w:val="3175528E"/>
    <w:rsid w:val="31775CF0"/>
    <w:rsid w:val="3178206F"/>
    <w:rsid w:val="31795B9E"/>
    <w:rsid w:val="317B188E"/>
    <w:rsid w:val="31847F7B"/>
    <w:rsid w:val="318C6189"/>
    <w:rsid w:val="319914E3"/>
    <w:rsid w:val="319F1065"/>
    <w:rsid w:val="31AB36D2"/>
    <w:rsid w:val="31AE0F85"/>
    <w:rsid w:val="31B41A28"/>
    <w:rsid w:val="31B575A7"/>
    <w:rsid w:val="31C36401"/>
    <w:rsid w:val="31C662B5"/>
    <w:rsid w:val="31C856DC"/>
    <w:rsid w:val="31C909C8"/>
    <w:rsid w:val="31D31125"/>
    <w:rsid w:val="31E43FFC"/>
    <w:rsid w:val="31E673E1"/>
    <w:rsid w:val="32073D8F"/>
    <w:rsid w:val="321301F9"/>
    <w:rsid w:val="32254565"/>
    <w:rsid w:val="322A18B1"/>
    <w:rsid w:val="32315415"/>
    <w:rsid w:val="32343C9D"/>
    <w:rsid w:val="32421776"/>
    <w:rsid w:val="324310F2"/>
    <w:rsid w:val="32474D7A"/>
    <w:rsid w:val="324D15F6"/>
    <w:rsid w:val="32536343"/>
    <w:rsid w:val="32597CE3"/>
    <w:rsid w:val="325B0D6E"/>
    <w:rsid w:val="325E6619"/>
    <w:rsid w:val="32661CE5"/>
    <w:rsid w:val="326D2697"/>
    <w:rsid w:val="327305D0"/>
    <w:rsid w:val="328C2F3D"/>
    <w:rsid w:val="32921FB4"/>
    <w:rsid w:val="329423F8"/>
    <w:rsid w:val="32946BA3"/>
    <w:rsid w:val="329701B1"/>
    <w:rsid w:val="32986DD6"/>
    <w:rsid w:val="32BF0592"/>
    <w:rsid w:val="32C54C14"/>
    <w:rsid w:val="32D710EF"/>
    <w:rsid w:val="32D720A2"/>
    <w:rsid w:val="32D928FF"/>
    <w:rsid w:val="32E67D3B"/>
    <w:rsid w:val="32F666EF"/>
    <w:rsid w:val="32F72765"/>
    <w:rsid w:val="33061830"/>
    <w:rsid w:val="33211165"/>
    <w:rsid w:val="33232349"/>
    <w:rsid w:val="33233535"/>
    <w:rsid w:val="33363720"/>
    <w:rsid w:val="334F2C2F"/>
    <w:rsid w:val="33617C31"/>
    <w:rsid w:val="33656FA2"/>
    <w:rsid w:val="33692663"/>
    <w:rsid w:val="33891F19"/>
    <w:rsid w:val="339103BC"/>
    <w:rsid w:val="33A354C9"/>
    <w:rsid w:val="33B30706"/>
    <w:rsid w:val="33B82421"/>
    <w:rsid w:val="33BA5DC0"/>
    <w:rsid w:val="33BE0162"/>
    <w:rsid w:val="33CD0CFF"/>
    <w:rsid w:val="33E035A6"/>
    <w:rsid w:val="33E315A0"/>
    <w:rsid w:val="33EA0F5C"/>
    <w:rsid w:val="33F64640"/>
    <w:rsid w:val="33FE7DA5"/>
    <w:rsid w:val="34005967"/>
    <w:rsid w:val="340E043A"/>
    <w:rsid w:val="34106E02"/>
    <w:rsid w:val="341367F4"/>
    <w:rsid w:val="34152D23"/>
    <w:rsid w:val="341A5253"/>
    <w:rsid w:val="341B4D8B"/>
    <w:rsid w:val="341F38FA"/>
    <w:rsid w:val="341F4358"/>
    <w:rsid w:val="342F637D"/>
    <w:rsid w:val="34321BCC"/>
    <w:rsid w:val="34411016"/>
    <w:rsid w:val="34486DA9"/>
    <w:rsid w:val="344D2E91"/>
    <w:rsid w:val="345C1822"/>
    <w:rsid w:val="345C6799"/>
    <w:rsid w:val="347A1F6C"/>
    <w:rsid w:val="34821785"/>
    <w:rsid w:val="3496337D"/>
    <w:rsid w:val="34981126"/>
    <w:rsid w:val="34A357A4"/>
    <w:rsid w:val="34A94162"/>
    <w:rsid w:val="34B51D60"/>
    <w:rsid w:val="34B84FA4"/>
    <w:rsid w:val="34BC0486"/>
    <w:rsid w:val="34CA14C7"/>
    <w:rsid w:val="34D1309F"/>
    <w:rsid w:val="34E100DC"/>
    <w:rsid w:val="350237BA"/>
    <w:rsid w:val="35141399"/>
    <w:rsid w:val="3516309D"/>
    <w:rsid w:val="35211E29"/>
    <w:rsid w:val="3521443A"/>
    <w:rsid w:val="353612D8"/>
    <w:rsid w:val="353E63E7"/>
    <w:rsid w:val="35415820"/>
    <w:rsid w:val="35502711"/>
    <w:rsid w:val="355802F6"/>
    <w:rsid w:val="35634121"/>
    <w:rsid w:val="35685DDD"/>
    <w:rsid w:val="356E7DE8"/>
    <w:rsid w:val="35725B14"/>
    <w:rsid w:val="35740766"/>
    <w:rsid w:val="35765A36"/>
    <w:rsid w:val="35780B6E"/>
    <w:rsid w:val="357D7725"/>
    <w:rsid w:val="358356DB"/>
    <w:rsid w:val="358907AE"/>
    <w:rsid w:val="358A3B0E"/>
    <w:rsid w:val="35910168"/>
    <w:rsid w:val="35927B5B"/>
    <w:rsid w:val="359708EF"/>
    <w:rsid w:val="359D381F"/>
    <w:rsid w:val="35A62F28"/>
    <w:rsid w:val="35AB1D7C"/>
    <w:rsid w:val="35B61A11"/>
    <w:rsid w:val="35BE0CC3"/>
    <w:rsid w:val="35C4340B"/>
    <w:rsid w:val="35D10A03"/>
    <w:rsid w:val="35D269D7"/>
    <w:rsid w:val="35D73F34"/>
    <w:rsid w:val="35DC5D9A"/>
    <w:rsid w:val="35DE756A"/>
    <w:rsid w:val="35E55221"/>
    <w:rsid w:val="35EF364D"/>
    <w:rsid w:val="35F81F8F"/>
    <w:rsid w:val="35F96CC6"/>
    <w:rsid w:val="360606AE"/>
    <w:rsid w:val="360C55A6"/>
    <w:rsid w:val="361827BB"/>
    <w:rsid w:val="361A516A"/>
    <w:rsid w:val="36203CE5"/>
    <w:rsid w:val="36233FC4"/>
    <w:rsid w:val="362869C7"/>
    <w:rsid w:val="363233FE"/>
    <w:rsid w:val="36352C15"/>
    <w:rsid w:val="363B06FC"/>
    <w:rsid w:val="3644776A"/>
    <w:rsid w:val="364A0E71"/>
    <w:rsid w:val="36520DBC"/>
    <w:rsid w:val="366B1808"/>
    <w:rsid w:val="366D02EB"/>
    <w:rsid w:val="36875A36"/>
    <w:rsid w:val="3693139C"/>
    <w:rsid w:val="36966E12"/>
    <w:rsid w:val="369A45EE"/>
    <w:rsid w:val="36A46CF1"/>
    <w:rsid w:val="36BB3618"/>
    <w:rsid w:val="36BC69C4"/>
    <w:rsid w:val="36CD1B8F"/>
    <w:rsid w:val="36D73974"/>
    <w:rsid w:val="36DC3577"/>
    <w:rsid w:val="36E4034E"/>
    <w:rsid w:val="36E55105"/>
    <w:rsid w:val="36F75CF7"/>
    <w:rsid w:val="36F870CD"/>
    <w:rsid w:val="36FA14EB"/>
    <w:rsid w:val="36FD7BAD"/>
    <w:rsid w:val="36FDEC22"/>
    <w:rsid w:val="37023A80"/>
    <w:rsid w:val="37046DC9"/>
    <w:rsid w:val="3709270B"/>
    <w:rsid w:val="370D64EE"/>
    <w:rsid w:val="37201539"/>
    <w:rsid w:val="37230965"/>
    <w:rsid w:val="37301BF8"/>
    <w:rsid w:val="37307EA2"/>
    <w:rsid w:val="373D1D09"/>
    <w:rsid w:val="37531D60"/>
    <w:rsid w:val="375E1E3C"/>
    <w:rsid w:val="3762052C"/>
    <w:rsid w:val="37705635"/>
    <w:rsid w:val="37712C8B"/>
    <w:rsid w:val="377208E1"/>
    <w:rsid w:val="37811BDA"/>
    <w:rsid w:val="37836370"/>
    <w:rsid w:val="378A08BD"/>
    <w:rsid w:val="378A610C"/>
    <w:rsid w:val="379039A8"/>
    <w:rsid w:val="37903E74"/>
    <w:rsid w:val="379561EA"/>
    <w:rsid w:val="37BE0C2C"/>
    <w:rsid w:val="37BE537C"/>
    <w:rsid w:val="37BF2F02"/>
    <w:rsid w:val="37C236B0"/>
    <w:rsid w:val="37CB2D68"/>
    <w:rsid w:val="37D76348"/>
    <w:rsid w:val="37DC1FE4"/>
    <w:rsid w:val="37DD276A"/>
    <w:rsid w:val="37E33DF5"/>
    <w:rsid w:val="37EB215A"/>
    <w:rsid w:val="37EC4322"/>
    <w:rsid w:val="37F41900"/>
    <w:rsid w:val="37FA3D09"/>
    <w:rsid w:val="38082065"/>
    <w:rsid w:val="380A05CB"/>
    <w:rsid w:val="380F58F9"/>
    <w:rsid w:val="38214408"/>
    <w:rsid w:val="382D0783"/>
    <w:rsid w:val="382F127E"/>
    <w:rsid w:val="3840779A"/>
    <w:rsid w:val="38544174"/>
    <w:rsid w:val="385959EE"/>
    <w:rsid w:val="385A7A8E"/>
    <w:rsid w:val="386624AB"/>
    <w:rsid w:val="386A074B"/>
    <w:rsid w:val="386A75C2"/>
    <w:rsid w:val="38781714"/>
    <w:rsid w:val="388E7ADD"/>
    <w:rsid w:val="38A25182"/>
    <w:rsid w:val="38B450DE"/>
    <w:rsid w:val="38BA7AC7"/>
    <w:rsid w:val="38BC6093"/>
    <w:rsid w:val="38BE723A"/>
    <w:rsid w:val="38C92273"/>
    <w:rsid w:val="38D8477B"/>
    <w:rsid w:val="38E63C91"/>
    <w:rsid w:val="38F00FCD"/>
    <w:rsid w:val="38F54E9F"/>
    <w:rsid w:val="39031FC9"/>
    <w:rsid w:val="39045864"/>
    <w:rsid w:val="390C0CC6"/>
    <w:rsid w:val="3919096B"/>
    <w:rsid w:val="391C4849"/>
    <w:rsid w:val="39312347"/>
    <w:rsid w:val="39374424"/>
    <w:rsid w:val="393E2EBA"/>
    <w:rsid w:val="393F6D21"/>
    <w:rsid w:val="394A1163"/>
    <w:rsid w:val="395B5FD6"/>
    <w:rsid w:val="3961188B"/>
    <w:rsid w:val="396661E7"/>
    <w:rsid w:val="396B35AB"/>
    <w:rsid w:val="396C64EE"/>
    <w:rsid w:val="3981133E"/>
    <w:rsid w:val="398169F6"/>
    <w:rsid w:val="39832442"/>
    <w:rsid w:val="399B551C"/>
    <w:rsid w:val="399B7D8A"/>
    <w:rsid w:val="39AA5C3F"/>
    <w:rsid w:val="39B51193"/>
    <w:rsid w:val="39BB2122"/>
    <w:rsid w:val="39BE49D4"/>
    <w:rsid w:val="39C94BC6"/>
    <w:rsid w:val="39CB734B"/>
    <w:rsid w:val="39D3006B"/>
    <w:rsid w:val="39E162FC"/>
    <w:rsid w:val="39EA60E1"/>
    <w:rsid w:val="39F00E10"/>
    <w:rsid w:val="39F422AD"/>
    <w:rsid w:val="39FA55F4"/>
    <w:rsid w:val="39FF053D"/>
    <w:rsid w:val="3A0902A7"/>
    <w:rsid w:val="3A0F37C9"/>
    <w:rsid w:val="3A2971E3"/>
    <w:rsid w:val="3A39135A"/>
    <w:rsid w:val="3A3A15A9"/>
    <w:rsid w:val="3A3C6A3E"/>
    <w:rsid w:val="3A3F3547"/>
    <w:rsid w:val="3A401684"/>
    <w:rsid w:val="3A4A573B"/>
    <w:rsid w:val="3A526712"/>
    <w:rsid w:val="3A5B2197"/>
    <w:rsid w:val="3A682392"/>
    <w:rsid w:val="3A8B2D89"/>
    <w:rsid w:val="3A9822DC"/>
    <w:rsid w:val="3AA1738F"/>
    <w:rsid w:val="3AA33C44"/>
    <w:rsid w:val="3AAD33A9"/>
    <w:rsid w:val="3AB8098E"/>
    <w:rsid w:val="3AC118D7"/>
    <w:rsid w:val="3ACA6C7D"/>
    <w:rsid w:val="3AD035E2"/>
    <w:rsid w:val="3AD80924"/>
    <w:rsid w:val="3AE31F29"/>
    <w:rsid w:val="3AEF3142"/>
    <w:rsid w:val="3AF46A75"/>
    <w:rsid w:val="3AF57F06"/>
    <w:rsid w:val="3B1639BA"/>
    <w:rsid w:val="3B382EA5"/>
    <w:rsid w:val="3B3946EE"/>
    <w:rsid w:val="3B567D3C"/>
    <w:rsid w:val="3B6165AE"/>
    <w:rsid w:val="3B6204EC"/>
    <w:rsid w:val="3B8B0EB0"/>
    <w:rsid w:val="3B8F63A7"/>
    <w:rsid w:val="3B9707E1"/>
    <w:rsid w:val="3BB93435"/>
    <w:rsid w:val="3BBE1860"/>
    <w:rsid w:val="3BC734B0"/>
    <w:rsid w:val="3BC804DD"/>
    <w:rsid w:val="3BCD1C09"/>
    <w:rsid w:val="3BD96C3E"/>
    <w:rsid w:val="3BDB74DF"/>
    <w:rsid w:val="3BDF28BD"/>
    <w:rsid w:val="3BE21FDA"/>
    <w:rsid w:val="3BE406BF"/>
    <w:rsid w:val="3BE40D81"/>
    <w:rsid w:val="3BEC167A"/>
    <w:rsid w:val="3BF63689"/>
    <w:rsid w:val="3BFD4D62"/>
    <w:rsid w:val="3C020655"/>
    <w:rsid w:val="3C200A56"/>
    <w:rsid w:val="3C21701A"/>
    <w:rsid w:val="3C2845CD"/>
    <w:rsid w:val="3C2C0BA3"/>
    <w:rsid w:val="3C3225E7"/>
    <w:rsid w:val="3C386330"/>
    <w:rsid w:val="3C3963AD"/>
    <w:rsid w:val="3C3A2FE3"/>
    <w:rsid w:val="3C432B9D"/>
    <w:rsid w:val="3C646BCF"/>
    <w:rsid w:val="3C6F2D7C"/>
    <w:rsid w:val="3C720D93"/>
    <w:rsid w:val="3C865E2A"/>
    <w:rsid w:val="3C8B76ED"/>
    <w:rsid w:val="3C8D4052"/>
    <w:rsid w:val="3CA514CD"/>
    <w:rsid w:val="3CBB612D"/>
    <w:rsid w:val="3CBF2A5B"/>
    <w:rsid w:val="3CCF56FB"/>
    <w:rsid w:val="3CDA397E"/>
    <w:rsid w:val="3CE11B46"/>
    <w:rsid w:val="3CE91F89"/>
    <w:rsid w:val="3CEA5173"/>
    <w:rsid w:val="3CF54AD1"/>
    <w:rsid w:val="3CF8135F"/>
    <w:rsid w:val="3D0C34DD"/>
    <w:rsid w:val="3D131318"/>
    <w:rsid w:val="3D164126"/>
    <w:rsid w:val="3D252B2E"/>
    <w:rsid w:val="3D2B6329"/>
    <w:rsid w:val="3D2E696D"/>
    <w:rsid w:val="3D315783"/>
    <w:rsid w:val="3D322C06"/>
    <w:rsid w:val="3D354F53"/>
    <w:rsid w:val="3D3916A2"/>
    <w:rsid w:val="3D4036D8"/>
    <w:rsid w:val="3D405B80"/>
    <w:rsid w:val="3D565FA9"/>
    <w:rsid w:val="3D621A8F"/>
    <w:rsid w:val="3D876E27"/>
    <w:rsid w:val="3D906D6E"/>
    <w:rsid w:val="3D9D136E"/>
    <w:rsid w:val="3DA12868"/>
    <w:rsid w:val="3DB576F8"/>
    <w:rsid w:val="3DBB3840"/>
    <w:rsid w:val="3DBC5B4D"/>
    <w:rsid w:val="3DC765A0"/>
    <w:rsid w:val="3DCC0475"/>
    <w:rsid w:val="3DD032D5"/>
    <w:rsid w:val="3DD06F00"/>
    <w:rsid w:val="3DDC40F3"/>
    <w:rsid w:val="3DE15CD7"/>
    <w:rsid w:val="3DE644EF"/>
    <w:rsid w:val="3DEB6B24"/>
    <w:rsid w:val="3DF14AB7"/>
    <w:rsid w:val="3DF77A65"/>
    <w:rsid w:val="3DF86BC4"/>
    <w:rsid w:val="3E053832"/>
    <w:rsid w:val="3E0F160B"/>
    <w:rsid w:val="3E1102F7"/>
    <w:rsid w:val="3E162E3B"/>
    <w:rsid w:val="3E18514E"/>
    <w:rsid w:val="3E2E6103"/>
    <w:rsid w:val="3E3216E9"/>
    <w:rsid w:val="3E3614E8"/>
    <w:rsid w:val="3E3A6B67"/>
    <w:rsid w:val="3E4556B7"/>
    <w:rsid w:val="3E481C89"/>
    <w:rsid w:val="3E4C18E7"/>
    <w:rsid w:val="3E5318B0"/>
    <w:rsid w:val="3E543F55"/>
    <w:rsid w:val="3E546DA1"/>
    <w:rsid w:val="3E5A13BC"/>
    <w:rsid w:val="3E6B283B"/>
    <w:rsid w:val="3E6B7AC7"/>
    <w:rsid w:val="3E6E0705"/>
    <w:rsid w:val="3E6F6704"/>
    <w:rsid w:val="3E707C55"/>
    <w:rsid w:val="3E761EF4"/>
    <w:rsid w:val="3E7A3C5D"/>
    <w:rsid w:val="3E82622B"/>
    <w:rsid w:val="3E8818A5"/>
    <w:rsid w:val="3E8A0F58"/>
    <w:rsid w:val="3E9027FA"/>
    <w:rsid w:val="3E9873E3"/>
    <w:rsid w:val="3E9B2478"/>
    <w:rsid w:val="3E9C2F88"/>
    <w:rsid w:val="3E9D74B0"/>
    <w:rsid w:val="3EB27FB4"/>
    <w:rsid w:val="3EC24AB1"/>
    <w:rsid w:val="3EC40270"/>
    <w:rsid w:val="3ECA2CD3"/>
    <w:rsid w:val="3EE66E1C"/>
    <w:rsid w:val="3EF63AAC"/>
    <w:rsid w:val="3F095795"/>
    <w:rsid w:val="3F0A4853"/>
    <w:rsid w:val="3F17678A"/>
    <w:rsid w:val="3F1F4AF0"/>
    <w:rsid w:val="3F276B62"/>
    <w:rsid w:val="3F2B76BF"/>
    <w:rsid w:val="3F3847ED"/>
    <w:rsid w:val="3F463E49"/>
    <w:rsid w:val="3F4E365F"/>
    <w:rsid w:val="3F5D55BF"/>
    <w:rsid w:val="3F6349B6"/>
    <w:rsid w:val="3F7644E2"/>
    <w:rsid w:val="3F7707BB"/>
    <w:rsid w:val="3F8107EE"/>
    <w:rsid w:val="3F917391"/>
    <w:rsid w:val="3F94115F"/>
    <w:rsid w:val="3F9B67BB"/>
    <w:rsid w:val="3F9D2D51"/>
    <w:rsid w:val="3F9F0F35"/>
    <w:rsid w:val="3FB62501"/>
    <w:rsid w:val="3FC32355"/>
    <w:rsid w:val="3FC55010"/>
    <w:rsid w:val="3FC715DA"/>
    <w:rsid w:val="3FCA215E"/>
    <w:rsid w:val="3FD10355"/>
    <w:rsid w:val="3FD32C99"/>
    <w:rsid w:val="3FDD4A34"/>
    <w:rsid w:val="3FDF8DD8"/>
    <w:rsid w:val="3FE30601"/>
    <w:rsid w:val="3FE55B31"/>
    <w:rsid w:val="3FE75D38"/>
    <w:rsid w:val="3FF713BB"/>
    <w:rsid w:val="3FF852F5"/>
    <w:rsid w:val="400665C9"/>
    <w:rsid w:val="40112F4A"/>
    <w:rsid w:val="4017005E"/>
    <w:rsid w:val="401838C3"/>
    <w:rsid w:val="401E5692"/>
    <w:rsid w:val="40404524"/>
    <w:rsid w:val="40453D85"/>
    <w:rsid w:val="404959D1"/>
    <w:rsid w:val="404C7EE0"/>
    <w:rsid w:val="40604BDE"/>
    <w:rsid w:val="407C0C4E"/>
    <w:rsid w:val="407E0DE3"/>
    <w:rsid w:val="40813666"/>
    <w:rsid w:val="40885B28"/>
    <w:rsid w:val="408B24EB"/>
    <w:rsid w:val="408F217A"/>
    <w:rsid w:val="40A305C1"/>
    <w:rsid w:val="40A82AA4"/>
    <w:rsid w:val="40AA43B4"/>
    <w:rsid w:val="40B411BB"/>
    <w:rsid w:val="40B45D62"/>
    <w:rsid w:val="40B45E9A"/>
    <w:rsid w:val="40B73D7F"/>
    <w:rsid w:val="40D073C6"/>
    <w:rsid w:val="40DA123F"/>
    <w:rsid w:val="40DB1D53"/>
    <w:rsid w:val="40E96CF2"/>
    <w:rsid w:val="40E97A39"/>
    <w:rsid w:val="40EC727E"/>
    <w:rsid w:val="40F34D1B"/>
    <w:rsid w:val="40F43F56"/>
    <w:rsid w:val="40F77AA4"/>
    <w:rsid w:val="410845FF"/>
    <w:rsid w:val="41112A7B"/>
    <w:rsid w:val="41126003"/>
    <w:rsid w:val="41143CD9"/>
    <w:rsid w:val="41192FB8"/>
    <w:rsid w:val="411F4096"/>
    <w:rsid w:val="411F6564"/>
    <w:rsid w:val="412620BD"/>
    <w:rsid w:val="41321D23"/>
    <w:rsid w:val="413F2216"/>
    <w:rsid w:val="414747C3"/>
    <w:rsid w:val="414D3153"/>
    <w:rsid w:val="41597BF7"/>
    <w:rsid w:val="415B4A64"/>
    <w:rsid w:val="416E7DB2"/>
    <w:rsid w:val="4174062E"/>
    <w:rsid w:val="417878BF"/>
    <w:rsid w:val="41805B27"/>
    <w:rsid w:val="41846580"/>
    <w:rsid w:val="418A0CAE"/>
    <w:rsid w:val="41993BCF"/>
    <w:rsid w:val="419E490C"/>
    <w:rsid w:val="41A726DF"/>
    <w:rsid w:val="41BE0099"/>
    <w:rsid w:val="41C45084"/>
    <w:rsid w:val="41C553EE"/>
    <w:rsid w:val="41C646D7"/>
    <w:rsid w:val="41C76325"/>
    <w:rsid w:val="41D12791"/>
    <w:rsid w:val="41D33446"/>
    <w:rsid w:val="41F77B1B"/>
    <w:rsid w:val="41F92E70"/>
    <w:rsid w:val="42031BBF"/>
    <w:rsid w:val="42044216"/>
    <w:rsid w:val="420D161B"/>
    <w:rsid w:val="42222F75"/>
    <w:rsid w:val="42231219"/>
    <w:rsid w:val="422B458F"/>
    <w:rsid w:val="42316D35"/>
    <w:rsid w:val="424E2CA8"/>
    <w:rsid w:val="424F7511"/>
    <w:rsid w:val="42512D59"/>
    <w:rsid w:val="4252220F"/>
    <w:rsid w:val="42617087"/>
    <w:rsid w:val="4268568C"/>
    <w:rsid w:val="426B162F"/>
    <w:rsid w:val="427A14AA"/>
    <w:rsid w:val="42843BDD"/>
    <w:rsid w:val="42890668"/>
    <w:rsid w:val="428B6CD4"/>
    <w:rsid w:val="428C3CF9"/>
    <w:rsid w:val="42A0096B"/>
    <w:rsid w:val="42B31C03"/>
    <w:rsid w:val="42D82162"/>
    <w:rsid w:val="42E81D13"/>
    <w:rsid w:val="42EE3741"/>
    <w:rsid w:val="42EE703E"/>
    <w:rsid w:val="42F545F0"/>
    <w:rsid w:val="43094110"/>
    <w:rsid w:val="43163A1B"/>
    <w:rsid w:val="431A51EF"/>
    <w:rsid w:val="43214904"/>
    <w:rsid w:val="432514C6"/>
    <w:rsid w:val="432755A8"/>
    <w:rsid w:val="432D1BE4"/>
    <w:rsid w:val="432E528A"/>
    <w:rsid w:val="432E624E"/>
    <w:rsid w:val="43305F18"/>
    <w:rsid w:val="433611DE"/>
    <w:rsid w:val="43391451"/>
    <w:rsid w:val="434E63C8"/>
    <w:rsid w:val="434E68C8"/>
    <w:rsid w:val="436D6585"/>
    <w:rsid w:val="43766590"/>
    <w:rsid w:val="437F0DB4"/>
    <w:rsid w:val="4385439E"/>
    <w:rsid w:val="4387454E"/>
    <w:rsid w:val="438A247A"/>
    <w:rsid w:val="438D1D11"/>
    <w:rsid w:val="439D1DFF"/>
    <w:rsid w:val="43A33009"/>
    <w:rsid w:val="43A871A8"/>
    <w:rsid w:val="43B1721B"/>
    <w:rsid w:val="43C22DDC"/>
    <w:rsid w:val="43CB7573"/>
    <w:rsid w:val="43CC146F"/>
    <w:rsid w:val="43CC332D"/>
    <w:rsid w:val="43D1384E"/>
    <w:rsid w:val="43DA0138"/>
    <w:rsid w:val="43E249CD"/>
    <w:rsid w:val="43F32ADF"/>
    <w:rsid w:val="43F42B22"/>
    <w:rsid w:val="43FD1C5D"/>
    <w:rsid w:val="4404066C"/>
    <w:rsid w:val="44113D4F"/>
    <w:rsid w:val="44130ED6"/>
    <w:rsid w:val="44222C22"/>
    <w:rsid w:val="44225699"/>
    <w:rsid w:val="443C1F01"/>
    <w:rsid w:val="44424BC3"/>
    <w:rsid w:val="44431642"/>
    <w:rsid w:val="44461C26"/>
    <w:rsid w:val="44535FCF"/>
    <w:rsid w:val="445367C8"/>
    <w:rsid w:val="445423EA"/>
    <w:rsid w:val="445B0C6F"/>
    <w:rsid w:val="44627FD8"/>
    <w:rsid w:val="44660550"/>
    <w:rsid w:val="446F738D"/>
    <w:rsid w:val="44833CF2"/>
    <w:rsid w:val="449144E5"/>
    <w:rsid w:val="44925379"/>
    <w:rsid w:val="44986F84"/>
    <w:rsid w:val="449C181F"/>
    <w:rsid w:val="44A052BB"/>
    <w:rsid w:val="44A60CE9"/>
    <w:rsid w:val="44B83758"/>
    <w:rsid w:val="44C07016"/>
    <w:rsid w:val="44E11364"/>
    <w:rsid w:val="44E1422B"/>
    <w:rsid w:val="44E44792"/>
    <w:rsid w:val="44E66905"/>
    <w:rsid w:val="45125632"/>
    <w:rsid w:val="451E4BDF"/>
    <w:rsid w:val="45254DEA"/>
    <w:rsid w:val="452A5899"/>
    <w:rsid w:val="452E7CB1"/>
    <w:rsid w:val="453E0346"/>
    <w:rsid w:val="454A4565"/>
    <w:rsid w:val="45550FA5"/>
    <w:rsid w:val="455613D2"/>
    <w:rsid w:val="45571A07"/>
    <w:rsid w:val="45597DFC"/>
    <w:rsid w:val="45660B21"/>
    <w:rsid w:val="4577526B"/>
    <w:rsid w:val="459515A5"/>
    <w:rsid w:val="459E5E6E"/>
    <w:rsid w:val="45A10D73"/>
    <w:rsid w:val="45A72220"/>
    <w:rsid w:val="45B656D0"/>
    <w:rsid w:val="45B97C23"/>
    <w:rsid w:val="45BC040A"/>
    <w:rsid w:val="45C21B2A"/>
    <w:rsid w:val="45C5345D"/>
    <w:rsid w:val="45D070E4"/>
    <w:rsid w:val="45DF747F"/>
    <w:rsid w:val="45E27611"/>
    <w:rsid w:val="46026047"/>
    <w:rsid w:val="46035261"/>
    <w:rsid w:val="460670D7"/>
    <w:rsid w:val="460E382D"/>
    <w:rsid w:val="461911A9"/>
    <w:rsid w:val="461B1F37"/>
    <w:rsid w:val="461E55C4"/>
    <w:rsid w:val="461F02CD"/>
    <w:rsid w:val="4622072A"/>
    <w:rsid w:val="46282C0B"/>
    <w:rsid w:val="46371062"/>
    <w:rsid w:val="463D24AE"/>
    <w:rsid w:val="464806D4"/>
    <w:rsid w:val="46490594"/>
    <w:rsid w:val="464A064E"/>
    <w:rsid w:val="464B2D17"/>
    <w:rsid w:val="464C1D50"/>
    <w:rsid w:val="465624AF"/>
    <w:rsid w:val="465645BF"/>
    <w:rsid w:val="4657503C"/>
    <w:rsid w:val="465959C8"/>
    <w:rsid w:val="467D14DE"/>
    <w:rsid w:val="4681762F"/>
    <w:rsid w:val="46840FE1"/>
    <w:rsid w:val="4697189F"/>
    <w:rsid w:val="4698737C"/>
    <w:rsid w:val="469D09C5"/>
    <w:rsid w:val="469E5DDB"/>
    <w:rsid w:val="46B226AF"/>
    <w:rsid w:val="46B71F49"/>
    <w:rsid w:val="46C45A64"/>
    <w:rsid w:val="46C61E4B"/>
    <w:rsid w:val="46C6670E"/>
    <w:rsid w:val="46C67B5C"/>
    <w:rsid w:val="46CA49B1"/>
    <w:rsid w:val="46CC3541"/>
    <w:rsid w:val="46CD3429"/>
    <w:rsid w:val="46CE5126"/>
    <w:rsid w:val="46D43338"/>
    <w:rsid w:val="46E33758"/>
    <w:rsid w:val="46E540F2"/>
    <w:rsid w:val="46EE2A7A"/>
    <w:rsid w:val="46F00562"/>
    <w:rsid w:val="46F17380"/>
    <w:rsid w:val="46F462F1"/>
    <w:rsid w:val="46F51318"/>
    <w:rsid w:val="46F9209F"/>
    <w:rsid w:val="46FE14A0"/>
    <w:rsid w:val="470B5877"/>
    <w:rsid w:val="471068BC"/>
    <w:rsid w:val="471B0EA6"/>
    <w:rsid w:val="47203DF5"/>
    <w:rsid w:val="47247F51"/>
    <w:rsid w:val="47303117"/>
    <w:rsid w:val="473C7B3C"/>
    <w:rsid w:val="475E489A"/>
    <w:rsid w:val="476372A9"/>
    <w:rsid w:val="476F5F00"/>
    <w:rsid w:val="4780474E"/>
    <w:rsid w:val="4780734A"/>
    <w:rsid w:val="47945DE6"/>
    <w:rsid w:val="47973397"/>
    <w:rsid w:val="479C43CB"/>
    <w:rsid w:val="479F2821"/>
    <w:rsid w:val="47AC3AF2"/>
    <w:rsid w:val="47AD1ABC"/>
    <w:rsid w:val="47B42250"/>
    <w:rsid w:val="47B5719A"/>
    <w:rsid w:val="47BB25EC"/>
    <w:rsid w:val="47BE0DEF"/>
    <w:rsid w:val="47BE3E92"/>
    <w:rsid w:val="47BF4247"/>
    <w:rsid w:val="47C4795A"/>
    <w:rsid w:val="47C57BCF"/>
    <w:rsid w:val="47CE128F"/>
    <w:rsid w:val="47D13173"/>
    <w:rsid w:val="47DE6563"/>
    <w:rsid w:val="47DF1ADF"/>
    <w:rsid w:val="47F41BD5"/>
    <w:rsid w:val="4801780A"/>
    <w:rsid w:val="480627DC"/>
    <w:rsid w:val="482F48B7"/>
    <w:rsid w:val="48303E99"/>
    <w:rsid w:val="48332E47"/>
    <w:rsid w:val="48385D17"/>
    <w:rsid w:val="483B6843"/>
    <w:rsid w:val="483D6C3B"/>
    <w:rsid w:val="48422D9C"/>
    <w:rsid w:val="485009A1"/>
    <w:rsid w:val="48517473"/>
    <w:rsid w:val="48560718"/>
    <w:rsid w:val="48617202"/>
    <w:rsid w:val="48666A05"/>
    <w:rsid w:val="48813454"/>
    <w:rsid w:val="48862F02"/>
    <w:rsid w:val="488B695E"/>
    <w:rsid w:val="488E3215"/>
    <w:rsid w:val="48901408"/>
    <w:rsid w:val="4890208D"/>
    <w:rsid w:val="489E4F18"/>
    <w:rsid w:val="489E7674"/>
    <w:rsid w:val="48AB01FF"/>
    <w:rsid w:val="48BC1E66"/>
    <w:rsid w:val="48CE14DF"/>
    <w:rsid w:val="48D35F75"/>
    <w:rsid w:val="48E53E1C"/>
    <w:rsid w:val="48EA0104"/>
    <w:rsid w:val="48FB456F"/>
    <w:rsid w:val="48FC0668"/>
    <w:rsid w:val="49010694"/>
    <w:rsid w:val="490C255D"/>
    <w:rsid w:val="491666BF"/>
    <w:rsid w:val="491E36AB"/>
    <w:rsid w:val="493249D9"/>
    <w:rsid w:val="49437552"/>
    <w:rsid w:val="494938A4"/>
    <w:rsid w:val="49514487"/>
    <w:rsid w:val="49551F10"/>
    <w:rsid w:val="495E116B"/>
    <w:rsid w:val="495E4533"/>
    <w:rsid w:val="496A2A02"/>
    <w:rsid w:val="496C1D0A"/>
    <w:rsid w:val="496D3C1E"/>
    <w:rsid w:val="49723EA0"/>
    <w:rsid w:val="497768AE"/>
    <w:rsid w:val="4989204C"/>
    <w:rsid w:val="498F29AA"/>
    <w:rsid w:val="499C7158"/>
    <w:rsid w:val="499F757D"/>
    <w:rsid w:val="49AA1519"/>
    <w:rsid w:val="49AA7EB2"/>
    <w:rsid w:val="49B7630E"/>
    <w:rsid w:val="49BA2028"/>
    <w:rsid w:val="49CC3A72"/>
    <w:rsid w:val="49CE4D7D"/>
    <w:rsid w:val="49E56557"/>
    <w:rsid w:val="49E86046"/>
    <w:rsid w:val="49EB3729"/>
    <w:rsid w:val="49F061F0"/>
    <w:rsid w:val="49F6325E"/>
    <w:rsid w:val="4A06128C"/>
    <w:rsid w:val="4A070D3F"/>
    <w:rsid w:val="4A090586"/>
    <w:rsid w:val="4A1F5657"/>
    <w:rsid w:val="4A235C42"/>
    <w:rsid w:val="4A287A7A"/>
    <w:rsid w:val="4A2E79F4"/>
    <w:rsid w:val="4A3032CF"/>
    <w:rsid w:val="4A49168E"/>
    <w:rsid w:val="4A4F171F"/>
    <w:rsid w:val="4A4F50EE"/>
    <w:rsid w:val="4A5525F2"/>
    <w:rsid w:val="4A5A2824"/>
    <w:rsid w:val="4A5B37C0"/>
    <w:rsid w:val="4A5B4013"/>
    <w:rsid w:val="4A7170C9"/>
    <w:rsid w:val="4A7421C8"/>
    <w:rsid w:val="4A7423F3"/>
    <w:rsid w:val="4A7962AB"/>
    <w:rsid w:val="4A7F1334"/>
    <w:rsid w:val="4A874131"/>
    <w:rsid w:val="4A8F0182"/>
    <w:rsid w:val="4A9B39CB"/>
    <w:rsid w:val="4A9E2CCE"/>
    <w:rsid w:val="4AA36017"/>
    <w:rsid w:val="4AB16157"/>
    <w:rsid w:val="4AB63DF2"/>
    <w:rsid w:val="4AB82B2D"/>
    <w:rsid w:val="4ABB36EA"/>
    <w:rsid w:val="4ABC06DD"/>
    <w:rsid w:val="4AD26DA8"/>
    <w:rsid w:val="4ADE5CDF"/>
    <w:rsid w:val="4AE03D1C"/>
    <w:rsid w:val="4AE804F8"/>
    <w:rsid w:val="4B091684"/>
    <w:rsid w:val="4B0A1EBE"/>
    <w:rsid w:val="4B105BBB"/>
    <w:rsid w:val="4B12722A"/>
    <w:rsid w:val="4B1911E6"/>
    <w:rsid w:val="4B2B60FD"/>
    <w:rsid w:val="4B2D715D"/>
    <w:rsid w:val="4B3026B0"/>
    <w:rsid w:val="4B371175"/>
    <w:rsid w:val="4B4012D5"/>
    <w:rsid w:val="4B537B3D"/>
    <w:rsid w:val="4B6340DA"/>
    <w:rsid w:val="4B6802DB"/>
    <w:rsid w:val="4B696A33"/>
    <w:rsid w:val="4B6E3F3B"/>
    <w:rsid w:val="4B6F348A"/>
    <w:rsid w:val="4B7A7FB6"/>
    <w:rsid w:val="4B9038A1"/>
    <w:rsid w:val="4B960326"/>
    <w:rsid w:val="4B9E39C2"/>
    <w:rsid w:val="4B9F1743"/>
    <w:rsid w:val="4BA045B3"/>
    <w:rsid w:val="4BA33CCF"/>
    <w:rsid w:val="4BAA7936"/>
    <w:rsid w:val="4BBC4C63"/>
    <w:rsid w:val="4BC20682"/>
    <w:rsid w:val="4BDC6F2C"/>
    <w:rsid w:val="4BE638B4"/>
    <w:rsid w:val="4BEC1A71"/>
    <w:rsid w:val="4BF5706B"/>
    <w:rsid w:val="4BF83872"/>
    <w:rsid w:val="4BFA286A"/>
    <w:rsid w:val="4C060DA1"/>
    <w:rsid w:val="4C06283C"/>
    <w:rsid w:val="4C0E3987"/>
    <w:rsid w:val="4C133EE2"/>
    <w:rsid w:val="4C143499"/>
    <w:rsid w:val="4C166CED"/>
    <w:rsid w:val="4C172E84"/>
    <w:rsid w:val="4C491EE2"/>
    <w:rsid w:val="4C4E16F8"/>
    <w:rsid w:val="4C5429FD"/>
    <w:rsid w:val="4C5439AD"/>
    <w:rsid w:val="4C55438D"/>
    <w:rsid w:val="4C5F2D69"/>
    <w:rsid w:val="4C620C13"/>
    <w:rsid w:val="4C6E2D6D"/>
    <w:rsid w:val="4C72359C"/>
    <w:rsid w:val="4C7F5212"/>
    <w:rsid w:val="4C804EFB"/>
    <w:rsid w:val="4C9B0833"/>
    <w:rsid w:val="4C9C4394"/>
    <w:rsid w:val="4CA0477E"/>
    <w:rsid w:val="4CA43C8D"/>
    <w:rsid w:val="4CA61684"/>
    <w:rsid w:val="4CB116BF"/>
    <w:rsid w:val="4CB161BB"/>
    <w:rsid w:val="4CB60657"/>
    <w:rsid w:val="4CB948E3"/>
    <w:rsid w:val="4CC11213"/>
    <w:rsid w:val="4CC434FE"/>
    <w:rsid w:val="4CC83E91"/>
    <w:rsid w:val="4CD8064F"/>
    <w:rsid w:val="4CDD4B00"/>
    <w:rsid w:val="4CE21A30"/>
    <w:rsid w:val="4CE64F77"/>
    <w:rsid w:val="4CED4696"/>
    <w:rsid w:val="4CFF654D"/>
    <w:rsid w:val="4D075EDC"/>
    <w:rsid w:val="4D0804D7"/>
    <w:rsid w:val="4D0D1EC8"/>
    <w:rsid w:val="4D110AF8"/>
    <w:rsid w:val="4D1A56D2"/>
    <w:rsid w:val="4D1D337E"/>
    <w:rsid w:val="4D21001A"/>
    <w:rsid w:val="4D305364"/>
    <w:rsid w:val="4D306359"/>
    <w:rsid w:val="4D394F34"/>
    <w:rsid w:val="4D3E4188"/>
    <w:rsid w:val="4D480B4B"/>
    <w:rsid w:val="4D4B5727"/>
    <w:rsid w:val="4D555A08"/>
    <w:rsid w:val="4D6432ED"/>
    <w:rsid w:val="4D6F7CE6"/>
    <w:rsid w:val="4D703FBD"/>
    <w:rsid w:val="4D786FC9"/>
    <w:rsid w:val="4D7C398B"/>
    <w:rsid w:val="4D860B83"/>
    <w:rsid w:val="4D9F468A"/>
    <w:rsid w:val="4DA21569"/>
    <w:rsid w:val="4DA65AEC"/>
    <w:rsid w:val="4DB05454"/>
    <w:rsid w:val="4DB7595D"/>
    <w:rsid w:val="4DBC2639"/>
    <w:rsid w:val="4DC61A37"/>
    <w:rsid w:val="4DD70B4B"/>
    <w:rsid w:val="4DD8409C"/>
    <w:rsid w:val="4DE31491"/>
    <w:rsid w:val="4DFA565D"/>
    <w:rsid w:val="4E05194F"/>
    <w:rsid w:val="4E097BB9"/>
    <w:rsid w:val="4E121CAF"/>
    <w:rsid w:val="4E38142B"/>
    <w:rsid w:val="4E3C02F6"/>
    <w:rsid w:val="4E4300F7"/>
    <w:rsid w:val="4E5C5843"/>
    <w:rsid w:val="4E6C3D4D"/>
    <w:rsid w:val="4E7D06CE"/>
    <w:rsid w:val="4E7F65B8"/>
    <w:rsid w:val="4E821544"/>
    <w:rsid w:val="4E891755"/>
    <w:rsid w:val="4EA414F2"/>
    <w:rsid w:val="4EA72ED6"/>
    <w:rsid w:val="4EA842F7"/>
    <w:rsid w:val="4EB504AB"/>
    <w:rsid w:val="4EB5621E"/>
    <w:rsid w:val="4EB56BC1"/>
    <w:rsid w:val="4EBB6268"/>
    <w:rsid w:val="4EE550D6"/>
    <w:rsid w:val="4EEE4370"/>
    <w:rsid w:val="4EF4286F"/>
    <w:rsid w:val="4EFA0257"/>
    <w:rsid w:val="4EFB6DEF"/>
    <w:rsid w:val="4F01473E"/>
    <w:rsid w:val="4F054318"/>
    <w:rsid w:val="4F153742"/>
    <w:rsid w:val="4F1E33D5"/>
    <w:rsid w:val="4F223146"/>
    <w:rsid w:val="4F3A4E43"/>
    <w:rsid w:val="4F417A31"/>
    <w:rsid w:val="4F47618A"/>
    <w:rsid w:val="4F566E1B"/>
    <w:rsid w:val="4F60085F"/>
    <w:rsid w:val="4F614941"/>
    <w:rsid w:val="4F616599"/>
    <w:rsid w:val="4F651E60"/>
    <w:rsid w:val="4F7B6312"/>
    <w:rsid w:val="4F7C44B5"/>
    <w:rsid w:val="4F862326"/>
    <w:rsid w:val="4F881112"/>
    <w:rsid w:val="4FA427A8"/>
    <w:rsid w:val="4FB40884"/>
    <w:rsid w:val="4FBF660D"/>
    <w:rsid w:val="4FBF6B86"/>
    <w:rsid w:val="4FC009D2"/>
    <w:rsid w:val="4FC60F7A"/>
    <w:rsid w:val="4FCC358A"/>
    <w:rsid w:val="4FCD072C"/>
    <w:rsid w:val="4FD255CA"/>
    <w:rsid w:val="4FD25679"/>
    <w:rsid w:val="4FD90F72"/>
    <w:rsid w:val="4FEA7CC6"/>
    <w:rsid w:val="4FEB20FA"/>
    <w:rsid w:val="4FEF495C"/>
    <w:rsid w:val="4FF63F34"/>
    <w:rsid w:val="500C13C5"/>
    <w:rsid w:val="50341502"/>
    <w:rsid w:val="503C457F"/>
    <w:rsid w:val="503C4AFB"/>
    <w:rsid w:val="50463E31"/>
    <w:rsid w:val="50474927"/>
    <w:rsid w:val="5048584E"/>
    <w:rsid w:val="504C4B5A"/>
    <w:rsid w:val="50512367"/>
    <w:rsid w:val="50685B3F"/>
    <w:rsid w:val="506C45B2"/>
    <w:rsid w:val="50850BD8"/>
    <w:rsid w:val="508718D8"/>
    <w:rsid w:val="508D7162"/>
    <w:rsid w:val="509272DB"/>
    <w:rsid w:val="509B66ED"/>
    <w:rsid w:val="50A46741"/>
    <w:rsid w:val="50A648C9"/>
    <w:rsid w:val="50A70C34"/>
    <w:rsid w:val="50B04DB7"/>
    <w:rsid w:val="50B448B3"/>
    <w:rsid w:val="50B5627B"/>
    <w:rsid w:val="50B61B84"/>
    <w:rsid w:val="50B702D1"/>
    <w:rsid w:val="50BE5CAF"/>
    <w:rsid w:val="50CA40E5"/>
    <w:rsid w:val="50D73B09"/>
    <w:rsid w:val="50EC06DC"/>
    <w:rsid w:val="50F73D96"/>
    <w:rsid w:val="50FD1705"/>
    <w:rsid w:val="5100324F"/>
    <w:rsid w:val="51041D24"/>
    <w:rsid w:val="51253631"/>
    <w:rsid w:val="512D79D0"/>
    <w:rsid w:val="5136536A"/>
    <w:rsid w:val="5141308E"/>
    <w:rsid w:val="51537262"/>
    <w:rsid w:val="515602B6"/>
    <w:rsid w:val="515825D7"/>
    <w:rsid w:val="515A338F"/>
    <w:rsid w:val="51662F26"/>
    <w:rsid w:val="51664EAA"/>
    <w:rsid w:val="516977E8"/>
    <w:rsid w:val="51757002"/>
    <w:rsid w:val="517664FF"/>
    <w:rsid w:val="517B032C"/>
    <w:rsid w:val="517D2CDE"/>
    <w:rsid w:val="51900851"/>
    <w:rsid w:val="51A044BF"/>
    <w:rsid w:val="51A61929"/>
    <w:rsid w:val="51AD59D1"/>
    <w:rsid w:val="51B110B8"/>
    <w:rsid w:val="51B21278"/>
    <w:rsid w:val="51C67883"/>
    <w:rsid w:val="51D35081"/>
    <w:rsid w:val="51D72B10"/>
    <w:rsid w:val="51E25EC5"/>
    <w:rsid w:val="51E8514C"/>
    <w:rsid w:val="51EC014F"/>
    <w:rsid w:val="51EC3C5E"/>
    <w:rsid w:val="51F23A42"/>
    <w:rsid w:val="51F42B99"/>
    <w:rsid w:val="520E0C57"/>
    <w:rsid w:val="521D701C"/>
    <w:rsid w:val="52214A5D"/>
    <w:rsid w:val="52265774"/>
    <w:rsid w:val="523377B3"/>
    <w:rsid w:val="524D1E90"/>
    <w:rsid w:val="524E2070"/>
    <w:rsid w:val="5253664D"/>
    <w:rsid w:val="5258199B"/>
    <w:rsid w:val="525A2380"/>
    <w:rsid w:val="52612C96"/>
    <w:rsid w:val="52681E33"/>
    <w:rsid w:val="526879B3"/>
    <w:rsid w:val="526940CB"/>
    <w:rsid w:val="527C1F92"/>
    <w:rsid w:val="529108DA"/>
    <w:rsid w:val="529B0A17"/>
    <w:rsid w:val="52A04712"/>
    <w:rsid w:val="52B33061"/>
    <w:rsid w:val="52BE6308"/>
    <w:rsid w:val="52C0485A"/>
    <w:rsid w:val="52C40A69"/>
    <w:rsid w:val="52CD43DF"/>
    <w:rsid w:val="52D96BDD"/>
    <w:rsid w:val="52DC4746"/>
    <w:rsid w:val="52E3096C"/>
    <w:rsid w:val="52F60347"/>
    <w:rsid w:val="530334DF"/>
    <w:rsid w:val="530E0C0A"/>
    <w:rsid w:val="5311148E"/>
    <w:rsid w:val="531C367A"/>
    <w:rsid w:val="531F6170"/>
    <w:rsid w:val="53250D22"/>
    <w:rsid w:val="532632BF"/>
    <w:rsid w:val="533441E4"/>
    <w:rsid w:val="533A0A31"/>
    <w:rsid w:val="534777D3"/>
    <w:rsid w:val="5348431D"/>
    <w:rsid w:val="535E5847"/>
    <w:rsid w:val="536346AB"/>
    <w:rsid w:val="53664D1D"/>
    <w:rsid w:val="536D4EA0"/>
    <w:rsid w:val="536E2750"/>
    <w:rsid w:val="53734F28"/>
    <w:rsid w:val="53762E0C"/>
    <w:rsid w:val="538568DC"/>
    <w:rsid w:val="53891862"/>
    <w:rsid w:val="539A5989"/>
    <w:rsid w:val="539A6174"/>
    <w:rsid w:val="539C11C9"/>
    <w:rsid w:val="53A36BD3"/>
    <w:rsid w:val="53AB779B"/>
    <w:rsid w:val="53B60010"/>
    <w:rsid w:val="53BF1ACD"/>
    <w:rsid w:val="53CA3D12"/>
    <w:rsid w:val="53D244F7"/>
    <w:rsid w:val="53D52663"/>
    <w:rsid w:val="53DC522C"/>
    <w:rsid w:val="53E9415D"/>
    <w:rsid w:val="53F17B9E"/>
    <w:rsid w:val="53F420C9"/>
    <w:rsid w:val="53F665F1"/>
    <w:rsid w:val="53FD3A22"/>
    <w:rsid w:val="54017E13"/>
    <w:rsid w:val="54093F5C"/>
    <w:rsid w:val="541147C0"/>
    <w:rsid w:val="541F0173"/>
    <w:rsid w:val="5421590E"/>
    <w:rsid w:val="5438785E"/>
    <w:rsid w:val="54460D75"/>
    <w:rsid w:val="544F4EFD"/>
    <w:rsid w:val="545052C1"/>
    <w:rsid w:val="54530563"/>
    <w:rsid w:val="5469270E"/>
    <w:rsid w:val="547B4C0E"/>
    <w:rsid w:val="5488623A"/>
    <w:rsid w:val="548B6277"/>
    <w:rsid w:val="549115A7"/>
    <w:rsid w:val="549921B7"/>
    <w:rsid w:val="54B0798A"/>
    <w:rsid w:val="54B316D9"/>
    <w:rsid w:val="54B35714"/>
    <w:rsid w:val="54BC6D61"/>
    <w:rsid w:val="54CB4846"/>
    <w:rsid w:val="54D422F8"/>
    <w:rsid w:val="54D54252"/>
    <w:rsid w:val="54D71ABA"/>
    <w:rsid w:val="54F71B88"/>
    <w:rsid w:val="54F96B44"/>
    <w:rsid w:val="54FF7559"/>
    <w:rsid w:val="55003453"/>
    <w:rsid w:val="55043488"/>
    <w:rsid w:val="550754FE"/>
    <w:rsid w:val="55156A65"/>
    <w:rsid w:val="552D7533"/>
    <w:rsid w:val="553E3B36"/>
    <w:rsid w:val="553F34CD"/>
    <w:rsid w:val="5561377B"/>
    <w:rsid w:val="556D6F0A"/>
    <w:rsid w:val="55766FC7"/>
    <w:rsid w:val="55777E06"/>
    <w:rsid w:val="557A6097"/>
    <w:rsid w:val="557E61D4"/>
    <w:rsid w:val="55806E47"/>
    <w:rsid w:val="55936B92"/>
    <w:rsid w:val="559E6997"/>
    <w:rsid w:val="55B00D5B"/>
    <w:rsid w:val="55BD2C6C"/>
    <w:rsid w:val="55BE5B03"/>
    <w:rsid w:val="55C37B8B"/>
    <w:rsid w:val="55CA2700"/>
    <w:rsid w:val="55CF1BF9"/>
    <w:rsid w:val="55F22CC6"/>
    <w:rsid w:val="55F530F9"/>
    <w:rsid w:val="560063A3"/>
    <w:rsid w:val="561D1BAF"/>
    <w:rsid w:val="56355F44"/>
    <w:rsid w:val="563668AC"/>
    <w:rsid w:val="563A0494"/>
    <w:rsid w:val="564B00FA"/>
    <w:rsid w:val="564E11B2"/>
    <w:rsid w:val="56556E77"/>
    <w:rsid w:val="565C47DF"/>
    <w:rsid w:val="565C6298"/>
    <w:rsid w:val="566319A9"/>
    <w:rsid w:val="567437F1"/>
    <w:rsid w:val="567B77C1"/>
    <w:rsid w:val="5694702C"/>
    <w:rsid w:val="56987F44"/>
    <w:rsid w:val="56A9659C"/>
    <w:rsid w:val="56B902CD"/>
    <w:rsid w:val="56C272F6"/>
    <w:rsid w:val="56C650DB"/>
    <w:rsid w:val="56D25DFB"/>
    <w:rsid w:val="56D63BEC"/>
    <w:rsid w:val="56E32C57"/>
    <w:rsid w:val="56E467D8"/>
    <w:rsid w:val="56E72E0D"/>
    <w:rsid w:val="56F327D5"/>
    <w:rsid w:val="56FB6019"/>
    <w:rsid w:val="570C2559"/>
    <w:rsid w:val="572A2102"/>
    <w:rsid w:val="57322AD3"/>
    <w:rsid w:val="5738100D"/>
    <w:rsid w:val="57454077"/>
    <w:rsid w:val="575C4D71"/>
    <w:rsid w:val="57635E8E"/>
    <w:rsid w:val="576B5E71"/>
    <w:rsid w:val="576F0CFA"/>
    <w:rsid w:val="577D4D84"/>
    <w:rsid w:val="578340ED"/>
    <w:rsid w:val="578465CF"/>
    <w:rsid w:val="578756EA"/>
    <w:rsid w:val="578D55DF"/>
    <w:rsid w:val="5793070D"/>
    <w:rsid w:val="5795056B"/>
    <w:rsid w:val="57B66838"/>
    <w:rsid w:val="57B74F18"/>
    <w:rsid w:val="57BE1688"/>
    <w:rsid w:val="57CD75AD"/>
    <w:rsid w:val="57D15876"/>
    <w:rsid w:val="57D60BB4"/>
    <w:rsid w:val="57E32706"/>
    <w:rsid w:val="57E47050"/>
    <w:rsid w:val="57E75387"/>
    <w:rsid w:val="57E818D3"/>
    <w:rsid w:val="57EA4AD1"/>
    <w:rsid w:val="57F85A85"/>
    <w:rsid w:val="58000E9A"/>
    <w:rsid w:val="5803737D"/>
    <w:rsid w:val="58046819"/>
    <w:rsid w:val="58075DBC"/>
    <w:rsid w:val="580B23D2"/>
    <w:rsid w:val="580D5522"/>
    <w:rsid w:val="58140668"/>
    <w:rsid w:val="58145402"/>
    <w:rsid w:val="58157C1F"/>
    <w:rsid w:val="581A7CC4"/>
    <w:rsid w:val="581B16B4"/>
    <w:rsid w:val="58216B53"/>
    <w:rsid w:val="58255A3F"/>
    <w:rsid w:val="582675B8"/>
    <w:rsid w:val="5831086F"/>
    <w:rsid w:val="58337530"/>
    <w:rsid w:val="583D2283"/>
    <w:rsid w:val="584956ED"/>
    <w:rsid w:val="58553D76"/>
    <w:rsid w:val="58742ACD"/>
    <w:rsid w:val="58743FC4"/>
    <w:rsid w:val="5883158D"/>
    <w:rsid w:val="588B35F0"/>
    <w:rsid w:val="58A52650"/>
    <w:rsid w:val="58B17883"/>
    <w:rsid w:val="58C0355F"/>
    <w:rsid w:val="58C5389B"/>
    <w:rsid w:val="58D713EB"/>
    <w:rsid w:val="58D76824"/>
    <w:rsid w:val="58E87C4F"/>
    <w:rsid w:val="59020839"/>
    <w:rsid w:val="590630B1"/>
    <w:rsid w:val="59086AFB"/>
    <w:rsid w:val="5911007E"/>
    <w:rsid w:val="591238E1"/>
    <w:rsid w:val="5915462B"/>
    <w:rsid w:val="59175E45"/>
    <w:rsid w:val="591E1C52"/>
    <w:rsid w:val="592136FE"/>
    <w:rsid w:val="59390E54"/>
    <w:rsid w:val="59407150"/>
    <w:rsid w:val="59432DCB"/>
    <w:rsid w:val="59492652"/>
    <w:rsid w:val="594B4FF9"/>
    <w:rsid w:val="595302D8"/>
    <w:rsid w:val="59542E96"/>
    <w:rsid w:val="59746FE2"/>
    <w:rsid w:val="597D72E9"/>
    <w:rsid w:val="59840DCA"/>
    <w:rsid w:val="59BE6898"/>
    <w:rsid w:val="59C10F90"/>
    <w:rsid w:val="59C963F1"/>
    <w:rsid w:val="59CF1F13"/>
    <w:rsid w:val="59DA234C"/>
    <w:rsid w:val="59E121C2"/>
    <w:rsid w:val="59EC70FB"/>
    <w:rsid w:val="59EE002F"/>
    <w:rsid w:val="59F357E2"/>
    <w:rsid w:val="59F51AA2"/>
    <w:rsid w:val="59F951C1"/>
    <w:rsid w:val="59F9695C"/>
    <w:rsid w:val="5A010427"/>
    <w:rsid w:val="5A034D11"/>
    <w:rsid w:val="5A094D26"/>
    <w:rsid w:val="5A0A16A4"/>
    <w:rsid w:val="5A264994"/>
    <w:rsid w:val="5A353C1C"/>
    <w:rsid w:val="5A3833CE"/>
    <w:rsid w:val="5A3873EE"/>
    <w:rsid w:val="5A3B510A"/>
    <w:rsid w:val="5A3B76CD"/>
    <w:rsid w:val="5A443782"/>
    <w:rsid w:val="5A51216F"/>
    <w:rsid w:val="5A5348A4"/>
    <w:rsid w:val="5A550C77"/>
    <w:rsid w:val="5A574B45"/>
    <w:rsid w:val="5A5D1AB8"/>
    <w:rsid w:val="5A6146DF"/>
    <w:rsid w:val="5A633538"/>
    <w:rsid w:val="5A6746F7"/>
    <w:rsid w:val="5A6759B6"/>
    <w:rsid w:val="5A6D318E"/>
    <w:rsid w:val="5A747FF3"/>
    <w:rsid w:val="5A7A2E0D"/>
    <w:rsid w:val="5A95307A"/>
    <w:rsid w:val="5A957EF5"/>
    <w:rsid w:val="5A960D9E"/>
    <w:rsid w:val="5AA50144"/>
    <w:rsid w:val="5AA871B7"/>
    <w:rsid w:val="5AB926BC"/>
    <w:rsid w:val="5ADC6310"/>
    <w:rsid w:val="5AE5287C"/>
    <w:rsid w:val="5AE902E4"/>
    <w:rsid w:val="5AE94E3D"/>
    <w:rsid w:val="5AEF4361"/>
    <w:rsid w:val="5AFC4692"/>
    <w:rsid w:val="5B0029AF"/>
    <w:rsid w:val="5B144B0A"/>
    <w:rsid w:val="5B161AEF"/>
    <w:rsid w:val="5B1D3C02"/>
    <w:rsid w:val="5B211ED1"/>
    <w:rsid w:val="5B345801"/>
    <w:rsid w:val="5B351841"/>
    <w:rsid w:val="5B376F37"/>
    <w:rsid w:val="5B453DB8"/>
    <w:rsid w:val="5B4C0831"/>
    <w:rsid w:val="5B4D2973"/>
    <w:rsid w:val="5B4D2BCB"/>
    <w:rsid w:val="5B4F3BCF"/>
    <w:rsid w:val="5B5B7E09"/>
    <w:rsid w:val="5B5F3767"/>
    <w:rsid w:val="5B774661"/>
    <w:rsid w:val="5B7D0854"/>
    <w:rsid w:val="5B7F7B41"/>
    <w:rsid w:val="5B846371"/>
    <w:rsid w:val="5B872DB0"/>
    <w:rsid w:val="5B9310F5"/>
    <w:rsid w:val="5B992B3D"/>
    <w:rsid w:val="5BA77799"/>
    <w:rsid w:val="5BC41268"/>
    <w:rsid w:val="5BD832F8"/>
    <w:rsid w:val="5BD8758E"/>
    <w:rsid w:val="5BEA015B"/>
    <w:rsid w:val="5BEC5C2F"/>
    <w:rsid w:val="5BF03F95"/>
    <w:rsid w:val="5BFA5FA7"/>
    <w:rsid w:val="5BFC1876"/>
    <w:rsid w:val="5C0158C0"/>
    <w:rsid w:val="5C2752E5"/>
    <w:rsid w:val="5C2B1BB5"/>
    <w:rsid w:val="5C3535F5"/>
    <w:rsid w:val="5C5A20E0"/>
    <w:rsid w:val="5C7077B7"/>
    <w:rsid w:val="5C751C59"/>
    <w:rsid w:val="5C764C12"/>
    <w:rsid w:val="5C7F05DD"/>
    <w:rsid w:val="5C803090"/>
    <w:rsid w:val="5C895B62"/>
    <w:rsid w:val="5C8D7C61"/>
    <w:rsid w:val="5C9170F7"/>
    <w:rsid w:val="5C925D00"/>
    <w:rsid w:val="5C9A6C0D"/>
    <w:rsid w:val="5CA33580"/>
    <w:rsid w:val="5CA41EC6"/>
    <w:rsid w:val="5CAA4D90"/>
    <w:rsid w:val="5CB6498D"/>
    <w:rsid w:val="5CB8301F"/>
    <w:rsid w:val="5CB9A4D3"/>
    <w:rsid w:val="5CBD4D5A"/>
    <w:rsid w:val="5CC11311"/>
    <w:rsid w:val="5CD14EB1"/>
    <w:rsid w:val="5D0D6309"/>
    <w:rsid w:val="5D18700D"/>
    <w:rsid w:val="5D31513A"/>
    <w:rsid w:val="5D323FFC"/>
    <w:rsid w:val="5D3367FA"/>
    <w:rsid w:val="5D345AC4"/>
    <w:rsid w:val="5D3713E6"/>
    <w:rsid w:val="5D372EC3"/>
    <w:rsid w:val="5D465736"/>
    <w:rsid w:val="5D481FF6"/>
    <w:rsid w:val="5D513EDE"/>
    <w:rsid w:val="5D585AC8"/>
    <w:rsid w:val="5D5B5169"/>
    <w:rsid w:val="5D612FDE"/>
    <w:rsid w:val="5D696CDE"/>
    <w:rsid w:val="5D6E1315"/>
    <w:rsid w:val="5D742EB7"/>
    <w:rsid w:val="5D756484"/>
    <w:rsid w:val="5D782658"/>
    <w:rsid w:val="5D826C55"/>
    <w:rsid w:val="5D832DC6"/>
    <w:rsid w:val="5D836554"/>
    <w:rsid w:val="5D8E4146"/>
    <w:rsid w:val="5D9870B2"/>
    <w:rsid w:val="5DA61956"/>
    <w:rsid w:val="5DA80EB8"/>
    <w:rsid w:val="5DB769BA"/>
    <w:rsid w:val="5DB81D5D"/>
    <w:rsid w:val="5DBBE73F"/>
    <w:rsid w:val="5DC30940"/>
    <w:rsid w:val="5DD27F73"/>
    <w:rsid w:val="5DE104F8"/>
    <w:rsid w:val="5DE5221D"/>
    <w:rsid w:val="5DEE4908"/>
    <w:rsid w:val="5E0452C6"/>
    <w:rsid w:val="5E0519DD"/>
    <w:rsid w:val="5E053AE5"/>
    <w:rsid w:val="5E056ACA"/>
    <w:rsid w:val="5E150BAF"/>
    <w:rsid w:val="5E1E58DC"/>
    <w:rsid w:val="5E204341"/>
    <w:rsid w:val="5E242171"/>
    <w:rsid w:val="5E30408A"/>
    <w:rsid w:val="5E3118E7"/>
    <w:rsid w:val="5E3D6D26"/>
    <w:rsid w:val="5E494407"/>
    <w:rsid w:val="5E6A5364"/>
    <w:rsid w:val="5E78031B"/>
    <w:rsid w:val="5E7C751E"/>
    <w:rsid w:val="5E890C44"/>
    <w:rsid w:val="5E9677D2"/>
    <w:rsid w:val="5E992D8F"/>
    <w:rsid w:val="5E9C79C9"/>
    <w:rsid w:val="5EA76CC1"/>
    <w:rsid w:val="5EB8308B"/>
    <w:rsid w:val="5EBA776C"/>
    <w:rsid w:val="5EC57852"/>
    <w:rsid w:val="5ECA340E"/>
    <w:rsid w:val="5ECC209B"/>
    <w:rsid w:val="5ECD2D90"/>
    <w:rsid w:val="5ED064C5"/>
    <w:rsid w:val="5ED27A18"/>
    <w:rsid w:val="5ED37679"/>
    <w:rsid w:val="5ED42615"/>
    <w:rsid w:val="5ED80780"/>
    <w:rsid w:val="5EE14A57"/>
    <w:rsid w:val="5EE336C8"/>
    <w:rsid w:val="5EE81AC6"/>
    <w:rsid w:val="5EF9374C"/>
    <w:rsid w:val="5EFE04C7"/>
    <w:rsid w:val="5F0345C8"/>
    <w:rsid w:val="5F0A2B5D"/>
    <w:rsid w:val="5F0B7C15"/>
    <w:rsid w:val="5F152BB0"/>
    <w:rsid w:val="5F195C34"/>
    <w:rsid w:val="5F1F6EDE"/>
    <w:rsid w:val="5F3E4DFC"/>
    <w:rsid w:val="5F46012F"/>
    <w:rsid w:val="5F4928DA"/>
    <w:rsid w:val="5F4F3919"/>
    <w:rsid w:val="5F5365C4"/>
    <w:rsid w:val="5F611F9C"/>
    <w:rsid w:val="5F636E9B"/>
    <w:rsid w:val="5F6D266B"/>
    <w:rsid w:val="5F7C3F94"/>
    <w:rsid w:val="5F7D45A1"/>
    <w:rsid w:val="5F941F7F"/>
    <w:rsid w:val="5F966B12"/>
    <w:rsid w:val="5F984F3F"/>
    <w:rsid w:val="5F9E38E6"/>
    <w:rsid w:val="5FA96B8E"/>
    <w:rsid w:val="5FBB2ACB"/>
    <w:rsid w:val="5FBF43FE"/>
    <w:rsid w:val="5FBF70B6"/>
    <w:rsid w:val="5FC23FA1"/>
    <w:rsid w:val="5FC6016F"/>
    <w:rsid w:val="5FCA288E"/>
    <w:rsid w:val="5FCF0312"/>
    <w:rsid w:val="5FD23BF8"/>
    <w:rsid w:val="5FE12CFF"/>
    <w:rsid w:val="5FF033E9"/>
    <w:rsid w:val="5FF5ECA1"/>
    <w:rsid w:val="5FFA6B96"/>
    <w:rsid w:val="601520B7"/>
    <w:rsid w:val="601560AB"/>
    <w:rsid w:val="601A547F"/>
    <w:rsid w:val="60272A17"/>
    <w:rsid w:val="60345A18"/>
    <w:rsid w:val="60427076"/>
    <w:rsid w:val="604E634D"/>
    <w:rsid w:val="60523D7A"/>
    <w:rsid w:val="605926F9"/>
    <w:rsid w:val="605F4509"/>
    <w:rsid w:val="60675847"/>
    <w:rsid w:val="607C63F0"/>
    <w:rsid w:val="60851D66"/>
    <w:rsid w:val="609300B2"/>
    <w:rsid w:val="609A1C12"/>
    <w:rsid w:val="60AB0A61"/>
    <w:rsid w:val="60AB141E"/>
    <w:rsid w:val="60AC195E"/>
    <w:rsid w:val="60BD09FE"/>
    <w:rsid w:val="60BD387C"/>
    <w:rsid w:val="60C21E66"/>
    <w:rsid w:val="60D81B55"/>
    <w:rsid w:val="60DF5B3B"/>
    <w:rsid w:val="60E744F3"/>
    <w:rsid w:val="60FD02C5"/>
    <w:rsid w:val="61073B6A"/>
    <w:rsid w:val="61152D8B"/>
    <w:rsid w:val="612977A5"/>
    <w:rsid w:val="61335243"/>
    <w:rsid w:val="615830BE"/>
    <w:rsid w:val="616A4ACB"/>
    <w:rsid w:val="61780329"/>
    <w:rsid w:val="617B1711"/>
    <w:rsid w:val="61885EF9"/>
    <w:rsid w:val="61930260"/>
    <w:rsid w:val="61A03B0C"/>
    <w:rsid w:val="61A229D5"/>
    <w:rsid w:val="61A5263C"/>
    <w:rsid w:val="61B37118"/>
    <w:rsid w:val="61D950DC"/>
    <w:rsid w:val="61DF1A08"/>
    <w:rsid w:val="61EA29DB"/>
    <w:rsid w:val="61F54538"/>
    <w:rsid w:val="61F5671F"/>
    <w:rsid w:val="621029F9"/>
    <w:rsid w:val="621943C8"/>
    <w:rsid w:val="62275FC6"/>
    <w:rsid w:val="622C02E5"/>
    <w:rsid w:val="62316AC7"/>
    <w:rsid w:val="6232371B"/>
    <w:rsid w:val="623320F3"/>
    <w:rsid w:val="624008B2"/>
    <w:rsid w:val="62550338"/>
    <w:rsid w:val="625553AA"/>
    <w:rsid w:val="625B1913"/>
    <w:rsid w:val="625C5F48"/>
    <w:rsid w:val="62610F3F"/>
    <w:rsid w:val="62793266"/>
    <w:rsid w:val="627A0B10"/>
    <w:rsid w:val="62883D60"/>
    <w:rsid w:val="628D15DB"/>
    <w:rsid w:val="629315C6"/>
    <w:rsid w:val="629525D2"/>
    <w:rsid w:val="6295573D"/>
    <w:rsid w:val="629F3FBF"/>
    <w:rsid w:val="62CA523C"/>
    <w:rsid w:val="62D31163"/>
    <w:rsid w:val="62D32089"/>
    <w:rsid w:val="62D75E50"/>
    <w:rsid w:val="62DA57DA"/>
    <w:rsid w:val="62DB3C06"/>
    <w:rsid w:val="62E01595"/>
    <w:rsid w:val="63070D1F"/>
    <w:rsid w:val="63073674"/>
    <w:rsid w:val="631C4E44"/>
    <w:rsid w:val="6322005C"/>
    <w:rsid w:val="63276D3F"/>
    <w:rsid w:val="633056EC"/>
    <w:rsid w:val="63406BE0"/>
    <w:rsid w:val="63407AF2"/>
    <w:rsid w:val="6344789C"/>
    <w:rsid w:val="63462D86"/>
    <w:rsid w:val="635F2564"/>
    <w:rsid w:val="636270DD"/>
    <w:rsid w:val="636468A6"/>
    <w:rsid w:val="636B67A2"/>
    <w:rsid w:val="63834D4D"/>
    <w:rsid w:val="638411CE"/>
    <w:rsid w:val="6386221F"/>
    <w:rsid w:val="63867381"/>
    <w:rsid w:val="6388410F"/>
    <w:rsid w:val="638B09D1"/>
    <w:rsid w:val="639B0AAD"/>
    <w:rsid w:val="63A35611"/>
    <w:rsid w:val="63C318BD"/>
    <w:rsid w:val="63D23E09"/>
    <w:rsid w:val="63D34249"/>
    <w:rsid w:val="63D3556C"/>
    <w:rsid w:val="63D94148"/>
    <w:rsid w:val="63DD7AC0"/>
    <w:rsid w:val="63DE1A2B"/>
    <w:rsid w:val="63EB0161"/>
    <w:rsid w:val="63F07F57"/>
    <w:rsid w:val="640C7EA1"/>
    <w:rsid w:val="641E4C6C"/>
    <w:rsid w:val="641F4308"/>
    <w:rsid w:val="642429B8"/>
    <w:rsid w:val="643E26B8"/>
    <w:rsid w:val="644B365E"/>
    <w:rsid w:val="64505132"/>
    <w:rsid w:val="64564528"/>
    <w:rsid w:val="645C13F1"/>
    <w:rsid w:val="64780DAC"/>
    <w:rsid w:val="64781C79"/>
    <w:rsid w:val="648974B9"/>
    <w:rsid w:val="648D2F35"/>
    <w:rsid w:val="648E1C85"/>
    <w:rsid w:val="64997BA7"/>
    <w:rsid w:val="649E6BE8"/>
    <w:rsid w:val="64A7467C"/>
    <w:rsid w:val="64B42D16"/>
    <w:rsid w:val="64C15A73"/>
    <w:rsid w:val="64C41808"/>
    <w:rsid w:val="64C80215"/>
    <w:rsid w:val="64DC39E9"/>
    <w:rsid w:val="64EF405F"/>
    <w:rsid w:val="64FB7CBB"/>
    <w:rsid w:val="65011374"/>
    <w:rsid w:val="650F6EA8"/>
    <w:rsid w:val="65105D94"/>
    <w:rsid w:val="651742A3"/>
    <w:rsid w:val="652E3ACF"/>
    <w:rsid w:val="65390E02"/>
    <w:rsid w:val="654064B7"/>
    <w:rsid w:val="65453D7F"/>
    <w:rsid w:val="654C032E"/>
    <w:rsid w:val="654F5305"/>
    <w:rsid w:val="65604395"/>
    <w:rsid w:val="656364CF"/>
    <w:rsid w:val="65657BD7"/>
    <w:rsid w:val="65687014"/>
    <w:rsid w:val="65715F57"/>
    <w:rsid w:val="658B5EAB"/>
    <w:rsid w:val="659B2065"/>
    <w:rsid w:val="65A72EB5"/>
    <w:rsid w:val="65A864CF"/>
    <w:rsid w:val="65AD4528"/>
    <w:rsid w:val="65B06EF6"/>
    <w:rsid w:val="65B72643"/>
    <w:rsid w:val="65C2550E"/>
    <w:rsid w:val="65C30518"/>
    <w:rsid w:val="65CE76B9"/>
    <w:rsid w:val="65DA3EB5"/>
    <w:rsid w:val="65DB699E"/>
    <w:rsid w:val="65DE6D22"/>
    <w:rsid w:val="65EB447F"/>
    <w:rsid w:val="65F03636"/>
    <w:rsid w:val="65F61430"/>
    <w:rsid w:val="65F803C8"/>
    <w:rsid w:val="65FD5735"/>
    <w:rsid w:val="65FE580F"/>
    <w:rsid w:val="66000A70"/>
    <w:rsid w:val="660469F6"/>
    <w:rsid w:val="66056FFD"/>
    <w:rsid w:val="660F0158"/>
    <w:rsid w:val="66124EE8"/>
    <w:rsid w:val="66246981"/>
    <w:rsid w:val="663030CD"/>
    <w:rsid w:val="663B2677"/>
    <w:rsid w:val="663F3CC5"/>
    <w:rsid w:val="663F74D3"/>
    <w:rsid w:val="66421F51"/>
    <w:rsid w:val="66444F56"/>
    <w:rsid w:val="664D4DC0"/>
    <w:rsid w:val="66561BDF"/>
    <w:rsid w:val="66620C89"/>
    <w:rsid w:val="6665039D"/>
    <w:rsid w:val="66661175"/>
    <w:rsid w:val="666E62ED"/>
    <w:rsid w:val="6675675A"/>
    <w:rsid w:val="66783F8B"/>
    <w:rsid w:val="668034CB"/>
    <w:rsid w:val="66843776"/>
    <w:rsid w:val="66894250"/>
    <w:rsid w:val="66896C56"/>
    <w:rsid w:val="669D1320"/>
    <w:rsid w:val="66A33393"/>
    <w:rsid w:val="66A614DB"/>
    <w:rsid w:val="66BE1FC2"/>
    <w:rsid w:val="66CF1BB8"/>
    <w:rsid w:val="66E35A83"/>
    <w:rsid w:val="66FB7F3B"/>
    <w:rsid w:val="66FC1E10"/>
    <w:rsid w:val="66FF6A03"/>
    <w:rsid w:val="67044BBF"/>
    <w:rsid w:val="670F6B80"/>
    <w:rsid w:val="67106B56"/>
    <w:rsid w:val="671C78E7"/>
    <w:rsid w:val="6721740E"/>
    <w:rsid w:val="672E0A3B"/>
    <w:rsid w:val="672F4479"/>
    <w:rsid w:val="673457F4"/>
    <w:rsid w:val="673C118E"/>
    <w:rsid w:val="674063D1"/>
    <w:rsid w:val="674F47B4"/>
    <w:rsid w:val="6758469A"/>
    <w:rsid w:val="6765381E"/>
    <w:rsid w:val="676679E4"/>
    <w:rsid w:val="67847F64"/>
    <w:rsid w:val="678630C8"/>
    <w:rsid w:val="678E1C57"/>
    <w:rsid w:val="67981DE4"/>
    <w:rsid w:val="679E1B51"/>
    <w:rsid w:val="67A31D15"/>
    <w:rsid w:val="67BE595B"/>
    <w:rsid w:val="67C43229"/>
    <w:rsid w:val="67EE634A"/>
    <w:rsid w:val="67FA24F4"/>
    <w:rsid w:val="67FA395F"/>
    <w:rsid w:val="67FB4256"/>
    <w:rsid w:val="67FD0EE0"/>
    <w:rsid w:val="68053958"/>
    <w:rsid w:val="68111B8C"/>
    <w:rsid w:val="681F76AD"/>
    <w:rsid w:val="68206DDE"/>
    <w:rsid w:val="6822051C"/>
    <w:rsid w:val="68222983"/>
    <w:rsid w:val="68373101"/>
    <w:rsid w:val="68373BEE"/>
    <w:rsid w:val="68396C7C"/>
    <w:rsid w:val="683F69A4"/>
    <w:rsid w:val="68512402"/>
    <w:rsid w:val="685C5DD7"/>
    <w:rsid w:val="68617D39"/>
    <w:rsid w:val="68816F18"/>
    <w:rsid w:val="688C2E0C"/>
    <w:rsid w:val="6892293A"/>
    <w:rsid w:val="689778D0"/>
    <w:rsid w:val="689F11DF"/>
    <w:rsid w:val="68A62734"/>
    <w:rsid w:val="68B24531"/>
    <w:rsid w:val="68B32D34"/>
    <w:rsid w:val="68B74449"/>
    <w:rsid w:val="68B97F66"/>
    <w:rsid w:val="68C071AB"/>
    <w:rsid w:val="68D90C70"/>
    <w:rsid w:val="68E172CB"/>
    <w:rsid w:val="68E61D18"/>
    <w:rsid w:val="68E717A0"/>
    <w:rsid w:val="68ED017B"/>
    <w:rsid w:val="68F242A1"/>
    <w:rsid w:val="69053B03"/>
    <w:rsid w:val="690F20BA"/>
    <w:rsid w:val="69150501"/>
    <w:rsid w:val="69153990"/>
    <w:rsid w:val="69182B07"/>
    <w:rsid w:val="6932630A"/>
    <w:rsid w:val="6947633E"/>
    <w:rsid w:val="695206D2"/>
    <w:rsid w:val="696D292B"/>
    <w:rsid w:val="69730C82"/>
    <w:rsid w:val="69744D55"/>
    <w:rsid w:val="698070F7"/>
    <w:rsid w:val="698577DD"/>
    <w:rsid w:val="69894A1F"/>
    <w:rsid w:val="69912C32"/>
    <w:rsid w:val="69961BE9"/>
    <w:rsid w:val="69A165F4"/>
    <w:rsid w:val="69AA3198"/>
    <w:rsid w:val="69B2479F"/>
    <w:rsid w:val="69BB3AB0"/>
    <w:rsid w:val="69C13B5A"/>
    <w:rsid w:val="69CD5186"/>
    <w:rsid w:val="69E16A65"/>
    <w:rsid w:val="6A1D1366"/>
    <w:rsid w:val="6A4F7F51"/>
    <w:rsid w:val="6A526D43"/>
    <w:rsid w:val="6A5615A8"/>
    <w:rsid w:val="6A6B06AE"/>
    <w:rsid w:val="6A702758"/>
    <w:rsid w:val="6A7302BD"/>
    <w:rsid w:val="6A8B09EF"/>
    <w:rsid w:val="6A8C7E73"/>
    <w:rsid w:val="6A9245B8"/>
    <w:rsid w:val="6A9B4A5F"/>
    <w:rsid w:val="6A9D1BAD"/>
    <w:rsid w:val="6AA44F6A"/>
    <w:rsid w:val="6AB43783"/>
    <w:rsid w:val="6AB86025"/>
    <w:rsid w:val="6AC42594"/>
    <w:rsid w:val="6AC60E83"/>
    <w:rsid w:val="6AD07F95"/>
    <w:rsid w:val="6AD61B43"/>
    <w:rsid w:val="6ADC5CC9"/>
    <w:rsid w:val="6ADF3D8F"/>
    <w:rsid w:val="6AE616A4"/>
    <w:rsid w:val="6AF64881"/>
    <w:rsid w:val="6AFA2CE3"/>
    <w:rsid w:val="6B1537A7"/>
    <w:rsid w:val="6B1A2589"/>
    <w:rsid w:val="6B25339E"/>
    <w:rsid w:val="6B345235"/>
    <w:rsid w:val="6B491502"/>
    <w:rsid w:val="6B4B64CB"/>
    <w:rsid w:val="6B4E4A35"/>
    <w:rsid w:val="6B5037C1"/>
    <w:rsid w:val="6B560109"/>
    <w:rsid w:val="6B596397"/>
    <w:rsid w:val="6B6A508A"/>
    <w:rsid w:val="6B6E3A2B"/>
    <w:rsid w:val="6B70186D"/>
    <w:rsid w:val="6B761CB2"/>
    <w:rsid w:val="6B7C13BC"/>
    <w:rsid w:val="6B7C1E4F"/>
    <w:rsid w:val="6B7D405F"/>
    <w:rsid w:val="6B8A4E5F"/>
    <w:rsid w:val="6B8D0F8A"/>
    <w:rsid w:val="6B8E4273"/>
    <w:rsid w:val="6B9B2CB9"/>
    <w:rsid w:val="6BA6183F"/>
    <w:rsid w:val="6BA76596"/>
    <w:rsid w:val="6BAF5A45"/>
    <w:rsid w:val="6BB81134"/>
    <w:rsid w:val="6BBA2EDB"/>
    <w:rsid w:val="6BC1578E"/>
    <w:rsid w:val="6BC419FF"/>
    <w:rsid w:val="6BC62E8E"/>
    <w:rsid w:val="6BD961B1"/>
    <w:rsid w:val="6BDE4FDE"/>
    <w:rsid w:val="6BE461AA"/>
    <w:rsid w:val="6BED12DF"/>
    <w:rsid w:val="6BEF4AD4"/>
    <w:rsid w:val="6BF066E9"/>
    <w:rsid w:val="6C0A0EE4"/>
    <w:rsid w:val="6C0E336F"/>
    <w:rsid w:val="6C123BDD"/>
    <w:rsid w:val="6C1B311C"/>
    <w:rsid w:val="6C1B32B8"/>
    <w:rsid w:val="6C26236C"/>
    <w:rsid w:val="6C2C47B9"/>
    <w:rsid w:val="6C2D79AD"/>
    <w:rsid w:val="6C344F81"/>
    <w:rsid w:val="6C3D2FEC"/>
    <w:rsid w:val="6C4842C4"/>
    <w:rsid w:val="6C4B5DF9"/>
    <w:rsid w:val="6C5808FF"/>
    <w:rsid w:val="6C5869CC"/>
    <w:rsid w:val="6C5F6ED6"/>
    <w:rsid w:val="6C62170C"/>
    <w:rsid w:val="6C6C07EC"/>
    <w:rsid w:val="6C80768C"/>
    <w:rsid w:val="6C84221C"/>
    <w:rsid w:val="6C8C0A89"/>
    <w:rsid w:val="6C954522"/>
    <w:rsid w:val="6C9C0A54"/>
    <w:rsid w:val="6C9C31AB"/>
    <w:rsid w:val="6CB229AC"/>
    <w:rsid w:val="6CB31551"/>
    <w:rsid w:val="6CB41B2A"/>
    <w:rsid w:val="6CB901DE"/>
    <w:rsid w:val="6CB91B00"/>
    <w:rsid w:val="6CC91D8A"/>
    <w:rsid w:val="6CCD65C6"/>
    <w:rsid w:val="6CD667BF"/>
    <w:rsid w:val="6D066806"/>
    <w:rsid w:val="6D113BDC"/>
    <w:rsid w:val="6D12029A"/>
    <w:rsid w:val="6D237F99"/>
    <w:rsid w:val="6D262711"/>
    <w:rsid w:val="6D284ABF"/>
    <w:rsid w:val="6D414A72"/>
    <w:rsid w:val="6D4D67A5"/>
    <w:rsid w:val="6D5648D5"/>
    <w:rsid w:val="6D5F3B7C"/>
    <w:rsid w:val="6D630702"/>
    <w:rsid w:val="6D6402A1"/>
    <w:rsid w:val="6D6A1718"/>
    <w:rsid w:val="6D6D0DB6"/>
    <w:rsid w:val="6D885C26"/>
    <w:rsid w:val="6D890168"/>
    <w:rsid w:val="6DB462DB"/>
    <w:rsid w:val="6DB55973"/>
    <w:rsid w:val="6DB703FF"/>
    <w:rsid w:val="6DB77A54"/>
    <w:rsid w:val="6DBA232A"/>
    <w:rsid w:val="6DBE1734"/>
    <w:rsid w:val="6DC01176"/>
    <w:rsid w:val="6DC236E8"/>
    <w:rsid w:val="6DC30EFE"/>
    <w:rsid w:val="6DC473EF"/>
    <w:rsid w:val="6DCC34C9"/>
    <w:rsid w:val="6DD57808"/>
    <w:rsid w:val="6DDD133A"/>
    <w:rsid w:val="6DE61D71"/>
    <w:rsid w:val="6DF152A2"/>
    <w:rsid w:val="6DFC48E0"/>
    <w:rsid w:val="6DFE1F96"/>
    <w:rsid w:val="6E0D3BD6"/>
    <w:rsid w:val="6E0D5F0F"/>
    <w:rsid w:val="6E122505"/>
    <w:rsid w:val="6E1453EE"/>
    <w:rsid w:val="6E2A23A0"/>
    <w:rsid w:val="6E3450CD"/>
    <w:rsid w:val="6E5D773F"/>
    <w:rsid w:val="6E6D0BBC"/>
    <w:rsid w:val="6E6D7713"/>
    <w:rsid w:val="6E6F7389"/>
    <w:rsid w:val="6E76682B"/>
    <w:rsid w:val="6E9F065B"/>
    <w:rsid w:val="6EA11AB0"/>
    <w:rsid w:val="6EA43399"/>
    <w:rsid w:val="6EA50990"/>
    <w:rsid w:val="6EAD1E9E"/>
    <w:rsid w:val="6EAD56B6"/>
    <w:rsid w:val="6EB13980"/>
    <w:rsid w:val="6EB52FF6"/>
    <w:rsid w:val="6EB83BFA"/>
    <w:rsid w:val="6EBB2FA3"/>
    <w:rsid w:val="6EC30855"/>
    <w:rsid w:val="6EC55949"/>
    <w:rsid w:val="6ECC0EDD"/>
    <w:rsid w:val="6ED538CF"/>
    <w:rsid w:val="6EE75687"/>
    <w:rsid w:val="6EEC78B9"/>
    <w:rsid w:val="6EEF20BE"/>
    <w:rsid w:val="6EF627E9"/>
    <w:rsid w:val="6EFA1797"/>
    <w:rsid w:val="6F0618CF"/>
    <w:rsid w:val="6F070DCF"/>
    <w:rsid w:val="6F0F7B4D"/>
    <w:rsid w:val="6F196ED7"/>
    <w:rsid w:val="6F215448"/>
    <w:rsid w:val="6F2D25AE"/>
    <w:rsid w:val="6F375C4E"/>
    <w:rsid w:val="6F48143F"/>
    <w:rsid w:val="6F4D144F"/>
    <w:rsid w:val="6F532BBA"/>
    <w:rsid w:val="6F606926"/>
    <w:rsid w:val="6F6267C5"/>
    <w:rsid w:val="6F6331EB"/>
    <w:rsid w:val="6F6D2260"/>
    <w:rsid w:val="6F6D6738"/>
    <w:rsid w:val="6F781F19"/>
    <w:rsid w:val="6F786DD5"/>
    <w:rsid w:val="6F8315FB"/>
    <w:rsid w:val="6F8C7DDD"/>
    <w:rsid w:val="6F9135E5"/>
    <w:rsid w:val="6F92555A"/>
    <w:rsid w:val="6F93311C"/>
    <w:rsid w:val="6F93384D"/>
    <w:rsid w:val="6F9D7B5D"/>
    <w:rsid w:val="6FA72B10"/>
    <w:rsid w:val="6FAC0FB0"/>
    <w:rsid w:val="6FB2026C"/>
    <w:rsid w:val="6FBB61A1"/>
    <w:rsid w:val="6FBC0B25"/>
    <w:rsid w:val="6FC31095"/>
    <w:rsid w:val="6FC32E09"/>
    <w:rsid w:val="6FCB1A17"/>
    <w:rsid w:val="6FD00E56"/>
    <w:rsid w:val="6FD015CD"/>
    <w:rsid w:val="6FD35BE6"/>
    <w:rsid w:val="6FD50A07"/>
    <w:rsid w:val="6FD8566F"/>
    <w:rsid w:val="6FE72C6A"/>
    <w:rsid w:val="6FED482F"/>
    <w:rsid w:val="6FEF3ABD"/>
    <w:rsid w:val="6FEF6D3D"/>
    <w:rsid w:val="6FF16B79"/>
    <w:rsid w:val="6FFD6C49"/>
    <w:rsid w:val="70007BAA"/>
    <w:rsid w:val="70044490"/>
    <w:rsid w:val="70303B9A"/>
    <w:rsid w:val="705F00FA"/>
    <w:rsid w:val="7061280E"/>
    <w:rsid w:val="70667562"/>
    <w:rsid w:val="706D544C"/>
    <w:rsid w:val="70742AB3"/>
    <w:rsid w:val="70887499"/>
    <w:rsid w:val="708A666C"/>
    <w:rsid w:val="708E2531"/>
    <w:rsid w:val="709A14F3"/>
    <w:rsid w:val="70A84A63"/>
    <w:rsid w:val="70AA75DE"/>
    <w:rsid w:val="70AF383F"/>
    <w:rsid w:val="70B22434"/>
    <w:rsid w:val="70B73293"/>
    <w:rsid w:val="70C35084"/>
    <w:rsid w:val="70C661E6"/>
    <w:rsid w:val="70CE3C07"/>
    <w:rsid w:val="70CE679B"/>
    <w:rsid w:val="70D92D89"/>
    <w:rsid w:val="70E76979"/>
    <w:rsid w:val="70F56E51"/>
    <w:rsid w:val="70F84D88"/>
    <w:rsid w:val="70FE60F6"/>
    <w:rsid w:val="7112566D"/>
    <w:rsid w:val="71143AE0"/>
    <w:rsid w:val="71153587"/>
    <w:rsid w:val="711C0816"/>
    <w:rsid w:val="71201EBB"/>
    <w:rsid w:val="71245E98"/>
    <w:rsid w:val="712A35C9"/>
    <w:rsid w:val="713704DB"/>
    <w:rsid w:val="71536160"/>
    <w:rsid w:val="716A2CBA"/>
    <w:rsid w:val="716A3863"/>
    <w:rsid w:val="71792B9A"/>
    <w:rsid w:val="717A7CA8"/>
    <w:rsid w:val="717E4320"/>
    <w:rsid w:val="71987EAA"/>
    <w:rsid w:val="71A1591D"/>
    <w:rsid w:val="71A35656"/>
    <w:rsid w:val="71A6010F"/>
    <w:rsid w:val="71B5315E"/>
    <w:rsid w:val="71B757D0"/>
    <w:rsid w:val="71DD2792"/>
    <w:rsid w:val="71E81023"/>
    <w:rsid w:val="71FB4990"/>
    <w:rsid w:val="71FD3693"/>
    <w:rsid w:val="71FF282C"/>
    <w:rsid w:val="720900B7"/>
    <w:rsid w:val="72275C2D"/>
    <w:rsid w:val="722E4C27"/>
    <w:rsid w:val="723030A9"/>
    <w:rsid w:val="724241C5"/>
    <w:rsid w:val="72426061"/>
    <w:rsid w:val="724B5A21"/>
    <w:rsid w:val="724D7A3F"/>
    <w:rsid w:val="726E3D6D"/>
    <w:rsid w:val="727E0959"/>
    <w:rsid w:val="728416A2"/>
    <w:rsid w:val="72AC0BE5"/>
    <w:rsid w:val="72AD761E"/>
    <w:rsid w:val="72BF50DC"/>
    <w:rsid w:val="72C2654B"/>
    <w:rsid w:val="72D813EB"/>
    <w:rsid w:val="72DE107D"/>
    <w:rsid w:val="72E909FA"/>
    <w:rsid w:val="72EC4A8E"/>
    <w:rsid w:val="72F70C39"/>
    <w:rsid w:val="72F72508"/>
    <w:rsid w:val="72F7391A"/>
    <w:rsid w:val="731A3351"/>
    <w:rsid w:val="731C33A9"/>
    <w:rsid w:val="731E3DDE"/>
    <w:rsid w:val="732023F6"/>
    <w:rsid w:val="73220C8F"/>
    <w:rsid w:val="733D6A6C"/>
    <w:rsid w:val="734935D3"/>
    <w:rsid w:val="734A69B9"/>
    <w:rsid w:val="734E23A0"/>
    <w:rsid w:val="735037FD"/>
    <w:rsid w:val="735262FC"/>
    <w:rsid w:val="73574A7B"/>
    <w:rsid w:val="736B078A"/>
    <w:rsid w:val="736B2C25"/>
    <w:rsid w:val="73734DF3"/>
    <w:rsid w:val="73781DE1"/>
    <w:rsid w:val="737D68AA"/>
    <w:rsid w:val="737F7946"/>
    <w:rsid w:val="73804B75"/>
    <w:rsid w:val="73894B08"/>
    <w:rsid w:val="738A0907"/>
    <w:rsid w:val="738A228D"/>
    <w:rsid w:val="73901843"/>
    <w:rsid w:val="73921249"/>
    <w:rsid w:val="739A7FFA"/>
    <w:rsid w:val="739E34C6"/>
    <w:rsid w:val="73A258C6"/>
    <w:rsid w:val="73A3146C"/>
    <w:rsid w:val="73BA5DFB"/>
    <w:rsid w:val="73BB5805"/>
    <w:rsid w:val="73C43F72"/>
    <w:rsid w:val="73C54063"/>
    <w:rsid w:val="73CB3292"/>
    <w:rsid w:val="73D1629D"/>
    <w:rsid w:val="73D26B61"/>
    <w:rsid w:val="73D62E1B"/>
    <w:rsid w:val="73D646DE"/>
    <w:rsid w:val="73D754F2"/>
    <w:rsid w:val="73DC3448"/>
    <w:rsid w:val="73F730BD"/>
    <w:rsid w:val="73FD491B"/>
    <w:rsid w:val="7406256A"/>
    <w:rsid w:val="74077164"/>
    <w:rsid w:val="740D4DB9"/>
    <w:rsid w:val="741A64D8"/>
    <w:rsid w:val="7434222D"/>
    <w:rsid w:val="743D2011"/>
    <w:rsid w:val="74405093"/>
    <w:rsid w:val="744442C6"/>
    <w:rsid w:val="745337E2"/>
    <w:rsid w:val="7457618A"/>
    <w:rsid w:val="745C3A63"/>
    <w:rsid w:val="745D6356"/>
    <w:rsid w:val="745F767D"/>
    <w:rsid w:val="746035DF"/>
    <w:rsid w:val="74654B91"/>
    <w:rsid w:val="746A5D9B"/>
    <w:rsid w:val="746F17E4"/>
    <w:rsid w:val="74763778"/>
    <w:rsid w:val="74903799"/>
    <w:rsid w:val="74986A4B"/>
    <w:rsid w:val="74987D0A"/>
    <w:rsid w:val="74A90405"/>
    <w:rsid w:val="74B039ED"/>
    <w:rsid w:val="74BE1744"/>
    <w:rsid w:val="74BF532A"/>
    <w:rsid w:val="74CC1499"/>
    <w:rsid w:val="74DE5EF7"/>
    <w:rsid w:val="74E32C29"/>
    <w:rsid w:val="74E60A17"/>
    <w:rsid w:val="74EC24DF"/>
    <w:rsid w:val="74ED2DD3"/>
    <w:rsid w:val="74F43321"/>
    <w:rsid w:val="74F526F2"/>
    <w:rsid w:val="74FC7B86"/>
    <w:rsid w:val="74FF09CF"/>
    <w:rsid w:val="751172E9"/>
    <w:rsid w:val="75196E10"/>
    <w:rsid w:val="751E091B"/>
    <w:rsid w:val="752402EA"/>
    <w:rsid w:val="75294361"/>
    <w:rsid w:val="752D5EA2"/>
    <w:rsid w:val="75321559"/>
    <w:rsid w:val="753A0194"/>
    <w:rsid w:val="754F6BFA"/>
    <w:rsid w:val="7550041F"/>
    <w:rsid w:val="75551168"/>
    <w:rsid w:val="75634E56"/>
    <w:rsid w:val="757622A4"/>
    <w:rsid w:val="75841E9E"/>
    <w:rsid w:val="759B3AA5"/>
    <w:rsid w:val="759D224E"/>
    <w:rsid w:val="75A74B2A"/>
    <w:rsid w:val="75A90EE8"/>
    <w:rsid w:val="75B03DE0"/>
    <w:rsid w:val="75B524AC"/>
    <w:rsid w:val="75BB658A"/>
    <w:rsid w:val="75D54FC9"/>
    <w:rsid w:val="75EC1F26"/>
    <w:rsid w:val="75F40F76"/>
    <w:rsid w:val="75F75005"/>
    <w:rsid w:val="75F83A5D"/>
    <w:rsid w:val="75FF2CFA"/>
    <w:rsid w:val="76084B2C"/>
    <w:rsid w:val="760971C0"/>
    <w:rsid w:val="76122971"/>
    <w:rsid w:val="76161CA3"/>
    <w:rsid w:val="761840BC"/>
    <w:rsid w:val="761B0BA4"/>
    <w:rsid w:val="762030AC"/>
    <w:rsid w:val="76262F48"/>
    <w:rsid w:val="763044A3"/>
    <w:rsid w:val="763A4136"/>
    <w:rsid w:val="764A577A"/>
    <w:rsid w:val="764E50A3"/>
    <w:rsid w:val="76541848"/>
    <w:rsid w:val="765C2F18"/>
    <w:rsid w:val="765C572B"/>
    <w:rsid w:val="76665B89"/>
    <w:rsid w:val="766A71B3"/>
    <w:rsid w:val="7677520F"/>
    <w:rsid w:val="767E6BE0"/>
    <w:rsid w:val="76811E97"/>
    <w:rsid w:val="76931F8F"/>
    <w:rsid w:val="76963678"/>
    <w:rsid w:val="769D72C0"/>
    <w:rsid w:val="76A241C0"/>
    <w:rsid w:val="76A42072"/>
    <w:rsid w:val="76A876C6"/>
    <w:rsid w:val="76B30B3B"/>
    <w:rsid w:val="76B91423"/>
    <w:rsid w:val="76BE27BB"/>
    <w:rsid w:val="76C27244"/>
    <w:rsid w:val="76CC7567"/>
    <w:rsid w:val="76D51DCE"/>
    <w:rsid w:val="76D73359"/>
    <w:rsid w:val="76DA1B42"/>
    <w:rsid w:val="76DA253F"/>
    <w:rsid w:val="76E9102C"/>
    <w:rsid w:val="76F24D13"/>
    <w:rsid w:val="76F55319"/>
    <w:rsid w:val="770F40E4"/>
    <w:rsid w:val="77116DD7"/>
    <w:rsid w:val="7721793C"/>
    <w:rsid w:val="772252D1"/>
    <w:rsid w:val="772B6B20"/>
    <w:rsid w:val="773305DC"/>
    <w:rsid w:val="77337843"/>
    <w:rsid w:val="773409AA"/>
    <w:rsid w:val="773830B8"/>
    <w:rsid w:val="774A310F"/>
    <w:rsid w:val="774F7127"/>
    <w:rsid w:val="77543C21"/>
    <w:rsid w:val="77571785"/>
    <w:rsid w:val="775C5D0B"/>
    <w:rsid w:val="7771508E"/>
    <w:rsid w:val="77747C0B"/>
    <w:rsid w:val="777F70FB"/>
    <w:rsid w:val="77802E09"/>
    <w:rsid w:val="778245CA"/>
    <w:rsid w:val="778545F7"/>
    <w:rsid w:val="778A21F1"/>
    <w:rsid w:val="778C0594"/>
    <w:rsid w:val="77907FEA"/>
    <w:rsid w:val="7791385C"/>
    <w:rsid w:val="77974FD1"/>
    <w:rsid w:val="77991FE3"/>
    <w:rsid w:val="77A06A34"/>
    <w:rsid w:val="77AD7440"/>
    <w:rsid w:val="77B207FE"/>
    <w:rsid w:val="77B83C86"/>
    <w:rsid w:val="77CC5930"/>
    <w:rsid w:val="77CC5E97"/>
    <w:rsid w:val="77D26D5D"/>
    <w:rsid w:val="77D64173"/>
    <w:rsid w:val="77DD4C8C"/>
    <w:rsid w:val="77F75AC3"/>
    <w:rsid w:val="77FB15DF"/>
    <w:rsid w:val="78161DA0"/>
    <w:rsid w:val="781673D3"/>
    <w:rsid w:val="783061FB"/>
    <w:rsid w:val="7839758B"/>
    <w:rsid w:val="783B7D06"/>
    <w:rsid w:val="78617C32"/>
    <w:rsid w:val="78695585"/>
    <w:rsid w:val="788235F3"/>
    <w:rsid w:val="788A0021"/>
    <w:rsid w:val="7890485D"/>
    <w:rsid w:val="78914BFE"/>
    <w:rsid w:val="789E3619"/>
    <w:rsid w:val="78A0107E"/>
    <w:rsid w:val="78A42D01"/>
    <w:rsid w:val="78A54111"/>
    <w:rsid w:val="78B03B2A"/>
    <w:rsid w:val="78B12361"/>
    <w:rsid w:val="78B40849"/>
    <w:rsid w:val="78BA37CB"/>
    <w:rsid w:val="78C107B2"/>
    <w:rsid w:val="78C246DA"/>
    <w:rsid w:val="78C944A4"/>
    <w:rsid w:val="78CB5B1A"/>
    <w:rsid w:val="78D40133"/>
    <w:rsid w:val="790E03FA"/>
    <w:rsid w:val="79201A35"/>
    <w:rsid w:val="793B4AA9"/>
    <w:rsid w:val="79427FC8"/>
    <w:rsid w:val="795E39FD"/>
    <w:rsid w:val="79617663"/>
    <w:rsid w:val="79753748"/>
    <w:rsid w:val="797762D2"/>
    <w:rsid w:val="79802570"/>
    <w:rsid w:val="79851ACC"/>
    <w:rsid w:val="798C510E"/>
    <w:rsid w:val="79931D69"/>
    <w:rsid w:val="79937AA8"/>
    <w:rsid w:val="799B08CD"/>
    <w:rsid w:val="79AC1D64"/>
    <w:rsid w:val="79B02716"/>
    <w:rsid w:val="79C86098"/>
    <w:rsid w:val="79C96180"/>
    <w:rsid w:val="79CD441D"/>
    <w:rsid w:val="79D476F2"/>
    <w:rsid w:val="79D81A7D"/>
    <w:rsid w:val="79E55CA9"/>
    <w:rsid w:val="79E7647F"/>
    <w:rsid w:val="79EF0264"/>
    <w:rsid w:val="79F815B9"/>
    <w:rsid w:val="79FE356E"/>
    <w:rsid w:val="7A29052D"/>
    <w:rsid w:val="7A2C771F"/>
    <w:rsid w:val="7A304D41"/>
    <w:rsid w:val="7A3735A6"/>
    <w:rsid w:val="7A3D5FB3"/>
    <w:rsid w:val="7A545487"/>
    <w:rsid w:val="7A5F4DCF"/>
    <w:rsid w:val="7A6237D8"/>
    <w:rsid w:val="7A69356F"/>
    <w:rsid w:val="7A761007"/>
    <w:rsid w:val="7A897879"/>
    <w:rsid w:val="7A8B2D18"/>
    <w:rsid w:val="7A8E6448"/>
    <w:rsid w:val="7A8F14AA"/>
    <w:rsid w:val="7A9913FA"/>
    <w:rsid w:val="7A9D4825"/>
    <w:rsid w:val="7AA05E97"/>
    <w:rsid w:val="7AA56B02"/>
    <w:rsid w:val="7AB07D59"/>
    <w:rsid w:val="7AB431C8"/>
    <w:rsid w:val="7AC32D3B"/>
    <w:rsid w:val="7ACD65A0"/>
    <w:rsid w:val="7ACE15EF"/>
    <w:rsid w:val="7AD61AF9"/>
    <w:rsid w:val="7AE9559A"/>
    <w:rsid w:val="7AEF4210"/>
    <w:rsid w:val="7AFB465A"/>
    <w:rsid w:val="7B072ACD"/>
    <w:rsid w:val="7B1B6751"/>
    <w:rsid w:val="7B1F7883"/>
    <w:rsid w:val="7B2A3200"/>
    <w:rsid w:val="7B3662A7"/>
    <w:rsid w:val="7B5A2150"/>
    <w:rsid w:val="7B5B6D69"/>
    <w:rsid w:val="7B6D14EE"/>
    <w:rsid w:val="7B6E4954"/>
    <w:rsid w:val="7B704677"/>
    <w:rsid w:val="7B7C3481"/>
    <w:rsid w:val="7BAC5EC2"/>
    <w:rsid w:val="7BB90F56"/>
    <w:rsid w:val="7BBA693D"/>
    <w:rsid w:val="7BBB3426"/>
    <w:rsid w:val="7BBD4B3B"/>
    <w:rsid w:val="7BD74B88"/>
    <w:rsid w:val="7BDB77C3"/>
    <w:rsid w:val="7BE1792A"/>
    <w:rsid w:val="7BE24DE7"/>
    <w:rsid w:val="7BE76ABF"/>
    <w:rsid w:val="7BEF531C"/>
    <w:rsid w:val="7BF260E6"/>
    <w:rsid w:val="7BF504C5"/>
    <w:rsid w:val="7BFE56B8"/>
    <w:rsid w:val="7C075AFF"/>
    <w:rsid w:val="7C082999"/>
    <w:rsid w:val="7C151A6B"/>
    <w:rsid w:val="7C19706A"/>
    <w:rsid w:val="7C1F2925"/>
    <w:rsid w:val="7C2473EC"/>
    <w:rsid w:val="7C4C4595"/>
    <w:rsid w:val="7C564EBF"/>
    <w:rsid w:val="7C5763F9"/>
    <w:rsid w:val="7C59292D"/>
    <w:rsid w:val="7C59343E"/>
    <w:rsid w:val="7C5C6A16"/>
    <w:rsid w:val="7C666750"/>
    <w:rsid w:val="7C696BD1"/>
    <w:rsid w:val="7C6D6804"/>
    <w:rsid w:val="7C8534F2"/>
    <w:rsid w:val="7C8D3236"/>
    <w:rsid w:val="7C91050F"/>
    <w:rsid w:val="7C955AC3"/>
    <w:rsid w:val="7C9A1E9F"/>
    <w:rsid w:val="7CB1000D"/>
    <w:rsid w:val="7CB24219"/>
    <w:rsid w:val="7CD251DA"/>
    <w:rsid w:val="7CF8792E"/>
    <w:rsid w:val="7CF92E11"/>
    <w:rsid w:val="7D021979"/>
    <w:rsid w:val="7D0248EC"/>
    <w:rsid w:val="7D1B47F4"/>
    <w:rsid w:val="7D1D4D39"/>
    <w:rsid w:val="7D2A136D"/>
    <w:rsid w:val="7D2B5F9D"/>
    <w:rsid w:val="7D2E7F5B"/>
    <w:rsid w:val="7D3B2576"/>
    <w:rsid w:val="7D3C16B5"/>
    <w:rsid w:val="7D400511"/>
    <w:rsid w:val="7D4D2171"/>
    <w:rsid w:val="7D4E2FFA"/>
    <w:rsid w:val="7D5A56C0"/>
    <w:rsid w:val="7D60294D"/>
    <w:rsid w:val="7D615002"/>
    <w:rsid w:val="7D734068"/>
    <w:rsid w:val="7D764C2B"/>
    <w:rsid w:val="7D7B50AA"/>
    <w:rsid w:val="7D7C1AD6"/>
    <w:rsid w:val="7D8D12AC"/>
    <w:rsid w:val="7D8F7318"/>
    <w:rsid w:val="7D9F39E4"/>
    <w:rsid w:val="7DA35AEE"/>
    <w:rsid w:val="7DAA3274"/>
    <w:rsid w:val="7DAE7537"/>
    <w:rsid w:val="7DB01C62"/>
    <w:rsid w:val="7DC43E62"/>
    <w:rsid w:val="7DC7111F"/>
    <w:rsid w:val="7DCD1ACC"/>
    <w:rsid w:val="7DD15C34"/>
    <w:rsid w:val="7DD57335"/>
    <w:rsid w:val="7DDC2622"/>
    <w:rsid w:val="7DE65ECC"/>
    <w:rsid w:val="7DE7D314"/>
    <w:rsid w:val="7DFE69BB"/>
    <w:rsid w:val="7E006CA7"/>
    <w:rsid w:val="7E075E76"/>
    <w:rsid w:val="7E1101CD"/>
    <w:rsid w:val="7E160C9B"/>
    <w:rsid w:val="7E162BC0"/>
    <w:rsid w:val="7E185B7D"/>
    <w:rsid w:val="7E2A4F54"/>
    <w:rsid w:val="7E343F3E"/>
    <w:rsid w:val="7E372838"/>
    <w:rsid w:val="7E3872DB"/>
    <w:rsid w:val="7E3D5845"/>
    <w:rsid w:val="7E5444A5"/>
    <w:rsid w:val="7E764AC0"/>
    <w:rsid w:val="7E7E68EF"/>
    <w:rsid w:val="7E9D2321"/>
    <w:rsid w:val="7EA96084"/>
    <w:rsid w:val="7EAA5E83"/>
    <w:rsid w:val="7EB8685C"/>
    <w:rsid w:val="7EC06BBD"/>
    <w:rsid w:val="7EC205E8"/>
    <w:rsid w:val="7EC92219"/>
    <w:rsid w:val="7ED2236F"/>
    <w:rsid w:val="7EDF2416"/>
    <w:rsid w:val="7EE950BB"/>
    <w:rsid w:val="7EEC685D"/>
    <w:rsid w:val="7EFC1AC1"/>
    <w:rsid w:val="7F01066A"/>
    <w:rsid w:val="7F07728E"/>
    <w:rsid w:val="7F0F6A65"/>
    <w:rsid w:val="7F19009F"/>
    <w:rsid w:val="7F211383"/>
    <w:rsid w:val="7F235171"/>
    <w:rsid w:val="7F3209F0"/>
    <w:rsid w:val="7F391FA2"/>
    <w:rsid w:val="7F3B72E2"/>
    <w:rsid w:val="7F3E7AB5"/>
    <w:rsid w:val="7F45661A"/>
    <w:rsid w:val="7F654BA0"/>
    <w:rsid w:val="7F6FBD9A"/>
    <w:rsid w:val="7F7B46F2"/>
    <w:rsid w:val="7F8620F2"/>
    <w:rsid w:val="7F866B5A"/>
    <w:rsid w:val="7F875CC7"/>
    <w:rsid w:val="7F96296E"/>
    <w:rsid w:val="7F994556"/>
    <w:rsid w:val="7FA307A2"/>
    <w:rsid w:val="7FA44D2A"/>
    <w:rsid w:val="7FA66759"/>
    <w:rsid w:val="7FAB482B"/>
    <w:rsid w:val="7FB301D0"/>
    <w:rsid w:val="7FB31571"/>
    <w:rsid w:val="7FB82BE1"/>
    <w:rsid w:val="7FB8394A"/>
    <w:rsid w:val="7FB85E58"/>
    <w:rsid w:val="7FB86CC1"/>
    <w:rsid w:val="7FBC3B36"/>
    <w:rsid w:val="7FC25711"/>
    <w:rsid w:val="7FCC00F3"/>
    <w:rsid w:val="7FDA5986"/>
    <w:rsid w:val="7FDD2C25"/>
    <w:rsid w:val="7FE75533"/>
    <w:rsid w:val="7FED00D6"/>
    <w:rsid w:val="7FF43274"/>
    <w:rsid w:val="7FFC13CA"/>
    <w:rsid w:val="7FFD6381"/>
    <w:rsid w:val="91B98EF7"/>
    <w:rsid w:val="9F3B9855"/>
    <w:rsid w:val="AAED00A7"/>
    <w:rsid w:val="AF996F99"/>
    <w:rsid w:val="B6CDAC68"/>
    <w:rsid w:val="B9F79BC7"/>
    <w:rsid w:val="BDFF31E0"/>
    <w:rsid w:val="BEF7EB18"/>
    <w:rsid w:val="D6FFAF14"/>
    <w:rsid w:val="DDAD1FC4"/>
    <w:rsid w:val="E2FE966E"/>
    <w:rsid w:val="E8F72E84"/>
    <w:rsid w:val="E9F81439"/>
    <w:rsid w:val="EABFB1AA"/>
    <w:rsid w:val="EB6702EE"/>
    <w:rsid w:val="EBFC5765"/>
    <w:rsid w:val="EEFAFC77"/>
    <w:rsid w:val="EF5F3107"/>
    <w:rsid w:val="F57561E5"/>
    <w:rsid w:val="F7EF8060"/>
    <w:rsid w:val="F8BEFC97"/>
    <w:rsid w:val="FEE7D718"/>
    <w:rsid w:val="FEFDB2DD"/>
    <w:rsid w:val="FFF3EF6B"/>
    <w:rsid w:val="FFF901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3">
    <w:name w:val="heading 2"/>
    <w:basedOn w:val="1"/>
    <w:next w:val="1"/>
    <w:link w:val="73"/>
    <w:qFormat/>
    <w:uiPriority w:val="0"/>
    <w:pPr>
      <w:keepNext/>
      <w:keepLines/>
      <w:adjustRightInd w:val="0"/>
      <w:snapToGrid w:val="0"/>
      <w:spacing w:line="360" w:lineRule="auto"/>
      <w:outlineLvl w:val="1"/>
    </w:pPr>
    <w:rPr>
      <w:rFonts w:ascii="宋体" w:hAnsi="宋体"/>
    </w:rPr>
  </w:style>
  <w:style w:type="paragraph" w:styleId="4">
    <w:name w:val="heading 3"/>
    <w:basedOn w:val="1"/>
    <w:next w:val="1"/>
    <w:qFormat/>
    <w:uiPriority w:val="0"/>
    <w:pPr>
      <w:keepNext/>
      <w:keepLines/>
      <w:spacing w:before="260" w:beforeLines="0" w:beforeAutospacing="0" w:after="260" w:afterLines="0" w:afterAutospacing="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beforeLines="0" w:after="290" w:afterLines="0" w:line="377"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2"/>
      </w:numPr>
      <w:spacing w:line="360" w:lineRule="auto"/>
    </w:pPr>
    <w:rPr>
      <w:sz w:val="24"/>
    </w:rPr>
  </w:style>
  <w:style w:type="paragraph" w:styleId="14">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Lines="0" w:beforeAutospacing="0"/>
    </w:pPr>
    <w:rPr>
      <w:rFonts w:ascii="Arial" w:hAnsi="Arial"/>
      <w:sz w:val="24"/>
    </w:rPr>
  </w:style>
  <w:style w:type="paragraph" w:styleId="19">
    <w:name w:val="annotation text"/>
    <w:basedOn w:val="1"/>
    <w:link w:val="74"/>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0">
    <w:name w:val="Body Text 3"/>
    <w:basedOn w:val="1"/>
    <w:qFormat/>
    <w:uiPriority w:val="0"/>
    <w:pPr>
      <w:adjustRightInd w:val="0"/>
      <w:snapToGrid w:val="0"/>
      <w:spacing w:after="120" w:afterLines="0" w:afterAutospacing="0" w:line="360" w:lineRule="auto"/>
    </w:pPr>
    <w:rPr>
      <w:sz w:val="16"/>
    </w:rPr>
  </w:style>
  <w:style w:type="paragraph" w:styleId="21">
    <w:name w:val="List Bullet 3"/>
    <w:basedOn w:val="1"/>
    <w:qFormat/>
    <w:uiPriority w:val="0"/>
    <w:pPr>
      <w:numPr>
        <w:ilvl w:val="0"/>
        <w:numId w:val="4"/>
      </w:numPr>
      <w:adjustRightInd w:val="0"/>
      <w:snapToGrid w:val="0"/>
      <w:spacing w:line="360" w:lineRule="auto"/>
    </w:pPr>
    <w:rPr>
      <w:sz w:val="24"/>
    </w:rPr>
  </w:style>
  <w:style w:type="paragraph" w:styleId="22">
    <w:name w:val="Body Text"/>
    <w:basedOn w:val="1"/>
    <w:qFormat/>
    <w:uiPriority w:val="0"/>
    <w:rPr>
      <w:rFonts w:ascii="仿宋_GB2312" w:eastAsia="仿宋_GB2312"/>
      <w:kern w:val="2"/>
      <w:sz w:val="32"/>
    </w:rPr>
  </w:style>
  <w:style w:type="paragraph" w:styleId="23">
    <w:name w:val="Body Text Indent"/>
    <w:basedOn w:val="1"/>
    <w:next w:val="1"/>
    <w:link w:val="75"/>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5"/>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0"/>
    <w:pPr>
      <w:ind w:left="840" w:leftChars="400"/>
    </w:pPr>
  </w:style>
  <w:style w:type="paragraph" w:styleId="30">
    <w:name w:val="Plain Text"/>
    <w:basedOn w:val="1"/>
    <w:qFormat/>
    <w:uiPriority w:val="0"/>
    <w:pPr>
      <w:adjustRightInd w:val="0"/>
      <w:snapToGrid w:val="0"/>
      <w:spacing w:line="360" w:lineRule="auto"/>
    </w:pPr>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6"/>
    <w:qFormat/>
    <w:uiPriority w:val="0"/>
  </w:style>
  <w:style w:type="paragraph" w:styleId="33">
    <w:name w:val="Body Text Indent 2"/>
    <w:basedOn w:val="1"/>
    <w:qFormat/>
    <w:uiPriority w:val="0"/>
    <w:pPr>
      <w:snapToGrid w:val="0"/>
      <w:spacing w:line="440" w:lineRule="atLeast"/>
      <w:ind w:firstLine="570"/>
    </w:pPr>
    <w:rPr>
      <w:rFonts w:ascii="宋体"/>
    </w:rPr>
  </w:style>
  <w:style w:type="paragraph" w:styleId="34">
    <w:name w:val="Balloon Text"/>
    <w:basedOn w:val="1"/>
    <w:qFormat/>
    <w:uiPriority w:val="0"/>
    <w:rPr>
      <w:sz w:val="18"/>
    </w:rPr>
  </w:style>
  <w:style w:type="paragraph" w:styleId="35">
    <w:name w:val="footer"/>
    <w:basedOn w:val="1"/>
    <w:next w:val="1"/>
    <w:qFormat/>
    <w:uiPriority w:val="0"/>
    <w:pPr>
      <w:tabs>
        <w:tab w:val="center" w:pos="4153"/>
        <w:tab w:val="right" w:pos="8306"/>
      </w:tabs>
      <w:snapToGrid w:val="0"/>
      <w:jc w:val="left"/>
    </w:pPr>
    <w:rPr>
      <w:rFonts w:eastAsia="宋体"/>
      <w:kern w:val="2"/>
      <w:sz w:val="18"/>
      <w:lang w:val="en-US" w:eastAsia="zh-CN"/>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37">
    <w:name w:val="toc 1"/>
    <w:basedOn w:val="1"/>
    <w:next w:val="1"/>
    <w:qFormat/>
    <w:uiPriority w:val="39"/>
    <w:pPr>
      <w:tabs>
        <w:tab w:val="left" w:pos="1260"/>
        <w:tab w:val="left" w:pos="1685"/>
        <w:tab w:val="right" w:leader="dot" w:pos="8400"/>
      </w:tabs>
      <w:spacing w:line="360" w:lineRule="auto"/>
      <w:ind w:firstLine="0" w:firstLineChars="0"/>
    </w:pPr>
    <w:rPr>
      <w:rFonts w:ascii="Times New Roman" w:hAnsi="Times New Roman" w:eastAsia="宋体"/>
      <w:b/>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tabs>
        <w:tab w:val="right" w:leader="dot" w:pos="8400"/>
      </w:tabs>
      <w:spacing w:line="360" w:lineRule="auto"/>
      <w:ind w:left="0" w:leftChars="0" w:rightChars="0" w:firstLine="1040" w:firstLineChars="200"/>
    </w:pPr>
    <w:rPr>
      <w:rFonts w:ascii="Times New Roman" w:hAnsi="Times New Roman" w:eastAsia="宋体"/>
      <w:sz w:val="24"/>
    </w:r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Arial Unicode MS" w:hAnsi="Arial Unicode MS" w:eastAsia="Arial Unicode MS"/>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eastAsia="宋体"/>
      <w:b/>
      <w:smallCaps/>
      <w:kern w:val="28"/>
      <w:sz w:val="36"/>
      <w:lang w:val="en-US" w:eastAsia="en-US"/>
    </w:rPr>
  </w:style>
  <w:style w:type="paragraph" w:styleId="54">
    <w:name w:val="annotation subject"/>
    <w:basedOn w:val="19"/>
    <w:next w:val="19"/>
    <w:qFormat/>
    <w:uiPriority w:val="0"/>
    <w:pPr>
      <w:widowControl w:val="0"/>
      <w:tabs>
        <w:tab w:val="clear" w:pos="1134"/>
      </w:tabs>
      <w:adjustRightInd/>
      <w:snapToGrid/>
      <w:spacing w:line="240" w:lineRule="auto"/>
    </w:pPr>
    <w:rPr>
      <w:rFonts w:eastAsia="宋体"/>
      <w:b/>
      <w:kern w:val="2"/>
      <w:sz w:val="21"/>
      <w:lang w:val="en-US" w:eastAsia="zh-CN"/>
    </w:rPr>
  </w:style>
  <w:style w:type="paragraph" w:styleId="55">
    <w:name w:val="Body Text First Indent"/>
    <w:basedOn w:val="22"/>
    <w:qFormat/>
    <w:uiPriority w:val="0"/>
    <w:pPr>
      <w:spacing w:line="360" w:lineRule="auto"/>
      <w:ind w:firstLine="420"/>
    </w:pPr>
    <w:rPr>
      <w:rFonts w:ascii="宋体" w:hAnsi="宋体"/>
      <w:sz w:val="24"/>
    </w:rPr>
  </w:style>
  <w:style w:type="paragraph" w:styleId="56">
    <w:name w:val="Body Text First Indent 2"/>
    <w:basedOn w:val="23"/>
    <w:next w:val="55"/>
    <w:qFormat/>
    <w:uiPriority w:val="0"/>
    <w:pPr>
      <w:spacing w:after="120" w:afterLines="0" w:afterAutospacing="0" w:line="240" w:lineRule="auto"/>
      <w:ind w:left="420" w:leftChars="200" w:firstLine="420" w:firstLineChars="200"/>
    </w:pPr>
    <w:rPr>
      <w:sz w:val="21"/>
    </w:rPr>
  </w:style>
  <w:style w:type="table" w:styleId="58">
    <w:name w:val="Table Grid"/>
    <w:basedOn w:val="5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basedOn w:val="59"/>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rPr>
  </w:style>
  <w:style w:type="character" w:styleId="66">
    <w:name w:val="footnote reference"/>
    <w:qFormat/>
    <w:uiPriority w:val="0"/>
    <w:rPr>
      <w:position w:val="6"/>
      <w:sz w:val="14"/>
      <w:vertAlign w:val="superscript"/>
    </w:rPr>
  </w:style>
  <w:style w:type="paragraph" w:customStyle="1" w:styleId="67">
    <w:name w:val="Default"/>
    <w:basedOn w:val="68"/>
    <w:next w:val="1"/>
    <w:qFormat/>
    <w:uiPriority w:val="0"/>
    <w:pPr>
      <w:widowControl w:val="0"/>
      <w:autoSpaceDE w:val="0"/>
      <w:autoSpaceDN w:val="0"/>
      <w:adjustRightInd w:val="0"/>
    </w:pPr>
    <w:rPr>
      <w:color w:val="000000"/>
      <w:sz w:val="24"/>
      <w:szCs w:val="24"/>
    </w:rPr>
  </w:style>
  <w:style w:type="paragraph" w:customStyle="1" w:styleId="68">
    <w:name w:val="正文1"/>
    <w:basedOn w:val="1"/>
    <w:next w:val="69"/>
    <w:qFormat/>
    <w:uiPriority w:val="0"/>
    <w:pPr>
      <w:spacing w:line="300" w:lineRule="auto"/>
      <w:ind w:firstLine="200" w:firstLineChars="200"/>
    </w:pPr>
    <w:rPr>
      <w:sz w:val="24"/>
    </w:rPr>
  </w:style>
  <w:style w:type="paragraph" w:customStyle="1" w:styleId="69">
    <w:name w:val="正文文本1"/>
    <w:basedOn w:val="70"/>
    <w:next w:val="68"/>
    <w:qFormat/>
    <w:uiPriority w:val="0"/>
    <w:pPr>
      <w:tabs>
        <w:tab w:val="left" w:pos="0"/>
      </w:tabs>
    </w:pPr>
    <w:rPr>
      <w:rFonts w:eastAsia="宋体"/>
      <w:sz w:val="18"/>
    </w:rPr>
  </w:style>
  <w:style w:type="paragraph" w:customStyle="1" w:styleId="70">
    <w:name w:val="表格内1"/>
    <w:next w:val="69"/>
    <w:qFormat/>
    <w:uiPriority w:val="0"/>
    <w:pPr>
      <w:widowControl w:val="0"/>
      <w:numPr>
        <w:ilvl w:val="0"/>
        <w:numId w:val="6"/>
      </w:numPr>
      <w:jc w:val="both"/>
    </w:pPr>
    <w:rPr>
      <w:rFonts w:ascii="Calibri" w:hAnsi="Calibri" w:eastAsia="宋体" w:cs="黑体"/>
      <w:b/>
      <w:kern w:val="2"/>
      <w:sz w:val="21"/>
      <w:szCs w:val="22"/>
      <w:lang w:val="en-US" w:eastAsia="zh-CN" w:bidi="ar-SA"/>
    </w:rPr>
  </w:style>
  <w:style w:type="paragraph" w:customStyle="1" w:styleId="71">
    <w:name w:val="标题 5（有编号）（绿盟科技）"/>
    <w:basedOn w:val="68"/>
    <w:next w:val="72"/>
    <w:qFormat/>
    <w:uiPriority w:val="0"/>
    <w:pPr>
      <w:keepNext/>
      <w:keepLines/>
      <w:numPr>
        <w:ilvl w:val="4"/>
        <w:numId w:val="7"/>
      </w:numPr>
      <w:tabs>
        <w:tab w:val="left" w:pos="0"/>
      </w:tabs>
      <w:spacing w:before="280" w:after="156" w:line="377" w:lineRule="auto"/>
      <w:ind w:firstLine="0" w:firstLineChars="0"/>
      <w:jc w:val="left"/>
      <w:outlineLvl w:val="4"/>
    </w:pPr>
    <w:rPr>
      <w:rFonts w:ascii="Arial" w:hAnsi="Arial" w:eastAsia="黑体"/>
      <w:b/>
      <w:szCs w:val="28"/>
    </w:rPr>
  </w:style>
  <w:style w:type="paragraph" w:customStyle="1" w:styleId="72">
    <w:name w:val="正文（绿盟科技）"/>
    <w:next w:val="1"/>
    <w:qFormat/>
    <w:uiPriority w:val="0"/>
    <w:pPr>
      <w:spacing w:line="300" w:lineRule="auto"/>
    </w:pPr>
    <w:rPr>
      <w:rFonts w:ascii="Arial" w:hAnsi="Arial" w:eastAsia="宋体" w:cs="黑体"/>
      <w:sz w:val="21"/>
      <w:szCs w:val="21"/>
      <w:lang w:val="en-US" w:eastAsia="zh-CN" w:bidi="ar-SA"/>
    </w:rPr>
  </w:style>
  <w:style w:type="character" w:customStyle="1" w:styleId="73">
    <w:name w:val="标题 2 Char"/>
    <w:link w:val="3"/>
    <w:qFormat/>
    <w:uiPriority w:val="0"/>
    <w:rPr>
      <w:rFonts w:ascii="宋体" w:hAnsi="宋体"/>
      <w:kern w:val="2"/>
      <w:sz w:val="28"/>
    </w:rPr>
  </w:style>
  <w:style w:type="character" w:customStyle="1" w:styleId="74">
    <w:name w:val="批注文字 Char1"/>
    <w:link w:val="19"/>
    <w:qFormat/>
    <w:uiPriority w:val="0"/>
    <w:rPr>
      <w:rFonts w:eastAsia="PMingLiU"/>
      <w:sz w:val="24"/>
      <w:lang w:eastAsia="zh-TW"/>
    </w:rPr>
  </w:style>
  <w:style w:type="character" w:customStyle="1" w:styleId="75">
    <w:name w:val="正文文本缩进 Char"/>
    <w:link w:val="23"/>
    <w:qFormat/>
    <w:uiPriority w:val="0"/>
    <w:rPr>
      <w:kern w:val="2"/>
      <w:sz w:val="44"/>
    </w:rPr>
  </w:style>
  <w:style w:type="character" w:customStyle="1" w:styleId="76">
    <w:name w:val="日期 Char"/>
    <w:link w:val="32"/>
    <w:qFormat/>
    <w:uiPriority w:val="0"/>
    <w:rPr>
      <w:kern w:val="2"/>
      <w:sz w:val="28"/>
    </w:rPr>
  </w:style>
  <w:style w:type="character" w:customStyle="1" w:styleId="77">
    <w:name w:val="小 Char"/>
    <w:qFormat/>
    <w:uiPriority w:val="0"/>
    <w:rPr>
      <w:rFonts w:ascii="宋体" w:hAnsi="Courier New" w:eastAsia="宋体"/>
      <w:kern w:val="2"/>
      <w:sz w:val="21"/>
      <w:lang w:val="en-US" w:eastAsia="zh-CN" w:bidi="ar-SA"/>
    </w:rPr>
  </w:style>
  <w:style w:type="character" w:customStyle="1" w:styleId="78">
    <w:name w:val="crowed11"/>
    <w:qFormat/>
    <w:uiPriority w:val="0"/>
    <w:rPr>
      <w:rFonts w:hint="default" w:ascii="_x000B__x000C_" w:hAnsi="_x000B__x000C_"/>
      <w:sz w:val="24"/>
    </w:rPr>
  </w:style>
  <w:style w:type="character" w:customStyle="1" w:styleId="79">
    <w:name w:val="Table Text Char Char Char Char"/>
    <w:qFormat/>
    <w:uiPriority w:val="0"/>
    <w:rPr>
      <w:rFonts w:ascii="Arial" w:hAnsi="Arial"/>
      <w:kern w:val="2"/>
      <w:sz w:val="18"/>
      <w:lang w:val="en-US" w:eastAsia="zh-CN" w:bidi="ar-SA"/>
    </w:rPr>
  </w:style>
  <w:style w:type="character" w:customStyle="1" w:styleId="80">
    <w:name w:val=" Char Char"/>
    <w:qFormat/>
    <w:uiPriority w:val="0"/>
    <w:rPr>
      <w:rFonts w:ascii="宋体" w:hAnsi="宋体" w:eastAsia="宋体"/>
      <w:kern w:val="2"/>
      <w:sz w:val="24"/>
      <w:lang w:val="en-US" w:eastAsia="zh-CN" w:bidi="ar-SA"/>
    </w:rPr>
  </w:style>
  <w:style w:type="character" w:customStyle="1" w:styleId="81">
    <w:name w:val="v151"/>
    <w:qFormat/>
    <w:uiPriority w:val="0"/>
    <w:rPr>
      <w:sz w:val="18"/>
    </w:rPr>
  </w:style>
  <w:style w:type="character" w:customStyle="1" w:styleId="82">
    <w:name w:val=" Char Char4"/>
    <w:qFormat/>
    <w:uiPriority w:val="0"/>
    <w:rPr>
      <w:rFonts w:eastAsia="宋体"/>
      <w:b/>
      <w:kern w:val="2"/>
      <w:sz w:val="21"/>
      <w:lang w:val="en-US" w:eastAsia="zh-CN"/>
    </w:rPr>
  </w:style>
  <w:style w:type="character" w:customStyle="1" w:styleId="83">
    <w:name w:val="font1"/>
    <w:qFormat/>
    <w:uiPriority w:val="0"/>
    <w:rPr>
      <w:color w:val="000000"/>
      <w:sz w:val="18"/>
    </w:rPr>
  </w:style>
  <w:style w:type="character" w:customStyle="1" w:styleId="84">
    <w:name w:val="Table Heading Char Char"/>
    <w:qFormat/>
    <w:uiPriority w:val="0"/>
    <w:rPr>
      <w:rFonts w:ascii="Arial" w:hAnsi="Arial" w:eastAsia="黑体"/>
      <w:kern w:val="2"/>
      <w:sz w:val="18"/>
      <w:lang w:val="en-US" w:eastAsia="zh-CN"/>
    </w:rPr>
  </w:style>
  <w:style w:type="character" w:customStyle="1" w:styleId="85">
    <w:name w:val=" Char Char6"/>
    <w:qFormat/>
    <w:uiPriority w:val="0"/>
    <w:rPr>
      <w:rFonts w:ascii="仿宋_GB2312" w:eastAsia="仿宋_GB2312"/>
      <w:kern w:val="2"/>
      <w:sz w:val="32"/>
    </w:rPr>
  </w:style>
  <w:style w:type="character" w:customStyle="1" w:styleId="86">
    <w:name w:val=" Char Char3"/>
    <w:qFormat/>
    <w:uiPriority w:val="0"/>
    <w:rPr>
      <w:rFonts w:eastAsia="宋体"/>
      <w:kern w:val="2"/>
      <w:sz w:val="18"/>
      <w:lang w:val="en-US" w:eastAsia="zh-CN"/>
    </w:rPr>
  </w:style>
  <w:style w:type="character" w:customStyle="1" w:styleId="87">
    <w:name w:val="样式 宋体"/>
    <w:qFormat/>
    <w:uiPriority w:val="0"/>
    <w:rPr>
      <w:rFonts w:ascii="宋体" w:hAnsi="宋体" w:eastAsia="宋体"/>
      <w:sz w:val="28"/>
    </w:rPr>
  </w:style>
  <w:style w:type="character" w:customStyle="1" w:styleId="88">
    <w:name w:val=" Char Char5"/>
    <w:qFormat/>
    <w:uiPriority w:val="0"/>
    <w:rPr>
      <w:rFonts w:ascii="Arial" w:hAnsi="Arial" w:eastAsia="宋体"/>
      <w:b/>
      <w:smallCaps/>
      <w:kern w:val="28"/>
      <w:sz w:val="36"/>
      <w:lang w:val="en-US" w:eastAsia="en-US"/>
    </w:rPr>
  </w:style>
  <w:style w:type="character" w:customStyle="1" w:styleId="89">
    <w:name w:val="标书正文:  0.74 厘米 Char1"/>
    <w:qFormat/>
    <w:uiPriority w:val="0"/>
    <w:rPr>
      <w:rFonts w:eastAsia="宋体"/>
      <w:kern w:val="2"/>
      <w:sz w:val="24"/>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2"/>
    <w:qFormat/>
    <w:uiPriority w:val="0"/>
    <w:rPr>
      <w:rFonts w:eastAsia="宋体"/>
      <w:kern w:val="2"/>
      <w:sz w:val="18"/>
      <w:lang w:val="en-US" w:eastAsia="zh-CN"/>
    </w:rPr>
  </w:style>
  <w:style w:type="character" w:customStyle="1" w:styleId="92">
    <w:name w:val="正文 + 三号 Char"/>
    <w:qFormat/>
    <w:uiPriority w:val="0"/>
    <w:rPr>
      <w:rFonts w:eastAsia="宋体"/>
      <w:kern w:val="2"/>
      <w:sz w:val="21"/>
      <w:lang w:val="en-US" w:eastAsia="zh-CN"/>
    </w:rPr>
  </w:style>
  <w:style w:type="character" w:customStyle="1" w:styleId="93">
    <w:name w:val=" Char Char7"/>
    <w:qFormat/>
    <w:uiPriority w:val="0"/>
    <w:rPr>
      <w:rFonts w:ascii="宋体" w:hAnsi="宋体" w:eastAsia="宋体"/>
      <w:kern w:val="2"/>
      <w:sz w:val="28"/>
    </w:rPr>
  </w:style>
  <w:style w:type="character" w:customStyle="1" w:styleId="94">
    <w:name w:val="未命名11"/>
    <w:qFormat/>
    <w:uiPriority w:val="0"/>
    <w:rPr>
      <w:color w:val="77FFFF"/>
      <w:sz w:val="24"/>
    </w:rPr>
  </w:style>
  <w:style w:type="character" w:customStyle="1" w:styleId="95">
    <w:name w:val="文字 Char"/>
    <w:link w:val="96"/>
    <w:qFormat/>
    <w:uiPriority w:val="0"/>
    <w:rPr>
      <w:rFonts w:ascii="宋体" w:eastAsia="宋体"/>
      <w:kern w:val="2"/>
      <w:sz w:val="28"/>
      <w:lang w:val="en-US" w:eastAsia="zh-CN" w:bidi="ar-SA"/>
    </w:rPr>
  </w:style>
  <w:style w:type="paragraph" w:customStyle="1" w:styleId="96">
    <w:name w:val="文字"/>
    <w:basedOn w:val="1"/>
    <w:link w:val="95"/>
    <w:qFormat/>
    <w:uiPriority w:val="0"/>
    <w:pPr>
      <w:tabs>
        <w:tab w:val="left" w:pos="8520"/>
      </w:tabs>
      <w:spacing w:line="312" w:lineRule="auto"/>
      <w:ind w:right="-210" w:firstLine="556"/>
    </w:pPr>
    <w:rPr>
      <w:rFonts w:ascii="宋体"/>
    </w:rPr>
  </w:style>
  <w:style w:type="character" w:customStyle="1" w:styleId="97">
    <w:name w:val="content-white1"/>
    <w:qFormat/>
    <w:uiPriority w:val="0"/>
    <w:rPr>
      <w:rFonts w:ascii="_x000B__x000C_" w:hAnsi="_x000B__x000C_"/>
      <w:color w:val="auto"/>
      <w:sz w:val="18"/>
      <w:u w:val="none"/>
    </w:rPr>
  </w:style>
  <w:style w:type="character" w:customStyle="1" w:styleId="98">
    <w:name w:val="Table Text Char"/>
    <w:qFormat/>
    <w:uiPriority w:val="0"/>
    <w:rPr>
      <w:rFonts w:ascii="Arial" w:hAnsi="Arial"/>
      <w:kern w:val="2"/>
      <w:sz w:val="18"/>
      <w:lang w:val="en-US" w:eastAsia="zh-CN" w:bidi="ar-SA"/>
    </w:rPr>
  </w:style>
  <w:style w:type="character" w:customStyle="1" w:styleId="99">
    <w:name w:val="top-det1"/>
    <w:qFormat/>
    <w:uiPriority w:val="0"/>
    <w:rPr>
      <w:b/>
      <w:color w:val="000000"/>
    </w:rPr>
  </w:style>
  <w:style w:type="character" w:customStyle="1" w:styleId="100">
    <w:name w:val="批注文字 Char"/>
    <w:qFormat/>
    <w:uiPriority w:val="0"/>
    <w:rPr>
      <w:rFonts w:eastAsia="PMingLiU"/>
      <w:sz w:val="24"/>
      <w:lang w:eastAsia="zh-TW"/>
    </w:rPr>
  </w:style>
  <w:style w:type="paragraph" w:customStyle="1" w:styleId="101">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02">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03">
    <w:name w:val=" Char1"/>
    <w:basedOn w:val="1"/>
    <w:qFormat/>
    <w:uiPriority w:val="0"/>
    <w:rPr>
      <w:sz w:val="21"/>
    </w:rPr>
  </w:style>
  <w:style w:type="paragraph" w:customStyle="1" w:styleId="104">
    <w:name w:val="标题3——2"/>
    <w:basedOn w:val="4"/>
    <w:next w:val="55"/>
    <w:qFormat/>
    <w:uiPriority w:val="0"/>
    <w:pPr>
      <w:tabs>
        <w:tab w:val="left" w:pos="1280"/>
        <w:tab w:val="right" w:leader="dot" w:pos="8777"/>
      </w:tabs>
      <w:spacing w:before="312" w:beforeLines="100" w:beforeAutospacing="0" w:after="0" w:afterLines="0" w:afterAutospacing="0" w:line="240" w:lineRule="auto"/>
      <w:ind w:left="851" w:hanging="851"/>
      <w:jc w:val="both"/>
      <w:outlineLvl w:val="9"/>
    </w:pPr>
    <w:rPr>
      <w:rFonts w:ascii="黑体" w:hAnsi="宋体" w:eastAsia="黑体"/>
      <w:sz w:val="30"/>
    </w:rPr>
  </w:style>
  <w:style w:type="paragraph" w:customStyle="1" w:styleId="105">
    <w:name w:val="关键词"/>
    <w:basedOn w:val="1"/>
    <w:next w:val="1"/>
    <w:qFormat/>
    <w:uiPriority w:val="0"/>
    <w:pPr>
      <w:spacing w:line="360" w:lineRule="auto"/>
    </w:pPr>
    <w:rPr>
      <w:rFonts w:eastAsia="黑体"/>
      <w:sz w:val="20"/>
    </w:rPr>
  </w:style>
  <w:style w:type="paragraph" w:customStyle="1" w:styleId="106">
    <w:name w:val="标书正文:  0.74 厘米"/>
    <w:basedOn w:val="1"/>
    <w:qFormat/>
    <w:uiPriority w:val="0"/>
    <w:pPr>
      <w:snapToGrid w:val="0"/>
      <w:spacing w:line="360" w:lineRule="auto"/>
      <w:ind w:firstLine="420"/>
    </w:pPr>
    <w:rPr>
      <w:rFonts w:eastAsia="宋体"/>
      <w:kern w:val="2"/>
      <w:sz w:val="24"/>
      <w:lang w:val="en-US" w:eastAsia="zh-CN"/>
    </w:rPr>
  </w:style>
  <w:style w:type="paragraph" w:customStyle="1" w:styleId="107">
    <w:name w:val="bt"/>
    <w:basedOn w:val="1"/>
    <w:next w:val="2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08">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109">
    <w:name w:val="Char1 Char Char Char"/>
    <w:basedOn w:val="1"/>
    <w:qFormat/>
    <w:uiPriority w:val="0"/>
    <w:rPr>
      <w:rFonts w:ascii="Tahoma" w:hAnsi="Tahoma"/>
      <w:sz w:val="21"/>
    </w:rPr>
  </w:style>
  <w:style w:type="paragraph" w:customStyle="1" w:styleId="110">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11">
    <w:name w:val="章标题"/>
    <w:next w:val="1"/>
    <w:qFormat/>
    <w:uiPriority w:val="0"/>
    <w:pPr>
      <w:numPr>
        <w:ilvl w:val="1"/>
        <w:numId w:val="8"/>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2">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13">
    <w:name w:val="样式 标题 6第五层条 + 三号 段前: 0.5 行"/>
    <w:basedOn w:val="7"/>
    <w:qFormat/>
    <w:uiPriority w:val="0"/>
    <w:pPr>
      <w:widowControl/>
      <w:numPr>
        <w:ilvl w:val="5"/>
        <w:numId w:val="0"/>
      </w:numPr>
      <w:adjustRightInd/>
      <w:snapToGrid/>
      <w:spacing w:before="156" w:beforeLines="50" w:beforeAutospacing="0"/>
      <w:ind w:left="1152" w:hanging="1152"/>
      <w:jc w:val="left"/>
    </w:pPr>
    <w:rPr>
      <w:snapToGrid w:val="0"/>
      <w:kern w:val="24"/>
      <w:sz w:val="28"/>
    </w:rPr>
  </w:style>
  <w:style w:type="paragraph" w:customStyle="1" w:styleId="114">
    <w:name w:val="1.正文"/>
    <w:basedOn w:val="1"/>
    <w:qFormat/>
    <w:uiPriority w:val="0"/>
    <w:pPr>
      <w:spacing w:line="360" w:lineRule="auto"/>
      <w:ind w:left="540" w:leftChars="225" w:firstLine="540" w:firstLineChars="225"/>
    </w:pPr>
    <w:rPr>
      <w:sz w:val="24"/>
    </w:rPr>
  </w:style>
  <w:style w:type="paragraph" w:customStyle="1" w:styleId="115">
    <w:name w:val="Body Text Indent 2"/>
    <w:basedOn w:val="1"/>
    <w:qFormat/>
    <w:uiPriority w:val="0"/>
    <w:pPr>
      <w:adjustRightInd w:val="0"/>
      <w:spacing w:before="120" w:beforeLines="0" w:beforeAutospacing="0"/>
      <w:ind w:firstLine="420"/>
      <w:textAlignment w:val="baseline"/>
    </w:pPr>
    <w:rPr>
      <w:sz w:val="24"/>
    </w:rPr>
  </w:style>
  <w:style w:type="paragraph" w:customStyle="1" w:styleId="116">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17">
    <w:name w:val="00"/>
    <w:basedOn w:val="1"/>
    <w:qFormat/>
    <w:uiPriority w:val="0"/>
    <w:pPr>
      <w:autoSpaceDE w:val="0"/>
      <w:autoSpaceDN w:val="0"/>
      <w:adjustRightInd w:val="0"/>
      <w:jc w:val="left"/>
    </w:pPr>
    <w:rPr>
      <w:rFonts w:ascii="黑体" w:eastAsia="黑体"/>
      <w:b/>
      <w:kern w:val="0"/>
      <w:sz w:val="20"/>
    </w:rPr>
  </w:style>
  <w:style w:type="paragraph" w:customStyle="1" w:styleId="118">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19">
    <w:name w:val="文本1"/>
    <w:basedOn w:val="1"/>
    <w:qFormat/>
    <w:uiPriority w:val="0"/>
    <w:pPr>
      <w:adjustRightInd w:val="0"/>
      <w:spacing w:line="312" w:lineRule="atLeast"/>
      <w:jc w:val="center"/>
      <w:textAlignment w:val="baseline"/>
    </w:pPr>
    <w:rPr>
      <w:kern w:val="0"/>
      <w:sz w:val="18"/>
    </w:rPr>
  </w:style>
  <w:style w:type="paragraph" w:customStyle="1" w:styleId="120">
    <w:name w:val=" Char Char1 Char"/>
    <w:basedOn w:val="1"/>
    <w:qFormat/>
    <w:uiPriority w:val="0"/>
    <w:rPr>
      <w:rFonts w:ascii="Tahoma" w:hAnsi="Tahoma"/>
      <w:sz w:val="24"/>
      <w:szCs w:val="24"/>
    </w:rPr>
  </w:style>
  <w:style w:type="paragraph" w:customStyle="1" w:styleId="121">
    <w:name w:val="标题无"/>
    <w:basedOn w:val="1"/>
    <w:qFormat/>
    <w:uiPriority w:val="0"/>
    <w:pPr>
      <w:spacing w:line="360" w:lineRule="auto"/>
    </w:pPr>
    <w:rPr>
      <w:sz w:val="24"/>
    </w:rPr>
  </w:style>
  <w:style w:type="paragraph" w:customStyle="1" w:styleId="122">
    <w:name w:val="标准正文"/>
    <w:basedOn w:val="23"/>
    <w:qFormat/>
    <w:uiPriority w:val="0"/>
    <w:pPr>
      <w:spacing w:before="60" w:beforeLines="0" w:beforeAutospacing="0" w:after="60" w:afterLines="0" w:afterAutospacing="0" w:line="360" w:lineRule="auto"/>
      <w:ind w:left="0" w:firstLine="482"/>
    </w:pPr>
    <w:rPr>
      <w:rFonts w:ascii="Arial" w:hAnsi="Arial"/>
      <w:sz w:val="24"/>
    </w:rPr>
  </w:style>
  <w:style w:type="paragraph" w:customStyle="1" w:styleId="123">
    <w:name w:val=" Char Char Char Char Char"/>
    <w:basedOn w:val="1"/>
    <w:qFormat/>
    <w:uiPriority w:val="0"/>
    <w:pPr>
      <w:numPr>
        <w:ilvl w:val="0"/>
        <w:numId w:val="9"/>
      </w:numPr>
    </w:pPr>
    <w:rPr>
      <w:rFonts w:ascii="Tahoma" w:hAnsi="Tahoma"/>
      <w:sz w:val="24"/>
    </w:rPr>
  </w:style>
  <w:style w:type="paragraph" w:customStyle="1" w:styleId="1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5">
    <w:name w:val="可研正文"/>
    <w:basedOn w:val="22"/>
    <w:qFormat/>
    <w:uiPriority w:val="0"/>
    <w:pPr>
      <w:adjustRightInd w:val="0"/>
      <w:snapToGrid w:val="0"/>
      <w:spacing w:line="440" w:lineRule="exact"/>
      <w:ind w:firstLine="567"/>
    </w:pPr>
    <w:rPr>
      <w:sz w:val="28"/>
    </w:rPr>
  </w:style>
  <w:style w:type="paragraph" w:customStyle="1" w:styleId="126">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27">
    <w:name w:val="图片文字"/>
    <w:basedOn w:val="1"/>
    <w:qFormat/>
    <w:uiPriority w:val="0"/>
    <w:pPr>
      <w:spacing w:line="240" w:lineRule="atLeast"/>
      <w:jc w:val="center"/>
    </w:pPr>
    <w:rPr>
      <w:sz w:val="21"/>
    </w:rPr>
  </w:style>
  <w:style w:type="paragraph" w:customStyle="1" w:styleId="128">
    <w:name w:val=" Char"/>
    <w:basedOn w:val="1"/>
    <w:qFormat/>
    <w:uiPriority w:val="0"/>
    <w:pPr>
      <w:spacing w:line="240" w:lineRule="atLeast"/>
      <w:ind w:left="420" w:firstLine="420"/>
    </w:pPr>
    <w:rPr>
      <w:kern w:val="0"/>
      <w:sz w:val="21"/>
    </w:rPr>
  </w:style>
  <w:style w:type="paragraph" w:customStyle="1" w:styleId="129">
    <w:name w:val="表头样式"/>
    <w:basedOn w:val="1"/>
    <w:qFormat/>
    <w:uiPriority w:val="0"/>
    <w:pPr>
      <w:autoSpaceDE w:val="0"/>
      <w:autoSpaceDN w:val="0"/>
      <w:adjustRightInd w:val="0"/>
      <w:spacing w:line="360" w:lineRule="auto"/>
      <w:jc w:val="left"/>
    </w:pPr>
    <w:rPr>
      <w:b/>
      <w:kern w:val="0"/>
      <w:sz w:val="21"/>
    </w:rPr>
  </w:style>
  <w:style w:type="paragraph" w:customStyle="1" w:styleId="130">
    <w:name w:val="样式2"/>
    <w:basedOn w:val="5"/>
    <w:qFormat/>
    <w:uiPriority w:val="0"/>
    <w:pPr>
      <w:numPr>
        <w:ilvl w:val="0"/>
        <w:numId w:val="10"/>
      </w:numPr>
      <w:spacing w:line="400" w:lineRule="exact"/>
      <w:jc w:val="center"/>
      <w:outlineLvl w:val="0"/>
    </w:pPr>
    <w:rPr>
      <w:b w:val="0"/>
      <w:sz w:val="44"/>
    </w:rPr>
  </w:style>
  <w:style w:type="paragraph" w:customStyle="1" w:styleId="131">
    <w:name w:val="样式 首行缩进:  0.74 厘米"/>
    <w:basedOn w:val="1"/>
    <w:qFormat/>
    <w:uiPriority w:val="0"/>
    <w:pPr>
      <w:spacing w:line="360" w:lineRule="auto"/>
      <w:ind w:firstLine="420"/>
    </w:pPr>
    <w:rPr>
      <w:sz w:val="24"/>
    </w:rPr>
  </w:style>
  <w:style w:type="paragraph" w:customStyle="1" w:styleId="13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3">
    <w:name w:val="正文（首行不缩进）"/>
    <w:basedOn w:val="1"/>
    <w:qFormat/>
    <w:uiPriority w:val="0"/>
    <w:pPr>
      <w:autoSpaceDE w:val="0"/>
      <w:autoSpaceDN w:val="0"/>
      <w:adjustRightInd w:val="0"/>
      <w:spacing w:line="360" w:lineRule="auto"/>
      <w:jc w:val="left"/>
    </w:pPr>
    <w:rPr>
      <w:kern w:val="0"/>
      <w:sz w:val="21"/>
    </w:rPr>
  </w:style>
  <w:style w:type="paragraph" w:customStyle="1" w:styleId="134">
    <w:name w:val=" Char Char 字元 字元 字元 Char Char Char Char"/>
    <w:basedOn w:val="1"/>
    <w:qFormat/>
    <w:uiPriority w:val="0"/>
    <w:pPr>
      <w:adjustRightInd w:val="0"/>
      <w:spacing w:line="360" w:lineRule="auto"/>
    </w:pPr>
    <w:rPr>
      <w:kern w:val="0"/>
      <w:sz w:val="24"/>
    </w:rPr>
  </w:style>
  <w:style w:type="paragraph" w:customStyle="1" w:styleId="135">
    <w:name w:val="默认段落字体 Para Char Char Char Char Char Char Char"/>
    <w:basedOn w:val="1"/>
    <w:qFormat/>
    <w:uiPriority w:val="0"/>
    <w:rPr>
      <w:rFonts w:ascii="Tahoma" w:hAnsi="Tahoma"/>
      <w:sz w:val="24"/>
    </w:rPr>
  </w:style>
  <w:style w:type="paragraph" w:customStyle="1" w:styleId="136">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37">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38">
    <w:name w:val="样式 行距: 1.5 倍行距1"/>
    <w:basedOn w:val="1"/>
    <w:qFormat/>
    <w:uiPriority w:val="0"/>
    <w:pPr>
      <w:snapToGrid w:val="0"/>
    </w:pPr>
    <w:rPr>
      <w:sz w:val="21"/>
    </w:rPr>
  </w:style>
  <w:style w:type="paragraph" w:customStyle="1" w:styleId="139">
    <w:name w:val="Table Contents"/>
    <w:basedOn w:val="22"/>
    <w:qFormat/>
    <w:uiPriority w:val="0"/>
    <w:pPr>
      <w:suppressAutoHyphens/>
      <w:jc w:val="left"/>
    </w:pPr>
    <w:rPr>
      <w:rFonts w:ascii="Times New Roman" w:eastAsia="Times New Roman"/>
      <w:kern w:val="0"/>
      <w:sz w:val="24"/>
    </w:rPr>
  </w:style>
  <w:style w:type="paragraph" w:customStyle="1" w:styleId="140">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141">
    <w:name w:val="摘要"/>
    <w:basedOn w:val="1"/>
    <w:next w:val="3"/>
    <w:qFormat/>
    <w:uiPriority w:val="0"/>
    <w:pPr>
      <w:spacing w:line="360" w:lineRule="auto"/>
    </w:pPr>
    <w:rPr>
      <w:rFonts w:eastAsia="黑体"/>
      <w:sz w:val="20"/>
    </w:rPr>
  </w:style>
  <w:style w:type="paragraph" w:customStyle="1" w:styleId="142">
    <w:name w:val="正文表格"/>
    <w:basedOn w:val="1"/>
    <w:qFormat/>
    <w:uiPriority w:val="0"/>
    <w:pPr>
      <w:adjustRightInd w:val="0"/>
      <w:spacing w:before="40" w:beforeLines="0" w:beforeAutospacing="0" w:after="40" w:afterLines="0" w:afterAutospacing="0"/>
    </w:pPr>
    <w:rPr>
      <w:sz w:val="24"/>
    </w:rPr>
  </w:style>
  <w:style w:type="paragraph" w:customStyle="1" w:styleId="14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4">
    <w:name w:val="文章正文"/>
    <w:basedOn w:val="1"/>
    <w:qFormat/>
    <w:uiPriority w:val="0"/>
    <w:pPr>
      <w:ind w:firstLine="560" w:firstLineChars="200"/>
    </w:pPr>
    <w:rPr>
      <w:rFonts w:ascii="仿宋_GB2312" w:hAnsi="宋体" w:eastAsia="仿宋_GB2312"/>
      <w:color w:val="000000"/>
    </w:rPr>
  </w:style>
  <w:style w:type="paragraph" w:customStyle="1" w:styleId="145">
    <w:name w:val="表号"/>
    <w:basedOn w:val="1"/>
    <w:qFormat/>
    <w:uiPriority w:val="0"/>
    <w:pPr>
      <w:numPr>
        <w:ilvl w:val="0"/>
        <w:numId w:val="12"/>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46">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147">
    <w:name w:val="Item Step in Table"/>
    <w:qFormat/>
    <w:uiPriority w:val="0"/>
    <w:pPr>
      <w:numPr>
        <w:ilvl w:val="0"/>
        <w:numId w:val="14"/>
      </w:numPr>
      <w:spacing w:before="40" w:after="40"/>
      <w:jc w:val="both"/>
    </w:pPr>
    <w:rPr>
      <w:rFonts w:ascii="Arial" w:hAnsi="Arial" w:eastAsia="宋体" w:cs="Times New Roman"/>
      <w:sz w:val="18"/>
      <w:lang w:val="en-US" w:eastAsia="zh-CN" w:bidi="ar-SA"/>
    </w:rPr>
  </w:style>
  <w:style w:type="paragraph" w:customStyle="1" w:styleId="148">
    <w:name w:val="Style Heading 3h3Heading 3 - oldLevel 3 HeadH3level_3PIM 3se..."/>
    <w:basedOn w:val="4"/>
    <w:qFormat/>
    <w:uiPriority w:val="0"/>
    <w:pPr>
      <w:numPr>
        <w:ilvl w:val="2"/>
        <w:numId w:val="9"/>
      </w:numPr>
      <w:jc w:val="both"/>
    </w:pPr>
    <w:rPr>
      <w:sz w:val="32"/>
    </w:rPr>
  </w:style>
  <w:style w:type="paragraph" w:customStyle="1" w:styleId="149">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50">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51">
    <w:name w:val="标题2"/>
    <w:basedOn w:val="3"/>
    <w:qFormat/>
    <w:uiPriority w:val="0"/>
    <w:pPr>
      <w:keepNext w:val="0"/>
      <w:keepLines w:val="0"/>
      <w:snapToGrid w:val="0"/>
      <w:spacing w:before="0" w:beforeLines="0" w:beforeAutospacing="0" w:after="0" w:afterLines="0" w:afterAutospacing="0"/>
      <w:ind w:firstLine="574" w:firstLineChars="196"/>
      <w:outlineLvl w:val="9"/>
    </w:pPr>
    <w:rPr>
      <w:b/>
      <w:spacing w:val="6"/>
      <w:u w:val="single"/>
    </w:rPr>
  </w:style>
  <w:style w:type="paragraph" w:customStyle="1" w:styleId="15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53">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4">
    <w:name w:val="Char Char Char Char Char Char Char"/>
    <w:basedOn w:val="17"/>
    <w:qFormat/>
    <w:uiPriority w:val="0"/>
    <w:rPr>
      <w:rFonts w:ascii="宋体" w:hAnsi="Tahoma"/>
    </w:rPr>
  </w:style>
  <w:style w:type="paragraph" w:customStyle="1" w:styleId="155">
    <w:name w:val="操作步骤"/>
    <w:basedOn w:val="1"/>
    <w:qFormat/>
    <w:uiPriority w:val="0"/>
    <w:pPr>
      <w:numPr>
        <w:ilvl w:val="0"/>
        <w:numId w:val="15"/>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56">
    <w:name w:val="Char Char1 Char Char Char Char Char Char Char Char"/>
    <w:basedOn w:val="1"/>
    <w:qFormat/>
    <w:uiPriority w:val="0"/>
    <w:pPr>
      <w:widowControl/>
      <w:spacing w:after="160" w:afterLines="0" w:line="240" w:lineRule="exact"/>
      <w:jc w:val="left"/>
    </w:pPr>
    <w:rPr>
      <w:rFonts w:ascii="Verdana" w:hAnsi="Verdana"/>
      <w:kern w:val="0"/>
      <w:sz w:val="20"/>
      <w:lang w:eastAsia="en-US"/>
    </w:rPr>
  </w:style>
  <w:style w:type="paragraph" w:customStyle="1" w:styleId="157">
    <w:name w:val="样式 标题 1章标题Heading 0Section HeadPIM 1H1h11st levell11H1..."/>
    <w:basedOn w:val="2"/>
    <w:qFormat/>
    <w:uiPriority w:val="0"/>
    <w:pPr>
      <w:keepLines/>
      <w:pageBreakBefore/>
      <w:tabs>
        <w:tab w:val="left" w:pos="432"/>
        <w:tab w:val="clear" w:pos="3360"/>
      </w:tabs>
      <w:autoSpaceDE w:val="0"/>
      <w:autoSpaceDN w:val="0"/>
      <w:adjustRightInd w:val="0"/>
      <w:spacing w:before="340" w:beforeLines="0" w:beforeAutospacing="0" w:after="330" w:afterLines="0" w:afterAutospacing="0" w:line="578" w:lineRule="atLeast"/>
      <w:jc w:val="both"/>
      <w:textAlignment w:val="bottom"/>
    </w:pPr>
    <w:rPr>
      <w:rFonts w:ascii="宋体" w:hAnsi="宋体"/>
      <w:b/>
      <w:kern w:val="44"/>
      <w:sz w:val="36"/>
    </w:rPr>
  </w:style>
  <w:style w:type="paragraph" w:customStyle="1" w:styleId="158">
    <w:name w:val="表格文本"/>
    <w:qFormat/>
    <w:uiPriority w:val="0"/>
    <w:pPr>
      <w:tabs>
        <w:tab w:val="decimal" w:pos="0"/>
      </w:tabs>
    </w:pPr>
    <w:rPr>
      <w:rFonts w:ascii="Arial" w:hAnsi="Arial" w:eastAsia="宋体" w:cs="Times New Roman"/>
      <w:sz w:val="21"/>
      <w:lang w:val="en-US" w:eastAsia="zh-CN" w:bidi="ar-SA"/>
    </w:rPr>
  </w:style>
  <w:style w:type="paragraph" w:customStyle="1" w:styleId="159">
    <w:name w:val=" Char Char Char Char Char Char Char"/>
    <w:basedOn w:val="1"/>
    <w:qFormat/>
    <w:uiPriority w:val="0"/>
    <w:pPr>
      <w:widowControl/>
      <w:spacing w:after="160" w:afterLines="0" w:line="240" w:lineRule="exact"/>
      <w:jc w:val="left"/>
    </w:pPr>
    <w:rPr>
      <w:rFonts w:ascii="Verdana" w:hAnsi="Verdana" w:eastAsia="仿宋_GB2312"/>
      <w:kern w:val="0"/>
      <w:sz w:val="24"/>
      <w:lang w:eastAsia="en-US"/>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 Char Char Char"/>
    <w:basedOn w:val="1"/>
    <w:qFormat/>
    <w:uiPriority w:val="0"/>
    <w:rPr>
      <w:rFonts w:ascii="Tahoma" w:hAnsi="Tahoma"/>
      <w:sz w:val="24"/>
    </w:rPr>
  </w:style>
  <w:style w:type="paragraph" w:customStyle="1" w:styleId="162">
    <w:name w:val=" Char1 Char Char Char"/>
    <w:basedOn w:val="1"/>
    <w:qFormat/>
    <w:uiPriority w:val="0"/>
    <w:rPr>
      <w:rFonts w:ascii="Tahoma" w:hAnsi="Tahoma"/>
      <w:sz w:val="24"/>
    </w:rPr>
  </w:style>
  <w:style w:type="paragraph" w:customStyle="1" w:styleId="163">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4">
    <w:name w:val="二级列表"/>
    <w:basedOn w:val="150"/>
    <w:next w:val="150"/>
    <w:qFormat/>
    <w:uiPriority w:val="0"/>
    <w:pPr>
      <w:tabs>
        <w:tab w:val="left" w:pos="2120"/>
      </w:tabs>
      <w:ind w:firstLine="0" w:firstLineChars="0"/>
    </w:pPr>
    <w:rPr>
      <w:b/>
    </w:rPr>
  </w:style>
  <w:style w:type="paragraph" w:customStyle="1" w:styleId="165">
    <w:name w:val="样式 正文缩进正文（首行缩进两字）表正文正文非缩进特点标题4段1 + 首行缩进:  2 字符"/>
    <w:basedOn w:val="15"/>
    <w:qFormat/>
    <w:uiPriority w:val="0"/>
    <w:pPr>
      <w:ind w:firstLine="480" w:firstLineChars="200"/>
    </w:pPr>
  </w:style>
  <w:style w:type="paragraph" w:customStyle="1" w:styleId="16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69">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70">
    <w:name w:val="Note"/>
    <w:basedOn w:val="1"/>
    <w:qFormat/>
    <w:uiPriority w:val="0"/>
    <w:pPr>
      <w:pBdr>
        <w:top w:val="single" w:color="auto" w:sz="12" w:space="3"/>
        <w:bottom w:val="single" w:color="auto" w:sz="12" w:space="3"/>
      </w:pBdr>
      <w:spacing w:line="360" w:lineRule="auto"/>
    </w:pPr>
    <w:rPr>
      <w:sz w:val="24"/>
    </w:rPr>
  </w:style>
  <w:style w:type="paragraph" w:customStyle="1" w:styleId="171">
    <w:name w:val="IN Feature"/>
    <w:next w:val="172"/>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72">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73">
    <w:name w:val="Char"/>
    <w:basedOn w:val="1"/>
    <w:qFormat/>
    <w:uiPriority w:val="0"/>
    <w:pPr>
      <w:widowControl/>
      <w:spacing w:line="400" w:lineRule="exact"/>
      <w:jc w:val="center"/>
    </w:pPr>
    <w:rPr>
      <w:sz w:val="24"/>
    </w:rPr>
  </w:style>
  <w:style w:type="paragraph" w:customStyle="1" w:styleId="174">
    <w:name w:val="1"/>
    <w:basedOn w:val="1"/>
    <w:qFormat/>
    <w:uiPriority w:val="0"/>
    <w:rPr>
      <w:rFonts w:ascii="Tahoma" w:hAnsi="Tahoma"/>
      <w:sz w:val="24"/>
    </w:rPr>
  </w:style>
  <w:style w:type="paragraph" w:customStyle="1" w:styleId="175">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76">
    <w:name w:val="样式1xz"/>
    <w:basedOn w:val="1"/>
    <w:qFormat/>
    <w:uiPriority w:val="0"/>
    <w:pPr>
      <w:tabs>
        <w:tab w:val="left" w:pos="1050"/>
        <w:tab w:val="right" w:leader="dot" w:pos="8296"/>
      </w:tabs>
    </w:pPr>
    <w:rPr>
      <w:caps/>
      <w:spacing w:val="20"/>
      <w:sz w:val="24"/>
    </w:rPr>
  </w:style>
  <w:style w:type="paragraph" w:customStyle="1" w:styleId="177">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78">
    <w:name w:val="附录3"/>
    <w:basedOn w:val="1"/>
    <w:next w:val="1"/>
    <w:qFormat/>
    <w:uiPriority w:val="0"/>
    <w:pPr>
      <w:numPr>
        <w:ilvl w:val="2"/>
        <w:numId w:val="0"/>
      </w:numPr>
      <w:tabs>
        <w:tab w:val="left" w:pos="851"/>
      </w:tabs>
      <w:ind w:left="425" w:hanging="425"/>
      <w:outlineLvl w:val="2"/>
    </w:pPr>
    <w:rPr>
      <w:rFonts w:eastAsia="黑体"/>
      <w:b/>
      <w:sz w:val="32"/>
    </w:rPr>
  </w:style>
  <w:style w:type="paragraph" w:customStyle="1" w:styleId="179">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80">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8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82">
    <w:name w:val="首行缩进"/>
    <w:basedOn w:val="1"/>
    <w:qFormat/>
    <w:uiPriority w:val="0"/>
    <w:pPr>
      <w:spacing w:line="360" w:lineRule="auto"/>
      <w:ind w:firstLine="420" w:firstLineChars="200"/>
    </w:pPr>
    <w:rPr>
      <w:sz w:val="21"/>
    </w:rPr>
  </w:style>
  <w:style w:type="paragraph" w:customStyle="1" w:styleId="183">
    <w:name w:val="首行缩进 1"/>
    <w:basedOn w:val="1"/>
    <w:qFormat/>
    <w:uiPriority w:val="0"/>
    <w:pPr>
      <w:spacing w:after="120" w:afterLines="0" w:afterAutospacing="0" w:line="360" w:lineRule="auto"/>
      <w:ind w:firstLine="200" w:firstLineChars="200"/>
    </w:pPr>
    <w:rPr>
      <w:sz w:val="24"/>
    </w:rPr>
  </w:style>
  <w:style w:type="paragraph" w:customStyle="1" w:styleId="18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5">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86">
    <w:name w:val="表格内文字"/>
    <w:basedOn w:val="30"/>
    <w:qFormat/>
    <w:uiPriority w:val="0"/>
    <w:pPr>
      <w:snapToGrid/>
      <w:spacing w:line="240" w:lineRule="auto"/>
    </w:pPr>
    <w:rPr>
      <w:color w:val="000000"/>
      <w:lang w:val="en-GB"/>
    </w:rPr>
  </w:style>
  <w:style w:type="paragraph" w:customStyle="1" w:styleId="187">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88">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90">
    <w:name w:val="表文字"/>
    <w:qFormat/>
    <w:uiPriority w:val="0"/>
    <w:rPr>
      <w:rFonts w:ascii="宋体" w:hAnsi="Times New Roman" w:eastAsia="宋体" w:cs="Times New Roman"/>
      <w:kern w:val="2"/>
      <w:lang w:val="en-US" w:eastAsia="zh-CN" w:bidi="ar-SA"/>
    </w:rPr>
  </w:style>
  <w:style w:type="paragraph" w:customStyle="1" w:styleId="191">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92">
    <w:name w:val="默认段落字体 Para Char Char Char Char Char Char Char Char Char1 Char Char Char Char"/>
    <w:basedOn w:val="1"/>
    <w:qFormat/>
    <w:uiPriority w:val="0"/>
    <w:rPr>
      <w:rFonts w:ascii="Tahoma" w:hAnsi="Tahoma"/>
      <w:sz w:val="24"/>
    </w:rPr>
  </w:style>
  <w:style w:type="paragraph" w:customStyle="1" w:styleId="193">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94">
    <w:name w:val="样式 标题 1 + 居中 段前: 6 磅 段后: 6 磅 行距: 1.5 倍行距"/>
    <w:basedOn w:val="2"/>
    <w:qFormat/>
    <w:uiPriority w:val="0"/>
    <w:pPr>
      <w:keepLines/>
      <w:tabs>
        <w:tab w:val="clear" w:pos="3360"/>
      </w:tabs>
      <w:adjustRightInd w:val="0"/>
      <w:spacing w:before="120" w:beforeLines="0" w:beforeAutospacing="0" w:line="360" w:lineRule="auto"/>
    </w:pPr>
    <w:rPr>
      <w:rFonts w:eastAsia="宋体"/>
      <w:b/>
      <w:kern w:val="44"/>
      <w:sz w:val="32"/>
    </w:rPr>
  </w:style>
  <w:style w:type="paragraph" w:customStyle="1" w:styleId="195">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6">
    <w:name w:val="样式 样式 首行缩进:  2 字符 + 首行缩进:  2 字符"/>
    <w:basedOn w:val="1"/>
    <w:qFormat/>
    <w:uiPriority w:val="0"/>
    <w:pPr>
      <w:numPr>
        <w:ilvl w:val="0"/>
        <w:numId w:val="16"/>
      </w:numPr>
      <w:tabs>
        <w:tab w:val="clear" w:pos="1230"/>
      </w:tabs>
      <w:spacing w:line="360" w:lineRule="auto"/>
      <w:ind w:firstLine="480" w:firstLineChars="200"/>
    </w:pPr>
    <w:rPr>
      <w:sz w:val="24"/>
    </w:rPr>
  </w:style>
  <w:style w:type="paragraph" w:customStyle="1" w:styleId="197">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9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9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0">
    <w:name w:val="Title - Date"/>
    <w:basedOn w:val="53"/>
    <w:next w:val="1"/>
    <w:qFormat/>
    <w:uiPriority w:val="0"/>
    <w:pPr>
      <w:spacing w:before="240" w:beforeLines="0" w:beforeAutospacing="0" w:after="720" w:afterLines="0" w:afterAutospacing="0"/>
    </w:pPr>
    <w:rPr>
      <w:sz w:val="28"/>
    </w:rPr>
  </w:style>
  <w:style w:type="paragraph" w:customStyle="1" w:styleId="20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02">
    <w:name w:val="样式 宋体 五号 行距: 单倍行距"/>
    <w:basedOn w:val="1"/>
    <w:qFormat/>
    <w:uiPriority w:val="0"/>
    <w:pPr>
      <w:adjustRightInd w:val="0"/>
      <w:jc w:val="left"/>
    </w:pPr>
    <w:rPr>
      <w:rFonts w:ascii="宋体" w:hAnsi="宋体"/>
      <w:kern w:val="0"/>
      <w:sz w:val="21"/>
    </w:rPr>
  </w:style>
  <w:style w:type="paragraph" w:customStyle="1" w:styleId="203">
    <w:name w:val="编号正文"/>
    <w:basedOn w:val="143"/>
    <w:qFormat/>
    <w:uiPriority w:val="0"/>
    <w:pPr>
      <w:snapToGrid/>
      <w:spacing w:line="360" w:lineRule="auto"/>
      <w:ind w:left="1407" w:hanging="1047"/>
      <w:jc w:val="left"/>
    </w:pPr>
    <w:rPr>
      <w:rFonts w:eastAsia="仿宋_GB2312"/>
    </w:rPr>
  </w:style>
  <w:style w:type="paragraph" w:customStyle="1" w:styleId="204">
    <w:name w:val="Title - Revision"/>
    <w:basedOn w:val="53"/>
    <w:qFormat/>
    <w:uiPriority w:val="0"/>
    <w:pPr>
      <w:spacing w:before="720" w:beforeLines="0" w:beforeAutospacing="0"/>
    </w:pPr>
  </w:style>
  <w:style w:type="paragraph" w:customStyle="1" w:styleId="205">
    <w:name w:val="列表项目"/>
    <w:basedOn w:val="1"/>
    <w:qFormat/>
    <w:uiPriority w:val="0"/>
    <w:pPr>
      <w:numPr>
        <w:ilvl w:val="0"/>
        <w:numId w:val="17"/>
      </w:numPr>
      <w:tabs>
        <w:tab w:val="left" w:pos="420"/>
        <w:tab w:val="clear" w:pos="980"/>
      </w:tabs>
      <w:spacing w:line="288" w:lineRule="auto"/>
      <w:ind w:left="840" w:leftChars="200" w:hanging="420" w:hangingChars="200"/>
    </w:pPr>
    <w:rPr>
      <w:sz w:val="21"/>
    </w:rPr>
  </w:style>
  <w:style w:type="paragraph" w:customStyle="1" w:styleId="206">
    <w:name w:val="样式4"/>
    <w:basedOn w:val="5"/>
    <w:qFormat/>
    <w:uiPriority w:val="0"/>
    <w:pPr>
      <w:numPr>
        <w:ilvl w:val="0"/>
        <w:numId w:val="0"/>
      </w:numPr>
      <w:adjustRightInd w:val="0"/>
      <w:snapToGrid w:val="0"/>
      <w:spacing w:before="280" w:beforeLines="0" w:beforeAutospacing="0" w:line="372" w:lineRule="auto"/>
    </w:pPr>
  </w:style>
  <w:style w:type="paragraph" w:customStyle="1" w:styleId="207">
    <w:name w:val="简单回函地址"/>
    <w:basedOn w:val="1"/>
    <w:qFormat/>
    <w:uiPriority w:val="0"/>
    <w:pPr>
      <w:adjustRightInd w:val="0"/>
      <w:snapToGrid w:val="0"/>
      <w:spacing w:line="360" w:lineRule="auto"/>
    </w:pPr>
    <w:rPr>
      <w:sz w:val="24"/>
    </w:rPr>
  </w:style>
  <w:style w:type="paragraph" w:customStyle="1" w:styleId="208">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09">
    <w:name w:val="附录4"/>
    <w:basedOn w:val="1"/>
    <w:next w:val="1"/>
    <w:qFormat/>
    <w:uiPriority w:val="0"/>
    <w:pPr>
      <w:widowControl/>
      <w:numPr>
        <w:ilvl w:val="3"/>
        <w:numId w:val="0"/>
      </w:numPr>
      <w:tabs>
        <w:tab w:val="left" w:pos="1134"/>
      </w:tabs>
      <w:spacing w:line="300" w:lineRule="auto"/>
      <w:ind w:left="1361" w:hanging="1361"/>
      <w:outlineLvl w:val="3"/>
    </w:pPr>
    <w:rPr>
      <w:rFonts w:ascii="Arial" w:hAnsi="Arial" w:eastAsia="黑体"/>
      <w:kern w:val="0"/>
    </w:rPr>
  </w:style>
  <w:style w:type="paragraph" w:customStyle="1" w:styleId="21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1">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12">
    <w:name w:val="样式3"/>
    <w:basedOn w:val="2"/>
    <w:next w:val="2"/>
    <w:qFormat/>
    <w:uiPriority w:val="0"/>
    <w:pPr>
      <w:keepLines/>
      <w:tabs>
        <w:tab w:val="clear" w:pos="3360"/>
      </w:tabs>
      <w:adjustRightInd w:val="0"/>
      <w:spacing w:before="340" w:beforeLines="0" w:beforeAutospacing="0" w:after="330" w:afterLines="0" w:afterAutospacing="0" w:line="576" w:lineRule="auto"/>
      <w:jc w:val="both"/>
    </w:pPr>
    <w:rPr>
      <w:b/>
      <w:kern w:val="44"/>
    </w:rPr>
  </w:style>
  <w:style w:type="paragraph" w:customStyle="1" w:styleId="213">
    <w:name w:val="表头文本"/>
    <w:qFormat/>
    <w:uiPriority w:val="0"/>
    <w:pPr>
      <w:jc w:val="center"/>
    </w:pPr>
    <w:rPr>
      <w:rFonts w:ascii="Arial" w:hAnsi="Arial" w:eastAsia="宋体" w:cs="Times New Roman"/>
      <w:b/>
      <w:sz w:val="21"/>
      <w:lang w:val="en-US" w:eastAsia="zh-CN" w:bidi="ar-SA"/>
    </w:rPr>
  </w:style>
  <w:style w:type="paragraph" w:customStyle="1" w:styleId="214">
    <w:name w:val="正文 + 三号"/>
    <w:basedOn w:val="1"/>
    <w:qFormat/>
    <w:uiPriority w:val="0"/>
    <w:rPr>
      <w:rFonts w:eastAsia="宋体"/>
      <w:kern w:val="2"/>
      <w:sz w:val="21"/>
      <w:lang w:val="en-US" w:eastAsia="zh-CN"/>
    </w:rPr>
  </w:style>
  <w:style w:type="paragraph" w:customStyle="1" w:styleId="215">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16">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1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218">
    <w:name w:val="样式1"/>
    <w:basedOn w:val="5"/>
    <w:qFormat/>
    <w:uiPriority w:val="0"/>
    <w:pPr>
      <w:spacing w:before="500" w:beforeLines="0" w:after="260" w:afterLines="0" w:line="560" w:lineRule="atLeast"/>
    </w:pPr>
  </w:style>
  <w:style w:type="paragraph" w:customStyle="1" w:styleId="219">
    <w:name w:val="内容标题"/>
    <w:basedOn w:val="17"/>
    <w:qFormat/>
    <w:uiPriority w:val="0"/>
    <w:rPr>
      <w:rFonts w:ascii="Tahoma" w:hAnsi="Tahoma"/>
      <w:sz w:val="24"/>
    </w:rPr>
  </w:style>
  <w:style w:type="paragraph" w:customStyle="1" w:styleId="220">
    <w:name w:val="_Style 214"/>
    <w:qFormat/>
    <w:uiPriority w:val="0"/>
    <w:rPr>
      <w:rFonts w:ascii="Times New Roman" w:hAnsi="Times New Roman" w:eastAsia="宋体" w:cs="Times New Roman"/>
      <w:kern w:val="2"/>
      <w:sz w:val="21"/>
      <w:lang w:val="en-US" w:eastAsia="zh-CN" w:bidi="ar-SA"/>
    </w:rPr>
  </w:style>
  <w:style w:type="paragraph" w:customStyle="1" w:styleId="221">
    <w:name w:val="文本框样式1"/>
    <w:basedOn w:val="1"/>
    <w:qFormat/>
    <w:uiPriority w:val="0"/>
    <w:pPr>
      <w:adjustRightInd w:val="0"/>
      <w:snapToGrid w:val="0"/>
      <w:spacing w:before="60" w:beforeLines="0" w:beforeAutospacing="0" w:line="180" w:lineRule="exact"/>
      <w:jc w:val="center"/>
    </w:pPr>
    <w:rPr>
      <w:sz w:val="21"/>
    </w:rPr>
  </w:style>
  <w:style w:type="character" w:customStyle="1" w:styleId="222">
    <w:name w:val="font31"/>
    <w:basedOn w:val="59"/>
    <w:qFormat/>
    <w:uiPriority w:val="0"/>
    <w:rPr>
      <w:rFonts w:hint="eastAsia" w:ascii="宋体" w:hAnsi="宋体" w:eastAsia="宋体" w:cs="宋体"/>
      <w:color w:val="FF0000"/>
      <w:sz w:val="21"/>
      <w:szCs w:val="21"/>
      <w:u w:val="none"/>
    </w:rPr>
  </w:style>
  <w:style w:type="character" w:customStyle="1" w:styleId="223">
    <w:name w:val="font21"/>
    <w:basedOn w:val="59"/>
    <w:qFormat/>
    <w:uiPriority w:val="0"/>
    <w:rPr>
      <w:rFonts w:hint="eastAsia" w:ascii="宋体" w:hAnsi="宋体" w:eastAsia="宋体" w:cs="宋体"/>
      <w:color w:val="000000"/>
      <w:sz w:val="21"/>
      <w:szCs w:val="21"/>
      <w:u w:val="none"/>
    </w:rPr>
  </w:style>
  <w:style w:type="paragraph" w:customStyle="1" w:styleId="224">
    <w:name w:val="默认"/>
    <w:qFormat/>
    <w:uiPriority w:val="0"/>
    <w:rPr>
      <w:rFonts w:ascii="华文宋体" w:hAnsi="华文宋体" w:eastAsia="华文宋体" w:cs="华文宋体"/>
      <w:color w:val="000000"/>
      <w:sz w:val="22"/>
      <w:szCs w:val="22"/>
      <w:lang w:val="en-US" w:eastAsia="zh-CN" w:bidi="ar-SA"/>
    </w:rPr>
  </w:style>
  <w:style w:type="paragraph" w:customStyle="1" w:styleId="225">
    <w:name w:val="4正文加粗"/>
    <w:basedOn w:val="1"/>
    <w:qFormat/>
    <w:uiPriority w:val="0"/>
    <w:pPr>
      <w:adjustRightInd w:val="0"/>
      <w:snapToGrid w:val="0"/>
      <w:spacing w:line="500" w:lineRule="atLeast"/>
      <w:ind w:firstLine="200" w:firstLineChars="200"/>
    </w:pPr>
    <w:rPr>
      <w:rFonts w:ascii="方正仿宋_GBK" w:hAnsi="宋体" w:eastAsia="方正仿宋_GBK"/>
      <w:b/>
      <w:sz w:val="28"/>
      <w:szCs w:val="28"/>
    </w:rPr>
  </w:style>
  <w:style w:type="paragraph" w:customStyle="1" w:styleId="226">
    <w:name w:val="01、普通正文"/>
    <w:basedOn w:val="1"/>
    <w:next w:val="41"/>
    <w:qFormat/>
    <w:uiPriority w:val="0"/>
    <w:pPr>
      <w:keepNext w:val="0"/>
      <w:keepLines w:val="0"/>
      <w:widowControl w:val="0"/>
      <w:suppressLineNumbers w:val="0"/>
      <w:tabs>
        <w:tab w:val="left" w:pos="0"/>
      </w:tabs>
      <w:wordWrap w:val="0"/>
      <w:topLinePunct/>
      <w:snapToGrid w:val="0"/>
      <w:spacing w:before="0" w:beforeAutospacing="0" w:after="160" w:afterAutospacing="0" w:line="256" w:lineRule="auto"/>
      <w:ind w:left="0" w:right="0"/>
      <w:jc w:val="both"/>
    </w:pPr>
    <w:rPr>
      <w:rFonts w:hint="eastAsia" w:ascii="宋体" w:hAnsi="宋体" w:eastAsia="宋体" w:cs="Times New Roman"/>
      <w:kern w:val="2"/>
      <w:sz w:val="21"/>
      <w:szCs w:val="24"/>
      <w:lang w:val="en-US" w:eastAsia="zh-CN" w:bidi="ar"/>
    </w:rPr>
  </w:style>
  <w:style w:type="paragraph" w:customStyle="1" w:styleId="227">
    <w:name w:val="msolistparagraph"/>
    <w:basedOn w:val="1"/>
    <w:qFormat/>
    <w:uiPriority w:val="0"/>
    <w:pPr>
      <w:keepNext w:val="0"/>
      <w:keepLines w:val="0"/>
      <w:widowControl w:val="0"/>
      <w:suppressLineNumbers w:val="0"/>
      <w:spacing w:before="0" w:beforeAutospacing="0" w:after="160" w:afterAutospacing="0" w:line="256" w:lineRule="auto"/>
      <w:ind w:left="0" w:right="0" w:firstLine="420"/>
      <w:jc w:val="both"/>
    </w:pPr>
    <w:rPr>
      <w:rFonts w:hint="default" w:ascii="Calibri" w:hAnsi="Calibri" w:eastAsia="宋体" w:cs="Times New Roman"/>
      <w:kern w:val="2"/>
      <w:sz w:val="21"/>
      <w:szCs w:val="24"/>
      <w:lang w:val="en-US" w:eastAsia="zh-CN" w:bidi="ar"/>
    </w:rPr>
  </w:style>
  <w:style w:type="paragraph" w:customStyle="1" w:styleId="228">
    <w:name w:val="05、“(一)”正文三级标题"/>
    <w:basedOn w:val="1"/>
    <w:qFormat/>
    <w:uiPriority w:val="0"/>
    <w:pPr>
      <w:keepNext w:val="0"/>
      <w:keepLines w:val="0"/>
      <w:widowControl w:val="0"/>
      <w:numPr>
        <w:ilvl w:val="1"/>
        <w:numId w:val="18"/>
      </w:numPr>
      <w:suppressLineNumbers w:val="0"/>
      <w:tabs>
        <w:tab w:val="left" w:pos="0"/>
      </w:tabs>
      <w:wordWrap w:val="0"/>
      <w:topLinePunct/>
      <w:snapToGrid w:val="0"/>
      <w:spacing w:before="0" w:beforeAutospacing="0" w:after="160" w:afterAutospacing="0" w:line="440" w:lineRule="exact"/>
      <w:ind w:left="0" w:right="0" w:firstLine="803"/>
      <w:jc w:val="left"/>
    </w:pPr>
    <w:rPr>
      <w:rFonts w:hint="default" w:ascii="Calibri" w:hAnsi="Calibri" w:eastAsia="宋体" w:cs="Times New Roman"/>
      <w:kern w:val="2"/>
      <w:sz w:val="21"/>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66</Pages>
  <Words>784</Words>
  <Characters>844</Characters>
  <Lines>182</Lines>
  <Paragraphs>51</Paragraphs>
  <TotalTime>102</TotalTime>
  <ScaleCrop>false</ScaleCrop>
  <LinksUpToDate>false</LinksUpToDate>
  <CharactersWithSpaces>1022</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2021-07-14T01:56:00Z</dcterms:created>
  <dc:creator>admin</dc:creator>
  <cp:lastModifiedBy>Z</cp:lastModifiedBy>
  <cp:lastPrinted>2026-01-09T06:53:00Z</cp:lastPrinted>
  <dcterms:modified xsi:type="dcterms:W3CDTF">2026-07-30T15:45:06Z</dcterms:modified>
  <dc:title>货物</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58D74E141C9E35D102016B6A7B76B843_43</vt:lpwstr>
  </property>
  <property fmtid="{D5CDD505-2E9C-101B-9397-08002B2CF9AE}" pid="4" name="KSOTemplateDocerSaveRecord">
    <vt:lpwstr>eyJoZGlkIjoiZGI3YzMzYzAxZGFjMWVjMTk3ODg2N2QzNzlhMWJkZGQiLCJ1c2VySWQiOiI2MzE3NDA4NzEifQ==</vt:lpwstr>
  </property>
</Properties>
</file>