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both"/>
        <w:rPr>
          <w:rFonts w:hint="eastAsia" w:eastAsia="宋体"/>
          <w:b/>
          <w:color w:val="000000" w:themeColor="text1"/>
          <w:sz w:val="72"/>
          <w:szCs w:val="72"/>
          <w:lang w:val="en-US" w:eastAsia="zh-CN"/>
          <w14:textFill>
            <w14:solidFill>
              <w14:schemeClr w14:val="tx1"/>
            </w14:solidFill>
          </w14:textFill>
        </w:rPr>
      </w:pPr>
    </w:p>
    <w:p>
      <w:pPr>
        <w:ind w:firstLine="0" w:firstLineChars="0"/>
        <w:jc w:val="center"/>
        <w:rPr>
          <w:b/>
          <w:color w:val="000000" w:themeColor="text1"/>
          <w:sz w:val="50"/>
          <w:szCs w:val="50"/>
          <w14:textFill>
            <w14:solidFill>
              <w14:schemeClr w14:val="tx1"/>
            </w14:solidFill>
          </w14:textFill>
        </w:rPr>
      </w:pPr>
      <w:r>
        <w:rPr>
          <w:b/>
          <w:color w:val="000000" w:themeColor="text1"/>
          <w:sz w:val="50"/>
          <w:szCs w:val="50"/>
          <w14:textFill>
            <w14:solidFill>
              <w14:schemeClr w14:val="tx1"/>
            </w14:solidFill>
          </w14:textFill>
        </w:rPr>
        <w:t>山西省消防救援总队</w:t>
      </w:r>
    </w:p>
    <w:p>
      <w:pPr>
        <w:ind w:firstLine="0" w:firstLineChars="0"/>
        <w:jc w:val="center"/>
        <w:rPr>
          <w:rFonts w:hint="eastAsia"/>
          <w:b/>
          <w:color w:val="000000" w:themeColor="text1"/>
          <w:sz w:val="50"/>
          <w:szCs w:val="50"/>
          <w14:textFill>
            <w14:solidFill>
              <w14:schemeClr w14:val="tx1"/>
            </w14:solidFill>
          </w14:textFill>
        </w:rPr>
      </w:pPr>
      <w:r>
        <w:rPr>
          <w:b/>
          <w:color w:val="000000" w:themeColor="text1"/>
          <w:sz w:val="50"/>
          <w:szCs w:val="50"/>
          <w14:textFill>
            <w14:solidFill>
              <w14:schemeClr w14:val="tx1"/>
            </w14:solidFill>
          </w14:textFill>
        </w:rPr>
        <w:t>“自然灾害应急能力提升工程”</w:t>
      </w:r>
    </w:p>
    <w:p>
      <w:pPr>
        <w:ind w:firstLine="0" w:firstLineChars="0"/>
        <w:jc w:val="center"/>
        <w:rPr>
          <w:b/>
          <w:color w:val="000000" w:themeColor="text1"/>
          <w:sz w:val="50"/>
          <w:szCs w:val="50"/>
          <w14:textFill>
            <w14:solidFill>
              <w14:schemeClr w14:val="tx1"/>
            </w14:solidFill>
          </w14:textFill>
        </w:rPr>
      </w:pPr>
      <w:r>
        <w:rPr>
          <w:b/>
          <w:color w:val="000000" w:themeColor="text1"/>
          <w:sz w:val="50"/>
          <w:szCs w:val="50"/>
          <w14:textFill>
            <w14:solidFill>
              <w14:schemeClr w14:val="tx1"/>
            </w14:solidFill>
          </w14:textFill>
        </w:rPr>
        <w:t>消防装备项目（</w:t>
      </w:r>
      <w:r>
        <w:rPr>
          <w:rFonts w:hint="eastAsia"/>
          <w:b/>
          <w:color w:val="000000" w:themeColor="text1"/>
          <w:sz w:val="50"/>
          <w:szCs w:val="50"/>
          <w14:textFill>
            <w14:solidFill>
              <w14:schemeClr w14:val="tx1"/>
            </w14:solidFill>
          </w14:textFill>
        </w:rPr>
        <w:t>第三批次</w:t>
      </w:r>
      <w:r>
        <w:rPr>
          <w:b/>
          <w:color w:val="000000" w:themeColor="text1"/>
          <w:sz w:val="50"/>
          <w:szCs w:val="50"/>
          <w14:textFill>
            <w14:solidFill>
              <w14:schemeClr w14:val="tx1"/>
            </w14:solidFill>
          </w14:textFill>
        </w:rPr>
        <w:t>）</w:t>
      </w:r>
    </w:p>
    <w:p>
      <w:pPr>
        <w:ind w:firstLine="0" w:firstLineChars="0"/>
        <w:jc w:val="center"/>
        <w:rPr>
          <w:b/>
          <w:color w:val="000000" w:themeColor="text1"/>
          <w:sz w:val="72"/>
          <w:szCs w:val="72"/>
          <w14:textFill>
            <w14:solidFill>
              <w14:schemeClr w14:val="tx1"/>
            </w14:solidFill>
          </w14:textFill>
        </w:rPr>
      </w:pPr>
    </w:p>
    <w:p>
      <w:pPr>
        <w:ind w:firstLine="0" w:firstLineChars="0"/>
        <w:jc w:val="center"/>
        <w:rPr>
          <w:b/>
          <w:color w:val="000000" w:themeColor="text1"/>
          <w:sz w:val="72"/>
          <w:szCs w:val="72"/>
          <w14:textFill>
            <w14:solidFill>
              <w14:schemeClr w14:val="tx1"/>
            </w14:solidFill>
          </w14:textFill>
        </w:rPr>
      </w:pPr>
    </w:p>
    <w:p>
      <w:pPr>
        <w:widowControl/>
        <w:snapToGrid w:val="0"/>
        <w:spacing w:line="240" w:lineRule="auto"/>
        <w:ind w:firstLine="0" w:firstLineChars="0"/>
        <w:jc w:val="center"/>
        <w:rPr>
          <w:color w:val="000000"/>
          <w:kern w:val="0"/>
          <w:sz w:val="100"/>
          <w:szCs w:val="100"/>
        </w:rPr>
      </w:pPr>
      <w:r>
        <w:rPr>
          <w:color w:val="000000"/>
          <w:kern w:val="0"/>
          <w:sz w:val="100"/>
          <w:szCs w:val="100"/>
        </w:rPr>
        <w:t>招 标 文 件</w:t>
      </w:r>
    </w:p>
    <w:p>
      <w:pPr>
        <w:widowControl/>
        <w:spacing w:line="360" w:lineRule="auto"/>
        <w:ind w:firstLine="0" w:firstLineChars="0"/>
        <w:jc w:val="center"/>
        <w:rPr>
          <w:color w:val="000000"/>
          <w:kern w:val="0"/>
          <w:sz w:val="32"/>
          <w:szCs w:val="32"/>
        </w:rPr>
      </w:pPr>
    </w:p>
    <w:p>
      <w:pPr>
        <w:widowControl/>
        <w:spacing w:line="360" w:lineRule="auto"/>
        <w:ind w:firstLine="0" w:firstLineChars="0"/>
        <w:jc w:val="center"/>
        <w:rPr>
          <w:color w:val="000000"/>
          <w:kern w:val="0"/>
          <w:sz w:val="32"/>
          <w:szCs w:val="32"/>
        </w:rPr>
      </w:pPr>
      <w:r>
        <w:rPr>
          <w:color w:val="000000"/>
          <w:kern w:val="0"/>
          <w:sz w:val="32"/>
          <w:szCs w:val="32"/>
        </w:rPr>
        <w:t>项目编号：</w:t>
      </w:r>
      <w:r>
        <w:rPr>
          <w:rFonts w:hint="eastAsia"/>
          <w:color w:val="000000"/>
          <w:kern w:val="0"/>
          <w:sz w:val="32"/>
          <w:szCs w:val="32"/>
        </w:rPr>
        <w:t>中财采A-2024-01</w:t>
      </w:r>
    </w:p>
    <w:p>
      <w:pPr>
        <w:spacing w:line="560" w:lineRule="exact"/>
        <w:ind w:firstLine="0" w:firstLineChars="0"/>
        <w:jc w:val="both"/>
        <w:rPr>
          <w:b/>
          <w:color w:val="000000" w:themeColor="text1"/>
          <w:szCs w:val="28"/>
          <w14:textFill>
            <w14:solidFill>
              <w14:schemeClr w14:val="tx1"/>
            </w14:solidFill>
          </w14:textFill>
        </w:rPr>
      </w:pPr>
    </w:p>
    <w:p>
      <w:pPr>
        <w:spacing w:line="560" w:lineRule="exact"/>
        <w:ind w:firstLine="0" w:firstLineChars="0"/>
        <w:jc w:val="center"/>
        <w:rPr>
          <w:b/>
          <w:color w:val="000000" w:themeColor="text1"/>
          <w:szCs w:val="28"/>
          <w14:textFill>
            <w14:solidFill>
              <w14:schemeClr w14:val="tx1"/>
            </w14:solidFill>
          </w14:textFill>
        </w:rPr>
      </w:pPr>
    </w:p>
    <w:p>
      <w:pPr>
        <w:ind w:firstLine="0" w:firstLineChars="0"/>
        <w:jc w:val="center"/>
        <w:rPr>
          <w:color w:val="000000" w:themeColor="text1"/>
          <w14:textFill>
            <w14:solidFill>
              <w14:schemeClr w14:val="tx1"/>
            </w14:solidFill>
          </w14:textFill>
        </w:rPr>
      </w:pPr>
    </w:p>
    <w:p>
      <w:pPr>
        <w:spacing w:line="560" w:lineRule="exact"/>
        <w:ind w:firstLine="2187" w:firstLineChars="778"/>
        <w:rPr>
          <w:b/>
          <w:color w:val="000000" w:themeColor="text1"/>
          <w:szCs w:val="28"/>
          <w14:textFill>
            <w14:solidFill>
              <w14:schemeClr w14:val="tx1"/>
            </w14:solidFill>
          </w14:textFill>
        </w:rPr>
      </w:pPr>
    </w:p>
    <w:p>
      <w:pPr>
        <w:spacing w:line="560" w:lineRule="exact"/>
        <w:ind w:firstLine="2187" w:firstLineChars="778"/>
        <w:rPr>
          <w:b/>
          <w:color w:val="000000" w:themeColor="text1"/>
          <w:szCs w:val="28"/>
          <w14:textFill>
            <w14:solidFill>
              <w14:schemeClr w14:val="tx1"/>
            </w14:solidFill>
          </w14:textFill>
        </w:rPr>
      </w:pPr>
    </w:p>
    <w:p>
      <w:pPr>
        <w:spacing w:line="560" w:lineRule="exact"/>
        <w:ind w:firstLine="2187" w:firstLineChars="778"/>
        <w:rPr>
          <w:b/>
          <w:color w:val="000000" w:themeColor="text1"/>
          <w:szCs w:val="28"/>
          <w14:textFill>
            <w14:solidFill>
              <w14:schemeClr w14:val="tx1"/>
            </w14:solidFill>
          </w14:textFill>
        </w:rPr>
      </w:pPr>
    </w:p>
    <w:p>
      <w:pPr>
        <w:spacing w:line="560" w:lineRule="exact"/>
        <w:ind w:firstLine="2187" w:firstLineChars="778"/>
        <w:rPr>
          <w:b/>
          <w:color w:val="000000" w:themeColor="text1"/>
          <w:szCs w:val="28"/>
          <w14:textFill>
            <w14:solidFill>
              <w14:schemeClr w14:val="tx1"/>
            </w14:solidFill>
          </w14:textFill>
        </w:rPr>
      </w:pPr>
    </w:p>
    <w:p>
      <w:pPr>
        <w:widowControl/>
        <w:spacing w:line="360" w:lineRule="auto"/>
        <w:ind w:firstLine="1304" w:firstLineChars="406"/>
        <w:jc w:val="both"/>
        <w:rPr>
          <w:b/>
          <w:bCs/>
          <w:color w:val="000000"/>
          <w:kern w:val="0"/>
          <w:sz w:val="32"/>
          <w:szCs w:val="32"/>
        </w:rPr>
      </w:pPr>
      <w:r>
        <w:rPr>
          <w:b/>
          <w:bCs/>
          <w:color w:val="000000"/>
          <w:kern w:val="0"/>
          <w:sz w:val="32"/>
          <w:szCs w:val="32"/>
        </w:rPr>
        <w:t>采   购   人：山西省消防救援总队</w:t>
      </w:r>
    </w:p>
    <w:p>
      <w:pPr>
        <w:widowControl/>
        <w:spacing w:line="360" w:lineRule="auto"/>
        <w:ind w:firstLine="0" w:firstLineChars="0"/>
        <w:jc w:val="center"/>
        <w:rPr>
          <w:b/>
          <w:bCs/>
          <w:color w:val="000000"/>
          <w:kern w:val="0"/>
          <w:sz w:val="32"/>
          <w:szCs w:val="32"/>
        </w:rPr>
      </w:pPr>
      <w:r>
        <w:rPr>
          <w:b/>
          <w:bCs/>
          <w:color w:val="000000"/>
          <w:kern w:val="0"/>
          <w:sz w:val="32"/>
          <w:szCs w:val="32"/>
        </w:rPr>
        <w:t>采购代理机构：</w:t>
      </w:r>
      <w:r>
        <w:rPr>
          <w:rFonts w:hint="eastAsia"/>
          <w:b/>
          <w:bCs/>
          <w:color w:val="000000"/>
          <w:kern w:val="0"/>
          <w:sz w:val="32"/>
          <w:szCs w:val="32"/>
        </w:rPr>
        <w:t>山西中兴财项目管理有限公司</w:t>
      </w:r>
    </w:p>
    <w:p>
      <w:pPr>
        <w:kinsoku w:val="0"/>
        <w:overflowPunct w:val="0"/>
        <w:autoSpaceDE w:val="0"/>
        <w:autoSpaceDN w:val="0"/>
        <w:snapToGrid w:val="0"/>
        <w:ind w:firstLine="0" w:firstLineChars="0"/>
        <w:jc w:val="center"/>
        <w:rPr>
          <w:color w:val="000000" w:themeColor="text1"/>
          <w:w w:val="98"/>
          <w:szCs w:val="28"/>
          <w14:textFill>
            <w14:solidFill>
              <w14:schemeClr w14:val="tx1"/>
            </w14:solidFill>
          </w14:textFill>
        </w:rPr>
      </w:pPr>
    </w:p>
    <w:p>
      <w:pPr>
        <w:widowControl/>
        <w:spacing w:line="360" w:lineRule="auto"/>
        <w:ind w:firstLine="0" w:firstLineChars="0"/>
        <w:jc w:val="center"/>
        <w:rPr>
          <w:rFonts w:hint="eastAsia"/>
          <w:b/>
          <w:bCs/>
          <w:color w:val="000000"/>
          <w:kern w:val="0"/>
          <w:sz w:val="32"/>
          <w:szCs w:val="32"/>
        </w:rPr>
      </w:pPr>
      <w:r>
        <w:rPr>
          <w:rFonts w:hint="eastAsia"/>
          <w:b/>
          <w:bCs/>
          <w:color w:val="000000"/>
          <w:kern w:val="0"/>
          <w:sz w:val="32"/>
          <w:szCs w:val="32"/>
        </w:rPr>
        <w:t>二零二四年</w:t>
      </w:r>
      <w:r>
        <w:rPr>
          <w:rFonts w:hint="eastAsia"/>
          <w:b/>
          <w:bCs/>
          <w:color w:val="000000"/>
          <w:kern w:val="0"/>
          <w:sz w:val="32"/>
          <w:szCs w:val="32"/>
          <w:lang w:val="en-US" w:eastAsia="zh-CN"/>
        </w:rPr>
        <w:t>六</w:t>
      </w:r>
      <w:r>
        <w:rPr>
          <w:rFonts w:hint="eastAsia"/>
          <w:b/>
          <w:bCs/>
          <w:color w:val="000000"/>
          <w:kern w:val="0"/>
          <w:sz w:val="32"/>
          <w:szCs w:val="32"/>
        </w:rPr>
        <w:t>月</w:t>
      </w:r>
    </w:p>
    <w:p>
      <w:pPr>
        <w:widowControl/>
        <w:spacing w:line="360" w:lineRule="auto"/>
        <w:ind w:firstLine="0" w:firstLineChars="0"/>
        <w:jc w:val="center"/>
        <w:rPr>
          <w:rFonts w:hint="eastAsia"/>
          <w:b/>
          <w:bCs/>
          <w:color w:val="000000"/>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05" w:h="16838"/>
          <w:pgMar w:top="1440" w:right="1803" w:bottom="1440" w:left="1803" w:header="850" w:footer="992" w:gutter="0"/>
          <w:cols w:space="0" w:num="1"/>
          <w:docGrid w:linePitch="312" w:charSpace="0"/>
        </w:sectPr>
      </w:pPr>
    </w:p>
    <w:p>
      <w:pPr>
        <w:snapToGrid w:val="0"/>
        <w:spacing w:line="360" w:lineRule="auto"/>
        <w:ind w:firstLine="0" w:firstLineChars="0"/>
        <w:jc w:val="center"/>
        <w:rPr>
          <w:color w:val="000000" w:themeColor="text1"/>
          <w:sz w:val="40"/>
          <w:szCs w:val="40"/>
          <w14:textFill>
            <w14:solidFill>
              <w14:schemeClr w14:val="tx1"/>
            </w14:solidFill>
          </w14:textFill>
        </w:rPr>
      </w:pPr>
      <w:r>
        <w:rPr>
          <w:b/>
          <w:bCs/>
          <w:color w:val="000000" w:themeColor="text1"/>
          <w:sz w:val="40"/>
          <w:szCs w:val="40"/>
          <w14:textFill>
            <w14:solidFill>
              <w14:schemeClr w14:val="tx1"/>
            </w14:solidFill>
          </w14:textFill>
        </w:rPr>
        <w:t>目   录</w:t>
      </w:r>
    </w:p>
    <w:sdt>
      <w:sdtPr>
        <w:rPr>
          <w:color w:val="000000" w:themeColor="text1"/>
          <w:sz w:val="24"/>
          <w14:textFill>
            <w14:solidFill>
              <w14:schemeClr w14:val="tx1"/>
            </w14:solidFill>
          </w14:textFill>
        </w:rPr>
        <w:id w:val="147452537"/>
        <w15:color w:val="DBDBDB"/>
        <w:docPartObj>
          <w:docPartGallery w:val="Table of Contents"/>
          <w:docPartUnique/>
        </w:docPartObj>
      </w:sdtPr>
      <w:sdtEndPr>
        <w:rPr>
          <w:color w:val="000000" w:themeColor="text1"/>
          <w:sz w:val="21"/>
          <w:szCs w:val="21"/>
          <w14:textFill>
            <w14:solidFill>
              <w14:schemeClr w14:val="tx1"/>
            </w14:solidFill>
          </w14:textFill>
        </w:rPr>
      </w:sdtEndPr>
      <w:sdtContent>
        <w:p>
          <w:pPr>
            <w:pStyle w:val="11"/>
            <w:tabs>
              <w:tab w:val="right" w:leader="dot" w:pos="8299"/>
            </w:tabs>
            <w:bidi w:val="0"/>
            <w:snapToGrid w:val="0"/>
            <w:spacing w:line="360" w:lineRule="auto"/>
            <w:rPr>
              <w:rFonts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color w:val="000000" w:themeColor="text1"/>
              <w:sz w:val="24"/>
              <w14:textFill>
                <w14:solidFill>
                  <w14:schemeClr w14:val="tx1"/>
                </w14:solidFill>
              </w14:textFill>
            </w:rPr>
            <w:fldChar w:fldCharType="begin"/>
          </w:r>
          <w:r>
            <w:rPr>
              <w:color w:val="000000" w:themeColor="text1"/>
              <w:sz w:val="24"/>
              <w14:textFill>
                <w14:solidFill>
                  <w14:schemeClr w14:val="tx1"/>
                </w14:solidFill>
              </w14:textFill>
            </w:rPr>
            <w:instrText xml:space="preserve">TOC \o "1-3" \h \u </w:instrText>
          </w:r>
          <w:r>
            <w:rPr>
              <w:color w:val="000000" w:themeColor="text1"/>
              <w:sz w:val="24"/>
              <w14:textFill>
                <w14:solidFill>
                  <w14:schemeClr w14:val="tx1"/>
                </w14:solidFill>
              </w14:textFill>
            </w:rPr>
            <w:fldChar w:fldCharType="separate"/>
          </w:r>
        </w:p>
        <w:p>
          <w:pPr>
            <w:pStyle w:val="11"/>
            <w:tabs>
              <w:tab w:val="right" w:leader="dot" w:pos="8299"/>
            </w:tabs>
          </w:pPr>
          <w:r>
            <w:rPr>
              <w:color w:val="000000" w:themeColor="text1"/>
              <w14:textFill>
                <w14:solidFill>
                  <w14:schemeClr w14:val="tx1"/>
                </w14:solidFill>
              </w14:textFill>
            </w:rPr>
            <w:fldChar w:fldCharType="begin"/>
          </w:r>
          <w:r>
            <w:instrText xml:space="preserve"> HYPERLINK \l _Toc23695 </w:instrText>
          </w:r>
          <w:r>
            <w:fldChar w:fldCharType="separate"/>
          </w:r>
          <w:r>
            <w:t>第一部分  投标邀请</w:t>
          </w:r>
          <w:r>
            <w:tab/>
          </w:r>
          <w:r>
            <w:fldChar w:fldCharType="begin"/>
          </w:r>
          <w:r>
            <w:instrText xml:space="preserve"> PAGEREF _Toc23695 \h </w:instrText>
          </w:r>
          <w:r>
            <w:fldChar w:fldCharType="separate"/>
          </w:r>
          <w:r>
            <w:t>2</w:t>
          </w:r>
          <w:r>
            <w:fldChar w:fldCharType="end"/>
          </w:r>
          <w:r>
            <w:rPr>
              <w:color w:val="000000" w:themeColor="text1"/>
              <w14:textFill>
                <w14:solidFill>
                  <w14:schemeClr w14:val="tx1"/>
                </w14:solidFill>
              </w14:textFill>
            </w:rPr>
            <w:fldChar w:fldCharType="end"/>
          </w:r>
        </w:p>
        <w:p>
          <w:pPr>
            <w:pStyle w:val="11"/>
            <w:tabs>
              <w:tab w:val="right" w:leader="dot" w:pos="8299"/>
            </w:tabs>
          </w:pPr>
          <w:r>
            <w:rPr>
              <w:color w:val="000000" w:themeColor="text1"/>
              <w14:textFill>
                <w14:solidFill>
                  <w14:schemeClr w14:val="tx1"/>
                </w14:solidFill>
              </w14:textFill>
            </w:rPr>
            <w:fldChar w:fldCharType="begin"/>
          </w:r>
          <w:r>
            <w:instrText xml:space="preserve"> HYPERLINK \l _Toc9062 </w:instrText>
          </w:r>
          <w:r>
            <w:fldChar w:fldCharType="separate"/>
          </w:r>
          <w:r>
            <w:t>第二部分  投标人须知</w:t>
          </w:r>
          <w:r>
            <w:tab/>
          </w:r>
          <w:r>
            <w:fldChar w:fldCharType="begin"/>
          </w:r>
          <w:r>
            <w:instrText xml:space="preserve"> PAGEREF _Toc9062 \h </w:instrText>
          </w:r>
          <w:r>
            <w:fldChar w:fldCharType="separate"/>
          </w:r>
          <w:r>
            <w:t>8</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_Toc23512 </w:instrText>
          </w:r>
          <w:r>
            <w:fldChar w:fldCharType="separate"/>
          </w:r>
          <w:r>
            <w:rPr>
              <w:rFonts w:ascii="Times New Roman" w:hAnsi="Times New Roman"/>
              <w:szCs w:val="28"/>
            </w:rPr>
            <w:t>一、总则</w:t>
          </w:r>
          <w:r>
            <w:tab/>
          </w:r>
          <w:r>
            <w:fldChar w:fldCharType="begin"/>
          </w:r>
          <w:r>
            <w:instrText xml:space="preserve"> PAGEREF _Toc23512 \h </w:instrText>
          </w:r>
          <w:r>
            <w:fldChar w:fldCharType="separate"/>
          </w:r>
          <w:r>
            <w:t>8</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_Toc11470 </w:instrText>
          </w:r>
          <w:r>
            <w:fldChar w:fldCharType="separate"/>
          </w:r>
          <w:r>
            <w:rPr>
              <w:rFonts w:ascii="Times New Roman" w:hAnsi="Times New Roman"/>
              <w:szCs w:val="28"/>
            </w:rPr>
            <w:t>二、招标文件</w:t>
          </w:r>
          <w:r>
            <w:tab/>
          </w:r>
          <w:r>
            <w:fldChar w:fldCharType="begin"/>
          </w:r>
          <w:r>
            <w:instrText xml:space="preserve"> PAGEREF _Toc11470 \h </w:instrText>
          </w:r>
          <w:r>
            <w:fldChar w:fldCharType="separate"/>
          </w:r>
          <w:r>
            <w:t>10</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_Toc10103 </w:instrText>
          </w:r>
          <w:r>
            <w:fldChar w:fldCharType="separate"/>
          </w:r>
          <w:r>
            <w:rPr>
              <w:rFonts w:ascii="Times New Roman" w:hAnsi="Times New Roman"/>
              <w:szCs w:val="28"/>
            </w:rPr>
            <w:t>三、投标文件</w:t>
          </w:r>
          <w:r>
            <w:tab/>
          </w:r>
          <w:r>
            <w:fldChar w:fldCharType="begin"/>
          </w:r>
          <w:r>
            <w:instrText xml:space="preserve"> PAGEREF _Toc10103 \h </w:instrText>
          </w:r>
          <w:r>
            <w:fldChar w:fldCharType="separate"/>
          </w:r>
          <w:r>
            <w:t>11</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_Toc6541 </w:instrText>
          </w:r>
          <w:r>
            <w:fldChar w:fldCharType="separate"/>
          </w:r>
          <w:r>
            <w:rPr>
              <w:rFonts w:ascii="Times New Roman" w:hAnsi="Times New Roman"/>
              <w:szCs w:val="28"/>
            </w:rPr>
            <w:t>四、投标文件的递交</w:t>
          </w:r>
          <w:r>
            <w:tab/>
          </w:r>
          <w:r>
            <w:fldChar w:fldCharType="begin"/>
          </w:r>
          <w:r>
            <w:instrText xml:space="preserve"> PAGEREF _Toc6541 \h </w:instrText>
          </w:r>
          <w:r>
            <w:fldChar w:fldCharType="separate"/>
          </w:r>
          <w:r>
            <w:t>18</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_Toc23821 </w:instrText>
          </w:r>
          <w:r>
            <w:fldChar w:fldCharType="separate"/>
          </w:r>
          <w:r>
            <w:rPr>
              <w:rFonts w:ascii="Times New Roman" w:hAnsi="Times New Roman"/>
              <w:szCs w:val="28"/>
            </w:rPr>
            <w:t>五、开标</w:t>
          </w:r>
          <w:r>
            <w:tab/>
          </w:r>
          <w:r>
            <w:fldChar w:fldCharType="begin"/>
          </w:r>
          <w:r>
            <w:instrText xml:space="preserve"> PAGEREF _Toc23821 \h </w:instrText>
          </w:r>
          <w:r>
            <w:fldChar w:fldCharType="separate"/>
          </w:r>
          <w:r>
            <w:t>19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_Toc17782 </w:instrText>
          </w:r>
          <w:r>
            <w:fldChar w:fldCharType="separate"/>
          </w:r>
          <w:r>
            <w:rPr>
              <w:rFonts w:ascii="Times New Roman" w:hAnsi="Times New Roman"/>
              <w:szCs w:val="28"/>
            </w:rPr>
            <w:t>六、资格性审查</w:t>
          </w:r>
          <w:r>
            <w:tab/>
          </w:r>
          <w:r>
            <w:fldChar w:fldCharType="begin"/>
          </w:r>
          <w:r>
            <w:instrText xml:space="preserve"> PAGEREF _Toc17782 \h </w:instrText>
          </w:r>
          <w:r>
            <w:fldChar w:fldCharType="separate"/>
          </w:r>
          <w:r>
            <w:t>20</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_Toc13040 </w:instrText>
          </w:r>
          <w:r>
            <w:fldChar w:fldCharType="separate"/>
          </w:r>
          <w:r>
            <w:rPr>
              <w:rFonts w:ascii="Times New Roman" w:hAnsi="Times New Roman"/>
              <w:szCs w:val="28"/>
            </w:rPr>
            <w:t>七、评标程序和要求</w:t>
          </w:r>
          <w:r>
            <w:tab/>
          </w:r>
          <w:r>
            <w:fldChar w:fldCharType="begin"/>
          </w:r>
          <w:r>
            <w:instrText xml:space="preserve"> PAGEREF _Toc13040 \h </w:instrText>
          </w:r>
          <w:r>
            <w:fldChar w:fldCharType="separate"/>
          </w:r>
          <w:r>
            <w:t>20</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_Toc30740 </w:instrText>
          </w:r>
          <w:r>
            <w:fldChar w:fldCharType="separate"/>
          </w:r>
          <w:r>
            <w:rPr>
              <w:rFonts w:ascii="Times New Roman" w:hAnsi="Times New Roman"/>
              <w:szCs w:val="28"/>
            </w:rPr>
            <w:t>八、签订合同</w:t>
          </w:r>
          <w:r>
            <w:tab/>
          </w:r>
          <w:r>
            <w:fldChar w:fldCharType="begin"/>
          </w:r>
          <w:r>
            <w:instrText xml:space="preserve"> PAGEREF _Toc30740 \h </w:instrText>
          </w:r>
          <w:r>
            <w:fldChar w:fldCharType="separate"/>
          </w:r>
          <w:r>
            <w:t>24</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_Toc15073 </w:instrText>
          </w:r>
          <w:r>
            <w:fldChar w:fldCharType="separate"/>
          </w:r>
          <w:r>
            <w:rPr>
              <w:rFonts w:ascii="Times New Roman" w:hAnsi="Times New Roman"/>
              <w:szCs w:val="28"/>
            </w:rPr>
            <w:t>九、保密和披露</w:t>
          </w:r>
          <w:r>
            <w:tab/>
          </w:r>
          <w:r>
            <w:fldChar w:fldCharType="begin"/>
          </w:r>
          <w:r>
            <w:instrText xml:space="preserve"> PAGEREF _Toc15073 \h </w:instrText>
          </w:r>
          <w:r>
            <w:fldChar w:fldCharType="separate"/>
          </w:r>
          <w:r>
            <w:t>26</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_Toc19196 </w:instrText>
          </w:r>
          <w:r>
            <w:fldChar w:fldCharType="separate"/>
          </w:r>
          <w:r>
            <w:rPr>
              <w:rFonts w:ascii="Times New Roman" w:hAnsi="Times New Roman"/>
              <w:szCs w:val="28"/>
            </w:rPr>
            <w:t>十、询问、质疑和投诉</w:t>
          </w:r>
          <w:r>
            <w:tab/>
          </w:r>
          <w:r>
            <w:fldChar w:fldCharType="begin"/>
          </w:r>
          <w:r>
            <w:instrText xml:space="preserve"> PAGEREF _Toc19196 \h </w:instrText>
          </w:r>
          <w:r>
            <w:fldChar w:fldCharType="separate"/>
          </w:r>
          <w:r>
            <w:t>26</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_Toc9111 </w:instrText>
          </w:r>
          <w:r>
            <w:fldChar w:fldCharType="separate"/>
          </w:r>
          <w:r>
            <w:rPr>
              <w:rFonts w:ascii="Times New Roman" w:hAnsi="Times New Roman"/>
              <w:szCs w:val="28"/>
            </w:rPr>
            <w:t>十一、违约处罚</w:t>
          </w:r>
          <w:r>
            <w:tab/>
          </w:r>
          <w:r>
            <w:fldChar w:fldCharType="begin"/>
          </w:r>
          <w:r>
            <w:instrText xml:space="preserve"> PAGEREF _Toc9111 \h </w:instrText>
          </w:r>
          <w:r>
            <w:fldChar w:fldCharType="separate"/>
          </w:r>
          <w:r>
            <w:t>29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_Toc1975 </w:instrText>
          </w:r>
          <w:r>
            <w:fldChar w:fldCharType="separate"/>
          </w:r>
          <w:r>
            <w:rPr>
              <w:rFonts w:ascii="Times New Roman" w:hAnsi="Times New Roman"/>
              <w:szCs w:val="28"/>
            </w:rPr>
            <w:t>十二、政策性因素</w:t>
          </w:r>
          <w:r>
            <w:tab/>
          </w:r>
          <w:r>
            <w:fldChar w:fldCharType="begin"/>
          </w:r>
          <w:r>
            <w:instrText xml:space="preserve"> PAGEREF _Toc1975 \h </w:instrText>
          </w:r>
          <w:r>
            <w:fldChar w:fldCharType="separate"/>
          </w:r>
          <w:r>
            <w:t>30</w:t>
          </w:r>
          <w:r>
            <w:fldChar w:fldCharType="end"/>
          </w:r>
          <w:r>
            <w:rPr>
              <w:color w:val="000000" w:themeColor="text1"/>
              <w14:textFill>
                <w14:solidFill>
                  <w14:schemeClr w14:val="tx1"/>
                </w14:solidFill>
              </w14:textFill>
            </w:rPr>
            <w:fldChar w:fldCharType="end"/>
          </w:r>
        </w:p>
        <w:p>
          <w:pPr>
            <w:pStyle w:val="11"/>
            <w:tabs>
              <w:tab w:val="right" w:leader="dot" w:pos="8299"/>
            </w:tabs>
          </w:pPr>
          <w:r>
            <w:rPr>
              <w:color w:val="000000" w:themeColor="text1"/>
              <w14:textFill>
                <w14:solidFill>
                  <w14:schemeClr w14:val="tx1"/>
                </w14:solidFill>
              </w14:textFill>
            </w:rPr>
            <w:fldChar w:fldCharType="begin"/>
          </w:r>
          <w:r>
            <w:instrText xml:space="preserve"> HYPERLINK \l _Toc14196 </w:instrText>
          </w:r>
          <w:r>
            <w:fldChar w:fldCharType="separate"/>
          </w:r>
          <w:r>
            <w:t>第三部分 评标标准和评标方法</w:t>
          </w:r>
          <w:r>
            <w:tab/>
          </w:r>
          <w:r>
            <w:fldChar w:fldCharType="begin"/>
          </w:r>
          <w:r>
            <w:instrText xml:space="preserve"> PAGEREF _Toc14196 \h </w:instrText>
          </w:r>
          <w:r>
            <w:fldChar w:fldCharType="separate"/>
          </w:r>
          <w:r>
            <w:t>34</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_Toc25105 </w:instrText>
          </w:r>
          <w:r>
            <w:fldChar w:fldCharType="separate"/>
          </w:r>
          <w:r>
            <w:t>包</w:t>
          </w:r>
          <w:r>
            <w:rPr>
              <w:rFonts w:hint="eastAsia"/>
            </w:rPr>
            <w:t>17</w:t>
          </w:r>
          <w:r>
            <w:t>“</w:t>
          </w:r>
          <w:r>
            <w:rPr>
              <w:rFonts w:hint="eastAsia"/>
            </w:rPr>
            <w:t>盥洗车</w:t>
          </w:r>
          <w:r>
            <w:t>”评标标准和评标方法</w:t>
          </w:r>
          <w:r>
            <w:tab/>
          </w:r>
          <w:r>
            <w:fldChar w:fldCharType="begin"/>
          </w:r>
          <w:r>
            <w:instrText xml:space="preserve"> PAGEREF _Toc25105 \h </w:instrText>
          </w:r>
          <w:r>
            <w:fldChar w:fldCharType="separate"/>
          </w:r>
          <w:r>
            <w:t>35</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_Toc2599 </w:instrText>
          </w:r>
          <w:r>
            <w:fldChar w:fldCharType="separate"/>
          </w:r>
          <w:r>
            <w:t>包</w:t>
          </w:r>
          <w:r>
            <w:rPr>
              <w:rFonts w:hint="eastAsia"/>
            </w:rPr>
            <w:t>18</w:t>
          </w:r>
          <w:r>
            <w:t>“被服洗涤车”评标标准和评标方法</w:t>
          </w:r>
          <w:r>
            <w:tab/>
          </w:r>
          <w:r>
            <w:fldChar w:fldCharType="begin"/>
          </w:r>
          <w:r>
            <w:instrText xml:space="preserve"> PAGEREF _Toc2599 \h </w:instrText>
          </w:r>
          <w:r>
            <w:fldChar w:fldCharType="separate"/>
          </w:r>
          <w:r>
            <w:t>39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_Toc22993 </w:instrText>
          </w:r>
          <w:r>
            <w:fldChar w:fldCharType="separate"/>
          </w:r>
          <w:r>
            <w:t>包</w:t>
          </w:r>
          <w:r>
            <w:rPr>
              <w:rFonts w:hint="eastAsia"/>
            </w:rPr>
            <w:t>19</w:t>
          </w:r>
          <w:r>
            <w:t>“</w:t>
          </w:r>
          <w:r>
            <w:rPr>
              <w:rFonts w:hint="eastAsia"/>
            </w:rPr>
            <w:t>运兵车</w:t>
          </w:r>
          <w:r>
            <w:t>”评标标准和评标方法</w:t>
          </w:r>
          <w:r>
            <w:tab/>
          </w:r>
          <w:r>
            <w:fldChar w:fldCharType="begin"/>
          </w:r>
          <w:r>
            <w:instrText xml:space="preserve"> PAGEREF _Toc22993 \h </w:instrText>
          </w:r>
          <w:r>
            <w:fldChar w:fldCharType="separate"/>
          </w:r>
          <w:r>
            <w:t>43</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_Toc5120 </w:instrText>
          </w:r>
          <w:r>
            <w:fldChar w:fldCharType="separate"/>
          </w:r>
          <w:r>
            <w:t>包</w:t>
          </w:r>
          <w:r>
            <w:rPr>
              <w:rFonts w:hint="eastAsia"/>
            </w:rPr>
            <w:t>20</w:t>
          </w:r>
          <w:r>
            <w:t>“装备维修车”评标标准和评标方法</w:t>
          </w:r>
          <w:r>
            <w:tab/>
          </w:r>
          <w:r>
            <w:fldChar w:fldCharType="begin"/>
          </w:r>
          <w:r>
            <w:instrText xml:space="preserve"> PAGEREF _Toc5120 \h </w:instrText>
          </w:r>
          <w:r>
            <w:fldChar w:fldCharType="separate"/>
          </w:r>
          <w:r>
            <w:t>47</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_Toc10012 </w:instrText>
          </w:r>
          <w:r>
            <w:fldChar w:fldCharType="separate"/>
          </w:r>
          <w:r>
            <w:t>包</w:t>
          </w:r>
          <w:r>
            <w:rPr>
              <w:rFonts w:hint="eastAsia"/>
            </w:rPr>
            <w:t>21</w:t>
          </w:r>
          <w:r>
            <w:t>“水质净化车”评标标准和评标方法</w:t>
          </w:r>
          <w:r>
            <w:tab/>
          </w:r>
          <w:r>
            <w:fldChar w:fldCharType="begin"/>
          </w:r>
          <w:r>
            <w:instrText xml:space="preserve"> PAGEREF _Toc10012 \h </w:instrText>
          </w:r>
          <w:r>
            <w:fldChar w:fldCharType="separate"/>
          </w:r>
          <w:r>
            <w:t>51</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_Toc12608 </w:instrText>
          </w:r>
          <w:r>
            <w:fldChar w:fldCharType="separate"/>
          </w:r>
          <w:r>
            <w:t>包</w:t>
          </w:r>
          <w:r>
            <w:rPr>
              <w:rFonts w:hint="eastAsia"/>
            </w:rPr>
            <w:t>22</w:t>
          </w:r>
          <w:r>
            <w:t>“潜水救援车”评标标准和评标方法</w:t>
          </w:r>
          <w:r>
            <w:tab/>
          </w:r>
          <w:r>
            <w:fldChar w:fldCharType="begin"/>
          </w:r>
          <w:r>
            <w:instrText xml:space="preserve"> PAGEREF _Toc12608 \h </w:instrText>
          </w:r>
          <w:r>
            <w:fldChar w:fldCharType="separate"/>
          </w:r>
          <w:r>
            <w:t>55</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_Toc28440 </w:instrText>
          </w:r>
          <w:r>
            <w:fldChar w:fldCharType="separate"/>
          </w:r>
          <w:r>
            <w:t>包</w:t>
          </w:r>
          <w:r>
            <w:rPr>
              <w:rFonts w:hint="eastAsia"/>
            </w:rPr>
            <w:t>23</w:t>
          </w:r>
          <w:r>
            <w:t>“大型排涝车A”评标标准和评标方法</w:t>
          </w:r>
          <w:r>
            <w:tab/>
          </w:r>
          <w:r>
            <w:fldChar w:fldCharType="begin"/>
          </w:r>
          <w:r>
            <w:instrText xml:space="preserve"> PAGEREF _Toc28440 \h </w:instrText>
          </w:r>
          <w:r>
            <w:fldChar w:fldCharType="separate"/>
          </w:r>
          <w:r>
            <w:t>59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_Toc27833 </w:instrText>
          </w:r>
          <w:r>
            <w:fldChar w:fldCharType="separate"/>
          </w:r>
          <w:r>
            <w:t>包</w:t>
          </w:r>
          <w:r>
            <w:rPr>
              <w:rFonts w:hint="eastAsia"/>
            </w:rPr>
            <w:t>24</w:t>
          </w:r>
          <w:r>
            <w:t>“大型排涝车B”评标标准和评标方法</w:t>
          </w:r>
          <w:r>
            <w:tab/>
          </w:r>
          <w:r>
            <w:fldChar w:fldCharType="begin"/>
          </w:r>
          <w:r>
            <w:instrText xml:space="preserve"> PAGEREF _Toc27833 \h </w:instrText>
          </w:r>
          <w:r>
            <w:fldChar w:fldCharType="separate"/>
          </w:r>
          <w:r>
            <w:t>63</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_Toc10891 </w:instrText>
          </w:r>
          <w:r>
            <w:fldChar w:fldCharType="separate"/>
          </w:r>
          <w:r>
            <w:t>包</w:t>
          </w:r>
          <w:r>
            <w:rPr>
              <w:rFonts w:hint="eastAsia"/>
            </w:rPr>
            <w:t>25</w:t>
          </w:r>
          <w:r>
            <w:t>“泡沫输转消防车”评标标准和评标方法</w:t>
          </w:r>
          <w:r>
            <w:tab/>
          </w:r>
          <w:r>
            <w:fldChar w:fldCharType="begin"/>
          </w:r>
          <w:r>
            <w:instrText xml:space="preserve"> PAGEREF _Toc10891 \h </w:instrText>
          </w:r>
          <w:r>
            <w:fldChar w:fldCharType="separate"/>
          </w:r>
          <w:r>
            <w:t>67</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_Toc30823 </w:instrText>
          </w:r>
          <w:r>
            <w:fldChar w:fldCharType="separate"/>
          </w:r>
          <w:r>
            <w:t>包</w:t>
          </w:r>
          <w:r>
            <w:rPr>
              <w:rFonts w:hint="eastAsia"/>
            </w:rPr>
            <w:t>26</w:t>
          </w:r>
          <w:r>
            <w:t>“前突皮卡车（含器材汽油版）”评标标准和评标方法</w:t>
          </w:r>
          <w:r>
            <w:tab/>
          </w:r>
          <w:r>
            <w:fldChar w:fldCharType="begin"/>
          </w:r>
          <w:r>
            <w:instrText xml:space="preserve"> PAGEREF _Toc30823 \h </w:instrText>
          </w:r>
          <w:r>
            <w:fldChar w:fldCharType="separate"/>
          </w:r>
          <w:r>
            <w:t>71</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_Toc13960 </w:instrText>
          </w:r>
          <w:r>
            <w:fldChar w:fldCharType="separate"/>
          </w:r>
          <w:r>
            <w:t>包27“前突皮卡车（含器材柴油版）”评标标准和评标方法</w:t>
          </w:r>
          <w:r>
            <w:tab/>
          </w:r>
          <w:r>
            <w:fldChar w:fldCharType="begin"/>
          </w:r>
          <w:r>
            <w:instrText xml:space="preserve"> PAGEREF _Toc13960 \h </w:instrText>
          </w:r>
          <w:r>
            <w:fldChar w:fldCharType="separate"/>
          </w:r>
          <w:r>
            <w:t>75</w:t>
          </w:r>
          <w:r>
            <w:fldChar w:fldCharType="end"/>
          </w:r>
          <w:r>
            <w:rPr>
              <w:color w:val="000000" w:themeColor="text1"/>
              <w14:textFill>
                <w14:solidFill>
                  <w14:schemeClr w14:val="tx1"/>
                </w14:solidFill>
              </w14:textFill>
            </w:rPr>
            <w:fldChar w:fldCharType="end"/>
          </w:r>
        </w:p>
        <w:p>
          <w:pPr>
            <w:pStyle w:val="11"/>
            <w:tabs>
              <w:tab w:val="right" w:leader="dot" w:pos="8299"/>
            </w:tabs>
          </w:pPr>
          <w:r>
            <w:rPr>
              <w:color w:val="000000" w:themeColor="text1"/>
              <w14:textFill>
                <w14:solidFill>
                  <w14:schemeClr w14:val="tx1"/>
                </w14:solidFill>
              </w14:textFill>
            </w:rPr>
            <w:fldChar w:fldCharType="begin"/>
          </w:r>
          <w:r>
            <w:instrText xml:space="preserve"> HYPERLINK \l _Toc3063 </w:instrText>
          </w:r>
          <w:r>
            <w:fldChar w:fldCharType="separate"/>
          </w:r>
          <w:r>
            <w:t>第四部分 商务、技术要求</w:t>
          </w:r>
          <w:r>
            <w:tab/>
          </w:r>
          <w:r>
            <w:fldChar w:fldCharType="begin"/>
          </w:r>
          <w:r>
            <w:instrText xml:space="preserve"> PAGEREF _Toc3063 \h </w:instrText>
          </w:r>
          <w:r>
            <w:fldChar w:fldCharType="separate"/>
          </w:r>
          <w:r>
            <w:t>79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_Toc1895 </w:instrText>
          </w:r>
          <w:r>
            <w:fldChar w:fldCharType="separate"/>
          </w:r>
          <w:r>
            <w:rPr>
              <w:rFonts w:ascii="Times New Roman" w:hAnsi="Times New Roman"/>
            </w:rPr>
            <w:t>商务要求</w:t>
          </w:r>
          <w:r>
            <w:tab/>
          </w:r>
          <w:r>
            <w:fldChar w:fldCharType="begin"/>
          </w:r>
          <w:r>
            <w:instrText xml:space="preserve"> PAGEREF _Toc1895 \h </w:instrText>
          </w:r>
          <w:r>
            <w:fldChar w:fldCharType="separate"/>
          </w:r>
          <w:r>
            <w:t>79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_Toc24655 </w:instrText>
          </w:r>
          <w:r>
            <w:fldChar w:fldCharType="separate"/>
          </w:r>
          <w:r>
            <w:t>技术要求</w:t>
          </w:r>
          <w:r>
            <w:tab/>
          </w:r>
          <w:r>
            <w:fldChar w:fldCharType="begin"/>
          </w:r>
          <w:r>
            <w:instrText xml:space="preserve"> PAGEREF _Toc24655 \h </w:instrText>
          </w:r>
          <w:r>
            <w:fldChar w:fldCharType="separate"/>
          </w:r>
          <w:r>
            <w:t>88</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_Toc30877 </w:instrText>
          </w:r>
          <w:r>
            <w:fldChar w:fldCharType="separate"/>
          </w:r>
          <w:r>
            <w:rPr>
              <w:rFonts w:hint="eastAsia"/>
            </w:rPr>
            <w:t>包</w:t>
          </w:r>
          <w:r>
            <w:rPr>
              <w:rFonts w:hint="eastAsia"/>
              <w:lang w:val="en-US" w:eastAsia="zh-CN"/>
            </w:rPr>
            <w:t>17</w:t>
          </w:r>
          <w:r>
            <w:rPr>
              <w:rFonts w:hint="eastAsia"/>
            </w:rPr>
            <w:t xml:space="preserve">  </w:t>
          </w:r>
          <w:r>
            <w:rPr>
              <w:rFonts w:hint="eastAsia"/>
              <w:lang w:eastAsia="zh-CN"/>
            </w:rPr>
            <w:t>“</w:t>
          </w:r>
          <w:r>
            <w:rPr>
              <w:rFonts w:hint="eastAsia"/>
            </w:rPr>
            <w:t>盥洗车</w:t>
          </w:r>
          <w:r>
            <w:rPr>
              <w:rFonts w:hint="eastAsia"/>
              <w:lang w:eastAsia="zh-CN"/>
            </w:rPr>
            <w:t>”</w:t>
          </w:r>
          <w:r>
            <w:tab/>
          </w:r>
          <w:r>
            <w:fldChar w:fldCharType="begin"/>
          </w:r>
          <w:r>
            <w:instrText xml:space="preserve"> PAGEREF _Toc30877 \h </w:instrText>
          </w:r>
          <w:r>
            <w:fldChar w:fldCharType="separate"/>
          </w:r>
          <w:r>
            <w:t>89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_Toc30870 </w:instrText>
          </w:r>
          <w:r>
            <w:fldChar w:fldCharType="separate"/>
          </w:r>
          <w:r>
            <w:rPr>
              <w:rFonts w:hint="eastAsia"/>
              <w:bCs/>
            </w:rPr>
            <w:t>第</w:t>
          </w:r>
          <w:r>
            <w:rPr>
              <w:rFonts w:hint="eastAsia"/>
              <w:bCs/>
              <w:lang w:val="en-US" w:eastAsia="zh-CN"/>
            </w:rPr>
            <w:t>18</w:t>
          </w:r>
          <w:r>
            <w:rPr>
              <w:rFonts w:hint="eastAsia"/>
              <w:bCs/>
            </w:rPr>
            <w:t xml:space="preserve">  </w:t>
          </w:r>
          <w:r>
            <w:rPr>
              <w:rFonts w:hint="eastAsia"/>
              <w:bCs/>
              <w:lang w:eastAsia="zh-CN"/>
            </w:rPr>
            <w:t>“</w:t>
          </w:r>
          <w:r>
            <w:rPr>
              <w:rFonts w:hint="eastAsia"/>
              <w:bCs/>
            </w:rPr>
            <w:t>被服洗涤车</w:t>
          </w:r>
          <w:r>
            <w:rPr>
              <w:rFonts w:hint="eastAsia"/>
              <w:bCs/>
              <w:lang w:eastAsia="zh-CN"/>
            </w:rPr>
            <w:t>”</w:t>
          </w:r>
          <w:r>
            <w:tab/>
          </w:r>
          <w:r>
            <w:fldChar w:fldCharType="begin"/>
          </w:r>
          <w:r>
            <w:instrText xml:space="preserve"> PAGEREF _Toc30870 \h </w:instrText>
          </w:r>
          <w:r>
            <w:fldChar w:fldCharType="separate"/>
          </w:r>
          <w:r>
            <w:t>97</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_Toc18476 </w:instrText>
          </w:r>
          <w:r>
            <w:fldChar w:fldCharType="separate"/>
          </w:r>
          <w:r>
            <w:rPr>
              <w:rFonts w:hint="eastAsia"/>
            </w:rPr>
            <w:t>第</w:t>
          </w:r>
          <w:r>
            <w:rPr>
              <w:rFonts w:hint="eastAsia"/>
              <w:lang w:val="en-US" w:eastAsia="zh-CN"/>
            </w:rPr>
            <w:t>19</w:t>
          </w:r>
          <w:r>
            <w:rPr>
              <w:rFonts w:hint="eastAsia"/>
            </w:rPr>
            <w:t xml:space="preserve"> </w:t>
          </w:r>
          <w:r>
            <w:rPr>
              <w:rFonts w:hint="eastAsia"/>
              <w:lang w:eastAsia="zh-CN"/>
            </w:rPr>
            <w:t>“</w:t>
          </w:r>
          <w:r>
            <w:rPr>
              <w:rFonts w:hint="eastAsia"/>
            </w:rPr>
            <w:t xml:space="preserve"> 运兵车</w:t>
          </w:r>
          <w:r>
            <w:rPr>
              <w:rFonts w:hint="eastAsia"/>
              <w:lang w:eastAsia="zh-CN"/>
            </w:rPr>
            <w:t>”</w:t>
          </w:r>
          <w:r>
            <w:tab/>
          </w:r>
          <w:r>
            <w:fldChar w:fldCharType="begin"/>
          </w:r>
          <w:r>
            <w:instrText xml:space="preserve"> PAGEREF _Toc18476 \h </w:instrText>
          </w:r>
          <w:r>
            <w:fldChar w:fldCharType="separate"/>
          </w:r>
          <w:r>
            <w:t>105</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_Toc11350 </w:instrText>
          </w:r>
          <w:r>
            <w:fldChar w:fldCharType="separate"/>
          </w:r>
          <w:r>
            <w:rPr>
              <w:rFonts w:hint="eastAsia"/>
            </w:rPr>
            <w:t>第</w:t>
          </w:r>
          <w:r>
            <w:rPr>
              <w:rFonts w:hint="eastAsia"/>
              <w:lang w:val="en-US" w:eastAsia="zh-CN"/>
            </w:rPr>
            <w:t>20</w:t>
          </w:r>
          <w:r>
            <w:rPr>
              <w:rFonts w:hint="eastAsia"/>
            </w:rPr>
            <w:t xml:space="preserve">  </w:t>
          </w:r>
          <w:r>
            <w:rPr>
              <w:rFonts w:hint="eastAsia"/>
              <w:lang w:eastAsia="zh-CN"/>
            </w:rPr>
            <w:t>“</w:t>
          </w:r>
          <w:r>
            <w:rPr>
              <w:rFonts w:hint="eastAsia"/>
            </w:rPr>
            <w:t>装备维修车</w:t>
          </w:r>
          <w:r>
            <w:rPr>
              <w:rFonts w:hint="eastAsia"/>
              <w:lang w:eastAsia="zh-CN"/>
            </w:rPr>
            <w:t>”</w:t>
          </w:r>
          <w:r>
            <w:tab/>
          </w:r>
          <w:r>
            <w:fldChar w:fldCharType="begin"/>
          </w:r>
          <w:r>
            <w:instrText xml:space="preserve"> PAGEREF _Toc11350 \h </w:instrText>
          </w:r>
          <w:r>
            <w:fldChar w:fldCharType="separate"/>
          </w:r>
          <w:r>
            <w:t>109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_Toc709 </w:instrText>
          </w:r>
          <w:r>
            <w:fldChar w:fldCharType="separate"/>
          </w:r>
          <w:r>
            <w:rPr>
              <w:rFonts w:hint="eastAsia"/>
            </w:rPr>
            <w:t>第</w:t>
          </w:r>
          <w:r>
            <w:rPr>
              <w:rFonts w:hint="eastAsia"/>
              <w:lang w:val="en-US" w:eastAsia="zh-CN"/>
            </w:rPr>
            <w:t>21</w:t>
          </w:r>
          <w:r>
            <w:rPr>
              <w:rFonts w:hint="eastAsia"/>
            </w:rPr>
            <w:t xml:space="preserve">  </w:t>
          </w:r>
          <w:r>
            <w:rPr>
              <w:rFonts w:hint="eastAsia"/>
              <w:lang w:eastAsia="zh-CN"/>
            </w:rPr>
            <w:t>“</w:t>
          </w:r>
          <w:r>
            <w:rPr>
              <w:rFonts w:hint="eastAsia"/>
            </w:rPr>
            <w:t>水质净化车</w:t>
          </w:r>
          <w:r>
            <w:rPr>
              <w:rFonts w:hint="eastAsia"/>
              <w:lang w:eastAsia="zh-CN"/>
            </w:rPr>
            <w:t>”</w:t>
          </w:r>
          <w:r>
            <w:tab/>
          </w:r>
          <w:r>
            <w:fldChar w:fldCharType="begin"/>
          </w:r>
          <w:r>
            <w:instrText xml:space="preserve"> PAGEREF _Toc709 \h </w:instrText>
          </w:r>
          <w:r>
            <w:fldChar w:fldCharType="separate"/>
          </w:r>
          <w:r>
            <w:t>122</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_Toc17309 </w:instrText>
          </w:r>
          <w:r>
            <w:fldChar w:fldCharType="separate"/>
          </w:r>
          <w:r>
            <w:rPr>
              <w:rFonts w:hint="eastAsia"/>
            </w:rPr>
            <w:t>第</w:t>
          </w:r>
          <w:r>
            <w:rPr>
              <w:rFonts w:hint="eastAsia"/>
              <w:lang w:val="en-US" w:eastAsia="zh-CN"/>
            </w:rPr>
            <w:t>22</w:t>
          </w:r>
          <w:r>
            <w:rPr>
              <w:rFonts w:hint="eastAsia"/>
            </w:rPr>
            <w:t xml:space="preserve">  </w:t>
          </w:r>
          <w:r>
            <w:rPr>
              <w:rFonts w:hint="eastAsia"/>
              <w:lang w:eastAsia="zh-CN"/>
            </w:rPr>
            <w:t>“</w:t>
          </w:r>
          <w:r>
            <w:rPr>
              <w:rFonts w:hint="eastAsia"/>
            </w:rPr>
            <w:t>潜水救援车</w:t>
          </w:r>
          <w:r>
            <w:rPr>
              <w:rFonts w:hint="eastAsia"/>
              <w:lang w:eastAsia="zh-CN"/>
            </w:rPr>
            <w:t>”</w:t>
          </w:r>
          <w:r>
            <w:tab/>
          </w:r>
          <w:r>
            <w:fldChar w:fldCharType="begin"/>
          </w:r>
          <w:r>
            <w:instrText xml:space="preserve"> PAGEREF _Toc17309 \h </w:instrText>
          </w:r>
          <w:r>
            <w:fldChar w:fldCharType="separate"/>
          </w:r>
          <w:r>
            <w:t>131</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_Toc3543 </w:instrText>
          </w:r>
          <w:r>
            <w:fldChar w:fldCharType="separate"/>
          </w:r>
          <w:r>
            <w:rPr>
              <w:rFonts w:hint="eastAsia"/>
            </w:rPr>
            <w:t>第</w:t>
          </w:r>
          <w:r>
            <w:rPr>
              <w:rFonts w:hint="eastAsia"/>
              <w:lang w:val="en-US" w:eastAsia="zh-CN"/>
            </w:rPr>
            <w:t>23</w:t>
          </w:r>
          <w:r>
            <w:rPr>
              <w:rFonts w:hint="eastAsia"/>
            </w:rPr>
            <w:t xml:space="preserve">  </w:t>
          </w:r>
          <w:r>
            <w:rPr>
              <w:rFonts w:hint="eastAsia"/>
              <w:lang w:eastAsia="zh-CN"/>
            </w:rPr>
            <w:t>“</w:t>
          </w:r>
          <w:r>
            <w:rPr>
              <w:rFonts w:hint="eastAsia"/>
            </w:rPr>
            <w:t>大型排涝车A</w:t>
          </w:r>
          <w:r>
            <w:rPr>
              <w:rFonts w:hint="eastAsia"/>
              <w:lang w:eastAsia="zh-CN"/>
            </w:rPr>
            <w:t>”</w:t>
          </w:r>
          <w:r>
            <w:tab/>
          </w:r>
          <w:r>
            <w:fldChar w:fldCharType="begin"/>
          </w:r>
          <w:r>
            <w:instrText xml:space="preserve"> PAGEREF _Toc3543 \h </w:instrText>
          </w:r>
          <w:r>
            <w:fldChar w:fldCharType="separate"/>
          </w:r>
          <w:r>
            <w:t>145</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_Toc15699 </w:instrText>
          </w:r>
          <w:r>
            <w:fldChar w:fldCharType="separate"/>
          </w:r>
          <w:r>
            <w:rPr>
              <w:rFonts w:hint="eastAsia"/>
            </w:rPr>
            <w:t>第</w:t>
          </w:r>
          <w:r>
            <w:rPr>
              <w:rFonts w:hint="eastAsia"/>
              <w:lang w:val="en-US" w:eastAsia="zh-CN"/>
            </w:rPr>
            <w:t>24</w:t>
          </w:r>
          <w:r>
            <w:rPr>
              <w:rFonts w:hint="eastAsia"/>
            </w:rPr>
            <w:t xml:space="preserve">  </w:t>
          </w:r>
          <w:r>
            <w:rPr>
              <w:rFonts w:hint="eastAsia"/>
              <w:lang w:eastAsia="zh-CN"/>
            </w:rPr>
            <w:t>“</w:t>
          </w:r>
          <w:r>
            <w:rPr>
              <w:rFonts w:hint="eastAsia"/>
            </w:rPr>
            <w:t>大型排涝车B</w:t>
          </w:r>
          <w:r>
            <w:rPr>
              <w:rFonts w:hint="eastAsia"/>
              <w:lang w:eastAsia="zh-CN"/>
            </w:rPr>
            <w:t>”</w:t>
          </w:r>
          <w:r>
            <w:tab/>
          </w:r>
          <w:r>
            <w:fldChar w:fldCharType="begin"/>
          </w:r>
          <w:r>
            <w:instrText xml:space="preserve"> PAGEREF _Toc15699 \h </w:instrText>
          </w:r>
          <w:r>
            <w:fldChar w:fldCharType="separate"/>
          </w:r>
          <w:r>
            <w:t>153</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_Toc10005 </w:instrText>
          </w:r>
          <w:r>
            <w:fldChar w:fldCharType="separate"/>
          </w:r>
          <w:r>
            <w:rPr>
              <w:rFonts w:hint="eastAsia"/>
            </w:rPr>
            <w:t>第</w:t>
          </w:r>
          <w:r>
            <w:rPr>
              <w:rFonts w:hint="eastAsia"/>
              <w:lang w:val="en-US" w:eastAsia="zh-CN"/>
            </w:rPr>
            <w:t>25</w:t>
          </w:r>
          <w:r>
            <w:rPr>
              <w:rFonts w:hint="eastAsia"/>
            </w:rPr>
            <w:t xml:space="preserve">  </w:t>
          </w:r>
          <w:r>
            <w:rPr>
              <w:rFonts w:hint="eastAsia"/>
              <w:lang w:eastAsia="zh-CN"/>
            </w:rPr>
            <w:t>“</w:t>
          </w:r>
          <w:r>
            <w:rPr>
              <w:rFonts w:hint="eastAsia"/>
            </w:rPr>
            <w:t>泡沫输转消防车</w:t>
          </w:r>
          <w:r>
            <w:rPr>
              <w:rFonts w:hint="eastAsia"/>
              <w:lang w:eastAsia="zh-CN"/>
            </w:rPr>
            <w:t>”</w:t>
          </w:r>
          <w:r>
            <w:tab/>
          </w:r>
          <w:r>
            <w:fldChar w:fldCharType="begin"/>
          </w:r>
          <w:r>
            <w:instrText xml:space="preserve"> PAGEREF _Toc10005 \h </w:instrText>
          </w:r>
          <w:r>
            <w:fldChar w:fldCharType="separate"/>
          </w:r>
          <w:r>
            <w:t>161</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_Toc22815 </w:instrText>
          </w:r>
          <w:r>
            <w:fldChar w:fldCharType="separate"/>
          </w:r>
          <w:r>
            <w:rPr>
              <w:rFonts w:hint="eastAsia"/>
            </w:rPr>
            <w:t>第</w:t>
          </w:r>
          <w:r>
            <w:rPr>
              <w:rFonts w:hint="eastAsia"/>
              <w:lang w:val="en-US" w:eastAsia="zh-CN"/>
            </w:rPr>
            <w:t>26</w:t>
          </w:r>
          <w:r>
            <w:rPr>
              <w:rFonts w:hint="eastAsia"/>
            </w:rPr>
            <w:t xml:space="preserve">  前突皮卡车</w:t>
          </w:r>
          <w:r>
            <w:tab/>
          </w:r>
          <w:r>
            <w:fldChar w:fldCharType="begin"/>
          </w:r>
          <w:r>
            <w:instrText xml:space="preserve"> PAGEREF _Toc22815 \h </w:instrText>
          </w:r>
          <w:r>
            <w:fldChar w:fldCharType="separate"/>
          </w:r>
          <w:r>
            <w:t>169</w:t>
          </w:r>
          <w:r>
            <w:fldChar w:fldCharType="end"/>
          </w:r>
          <w:r>
            <w:rPr>
              <w:color w:val="000000" w:themeColor="text1"/>
              <w14:textFill>
                <w14:solidFill>
                  <w14:schemeClr w14:val="tx1"/>
                </w14:solidFill>
              </w14:textFill>
            </w:rPr>
            <w:fldChar w:fldCharType="end"/>
          </w:r>
        </w:p>
        <w:p>
          <w:pPr>
            <w:pStyle w:val="12"/>
            <w:tabs>
              <w:tab w:val="right" w:leader="dot" w:pos="8299"/>
            </w:tabs>
          </w:pPr>
          <w:r>
            <w:rPr>
              <w:color w:val="000000" w:themeColor="text1"/>
              <w14:textFill>
                <w14:solidFill>
                  <w14:schemeClr w14:val="tx1"/>
                </w14:solidFill>
              </w14:textFill>
            </w:rPr>
            <w:fldChar w:fldCharType="begin"/>
          </w:r>
          <w:r>
            <w:instrText xml:space="preserve"> HYPERLINK \l _Toc11584 </w:instrText>
          </w:r>
          <w:r>
            <w:fldChar w:fldCharType="separate"/>
          </w:r>
          <w:r>
            <w:rPr>
              <w:rFonts w:hint="eastAsia"/>
            </w:rPr>
            <w:t>第</w:t>
          </w:r>
          <w:r>
            <w:rPr>
              <w:rFonts w:hint="eastAsia"/>
              <w:lang w:val="en-US" w:eastAsia="zh-CN"/>
            </w:rPr>
            <w:t>27</w:t>
          </w:r>
          <w:r>
            <w:rPr>
              <w:rFonts w:hint="eastAsia"/>
            </w:rPr>
            <w:t xml:space="preserve">  前突皮卡车</w:t>
          </w:r>
          <w:r>
            <w:tab/>
          </w:r>
          <w:r>
            <w:fldChar w:fldCharType="begin"/>
          </w:r>
          <w:r>
            <w:instrText xml:space="preserve"> PAGEREF _Toc11584 \h </w:instrText>
          </w:r>
          <w:r>
            <w:fldChar w:fldCharType="separate"/>
          </w:r>
          <w:r>
            <w:t>187</w:t>
          </w:r>
          <w:r>
            <w:fldChar w:fldCharType="end"/>
          </w:r>
          <w:r>
            <w:rPr>
              <w:color w:val="000000" w:themeColor="text1"/>
              <w14:textFill>
                <w14:solidFill>
                  <w14:schemeClr w14:val="tx1"/>
                </w14:solidFill>
              </w14:textFill>
            </w:rPr>
            <w:fldChar w:fldCharType="end"/>
          </w:r>
        </w:p>
        <w:p>
          <w:pPr>
            <w:pStyle w:val="11"/>
            <w:tabs>
              <w:tab w:val="right" w:leader="dot" w:pos="8299"/>
            </w:tabs>
          </w:pPr>
          <w:r>
            <w:rPr>
              <w:color w:val="000000" w:themeColor="text1"/>
              <w14:textFill>
                <w14:solidFill>
                  <w14:schemeClr w14:val="tx1"/>
                </w14:solidFill>
              </w14:textFill>
            </w:rPr>
            <w:fldChar w:fldCharType="begin"/>
          </w:r>
          <w:r>
            <w:instrText xml:space="preserve"> HYPERLINK \l _Toc2447 </w:instrText>
          </w:r>
          <w:r>
            <w:fldChar w:fldCharType="separate"/>
          </w:r>
          <w:r>
            <w:t xml:space="preserve">第五部分 </w:t>
          </w:r>
          <w:r>
            <w:rPr>
              <w:rFonts w:hint="eastAsia"/>
              <w:lang w:val="en-US" w:eastAsia="zh-CN"/>
            </w:rPr>
            <w:t xml:space="preserve"> </w:t>
          </w:r>
          <w:r>
            <w:t>合同原则</w:t>
          </w:r>
          <w:r>
            <w:tab/>
          </w:r>
          <w:r>
            <w:fldChar w:fldCharType="begin"/>
          </w:r>
          <w:r>
            <w:instrText xml:space="preserve"> PAGEREF _Toc2447 \h </w:instrText>
          </w:r>
          <w:r>
            <w:fldChar w:fldCharType="separate"/>
          </w:r>
          <w:r>
            <w:t>202</w:t>
          </w:r>
          <w:r>
            <w:fldChar w:fldCharType="end"/>
          </w:r>
          <w:r>
            <w:rPr>
              <w:color w:val="000000" w:themeColor="text1"/>
              <w14:textFill>
                <w14:solidFill>
                  <w14:schemeClr w14:val="tx1"/>
                </w14:solidFill>
              </w14:textFill>
            </w:rPr>
            <w:fldChar w:fldCharType="end"/>
          </w:r>
        </w:p>
        <w:p>
          <w:pPr>
            <w:pStyle w:val="11"/>
            <w:tabs>
              <w:tab w:val="right" w:leader="dot" w:pos="8299"/>
            </w:tabs>
          </w:pPr>
          <w:r>
            <w:rPr>
              <w:color w:val="000000" w:themeColor="text1"/>
              <w14:textFill>
                <w14:solidFill>
                  <w14:schemeClr w14:val="tx1"/>
                </w14:solidFill>
              </w14:textFill>
            </w:rPr>
            <w:fldChar w:fldCharType="begin"/>
          </w:r>
          <w:r>
            <w:instrText xml:space="preserve"> HYPERLINK \l _Toc25659 </w:instrText>
          </w:r>
          <w:r>
            <w:fldChar w:fldCharType="separate"/>
          </w:r>
          <w:r>
            <w:t>第六部分  投标文件格式</w:t>
          </w:r>
          <w:r>
            <w:tab/>
          </w:r>
          <w:r>
            <w:fldChar w:fldCharType="begin"/>
          </w:r>
          <w:r>
            <w:instrText xml:space="preserve"> PAGEREF _Toc25659 \h </w:instrText>
          </w:r>
          <w:r>
            <w:fldChar w:fldCharType="separate"/>
          </w:r>
          <w:r>
            <w:t>234</w:t>
          </w:r>
          <w:r>
            <w:fldChar w:fldCharType="end"/>
          </w:r>
          <w:r>
            <w:rPr>
              <w:color w:val="000000" w:themeColor="text1"/>
              <w14:textFill>
                <w14:solidFill>
                  <w14:schemeClr w14:val="tx1"/>
                </w14:solidFill>
              </w14:textFill>
            </w:rPr>
            <w:fldChar w:fldCharType="end"/>
          </w:r>
        </w:p>
        <w:p>
          <w:pPr>
            <w:pStyle w:val="11"/>
            <w:tabs>
              <w:tab w:val="right" w:leader="dot" w:pos="8299"/>
            </w:tabs>
            <w:bidi w:val="0"/>
            <w:snapToGrid w:val="0"/>
            <w:spacing w:line="360" w:lineRule="auto"/>
          </w:pPr>
          <w:r>
            <w:rPr>
              <w:color w:val="000000" w:themeColor="text1"/>
              <w:sz w:val="24"/>
              <w14:textFill>
                <w14:solidFill>
                  <w14:schemeClr w14:val="tx1"/>
                </w14:solidFill>
              </w14:textFill>
            </w:rPr>
            <w:fldChar w:fldCharType="end"/>
          </w:r>
        </w:p>
      </w:sdtContent>
    </w:sdt>
    <w:p>
      <w:pPr>
        <w:snapToGrid w:val="0"/>
        <w:spacing w:line="360" w:lineRule="auto"/>
        <w:ind w:firstLine="0" w:firstLineChars="0"/>
        <w:rPr>
          <w:color w:val="000000" w:themeColor="text1"/>
          <w:kern w:val="0"/>
          <w:szCs w:val="28"/>
          <w14:textFill>
            <w14:solidFill>
              <w14:schemeClr w14:val="tx1"/>
            </w14:solidFill>
          </w14:textFill>
        </w:rPr>
        <w:sectPr>
          <w:headerReference r:id="rId11" w:type="default"/>
          <w:footerReference r:id="rId12" w:type="default"/>
          <w:pgSz w:w="11905" w:h="16838"/>
          <w:pgMar w:top="1440" w:right="1803" w:bottom="1440" w:left="1803" w:header="850" w:footer="992" w:gutter="0"/>
          <w:pgNumType w:start="1"/>
          <w:cols w:space="0" w:num="1"/>
          <w:docGrid w:linePitch="312" w:charSpace="0"/>
        </w:sectPr>
      </w:pPr>
      <w:r>
        <w:rPr>
          <w:color w:val="000000" w:themeColor="text1"/>
          <w:kern w:val="0"/>
          <w:szCs w:val="28"/>
          <w14:textFill>
            <w14:solidFill>
              <w14:schemeClr w14:val="tx1"/>
            </w14:solidFill>
          </w14:textFill>
        </w:rPr>
        <w:br w:type="page"/>
      </w:r>
    </w:p>
    <w:p>
      <w:pPr>
        <w:snapToGrid w:val="0"/>
        <w:spacing w:line="360" w:lineRule="auto"/>
        <w:ind w:firstLine="0" w:firstLineChars="0"/>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投标人风险提示</w:t>
      </w:r>
    </w:p>
    <w:p>
      <w:pPr>
        <w:snapToGrid w:val="0"/>
        <w:spacing w:line="360" w:lineRule="auto"/>
        <w:ind w:firstLine="560"/>
        <w:rPr>
          <w:color w:val="000000" w:themeColor="text1"/>
          <w14:textFill>
            <w14:solidFill>
              <w14:schemeClr w14:val="tx1"/>
            </w14:solidFill>
          </w14:textFill>
        </w:rPr>
      </w:pPr>
    </w:p>
    <w:p>
      <w:pPr>
        <w:snapToGrid w:val="0"/>
        <w:spacing w:line="360" w:lineRule="auto"/>
        <w:ind w:firstLine="48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根据《中华人民共和国政府采购法》第三条的规定，投标人在投标、合同签订、履约等政府采购环节应秉承诚实信用原则，实事求是，依法依规。山西省消防救援总队及采购代理机构对投标人的下列违法行为依法追究法律责任：</w:t>
      </w:r>
    </w:p>
    <w:p>
      <w:pPr>
        <w:numPr>
          <w:ilvl w:val="0"/>
          <w:numId w:val="1"/>
        </w:numPr>
        <w:snapToGrid w:val="0"/>
        <w:spacing w:line="360" w:lineRule="auto"/>
        <w:ind w:firstLine="48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投标人提供虚假材料或虚假响应的</w:t>
      </w:r>
      <w:r>
        <w:rPr>
          <w:color w:val="000000" w:themeColor="text1"/>
          <w:sz w:val="24"/>
          <w14:textFill>
            <w14:solidFill>
              <w14:schemeClr w14:val="tx1"/>
            </w14:solidFill>
          </w14:textFill>
        </w:rPr>
        <w:t>，将依法没收投标保证金，并根据《中华人民共和国政府采购法》第七十七条的规定，处以采购金额千分之五以上千分之十以下的罚款，列入不良行为记录名单，在一至三年内禁止参加政府采购活动，有违法所得的，没收违法所得，情节严重的，由行政管理机关吊销营业执照；构成犯罪的，依法追究刑事责任。</w:t>
      </w:r>
      <w:r>
        <w:rPr>
          <w:b/>
          <w:bCs/>
          <w:color w:val="000000" w:themeColor="text1"/>
          <w:sz w:val="24"/>
          <w14:textFill>
            <w14:solidFill>
              <w14:schemeClr w14:val="tx1"/>
            </w14:solidFill>
          </w14:textFill>
        </w:rPr>
        <w:t>验收时，如验收不合格，将通知整改，复验后仍不合格的，视为虚假响应。</w:t>
      </w:r>
    </w:p>
    <w:p>
      <w:pPr>
        <w:numPr>
          <w:ilvl w:val="0"/>
          <w:numId w:val="1"/>
        </w:numPr>
        <w:snapToGrid w:val="0"/>
        <w:spacing w:line="360" w:lineRule="auto"/>
        <w:ind w:firstLine="482"/>
        <w:rPr>
          <w:color w:val="000000" w:themeColor="text1"/>
          <w:sz w:val="24"/>
          <w14:textFill>
            <w14:solidFill>
              <w14:schemeClr w14:val="tx1"/>
            </w14:solidFill>
          </w14:textFill>
        </w:rPr>
      </w:pPr>
      <w:r>
        <w:rPr>
          <w:b/>
          <w:bCs/>
          <w:color w:val="000000" w:themeColor="text1"/>
          <w:sz w:val="24"/>
          <w14:textFill>
            <w14:solidFill>
              <w14:schemeClr w14:val="tx1"/>
            </w14:solidFill>
          </w14:textFill>
        </w:rPr>
        <w:t>中标人无正当理由不与采购人签订采购合同的</w:t>
      </w:r>
      <w:r>
        <w:rPr>
          <w:color w:val="000000" w:themeColor="text1"/>
          <w:sz w:val="24"/>
          <w14:textFill>
            <w14:solidFill>
              <w14:schemeClr w14:val="tx1"/>
            </w14:solidFill>
          </w14:textFill>
        </w:rPr>
        <w:t>，将依法没收投标保证金，并根据《中华人民共和国政府采购法》第七十七条、《中华人民共和国政府采购法实施条例》第七十二条的规定，处以采购金额千分之五以上千分之十以下的罚款，列入不良行为记录名单，在一至三年内禁止参加政府采购活动，有违法所得的，没收违法所得，情节严重的，由行政管理机关吊销营业执照；构成犯罪的，依法追究刑事责任。</w:t>
      </w:r>
    </w:p>
    <w:p>
      <w:pPr>
        <w:numPr>
          <w:ilvl w:val="0"/>
          <w:numId w:val="1"/>
        </w:numPr>
        <w:snapToGrid w:val="0"/>
        <w:spacing w:line="360" w:lineRule="auto"/>
        <w:ind w:firstLine="482"/>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中标人不履行合同义务或者履行合同义务不符合约定的，将按照合同约定追究违约责任，并视情况扣除履约保证金。</w:t>
      </w:r>
    </w:p>
    <w:p>
      <w:pPr>
        <w:numPr>
          <w:ilvl w:val="0"/>
          <w:numId w:val="1"/>
        </w:numPr>
        <w:adjustRightInd w:val="0"/>
        <w:snapToGrid w:val="0"/>
        <w:spacing w:line="360" w:lineRule="auto"/>
        <w:ind w:left="0" w:leftChars="0"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中标人应当依照 《</w:t>
      </w:r>
      <w:r>
        <w:rPr>
          <w:color w:val="000000" w:themeColor="text1"/>
          <w:sz w:val="24"/>
          <w14:textFill>
            <w14:solidFill>
              <w14:schemeClr w14:val="tx1"/>
            </w14:solidFill>
          </w14:textFill>
        </w:rPr>
        <w:t>山西省消防救援总队灭火救援装备验收规程(试行)</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第三章 验收方式及内容</w:t>
      </w:r>
      <w:r>
        <w:rPr>
          <w:rFonts w:hint="eastAsia"/>
          <w:color w:val="000000" w:themeColor="text1"/>
          <w:sz w:val="24"/>
          <w14:textFill>
            <w14:solidFill>
              <w14:schemeClr w14:val="tx1"/>
            </w14:solidFill>
          </w14:textFill>
        </w:rPr>
        <w:t>”的规定，</w:t>
      </w:r>
      <w:r>
        <w:rPr>
          <w:rFonts w:hint="eastAsia"/>
          <w:color w:val="000000"/>
          <w:sz w:val="24"/>
          <w:lang w:val="en-US" w:eastAsia="zh-CN"/>
        </w:rPr>
        <w:t>自</w:t>
      </w:r>
      <w:r>
        <w:rPr>
          <w:color w:val="000000"/>
          <w:sz w:val="24"/>
        </w:rPr>
        <w:t>中标通知书发出后</w:t>
      </w:r>
      <w:r>
        <w:rPr>
          <w:rFonts w:hint="eastAsia"/>
          <w:color w:val="000000" w:themeColor="text1"/>
          <w:sz w:val="24"/>
          <w14:textFill>
            <w14:solidFill>
              <w14:schemeClr w14:val="tx1"/>
            </w14:solidFill>
          </w14:textFill>
        </w:rPr>
        <w:t>，携带样品或技术方案会同甲方开展</w:t>
      </w:r>
      <w:r>
        <w:rPr>
          <w:color w:val="000000" w:themeColor="text1"/>
          <w:sz w:val="24"/>
          <w14:textFill>
            <w14:solidFill>
              <w14:schemeClr w14:val="tx1"/>
            </w14:solidFill>
          </w14:textFill>
        </w:rPr>
        <w:t>技术方案会审或样品验收</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在</w:t>
      </w:r>
      <w:r>
        <w:rPr>
          <w:color w:val="000000"/>
          <w:sz w:val="24"/>
        </w:rPr>
        <w:t>签订采购合同前完成</w:t>
      </w:r>
      <w:r>
        <w:rPr>
          <w:rFonts w:hint="eastAsia"/>
          <w:color w:val="000000" w:themeColor="text1"/>
          <w:sz w:val="24"/>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ind w:left="0" w:leftChars="0" w:firstLine="0" w:firstLineChars="0"/>
        <w:jc w:val="both"/>
        <w:textAlignment w:val="auto"/>
        <w:rPr>
          <w:rFonts w:hint="eastAsia"/>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both"/>
        <w:textAlignment w:val="auto"/>
        <w:rPr>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ind w:left="0" w:leftChars="0" w:firstLine="0" w:firstLineChars="0"/>
        <w:jc w:val="both"/>
        <w:textAlignment w:val="auto"/>
      </w:pPr>
      <w:bookmarkStart w:id="0" w:name="_Toc23329"/>
      <w:bookmarkStart w:id="1" w:name="_Toc28338"/>
    </w:p>
    <w:p>
      <w:pPr>
        <w:keepNext w:val="0"/>
        <w:keepLines w:val="0"/>
        <w:pageBreakBefore w:val="0"/>
        <w:widowControl w:val="0"/>
        <w:kinsoku/>
        <w:wordWrap/>
        <w:overflowPunct/>
        <w:topLinePunct w:val="0"/>
        <w:autoSpaceDE/>
        <w:autoSpaceDN/>
        <w:bidi w:val="0"/>
        <w:adjustRightInd/>
        <w:ind w:left="0" w:leftChars="0" w:firstLine="0" w:firstLineChars="0"/>
        <w:jc w:val="both"/>
        <w:textAlignment w:val="auto"/>
      </w:pPr>
    </w:p>
    <w:p>
      <w:pPr>
        <w:keepNext w:val="0"/>
        <w:keepLines w:val="0"/>
        <w:pageBreakBefore w:val="0"/>
        <w:widowControl w:val="0"/>
        <w:kinsoku/>
        <w:wordWrap/>
        <w:overflowPunct/>
        <w:topLinePunct w:val="0"/>
        <w:autoSpaceDE/>
        <w:autoSpaceDN/>
        <w:bidi w:val="0"/>
        <w:adjustRightInd/>
        <w:ind w:left="0" w:leftChars="0" w:firstLine="0" w:firstLineChars="0"/>
        <w:jc w:val="both"/>
        <w:textAlignment w:val="auto"/>
        <w:rPr>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ind w:left="0" w:leftChars="0" w:firstLine="0" w:firstLineChars="0"/>
        <w:jc w:val="both"/>
        <w:textAlignment w:val="auto"/>
        <w:rPr>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ind w:left="0" w:leftChars="0" w:firstLine="0" w:firstLineChars="0"/>
        <w:jc w:val="both"/>
        <w:textAlignment w:val="auto"/>
        <w:rPr>
          <w:color w:val="000000" w:themeColor="text1"/>
          <w14:textFill>
            <w14:solidFill>
              <w14:schemeClr w14:val="tx1"/>
            </w14:solidFill>
          </w14:textFill>
        </w:rPr>
      </w:pPr>
    </w:p>
    <w:p>
      <w:pPr>
        <w:pStyle w:val="3"/>
        <w:ind w:firstLineChars="0"/>
        <w:rPr>
          <w:color w:val="000000" w:themeColor="text1"/>
          <w14:textFill>
            <w14:solidFill>
              <w14:schemeClr w14:val="tx1"/>
            </w14:solidFill>
          </w14:textFill>
        </w:rPr>
      </w:pPr>
      <w:bookmarkStart w:id="2" w:name="_Toc23695"/>
      <w:r>
        <w:rPr>
          <w:color w:val="000000" w:themeColor="text1"/>
          <w14:textFill>
            <w14:solidFill>
              <w14:schemeClr w14:val="tx1"/>
            </w14:solidFill>
          </w14:textFill>
        </w:rPr>
        <w:t>第一部分  投标邀请</w:t>
      </w:r>
      <w:bookmarkEnd w:id="0"/>
      <w:bookmarkEnd w:id="1"/>
      <w:bookmarkEnd w:id="2"/>
    </w:p>
    <w:p>
      <w:pPr>
        <w:ind w:firstLine="560"/>
        <w:rPr>
          <w:color w:val="000000" w:themeColor="text1"/>
          <w14:textFill>
            <w14:solidFill>
              <w14:schemeClr w14:val="tx1"/>
            </w14:solidFill>
          </w14:textFill>
        </w:rPr>
      </w:pPr>
    </w:p>
    <w:p>
      <w:pPr>
        <w:snapToGrid w:val="0"/>
        <w:spacing w:line="360" w:lineRule="auto"/>
        <w:ind w:firstLine="562"/>
        <w:rPr>
          <w:b/>
          <w:bCs/>
          <w:color w:val="000000" w:themeColor="text1"/>
          <w14:textFill>
            <w14:solidFill>
              <w14:schemeClr w14:val="tx1"/>
            </w14:solidFill>
          </w14:textFill>
        </w:rPr>
      </w:pPr>
      <w:r>
        <w:rPr>
          <w:b/>
          <w:bCs/>
          <w:color w:val="000000" w:themeColor="text1"/>
          <w14:textFill>
            <w14:solidFill>
              <w14:schemeClr w14:val="tx1"/>
            </w14:solidFill>
          </w14:textFill>
        </w:rPr>
        <w:t>项目概况：</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山西省消防救援总队“自然灾害应急能力提升工程”消防装备项目（</w:t>
      </w:r>
      <w:r>
        <w:rPr>
          <w:rFonts w:hint="eastAsia"/>
          <w:color w:val="000000" w:themeColor="text1"/>
          <w:szCs w:val="28"/>
          <w:shd w:val="clear" w:color="auto" w:fill="FFFFFF"/>
          <w14:textFill>
            <w14:solidFill>
              <w14:schemeClr w14:val="tx1"/>
            </w14:solidFill>
          </w14:textFill>
        </w:rPr>
        <w:t>第三批次</w:t>
      </w:r>
      <w:r>
        <w:rPr>
          <w:color w:val="000000" w:themeColor="text1"/>
          <w:szCs w:val="28"/>
          <w:shd w:val="clear" w:color="auto" w:fill="FFFFFF"/>
          <w14:textFill>
            <w14:solidFill>
              <w14:schemeClr w14:val="tx1"/>
            </w14:solidFill>
          </w14:textFill>
        </w:rPr>
        <w:t>）的潜在投标人应在现场或</w:t>
      </w:r>
      <w:r>
        <w:fldChar w:fldCharType="begin"/>
      </w:r>
      <w:r>
        <w:instrText xml:space="preserve"> HYPERLINK "mailto:网上邮箱（zxc_ywb@163.com）获取招标文件，并于2024年" </w:instrText>
      </w:r>
      <w:r>
        <w:fldChar w:fldCharType="separate"/>
      </w:r>
      <w:r>
        <w:rPr>
          <w:color w:val="000000" w:themeColor="text1"/>
          <w:szCs w:val="28"/>
          <w:shd w:val="clear" w:color="auto" w:fill="FFFFFF"/>
          <w14:textFill>
            <w14:solidFill>
              <w14:schemeClr w14:val="tx1"/>
            </w14:solidFill>
          </w14:textFill>
        </w:rPr>
        <w:t>网上</w:t>
      </w:r>
      <w:r>
        <w:rPr>
          <w:rFonts w:hint="eastAsia"/>
          <w:color w:val="000000" w:themeColor="text1"/>
          <w:szCs w:val="28"/>
          <w:shd w:val="clear" w:color="auto" w:fill="FFFFFF"/>
          <w14:textFill>
            <w14:solidFill>
              <w14:schemeClr w14:val="tx1"/>
            </w14:solidFill>
          </w14:textFill>
        </w:rPr>
        <w:t>邮箱</w:t>
      </w:r>
      <w:r>
        <w:rPr>
          <w:color w:val="000000" w:themeColor="text1"/>
          <w:szCs w:val="28"/>
          <w:shd w:val="clear" w:color="auto" w:fill="FFFFFF"/>
          <w14:textFill>
            <w14:solidFill>
              <w14:schemeClr w14:val="tx1"/>
            </w14:solidFill>
          </w14:textFill>
        </w:rPr>
        <w:t>获取招标文件，并于2024年</w:t>
      </w:r>
      <w:r>
        <w:rPr>
          <w:color w:val="000000" w:themeColor="text1"/>
          <w:szCs w:val="28"/>
          <w:shd w:val="clear" w:color="auto" w:fill="FFFFFF"/>
          <w14:textFill>
            <w14:solidFill>
              <w14:schemeClr w14:val="tx1"/>
            </w14:solidFill>
          </w14:textFill>
        </w:rPr>
        <w:fldChar w:fldCharType="end"/>
      </w:r>
      <w:r>
        <w:rPr>
          <w:rFonts w:hint="eastAsia"/>
          <w:color w:val="000000" w:themeColor="text1"/>
          <w:szCs w:val="28"/>
          <w:shd w:val="clear" w:color="auto" w:fill="FFFFFF"/>
          <w:lang w:val="en-US" w:eastAsia="zh-CN"/>
          <w14:textFill>
            <w14:solidFill>
              <w14:schemeClr w14:val="tx1"/>
            </w14:solidFill>
          </w14:textFill>
        </w:rPr>
        <w:t>7</w:t>
      </w:r>
      <w:r>
        <w:rPr>
          <w:color w:val="000000" w:themeColor="text1"/>
          <w:szCs w:val="28"/>
          <w:shd w:val="clear" w:color="auto" w:fill="FFFFFF"/>
          <w14:textFill>
            <w14:solidFill>
              <w14:schemeClr w14:val="tx1"/>
            </w14:solidFill>
          </w14:textFill>
        </w:rPr>
        <w:t>月</w:t>
      </w:r>
      <w:r>
        <w:rPr>
          <w:rFonts w:hint="eastAsia"/>
          <w:color w:val="000000" w:themeColor="text1"/>
          <w:szCs w:val="28"/>
          <w:shd w:val="clear" w:color="auto" w:fill="FFFFFF"/>
          <w:lang w:val="en-US" w:eastAsia="zh-CN"/>
          <w14:textFill>
            <w14:solidFill>
              <w14:schemeClr w14:val="tx1"/>
            </w14:solidFill>
          </w14:textFill>
        </w:rPr>
        <w:t>17</w:t>
      </w:r>
      <w:r>
        <w:rPr>
          <w:color w:val="000000" w:themeColor="text1"/>
          <w:szCs w:val="28"/>
          <w:shd w:val="clear" w:color="auto" w:fill="FFFFFF"/>
          <w14:textFill>
            <w14:solidFill>
              <w14:schemeClr w14:val="tx1"/>
            </w14:solidFill>
          </w14:textFill>
        </w:rPr>
        <w:t>日08点30分（北京时间）前递交投标文件。</w:t>
      </w:r>
    </w:p>
    <w:p>
      <w:pPr>
        <w:widowControl/>
        <w:snapToGrid w:val="0"/>
        <w:spacing w:line="360" w:lineRule="auto"/>
        <w:ind w:firstLine="562"/>
        <w:textAlignment w:val="baseline"/>
        <w:rPr>
          <w:color w:val="000000" w:themeColor="text1"/>
          <w:szCs w:val="28"/>
          <w14:textFill>
            <w14:solidFill>
              <w14:schemeClr w14:val="tx1"/>
            </w14:solidFill>
          </w14:textFill>
        </w:rPr>
      </w:pPr>
      <w:r>
        <w:rPr>
          <w:b/>
          <w:bCs/>
          <w:color w:val="000000" w:themeColor="text1"/>
          <w:szCs w:val="28"/>
          <w:shd w:val="clear" w:color="auto" w:fill="FFFFFF"/>
          <w14:textFill>
            <w14:solidFill>
              <w14:schemeClr w14:val="tx1"/>
            </w14:solidFill>
          </w14:textFill>
        </w:rPr>
        <w:t>一、项目基本情况</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项目编号：</w:t>
      </w:r>
      <w:r>
        <w:rPr>
          <w:rFonts w:hint="eastAsia"/>
          <w:color w:val="000000" w:themeColor="text1"/>
          <w:szCs w:val="28"/>
          <w:shd w:val="clear" w:color="auto" w:fill="FFFFFF"/>
          <w14:textFill>
            <w14:solidFill>
              <w14:schemeClr w14:val="tx1"/>
            </w14:solidFill>
          </w14:textFill>
        </w:rPr>
        <w:t>中财采A-2024-01</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项目名称：山西省消防救援总队“自然灾害应急能力提升工程”消防装备项目（</w:t>
      </w:r>
      <w:r>
        <w:rPr>
          <w:rFonts w:hint="eastAsia"/>
          <w:color w:val="000000" w:themeColor="text1"/>
          <w:szCs w:val="28"/>
          <w:shd w:val="clear" w:color="auto" w:fill="FFFFFF"/>
          <w14:textFill>
            <w14:solidFill>
              <w14:schemeClr w14:val="tx1"/>
            </w14:solidFill>
          </w14:textFill>
        </w:rPr>
        <w:t>第三批次</w:t>
      </w:r>
      <w:r>
        <w:rPr>
          <w:color w:val="000000" w:themeColor="text1"/>
          <w:szCs w:val="28"/>
          <w:shd w:val="clear" w:color="auto" w:fill="FFFFFF"/>
          <w14:textFill>
            <w14:solidFill>
              <w14:schemeClr w14:val="tx1"/>
            </w14:solidFill>
          </w14:textFill>
        </w:rPr>
        <w:t>）</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预算金额：</w:t>
      </w:r>
      <w:r>
        <w:rPr>
          <w:rFonts w:hint="eastAsia"/>
          <w:color w:val="000000" w:themeColor="text1"/>
          <w:szCs w:val="28"/>
          <w:shd w:val="clear" w:color="auto" w:fill="FFFFFF"/>
          <w14:textFill>
            <w14:solidFill>
              <w14:schemeClr w14:val="tx1"/>
            </w14:solidFill>
          </w14:textFill>
        </w:rPr>
        <w:t>5718.00</w:t>
      </w:r>
      <w:r>
        <w:rPr>
          <w:color w:val="000000" w:themeColor="text1"/>
          <w:szCs w:val="28"/>
          <w:shd w:val="clear" w:color="auto" w:fill="FFFFFF"/>
          <w14:textFill>
            <w14:solidFill>
              <w14:schemeClr w14:val="tx1"/>
            </w14:solidFill>
          </w14:textFill>
        </w:rPr>
        <w:t>万元（人民币）</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最高限价：</w:t>
      </w:r>
      <w:r>
        <w:rPr>
          <w:rFonts w:hint="eastAsia"/>
          <w:color w:val="000000" w:themeColor="text1"/>
          <w:szCs w:val="28"/>
          <w:shd w:val="clear" w:color="auto" w:fill="FFFFFF"/>
          <w14:textFill>
            <w14:solidFill>
              <w14:schemeClr w14:val="tx1"/>
            </w14:solidFill>
          </w14:textFill>
        </w:rPr>
        <w:t>5300.48</w:t>
      </w:r>
      <w:r>
        <w:rPr>
          <w:color w:val="000000" w:themeColor="text1"/>
          <w:szCs w:val="28"/>
          <w:shd w:val="clear" w:color="auto" w:fill="FFFFFF"/>
          <w14:textFill>
            <w14:solidFill>
              <w14:schemeClr w14:val="tx1"/>
            </w14:solidFill>
          </w14:textFill>
        </w:rPr>
        <w:t>万元（人民币）</w:t>
      </w:r>
    </w:p>
    <w:p>
      <w:pPr>
        <w:widowControl/>
        <w:numPr>
          <w:ilvl w:val="0"/>
          <w:numId w:val="2"/>
        </w:numPr>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采购需求：</w:t>
      </w:r>
    </w:p>
    <w:tbl>
      <w:tblPr>
        <w:tblStyle w:val="14"/>
        <w:tblW w:w="52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906"/>
        <w:gridCol w:w="492"/>
        <w:gridCol w:w="492"/>
        <w:gridCol w:w="699"/>
        <w:gridCol w:w="1042"/>
        <w:gridCol w:w="767"/>
        <w:gridCol w:w="1109"/>
        <w:gridCol w:w="1060"/>
        <w:gridCol w:w="1236"/>
        <w:gridCol w:w="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包号</w:t>
            </w:r>
          </w:p>
        </w:tc>
        <w:tc>
          <w:tcPr>
            <w:tcW w:w="510"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采购内容</w:t>
            </w:r>
          </w:p>
        </w:tc>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数量</w:t>
            </w:r>
          </w:p>
        </w:tc>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单位</w:t>
            </w:r>
          </w:p>
        </w:tc>
        <w:tc>
          <w:tcPr>
            <w:tcW w:w="393"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预算</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单价</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(万元）</w:t>
            </w:r>
          </w:p>
        </w:tc>
        <w:tc>
          <w:tcPr>
            <w:tcW w:w="586"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最高限价单价</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（万元）</w:t>
            </w:r>
          </w:p>
        </w:tc>
        <w:tc>
          <w:tcPr>
            <w:tcW w:w="432"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预算</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总价</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（万元）</w:t>
            </w:r>
          </w:p>
        </w:tc>
        <w:tc>
          <w:tcPr>
            <w:tcW w:w="624"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最高限价总价</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（万元）</w:t>
            </w:r>
          </w:p>
        </w:tc>
        <w:tc>
          <w:tcPr>
            <w:tcW w:w="59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每包预算总价</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（万元）</w:t>
            </w:r>
          </w:p>
        </w:tc>
        <w:tc>
          <w:tcPr>
            <w:tcW w:w="696"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每包最高限价总价</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（万元）</w:t>
            </w:r>
          </w:p>
        </w:tc>
        <w:tc>
          <w:tcPr>
            <w:tcW w:w="327" w:type="pct"/>
            <w:noWrap/>
            <w:vAlign w:val="center"/>
          </w:tcPr>
          <w:p>
            <w:pPr>
              <w:spacing w:line="240" w:lineRule="auto"/>
              <w:ind w:firstLine="0" w:firstLineChars="0"/>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w:t>
            </w:r>
          </w:p>
        </w:tc>
        <w:tc>
          <w:tcPr>
            <w:tcW w:w="510" w:type="pct"/>
            <w:shd w:val="clear" w:color="auto" w:fill="auto"/>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盥洗车</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135.000</w:t>
            </w:r>
          </w:p>
        </w:tc>
        <w:tc>
          <w:tcPr>
            <w:tcW w:w="58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130.000</w:t>
            </w:r>
          </w:p>
        </w:tc>
        <w:tc>
          <w:tcPr>
            <w:tcW w:w="432"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270.000</w:t>
            </w:r>
          </w:p>
        </w:tc>
        <w:tc>
          <w:tcPr>
            <w:tcW w:w="624"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260.0000</w:t>
            </w:r>
          </w:p>
        </w:tc>
        <w:tc>
          <w:tcPr>
            <w:tcW w:w="597"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270.000</w:t>
            </w:r>
          </w:p>
        </w:tc>
        <w:tc>
          <w:tcPr>
            <w:tcW w:w="69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260.0000</w:t>
            </w:r>
          </w:p>
        </w:tc>
        <w:tc>
          <w:tcPr>
            <w:tcW w:w="327" w:type="pct"/>
            <w:shd w:val="clear" w:color="auto" w:fill="auto"/>
            <w:noWrap/>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p>
        </w:tc>
        <w:tc>
          <w:tcPr>
            <w:tcW w:w="510" w:type="pct"/>
            <w:shd w:val="clear" w:color="auto" w:fill="auto"/>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被服洗涤车</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139.500</w:t>
            </w:r>
          </w:p>
        </w:tc>
        <w:tc>
          <w:tcPr>
            <w:tcW w:w="58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130.000</w:t>
            </w:r>
          </w:p>
        </w:tc>
        <w:tc>
          <w:tcPr>
            <w:tcW w:w="432"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279.000</w:t>
            </w:r>
          </w:p>
        </w:tc>
        <w:tc>
          <w:tcPr>
            <w:tcW w:w="624"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260.0000</w:t>
            </w:r>
          </w:p>
        </w:tc>
        <w:tc>
          <w:tcPr>
            <w:tcW w:w="597"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279.000</w:t>
            </w:r>
          </w:p>
        </w:tc>
        <w:tc>
          <w:tcPr>
            <w:tcW w:w="69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260.0000</w:t>
            </w:r>
          </w:p>
        </w:tc>
        <w:tc>
          <w:tcPr>
            <w:tcW w:w="327" w:type="pct"/>
            <w:shd w:val="clear" w:color="auto" w:fill="auto"/>
            <w:noWrap/>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19</w:t>
            </w:r>
          </w:p>
        </w:tc>
        <w:tc>
          <w:tcPr>
            <w:tcW w:w="510" w:type="pct"/>
            <w:shd w:val="clear" w:color="auto" w:fill="auto"/>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运兵车</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60.000</w:t>
            </w:r>
          </w:p>
        </w:tc>
        <w:tc>
          <w:tcPr>
            <w:tcW w:w="58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57.000</w:t>
            </w:r>
          </w:p>
        </w:tc>
        <w:tc>
          <w:tcPr>
            <w:tcW w:w="432"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240.000</w:t>
            </w:r>
          </w:p>
        </w:tc>
        <w:tc>
          <w:tcPr>
            <w:tcW w:w="624"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228.0000</w:t>
            </w:r>
          </w:p>
        </w:tc>
        <w:tc>
          <w:tcPr>
            <w:tcW w:w="597"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240.000</w:t>
            </w:r>
          </w:p>
        </w:tc>
        <w:tc>
          <w:tcPr>
            <w:tcW w:w="69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228.0000</w:t>
            </w:r>
          </w:p>
        </w:tc>
        <w:tc>
          <w:tcPr>
            <w:tcW w:w="327" w:type="pct"/>
            <w:shd w:val="clear" w:color="auto" w:fill="auto"/>
            <w:noWrap/>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20</w:t>
            </w:r>
          </w:p>
        </w:tc>
        <w:tc>
          <w:tcPr>
            <w:tcW w:w="510" w:type="pct"/>
            <w:shd w:val="clear" w:color="auto" w:fill="auto"/>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装备维修车</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120.000</w:t>
            </w:r>
          </w:p>
        </w:tc>
        <w:tc>
          <w:tcPr>
            <w:tcW w:w="58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120.000</w:t>
            </w:r>
          </w:p>
        </w:tc>
        <w:tc>
          <w:tcPr>
            <w:tcW w:w="432"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480.000</w:t>
            </w:r>
          </w:p>
        </w:tc>
        <w:tc>
          <w:tcPr>
            <w:tcW w:w="624"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480.0000</w:t>
            </w:r>
          </w:p>
        </w:tc>
        <w:tc>
          <w:tcPr>
            <w:tcW w:w="597"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480.000</w:t>
            </w:r>
          </w:p>
        </w:tc>
        <w:tc>
          <w:tcPr>
            <w:tcW w:w="69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480.0000</w:t>
            </w:r>
          </w:p>
        </w:tc>
        <w:tc>
          <w:tcPr>
            <w:tcW w:w="327" w:type="pct"/>
            <w:shd w:val="clear" w:color="auto" w:fill="auto"/>
            <w:noWrap/>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w:t>
            </w:r>
          </w:p>
        </w:tc>
        <w:tc>
          <w:tcPr>
            <w:tcW w:w="510"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水质净化车</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277" w:type="pct"/>
            <w:shd w:val="clear" w:color="auto" w:fill="auto"/>
            <w:noWrap/>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118.000</w:t>
            </w:r>
          </w:p>
        </w:tc>
        <w:tc>
          <w:tcPr>
            <w:tcW w:w="58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118.000</w:t>
            </w:r>
          </w:p>
        </w:tc>
        <w:tc>
          <w:tcPr>
            <w:tcW w:w="432"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236.000</w:t>
            </w:r>
          </w:p>
        </w:tc>
        <w:tc>
          <w:tcPr>
            <w:tcW w:w="624"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236.0000</w:t>
            </w:r>
          </w:p>
        </w:tc>
        <w:tc>
          <w:tcPr>
            <w:tcW w:w="597"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236.000</w:t>
            </w:r>
          </w:p>
        </w:tc>
        <w:tc>
          <w:tcPr>
            <w:tcW w:w="696" w:type="pct"/>
            <w:shd w:val="clear" w:color="auto" w:fill="auto"/>
            <w:noWrap/>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236.0000</w:t>
            </w:r>
          </w:p>
        </w:tc>
        <w:tc>
          <w:tcPr>
            <w:tcW w:w="327" w:type="pct"/>
            <w:shd w:val="clear" w:color="auto" w:fill="auto"/>
            <w:noWrap/>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w:t>
            </w:r>
          </w:p>
        </w:tc>
        <w:tc>
          <w:tcPr>
            <w:tcW w:w="510"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潜水救援车</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247.000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237.000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741.000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711.0000</w:t>
            </w:r>
          </w:p>
        </w:tc>
        <w:tc>
          <w:tcPr>
            <w:tcW w:w="597"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741.000</w:t>
            </w:r>
          </w:p>
        </w:tc>
        <w:tc>
          <w:tcPr>
            <w:tcW w:w="69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711.0000</w:t>
            </w:r>
          </w:p>
        </w:tc>
        <w:tc>
          <w:tcPr>
            <w:tcW w:w="327" w:type="pct"/>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23</w:t>
            </w:r>
          </w:p>
        </w:tc>
        <w:tc>
          <w:tcPr>
            <w:tcW w:w="510"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大型排涝车A</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200.000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200.000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200.000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200.0000</w:t>
            </w:r>
          </w:p>
        </w:tc>
        <w:tc>
          <w:tcPr>
            <w:tcW w:w="597"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200.000</w:t>
            </w:r>
          </w:p>
        </w:tc>
        <w:tc>
          <w:tcPr>
            <w:tcW w:w="69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200.0000</w:t>
            </w:r>
          </w:p>
        </w:tc>
        <w:tc>
          <w:tcPr>
            <w:tcW w:w="327" w:type="pct"/>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24</w:t>
            </w:r>
          </w:p>
        </w:tc>
        <w:tc>
          <w:tcPr>
            <w:tcW w:w="510"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大型排涝车B</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240.000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220.000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480.000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440.0000</w:t>
            </w:r>
          </w:p>
        </w:tc>
        <w:tc>
          <w:tcPr>
            <w:tcW w:w="597"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480.000</w:t>
            </w:r>
          </w:p>
        </w:tc>
        <w:tc>
          <w:tcPr>
            <w:tcW w:w="69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440.0000</w:t>
            </w:r>
          </w:p>
        </w:tc>
        <w:tc>
          <w:tcPr>
            <w:tcW w:w="327" w:type="pct"/>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25</w:t>
            </w:r>
          </w:p>
        </w:tc>
        <w:tc>
          <w:tcPr>
            <w:tcW w:w="510"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泡沫输转消防车</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272.000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272.000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272.000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272.0000</w:t>
            </w:r>
          </w:p>
        </w:tc>
        <w:tc>
          <w:tcPr>
            <w:tcW w:w="597"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272.000</w:t>
            </w:r>
          </w:p>
        </w:tc>
        <w:tc>
          <w:tcPr>
            <w:tcW w:w="69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272.0000</w:t>
            </w:r>
          </w:p>
        </w:tc>
        <w:tc>
          <w:tcPr>
            <w:tcW w:w="327" w:type="pct"/>
            <w:vAlign w:val="center"/>
          </w:tcPr>
          <w:p>
            <w:pPr>
              <w:widowControl/>
              <w:ind w:firstLine="0" w:firstLineChars="0"/>
              <w:jc w:val="center"/>
              <w:textAlignment w:val="center"/>
              <w:rPr>
                <w:rFonts w:hint="eastAsia" w:ascii="宋体" w:hAnsi="宋体" w:cs="宋体"/>
                <w:color w:val="000000"/>
                <w:kern w:val="0"/>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77"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26</w:t>
            </w:r>
          </w:p>
        </w:tc>
        <w:tc>
          <w:tcPr>
            <w:tcW w:w="510"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前突皮卡车</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（含器材汽油版）</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30.000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24.760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300.000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247.6000</w:t>
            </w:r>
          </w:p>
        </w:tc>
        <w:tc>
          <w:tcPr>
            <w:tcW w:w="597"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1290.000</w:t>
            </w:r>
          </w:p>
        </w:tc>
        <w:tc>
          <w:tcPr>
            <w:tcW w:w="696"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1147.4000</w:t>
            </w:r>
          </w:p>
        </w:tc>
        <w:tc>
          <w:tcPr>
            <w:tcW w:w="327" w:type="pct"/>
            <w:vAlign w:val="center"/>
          </w:tcPr>
          <w:p>
            <w:pPr>
              <w:spacing w:line="240" w:lineRule="auto"/>
              <w:ind w:firstLine="0" w:firstLineChars="0"/>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模块A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77"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510"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19</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30.000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28.200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570.000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535.8000</w:t>
            </w:r>
          </w:p>
        </w:tc>
        <w:tc>
          <w:tcPr>
            <w:tcW w:w="597"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696"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32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模块B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77"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510"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30.000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26.000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420.000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364.0000</w:t>
            </w:r>
          </w:p>
        </w:tc>
        <w:tc>
          <w:tcPr>
            <w:tcW w:w="597"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696"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32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模块C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77"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27</w:t>
            </w:r>
          </w:p>
        </w:tc>
        <w:tc>
          <w:tcPr>
            <w:tcW w:w="510"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前突皮卡车</w:t>
            </w:r>
          </w:p>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（含器材柴油版）</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33</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30.000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25.760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990.000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850.0800</w:t>
            </w:r>
          </w:p>
        </w:tc>
        <w:tc>
          <w:tcPr>
            <w:tcW w:w="597"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1230.000</w:t>
            </w:r>
          </w:p>
        </w:tc>
        <w:tc>
          <w:tcPr>
            <w:tcW w:w="696" w:type="pct"/>
            <w:vMerge w:val="restar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1066.0800</w:t>
            </w:r>
          </w:p>
        </w:tc>
        <w:tc>
          <w:tcPr>
            <w:tcW w:w="327" w:type="pct"/>
            <w:vAlign w:val="center"/>
          </w:tcPr>
          <w:p>
            <w:pPr>
              <w:spacing w:line="240" w:lineRule="auto"/>
              <w:ind w:firstLine="0" w:firstLineChars="0"/>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模块A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77"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510"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tc>
        <w:tc>
          <w:tcPr>
            <w:tcW w:w="27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辆</w:t>
            </w:r>
          </w:p>
        </w:tc>
        <w:tc>
          <w:tcPr>
            <w:tcW w:w="393"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30.000</w:t>
            </w:r>
          </w:p>
        </w:tc>
        <w:tc>
          <w:tcPr>
            <w:tcW w:w="586"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27.000</w:t>
            </w:r>
          </w:p>
        </w:tc>
        <w:tc>
          <w:tcPr>
            <w:tcW w:w="432"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240.000</w:t>
            </w:r>
          </w:p>
        </w:tc>
        <w:tc>
          <w:tcPr>
            <w:tcW w:w="624" w:type="pct"/>
            <w:vAlign w:val="center"/>
          </w:tcPr>
          <w:p>
            <w:pPr>
              <w:widowControl/>
              <w:ind w:firstLine="0" w:firstLineChars="0"/>
              <w:jc w:val="center"/>
              <w:textAlignment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kern w:val="0"/>
                <w:sz w:val="24"/>
                <w:lang w:bidi="ar"/>
              </w:rPr>
              <w:t>216.0000</w:t>
            </w:r>
          </w:p>
        </w:tc>
        <w:tc>
          <w:tcPr>
            <w:tcW w:w="597"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696" w:type="pct"/>
            <w:vMerge w:val="continue"/>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p>
        </w:tc>
        <w:tc>
          <w:tcPr>
            <w:tcW w:w="327" w:type="pct"/>
            <w:vAlign w:val="center"/>
          </w:tcPr>
          <w:p>
            <w:pPr>
              <w:spacing w:line="240" w:lineRule="auto"/>
              <w:ind w:firstLine="0" w:firstLineChars="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模块C</w:t>
            </w:r>
          </w:p>
        </w:tc>
      </w:tr>
    </w:tbl>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rFonts w:hint="eastAsia"/>
          <w:color w:val="000000" w:themeColor="text1"/>
          <w:szCs w:val="28"/>
          <w:shd w:val="clear" w:color="auto" w:fill="FFFFFF"/>
          <w14:textFill>
            <w14:solidFill>
              <w14:schemeClr w14:val="tx1"/>
            </w14:solidFill>
          </w14:textFill>
        </w:rPr>
        <w:t>注：</w:t>
      </w:r>
      <w:r>
        <w:rPr>
          <w:rFonts w:hint="eastAsia"/>
          <w:color w:val="000000" w:themeColor="text1"/>
          <w:kern w:val="0"/>
          <w:szCs w:val="28"/>
          <w14:textFill>
            <w14:solidFill>
              <w14:schemeClr w14:val="tx1"/>
            </w14:solidFill>
          </w14:textFill>
        </w:rPr>
        <w:t>本项目中标注“</w:t>
      </w:r>
      <w:r>
        <w:rPr>
          <w:rFonts w:hint="eastAsia" w:ascii="微软雅黑" w:hAnsi="微软雅黑" w:eastAsia="微软雅黑" w:cs="微软雅黑"/>
          <w:color w:val="000000" w:themeColor="text1"/>
          <w:sz w:val="40"/>
          <w:szCs w:val="40"/>
          <w14:textFill>
            <w14:solidFill>
              <w14:schemeClr w14:val="tx1"/>
            </w14:solidFill>
          </w14:textFill>
        </w:rPr>
        <w:t>●</w:t>
      </w:r>
      <w:r>
        <w:rPr>
          <w:rFonts w:hint="eastAsia"/>
          <w:color w:val="000000" w:themeColor="text1"/>
          <w:kern w:val="0"/>
          <w:szCs w:val="28"/>
          <w14:textFill>
            <w14:solidFill>
              <w14:schemeClr w14:val="tx1"/>
            </w14:solidFill>
          </w14:textFill>
        </w:rPr>
        <w:t>”为核心产品。</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（2）范围包括：</w:t>
      </w:r>
      <w:r>
        <w:rPr>
          <w:rFonts w:hint="eastAsia"/>
          <w:color w:val="000000" w:themeColor="text1"/>
          <w:szCs w:val="28"/>
          <w:shd w:val="clear" w:color="auto" w:fill="FFFFFF"/>
          <w14:textFill>
            <w14:solidFill>
              <w14:schemeClr w14:val="tx1"/>
            </w14:solidFill>
          </w14:textFill>
        </w:rPr>
        <w:t>车辆</w:t>
      </w:r>
      <w:r>
        <w:rPr>
          <w:color w:val="000000" w:themeColor="text1"/>
          <w:szCs w:val="28"/>
          <w:shd w:val="clear" w:color="auto" w:fill="FFFFFF"/>
          <w14:textFill>
            <w14:solidFill>
              <w14:schemeClr w14:val="tx1"/>
            </w14:solidFill>
          </w14:textFill>
        </w:rPr>
        <w:t>的供应、运输、安装、调试、培训和售后服务等。具体投标范围、采购范围及所应达到的具体要求，以本招标文件中商务、技术和服务的相应规定为准。</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（3）采购内容中未特别标注为“进口产品”字样的，均必须采购国产产品。所采购的货物、服务必须符合国家的强制性标准。</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（4）交货地点：山西省消防救援总队训练与战勤保障支队。</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（5）具体技术参数详情见“第四部分 商务、技术要求”。</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合同履行期限：</w:t>
      </w:r>
      <w:r>
        <w:rPr>
          <w:rFonts w:hint="eastAsia"/>
          <w:color w:val="000000" w:themeColor="text1"/>
          <w:szCs w:val="28"/>
          <w:shd w:val="clear" w:color="auto" w:fill="FFFFFF"/>
          <w14:textFill>
            <w14:solidFill>
              <w14:schemeClr w14:val="tx1"/>
            </w14:solidFill>
          </w14:textFill>
        </w:rPr>
        <w:t>合同签订之日起150日历天交货（如遇特殊情况，不能如期交货，供货方提前书面说明情况，经采购人同意后，双方另行约定交货日期）；</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本项目（不接受）联合体投标。</w:t>
      </w:r>
    </w:p>
    <w:p>
      <w:pPr>
        <w:widowControl/>
        <w:snapToGrid w:val="0"/>
        <w:spacing w:line="360" w:lineRule="auto"/>
        <w:ind w:firstLine="562"/>
        <w:textAlignment w:val="baseline"/>
        <w:rPr>
          <w:color w:val="000000" w:themeColor="text1"/>
          <w:szCs w:val="28"/>
          <w14:textFill>
            <w14:solidFill>
              <w14:schemeClr w14:val="tx1"/>
            </w14:solidFill>
          </w14:textFill>
        </w:rPr>
      </w:pPr>
      <w:r>
        <w:rPr>
          <w:b/>
          <w:bCs/>
          <w:color w:val="000000" w:themeColor="text1"/>
          <w:szCs w:val="28"/>
          <w:shd w:val="clear" w:color="auto" w:fill="FFFFFF"/>
          <w14:textFill>
            <w14:solidFill>
              <w14:schemeClr w14:val="tx1"/>
            </w14:solidFill>
          </w14:textFill>
        </w:rPr>
        <w:t>二、申请人的资格要求：</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1.满足《中华人民共和国政府采购法》第二十二条规定；</w:t>
      </w:r>
    </w:p>
    <w:p>
      <w:pPr>
        <w:snapToGrid w:val="0"/>
        <w:spacing w:line="360" w:lineRule="auto"/>
        <w:ind w:firstLine="560"/>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2.落实政府采购政策需满足的资格要求：</w:t>
      </w:r>
      <w:r>
        <w:rPr>
          <w:rFonts w:hint="eastAsia"/>
          <w:color w:val="000000" w:themeColor="text1"/>
          <w:szCs w:val="28"/>
          <w:shd w:val="clear" w:color="auto" w:fill="FFFFFF"/>
          <w14:textFill>
            <w14:solidFill>
              <w14:schemeClr w14:val="tx1"/>
            </w14:solidFill>
          </w14:textFill>
        </w:rPr>
        <w:t>无；</w:t>
      </w:r>
    </w:p>
    <w:p>
      <w:pPr>
        <w:snapToGrid w:val="0"/>
        <w:spacing w:line="360" w:lineRule="auto"/>
        <w:ind w:firstLine="560"/>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3.本项目的特定资格要求：</w:t>
      </w:r>
      <w:r>
        <w:rPr>
          <w:rFonts w:hint="eastAsia"/>
          <w:color w:val="000000" w:themeColor="text1"/>
          <w:szCs w:val="28"/>
          <w:shd w:val="clear" w:color="auto" w:fill="FFFFFF"/>
          <w14:textFill>
            <w14:solidFill>
              <w14:schemeClr w14:val="tx1"/>
            </w14:solidFill>
          </w14:textFill>
        </w:rPr>
        <w:t>无；</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4.单位负责人为同一人或者存在直接控股、管理关系的不同供应商，不得同时参加本采购项目中同一合同项下的政府采购活动</w:t>
      </w:r>
      <w:r>
        <w:rPr>
          <w:rFonts w:hint="eastAsia"/>
          <w:color w:val="000000" w:themeColor="text1"/>
          <w:szCs w:val="28"/>
          <w:shd w:val="clear" w:color="auto" w:fill="FFFFFF"/>
          <w14:textFill>
            <w14:solidFill>
              <w14:schemeClr w14:val="tx1"/>
            </w14:solidFill>
          </w14:textFill>
        </w:rPr>
        <w:t>；</w:t>
      </w:r>
    </w:p>
    <w:p>
      <w:pPr>
        <w:widowControl/>
        <w:snapToGrid w:val="0"/>
        <w:spacing w:line="360" w:lineRule="auto"/>
        <w:ind w:firstLine="560"/>
        <w:textAlignment w:val="baseline"/>
      </w:pPr>
      <w:r>
        <w:rPr>
          <w:color w:val="000000" w:themeColor="text1"/>
          <w:szCs w:val="28"/>
          <w:shd w:val="clear" w:color="auto" w:fill="FFFFFF"/>
          <w14:textFill>
            <w14:solidFill>
              <w14:schemeClr w14:val="tx1"/>
            </w14:solidFill>
          </w14:textFill>
        </w:rPr>
        <w:t>5.为本项目提供整体设计、规范编制或者项目管理、监理、检测等服务的供应商，不得再参与本项目投标。</w:t>
      </w:r>
    </w:p>
    <w:p>
      <w:pPr>
        <w:widowControl/>
        <w:snapToGrid w:val="0"/>
        <w:spacing w:line="360" w:lineRule="auto"/>
        <w:ind w:firstLine="562"/>
        <w:textAlignment w:val="baseline"/>
        <w:rPr>
          <w:color w:val="000000" w:themeColor="text1"/>
          <w:szCs w:val="28"/>
          <w14:textFill>
            <w14:solidFill>
              <w14:schemeClr w14:val="tx1"/>
            </w14:solidFill>
          </w14:textFill>
        </w:rPr>
      </w:pPr>
      <w:r>
        <w:rPr>
          <w:b/>
          <w:bCs/>
          <w:color w:val="000000" w:themeColor="text1"/>
          <w:szCs w:val="28"/>
          <w:shd w:val="clear" w:color="auto" w:fill="FFFFFF"/>
          <w14:textFill>
            <w14:solidFill>
              <w14:schemeClr w14:val="tx1"/>
            </w14:solidFill>
          </w14:textFill>
        </w:rPr>
        <w:t>三、获取招标文件</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 xml:space="preserve">时间：2024年 </w:t>
      </w:r>
      <w:r>
        <w:rPr>
          <w:rFonts w:hint="eastAsia"/>
          <w:color w:val="000000" w:themeColor="text1"/>
          <w:szCs w:val="28"/>
          <w:shd w:val="clear" w:color="auto" w:fill="FFFFFF"/>
          <w:lang w:val="en-US" w:eastAsia="zh-CN"/>
          <w14:textFill>
            <w14:solidFill>
              <w14:schemeClr w14:val="tx1"/>
            </w14:solidFill>
          </w14:textFill>
        </w:rPr>
        <w:t>6</w:t>
      </w:r>
      <w:r>
        <w:rPr>
          <w:color w:val="000000" w:themeColor="text1"/>
          <w:szCs w:val="28"/>
          <w:shd w:val="clear" w:color="auto" w:fill="FFFFFF"/>
          <w14:textFill>
            <w14:solidFill>
              <w14:schemeClr w14:val="tx1"/>
            </w14:solidFill>
          </w14:textFill>
        </w:rPr>
        <w:t xml:space="preserve"> 月 </w:t>
      </w:r>
      <w:r>
        <w:rPr>
          <w:rFonts w:hint="eastAsia"/>
          <w:color w:val="000000" w:themeColor="text1"/>
          <w:szCs w:val="28"/>
          <w:shd w:val="clear" w:color="auto" w:fill="FFFFFF"/>
          <w:lang w:val="en-US" w:eastAsia="zh-CN"/>
          <w14:textFill>
            <w14:solidFill>
              <w14:schemeClr w14:val="tx1"/>
            </w14:solidFill>
          </w14:textFill>
        </w:rPr>
        <w:t>24</w:t>
      </w:r>
      <w:r>
        <w:rPr>
          <w:color w:val="000000" w:themeColor="text1"/>
          <w:szCs w:val="28"/>
          <w:shd w:val="clear" w:color="auto" w:fill="FFFFFF"/>
          <w14:textFill>
            <w14:solidFill>
              <w14:schemeClr w14:val="tx1"/>
            </w14:solidFill>
          </w14:textFill>
        </w:rPr>
        <w:t xml:space="preserve"> 日至2024年 </w:t>
      </w:r>
      <w:r>
        <w:rPr>
          <w:rFonts w:hint="eastAsia"/>
          <w:color w:val="000000" w:themeColor="text1"/>
          <w:szCs w:val="28"/>
          <w:shd w:val="clear" w:color="auto" w:fill="FFFFFF"/>
          <w:lang w:val="en-US" w:eastAsia="zh-CN"/>
          <w14:textFill>
            <w14:solidFill>
              <w14:schemeClr w14:val="tx1"/>
            </w14:solidFill>
          </w14:textFill>
        </w:rPr>
        <w:t>6</w:t>
      </w:r>
      <w:r>
        <w:rPr>
          <w:color w:val="000000" w:themeColor="text1"/>
          <w:szCs w:val="28"/>
          <w:shd w:val="clear" w:color="auto" w:fill="FFFFFF"/>
          <w14:textFill>
            <w14:solidFill>
              <w14:schemeClr w14:val="tx1"/>
            </w14:solidFill>
          </w14:textFill>
        </w:rPr>
        <w:t xml:space="preserve"> 月 </w:t>
      </w:r>
      <w:r>
        <w:rPr>
          <w:rFonts w:hint="eastAsia"/>
          <w:color w:val="000000" w:themeColor="text1"/>
          <w:szCs w:val="28"/>
          <w:shd w:val="clear" w:color="auto" w:fill="FFFFFF"/>
          <w:lang w:val="en-US" w:eastAsia="zh-CN"/>
          <w14:textFill>
            <w14:solidFill>
              <w14:schemeClr w14:val="tx1"/>
            </w14:solidFill>
          </w14:textFill>
        </w:rPr>
        <w:t>28</w:t>
      </w:r>
      <w:r>
        <w:rPr>
          <w:color w:val="000000" w:themeColor="text1"/>
          <w:szCs w:val="28"/>
          <w:shd w:val="clear" w:color="auto" w:fill="FFFFFF"/>
          <w14:textFill>
            <w14:solidFill>
              <w14:schemeClr w14:val="tx1"/>
            </w14:solidFill>
          </w14:textFill>
        </w:rPr>
        <w:t xml:space="preserve"> 日，每天上午9:00至12:00，下午14:00至17:00。（北京时间，法定节假日除外）</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方式：现场获取或网上邮箱获取</w:t>
      </w:r>
    </w:p>
    <w:p>
      <w:pPr>
        <w:widowControl/>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现场获取地点：</w:t>
      </w:r>
      <w:r>
        <w:rPr>
          <w:rFonts w:hint="eastAsia" w:ascii="宋体" w:hAnsi="宋体" w:cs="宋体"/>
          <w:color w:val="000000" w:themeColor="text1"/>
          <w:szCs w:val="28"/>
          <w:shd w:val="clear" w:color="auto" w:fill="FFFFFF"/>
          <w14:textFill>
            <w14:solidFill>
              <w14:schemeClr w14:val="tx1"/>
            </w14:solidFill>
          </w14:textFill>
        </w:rPr>
        <w:t>现场获取地点（山西综改示范区太原唐槐园区大昌南路12号A3栋301三层财务室311室）</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网上获取邮箱：</w:t>
      </w:r>
      <w:r>
        <w:rPr>
          <w:rFonts w:hint="eastAsia" w:ascii="宋体" w:hAnsi="宋体" w:cs="宋体"/>
          <w:color w:val="000000" w:themeColor="text1"/>
          <w:szCs w:val="28"/>
          <w:shd w:val="clear" w:color="auto" w:fill="FFFFFF"/>
          <w14:textFill>
            <w14:solidFill>
              <w14:schemeClr w14:val="tx1"/>
            </w14:solidFill>
          </w14:textFill>
        </w:rPr>
        <w:t>zxc_ywb@163.com</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售价：￥500.00元，本公告包含的招标文件售价总和</w:t>
      </w:r>
      <w:r>
        <w:rPr>
          <w:rFonts w:hint="eastAsia"/>
          <w:color w:val="000000" w:themeColor="text1"/>
          <w:szCs w:val="28"/>
          <w:shd w:val="clear" w:color="auto" w:fill="FFFFFF"/>
          <w14:textFill>
            <w14:solidFill>
              <w14:schemeClr w14:val="tx1"/>
            </w14:solidFill>
          </w14:textFill>
        </w:rPr>
        <w:t>。</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rFonts w:hint="eastAsia"/>
          <w:color w:val="000000" w:themeColor="text1"/>
          <w:kern w:val="0"/>
          <w:szCs w:val="28"/>
          <w14:textFill>
            <w14:solidFill>
              <w14:schemeClr w14:val="tx1"/>
            </w14:solidFill>
          </w14:textFill>
        </w:rPr>
        <w:t>采购代理机构账户信息：</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收款单位：山西中兴财项目管理有限公司</w:t>
      </w:r>
    </w:p>
    <w:p>
      <w:pPr>
        <w:kinsoku w:val="0"/>
        <w:overflowPunct w:val="0"/>
        <w:autoSpaceDE w:val="0"/>
        <w:autoSpaceDN w:val="0"/>
        <w:snapToGrid w:val="0"/>
        <w:spacing w:line="360" w:lineRule="auto"/>
        <w:ind w:left="1680" w:leftChars="200" w:hanging="1120" w:hangingChars="40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地  址：太原市山西转型综合改革示范区唐槐产业园大昌南路12号A301栋</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开户行：中国建设银行太原人民南路支行</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账  号：14050182553800000396</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行  号：105161005243</w:t>
      </w:r>
    </w:p>
    <w:p>
      <w:pPr>
        <w:widowControl/>
        <w:snapToGrid w:val="0"/>
        <w:spacing w:line="360" w:lineRule="auto"/>
        <w:ind w:firstLine="562"/>
        <w:textAlignment w:val="baseline"/>
        <w:rPr>
          <w:color w:val="000000" w:themeColor="text1"/>
          <w:szCs w:val="28"/>
          <w14:textFill>
            <w14:solidFill>
              <w14:schemeClr w14:val="tx1"/>
            </w14:solidFill>
          </w14:textFill>
        </w:rPr>
      </w:pPr>
      <w:r>
        <w:rPr>
          <w:b/>
          <w:bCs/>
          <w:color w:val="000000" w:themeColor="text1"/>
          <w:szCs w:val="28"/>
          <w:shd w:val="clear" w:color="auto" w:fill="FFFFFF"/>
          <w14:textFill>
            <w14:solidFill>
              <w14:schemeClr w14:val="tx1"/>
            </w14:solidFill>
          </w14:textFill>
        </w:rPr>
        <w:t>四、提交投标文件截止时间、开标时间和地点</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 xml:space="preserve">提交投标文件截止时间：2024年 </w:t>
      </w:r>
      <w:r>
        <w:rPr>
          <w:rFonts w:hint="eastAsia"/>
          <w:color w:val="000000" w:themeColor="text1"/>
          <w:szCs w:val="28"/>
          <w:shd w:val="clear" w:color="auto" w:fill="FFFFFF"/>
          <w:lang w:val="en-US" w:eastAsia="zh-CN"/>
          <w14:textFill>
            <w14:solidFill>
              <w14:schemeClr w14:val="tx1"/>
            </w14:solidFill>
          </w14:textFill>
        </w:rPr>
        <w:t>7</w:t>
      </w:r>
      <w:r>
        <w:rPr>
          <w:color w:val="000000" w:themeColor="text1"/>
          <w:szCs w:val="28"/>
          <w:shd w:val="clear" w:color="auto" w:fill="FFFFFF"/>
          <w14:textFill>
            <w14:solidFill>
              <w14:schemeClr w14:val="tx1"/>
            </w14:solidFill>
          </w14:textFill>
        </w:rPr>
        <w:t xml:space="preserve">月 </w:t>
      </w:r>
      <w:r>
        <w:rPr>
          <w:rFonts w:hint="eastAsia"/>
          <w:color w:val="000000" w:themeColor="text1"/>
          <w:szCs w:val="28"/>
          <w:shd w:val="clear" w:color="auto" w:fill="FFFFFF"/>
          <w:lang w:val="en-US" w:eastAsia="zh-CN"/>
          <w14:textFill>
            <w14:solidFill>
              <w14:schemeClr w14:val="tx1"/>
            </w14:solidFill>
          </w14:textFill>
        </w:rPr>
        <w:t>17</w:t>
      </w:r>
      <w:r>
        <w:rPr>
          <w:color w:val="000000" w:themeColor="text1"/>
          <w:szCs w:val="28"/>
          <w:shd w:val="clear" w:color="auto" w:fill="FFFFFF"/>
          <w14:textFill>
            <w14:solidFill>
              <w14:schemeClr w14:val="tx1"/>
            </w14:solidFill>
          </w14:textFill>
        </w:rPr>
        <w:t xml:space="preserve"> 日</w:t>
      </w:r>
      <w:r>
        <w:rPr>
          <w:rFonts w:hint="eastAsia"/>
          <w:color w:val="000000" w:themeColor="text1"/>
          <w:szCs w:val="28"/>
          <w:shd w:val="clear" w:color="auto" w:fill="FFFFFF"/>
          <w14:textFill>
            <w14:solidFill>
              <w14:schemeClr w14:val="tx1"/>
            </w14:solidFill>
          </w14:textFill>
        </w:rPr>
        <w:t>8</w:t>
      </w:r>
      <w:r>
        <w:rPr>
          <w:color w:val="000000" w:themeColor="text1"/>
          <w:szCs w:val="28"/>
          <w:shd w:val="clear" w:color="auto" w:fill="FFFFFF"/>
          <w14:textFill>
            <w14:solidFill>
              <w14:schemeClr w14:val="tx1"/>
            </w14:solidFill>
          </w14:textFill>
        </w:rPr>
        <w:t>点</w:t>
      </w:r>
      <w:r>
        <w:rPr>
          <w:rFonts w:hint="eastAsia"/>
          <w:color w:val="000000" w:themeColor="text1"/>
          <w:szCs w:val="28"/>
          <w:shd w:val="clear" w:color="auto" w:fill="FFFFFF"/>
          <w14:textFill>
            <w14:solidFill>
              <w14:schemeClr w14:val="tx1"/>
            </w14:solidFill>
          </w14:textFill>
        </w:rPr>
        <w:t>3</w:t>
      </w:r>
      <w:r>
        <w:rPr>
          <w:color w:val="000000" w:themeColor="text1"/>
          <w:szCs w:val="28"/>
          <w:shd w:val="clear" w:color="auto" w:fill="FFFFFF"/>
          <w14:textFill>
            <w14:solidFill>
              <w14:schemeClr w14:val="tx1"/>
            </w14:solidFill>
          </w14:textFill>
        </w:rPr>
        <w:t>0分（北京时间）</w:t>
      </w:r>
      <w:bookmarkStart w:id="88" w:name="_GoBack"/>
      <w:bookmarkEnd w:id="88"/>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 xml:space="preserve">开标时间：2024年 </w:t>
      </w:r>
      <w:r>
        <w:rPr>
          <w:rFonts w:hint="eastAsia"/>
          <w:color w:val="000000" w:themeColor="text1"/>
          <w:szCs w:val="28"/>
          <w:shd w:val="clear" w:color="auto" w:fill="FFFFFF"/>
          <w:lang w:val="en-US" w:eastAsia="zh-CN"/>
          <w14:textFill>
            <w14:solidFill>
              <w14:schemeClr w14:val="tx1"/>
            </w14:solidFill>
          </w14:textFill>
        </w:rPr>
        <w:t>7</w:t>
      </w:r>
      <w:r>
        <w:rPr>
          <w:color w:val="000000" w:themeColor="text1"/>
          <w:szCs w:val="28"/>
          <w:shd w:val="clear" w:color="auto" w:fill="FFFFFF"/>
          <w14:textFill>
            <w14:solidFill>
              <w14:schemeClr w14:val="tx1"/>
            </w14:solidFill>
          </w14:textFill>
        </w:rPr>
        <w:t xml:space="preserve">月 </w:t>
      </w:r>
      <w:r>
        <w:rPr>
          <w:rFonts w:hint="eastAsia"/>
          <w:color w:val="000000" w:themeColor="text1"/>
          <w:szCs w:val="28"/>
          <w:shd w:val="clear" w:color="auto" w:fill="FFFFFF"/>
          <w:lang w:val="en-US" w:eastAsia="zh-CN"/>
          <w14:textFill>
            <w14:solidFill>
              <w14:schemeClr w14:val="tx1"/>
            </w14:solidFill>
          </w14:textFill>
        </w:rPr>
        <w:t xml:space="preserve">17 </w:t>
      </w:r>
      <w:r>
        <w:rPr>
          <w:color w:val="000000" w:themeColor="text1"/>
          <w:szCs w:val="28"/>
          <w:shd w:val="clear" w:color="auto" w:fill="FFFFFF"/>
          <w14:textFill>
            <w14:solidFill>
              <w14:schemeClr w14:val="tx1"/>
            </w14:solidFill>
          </w14:textFill>
        </w:rPr>
        <w:t>日</w:t>
      </w:r>
      <w:r>
        <w:rPr>
          <w:rFonts w:hint="eastAsia"/>
          <w:color w:val="000000" w:themeColor="text1"/>
          <w:szCs w:val="28"/>
          <w:shd w:val="clear" w:color="auto" w:fill="FFFFFF"/>
          <w14:textFill>
            <w14:solidFill>
              <w14:schemeClr w14:val="tx1"/>
            </w14:solidFill>
          </w14:textFill>
        </w:rPr>
        <w:t>8</w:t>
      </w:r>
      <w:r>
        <w:rPr>
          <w:color w:val="000000" w:themeColor="text1"/>
          <w:szCs w:val="28"/>
          <w:shd w:val="clear" w:color="auto" w:fill="FFFFFF"/>
          <w14:textFill>
            <w14:solidFill>
              <w14:schemeClr w14:val="tx1"/>
            </w14:solidFill>
          </w14:textFill>
        </w:rPr>
        <w:t>点</w:t>
      </w:r>
      <w:r>
        <w:rPr>
          <w:rFonts w:hint="eastAsia"/>
          <w:color w:val="000000" w:themeColor="text1"/>
          <w:szCs w:val="28"/>
          <w:shd w:val="clear" w:color="auto" w:fill="FFFFFF"/>
          <w14:textFill>
            <w14:solidFill>
              <w14:schemeClr w14:val="tx1"/>
            </w14:solidFill>
          </w14:textFill>
        </w:rPr>
        <w:t>3</w:t>
      </w:r>
      <w:r>
        <w:rPr>
          <w:color w:val="000000" w:themeColor="text1"/>
          <w:szCs w:val="28"/>
          <w:shd w:val="clear" w:color="auto" w:fill="FFFFFF"/>
          <w14:textFill>
            <w14:solidFill>
              <w14:schemeClr w14:val="tx1"/>
            </w14:solidFill>
          </w14:textFill>
        </w:rPr>
        <w:t>0分（北京时间）</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地    点：</w:t>
      </w:r>
      <w:r>
        <w:rPr>
          <w:rFonts w:hint="eastAsia" w:ascii="宋体" w:hAnsi="宋体" w:cs="宋体"/>
          <w:color w:val="000000" w:themeColor="text1"/>
          <w:szCs w:val="28"/>
          <w:shd w:val="clear" w:color="auto" w:fill="FFFFFF"/>
          <w14:textFill>
            <w14:solidFill>
              <w14:schemeClr w14:val="tx1"/>
            </w14:solidFill>
          </w14:textFill>
        </w:rPr>
        <w:t>山西综改示范区唐槐园区大昌南路12号山西安泰信科技产业园A301栋一层会议室（山西安泰信科技产业园北门往东50米）</w:t>
      </w:r>
    </w:p>
    <w:p>
      <w:pPr>
        <w:widowControl/>
        <w:snapToGrid w:val="0"/>
        <w:spacing w:line="360" w:lineRule="auto"/>
        <w:ind w:firstLine="562"/>
        <w:textAlignment w:val="baseline"/>
        <w:rPr>
          <w:color w:val="000000" w:themeColor="text1"/>
          <w:szCs w:val="28"/>
          <w14:textFill>
            <w14:solidFill>
              <w14:schemeClr w14:val="tx1"/>
            </w14:solidFill>
          </w14:textFill>
        </w:rPr>
      </w:pPr>
      <w:r>
        <w:rPr>
          <w:b/>
          <w:bCs/>
          <w:color w:val="000000" w:themeColor="text1"/>
          <w:szCs w:val="28"/>
          <w:shd w:val="clear" w:color="auto" w:fill="FFFFFF"/>
          <w14:textFill>
            <w14:solidFill>
              <w14:schemeClr w14:val="tx1"/>
            </w14:solidFill>
          </w14:textFill>
        </w:rPr>
        <w:t>五、公告期限</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自本公告发布之日起5个工作日。</w:t>
      </w:r>
    </w:p>
    <w:p>
      <w:pPr>
        <w:widowControl/>
        <w:snapToGrid w:val="0"/>
        <w:spacing w:line="360" w:lineRule="auto"/>
        <w:ind w:firstLine="562"/>
        <w:textAlignment w:val="baseline"/>
        <w:rPr>
          <w:color w:val="000000" w:themeColor="text1"/>
          <w:szCs w:val="28"/>
          <w14:textFill>
            <w14:solidFill>
              <w14:schemeClr w14:val="tx1"/>
            </w14:solidFill>
          </w14:textFill>
        </w:rPr>
      </w:pPr>
      <w:r>
        <w:rPr>
          <w:b/>
          <w:bCs/>
          <w:color w:val="000000" w:themeColor="text1"/>
          <w:szCs w:val="28"/>
          <w:shd w:val="clear" w:color="auto" w:fill="FFFFFF"/>
          <w14:textFill>
            <w14:solidFill>
              <w14:schemeClr w14:val="tx1"/>
            </w14:solidFill>
          </w14:textFill>
        </w:rPr>
        <w:t>六、其他补充事宜</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获取招标文件方式：</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方式一：现场获取</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投标人获取招标文件须携带加盖公章的以下资料一套：</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rFonts w:hint="eastAsia"/>
          <w:color w:val="000000" w:themeColor="text1"/>
          <w:szCs w:val="28"/>
          <w:shd w:val="clear" w:color="auto" w:fill="FFFFFF"/>
          <w14:textFill>
            <w14:solidFill>
              <w14:schemeClr w14:val="tx1"/>
            </w14:solidFill>
          </w14:textFill>
        </w:rPr>
        <w:t>1.</w:t>
      </w:r>
      <w:r>
        <w:rPr>
          <w:color w:val="000000" w:themeColor="text1"/>
          <w:szCs w:val="28"/>
          <w:shd w:val="clear" w:color="auto" w:fill="FFFFFF"/>
          <w14:textFill>
            <w14:solidFill>
              <w14:schemeClr w14:val="tx1"/>
            </w14:solidFill>
          </w14:textFill>
        </w:rPr>
        <w:t>单位委托书或介绍信原件及承办人身份证复印件</w:t>
      </w:r>
      <w:r>
        <w:rPr>
          <w:rFonts w:hint="eastAsia"/>
          <w:color w:val="000000" w:themeColor="text1"/>
          <w:szCs w:val="28"/>
          <w:shd w:val="clear" w:color="auto" w:fill="FFFFFF"/>
          <w14:textFill>
            <w14:solidFill>
              <w14:schemeClr w14:val="tx1"/>
            </w14:solidFill>
          </w14:textFill>
        </w:rPr>
        <w:t>；</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rFonts w:hint="eastAsia"/>
          <w:color w:val="000000" w:themeColor="text1"/>
          <w:szCs w:val="28"/>
          <w:shd w:val="clear" w:color="auto" w:fill="FFFFFF"/>
          <w14:textFill>
            <w14:solidFill>
              <w14:schemeClr w14:val="tx1"/>
            </w14:solidFill>
          </w14:textFill>
        </w:rPr>
        <w:t>2.投标人基本信息表（见招标公告附件）。</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方式二：网上邮箱获取</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1.报送邮箱：</w:t>
      </w:r>
      <w:r>
        <w:rPr>
          <w:rFonts w:hint="eastAsia" w:ascii="宋体" w:hAnsi="宋体" w:cs="宋体"/>
          <w:color w:val="000000" w:themeColor="text1"/>
          <w:szCs w:val="28"/>
          <w:shd w:val="clear" w:color="auto" w:fill="FFFFFF"/>
          <w14:textFill>
            <w14:solidFill>
              <w14:schemeClr w14:val="tx1"/>
            </w14:solidFill>
          </w14:textFill>
        </w:rPr>
        <w:t>zxc_ywb@163.com</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2.上传内容：</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（1）邮件主题填写：项目编号、包号和公司全称（例如：项目编号+包号+公司全称）。</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（2）添加附件上传：</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rFonts w:hint="eastAsia"/>
          <w:color w:val="000000" w:themeColor="text1"/>
          <w:szCs w:val="28"/>
          <w:shd w:val="clear" w:color="auto" w:fill="FFFFFF"/>
          <w14:textFill>
            <w14:solidFill>
              <w14:schemeClr w14:val="tx1"/>
            </w14:solidFill>
          </w14:textFill>
        </w:rPr>
        <w:t>a.</w:t>
      </w:r>
      <w:r>
        <w:rPr>
          <w:color w:val="000000" w:themeColor="text1"/>
          <w:szCs w:val="28"/>
          <w:shd w:val="clear" w:color="auto" w:fill="FFFFFF"/>
          <w14:textFill>
            <w14:solidFill>
              <w14:schemeClr w14:val="tx1"/>
            </w14:solidFill>
          </w14:textFill>
        </w:rPr>
        <w:t>单位委托书或介绍信原件及承办人身份证复印件</w:t>
      </w:r>
      <w:r>
        <w:rPr>
          <w:rFonts w:hint="eastAsia"/>
          <w:color w:val="000000" w:themeColor="text1"/>
          <w:szCs w:val="28"/>
          <w:shd w:val="clear" w:color="auto" w:fill="FFFFFF"/>
          <w14:textFill>
            <w14:solidFill>
              <w14:schemeClr w14:val="tx1"/>
            </w14:solidFill>
          </w14:textFill>
        </w:rPr>
        <w:t>；</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rFonts w:hint="eastAsia"/>
          <w:color w:val="000000" w:themeColor="text1"/>
          <w:szCs w:val="28"/>
          <w:shd w:val="clear" w:color="auto" w:fill="FFFFFF"/>
          <w14:textFill>
            <w14:solidFill>
              <w14:schemeClr w14:val="tx1"/>
            </w14:solidFill>
          </w14:textFill>
        </w:rPr>
        <w:t>b.投标人基本信息表（见招标公告附件）。</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3.上传要求：将上传的资料原件盖章后扫描发送至指定邮箱</w:t>
      </w:r>
      <w:r>
        <w:rPr>
          <w:rFonts w:hint="eastAsia"/>
          <w:color w:val="000000" w:themeColor="text1"/>
          <w:szCs w:val="28"/>
          <w:shd w:val="clear" w:color="auto" w:fill="FFFFFF"/>
          <w14:textFill>
            <w14:solidFill>
              <w14:schemeClr w14:val="tx1"/>
            </w14:solidFill>
          </w14:textFill>
        </w:rPr>
        <w:t>。</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4.上传格式：必须为pdf格式，勿压缩提供。</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备注：</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（1）邮件发送时间请严格按照公告要求的报送时间范围内报送，否则，将不予受理。获取文件的时间以收到邮件的时间为准，错过时间按“无效”邮件处理。</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（2）未按上述要求提供或所提供相关信息资料有误而带来的一切后果自负。</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（3）未按上述方式及要求获取招标文件的投标人，其递交的投标文件将被作为无效投标处理。</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（4）如同一邮箱发送不同投标人的获取材料，该邮箱发送的所有投标人的获取材料均无效。</w:t>
      </w:r>
    </w:p>
    <w:p>
      <w:pPr>
        <w:widowControl/>
        <w:snapToGrid w:val="0"/>
        <w:spacing w:line="360" w:lineRule="auto"/>
        <w:ind w:firstLine="562"/>
        <w:textAlignment w:val="baseline"/>
        <w:rPr>
          <w:color w:val="000000" w:themeColor="text1"/>
          <w:szCs w:val="28"/>
          <w14:textFill>
            <w14:solidFill>
              <w14:schemeClr w14:val="tx1"/>
            </w14:solidFill>
          </w14:textFill>
        </w:rPr>
      </w:pPr>
      <w:r>
        <w:rPr>
          <w:b/>
          <w:bCs/>
          <w:color w:val="000000" w:themeColor="text1"/>
          <w:szCs w:val="28"/>
          <w:shd w:val="clear" w:color="auto" w:fill="FFFFFF"/>
          <w14:textFill>
            <w14:solidFill>
              <w14:schemeClr w14:val="tx1"/>
            </w14:solidFill>
          </w14:textFill>
        </w:rPr>
        <w:t>七、对本次招标提出询问，请按以下方式联系。</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1.采购人信息</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名    称：山西省消防救援总队</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地    址：山西省太原市迎泽区桃园南路59号</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联系方式：白先生 0351-3135119</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2.采购代理机构信息</w:t>
      </w:r>
    </w:p>
    <w:p>
      <w:pPr>
        <w:spacing w:line="360" w:lineRule="auto"/>
      </w:pPr>
      <w:bookmarkStart w:id="3" w:name="_Toc26058"/>
      <w:bookmarkStart w:id="4" w:name="_Toc4503"/>
      <w:bookmarkStart w:id="5" w:name="_Toc15516"/>
      <w:r>
        <w:rPr>
          <w:rFonts w:hint="eastAsia"/>
        </w:rPr>
        <w:t>名    称：山西中兴财项目管理有限公司</w:t>
      </w:r>
      <w:bookmarkEnd w:id="3"/>
    </w:p>
    <w:p>
      <w:pPr>
        <w:widowControl/>
        <w:spacing w:line="360" w:lineRule="auto"/>
        <w:ind w:left="1680" w:leftChars="200" w:hanging="1120" w:hangingChars="400"/>
        <w:textAlignment w:val="baseline"/>
        <w:rPr>
          <w:rFonts w:ascii="宋体" w:hAnsi="宋体" w:cs="宋体"/>
          <w:color w:val="000000" w:themeColor="text1"/>
          <w:szCs w:val="28"/>
          <w:shd w:val="clear" w:color="auto" w:fill="FFFFFF"/>
          <w14:textFill>
            <w14:solidFill>
              <w14:schemeClr w14:val="tx1"/>
            </w14:solidFill>
          </w14:textFill>
        </w:rPr>
      </w:pPr>
      <w:r>
        <w:rPr>
          <w:rFonts w:hint="eastAsia" w:ascii="宋体" w:hAnsi="宋体" w:cs="宋体"/>
          <w:color w:val="000000" w:themeColor="text1"/>
          <w:szCs w:val="28"/>
          <w:shd w:val="clear" w:color="auto" w:fill="FFFFFF"/>
          <w14:textFill>
            <w14:solidFill>
              <w14:schemeClr w14:val="tx1"/>
            </w14:solidFill>
          </w14:textFill>
        </w:rPr>
        <w:t>地    址：山西综改示范区唐槐园区大昌南路12号山西安泰信科技产业园A301栋（山西安泰信科技产业园北门往东50米）</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rFonts w:hint="eastAsia"/>
          <w:color w:val="000000" w:themeColor="text1"/>
          <w:szCs w:val="28"/>
          <w:shd w:val="clear" w:color="auto" w:fill="FFFFFF"/>
          <w:lang w:val="en-US" w:eastAsia="zh-CN"/>
          <w14:textFill>
            <w14:solidFill>
              <w14:schemeClr w14:val="tx1"/>
            </w14:solidFill>
          </w14:textFill>
        </w:rPr>
        <w:t>3.</w:t>
      </w:r>
      <w:r>
        <w:rPr>
          <w:color w:val="000000" w:themeColor="text1"/>
          <w:szCs w:val="28"/>
          <w:shd w:val="clear" w:color="auto" w:fill="FFFFFF"/>
          <w14:textFill>
            <w14:solidFill>
              <w14:schemeClr w14:val="tx1"/>
            </w14:solidFill>
          </w14:textFill>
        </w:rPr>
        <w:t>联系方式：0351-</w:t>
      </w:r>
      <w:r>
        <w:rPr>
          <w:rFonts w:hint="eastAsia"/>
          <w:color w:val="000000" w:themeColor="text1"/>
          <w:szCs w:val="28"/>
          <w:shd w:val="clear" w:color="auto" w:fill="FFFFFF"/>
          <w14:textFill>
            <w14:solidFill>
              <w14:schemeClr w14:val="tx1"/>
            </w14:solidFill>
          </w14:textFill>
        </w:rPr>
        <w:t>8212172</w:t>
      </w:r>
      <w:r>
        <w:rPr>
          <w:color w:val="000000" w:themeColor="text1"/>
          <w:szCs w:val="28"/>
          <w:shd w:val="clear" w:color="auto" w:fill="FFFFFF"/>
          <w14:textFill>
            <w14:solidFill>
              <w14:schemeClr w14:val="tx1"/>
            </w14:solidFill>
          </w14:textFill>
        </w:rPr>
        <w:t>.</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项目联系方式</w:t>
      </w:r>
    </w:p>
    <w:p>
      <w:pPr>
        <w:widowControl/>
        <w:snapToGrid w:val="0"/>
        <w:spacing w:line="360" w:lineRule="auto"/>
        <w:ind w:firstLine="560"/>
        <w:textAlignment w:val="baseline"/>
        <w:rPr>
          <w:color w:val="000000" w:themeColor="text1"/>
          <w:szCs w:val="28"/>
          <w:shd w:val="clear" w:color="auto" w:fill="FFFFFF"/>
          <w14:textFill>
            <w14:solidFill>
              <w14:schemeClr w14:val="tx1"/>
            </w14:solidFill>
          </w14:textFill>
        </w:rPr>
      </w:pPr>
      <w:r>
        <w:rPr>
          <w:color w:val="000000" w:themeColor="text1"/>
          <w:szCs w:val="28"/>
          <w:shd w:val="clear" w:color="auto" w:fill="FFFFFF"/>
          <w14:textFill>
            <w14:solidFill>
              <w14:schemeClr w14:val="tx1"/>
            </w14:solidFill>
          </w14:textFill>
        </w:rPr>
        <w:t>联 系 人：</w:t>
      </w:r>
      <w:r>
        <w:rPr>
          <w:rFonts w:hint="eastAsia" w:ascii="宋体" w:hAnsi="宋体" w:cs="宋体"/>
          <w:color w:val="000000" w:themeColor="text1"/>
          <w:szCs w:val="28"/>
          <w:shd w:val="clear" w:color="auto" w:fill="FFFFFF"/>
          <w14:textFill>
            <w14:solidFill>
              <w14:schemeClr w14:val="tx1"/>
            </w14:solidFill>
          </w14:textFill>
        </w:rPr>
        <w:t>辛广、连雪琨、高婧、高宇佳、杨文举</w:t>
      </w:r>
    </w:p>
    <w:p>
      <w:pPr>
        <w:widowControl/>
        <w:snapToGrid w:val="0"/>
        <w:spacing w:line="360" w:lineRule="auto"/>
        <w:ind w:firstLine="560"/>
        <w:textAlignment w:val="baseline"/>
        <w:rPr>
          <w:color w:val="000000" w:themeColor="text1"/>
          <w:szCs w:val="28"/>
          <w14:textFill>
            <w14:solidFill>
              <w14:schemeClr w14:val="tx1"/>
            </w14:solidFill>
          </w14:textFill>
        </w:rPr>
      </w:pPr>
      <w:r>
        <w:rPr>
          <w:color w:val="000000" w:themeColor="text1"/>
          <w:szCs w:val="28"/>
          <w:shd w:val="clear" w:color="auto" w:fill="FFFFFF"/>
          <w14:textFill>
            <w14:solidFill>
              <w14:schemeClr w14:val="tx1"/>
            </w14:solidFill>
          </w14:textFill>
        </w:rPr>
        <w:t>电    话：0351-</w:t>
      </w:r>
      <w:r>
        <w:rPr>
          <w:rFonts w:hint="eastAsia"/>
          <w:color w:val="000000" w:themeColor="text1"/>
          <w:szCs w:val="28"/>
          <w:shd w:val="clear" w:color="auto" w:fill="FFFFFF"/>
          <w14:textFill>
            <w14:solidFill>
              <w14:schemeClr w14:val="tx1"/>
            </w14:solidFill>
          </w14:textFill>
        </w:rPr>
        <w:t>8212172</w:t>
      </w:r>
      <w:r>
        <w:rPr>
          <w:color w:val="000000" w:themeColor="text1"/>
          <w:szCs w:val="28"/>
          <w:shd w:val="clear" w:color="auto" w:fill="FFFFFF"/>
          <w14:textFill>
            <w14:solidFill>
              <w14:schemeClr w14:val="tx1"/>
            </w14:solidFill>
          </w14:textFill>
        </w:rPr>
        <w:t>.</w:t>
      </w:r>
    </w:p>
    <w:p>
      <w:pPr>
        <w:ind w:firstLine="560"/>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(技术参数详见附件）</w:t>
      </w:r>
    </w:p>
    <w:p>
      <w:pPr>
        <w:ind w:firstLine="560"/>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3"/>
        <w:ind w:firstLineChars="0"/>
        <w:rPr>
          <w:color w:val="000000" w:themeColor="text1"/>
          <w14:textFill>
            <w14:solidFill>
              <w14:schemeClr w14:val="tx1"/>
            </w14:solidFill>
          </w14:textFill>
        </w:rPr>
      </w:pPr>
      <w:bookmarkStart w:id="6" w:name="_Toc9062"/>
      <w:r>
        <w:rPr>
          <w:color w:val="000000" w:themeColor="text1"/>
          <w14:textFill>
            <w14:solidFill>
              <w14:schemeClr w14:val="tx1"/>
            </w14:solidFill>
          </w14:textFill>
        </w:rPr>
        <w:t>第二部分  投标人须知</w:t>
      </w:r>
      <w:bookmarkEnd w:id="4"/>
      <w:bookmarkEnd w:id="5"/>
      <w:bookmarkEnd w:id="6"/>
    </w:p>
    <w:p>
      <w:pPr>
        <w:ind w:firstLine="560"/>
        <w:rPr>
          <w:color w:val="000000" w:themeColor="text1"/>
          <w14:textFill>
            <w14:solidFill>
              <w14:schemeClr w14:val="tx1"/>
            </w14:solidFill>
          </w14:textFill>
        </w:rPr>
      </w:pPr>
    </w:p>
    <w:p>
      <w:pPr>
        <w:pStyle w:val="4"/>
        <w:rPr>
          <w:rFonts w:ascii="Times New Roman" w:hAnsi="Times New Roman"/>
          <w:color w:val="000000" w:themeColor="text1"/>
          <w:szCs w:val="28"/>
          <w14:textFill>
            <w14:solidFill>
              <w14:schemeClr w14:val="tx1"/>
            </w14:solidFill>
          </w14:textFill>
        </w:rPr>
      </w:pPr>
      <w:bookmarkStart w:id="7" w:name="_Toc30960"/>
      <w:bookmarkStart w:id="8" w:name="_Toc23512"/>
      <w:r>
        <w:rPr>
          <w:rFonts w:ascii="Times New Roman" w:hAnsi="Times New Roman"/>
          <w:color w:val="000000" w:themeColor="text1"/>
          <w:szCs w:val="28"/>
          <w14:textFill>
            <w14:solidFill>
              <w14:schemeClr w14:val="tx1"/>
            </w14:solidFill>
          </w14:textFill>
        </w:rPr>
        <w:t>一、总则</w:t>
      </w:r>
      <w:bookmarkEnd w:id="7"/>
      <w:bookmarkEnd w:id="8"/>
    </w:p>
    <w:p>
      <w:pPr>
        <w:tabs>
          <w:tab w:val="left" w:pos="737"/>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1.适用范围</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本招标文件适用于本次招标活动的全过程。</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2.定义</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2.1“货物”指投标人制造或组织符合本招标文件要求的货物。按照财政部《政府采购进口产品管理办法》（财库[2007]119号）的有关规定，本招标文件涉及的所有采购内容除特别标注为“可接受进口产品”外，均必须采购国产产品。进口产品特指“通过中国海关报关验放进入中国境内且产自关境外的产品”。</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2.2“服务”指除货物以外规定由投标人承担的与货物有关的辅助服务，比如运输、保险以及其他的伴随服务，比如安装、调试、技术援助、培训和合同中规定由投标人承担的其他义务。</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2.3“潜在投标人”指符合本招标文件各项规定的合格投标人。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2.4“投标人”指符合本招标文件规定并参加投标的投标人。</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3.合格投标人的条件</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3.1具有本项目生产、制造、加工、供应或实施能力，符合、承认并承诺履行本招标文件各项规定的国内投标人。</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3.2投标人必须是已在中国境内依法登记注册的投标人。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3.3投标人应遵守有关的国家法律、法规和条例，具备《中华人民共和国政府采购法》和本文件中规定的条件。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3.4提供相同品牌产品且通过资格审查、符合性审查的不同投标人参加同一合同项下投标的，按一家投标人计算。评审后得分最高的同品牌投标人获得中标人推荐资格，其他同品牌投标人不作为中标候选人；评审得分相同的，由评标委员会按照优先低价原则，选择报价较低的同品牌投标人获得中标人推荐资格，其他同品牌投标人不作为中标候选人；评审得分相同且报价相同的，由评标委员会采取随机抽取方式确定，其他同品牌投标人不作为中标候选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如项目为非单一产品采购项目，货物需求及相关技术要求注明核心产品。多家投标人提供的核心产品品牌完全相同的，按前款规定处理。</w:t>
      </w:r>
    </w:p>
    <w:p>
      <w:pPr>
        <w:kinsoku w:val="0"/>
        <w:overflowPunct w:val="0"/>
        <w:autoSpaceDE w:val="0"/>
        <w:autoSpaceDN w:val="0"/>
        <w:snapToGrid w:val="0"/>
        <w:spacing w:line="360" w:lineRule="auto"/>
        <w:ind w:firstLine="562"/>
        <w:rPr>
          <w:b/>
          <w:bCs/>
          <w:color w:val="000000" w:themeColor="text1"/>
          <w:kern w:val="0"/>
          <w:szCs w:val="28"/>
          <w14:textFill>
            <w14:solidFill>
              <w14:schemeClr w14:val="tx1"/>
            </w14:solidFill>
          </w14:textFill>
        </w:rPr>
      </w:pPr>
      <w:r>
        <w:rPr>
          <w:rFonts w:hint="eastAsia"/>
          <w:b/>
          <w:bCs/>
          <w:color w:val="000000" w:themeColor="text1"/>
          <w:kern w:val="0"/>
          <w:szCs w:val="28"/>
          <w14:textFill>
            <w14:solidFill>
              <w14:schemeClr w14:val="tx1"/>
            </w14:solidFill>
          </w14:textFill>
        </w:rPr>
        <w:t>本项目中标注“●”为核心产品。</w:t>
      </w:r>
    </w:p>
    <w:p>
      <w:pPr>
        <w:kinsoku w:val="0"/>
        <w:overflowPunct w:val="0"/>
        <w:autoSpaceDE w:val="0"/>
        <w:autoSpaceDN w:val="0"/>
        <w:snapToGrid w:val="0"/>
        <w:spacing w:line="360" w:lineRule="auto"/>
        <w:ind w:firstLine="560"/>
        <w:rPr>
          <w:color w:val="000000" w:themeColor="text1"/>
          <w:kern w:val="0"/>
          <w:szCs w:val="28"/>
          <w:highlight w:val="none"/>
          <w14:textFill>
            <w14:solidFill>
              <w14:schemeClr w14:val="tx1"/>
            </w14:solidFill>
          </w14:textFill>
        </w:rPr>
      </w:pPr>
      <w:r>
        <w:rPr>
          <w:color w:val="000000" w:themeColor="text1"/>
          <w:kern w:val="0"/>
          <w:szCs w:val="28"/>
          <w:highlight w:val="none"/>
          <w14:textFill>
            <w14:solidFill>
              <w14:schemeClr w14:val="tx1"/>
            </w14:solidFill>
          </w14:textFill>
        </w:rPr>
        <w:t>3.5兼投不兼中</w:t>
      </w:r>
      <w:r>
        <w:rPr>
          <w:rFonts w:hint="eastAsia"/>
          <w:color w:val="000000" w:themeColor="text1"/>
          <w:kern w:val="0"/>
          <w:szCs w:val="28"/>
          <w:highlight w:val="none"/>
          <w14:textFill>
            <w14:solidFill>
              <w14:schemeClr w14:val="tx1"/>
            </w14:solidFill>
          </w14:textFill>
        </w:rPr>
        <w:t>（无）</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为保证项目的服务质量，充分调动投标人做好项目的积极性，争先比优，</w:t>
      </w:r>
      <w:r>
        <w:rPr>
          <w:rFonts w:hint="eastAsia"/>
          <w:color w:val="000000" w:themeColor="text1"/>
          <w:kern w:val="0"/>
          <w:szCs w:val="28"/>
          <w14:textFill>
            <w14:solidFill>
              <w14:schemeClr w14:val="tx1"/>
            </w14:solidFill>
          </w14:textFill>
        </w:rPr>
        <w:t>同一</w:t>
      </w:r>
      <w:r>
        <w:rPr>
          <w:color w:val="000000" w:themeColor="text1"/>
          <w:kern w:val="0"/>
          <w:szCs w:val="28"/>
          <w14:textFill>
            <w14:solidFill>
              <w14:schemeClr w14:val="tx1"/>
            </w14:solidFill>
          </w14:textFill>
        </w:rPr>
        <w:t>投标人</w:t>
      </w:r>
      <w:r>
        <w:rPr>
          <w:rFonts w:hint="eastAsia"/>
          <w:color w:val="000000" w:themeColor="text1"/>
          <w:kern w:val="0"/>
          <w:szCs w:val="28"/>
          <w14:textFill>
            <w14:solidFill>
              <w14:schemeClr w14:val="tx1"/>
            </w14:solidFill>
          </w14:textFill>
        </w:rPr>
        <w:t>可以参与多个包的投标，但</w:t>
      </w:r>
      <w:r>
        <w:rPr>
          <w:color w:val="000000" w:themeColor="text1"/>
          <w:kern w:val="0"/>
          <w:szCs w:val="28"/>
          <w14:textFill>
            <w14:solidFill>
              <w14:schemeClr w14:val="tx1"/>
            </w14:solidFill>
          </w14:textFill>
        </w:rPr>
        <w:t>只能中标本项目中的一个包。同一投标人同时在不同的包综合得分排名第一，按照包号顺序由小到大中标1个包，之后包的中标人确定为该包综合得分排名第二的投标人，以此类推。</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例：同一投标人同时在</w:t>
      </w:r>
      <w:r>
        <w:rPr>
          <w:rFonts w:hint="eastAsia"/>
          <w:color w:val="000000" w:themeColor="text1"/>
          <w:kern w:val="0"/>
          <w:szCs w:val="28"/>
          <w14:textFill>
            <w14:solidFill>
              <w14:schemeClr w14:val="tx1"/>
            </w14:solidFill>
          </w14:textFill>
        </w:rPr>
        <w:t>第</w:t>
      </w:r>
      <w:r>
        <w:rPr>
          <w:color w:val="000000" w:themeColor="text1"/>
          <w:kern w:val="0"/>
          <w:szCs w:val="28"/>
          <w14:textFill>
            <w14:solidFill>
              <w14:schemeClr w14:val="tx1"/>
            </w14:solidFill>
          </w14:textFill>
        </w:rPr>
        <w:t>1</w:t>
      </w:r>
      <w:r>
        <w:rPr>
          <w:rFonts w:hint="eastAsia"/>
          <w:color w:val="000000" w:themeColor="text1"/>
          <w:kern w:val="0"/>
          <w:szCs w:val="28"/>
          <w14:textFill>
            <w14:solidFill>
              <w14:schemeClr w14:val="tx1"/>
            </w14:solidFill>
          </w14:textFill>
        </w:rPr>
        <w:t>包</w:t>
      </w:r>
      <w:r>
        <w:rPr>
          <w:color w:val="000000" w:themeColor="text1"/>
          <w:kern w:val="0"/>
          <w:szCs w:val="28"/>
          <w14:textFill>
            <w14:solidFill>
              <w14:schemeClr w14:val="tx1"/>
            </w14:solidFill>
          </w14:textFill>
        </w:rPr>
        <w:t>和</w:t>
      </w:r>
      <w:r>
        <w:rPr>
          <w:rFonts w:hint="eastAsia"/>
          <w:color w:val="000000" w:themeColor="text1"/>
          <w:kern w:val="0"/>
          <w:szCs w:val="28"/>
          <w14:textFill>
            <w14:solidFill>
              <w14:schemeClr w14:val="tx1"/>
            </w14:solidFill>
          </w14:textFill>
        </w:rPr>
        <w:t>第</w:t>
      </w:r>
      <w:r>
        <w:rPr>
          <w:color w:val="000000" w:themeColor="text1"/>
          <w:kern w:val="0"/>
          <w:szCs w:val="28"/>
          <w14:textFill>
            <w14:solidFill>
              <w14:schemeClr w14:val="tx1"/>
            </w14:solidFill>
          </w14:textFill>
        </w:rPr>
        <w:t>2包中综合得分均排名第一，该投标人不参加第2包的中标候选人排序。如果第2包参与排序的投标人数量不足3家</w:t>
      </w:r>
      <w:r>
        <w:rPr>
          <w:rFonts w:hint="eastAsia"/>
          <w:color w:val="000000" w:themeColor="text1"/>
          <w:kern w:val="0"/>
          <w:szCs w:val="28"/>
          <w14:textFill>
            <w14:solidFill>
              <w14:schemeClr w14:val="tx1"/>
            </w14:solidFill>
          </w14:textFill>
        </w:rPr>
        <w:t>，</w:t>
      </w:r>
      <w:r>
        <w:rPr>
          <w:color w:val="000000" w:themeColor="text1"/>
          <w:kern w:val="0"/>
          <w:szCs w:val="28"/>
          <w14:textFill>
            <w14:solidFill>
              <w14:schemeClr w14:val="tx1"/>
            </w14:solidFill>
          </w14:textFill>
        </w:rPr>
        <w:t>按废标处理。</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w:t>
      </w:r>
      <w:r>
        <w:rPr>
          <w:rFonts w:hint="eastAsia"/>
          <w:color w:val="000000" w:themeColor="text1"/>
          <w:kern w:val="0"/>
          <w:szCs w:val="28"/>
          <w14:textFill>
            <w14:solidFill>
              <w14:schemeClr w14:val="tx1"/>
            </w14:solidFill>
          </w14:textFill>
        </w:rPr>
        <w:t>6</w:t>
      </w:r>
      <w:r>
        <w:rPr>
          <w:color w:val="000000" w:themeColor="text1"/>
          <w:kern w:val="0"/>
          <w:szCs w:val="28"/>
          <w14:textFill>
            <w14:solidFill>
              <w14:schemeClr w14:val="tx1"/>
            </w14:solidFill>
          </w14:textFill>
        </w:rPr>
        <w:t>投标人获取招标文件时应进行登记，并提供有效联系方式。</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w:t>
      </w:r>
      <w:r>
        <w:rPr>
          <w:rFonts w:hint="eastAsia"/>
          <w:color w:val="000000" w:themeColor="text1"/>
          <w:kern w:val="0"/>
          <w:szCs w:val="28"/>
          <w14:textFill>
            <w14:solidFill>
              <w14:schemeClr w14:val="tx1"/>
            </w14:solidFill>
          </w14:textFill>
        </w:rPr>
        <w:t>7</w:t>
      </w:r>
      <w:r>
        <w:rPr>
          <w:color w:val="000000" w:themeColor="text1"/>
          <w:kern w:val="0"/>
          <w:szCs w:val="28"/>
          <w14:textFill>
            <w14:solidFill>
              <w14:schemeClr w14:val="tx1"/>
            </w14:solidFill>
          </w14:textFill>
        </w:rPr>
        <w:t>如投标人代表不是法定代表人，须持有《法定代表人授权委托书》(按招标文件提供的格式填写)。</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w:t>
      </w:r>
      <w:r>
        <w:rPr>
          <w:rFonts w:hint="eastAsia"/>
          <w:color w:val="000000" w:themeColor="text1"/>
          <w:kern w:val="0"/>
          <w:szCs w:val="28"/>
          <w14:textFill>
            <w14:solidFill>
              <w14:schemeClr w14:val="tx1"/>
            </w14:solidFill>
          </w14:textFill>
        </w:rPr>
        <w:t>8</w:t>
      </w:r>
      <w:r>
        <w:rPr>
          <w:color w:val="000000" w:themeColor="text1"/>
          <w:kern w:val="0"/>
          <w:szCs w:val="28"/>
          <w14:textFill>
            <w14:solidFill>
              <w14:schemeClr w14:val="tx1"/>
            </w14:solidFill>
          </w14:textFill>
        </w:rPr>
        <w:t>投标人应独立于采购人，不得直接或间接地与采购人为采购本次招标的货物进行设计、编制技术规格和其它文件所委托的咨询公司或其附属机构有任何关联。</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4.投标费用</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投标人应承担所有与准备和参加投标有关的费用，采购代理机构（或采购人)在任何情况下均无义务和责任承担这些费用。</w:t>
      </w:r>
    </w:p>
    <w:p>
      <w:pPr>
        <w:pStyle w:val="4"/>
        <w:rPr>
          <w:rFonts w:ascii="Times New Roman" w:hAnsi="Times New Roman"/>
          <w:color w:val="000000" w:themeColor="text1"/>
          <w:szCs w:val="28"/>
          <w14:textFill>
            <w14:solidFill>
              <w14:schemeClr w14:val="tx1"/>
            </w14:solidFill>
          </w14:textFill>
        </w:rPr>
      </w:pPr>
      <w:bookmarkStart w:id="9" w:name="_Toc30350"/>
      <w:bookmarkStart w:id="10" w:name="_Toc11470"/>
      <w:r>
        <w:rPr>
          <w:rFonts w:ascii="Times New Roman" w:hAnsi="Times New Roman"/>
          <w:color w:val="000000" w:themeColor="text1"/>
          <w:szCs w:val="28"/>
          <w14:textFill>
            <w14:solidFill>
              <w14:schemeClr w14:val="tx1"/>
            </w14:solidFill>
          </w14:textFill>
        </w:rPr>
        <w:t>二、招标文件</w:t>
      </w:r>
      <w:bookmarkEnd w:id="9"/>
      <w:bookmarkEnd w:id="10"/>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5.招标文件的构成</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5.1招标文件由下列六部分内容组成：</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第一部分 投标邀请；</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第二部分 投标人须知；</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第三部分 评标标准和评分方法；</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第四部分 商务、技术要求；</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第五部分 合同原则；</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第六部分 投标文件格式。</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5.2投标人应认真阅读招标文件中所有的条款、事项、格式和技术规范、参数及要求等。投标人没有按照招标文件要求提交全部资料，或者投标没有对招标文件在各方面都做出实质性响应是投标人的风险，有可能导致其投标被拒绝或被认定为无效投标或被确定为投标无效。</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6.招标文件的澄清和修改</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6.1对澄清的处理：采购代理机构（或采购人)对其认为需要澄清、修改或进行其它答复的，将以澄清、补充或补遗文件的方式进行（给予答复的澄清、补充或补遗文件中包括原提出的问题及问题的说明意见，但不包括问题的来源），采购人或采购代理机构将在中国政府采购网发布，请潜在投标人注意查看网站。</w:t>
      </w:r>
    </w:p>
    <w:p>
      <w:pPr>
        <w:tabs>
          <w:tab w:val="left" w:pos="567"/>
        </w:tabs>
        <w:kinsoku w:val="0"/>
        <w:overflowPunct w:val="0"/>
        <w:autoSpaceDE w:val="0"/>
        <w:autoSpaceDN w:val="0"/>
        <w:snapToGrid w:val="0"/>
        <w:spacing w:line="360" w:lineRule="auto"/>
        <w:ind w:firstLine="560"/>
        <w:rPr>
          <w:rFonts w:hint="eastAsia"/>
          <w:color w:val="000000" w:themeColor="text1"/>
          <w:kern w:val="0"/>
          <w:szCs w:val="28"/>
          <w:lang w:val="en-US" w:eastAsia="zh-CN"/>
          <w14:textFill>
            <w14:solidFill>
              <w14:schemeClr w14:val="tx1"/>
            </w14:solidFill>
          </w14:textFill>
        </w:rPr>
      </w:pPr>
      <w:r>
        <w:rPr>
          <w:rFonts w:hint="eastAsia"/>
          <w:color w:val="000000" w:themeColor="text1"/>
          <w:kern w:val="0"/>
          <w:szCs w:val="28"/>
          <w:lang w:val="en-US" w:eastAsia="zh-CN"/>
          <w14:textFill>
            <w14:solidFill>
              <w14:schemeClr w14:val="tx1"/>
            </w14:solidFill>
          </w14:textFill>
        </w:rPr>
        <w:t>6.2采购代理机构（或采购人）对已发出的招标文件澄清、修改</w:t>
      </w:r>
    </w:p>
    <w:p>
      <w:pPr>
        <w:tabs>
          <w:tab w:val="left" w:pos="567"/>
        </w:tabs>
        <w:kinsoku w:val="0"/>
        <w:overflowPunct w:val="0"/>
        <w:autoSpaceDE w:val="0"/>
        <w:autoSpaceDN w:val="0"/>
        <w:snapToGrid w:val="0"/>
        <w:spacing w:line="360" w:lineRule="auto"/>
        <w:ind w:firstLine="560"/>
        <w:rPr>
          <w:color w:val="000000" w:themeColor="text1"/>
          <w:kern w:val="0"/>
          <w:szCs w:val="28"/>
          <w:lang w:val="en-US" w:eastAsia="zh-CN"/>
          <w14:textFill>
            <w14:solidFill>
              <w14:schemeClr w14:val="tx1"/>
            </w14:solidFill>
          </w14:textFill>
        </w:rPr>
      </w:pPr>
      <w:r>
        <w:rPr>
          <w:rFonts w:hint="eastAsia"/>
          <w:color w:val="000000" w:themeColor="text1"/>
          <w:kern w:val="0"/>
          <w:szCs w:val="28"/>
          <w:lang w:val="en-US" w:eastAsia="zh-CN"/>
          <w14:textFill>
            <w14:solidFill>
              <w14:schemeClr w14:val="tx1"/>
            </w14:solidFill>
          </w14:textFill>
        </w:rPr>
        <w:t>采购代理机构（或采购人）可以对已发出的招标文件进行必要的澄清或者修改，澄清或者修改的内容可能影响投标文件编制的，采购代理机构（或采购人）应当在投标截止时间至少15日前，以书面形式通知所有获取招标文件的潜在投标人；不足15日的，采购代理机构（或采购人）应当顺延提交投标文件的截止时间。采购代理机构（或采购人）将在“中国政府采购网”发布变更（延期）公告。</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rFonts w:ascii="Times New Roman" w:hAnsi="Times New Roman" w:eastAsia="宋体" w:cs="Times New Roman"/>
          <w:color w:val="000000" w:themeColor="text1"/>
          <w:kern w:val="0"/>
          <w:sz w:val="28"/>
          <w:szCs w:val="28"/>
          <w:lang w:val="en-US" w:eastAsia="zh-CN" w:bidi="ar-SA"/>
          <w14:textFill>
            <w14:solidFill>
              <w14:schemeClr w14:val="tx1"/>
            </w14:solidFill>
          </w14:textFill>
        </w:rPr>
        <w:t>6.3采购代理机构（或采购人)澄清、修改及其它答复的效力：无论是否根据投标人的澄清、修改或进行其它答复的要求，采购代理机构（或采购人)一旦对招标文件做出澄清、修改或进行其它答复，即</w:t>
      </w:r>
      <w:r>
        <w:rPr>
          <w:color w:val="000000" w:themeColor="text1"/>
          <w:kern w:val="0"/>
          <w:szCs w:val="28"/>
          <w14:textFill>
            <w14:solidFill>
              <w14:schemeClr w14:val="tx1"/>
            </w14:solidFill>
          </w14:textFill>
        </w:rPr>
        <w:t>刻发生效力，采购代理机构（或采购人)有关的补充文件，应当作为招标文件的组成部分，对所有投标人均具有约束力。</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6.4采购代理机构（或采购人)将视情况确定是否有必要安排所有已登记并领取了招标文件的潜在投标人踏勘现场，而无论采购代理机构（或采购人)是否安排踏勘现场，投标人均应当将相关的因素作为投标所应当考虑或依据的因素。</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6.5采购代理机构（或采购人)将视情况确定是否有必要召开标前会。如果召开标前会，采购代理机构（或采购人)将向所有已登记并领取了招标文件的潜在投标人发出通知。</w:t>
      </w:r>
    </w:p>
    <w:p>
      <w:pPr>
        <w:pStyle w:val="4"/>
        <w:rPr>
          <w:rFonts w:ascii="Times New Roman" w:hAnsi="Times New Roman"/>
          <w:color w:val="000000" w:themeColor="text1"/>
          <w:szCs w:val="28"/>
          <w14:textFill>
            <w14:solidFill>
              <w14:schemeClr w14:val="tx1"/>
            </w14:solidFill>
          </w14:textFill>
        </w:rPr>
      </w:pPr>
      <w:bookmarkStart w:id="11" w:name="_Toc29193"/>
      <w:bookmarkStart w:id="12" w:name="_Toc10103"/>
      <w:r>
        <w:rPr>
          <w:rFonts w:ascii="Times New Roman" w:hAnsi="Times New Roman"/>
          <w:color w:val="000000" w:themeColor="text1"/>
          <w:szCs w:val="28"/>
          <w14:textFill>
            <w14:solidFill>
              <w14:schemeClr w14:val="tx1"/>
            </w14:solidFill>
          </w14:textFill>
        </w:rPr>
        <w:t>三、投标文件</w:t>
      </w:r>
      <w:bookmarkEnd w:id="11"/>
      <w:bookmarkEnd w:id="12"/>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7.投标文件的语言和计量单位</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7.1投标人提交的投标文件（包括技术文件和资料、图纸中的说明）以及投标人与采购代理机构（或采购人)就有关投标的所有来往函电均应使用中文简体字。</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7.2投标文件所使用的计量单位，应使用国家法定计量单位。</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7.3原版为外文的证书类文件，以及由外国人做出的本人签名、外国公司的名称或外国印章等可以是外文，但应当提供中文翻译文件并加盖投标人公章。必要时评标委员会可以要求投标人提供附有公证书的中文翻译文件或者与原版文件盖章相一致的中文翻译文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原版为外文的证书类、证明类文件，与投标人名称或其它实际情况不符的，投标人应当提供相关证明文件。</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8.投标文件的组成及相关要求</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8.1投标文件分为资格证明部分、商务部分和技术部分。投标文件所有内容须装订为一册，每包单独成册，正本一份、副本六份，</w:t>
      </w:r>
      <w:r>
        <w:rPr>
          <w:color w:val="000000" w:themeColor="text1"/>
          <w:kern w:val="0"/>
          <w:szCs w:val="28"/>
          <w:lang w:val="zh-CN"/>
          <w14:textFill>
            <w14:solidFill>
              <w14:schemeClr w14:val="tx1"/>
            </w14:solidFill>
          </w14:textFill>
        </w:rPr>
        <w:t>电子版（电子文档内容应与</w:t>
      </w:r>
      <w:r>
        <w:rPr>
          <w:color w:val="000000" w:themeColor="text1"/>
          <w:kern w:val="0"/>
          <w:szCs w:val="28"/>
          <w14:textFill>
            <w14:solidFill>
              <w14:schemeClr w14:val="tx1"/>
            </w14:solidFill>
          </w14:textFill>
        </w:rPr>
        <w:t>公开投标</w:t>
      </w:r>
      <w:r>
        <w:rPr>
          <w:color w:val="000000" w:themeColor="text1"/>
          <w:kern w:val="0"/>
          <w:szCs w:val="28"/>
          <w:lang w:val="zh-CN"/>
          <w14:textFill>
            <w14:solidFill>
              <w14:schemeClr w14:val="tx1"/>
            </w14:solidFill>
          </w14:textFill>
        </w:rPr>
        <w:t>文件正本一致，U盘存储（</w:t>
      </w:r>
      <w:r>
        <w:rPr>
          <w:color w:val="000000" w:themeColor="text1"/>
          <w:kern w:val="0"/>
          <w:szCs w:val="28"/>
          <w14:textFill>
            <w14:solidFill>
              <w14:schemeClr w14:val="tx1"/>
            </w14:solidFill>
          </w14:textFill>
        </w:rPr>
        <w:t>word版</w:t>
      </w:r>
      <w:r>
        <w:rPr>
          <w:color w:val="000000" w:themeColor="text1"/>
          <w:kern w:val="0"/>
          <w:szCs w:val="28"/>
          <w:lang w:val="zh-CN"/>
          <w14:textFill>
            <w14:solidFill>
              <w14:schemeClr w14:val="tx1"/>
            </w14:solidFill>
          </w14:textFill>
        </w:rPr>
        <w:t>）</w:t>
      </w:r>
      <w:r>
        <w:rPr>
          <w:color w:val="000000" w:themeColor="text1"/>
          <w:kern w:val="0"/>
          <w:szCs w:val="28"/>
          <w14:textFill>
            <w14:solidFill>
              <w14:schemeClr w14:val="tx1"/>
            </w14:solidFill>
          </w14:textFill>
        </w:rPr>
        <w:t>U盘</w:t>
      </w:r>
      <w:r>
        <w:rPr>
          <w:rFonts w:hint="eastAsia"/>
          <w:color w:val="000000" w:themeColor="text1"/>
          <w:kern w:val="0"/>
          <w:szCs w:val="28"/>
          <w14:textFill>
            <w14:solidFill>
              <w14:schemeClr w14:val="tx1"/>
            </w14:solidFill>
          </w14:textFill>
        </w:rPr>
        <w:t>标明</w:t>
      </w:r>
      <w:r>
        <w:rPr>
          <w:color w:val="000000" w:themeColor="text1"/>
          <w:kern w:val="0"/>
          <w:szCs w:val="28"/>
          <w14:textFill>
            <w14:solidFill>
              <w14:schemeClr w14:val="tx1"/>
            </w14:solidFill>
          </w14:textFill>
        </w:rPr>
        <w:t>公司名称，包号</w:t>
      </w:r>
      <w:r>
        <w:rPr>
          <w:color w:val="000000" w:themeColor="text1"/>
          <w:kern w:val="0"/>
          <w:szCs w:val="28"/>
          <w:lang w:val="zh-CN"/>
          <w14:textFill>
            <w14:solidFill>
              <w14:schemeClr w14:val="tx1"/>
            </w14:solidFill>
          </w14:textFill>
        </w:rPr>
        <w:t>）</w:t>
      </w:r>
      <w:r>
        <w:rPr>
          <w:color w:val="000000" w:themeColor="text1"/>
          <w:kern w:val="0"/>
          <w:szCs w:val="28"/>
          <w14:textFill>
            <w14:solidFill>
              <w14:schemeClr w14:val="tx1"/>
            </w14:solidFill>
          </w14:textFill>
        </w:rPr>
        <w:t>一份</w:t>
      </w:r>
      <w:r>
        <w:rPr>
          <w:color w:val="000000" w:themeColor="text1"/>
          <w:kern w:val="0"/>
          <w:szCs w:val="28"/>
          <w:lang w:val="zh-CN"/>
          <w14:textFill>
            <w14:solidFill>
              <w14:schemeClr w14:val="tx1"/>
            </w14:solidFill>
          </w14:textFill>
        </w:rPr>
        <w:t>）</w:t>
      </w:r>
      <w:r>
        <w:rPr>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u w:val="single"/>
          <w14:textFill>
            <w14:solidFill>
              <w14:schemeClr w14:val="tx1"/>
            </w14:solidFill>
          </w14:textFill>
        </w:rPr>
        <w:t>资格证明部分</w:t>
      </w:r>
      <w:r>
        <w:rPr>
          <w:color w:val="000000" w:themeColor="text1"/>
          <w:kern w:val="0"/>
          <w:szCs w:val="28"/>
          <w14:textFill>
            <w14:solidFill>
              <w14:schemeClr w14:val="tx1"/>
            </w14:solidFill>
          </w14:textFill>
        </w:rPr>
        <w:t>指投标人提交的证明其有资格参加投标的文件。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u w:val="single"/>
          <w14:textFill>
            <w14:solidFill>
              <w14:schemeClr w14:val="tx1"/>
            </w14:solidFill>
          </w14:textFill>
        </w:rPr>
        <w:t>商务部分</w:t>
      </w:r>
      <w:r>
        <w:rPr>
          <w:color w:val="000000" w:themeColor="text1"/>
          <w:kern w:val="0"/>
          <w:szCs w:val="28"/>
          <w14:textFill>
            <w14:solidFill>
              <w14:schemeClr w14:val="tx1"/>
            </w14:solidFill>
          </w14:textFill>
        </w:rPr>
        <w:t>指投标人提交的证明其中标后有能力履行合同的文件。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u w:val="single"/>
          <w14:textFill>
            <w14:solidFill>
              <w14:schemeClr w14:val="tx1"/>
            </w14:solidFill>
          </w14:textFill>
        </w:rPr>
        <w:t>技术部分</w:t>
      </w:r>
      <w:r>
        <w:rPr>
          <w:color w:val="000000" w:themeColor="text1"/>
          <w:kern w:val="0"/>
          <w:szCs w:val="28"/>
          <w14:textFill>
            <w14:solidFill>
              <w14:schemeClr w14:val="tx1"/>
            </w14:solidFill>
          </w14:textFill>
        </w:rPr>
        <w:t>指投标人提交的能够证明</w:t>
      </w:r>
      <w:r>
        <w:rPr>
          <w:rFonts w:hint="eastAsia"/>
          <w:color w:val="000000" w:themeColor="text1"/>
          <w:kern w:val="0"/>
          <w:szCs w:val="28"/>
          <w14:textFill>
            <w14:solidFill>
              <w14:schemeClr w14:val="tx1"/>
            </w14:solidFill>
          </w14:textFill>
        </w:rPr>
        <w:t>其</w:t>
      </w:r>
      <w:r>
        <w:rPr>
          <w:color w:val="000000" w:themeColor="text1"/>
          <w:kern w:val="0"/>
          <w:szCs w:val="28"/>
          <w14:textFill>
            <w14:solidFill>
              <w14:schemeClr w14:val="tx1"/>
            </w14:solidFill>
          </w14:textFill>
        </w:rPr>
        <w:t>提供的货物及服务符合招标文件规定的文件。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本次招标，投标人应按本招标文件要求提交资格证明、商务、技术部分内容和需要投标人自行编写的其他文件，其中加*项目若有缺失或无效，将导致投标被拒绝。（具体填写要求及格式详见招标文件第六部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8.2投标文件要求内容及编排顺序</w:t>
      </w:r>
    </w:p>
    <w:p>
      <w:pPr>
        <w:tabs>
          <w:tab w:val="left" w:pos="567"/>
        </w:tabs>
        <w:kinsoku w:val="0"/>
        <w:overflowPunct w:val="0"/>
        <w:autoSpaceDE w:val="0"/>
        <w:autoSpaceDN w:val="0"/>
        <w:snapToGrid w:val="0"/>
        <w:spacing w:line="360" w:lineRule="auto"/>
        <w:ind w:firstLine="560"/>
        <w:rPr>
          <w:b/>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w:t>
      </w:r>
      <w:r>
        <w:rPr>
          <w:b/>
          <w:color w:val="000000" w:themeColor="text1"/>
          <w:kern w:val="0"/>
          <w:szCs w:val="28"/>
          <w14:textFill>
            <w14:solidFill>
              <w14:schemeClr w14:val="tx1"/>
            </w14:solidFill>
          </w14:textFill>
        </w:rPr>
        <w:t>资格证明部分：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*有效的营业执照</w:t>
      </w:r>
      <w:r>
        <w:rPr>
          <w:rFonts w:hint="eastAsia"/>
          <w:color w:val="000000" w:themeColor="text1"/>
          <w:kern w:val="0"/>
          <w:szCs w:val="28"/>
          <w14:textFill>
            <w14:solidFill>
              <w14:schemeClr w14:val="tx1"/>
            </w14:solidFill>
          </w14:textFill>
        </w:rPr>
        <w:t>/</w:t>
      </w:r>
      <w:r>
        <w:rPr>
          <w:color w:val="000000" w:themeColor="text1"/>
          <w:kern w:val="0"/>
          <w:szCs w:val="28"/>
          <w14:textFill>
            <w14:solidFill>
              <w14:schemeClr w14:val="tx1"/>
            </w14:solidFill>
          </w14:textFill>
        </w:rPr>
        <w:t>事业单位法人证书</w:t>
      </w:r>
      <w:r>
        <w:rPr>
          <w:rFonts w:hint="eastAsia"/>
          <w:color w:val="000000" w:themeColor="text1"/>
          <w:kern w:val="0"/>
          <w:szCs w:val="28"/>
          <w14:textFill>
            <w14:solidFill>
              <w14:schemeClr w14:val="tx1"/>
            </w14:solidFill>
          </w14:textFill>
        </w:rPr>
        <w:t>/</w:t>
      </w:r>
      <w:r>
        <w:rPr>
          <w:color w:val="000000" w:themeColor="text1"/>
          <w:kern w:val="0"/>
          <w:szCs w:val="28"/>
          <w14:textFill>
            <w14:solidFill>
              <w14:schemeClr w14:val="tx1"/>
            </w14:solidFill>
          </w14:textFill>
        </w:rPr>
        <w:t>自然人身份证明或其他非企业组织证明独立承担民事责任能力的文件（复印件须加盖投标人公章）</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*供应商信用承诺书（见‘投标文件格式’）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adjustRightInd w:val="0"/>
        <w:snapToGrid w:val="0"/>
        <w:spacing w:line="360" w:lineRule="auto"/>
        <w:ind w:firstLine="560"/>
        <w:rPr>
          <w:color w:val="000000" w:themeColor="text1"/>
          <w:kern w:val="0"/>
          <w:szCs w:val="28"/>
          <w14:textFill>
            <w14:solidFill>
              <w14:schemeClr w14:val="tx1"/>
            </w14:solidFill>
          </w14:textFill>
        </w:rPr>
      </w:pPr>
      <w:r>
        <w:rPr>
          <w:snapToGrid w:val="0"/>
          <w:color w:val="000000" w:themeColor="text1"/>
          <w:szCs w:val="28"/>
          <w14:textFill>
            <w14:solidFill>
              <w14:schemeClr w14:val="tx1"/>
            </w14:solidFill>
          </w14:textFill>
        </w:rPr>
        <w:t>*投标人未被列入“信用中国”网站（www.creditchina.gov.cn）“失信被执行人”名单、“重大税收违法失信主体或政府采购严重违法失信行为”记录名单；不处于中国政府采购网(www.ccgp.gov.cn)“政府采购严重违法失信行为信息记录”中的禁止参加政府采购活动期间（此项无需投标人提供，以采购代理机构于投标截止日在上述网站查询结果为准，如查询结果未显示存在失信记录，视为评审时未发现不良信用记录）</w:t>
      </w:r>
      <w:r>
        <w:rPr>
          <w:rFonts w:hint="eastAsia"/>
          <w:snapToGrid w:val="0"/>
          <w:color w:val="000000" w:themeColor="text1"/>
          <w:szCs w:val="28"/>
          <w14:textFill>
            <w14:solidFill>
              <w14:schemeClr w14:val="tx1"/>
            </w14:solidFill>
          </w14:textFill>
        </w:rPr>
        <w:t>。</w:t>
      </w:r>
    </w:p>
    <w:p>
      <w:pPr>
        <w:widowControl/>
        <w:spacing w:line="360" w:lineRule="auto"/>
        <w:ind w:firstLine="560"/>
        <w:textAlignment w:val="baseline"/>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w:t>
      </w:r>
      <w:r>
        <w:rPr>
          <w:rFonts w:hint="eastAsia"/>
          <w:color w:val="000000" w:themeColor="text1"/>
          <w:kern w:val="0"/>
          <w:szCs w:val="28"/>
          <w14:textFill>
            <w14:solidFill>
              <w14:schemeClr w14:val="tx1"/>
            </w14:solidFill>
          </w14:textFill>
        </w:rPr>
        <w:t>投标保证金凭证、银行开户许可证或基本存款账户信息（复印件须加盖投标人公章）。</w:t>
      </w:r>
    </w:p>
    <w:p>
      <w:pPr>
        <w:widowControl/>
        <w:spacing w:line="360" w:lineRule="auto"/>
        <w:ind w:firstLine="560"/>
        <w:textAlignment w:val="baseline"/>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w:t>
      </w:r>
      <w:r>
        <w:rPr>
          <w:rFonts w:hint="eastAsia"/>
          <w:color w:val="000000" w:themeColor="text1"/>
          <w:kern w:val="0"/>
          <w:szCs w:val="28"/>
          <w14:textFill>
            <w14:solidFill>
              <w14:schemeClr w14:val="tx1"/>
            </w14:solidFill>
          </w14:textFill>
        </w:rPr>
        <w:t>承诺书</w:t>
      </w:r>
      <w:r>
        <w:rPr>
          <w:color w:val="000000" w:themeColor="text1"/>
          <w:kern w:val="0"/>
          <w:szCs w:val="28"/>
          <w14:textFill>
            <w14:solidFill>
              <w14:schemeClr w14:val="tx1"/>
            </w14:solidFill>
          </w14:textFill>
        </w:rPr>
        <w:t>（见‘投标文件格式’）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投标人认为需要提供的其他资格证明文件。</w:t>
      </w:r>
    </w:p>
    <w:p>
      <w:pPr>
        <w:kinsoku w:val="0"/>
        <w:overflowPunct w:val="0"/>
        <w:autoSpaceDE w:val="0"/>
        <w:autoSpaceDN w:val="0"/>
        <w:snapToGrid w:val="0"/>
        <w:spacing w:line="360" w:lineRule="auto"/>
        <w:ind w:firstLine="560"/>
        <w:rPr>
          <w:b/>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w:t>
      </w:r>
      <w:r>
        <w:rPr>
          <w:b/>
          <w:color w:val="000000" w:themeColor="text1"/>
          <w:kern w:val="0"/>
          <w:szCs w:val="28"/>
          <w14:textFill>
            <w14:solidFill>
              <w14:schemeClr w14:val="tx1"/>
            </w14:solidFill>
          </w14:textFill>
        </w:rPr>
        <w:t>商务部分: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*投标函(见‘投标文件格式’)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*法定代表人身份证明书(见‘投标文件格式’)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*法定代表人授权委托书 (见‘投标文件格式’)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*商务规范偏离表(见‘投标文件格式’)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同类项目案例及相关证明资料(复印件须加盖投标人公章)</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投标人企业简况</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投标人认为需要提供的其他商务材料。</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w:t>
      </w:r>
      <w:r>
        <w:rPr>
          <w:b/>
          <w:color w:val="000000" w:themeColor="text1"/>
          <w:kern w:val="0"/>
          <w:szCs w:val="28"/>
          <w14:textFill>
            <w14:solidFill>
              <w14:schemeClr w14:val="tx1"/>
            </w14:solidFill>
          </w14:textFill>
        </w:rPr>
        <w:t>技术部分：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*开标一览表(见‘投标文件格式’)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szCs w:val="28"/>
          <w14:textFill>
            <w14:solidFill>
              <w14:schemeClr w14:val="tx1"/>
            </w14:solidFill>
          </w14:textFill>
        </w:rPr>
      </w:pPr>
      <w:r>
        <w:rPr>
          <w:color w:val="000000" w:themeColor="text1"/>
          <w:kern w:val="0"/>
          <w:szCs w:val="28"/>
          <w14:textFill>
            <w14:solidFill>
              <w14:schemeClr w14:val="tx1"/>
            </w14:solidFill>
          </w14:textFill>
        </w:rPr>
        <w:t>*分项报价表(见‘投标文件格式’)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*投标货物主要技术指标和运行性能的详细描述</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*投标货物技术规范偏离表(见‘投标文件格式’)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b/>
          <w:bCs/>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w:t>
      </w:r>
      <w:r>
        <w:rPr>
          <w:b/>
          <w:bCs/>
          <w:color w:val="000000" w:themeColor="text1"/>
          <w:kern w:val="0"/>
          <w:szCs w:val="28"/>
          <w14:textFill>
            <w14:solidFill>
              <w14:schemeClr w14:val="tx1"/>
            </w14:solidFill>
          </w14:textFill>
        </w:rPr>
        <w:t>关键、重要技术要求和加分项技术要求响应表</w:t>
      </w:r>
      <w:r>
        <w:rPr>
          <w:color w:val="000000" w:themeColor="text1"/>
          <w:kern w:val="0"/>
          <w:szCs w:val="28"/>
          <w14:textFill>
            <w14:solidFill>
              <w14:schemeClr w14:val="tx1"/>
            </w14:solidFill>
          </w14:textFill>
        </w:rPr>
        <w:t>(见‘投标文件格式’)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技术方案</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rFonts w:hint="eastAsia"/>
          <w:color w:val="000000" w:themeColor="text1"/>
          <w:kern w:val="0"/>
          <w:szCs w:val="28"/>
          <w:lang w:val="en-US" w:eastAsia="zh-CN"/>
          <w14:textFill>
            <w14:solidFill>
              <w14:schemeClr w14:val="tx1"/>
            </w14:solidFill>
          </w14:textFill>
        </w:rPr>
        <w:t>质量控制</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rFonts w:hint="eastAsia"/>
          <w:color w:val="000000" w:themeColor="text1"/>
          <w:kern w:val="0"/>
          <w:szCs w:val="28"/>
          <w:lang w:val="en-US" w:eastAsia="zh-CN"/>
          <w14:textFill>
            <w14:solidFill>
              <w14:schemeClr w14:val="tx1"/>
            </w14:solidFill>
          </w14:textFill>
        </w:rPr>
        <w:t>售后服务</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rFonts w:hint="eastAsia"/>
          <w:color w:val="000000" w:themeColor="text1"/>
          <w:kern w:val="0"/>
          <w:szCs w:val="28"/>
          <w:lang w:val="en-US" w:eastAsia="zh-CN"/>
          <w14:textFill>
            <w14:solidFill>
              <w14:schemeClr w14:val="tx1"/>
            </w14:solidFill>
          </w14:textFill>
        </w:rPr>
      </w:pPr>
      <w:r>
        <w:rPr>
          <w:rFonts w:hint="eastAsia"/>
          <w:color w:val="000000" w:themeColor="text1"/>
          <w:kern w:val="0"/>
          <w:szCs w:val="28"/>
          <w:lang w:val="en-US" w:eastAsia="zh-CN"/>
          <w14:textFill>
            <w14:solidFill>
              <w14:schemeClr w14:val="tx1"/>
            </w14:solidFill>
          </w14:textFill>
        </w:rPr>
        <w:t>实施进度；</w:t>
      </w:r>
    </w:p>
    <w:p>
      <w:pPr>
        <w:pStyle w:val="2"/>
        <w:rPr>
          <w:rFonts w:hint="default" w:ascii="Times New Roman" w:hAnsi="Times New Roman" w:eastAsia="宋体" w:cs="Times New Roman"/>
          <w:color w:val="000000" w:themeColor="text1"/>
          <w:kern w:val="0"/>
          <w:sz w:val="28"/>
          <w:szCs w:val="28"/>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8"/>
          <w:szCs w:val="28"/>
          <w:lang w:val="en-US" w:eastAsia="zh-CN" w:bidi="ar-SA"/>
          <w14:textFill>
            <w14:solidFill>
              <w14:schemeClr w14:val="tx1"/>
            </w14:solidFill>
          </w14:textFill>
        </w:rPr>
        <w:t>巡检服务；</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同投标货物型号一致的产品手册、介绍、说明书等技术材料</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投标货物配件、耗材、选配件、工具、备件清单</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投标人认为需要提供的其他技术材料。</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8.3投标文件规格幅面（A4），正文使用仿宋体四号字，按照招标文件所规定的内容顺序，</w:t>
      </w:r>
      <w:r>
        <w:rPr>
          <w:b/>
          <w:color w:val="000000" w:themeColor="text1"/>
          <w:kern w:val="0"/>
          <w:szCs w:val="28"/>
          <w14:textFill>
            <w14:solidFill>
              <w14:schemeClr w14:val="tx1"/>
            </w14:solidFill>
          </w14:textFill>
        </w:rPr>
        <w:t>双面打印、统一编目、编页码装订</w:t>
      </w:r>
      <w:r>
        <w:rPr>
          <w:color w:val="000000" w:themeColor="text1"/>
          <w:kern w:val="0"/>
          <w:szCs w:val="28"/>
          <w14:textFill>
            <w14:solidFill>
              <w14:schemeClr w14:val="tx1"/>
            </w14:solidFill>
          </w14:textFill>
        </w:rPr>
        <w:t>（投标文件中复印件及彩色宣传资料等均建议与投标文件正文一起逐页编排页码），由于编排混乱导致投标文件被误读或查找不到，其责任应当由投标人承担。装订应当采用胶订形式，要求编排页码。</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为方便评标，技术文件中的各项表格按照招标文件第六部分格式要求制作。</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8.4投标保证金</w:t>
      </w:r>
    </w:p>
    <w:p>
      <w:pPr>
        <w:numPr>
          <w:ilvl w:val="0"/>
          <w:numId w:val="3"/>
        </w:num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投标人须在开标前提交人民币作为投标保证金：</w:t>
      </w:r>
    </w:p>
    <w:tbl>
      <w:tblPr>
        <w:tblStyle w:val="14"/>
        <w:tblW w:w="34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9"/>
        <w:gridCol w:w="3285"/>
        <w:gridCol w:w="1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17" w:type="pct"/>
            <w:noWrap/>
            <w:vAlign w:val="center"/>
          </w:tcPr>
          <w:p>
            <w:pPr>
              <w:tabs>
                <w:tab w:val="left" w:pos="567"/>
              </w:tabs>
              <w:kinsoku w:val="0"/>
              <w:overflowPunct w:val="0"/>
              <w:autoSpaceDE w:val="0"/>
              <w:autoSpaceDN w:val="0"/>
              <w:snapToGrid w:val="0"/>
              <w:spacing w:line="240" w:lineRule="auto"/>
              <w:ind w:firstLine="0" w:firstLineChars="0"/>
              <w:jc w:val="center"/>
              <w:rPr>
                <w:rFonts w:ascii="宋体" w:hAnsi="宋体" w:cs="宋体"/>
                <w:b/>
                <w:bCs/>
                <w:color w:val="000000" w:themeColor="text1"/>
                <w:kern w:val="0"/>
                <w:szCs w:val="28"/>
                <w14:textFill>
                  <w14:solidFill>
                    <w14:schemeClr w14:val="tx1"/>
                  </w14:solidFill>
                </w14:textFill>
              </w:rPr>
            </w:pPr>
            <w:r>
              <w:rPr>
                <w:rFonts w:hint="eastAsia" w:ascii="宋体" w:hAnsi="宋体" w:cs="宋体"/>
                <w:b/>
                <w:bCs/>
                <w:color w:val="000000" w:themeColor="text1"/>
                <w:kern w:val="0"/>
                <w:szCs w:val="28"/>
                <w14:textFill>
                  <w14:solidFill>
                    <w14:schemeClr w14:val="tx1"/>
                  </w14:solidFill>
                </w14:textFill>
              </w:rPr>
              <w:t>包号</w:t>
            </w:r>
          </w:p>
        </w:tc>
        <w:tc>
          <w:tcPr>
            <w:tcW w:w="2833" w:type="pct"/>
            <w:vAlign w:val="center"/>
          </w:tcPr>
          <w:p>
            <w:pPr>
              <w:tabs>
                <w:tab w:val="left" w:pos="567"/>
              </w:tabs>
              <w:kinsoku w:val="0"/>
              <w:overflowPunct w:val="0"/>
              <w:autoSpaceDE w:val="0"/>
              <w:autoSpaceDN w:val="0"/>
              <w:snapToGrid w:val="0"/>
              <w:spacing w:line="240" w:lineRule="auto"/>
              <w:ind w:firstLine="0" w:firstLineChars="0"/>
              <w:jc w:val="center"/>
              <w:rPr>
                <w:rFonts w:ascii="宋体" w:hAnsi="宋体" w:cs="宋体"/>
                <w:b/>
                <w:bCs/>
                <w:color w:val="000000" w:themeColor="text1"/>
                <w:kern w:val="0"/>
                <w:szCs w:val="28"/>
                <w14:textFill>
                  <w14:solidFill>
                    <w14:schemeClr w14:val="tx1"/>
                  </w14:solidFill>
                </w14:textFill>
              </w:rPr>
            </w:pPr>
            <w:r>
              <w:rPr>
                <w:rFonts w:hint="eastAsia" w:ascii="宋体" w:hAnsi="宋体" w:cs="宋体"/>
                <w:b/>
                <w:bCs/>
                <w:color w:val="000000" w:themeColor="text1"/>
                <w:kern w:val="0"/>
                <w:szCs w:val="28"/>
                <w14:textFill>
                  <w14:solidFill>
                    <w14:schemeClr w14:val="tx1"/>
                  </w14:solidFill>
                </w14:textFill>
              </w:rPr>
              <w:t xml:space="preserve">   保证金（元）</w:t>
            </w:r>
          </w:p>
        </w:tc>
        <w:tc>
          <w:tcPr>
            <w:tcW w:w="1148" w:type="pct"/>
          </w:tcPr>
          <w:p>
            <w:pPr>
              <w:tabs>
                <w:tab w:val="left" w:pos="567"/>
              </w:tabs>
              <w:kinsoku w:val="0"/>
              <w:overflowPunct w:val="0"/>
              <w:autoSpaceDE w:val="0"/>
              <w:autoSpaceDN w:val="0"/>
              <w:snapToGrid w:val="0"/>
              <w:spacing w:line="240" w:lineRule="auto"/>
              <w:ind w:firstLine="0" w:firstLineChars="0"/>
              <w:jc w:val="center"/>
              <w:rPr>
                <w:rFonts w:ascii="宋体" w:hAnsi="宋体" w:cs="宋体"/>
                <w:b/>
                <w:bCs/>
                <w:color w:val="000000" w:themeColor="text1"/>
                <w:kern w:val="0"/>
                <w:szCs w:val="28"/>
                <w14:textFill>
                  <w14:solidFill>
                    <w14:schemeClr w14:val="tx1"/>
                  </w14:solidFill>
                </w14:textFill>
              </w:rPr>
            </w:pPr>
            <w:r>
              <w:rPr>
                <w:rFonts w:hint="eastAsia" w:ascii="宋体" w:hAnsi="宋体" w:cs="宋体"/>
                <w:b/>
                <w:bCs/>
                <w:color w:val="000000" w:themeColor="text1"/>
                <w:kern w:val="0"/>
                <w:szCs w:val="2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themeColor="text1"/>
                <w:szCs w:val="28"/>
                <w14:textFill>
                  <w14:solidFill>
                    <w14:schemeClr w14:val="tx1"/>
                  </w14:solidFill>
                </w14:textFill>
              </w:rPr>
            </w:pPr>
            <w:r>
              <w:rPr>
                <w:rFonts w:hint="eastAsia" w:ascii="宋体" w:hAnsi="宋体" w:cs="宋体"/>
                <w:color w:val="000000"/>
                <w:kern w:val="0"/>
                <w:szCs w:val="28"/>
                <w:lang w:bidi="ar"/>
              </w:rPr>
              <w:t>17</w:t>
            </w:r>
          </w:p>
        </w:tc>
        <w:tc>
          <w:tcPr>
            <w:tcW w:w="2833" w:type="pct"/>
            <w:noWrap/>
            <w:vAlign w:val="center"/>
          </w:tcPr>
          <w:p>
            <w:pPr>
              <w:widowControl/>
              <w:ind w:firstLine="1120" w:firstLineChars="400"/>
              <w:jc w:val="both"/>
              <w:textAlignment w:val="center"/>
              <w:rPr>
                <w:rFonts w:ascii="宋体" w:hAnsi="宋体" w:cs="宋体"/>
                <w:color w:val="000000" w:themeColor="text1"/>
                <w:kern w:val="0"/>
                <w:szCs w:val="28"/>
                <w14:textFill>
                  <w14:solidFill>
                    <w14:schemeClr w14:val="tx1"/>
                  </w14:solidFill>
                </w14:textFill>
              </w:rPr>
            </w:pPr>
            <w:r>
              <w:rPr>
                <w:rFonts w:hint="eastAsia" w:ascii="宋体" w:hAnsi="宋体" w:cs="宋体"/>
                <w:color w:val="000000"/>
                <w:kern w:val="0"/>
                <w:szCs w:val="28"/>
                <w:lang w:bidi="ar"/>
              </w:rPr>
              <w:t>26000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18</w:t>
            </w:r>
          </w:p>
        </w:tc>
        <w:tc>
          <w:tcPr>
            <w:tcW w:w="2833" w:type="pct"/>
            <w:noWrap/>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26000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19</w:t>
            </w:r>
          </w:p>
        </w:tc>
        <w:tc>
          <w:tcPr>
            <w:tcW w:w="2833" w:type="pct"/>
            <w:noWrap/>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22800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20</w:t>
            </w:r>
          </w:p>
        </w:tc>
        <w:tc>
          <w:tcPr>
            <w:tcW w:w="2833" w:type="pct"/>
            <w:noWrap/>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48000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21</w:t>
            </w:r>
          </w:p>
        </w:tc>
        <w:tc>
          <w:tcPr>
            <w:tcW w:w="2833" w:type="pct"/>
            <w:noWrap/>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23600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22</w:t>
            </w:r>
          </w:p>
        </w:tc>
        <w:tc>
          <w:tcPr>
            <w:tcW w:w="2833" w:type="pct"/>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70000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23</w:t>
            </w:r>
          </w:p>
        </w:tc>
        <w:tc>
          <w:tcPr>
            <w:tcW w:w="2833" w:type="pct"/>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20000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24</w:t>
            </w:r>
          </w:p>
        </w:tc>
        <w:tc>
          <w:tcPr>
            <w:tcW w:w="2833" w:type="pct"/>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44000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25</w:t>
            </w:r>
          </w:p>
        </w:tc>
        <w:tc>
          <w:tcPr>
            <w:tcW w:w="2833" w:type="pct"/>
            <w:vAlign w:val="center"/>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27200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017" w:type="pct"/>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26</w:t>
            </w:r>
          </w:p>
        </w:tc>
        <w:tc>
          <w:tcPr>
            <w:tcW w:w="3284" w:type="dxa"/>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110000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179" w:type="dxa"/>
            <w:vAlign w:val="center"/>
          </w:tcPr>
          <w:p>
            <w:pPr>
              <w:widowControl/>
              <w:ind w:firstLine="280" w:firstLineChars="1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27</w:t>
            </w:r>
          </w:p>
        </w:tc>
        <w:tc>
          <w:tcPr>
            <w:tcW w:w="3284" w:type="dxa"/>
          </w:tcPr>
          <w:p>
            <w:pPr>
              <w:widowControl/>
              <w:ind w:firstLine="1120" w:firstLineChars="400"/>
              <w:jc w:val="both"/>
              <w:textAlignment w:val="center"/>
              <w:rPr>
                <w:rFonts w:ascii="宋体" w:hAnsi="宋体" w:cs="宋体"/>
                <w:color w:val="000000"/>
                <w:kern w:val="0"/>
                <w:szCs w:val="28"/>
                <w:lang w:bidi="ar"/>
              </w:rPr>
            </w:pPr>
            <w:r>
              <w:rPr>
                <w:rFonts w:hint="eastAsia" w:ascii="宋体" w:hAnsi="宋体" w:cs="宋体"/>
                <w:color w:val="000000"/>
                <w:kern w:val="0"/>
                <w:szCs w:val="28"/>
                <w:lang w:bidi="ar"/>
              </w:rPr>
              <w:t>100000</w:t>
            </w:r>
          </w:p>
        </w:tc>
        <w:tc>
          <w:tcPr>
            <w:tcW w:w="1148" w:type="pct"/>
            <w:vAlign w:val="center"/>
          </w:tcPr>
          <w:p>
            <w:pPr>
              <w:spacing w:line="240" w:lineRule="auto"/>
              <w:ind w:firstLine="0" w:firstLineChars="0"/>
              <w:jc w:val="center"/>
              <w:rPr>
                <w:rFonts w:ascii="宋体" w:hAnsi="宋体" w:cs="宋体"/>
                <w:color w:val="000000" w:themeColor="text1"/>
                <w:szCs w:val="28"/>
                <w14:textFill>
                  <w14:solidFill>
                    <w14:schemeClr w14:val="tx1"/>
                  </w14:solidFill>
                </w14:textFill>
              </w:rPr>
            </w:pPr>
          </w:p>
        </w:tc>
      </w:tr>
    </w:tbl>
    <w:p>
      <w:pPr>
        <w:ind w:firstLine="560"/>
        <w:rPr>
          <w:color w:val="000000" w:themeColor="text1"/>
          <w:sz w:val="28"/>
          <w:szCs w:val="28"/>
          <w14:textFill>
            <w14:solidFill>
              <w14:schemeClr w14:val="tx1"/>
            </w14:solidFill>
          </w14:textFill>
        </w:rPr>
      </w:pP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投标保证金采用支票（或网银转账）、汇票、本票或者金融机构、担保机构出具的保函等非现金形式提交。采用支票提交的，由投标人开出（付款行为对公账户）；采用网银转账的，由投标人通过基本账户网上银行转出；采用汇票、本票提交的，须从投标人的基本账户银行开出；采用金融机构出具保函的，由从事金融业有关的金融中介机构开出；采用担保机构出具保函的，由银行或代办投标保函的担保公司开出。</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投标保证金须采用非现金方式交纳，</w:t>
      </w:r>
      <w:r>
        <w:rPr>
          <w:b/>
          <w:bCs/>
          <w:color w:val="000000" w:themeColor="text1"/>
          <w:kern w:val="0"/>
          <w:szCs w:val="28"/>
          <w14:textFill>
            <w14:solidFill>
              <w14:schemeClr w14:val="tx1"/>
            </w14:solidFill>
          </w14:textFill>
        </w:rPr>
        <w:t>收款账户如下：</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收款单位：山西中兴财项目管理有限公司</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地  址：太原市山西转型综合改革示范区唐槐产业园大昌南路12号A301栋</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开户行：中国建设银行太原人民南路支行</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账  号：14050182553800000396</w:t>
      </w:r>
    </w:p>
    <w:p>
      <w:pPr>
        <w:kinsoku w:val="0"/>
        <w:overflowPunct w:val="0"/>
        <w:autoSpaceDE w:val="0"/>
        <w:autoSpaceDN w:val="0"/>
        <w:snapToGrid w:val="0"/>
        <w:spacing w:line="360" w:lineRule="auto"/>
        <w:ind w:firstLine="560"/>
        <w:rPr>
          <w:rFonts w:ascii="宋体" w:hAnsi="宋体" w:cs="宋体"/>
          <w:color w:val="000000" w:themeColor="text1"/>
          <w:kern w:val="0"/>
          <w:szCs w:val="28"/>
          <w14:textFill>
            <w14:solidFill>
              <w14:schemeClr w14:val="tx1"/>
            </w14:solidFill>
          </w14:textFill>
        </w:rPr>
      </w:pPr>
      <w:r>
        <w:rPr>
          <w:rFonts w:hint="eastAsia" w:ascii="宋体" w:hAnsi="宋体" w:cs="宋体"/>
          <w:color w:val="000000" w:themeColor="text1"/>
          <w:kern w:val="0"/>
          <w:szCs w:val="28"/>
          <w14:textFill>
            <w14:solidFill>
              <w14:schemeClr w14:val="tx1"/>
            </w14:solidFill>
          </w14:textFill>
        </w:rPr>
        <w:t>行  号：105161005243</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（3）投标人应按照对应包号保证金金额分别打款，</w:t>
      </w:r>
      <w:r>
        <w:rPr>
          <w:szCs w:val="28"/>
        </w:rPr>
        <w:t>递交投标保证金时应在票据备注栏中标注项目编号或项目名称、包号。</w:t>
      </w:r>
    </w:p>
    <w:p>
      <w:pPr>
        <w:kinsoku w:val="0"/>
        <w:overflowPunct w:val="0"/>
        <w:autoSpaceDE w:val="0"/>
        <w:autoSpaceDN w:val="0"/>
        <w:snapToGrid w:val="0"/>
        <w:spacing w:line="360" w:lineRule="auto"/>
        <w:ind w:firstLine="562"/>
        <w:rPr>
          <w:b/>
          <w:bCs/>
          <w:kern w:val="0"/>
          <w:szCs w:val="28"/>
        </w:rPr>
      </w:pPr>
      <w:r>
        <w:rPr>
          <w:b/>
          <w:bCs/>
          <w:color w:val="000000" w:themeColor="text1"/>
          <w:kern w:val="0"/>
          <w:szCs w:val="28"/>
          <w14:textFill>
            <w14:solidFill>
              <w14:schemeClr w14:val="tx1"/>
            </w14:solidFill>
          </w14:textFill>
        </w:rPr>
        <w:t>（4）未按规定时间、规定方式、规定数额提交投标保证金的投标，将</w:t>
      </w:r>
      <w:r>
        <w:rPr>
          <w:b/>
          <w:bCs/>
          <w:kern w:val="0"/>
          <w:szCs w:val="28"/>
        </w:rPr>
        <w:t>被视为无效投标。</w:t>
      </w:r>
    </w:p>
    <w:p>
      <w:pPr>
        <w:kinsoku w:val="0"/>
        <w:overflowPunct w:val="0"/>
        <w:autoSpaceDE w:val="0"/>
        <w:autoSpaceDN w:val="0"/>
        <w:snapToGrid w:val="0"/>
        <w:spacing w:line="360" w:lineRule="auto"/>
        <w:ind w:firstLine="560"/>
        <w:rPr>
          <w:b/>
          <w:bCs/>
          <w:color w:val="000000" w:themeColor="text1"/>
          <w:kern w:val="0"/>
          <w:szCs w:val="28"/>
          <w14:textFill>
            <w14:solidFill>
              <w14:schemeClr w14:val="tx1"/>
            </w14:solidFill>
          </w14:textFill>
        </w:rPr>
      </w:pPr>
      <w:r>
        <w:rPr>
          <w:kern w:val="0"/>
          <w:szCs w:val="28"/>
        </w:rPr>
        <w:t>（5）</w:t>
      </w:r>
      <w:r>
        <w:rPr>
          <w:b/>
          <w:bCs/>
          <w:kern w:val="0"/>
          <w:szCs w:val="28"/>
        </w:rPr>
        <w:t>中</w:t>
      </w:r>
      <w:r>
        <w:rPr>
          <w:b/>
          <w:bCs/>
          <w:color w:val="000000" w:themeColor="text1"/>
          <w:kern w:val="0"/>
          <w:szCs w:val="28"/>
          <w14:textFill>
            <w14:solidFill>
              <w14:schemeClr w14:val="tx1"/>
            </w14:solidFill>
          </w14:textFill>
        </w:rPr>
        <w:t>标通知书发出之日起5个工作日内退还未中标人的投标保证金，自采购合同签订之日起5个工作日内退还中标人的投标保证金，但因投标人自身原因导致无法及时退还的除外。</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8.5投标报价</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（1）所有投标报价均以人民币元为计算单位。只要投报了一个确定数额的单价和总价，无论分项价格是否全部填报了相应的金额或免费字样，报价应被视为已经包含了但并不限于各项购买货物及</w:t>
      </w:r>
      <w:r>
        <w:rPr>
          <w:rFonts w:hint="eastAsia"/>
          <w:color w:val="auto"/>
          <w:kern w:val="0"/>
          <w:szCs w:val="28"/>
          <w:highlight w:val="none"/>
        </w:rPr>
        <w:t>安装调试、运输保险、装卸、培训辅导、质保期售后服务、全额含税发票、雇员费用、合同实施过程中应预见和不可预见费用等</w:t>
      </w:r>
      <w:r>
        <w:rPr>
          <w:color w:val="auto"/>
          <w:kern w:val="0"/>
          <w:szCs w:val="28"/>
          <w:highlight w:val="none"/>
        </w:rPr>
        <w:t>。</w:t>
      </w:r>
      <w:r>
        <w:rPr>
          <w:color w:val="000000" w:themeColor="text1"/>
          <w:kern w:val="0"/>
          <w:szCs w:val="28"/>
          <w14:textFill>
            <w14:solidFill>
              <w14:schemeClr w14:val="tx1"/>
            </w14:solidFill>
          </w14:textFill>
        </w:rPr>
        <w:t>在其它情况下，由于分项报价填报不完整、不清楚或存在其它任何失误，所导致的任何不利后果均应当由投标人自行承担。</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（2）投标人投报多包的，应对每包分别报价并分别填报开标一览表。</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（3）本次招标不接受可选择或可调整的投标和报价。</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（4）投标人要按投标货物数量、价格表(统一格式)的内容填写货物单价（包括货物报价、装箱、包装、包装物料、送货和保险费用）、总价及其他事项，并由法定代表人或投标人代表签署。</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（5）投标人对投标报价若有说明应在开标一览表显著处注明，只有开标时唱出的报价优惠承诺才会在评标时予以考虑。</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6）投标的报价优惠承诺应对应开标一览表、投标货物数量价格表等提供相应的明细清单。除报价优惠承诺外，任何超出招标文件要求而额外赠送的软硬件设备、免费培训等其他形式的优惠，在评标时将不作为价格折算的必备条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（7）对于有配件、耗材、选件、备件和特殊工具的货物，还应填报投标货物配件、耗材、选件、备件及特殊工具清单，注明品牌、型号、产地、功能、单价、批量折扣等内容，该表格式由投标人自行设计。</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（8）采用综合评分法的，最低报价不能作为中标的保证。</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9.投标内容填写说明</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9.1投标人应详细阅读招标文件的全部内容。投标文件须对招标文件中的内容做出实质性和完整性的响应</w:t>
      </w:r>
      <w:r>
        <w:rPr>
          <w:b/>
          <w:color w:val="000000" w:themeColor="text1"/>
          <w:kern w:val="0"/>
          <w:szCs w:val="28"/>
          <w14:textFill>
            <w14:solidFill>
              <w14:schemeClr w14:val="tx1"/>
            </w14:solidFill>
          </w14:textFill>
        </w:rPr>
        <w:t>。</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9.2</w:t>
      </w:r>
      <w:r>
        <w:rPr>
          <w:b/>
          <w:color w:val="000000" w:themeColor="text1"/>
          <w:kern w:val="0"/>
          <w:szCs w:val="28"/>
          <w14:textFill>
            <w14:solidFill>
              <w14:schemeClr w14:val="tx1"/>
            </w14:solidFill>
          </w14:textFill>
        </w:rPr>
        <w:t>投标人</w:t>
      </w:r>
      <w:r>
        <w:rPr>
          <w:rFonts w:hint="eastAsia"/>
          <w:b/>
          <w:color w:val="000000" w:themeColor="text1"/>
          <w:kern w:val="0"/>
          <w:szCs w:val="28"/>
          <w14:textFill>
            <w14:solidFill>
              <w14:schemeClr w14:val="tx1"/>
            </w14:solidFill>
          </w14:textFill>
        </w:rPr>
        <w:t>完全</w:t>
      </w:r>
      <w:r>
        <w:rPr>
          <w:b/>
          <w:color w:val="000000" w:themeColor="text1"/>
          <w:kern w:val="0"/>
          <w:szCs w:val="28"/>
          <w14:textFill>
            <w14:solidFill>
              <w14:schemeClr w14:val="tx1"/>
            </w14:solidFill>
          </w14:textFill>
        </w:rPr>
        <w:t>照搬照抄招标文件技术、商务要求，并未提供技术资料或提供资料不详的，评标委员会有权决定是否通知投标人限期（1小时）进行书面解释或提供相关证明材料。若已要求，而该投标人在规定期限内未做出解释、做出的解释不合理或不能提供证明材料的，评标委员会有权拒绝该投标</w:t>
      </w:r>
      <w:r>
        <w:rPr>
          <w:color w:val="000000" w:themeColor="text1"/>
          <w:kern w:val="0"/>
          <w:szCs w:val="28"/>
          <w14:textFill>
            <w14:solidFill>
              <w14:schemeClr w14:val="tx1"/>
            </w14:solidFill>
          </w14:textFill>
        </w:rPr>
        <w:t>。</w:t>
      </w:r>
    </w:p>
    <w:p>
      <w:pPr>
        <w:tabs>
          <w:tab w:val="left" w:pos="567"/>
        </w:tabs>
        <w:kinsoku w:val="0"/>
        <w:overflowPunct w:val="0"/>
        <w:autoSpaceDE w:val="0"/>
        <w:autoSpaceDN w:val="0"/>
        <w:snapToGrid w:val="0"/>
        <w:spacing w:line="360" w:lineRule="auto"/>
        <w:ind w:firstLine="562"/>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如投标人认为其有可能出现上述情况，且认为1小时规定时间准备资料仓促，可提前准备书面解释或相关证明材料。</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9.3投标文件应严格按照招标文件第二部分8.2条要求和第六部分的格式要求提交，并按规定的统一格式逐项填写，不准有空项；无相应内容可填的项应填写“无”、“未测试”、“没有相应指标”等明确的回答文字。投标文件未按规定提交或留有空项，将被视为不完整响应的投标文件，其投标有可能被拒绝。</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9.4开标一览表为在开标仪式上唱标的内容，要求按格式统一填写，不得自行增减内容。</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9.5投标人必须保证投标文件所提供的全部资料真实可靠，并接受评标委员会对其中任何资料进一步审查的要求。</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10.投标文件的有效期</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本项目投标文件的有效期为90个日历天。有效期短于该规定期限的投标将被拒绝。</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11.投标文件的签署及规定</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11.1组成投标文件的各项文件均应遵守本条。</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11.2投标人在投标文件及相关文件的签订、履行、通知等事项的书面文件中的“单位盖章”、“印章”、“公章”等处均仅指与当事人名称全称相一致的标准公章，不得使用其它（如带有“专用章”等字样）的印章</w:t>
      </w:r>
      <w:r>
        <w:rPr>
          <w:b/>
          <w:color w:val="000000" w:themeColor="text1"/>
          <w:kern w:val="0"/>
          <w:szCs w:val="28"/>
          <w14:textFill>
            <w14:solidFill>
              <w14:schemeClr w14:val="tx1"/>
            </w14:solidFill>
          </w14:textFill>
        </w:rPr>
        <w:t>。</w:t>
      </w:r>
    </w:p>
    <w:p>
      <w:pPr>
        <w:tabs>
          <w:tab w:val="left" w:pos="567"/>
        </w:tabs>
        <w:kinsoku w:val="0"/>
        <w:overflowPunct w:val="0"/>
        <w:autoSpaceDE w:val="0"/>
        <w:autoSpaceDN w:val="0"/>
        <w:snapToGrid w:val="0"/>
        <w:spacing w:line="360" w:lineRule="auto"/>
        <w:ind w:firstLine="560"/>
        <w:rPr>
          <w:b/>
          <w:bCs/>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11.3投标人应按照招标文件要求，在每一份投标文件的正本和副本封面下方要求的位置填写投标人全称并加盖公章，</w:t>
      </w:r>
      <w:r>
        <w:rPr>
          <w:b/>
          <w:bCs/>
          <w:color w:val="000000" w:themeColor="text1"/>
          <w:kern w:val="0"/>
          <w:szCs w:val="28"/>
          <w14:textFill>
            <w14:solidFill>
              <w14:schemeClr w14:val="tx1"/>
            </w14:solidFill>
          </w14:textFill>
        </w:rPr>
        <w:t>同时在该处签署法定代表人或投标人代表的全名或加盖本人名章。投标文件正本内容应逐页加盖投标单位公章。</w:t>
      </w:r>
    </w:p>
    <w:p>
      <w:pPr>
        <w:tabs>
          <w:tab w:val="left" w:pos="567"/>
        </w:tabs>
        <w:kinsoku w:val="0"/>
        <w:overflowPunct w:val="0"/>
        <w:autoSpaceDE w:val="0"/>
        <w:autoSpaceDN w:val="0"/>
        <w:snapToGrid w:val="0"/>
        <w:spacing w:line="360" w:lineRule="auto"/>
        <w:ind w:firstLine="560"/>
        <w:rPr>
          <w:color w:val="000000" w:themeColor="text1"/>
          <w:szCs w:val="28"/>
          <w14:textFill>
            <w14:solidFill>
              <w14:schemeClr w14:val="tx1"/>
            </w14:solidFill>
          </w14:textFill>
        </w:rPr>
      </w:pPr>
      <w:r>
        <w:rPr>
          <w:color w:val="000000" w:themeColor="text1"/>
          <w:kern w:val="0"/>
          <w:szCs w:val="28"/>
          <w14:textFill>
            <w14:solidFill>
              <w14:schemeClr w14:val="tx1"/>
            </w14:solidFill>
          </w14:textFill>
        </w:rPr>
        <w:t>11.4</w:t>
      </w:r>
      <w:r>
        <w:rPr>
          <w:color w:val="000000" w:themeColor="text1"/>
          <w:szCs w:val="28"/>
          <w14:textFill>
            <w14:solidFill>
              <w14:schemeClr w14:val="tx1"/>
            </w14:solidFill>
          </w14:textFill>
        </w:rPr>
        <w:t>投标人须注意：为合理节约政府采购评审成本，提倡诚实信用的投标行为，特别要求投标人应本着诚信精神，以审慎的态度明确、清楚地披露各项偏离。</w:t>
      </w:r>
    </w:p>
    <w:p>
      <w:pPr>
        <w:tabs>
          <w:tab w:val="left" w:pos="567"/>
        </w:tabs>
        <w:kinsoku w:val="0"/>
        <w:overflowPunct w:val="0"/>
        <w:autoSpaceDE w:val="0"/>
        <w:autoSpaceDN w:val="0"/>
        <w:snapToGrid w:val="0"/>
        <w:spacing w:line="360" w:lineRule="auto"/>
        <w:ind w:firstLine="560"/>
        <w:rPr>
          <w:color w:val="000000" w:themeColor="text1"/>
          <w:szCs w:val="28"/>
          <w14:textFill>
            <w14:solidFill>
              <w14:schemeClr w14:val="tx1"/>
            </w14:solidFill>
          </w14:textFill>
        </w:rPr>
      </w:pPr>
      <w:r>
        <w:rPr>
          <w:color w:val="000000" w:themeColor="text1"/>
          <w:kern w:val="0"/>
          <w:szCs w:val="28"/>
          <w14:textFill>
            <w14:solidFill>
              <w14:schemeClr w14:val="tx1"/>
            </w14:solidFill>
          </w14:textFill>
        </w:rPr>
        <w:t>11.5</w:t>
      </w:r>
      <w:r>
        <w:rPr>
          <w:color w:val="000000" w:themeColor="text1"/>
          <w:szCs w:val="28"/>
          <w14:textFill>
            <w14:solidFill>
              <w14:schemeClr w14:val="tx1"/>
            </w14:solidFill>
          </w14:textFill>
        </w:rPr>
        <w:t>投标人应按本招标文件所要求的投标文件的份数提交投标文件。</w:t>
      </w:r>
    </w:p>
    <w:p>
      <w:pPr>
        <w:kinsoku w:val="0"/>
        <w:overflowPunct w:val="0"/>
        <w:autoSpaceDE w:val="0"/>
        <w:autoSpaceDN w:val="0"/>
        <w:snapToGrid w:val="0"/>
        <w:spacing w:line="360" w:lineRule="auto"/>
        <w:ind w:firstLine="560"/>
        <w:rPr>
          <w:color w:val="000000" w:themeColor="text1"/>
          <w:szCs w:val="28"/>
          <w14:textFill>
            <w14:solidFill>
              <w14:schemeClr w14:val="tx1"/>
            </w14:solidFill>
          </w14:textFill>
        </w:rPr>
      </w:pPr>
      <w:r>
        <w:rPr>
          <w:color w:val="000000" w:themeColor="text1"/>
          <w:szCs w:val="28"/>
          <w14:textFill>
            <w14:solidFill>
              <w14:schemeClr w14:val="tx1"/>
            </w14:solidFill>
          </w14:textFill>
        </w:rPr>
        <w:t>（1）投标人应保证投标文件副本与正本内容严格一致，</w:t>
      </w:r>
      <w:r>
        <w:rPr>
          <w:b/>
          <w:bCs/>
          <w:color w:val="000000" w:themeColor="text1"/>
          <w:kern w:val="0"/>
          <w:szCs w:val="28"/>
          <w14:textFill>
            <w14:solidFill>
              <w14:schemeClr w14:val="tx1"/>
            </w14:solidFill>
          </w14:textFill>
        </w:rPr>
        <w:t>投标文件副本可由正本复印而成</w:t>
      </w:r>
      <w:r>
        <w:rPr>
          <w:b/>
          <w:bCs/>
          <w:color w:val="000000" w:themeColor="text1"/>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szCs w:val="28"/>
          <w14:textFill>
            <w14:solidFill>
              <w14:schemeClr w14:val="tx1"/>
            </w14:solidFill>
          </w14:textFill>
        </w:rPr>
      </w:pPr>
      <w:r>
        <w:rPr>
          <w:color w:val="000000" w:themeColor="text1"/>
          <w:szCs w:val="28"/>
          <w14:textFill>
            <w14:solidFill>
              <w14:schemeClr w14:val="tx1"/>
            </w14:solidFill>
          </w14:textFill>
        </w:rPr>
        <w:t>（2）投标人对本招标文件第六部分“投标文件格式”中提供格式的资料，必须按照样表格式要求在指定位置加盖与投标人全称相一致的标准公章并经法定代表人或投标人代表签字</w:t>
      </w:r>
      <w:r>
        <w:rPr>
          <w:rFonts w:hint="eastAsia"/>
          <w:color w:val="000000" w:themeColor="text1"/>
          <w:szCs w:val="28"/>
          <w:lang w:val="en-US" w:eastAsia="zh-CN"/>
          <w14:textFill>
            <w14:solidFill>
              <w14:schemeClr w14:val="tx1"/>
            </w14:solidFill>
          </w14:textFill>
        </w:rPr>
        <w:t>或盖章</w:t>
      </w:r>
      <w:r>
        <w:rPr>
          <w:color w:val="000000" w:themeColor="text1"/>
          <w:szCs w:val="28"/>
          <w14:textFill>
            <w14:solidFill>
              <w14:schemeClr w14:val="tx1"/>
            </w14:solidFill>
          </w14:textFill>
        </w:rPr>
        <w:t>，否则按投标无效处理。</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11.6</w:t>
      </w:r>
      <w:r>
        <w:rPr>
          <w:color w:val="000000" w:themeColor="text1"/>
          <w:szCs w:val="28"/>
          <w14:textFill>
            <w14:solidFill>
              <w14:schemeClr w14:val="tx1"/>
            </w14:solidFill>
          </w14:textFill>
        </w:rPr>
        <w:t>投标文件应字迹清楚、内容齐全、不得涂改或增删。如有修</w:t>
      </w:r>
      <w:r>
        <w:rPr>
          <w:color w:val="000000" w:themeColor="text1"/>
          <w:kern w:val="0"/>
          <w:szCs w:val="28"/>
          <w14:textFill>
            <w14:solidFill>
              <w14:schemeClr w14:val="tx1"/>
            </w14:solidFill>
          </w14:textFill>
        </w:rPr>
        <w:t>改和增删，必须有投标人公章及法定代表人或其授权的投标人代表签字</w:t>
      </w:r>
      <w:r>
        <w:rPr>
          <w:rFonts w:hint="eastAsia"/>
          <w:color w:val="000000" w:themeColor="text1"/>
          <w:kern w:val="0"/>
          <w:szCs w:val="28"/>
          <w:lang w:val="en-US" w:eastAsia="zh-CN"/>
          <w14:textFill>
            <w14:solidFill>
              <w14:schemeClr w14:val="tx1"/>
            </w14:solidFill>
          </w14:textFill>
        </w:rPr>
        <w:t>或盖章</w:t>
      </w:r>
      <w:r>
        <w:rPr>
          <w:color w:val="000000" w:themeColor="text1"/>
          <w:kern w:val="0"/>
          <w:szCs w:val="28"/>
          <w14:textFill>
            <w14:solidFill>
              <w14:schemeClr w14:val="tx1"/>
            </w14:solidFill>
          </w14:textFill>
        </w:rPr>
        <w:t>。</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11.7因投标文件字迹潦草或表达不清所引起的不利后果由投标人承担。</w:t>
      </w:r>
    </w:p>
    <w:p>
      <w:pPr>
        <w:pStyle w:val="4"/>
        <w:rPr>
          <w:rFonts w:ascii="Times New Roman" w:hAnsi="Times New Roman"/>
          <w:color w:val="000000" w:themeColor="text1"/>
          <w:szCs w:val="28"/>
          <w14:textFill>
            <w14:solidFill>
              <w14:schemeClr w14:val="tx1"/>
            </w14:solidFill>
          </w14:textFill>
        </w:rPr>
      </w:pPr>
      <w:bookmarkStart w:id="13" w:name="_Toc6541"/>
      <w:bookmarkStart w:id="14" w:name="_Toc8644"/>
      <w:r>
        <w:rPr>
          <w:rFonts w:ascii="Times New Roman" w:hAnsi="Times New Roman"/>
          <w:color w:val="000000" w:themeColor="text1"/>
          <w:szCs w:val="28"/>
          <w14:textFill>
            <w14:solidFill>
              <w14:schemeClr w14:val="tx1"/>
            </w14:solidFill>
          </w14:textFill>
        </w:rPr>
        <w:t>四、投标文件的递交</w:t>
      </w:r>
      <w:bookmarkEnd w:id="13"/>
      <w:bookmarkEnd w:id="14"/>
    </w:p>
    <w:p>
      <w:pPr>
        <w:tabs>
          <w:tab w:val="left" w:pos="0"/>
        </w:tabs>
        <w:kinsoku w:val="0"/>
        <w:overflowPunct w:val="0"/>
        <w:autoSpaceDE w:val="0"/>
        <w:autoSpaceDN w:val="0"/>
        <w:snapToGrid w:val="0"/>
        <w:spacing w:line="360" w:lineRule="auto"/>
        <w:ind w:firstLine="562"/>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12.投标文件的密封及标记</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12.1投标文件应按以下方法装袋密封：</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投标人须将投标文件所有正、副本及投标人认为有必要提交的其他资料密封提交，</w:t>
      </w:r>
      <w:r>
        <w:rPr>
          <w:b/>
          <w:bCs/>
          <w:color w:val="000000" w:themeColor="text1"/>
          <w:kern w:val="0"/>
          <w:szCs w:val="28"/>
          <w14:textFill>
            <w14:solidFill>
              <w14:schemeClr w14:val="tx1"/>
            </w14:solidFill>
          </w14:textFill>
        </w:rPr>
        <w:t>开标一览表单独密封，单独递交</w:t>
      </w:r>
      <w:r>
        <w:rPr>
          <w:color w:val="000000" w:themeColor="text1"/>
          <w:kern w:val="0"/>
          <w:szCs w:val="28"/>
          <w14:textFill>
            <w14:solidFill>
              <w14:schemeClr w14:val="tx1"/>
            </w14:solidFill>
          </w14:textFill>
        </w:rPr>
        <w:t>。密封皮上写明项目编号、项目名称、包号、投标人全称（加盖公章），并注明“开标时启封”字样。</w:t>
      </w:r>
    </w:p>
    <w:p>
      <w:pPr>
        <w:tabs>
          <w:tab w:val="left" w:pos="567"/>
        </w:tabs>
        <w:kinsoku w:val="0"/>
        <w:overflowPunct w:val="0"/>
        <w:autoSpaceDE w:val="0"/>
        <w:autoSpaceDN w:val="0"/>
        <w:snapToGrid w:val="0"/>
        <w:spacing w:line="360" w:lineRule="auto"/>
        <w:ind w:firstLine="562"/>
        <w:rPr>
          <w:rFonts w:hint="eastAsia"/>
          <w:b/>
          <w:bCs/>
          <w:color w:val="000000" w:themeColor="text1"/>
          <w:kern w:val="0"/>
          <w:szCs w:val="28"/>
          <w:lang w:val="en-US" w:eastAsia="zh-CN"/>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12.2如果投标人未按上述要求对投标文件密封及加写标记，采购代理机构可以拒收未按照要求密封及加写标记的投标文件。</w:t>
      </w:r>
    </w:p>
    <w:p>
      <w:pPr>
        <w:tabs>
          <w:tab w:val="left" w:pos="567"/>
        </w:tabs>
        <w:kinsoku w:val="0"/>
        <w:overflowPunct w:val="0"/>
        <w:autoSpaceDE w:val="0"/>
        <w:autoSpaceDN w:val="0"/>
        <w:snapToGrid w:val="0"/>
        <w:spacing w:line="360" w:lineRule="auto"/>
        <w:ind w:firstLine="562"/>
        <w:rPr>
          <w:b/>
          <w:bCs/>
          <w:color w:val="000000" w:themeColor="text1"/>
          <w:kern w:val="0"/>
          <w:szCs w:val="28"/>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开标时，投标人或者其推选的代表检查投标文件的密封情况；经确认无误后，当众拆封。</w:t>
      </w:r>
    </w:p>
    <w:p>
      <w:pPr>
        <w:tabs>
          <w:tab w:val="left" w:pos="567"/>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13.投标截止时间</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投标文件须按照招标文件规定的投标时间、地点送达。在投标截止时间以后送达的投标文件，</w:t>
      </w:r>
      <w:r>
        <w:rPr>
          <w:b/>
          <w:color w:val="000000" w:themeColor="text1"/>
          <w:kern w:val="0"/>
          <w:szCs w:val="28"/>
          <w14:textFill>
            <w14:solidFill>
              <w14:schemeClr w14:val="tx1"/>
            </w14:solidFill>
          </w14:textFill>
        </w:rPr>
        <w:t>采购代理机构（或采购人)拒绝接收</w:t>
      </w:r>
      <w:r>
        <w:rPr>
          <w:color w:val="000000" w:themeColor="text1"/>
          <w:kern w:val="0"/>
          <w:szCs w:val="28"/>
          <w14:textFill>
            <w14:solidFill>
              <w14:schemeClr w14:val="tx1"/>
            </w14:solidFill>
          </w14:textFill>
        </w:rPr>
        <w:t>。</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14.投标文件的补充、修改和撤回</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14.1投标人可以在投标截止时间前，对所递交的投标文件进行补充、修改或者撤回，并以书面形式通知采购代理机构（或采购人)，补充、修改和撤标要求须经采购代理机构（或采购人)签字确认，否则无效。</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14.2投标人撤回投标的要求应由投标人法定代表人或投标人代表签署，补充、修改投标文件的书面材料，应当按照招标文件要求签署、盖章，作为投标文件的组成部分，密封送达采购代理机构（或采购人)，同时应在封套上标明“修改投标文件(并注明项目编号、包号)”和“开标时启封”字样。</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14.3在投标截止时间之后，投标人不得对其投标文件进行补充、修改或撤回。</w:t>
      </w:r>
    </w:p>
    <w:p>
      <w:pPr>
        <w:pStyle w:val="4"/>
        <w:rPr>
          <w:rFonts w:ascii="Times New Roman" w:hAnsi="Times New Roman"/>
          <w:color w:val="000000" w:themeColor="text1"/>
          <w:szCs w:val="28"/>
          <w14:textFill>
            <w14:solidFill>
              <w14:schemeClr w14:val="tx1"/>
            </w14:solidFill>
          </w14:textFill>
        </w:rPr>
      </w:pPr>
      <w:bookmarkStart w:id="15" w:name="_Toc28282"/>
      <w:bookmarkStart w:id="16" w:name="_Toc23821"/>
      <w:r>
        <w:rPr>
          <w:rFonts w:ascii="Times New Roman" w:hAnsi="Times New Roman"/>
          <w:color w:val="000000" w:themeColor="text1"/>
          <w:szCs w:val="28"/>
          <w14:textFill>
            <w14:solidFill>
              <w14:schemeClr w14:val="tx1"/>
            </w14:solidFill>
          </w14:textFill>
        </w:rPr>
        <w:t>五、开标</w:t>
      </w:r>
      <w:bookmarkEnd w:id="15"/>
      <w:bookmarkEnd w:id="16"/>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15.开标及其有关事项</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15.1采购代理机构（或采购人）按招标文件规定的时间、地点主持公开开标，采购人代表、投标人代表及有关工作人员参加。</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15.2投标人参加开标的代表必须在投标人签到表上签到以证明其出席。</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15.3开标时由投标人代表查验投标文件密封情况并当众报告查验结果，确认无误并签字后由主持人拆封唱标。</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15.4唱标时，采购代理机构（或采购人）将当众宣读投标人名称、投报价格、书面补充、修改和撤回投标的通知以及采购代理机构认为适当的其他内容。投标人若有报价和优惠未被唱出，应在主持人征求澄清说明时及时声明或提请注意，否则采购代理机构对此不承担任何责任。</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15.5采购代理机构（或采购人）将做唱标记录并在开标后要求法定代表人或授权投标人代表签字确认。</w:t>
      </w:r>
    </w:p>
    <w:p>
      <w:pPr>
        <w:pStyle w:val="4"/>
        <w:ind w:firstLine="562" w:firstLineChars="200"/>
        <w:rPr>
          <w:rFonts w:ascii="Times New Roman" w:hAnsi="Times New Roman"/>
          <w:color w:val="000000" w:themeColor="text1"/>
          <w:szCs w:val="28"/>
          <w14:textFill>
            <w14:solidFill>
              <w14:schemeClr w14:val="tx1"/>
            </w14:solidFill>
          </w14:textFill>
        </w:rPr>
      </w:pPr>
      <w:bookmarkStart w:id="17" w:name="_Toc27991"/>
      <w:bookmarkStart w:id="18" w:name="_Toc17782"/>
      <w:r>
        <w:rPr>
          <w:rFonts w:ascii="Times New Roman" w:hAnsi="Times New Roman"/>
          <w:color w:val="000000" w:themeColor="text1"/>
          <w:szCs w:val="28"/>
          <w14:textFill>
            <w14:solidFill>
              <w14:schemeClr w14:val="tx1"/>
            </w14:solidFill>
          </w14:textFill>
        </w:rPr>
        <w:t>六、资格性审查</w:t>
      </w:r>
      <w:bookmarkEnd w:id="17"/>
      <w:bookmarkEnd w:id="18"/>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16.1公开招标采购项目开标仪式结束后，由采购人或者采购代理机构依法对投标人的资格进行审查。由采购人进行资格审查的，采购人出具审查意见并由采购人资格审查工作人员签字确认；由采购代理机构进行资格审查的，采购代理机构出具审查意见，由采购代理机构资格审查工作人员签字。</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16.2资格性审查包括以下内容：</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A、本文件“投标人须知”第8条“投标文件的组成及相关要求”资格证明部分中，带*项要求的资格证明文件是否完整、有效，若有一项未提供或达不到检查标准，将导致其不具备投标资格，且不允许在开标后补正。</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B、通过“信用中国”网站（www.creditchina.gov.cn）、中国政府采购网（www.ccgp.gov.cn）等渠道查询相关投标人开标截止时间前的信用记录，并对投标人信用记录进行甄别，对列入失信被执行人、重大税收违法</w:t>
      </w:r>
      <w:r>
        <w:rPr>
          <w:rFonts w:hint="eastAsia"/>
          <w:color w:val="000000" w:themeColor="text1"/>
          <w:kern w:val="0"/>
          <w:szCs w:val="28"/>
          <w14:textFill>
            <w14:solidFill>
              <w14:schemeClr w14:val="tx1"/>
            </w14:solidFill>
          </w14:textFill>
        </w:rPr>
        <w:t>失信主体</w:t>
      </w:r>
      <w:r>
        <w:rPr>
          <w:color w:val="000000" w:themeColor="text1"/>
          <w:kern w:val="0"/>
          <w:szCs w:val="28"/>
          <w14:textFill>
            <w14:solidFill>
              <w14:schemeClr w14:val="tx1"/>
            </w14:solidFill>
          </w14:textFill>
        </w:rPr>
        <w:t>、政府采购严重违法失信行为记录名单的投标人，将导致其不具备投标资格，予以书面记录，并打印留存查询网页。</w:t>
      </w:r>
    </w:p>
    <w:p>
      <w:pPr>
        <w:pStyle w:val="4"/>
        <w:ind w:firstLine="562" w:firstLineChars="200"/>
        <w:rPr>
          <w:rFonts w:ascii="Times New Roman" w:hAnsi="Times New Roman"/>
          <w:color w:val="000000" w:themeColor="text1"/>
          <w:szCs w:val="28"/>
          <w14:textFill>
            <w14:solidFill>
              <w14:schemeClr w14:val="tx1"/>
            </w14:solidFill>
          </w14:textFill>
        </w:rPr>
      </w:pPr>
      <w:bookmarkStart w:id="19" w:name="_Toc6073"/>
      <w:bookmarkStart w:id="20" w:name="_Toc13040"/>
      <w:r>
        <w:rPr>
          <w:rFonts w:ascii="Times New Roman" w:hAnsi="Times New Roman"/>
          <w:color w:val="000000" w:themeColor="text1"/>
          <w:szCs w:val="28"/>
          <w14:textFill>
            <w14:solidFill>
              <w14:schemeClr w14:val="tx1"/>
            </w14:solidFill>
          </w14:textFill>
        </w:rPr>
        <w:t>七、评标程序和要求</w:t>
      </w:r>
      <w:bookmarkEnd w:id="19"/>
      <w:bookmarkEnd w:id="20"/>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17.组建评标委员会</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17.1采购代理机构（或采购人）根据有关法律法规和本招标文件的规定，结合本招标项目的特点组建评标委员会，对具备实质性响应的投标文件进行评估和比较。评标委员会由七人以上单数组成，其中经济、技术等方面的专家不少于三分之二。</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17.2采购代理机构（或采购人）就招标文件征询过意见的专家，不得作为评标专家参加评标，采购单位人员不得以专家身份参与评标，采购</w:t>
      </w:r>
      <w:r>
        <w:rPr>
          <w:rFonts w:hint="eastAsia"/>
          <w:color w:val="000000" w:themeColor="text1"/>
          <w:kern w:val="0"/>
          <w:szCs w:val="28"/>
          <w:lang w:val="en-US" w:eastAsia="zh-CN"/>
          <w14:textFill>
            <w14:solidFill>
              <w14:schemeClr w14:val="tx1"/>
            </w14:solidFill>
          </w14:textFill>
        </w:rPr>
        <w:t>代理</w:t>
      </w:r>
      <w:r>
        <w:rPr>
          <w:color w:val="000000" w:themeColor="text1"/>
          <w:kern w:val="0"/>
          <w:szCs w:val="28"/>
          <w14:textFill>
            <w14:solidFill>
              <w14:schemeClr w14:val="tx1"/>
            </w14:solidFill>
          </w14:textFill>
        </w:rPr>
        <w:t>机构工作人员不得参加评标。</w:t>
      </w:r>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18.符合性审核</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18.1开标后，评标委员会将审查通过资格性审查的各投标人投标文件是否符合招标文件的基本要求：内容是否完整、有无计算错误、文件签署是否齐全及验证投标保证金。</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18.2审核时，评标委员会要审核每份投标文件是否实质上响应了招标文件的要求</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（1）实质上响应的投标是指与招标文件的主要条款、条件和规格相符，没有重大偏离。</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w:t>
      </w:r>
      <w:r>
        <w:rPr>
          <w:color w:val="000000" w:themeColor="text1"/>
          <w:kern w:val="0"/>
          <w:szCs w:val="28"/>
          <w:u w:val="none"/>
          <w14:textFill>
            <w14:solidFill>
              <w14:schemeClr w14:val="tx1"/>
            </w14:solidFill>
          </w14:textFill>
        </w:rPr>
        <w:t>重大偏离</w:t>
      </w:r>
      <w:r>
        <w:rPr>
          <w:color w:val="000000" w:themeColor="text1"/>
          <w:kern w:val="0"/>
          <w:szCs w:val="28"/>
          <w14:textFill>
            <w14:solidFill>
              <w14:schemeClr w14:val="tx1"/>
            </w14:solidFill>
          </w14:textFill>
        </w:rPr>
        <w:t>（主要技术、商务要求）系指投标货物的质量、数量和交货期限等明显不能满足招标文件的要求，或者实质上与招标文件不一致，而且限制了采购人的权利或投标人的义务，纠正这些偏离将对其他实质上响应要求的投标人的竞争地位产生不公正的影响。包括但不限于：</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A、</w:t>
      </w:r>
      <w:r>
        <w:rPr>
          <w:rFonts w:hint="eastAsia"/>
          <w:color w:val="000000" w:themeColor="text1"/>
          <w:kern w:val="0"/>
          <w:szCs w:val="28"/>
          <w:lang w:val="en-US" w:eastAsia="zh-CN"/>
          <w14:textFill>
            <w14:solidFill>
              <w14:schemeClr w14:val="tx1"/>
            </w14:solidFill>
          </w14:textFill>
        </w:rPr>
        <w:t>商务、技术部分文件中</w:t>
      </w:r>
      <w:r>
        <w:rPr>
          <w:color w:val="000000" w:themeColor="text1"/>
          <w:kern w:val="0"/>
          <w:szCs w:val="28"/>
          <w14:textFill>
            <w14:solidFill>
              <w14:schemeClr w14:val="tx1"/>
            </w14:solidFill>
          </w14:textFill>
        </w:rPr>
        <w:t>带*项不全或无效的；</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B、投标文件未按招标文件的规定签署、盖章的；</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C、投标有效期不足的；</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D、投标货物性能、规格、数量、交货时间、货物包装方式、检验标准和方法、售后服务承诺等不满足招标文件中的相关要求和超出采购人可接受的偏差范围的；</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E、未按照招标文件规定报价的；</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F、不符合招标文件中有关分包、转包规定的；</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G、投标文件附有采购人不能接受的条件；</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H、不符合招标文件中规定的其他实质性要求</w:t>
      </w:r>
      <w:r>
        <w:rPr>
          <w:rFonts w:hint="eastAsia"/>
          <w:color w:val="000000" w:themeColor="text1"/>
          <w:kern w:val="0"/>
          <w:szCs w:val="28"/>
          <w14:textFill>
            <w14:solidFill>
              <w14:schemeClr w14:val="tx1"/>
            </w14:solidFill>
          </w14:textFill>
        </w:rPr>
        <w:t>；</w:t>
      </w:r>
    </w:p>
    <w:p>
      <w:pPr>
        <w:tabs>
          <w:tab w:val="left" w:pos="737"/>
          <w:tab w:val="left" w:pos="120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I、投标报价超过</w:t>
      </w:r>
      <w:r>
        <w:rPr>
          <w:rFonts w:hint="eastAsia"/>
          <w:color w:val="000000" w:themeColor="text1"/>
          <w:kern w:val="0"/>
          <w:szCs w:val="28"/>
          <w14:textFill>
            <w14:solidFill>
              <w14:schemeClr w14:val="tx1"/>
            </w14:solidFill>
          </w14:textFill>
        </w:rPr>
        <w:t>最高限价</w:t>
      </w:r>
      <w:r>
        <w:rPr>
          <w:color w:val="000000" w:themeColor="text1"/>
          <w:kern w:val="0"/>
          <w:szCs w:val="28"/>
          <w14:textFill>
            <w14:solidFill>
              <w14:schemeClr w14:val="tx1"/>
            </w14:solidFill>
          </w14:textFill>
        </w:rPr>
        <w:t>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（3）重大偏离不允许在开标后修正。</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（4）如果投标文件实质上没有响应招标文件的要求，</w:t>
      </w:r>
      <w:r>
        <w:rPr>
          <w:b/>
          <w:color w:val="000000" w:themeColor="text1"/>
          <w:kern w:val="0"/>
          <w:szCs w:val="28"/>
          <w14:textFill>
            <w14:solidFill>
              <w14:schemeClr w14:val="tx1"/>
            </w14:solidFill>
          </w14:textFill>
        </w:rPr>
        <w:t>评标委员会将予以拒绝，</w:t>
      </w:r>
      <w:r>
        <w:rPr>
          <w:color w:val="000000" w:themeColor="text1"/>
          <w:kern w:val="0"/>
          <w:szCs w:val="28"/>
          <w14:textFill>
            <w14:solidFill>
              <w14:schemeClr w14:val="tx1"/>
            </w14:solidFill>
          </w14:textFill>
        </w:rPr>
        <w:t>投标人不得再对投标文件进行任何修正从而使其投标成为实质上响应的投标。</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（5）投标文件的</w:t>
      </w:r>
      <w:r>
        <w:rPr>
          <w:color w:val="000000" w:themeColor="text1"/>
          <w:kern w:val="0"/>
          <w:szCs w:val="28"/>
          <w:u w:val="none"/>
          <w14:textFill>
            <w14:solidFill>
              <w14:schemeClr w14:val="tx1"/>
            </w14:solidFill>
          </w14:textFill>
        </w:rPr>
        <w:t>细微偏差</w:t>
      </w:r>
      <w:r>
        <w:rPr>
          <w:color w:val="000000" w:themeColor="text1"/>
          <w:kern w:val="0"/>
          <w:szCs w:val="28"/>
          <w14:textFill>
            <w14:solidFill>
              <w14:schemeClr w14:val="tx1"/>
            </w14:solidFill>
          </w14:textFill>
        </w:rPr>
        <w:t>（一般技术、商务要求）是指在实质上响应招标文件要求，但在个别地方存在漏项或者提供了不完整的技术信息和数据等情况，并且补正这些遗漏或者不完整不会对其他投标人造成不公平的结果。细微偏差不影响投标文件的有效性。</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18.3审核中，对明显的文字、内容和计算错误按下述原则处理：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（1）如果正本与副本不一致，以正本为准；开标一览表内容与投标文件中相应内容不一致的,以开标一览表为准。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（2）如果以文字表示的数据与数字表示的有差别，以文字表示的为准；如果大小写金额不一致的，以大写金额为准。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（3）单价金额小数点或者百分比有明显错位的，以开标一览表的总价为准，并修改单价。</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（4）总价金额与按单价汇总金额不一致的，以单价金额计算结果为准。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5）同时出现两种以上不一致的，按照上述1-4条规定的顺序修正。修正后的报价应当要求投标人采用书面形式并加盖公章或者由法定代表人或其授权代表签字确认，经确认后产生约束力，投标人不确认的，其投标无效。</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18.4评标委员会对投标文件的判定,只依据投标文件内容本身,不依据任何外来证明。</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19.投标的澄清</w:t>
      </w:r>
    </w:p>
    <w:p>
      <w:pPr>
        <w:tabs>
          <w:tab w:val="left" w:pos="567"/>
        </w:tabs>
        <w:kinsoku w:val="0"/>
        <w:overflowPunct w:val="0"/>
        <w:autoSpaceDE w:val="0"/>
        <w:autoSpaceDN w:val="0"/>
        <w:snapToGrid w:val="0"/>
        <w:spacing w:line="360" w:lineRule="auto"/>
        <w:ind w:firstLine="560"/>
        <w:rPr>
          <w:rFonts w:hint="eastAsia"/>
          <w:color w:val="000000" w:themeColor="text1"/>
          <w:kern w:val="0"/>
          <w:szCs w:val="28"/>
          <w14:textFill>
            <w14:solidFill>
              <w14:schemeClr w14:val="tx1"/>
            </w14:solidFill>
          </w14:textFill>
        </w:rPr>
      </w:pPr>
      <w:r>
        <w:rPr>
          <w:rFonts w:hint="eastAsia"/>
          <w:color w:val="000000" w:themeColor="text1"/>
          <w:kern w:val="0"/>
          <w:szCs w:val="28"/>
          <w14:textFill>
            <w14:solidFill>
              <w14:schemeClr w14:val="tx1"/>
            </w14:solidFill>
          </w14:textFill>
        </w:rPr>
        <w:t>19.1</w:t>
      </w:r>
      <w:r>
        <w:rPr>
          <w:rFonts w:hint="eastAsia"/>
          <w:color w:val="000000" w:themeColor="text1"/>
          <w:kern w:val="0"/>
          <w:szCs w:val="28"/>
          <w:lang w:val="en-US" w:eastAsia="zh-CN"/>
          <w14:textFill>
            <w14:solidFill>
              <w14:schemeClr w14:val="tx1"/>
            </w14:solidFill>
          </w14:textFill>
        </w:rPr>
        <w:t>评标委员会应当要求投标人对投标文件中含义不明确、对同类问题表述不一致或者有明显文字和计算错误等内容作必要的澄清、说明或者补正。该要求应当采用书面形式。</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19.2投标人必须按照评标委员会通知的内容和时间做出书面答复，该答复经法定代表人或投标人代表的签字认可，将作为投标文件内容的一部分。澄清、说明或者补正不得超出投标文件的范围或者改变投标文件的实质性内容。投标人拒不按照要求对投标文件进行澄清、说明或者补正的，评标委员会可拒绝该投标。</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19.3如评标委员会一致认为某个投标人的报价明显不合理或者报价明显低于其他通过符合性审查投标人的报价，有可能影响产品、服务的质量或者不能诚信履约的，评标委员会应当要求该投标人限期进行书面解释，必要时提供相关证明材料。若已要求，而该投标人在规定期限（1小时）内未做出解释或做出的解释不合理或不能提供证明材料或提供的证明材料不能证明其报价合理性的，评标委员会应当将其作为无效投标处理。</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如投标人认为其报价有可能出现上述情况，且认为1小时规定时间准备资料仓促，可提前准备书面解释和相关证明材料。</w:t>
      </w:r>
    </w:p>
    <w:p>
      <w:pPr>
        <w:tabs>
          <w:tab w:val="left" w:pos="567"/>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20.详细评审</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评标委员会只对实质上响应招标文件的投标进行评价和比较；评审应严格按照招标文件的要求和条件进行；具体评审原则、方法和中标条件详见招标文件</w:t>
      </w:r>
      <w:r>
        <w:rPr>
          <w:b/>
          <w:color w:val="000000" w:themeColor="text1"/>
          <w:kern w:val="0"/>
          <w:szCs w:val="28"/>
          <w14:textFill>
            <w14:solidFill>
              <w14:schemeClr w14:val="tx1"/>
            </w14:solidFill>
          </w14:textFill>
        </w:rPr>
        <w:t>第三部分“评标标准和评标办法”。</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21.确定中标人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评标委员会根据详细评审的结果确定中标人。</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22.评标过程保密</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开标之后，直到授予中标人合同止，凡是属于审查、澄清、评价和比较投标的有关资料以及授标意向等，均不得向投标人或其他与评标无关的人员透露。</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23.关于投标人非实质性响应滞后发现的处理规则</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无论基于何种原因，各项本应做拒绝投标处理的情形，即便未被及时发现而使该投标人进入初审、详细评审或其它后续程序，包括已经签约的情形。一旦被发现存在上述情形，采购代理机构（或采购人）均有权决定取消该投标人的此前评议结果，或决定对该投标予以拒绝，并有权采取相应的补救及纠正措施。</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24.采购项目废标</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24.1在评标过程中，评标委员会发现有下列情形之一的，应对采购项目予以废标：</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（1）符合专业条件的投标人或者对招标文件作实质响应的投标人数量不足，导致进入实质性评审、打分阶段的投标人不足3家的；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（2）报价等于或低于项目</w:t>
      </w:r>
      <w:r>
        <w:rPr>
          <w:rFonts w:hint="eastAsia"/>
          <w:color w:val="000000" w:themeColor="text1"/>
          <w:kern w:val="0"/>
          <w:szCs w:val="28"/>
          <w:lang w:val="en-US" w:eastAsia="zh-CN"/>
          <w14:textFill>
            <w14:solidFill>
              <w14:schemeClr w14:val="tx1"/>
            </w14:solidFill>
          </w14:textFill>
        </w:rPr>
        <w:t>最高限价</w:t>
      </w:r>
      <w:r>
        <w:rPr>
          <w:color w:val="000000" w:themeColor="text1"/>
          <w:kern w:val="0"/>
          <w:szCs w:val="28"/>
          <w14:textFill>
            <w14:solidFill>
              <w14:schemeClr w14:val="tx1"/>
            </w14:solidFill>
          </w14:textFill>
        </w:rPr>
        <w:t>的投标人不足3家的；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（3）出现影响采购公正的违法、违规行为的；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（4）因重大变故，采购任务取消的。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采购项目废标后，评标委员会应做出书面报告。</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24.2废标后，采购代理机构应当将废标原因通知所有投标人，并依法重新组织采购活动。</w:t>
      </w:r>
    </w:p>
    <w:p>
      <w:pPr>
        <w:pStyle w:val="4"/>
        <w:ind w:firstLine="562" w:firstLineChars="200"/>
        <w:rPr>
          <w:rFonts w:ascii="Times New Roman" w:hAnsi="Times New Roman"/>
          <w:color w:val="000000" w:themeColor="text1"/>
          <w:szCs w:val="28"/>
          <w14:textFill>
            <w14:solidFill>
              <w14:schemeClr w14:val="tx1"/>
            </w14:solidFill>
          </w14:textFill>
        </w:rPr>
      </w:pPr>
      <w:bookmarkStart w:id="21" w:name="_Toc30740"/>
      <w:bookmarkStart w:id="22" w:name="_Toc25044"/>
      <w:r>
        <w:rPr>
          <w:rFonts w:ascii="Times New Roman" w:hAnsi="Times New Roman"/>
          <w:color w:val="000000" w:themeColor="text1"/>
          <w:szCs w:val="28"/>
          <w14:textFill>
            <w14:solidFill>
              <w14:schemeClr w14:val="tx1"/>
            </w14:solidFill>
          </w14:textFill>
        </w:rPr>
        <w:t>八、签订合同</w:t>
      </w:r>
      <w:bookmarkEnd w:id="21"/>
      <w:bookmarkEnd w:id="22"/>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25.中标通知</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25.1中标人确定后,采购代理机构（或采购人）将在刊登本次招标公告的媒体上发布中标公告，并以书面形式向中标人发出中标通知书，但该中标结果的有效性不依赖于未中标的投标人是否知道中标结果。中标通知书对采购人和中标人具有同等法律效力。中标通知书发出以后，采购人改变中标结果或者中标人放弃中标，应当承担相应的法律责任。</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25.2采购代理机构（或采购人）对未中标的投标人不做未中标原因的解释。</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25.3中标通知书是合同的组成部分。</w:t>
      </w:r>
    </w:p>
    <w:p>
      <w:pPr>
        <w:tabs>
          <w:tab w:val="left" w:pos="567"/>
        </w:tabs>
        <w:kinsoku w:val="0"/>
        <w:overflowPunct w:val="0"/>
        <w:autoSpaceDE w:val="0"/>
        <w:autoSpaceDN w:val="0"/>
        <w:snapToGrid w:val="0"/>
        <w:spacing w:line="360" w:lineRule="auto"/>
        <w:ind w:firstLine="562"/>
        <w:rPr>
          <w:rFonts w:hint="eastAsia" w:eastAsia="宋体"/>
          <w:b/>
          <w:color w:val="000000" w:themeColor="text1"/>
          <w:kern w:val="0"/>
          <w:szCs w:val="28"/>
          <w:lang w:eastAsia="zh-CN"/>
          <w14:textFill>
            <w14:solidFill>
              <w14:schemeClr w14:val="tx1"/>
            </w14:solidFill>
          </w14:textFill>
        </w:rPr>
      </w:pPr>
      <w:r>
        <w:rPr>
          <w:b/>
          <w:color w:val="000000" w:themeColor="text1"/>
          <w:kern w:val="0"/>
          <w:szCs w:val="28"/>
          <w14:textFill>
            <w14:solidFill>
              <w14:schemeClr w14:val="tx1"/>
            </w14:solidFill>
          </w14:textFill>
        </w:rPr>
        <w:t>26.</w:t>
      </w:r>
      <w:r>
        <w:rPr>
          <w:rFonts w:hint="eastAsia"/>
          <w:b/>
          <w:color w:val="000000" w:themeColor="text1"/>
          <w:kern w:val="0"/>
          <w:szCs w:val="28"/>
          <w:lang w:eastAsia="zh-CN"/>
          <w14:textFill>
            <w14:solidFill>
              <w14:schemeClr w14:val="tx1"/>
            </w14:solidFill>
          </w14:textFill>
        </w:rPr>
        <w:t>代理服务费</w:t>
      </w:r>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本次招标由采购代理机构向中标人收取</w:t>
      </w:r>
      <w:r>
        <w:rPr>
          <w:rFonts w:hint="eastAsia"/>
          <w:color w:val="000000" w:themeColor="text1"/>
          <w:kern w:val="0"/>
          <w:szCs w:val="28"/>
          <w:lang w:eastAsia="zh-CN"/>
          <w14:textFill>
            <w14:solidFill>
              <w14:schemeClr w14:val="tx1"/>
            </w14:solidFill>
          </w14:textFill>
        </w:rPr>
        <w:t>代理服务费</w:t>
      </w:r>
      <w:r>
        <w:rPr>
          <w:color w:val="000000" w:themeColor="text1"/>
          <w:kern w:val="0"/>
          <w:szCs w:val="28"/>
          <w14:textFill>
            <w14:solidFill>
              <w14:schemeClr w14:val="tx1"/>
            </w14:solidFill>
          </w14:textFill>
        </w:rPr>
        <w:t>，收取标准以每包中标金额为基准，采用差额累进法计算，100万以内按1.5%收取，100万以上不足500万部分，按照1.1%收取，500万以上不足1000万部分，按照0.8%收取，1000万以上不足5000万按照0.5%分别收取，</w:t>
      </w:r>
      <w:r>
        <w:rPr>
          <w:rFonts w:hint="eastAsia"/>
          <w:color w:val="000000" w:themeColor="text1"/>
          <w:kern w:val="0"/>
          <w:szCs w:val="28"/>
          <w14:textFill>
            <w14:solidFill>
              <w14:schemeClr w14:val="tx1"/>
            </w14:solidFill>
          </w14:textFill>
        </w:rPr>
        <w:t>折扣率为80%，</w:t>
      </w:r>
      <w:r>
        <w:rPr>
          <w:color w:val="000000" w:themeColor="text1"/>
          <w:kern w:val="0"/>
          <w:szCs w:val="28"/>
          <w14:textFill>
            <w14:solidFill>
              <w14:schemeClr w14:val="tx1"/>
            </w14:solidFill>
          </w14:textFill>
        </w:rPr>
        <w:t>请投标人在测算报价时充分考虑这一因素。</w:t>
      </w:r>
    </w:p>
    <w:p>
      <w:pPr>
        <w:tabs>
          <w:tab w:val="left" w:pos="0"/>
        </w:tabs>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27.签订合同</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27.1</w:t>
      </w:r>
      <w:r>
        <w:rPr>
          <w:rFonts w:hint="eastAsia"/>
          <w:color w:val="000000" w:themeColor="text1"/>
          <w:kern w:val="0"/>
          <w:szCs w:val="28"/>
          <w14:textFill>
            <w14:solidFill>
              <w14:schemeClr w14:val="tx1"/>
            </w14:solidFill>
          </w14:textFill>
        </w:rPr>
        <w:t>采购人或者采购代理机构在公告中标结果的同时，向中标人发出中标通知书；采购人在中标通知书发出</w:t>
      </w:r>
      <w:r>
        <w:rPr>
          <w:color w:val="000000" w:themeColor="text1"/>
          <w:kern w:val="0"/>
          <w:szCs w:val="28"/>
          <w14:textFill>
            <w14:solidFill>
              <w14:schemeClr w14:val="tx1"/>
            </w14:solidFill>
          </w14:textFill>
        </w:rPr>
        <w:t>30日内与</w:t>
      </w:r>
      <w:r>
        <w:rPr>
          <w:rFonts w:hint="eastAsia"/>
          <w:color w:val="000000" w:themeColor="text1"/>
          <w:kern w:val="0"/>
          <w:szCs w:val="28"/>
          <w14:textFill>
            <w14:solidFill>
              <w14:schemeClr w14:val="tx1"/>
            </w14:solidFill>
          </w14:textFill>
        </w:rPr>
        <w:t>中标供应商</w:t>
      </w:r>
      <w:r>
        <w:rPr>
          <w:color w:val="000000" w:themeColor="text1"/>
          <w:kern w:val="0"/>
          <w:szCs w:val="28"/>
          <w14:textFill>
            <w14:solidFill>
              <w14:schemeClr w14:val="tx1"/>
            </w14:solidFill>
          </w14:textFill>
        </w:rPr>
        <w:t>签订采购合同。</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27.2中标人应按照招标文件、投标文件及评标过程中的有关澄清、说明或者补正文件的内容与采购人签订合同。中标人不得再与采购人签订背离合同实质性内容的其它协议或声明。</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27.3在合同履行中，采购人如需追加与合同标的相同的货物，在不改变合同其他条款的前提下，中标人可与采购人协商签订补充合同，但所有补充合同的采购金额不得超过原合同金额的百分之十。</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27.4中标人一旦中标，未经采购代理机构（或采购人）事先给予书面同意不得转包、分包，亦不得将合同全部及任何权利、义务向第三方转让，否则将被视为严重违约，采购代理机构（或采购人）有权决定按照中标人中标后毁标、终止或解除合同等依约处理。</w:t>
      </w:r>
    </w:p>
    <w:p>
      <w:pPr>
        <w:tabs>
          <w:tab w:val="left" w:pos="567"/>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27.5违反27.1条、27.2条的规定，给对方造成损失的，应承担赔偿责任。</w:t>
      </w:r>
    </w:p>
    <w:p>
      <w:pPr>
        <w:pStyle w:val="4"/>
        <w:ind w:firstLine="562" w:firstLineChars="200"/>
        <w:rPr>
          <w:rFonts w:ascii="Times New Roman" w:hAnsi="Times New Roman"/>
          <w:color w:val="000000" w:themeColor="text1"/>
          <w:szCs w:val="28"/>
          <w14:textFill>
            <w14:solidFill>
              <w14:schemeClr w14:val="tx1"/>
            </w14:solidFill>
          </w14:textFill>
        </w:rPr>
      </w:pPr>
      <w:bookmarkStart w:id="23" w:name="_Toc15073"/>
      <w:bookmarkStart w:id="24" w:name="_Toc11565"/>
      <w:r>
        <w:rPr>
          <w:rFonts w:ascii="Times New Roman" w:hAnsi="Times New Roman"/>
          <w:color w:val="000000" w:themeColor="text1"/>
          <w:szCs w:val="28"/>
          <w14:textFill>
            <w14:solidFill>
              <w14:schemeClr w14:val="tx1"/>
            </w14:solidFill>
          </w14:textFill>
        </w:rPr>
        <w:t>九、保密和披露</w:t>
      </w:r>
      <w:bookmarkEnd w:id="23"/>
      <w:bookmarkEnd w:id="24"/>
    </w:p>
    <w:p>
      <w:pPr>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28.保密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rFonts w:hint="eastAsia"/>
          <w:color w:val="000000" w:themeColor="text1"/>
          <w:kern w:val="0"/>
          <w:szCs w:val="28"/>
          <w14:textFill>
            <w14:solidFill>
              <w14:schemeClr w14:val="tx1"/>
            </w14:solidFill>
          </w14:textFill>
        </w:rPr>
        <w:t>投标人</w:t>
      </w:r>
      <w:r>
        <w:rPr>
          <w:color w:val="000000" w:themeColor="text1"/>
          <w:kern w:val="0"/>
          <w:szCs w:val="28"/>
          <w14:textFill>
            <w14:solidFill>
              <w14:schemeClr w14:val="tx1"/>
            </w14:solidFill>
          </w14:textFill>
        </w:rPr>
        <w:t>自领取招标文件之日起，须承诺承担本招标项目下保密义务，不得将因本次招标获得的信息向第三人外传。</w:t>
      </w:r>
    </w:p>
    <w:p>
      <w:pPr>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29.披露</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29.1采购代理机构（或采购人）有权将投标人提供的所有资料向有关政府部门或评审标书的有关人员披露。</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29.2在采购代理机构（或采购人）认为适当时</w:t>
      </w:r>
      <w:r>
        <w:rPr>
          <w:rFonts w:hint="eastAsia"/>
          <w:color w:val="000000" w:themeColor="text1"/>
          <w:kern w:val="0"/>
          <w:szCs w:val="28"/>
          <w14:textFill>
            <w14:solidFill>
              <w14:schemeClr w14:val="tx1"/>
            </w14:solidFill>
          </w14:textFill>
        </w:rPr>
        <w:t>，</w:t>
      </w:r>
      <w:r>
        <w:rPr>
          <w:color w:val="000000" w:themeColor="text1"/>
          <w:kern w:val="0"/>
          <w:szCs w:val="28"/>
          <w14:textFill>
            <w14:solidFill>
              <w14:schemeClr w14:val="tx1"/>
            </w14:solidFill>
          </w14:textFill>
        </w:rPr>
        <w:t>国家机关调查、审查、审计时以及其他符合法律规定的情形下，采购代理机构（或采购人）无须事先征求投标人/中标人同意而可以披露关于采购过程、合同文本、签署情况的资料、投标人/中标人的名称及地址、投标文件的有关信息以及补充条款等，但应当在合理的必要范围内。对任何已经公布过的内容或与之内容相同的资料，以及投标人/中标人已经泄露或公开的，无须再承担保密责任。</w:t>
      </w:r>
    </w:p>
    <w:p>
      <w:pPr>
        <w:pStyle w:val="4"/>
        <w:ind w:firstLine="562" w:firstLineChars="200"/>
        <w:rPr>
          <w:rFonts w:ascii="Times New Roman" w:hAnsi="Times New Roman"/>
          <w:color w:val="000000" w:themeColor="text1"/>
          <w:szCs w:val="28"/>
          <w14:textFill>
            <w14:solidFill>
              <w14:schemeClr w14:val="tx1"/>
            </w14:solidFill>
          </w14:textFill>
        </w:rPr>
      </w:pPr>
      <w:bookmarkStart w:id="25" w:name="_Toc32215"/>
      <w:bookmarkStart w:id="26" w:name="_Toc19196"/>
      <w:r>
        <w:rPr>
          <w:rFonts w:ascii="Times New Roman" w:hAnsi="Times New Roman"/>
          <w:color w:val="000000" w:themeColor="text1"/>
          <w:szCs w:val="28"/>
          <w14:textFill>
            <w14:solidFill>
              <w14:schemeClr w14:val="tx1"/>
            </w14:solidFill>
          </w14:textFill>
        </w:rPr>
        <w:t>十、询问、质疑和投诉</w:t>
      </w:r>
      <w:bookmarkEnd w:id="25"/>
      <w:bookmarkEnd w:id="26"/>
    </w:p>
    <w:p>
      <w:pPr>
        <w:kinsoku w:val="0"/>
        <w:overflowPunct w:val="0"/>
        <w:autoSpaceDE w:val="0"/>
        <w:autoSpaceDN w:val="0"/>
        <w:snapToGrid w:val="0"/>
        <w:spacing w:line="360" w:lineRule="auto"/>
        <w:ind w:firstLine="562"/>
        <w:rPr>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30.投标人有权就招标事宜提出询问、质疑和投诉。</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30.1投标人对招标文件条款或商务、技术要求有异议的，应当在开启前通过澄清或修改程序提出。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30.2投标人对采购文件在有效的质疑期内一次性提出针对同一采购程序环节的质疑。</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30.3投标人认为招标文件、招标过程、中标或者中标结果使自己的合法权益</w:t>
      </w:r>
      <w:r>
        <w:rPr>
          <w:rFonts w:hint="eastAsia"/>
          <w:color w:val="000000" w:themeColor="text1"/>
          <w:kern w:val="0"/>
          <w:szCs w:val="28"/>
          <w14:textFill>
            <w14:solidFill>
              <w14:schemeClr w14:val="tx1"/>
            </w14:solidFill>
          </w14:textFill>
        </w:rPr>
        <w:t>受</w:t>
      </w:r>
      <w:r>
        <w:rPr>
          <w:color w:val="000000" w:themeColor="text1"/>
          <w:kern w:val="0"/>
          <w:szCs w:val="28"/>
          <w14:textFill>
            <w14:solidFill>
              <w14:schemeClr w14:val="tx1"/>
            </w14:solidFill>
          </w14:textFill>
        </w:rPr>
        <w:t>到损害的，可以知道或者应知其权益受到损害之日起7个工作日内，以书面形式向采购代理机构提出质疑。</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30.4潜在供应商已依法获取其可质疑的采购文件的，可以对该文件提出质疑。对采购文件提出质疑的，应当在获取采购文件或者采购文件公告期限届满之日起7个工作日内提出。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30.5质疑应当以书面形式向采购代理机构提出，经法定代表人签字并加盖公章。</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30.6投标人提出质疑应当提交质疑函和必要的证明材料。质疑函应当包括</w:t>
      </w:r>
      <w:r>
        <w:rPr>
          <w:rFonts w:hint="eastAsia"/>
          <w:color w:val="000000" w:themeColor="text1"/>
          <w:kern w:val="0"/>
          <w:szCs w:val="28"/>
          <w:lang w:val="en-US" w:eastAsia="zh-CN"/>
          <w14:textFill>
            <w14:solidFill>
              <w14:schemeClr w14:val="tx1"/>
            </w14:solidFill>
          </w14:textFill>
        </w:rPr>
        <w:t>以</w:t>
      </w:r>
      <w:r>
        <w:rPr>
          <w:color w:val="000000" w:themeColor="text1"/>
          <w:kern w:val="0"/>
          <w:szCs w:val="28"/>
          <w14:textFill>
            <w14:solidFill>
              <w14:schemeClr w14:val="tx1"/>
            </w14:solidFill>
          </w14:textFill>
        </w:rPr>
        <w:t>下内容：</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30.6.1投标人的姓名或者名称、地址、邮编、联系人及联系电话；</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30.6.2质疑项目名称、编号、包号（若分包）；</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30.6.3具体、明确的质疑事项和质疑事项相关的请求；</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30.6.4事实依据；</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30.6.5必要的法律依据；</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30.6.6提出质疑的日期；</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投标人为自然人的，应当由本人签字；投标人为法人或者其他组织的，应当由法定代表人、主要负责人或者其授权代表签字或者盖章，并加盖公章。</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30.7质疑书应当附相关证明材料。质疑材料应为简体中文，一式二份。</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30.8有下列情形之一的，属于无效质疑，采购代理机构可不予受理：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30.8.1未在有效期限内提出质疑的；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30.8.2质疑未以书面形式提出的；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30.8.3所提交材料未明示属于质疑材料的；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30.8.4质疑书没有法定代表人签署本人姓名或印盖本人姓名章并加盖单位公章的；质疑书由参加采购项目的授权代表签署本人姓名或印盖本人姓名章，但没有法定代表人特别授权的；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30.8.5质疑书未提供有效联系人或联系方式的；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30.8.6质疑事项已经进入投诉或者行政复议或者诉讼程序的；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30.8.7质疑书未附相关证明材料，被视为无有效证据支持的。</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30.8.8其它不符合受理条件的情形。</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30.9采购代理机构不得拒收质疑投标人在有效质疑期内发出的质疑函，应当在收到书面质疑后7个工作日内做出答复，并以书面形式通知质疑投标人和其他有关投标人。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30.10投标人对招标过程、中标结果提出质疑的，采购代理机构可以组织原评标委员会协助答复质疑。</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30.11质疑答复应当包含以下内容：</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质疑投标人的姓名或者名称；收到质疑函的日期、质疑项目名称及编号；质疑事项、质疑答复的具体内容、事实依据和法律依据；告知质疑投标人依法诉讼的权利；质疑答复人名称；答复质疑的日期。质疑答复的内容不</w:t>
      </w:r>
      <w:r>
        <w:rPr>
          <w:rFonts w:hint="eastAsia"/>
          <w:color w:val="000000" w:themeColor="text1"/>
          <w:kern w:val="0"/>
          <w:szCs w:val="28"/>
          <w14:textFill>
            <w14:solidFill>
              <w14:schemeClr w14:val="tx1"/>
            </w14:solidFill>
          </w14:textFill>
        </w:rPr>
        <w:t>得</w:t>
      </w:r>
      <w:r>
        <w:rPr>
          <w:color w:val="000000" w:themeColor="text1"/>
          <w:kern w:val="0"/>
          <w:szCs w:val="28"/>
          <w14:textFill>
            <w14:solidFill>
              <w14:schemeClr w14:val="tx1"/>
            </w14:solidFill>
          </w14:textFill>
        </w:rPr>
        <w:t>涉及商业秘密。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30.12采购代理机构认为投标人质疑不成立，或者成立但未对中标结果构成影响的，继续开展采购活动；认为投标人质疑成立或者可能影响中标结果的，按照以下情况处理：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30.12.1对招标文件提出的质疑，通过澄清或者修改可以继续开展采购活动；否则应当修改招标文件后重新开展活动。</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30.12.2对招标过程、中标结果提出的质疑，合格投标人符合法定数量时，可以从合格的中标候选人中另行确定投标人的，应当另行确定中标人；否则应当重新开展招标活动。</w:t>
      </w:r>
    </w:p>
    <w:p>
      <w:pPr>
        <w:kinsoku w:val="0"/>
        <w:overflowPunct w:val="0"/>
        <w:autoSpaceDE w:val="0"/>
        <w:autoSpaceDN w:val="0"/>
        <w:snapToGrid w:val="0"/>
        <w:spacing w:line="360" w:lineRule="auto"/>
        <w:ind w:firstLine="560"/>
        <w:rPr>
          <w:color w:val="000000" w:themeColor="text1"/>
          <w:szCs w:val="28"/>
          <w14:textFill>
            <w14:solidFill>
              <w14:schemeClr w14:val="tx1"/>
            </w14:solidFill>
          </w14:textFill>
        </w:rPr>
      </w:pPr>
      <w:r>
        <w:rPr>
          <w:color w:val="000000" w:themeColor="text1"/>
          <w:kern w:val="0"/>
          <w:szCs w:val="28"/>
          <w14:textFill>
            <w14:solidFill>
              <w14:schemeClr w14:val="tx1"/>
            </w14:solidFill>
          </w14:textFill>
        </w:rPr>
        <w:t>质疑答复导致中标结果改变的，山西省消防救援总队应当将有关</w:t>
      </w:r>
      <w:r>
        <w:rPr>
          <w:rFonts w:hint="eastAsia"/>
          <w:color w:val="000000" w:themeColor="text1"/>
          <w:kern w:val="0"/>
          <w:szCs w:val="28"/>
          <w14:textFill>
            <w14:solidFill>
              <w14:schemeClr w14:val="tx1"/>
            </w14:solidFill>
          </w14:textFill>
        </w:rPr>
        <w:t>资料</w:t>
      </w:r>
      <w:r>
        <w:rPr>
          <w:color w:val="000000" w:themeColor="text1"/>
          <w:kern w:val="0"/>
          <w:szCs w:val="28"/>
          <w14:textFill>
            <w14:solidFill>
              <w14:schemeClr w14:val="tx1"/>
            </w14:solidFill>
          </w14:textFill>
        </w:rPr>
        <w:t>书面报告相关部门。</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30.13质疑投标人对采购代理机构的答复不满意，或者采购代理机构未在规定的时间内做出答复的，可以在答复期满后15个工作日内向本级财政部门投诉。</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30.14接受质疑的联系方式：</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联系单位：</w:t>
      </w:r>
      <w:r>
        <w:rPr>
          <w:color w:val="000000" w:themeColor="text1"/>
          <w:szCs w:val="28"/>
          <w:shd w:val="clear" w:color="auto" w:fill="FFFFFF"/>
          <w14:textFill>
            <w14:solidFill>
              <w14:schemeClr w14:val="tx1"/>
            </w14:solidFill>
          </w14:textFill>
        </w:rPr>
        <w:t>山西省消防救援总队</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单位地址：</w:t>
      </w:r>
      <w:r>
        <w:rPr>
          <w:color w:val="000000" w:themeColor="text1"/>
          <w:szCs w:val="28"/>
          <w:shd w:val="clear" w:color="auto" w:fill="FFFFFF"/>
          <w14:textFill>
            <w14:solidFill>
              <w14:schemeClr w14:val="tx1"/>
            </w14:solidFill>
          </w14:textFill>
        </w:rPr>
        <w:t>山西省太原市迎泽区桃园南路59号</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联系人：白先生</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联系电话：0351-3135119</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30.15接受投诉的联系方式：</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本级财政部门：财政部</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地址：北京市西城区月坛北小街13号中船宾馆北楼四层8401室、8403室</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受理电话：010-68513070、010-68519967</w:t>
      </w:r>
    </w:p>
    <w:p>
      <w:pPr>
        <w:pStyle w:val="4"/>
        <w:ind w:firstLine="562" w:firstLineChars="200"/>
        <w:rPr>
          <w:rFonts w:ascii="Times New Roman" w:hAnsi="Times New Roman"/>
          <w:color w:val="000000" w:themeColor="text1"/>
          <w:szCs w:val="28"/>
          <w14:textFill>
            <w14:solidFill>
              <w14:schemeClr w14:val="tx1"/>
            </w14:solidFill>
          </w14:textFill>
        </w:rPr>
      </w:pPr>
      <w:bookmarkStart w:id="27" w:name="_Toc9111"/>
      <w:bookmarkStart w:id="28" w:name="_Toc9380"/>
      <w:r>
        <w:rPr>
          <w:rFonts w:ascii="Times New Roman" w:hAnsi="Times New Roman"/>
          <w:color w:val="000000" w:themeColor="text1"/>
          <w:szCs w:val="28"/>
          <w14:textFill>
            <w14:solidFill>
              <w14:schemeClr w14:val="tx1"/>
            </w14:solidFill>
          </w14:textFill>
        </w:rPr>
        <w:t>十一、违约处罚</w:t>
      </w:r>
      <w:bookmarkEnd w:id="27"/>
      <w:bookmarkEnd w:id="28"/>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31.发生下列情况之一，投标人的投标保证金将被没收，并可能被列入不良记录名单，投标人今后参与同类政府采购项目的机会可能会受到影响：</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（1）开标后在投标有效期内，投标人撤回其投标；</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（2）在评标期间，投标人企图影响采购</w:t>
      </w:r>
      <w:r>
        <w:rPr>
          <w:rFonts w:hint="eastAsia"/>
          <w:color w:val="000000" w:themeColor="text1"/>
          <w:kern w:val="0"/>
          <w:szCs w:val="28"/>
          <w14:textFill>
            <w14:solidFill>
              <w14:schemeClr w14:val="tx1"/>
            </w14:solidFill>
          </w14:textFill>
        </w:rPr>
        <w:t>代理</w:t>
      </w:r>
      <w:r>
        <w:rPr>
          <w:color w:val="000000" w:themeColor="text1"/>
          <w:kern w:val="0"/>
          <w:szCs w:val="28"/>
          <w14:textFill>
            <w14:solidFill>
              <w14:schemeClr w14:val="tx1"/>
            </w14:solidFill>
          </w14:textFill>
        </w:rPr>
        <w:t>机构或评标委员会的任何活动，将导致投标被拒绝，并由其承担相应的法律责任</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（3）中标后，中标人未按本招标文件规定与采购人签订合同的</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（4）中标人与采购人订立背离合同实质性内容的其它协议；</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（5）</w:t>
      </w:r>
      <w:r>
        <w:rPr>
          <w:rFonts w:hint="eastAsia"/>
          <w:color w:val="000000" w:themeColor="text1"/>
          <w:kern w:val="0"/>
          <w:szCs w:val="28"/>
          <w14:textFill>
            <w14:solidFill>
              <w14:schemeClr w14:val="tx1"/>
            </w14:solidFill>
          </w14:textFill>
        </w:rPr>
        <w:t>中标</w:t>
      </w:r>
      <w:r>
        <w:rPr>
          <w:color w:val="000000" w:themeColor="text1"/>
          <w:kern w:val="0"/>
          <w:szCs w:val="28"/>
          <w14:textFill>
            <w14:solidFill>
              <w14:schemeClr w14:val="tx1"/>
            </w14:solidFill>
          </w14:textFill>
        </w:rPr>
        <w:t>人未按招标文件规定和合同约定履行义务的。</w:t>
      </w:r>
    </w:p>
    <w:p>
      <w:pPr>
        <w:pStyle w:val="4"/>
        <w:ind w:firstLine="562" w:firstLineChars="200"/>
        <w:rPr>
          <w:rFonts w:ascii="Times New Roman" w:hAnsi="Times New Roman"/>
          <w:color w:val="000000" w:themeColor="text1"/>
          <w:szCs w:val="28"/>
          <w14:textFill>
            <w14:solidFill>
              <w14:schemeClr w14:val="tx1"/>
            </w14:solidFill>
          </w14:textFill>
        </w:rPr>
      </w:pPr>
      <w:bookmarkStart w:id="29" w:name="_Toc1975"/>
      <w:bookmarkStart w:id="30" w:name="_Toc4881"/>
      <w:r>
        <w:rPr>
          <w:rFonts w:ascii="Times New Roman" w:hAnsi="Times New Roman"/>
          <w:color w:val="000000" w:themeColor="text1"/>
          <w:szCs w:val="28"/>
          <w14:textFill>
            <w14:solidFill>
              <w14:schemeClr w14:val="tx1"/>
            </w14:solidFill>
          </w14:textFill>
        </w:rPr>
        <w:t>十二、政策性因素</w:t>
      </w:r>
      <w:bookmarkEnd w:id="29"/>
      <w:bookmarkEnd w:id="30"/>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32.依据政府采购政策因素的相关规定，如果投标单位所提供的货物、服务、工程满足下述要求并经评标委员会全体成员集体认定通过，予以考虑执行。</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32.1 采购人拟采购产品为“计算机设备（台式计算机、便携式计算机和平板式微型计算机）、输入输出设备（激光打印机、针式打印机、液晶显示器）、制冷空调设备（制冷压缩机、空调机组、专用制冷空调设备）、镇流器（管型荧光灯镇流器）、生活用电器（空调机、电热水器）、照明设备（普通照明用双端荧光灯）、电视设备、视频设备、便器、水嘴”属于节能产品政府采购品目清单中以“★”标注的，为政府强制采购产品，投标人须提供国家确定的认证机构出具的、处于有效期之内的节能产品认证证书，否则按无效投标处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采购人拟采购产品属于节能产品政府采购品目清单范围中优先采购的产品（未以“★”标注的），投标人如提供了国家确定的认证机构出具的、处于有效期之内的节能产品认证证书，根据本招标文件评分标准，给予加分处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32.2 采购人拟采购产品属于《环境标志产品政府采购品目清单》范围中的，为优先采购的产品，投标人如提供了国家确定的认证机构出具的、处于有效期之内的环境标志产品认证证书，根据本招标文件评分标准，给予加分处理。</w:t>
      </w:r>
    </w:p>
    <w:p>
      <w:pPr>
        <w:kinsoku w:val="0"/>
        <w:overflowPunct w:val="0"/>
        <w:autoSpaceDE w:val="0"/>
        <w:autoSpaceDN w:val="0"/>
        <w:snapToGrid w:val="0"/>
        <w:spacing w:line="360" w:lineRule="auto"/>
        <w:ind w:firstLine="560"/>
        <w:rPr>
          <w:rFonts w:hint="eastAsia"/>
          <w:color w:val="000000" w:themeColor="text1"/>
          <w:kern w:val="0"/>
          <w:szCs w:val="28"/>
          <w14:textFill>
            <w14:solidFill>
              <w14:schemeClr w14:val="tx1"/>
            </w14:solidFill>
          </w14:textFill>
        </w:rPr>
      </w:pPr>
      <w:r>
        <w:rPr>
          <w:rFonts w:hint="eastAsia"/>
          <w:color w:val="000000" w:themeColor="text1"/>
          <w:kern w:val="0"/>
          <w:szCs w:val="28"/>
          <w14:textFill>
            <w14:solidFill>
              <w14:schemeClr w14:val="tx1"/>
            </w14:solidFill>
          </w14:textFill>
        </w:rPr>
        <w:t>32.3本项目所采购产品中如涉及操作系统或软件，必须预装正版操作系统或软件，否则投标无效。</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32.4采购货物中含信息安全产品，必须是列入财政部会同有关部门制定下发的《信息安全产品强制性认证目录》的产品，投标人须附中国信息安全认证中心按国家标准认证颁发的有效认证证书，否则投标无效。</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32.5小型和微型企业的评审要求</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依据财政部、工业和信息化部《关于印发&lt;政府采购促进中小企业发展管理办法&gt;的通知》（财库[2020]46号）、财政部《关于进一步加大政府采购支持中小企业力度的通知》（财库[2022]19号）、工业和信息化部、国家统计局、国家发展和改革委员会、财政部《关于印发中小企业划型标准规定的通知》（工信部联企业[2011]300号）文件规定，供应商提供的货物由小型或微型企业制造，即货物由小微企业生产且使用该小微企业商号或者注册商标，并按规定提交符合要求的《中小企业声明函》的，评标委员会对符合规定的小微企业报价给予10%的扣除，用扣除后的价格参加评审。</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注：</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（1）投标人按规定在投标文件中提供《中小企业声明函》的，应对声明的真实性负责。若提供虚假材料谋取中标、成交的，按照《中华人民共和国政府采购法》有关条款处理，并记入投标人诚信档案。</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w:t>
      </w:r>
      <w:r>
        <w:rPr>
          <w:color w:val="000000" w:themeColor="text1"/>
          <w:szCs w:val="28"/>
          <w14:textFill>
            <w14:solidFill>
              <w14:schemeClr w14:val="tx1"/>
            </w14:solidFill>
          </w14:textFill>
        </w:rPr>
        <w:t>供应商提供的货物既有小微企业制造货物，也有大型、中型企业制造货物的，不享受本办法规定的中小企业扶持政策。</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（4）</w:t>
      </w:r>
      <w:r>
        <w:rPr>
          <w:color w:val="000000" w:themeColor="text1"/>
          <w:szCs w:val="28"/>
          <w14:textFill>
            <w14:solidFill>
              <w14:schemeClr w14:val="tx1"/>
            </w14:solidFill>
          </w14:textFill>
        </w:rPr>
        <w:t>本项目各包</w:t>
      </w:r>
      <w:r>
        <w:rPr>
          <w:color w:val="000000" w:themeColor="text1"/>
          <w:kern w:val="0"/>
          <w:szCs w:val="28"/>
          <w14:textFill>
            <w14:solidFill>
              <w14:schemeClr w14:val="tx1"/>
            </w14:solidFill>
          </w14:textFill>
        </w:rPr>
        <w:t>采购标的对应的</w:t>
      </w:r>
      <w:r>
        <w:rPr>
          <w:rFonts w:hint="eastAsia"/>
          <w:color w:val="000000" w:themeColor="text1"/>
          <w:kern w:val="0"/>
          <w:szCs w:val="28"/>
          <w14:textFill>
            <w14:solidFill>
              <w14:schemeClr w14:val="tx1"/>
            </w14:solidFill>
          </w14:textFill>
        </w:rPr>
        <w:t>小微</w:t>
      </w:r>
      <w:r>
        <w:rPr>
          <w:color w:val="000000" w:themeColor="text1"/>
          <w:kern w:val="0"/>
          <w:szCs w:val="28"/>
          <w14:textFill>
            <w14:solidFill>
              <w14:schemeClr w14:val="tx1"/>
            </w14:solidFill>
          </w14:textFill>
        </w:rPr>
        <w:t>企业划分标准所属行业为：工业。</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32.6支持残疾人福利单位评审要求</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依据财政部、民政部、中国残疾人联合会《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注：符合条件的残疾人福利性单位在本项目采购活动时，应当提供《残疾人福利性单位声明函》，并对声明的真实性负责。若提供虚假材料谋取中标、成交的，按照《中华人民共和国政府采购法》有关条款处理，并记入投标人诚信档案。</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32.7支持监狱企业发展评审要求</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依据财政部、司法部《关于政府采购支持监狱企业发展有关问题的通知》(财库[2014]68号)规定，监狱企业视同小型、微型企业，享受预留份额、评审中价格扣除等政府采购促进中小企业发展的政府采购政策。</w:t>
      </w:r>
    </w:p>
    <w:p>
      <w:pPr>
        <w:kinsoku w:val="0"/>
        <w:overflowPunct w:val="0"/>
        <w:autoSpaceDE w:val="0"/>
        <w:autoSpaceDN w:val="0"/>
        <w:snapToGrid w:val="0"/>
        <w:spacing w:line="360" w:lineRule="auto"/>
        <w:ind w:firstLine="560"/>
        <w:rPr>
          <w:color w:val="000000" w:themeColor="text1"/>
          <w:szCs w:val="28"/>
          <w14:textFill>
            <w14:solidFill>
              <w14:schemeClr w14:val="tx1"/>
            </w14:solidFill>
          </w14:textFill>
        </w:rPr>
      </w:pPr>
      <w:r>
        <w:rPr>
          <w:color w:val="000000" w:themeColor="text1"/>
          <w:kern w:val="0"/>
          <w:szCs w:val="28"/>
          <w14:textFill>
            <w14:solidFill>
              <w14:schemeClr w14:val="tx1"/>
            </w14:solidFill>
          </w14:textFill>
        </w:rPr>
        <w:t>注：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kinsoku w:val="0"/>
        <w:overflowPunct w:val="0"/>
        <w:autoSpaceDE w:val="0"/>
        <w:autoSpaceDN w:val="0"/>
        <w:snapToGrid w:val="0"/>
        <w:spacing w:line="360" w:lineRule="auto"/>
        <w:ind w:firstLine="562"/>
        <w:rPr>
          <w:b/>
          <w:bCs/>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t>特别说明：</w:t>
      </w:r>
    </w:p>
    <w:p>
      <w:pPr>
        <w:kinsoku w:val="0"/>
        <w:overflowPunct w:val="0"/>
        <w:autoSpaceDE w:val="0"/>
        <w:autoSpaceDN w:val="0"/>
        <w:snapToGrid w:val="0"/>
        <w:spacing w:line="360" w:lineRule="auto"/>
        <w:ind w:firstLine="562"/>
        <w:rPr>
          <w:b/>
          <w:bCs/>
          <w:color w:val="000000" w:themeColor="text1"/>
          <w:kern w:val="0"/>
          <w:szCs w:val="28"/>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1</w:t>
      </w:r>
      <w:r>
        <w:rPr>
          <w:rFonts w:hint="eastAsia"/>
          <w:b/>
          <w:bCs/>
          <w:color w:val="000000" w:themeColor="text1"/>
          <w:kern w:val="0"/>
          <w:szCs w:val="28"/>
          <w14:textFill>
            <w14:solidFill>
              <w14:schemeClr w14:val="tx1"/>
            </w14:solidFill>
          </w14:textFill>
        </w:rPr>
        <w:t>.如果本项目采购包不专门面向中小企业采购（或不专门面向小微企业采购），</w:t>
      </w:r>
      <w:r>
        <w:rPr>
          <w:b/>
          <w:bCs/>
          <w:color w:val="000000" w:themeColor="text1"/>
          <w:kern w:val="0"/>
          <w:szCs w:val="28"/>
          <w14:textFill>
            <w14:solidFill>
              <w14:schemeClr w14:val="tx1"/>
            </w14:solidFill>
          </w14:textFill>
        </w:rPr>
        <w:t>若供应商提供的货物全部由符合政策要求的小微企业制造，享受</w:t>
      </w:r>
      <w:r>
        <w:rPr>
          <w:rFonts w:hint="eastAsia"/>
          <w:b/>
          <w:bCs/>
          <w:color w:val="000000" w:themeColor="text1"/>
          <w:kern w:val="0"/>
          <w:szCs w:val="28"/>
          <w14:textFill>
            <w14:solidFill>
              <w14:schemeClr w14:val="tx1"/>
            </w14:solidFill>
          </w14:textFill>
        </w:rPr>
        <w:t>“</w:t>
      </w:r>
      <w:r>
        <w:rPr>
          <w:b/>
          <w:bCs/>
          <w:color w:val="000000" w:themeColor="text1"/>
          <w:kern w:val="0"/>
          <w:szCs w:val="28"/>
          <w14:textFill>
            <w14:solidFill>
              <w14:schemeClr w14:val="tx1"/>
            </w14:solidFill>
          </w14:textFill>
        </w:rPr>
        <w:t>十二、政策性因素</w:t>
      </w:r>
      <w:r>
        <w:rPr>
          <w:rFonts w:hint="eastAsia"/>
          <w:b/>
          <w:bCs/>
          <w:color w:val="000000" w:themeColor="text1"/>
          <w:kern w:val="0"/>
          <w:szCs w:val="28"/>
          <w14:textFill>
            <w14:solidFill>
              <w14:schemeClr w14:val="tx1"/>
            </w14:solidFill>
          </w14:textFill>
        </w:rPr>
        <w:t>”</w:t>
      </w:r>
      <w:r>
        <w:rPr>
          <w:b/>
          <w:bCs/>
          <w:color w:val="000000" w:themeColor="text1"/>
          <w:kern w:val="0"/>
          <w:szCs w:val="28"/>
          <w14:textFill>
            <w14:solidFill>
              <w14:schemeClr w14:val="tx1"/>
            </w14:solidFill>
          </w14:textFill>
        </w:rPr>
        <w:t>所述价格评审优惠政策。</w:t>
      </w:r>
    </w:p>
    <w:p>
      <w:pPr>
        <w:kinsoku w:val="0"/>
        <w:overflowPunct w:val="0"/>
        <w:autoSpaceDE w:val="0"/>
        <w:autoSpaceDN w:val="0"/>
        <w:snapToGrid w:val="0"/>
        <w:spacing w:line="360" w:lineRule="auto"/>
        <w:ind w:firstLine="562"/>
        <w:rPr>
          <w:b/>
          <w:bCs/>
          <w:color w:val="000000" w:themeColor="text1"/>
          <w:kern w:val="0"/>
          <w:szCs w:val="28"/>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2</w:t>
      </w:r>
      <w:r>
        <w:rPr>
          <w:rFonts w:hint="eastAsia"/>
          <w:b/>
          <w:bCs/>
          <w:color w:val="000000" w:themeColor="text1"/>
          <w:kern w:val="0"/>
          <w:szCs w:val="28"/>
          <w14:textFill>
            <w14:solidFill>
              <w14:schemeClr w14:val="tx1"/>
            </w14:solidFill>
          </w14:textFill>
        </w:rPr>
        <w:t>.供应商享受了小微企业价格评审优惠政策，同时是监狱企业或残疾人福利性单位，其价格评审优惠政策不再重复享受。</w:t>
      </w:r>
    </w:p>
    <w:p>
      <w:pPr>
        <w:kinsoku w:val="0"/>
        <w:overflowPunct w:val="0"/>
        <w:autoSpaceDE w:val="0"/>
        <w:autoSpaceDN w:val="0"/>
        <w:snapToGrid w:val="0"/>
        <w:spacing w:line="360" w:lineRule="auto"/>
        <w:ind w:firstLine="562"/>
        <w:rPr>
          <w:b/>
          <w:bCs/>
          <w:color w:val="000000" w:themeColor="text1"/>
          <w:kern w:val="0"/>
          <w:szCs w:val="28"/>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3</w:t>
      </w:r>
      <w:r>
        <w:rPr>
          <w:b/>
          <w:bCs/>
          <w:color w:val="000000" w:themeColor="text1"/>
          <w:kern w:val="0"/>
          <w:szCs w:val="28"/>
          <w14:textFill>
            <w14:solidFill>
              <w14:schemeClr w14:val="tx1"/>
            </w14:solidFill>
          </w14:textFill>
        </w:rPr>
        <w:t>.格式见招标文件第</w:t>
      </w:r>
      <w:r>
        <w:rPr>
          <w:rFonts w:hint="eastAsia"/>
          <w:b/>
          <w:bCs/>
          <w:color w:val="000000" w:themeColor="text1"/>
          <w:kern w:val="0"/>
          <w:szCs w:val="28"/>
          <w14:textFill>
            <w14:solidFill>
              <w14:schemeClr w14:val="tx1"/>
            </w14:solidFill>
          </w14:textFill>
        </w:rPr>
        <w:t>六</w:t>
      </w:r>
      <w:r>
        <w:rPr>
          <w:b/>
          <w:bCs/>
          <w:color w:val="000000" w:themeColor="text1"/>
          <w:kern w:val="0"/>
          <w:szCs w:val="28"/>
          <w14:textFill>
            <w14:solidFill>
              <w14:schemeClr w14:val="tx1"/>
            </w14:solidFill>
          </w14:textFill>
        </w:rPr>
        <w:t>部分</w:t>
      </w:r>
      <w:r>
        <w:rPr>
          <w:rFonts w:hint="eastAsia"/>
          <w:b/>
          <w:bCs/>
          <w:color w:val="000000" w:themeColor="text1"/>
          <w:kern w:val="0"/>
          <w:szCs w:val="28"/>
          <w14:textFill>
            <w14:solidFill>
              <w14:schemeClr w14:val="tx1"/>
            </w14:solidFill>
          </w14:textFill>
        </w:rPr>
        <w:t>。</w:t>
      </w:r>
    </w:p>
    <w:p>
      <w:pPr>
        <w:rPr>
          <w:color w:val="000000" w:themeColor="text1"/>
          <w14:textFill>
            <w14:solidFill>
              <w14:schemeClr w14:val="tx1"/>
            </w14:solidFill>
          </w14:textFill>
        </w:rPr>
      </w:pPr>
    </w:p>
    <w:p>
      <w:pPr>
        <w:kinsoku w:val="0"/>
        <w:overflowPunct w:val="0"/>
        <w:autoSpaceDE w:val="0"/>
        <w:autoSpaceDN w:val="0"/>
        <w:snapToGrid w:val="0"/>
        <w:spacing w:line="360" w:lineRule="auto"/>
        <w:ind w:firstLine="0" w:firstLineChars="0"/>
        <w:rPr>
          <w:color w:val="000000" w:themeColor="text1"/>
          <w:kern w:val="0"/>
          <w:szCs w:val="28"/>
          <w14:textFill>
            <w14:solidFill>
              <w14:schemeClr w14:val="tx1"/>
            </w14:solidFill>
          </w14:textFill>
        </w:rPr>
      </w:pPr>
      <w:bookmarkStart w:id="31" w:name="_Toc86202581"/>
    </w:p>
    <w:bookmarkEnd w:id="31"/>
    <w:p>
      <w:pPr>
        <w:kinsoku w:val="0"/>
        <w:overflowPunct w:val="0"/>
        <w:autoSpaceDE w:val="0"/>
        <w:autoSpaceDN w:val="0"/>
        <w:snapToGrid w:val="0"/>
        <w:spacing w:line="360" w:lineRule="auto"/>
        <w:ind w:firstLine="562"/>
        <w:rPr>
          <w:b/>
          <w:bCs/>
          <w:color w:val="000000" w:themeColor="text1"/>
          <w:kern w:val="0"/>
          <w:szCs w:val="28"/>
          <w14:textFill>
            <w14:solidFill>
              <w14:schemeClr w14:val="tx1"/>
            </w14:solidFill>
          </w14:textFill>
        </w:rPr>
      </w:pPr>
      <w:bookmarkStart w:id="32" w:name="_Toc175644026"/>
    </w:p>
    <w:p>
      <w:pPr>
        <w:ind w:firstLine="560"/>
        <w:rPr>
          <w:color w:val="000000" w:themeColor="text1"/>
          <w14:textFill>
            <w14:solidFill>
              <w14:schemeClr w14:val="tx1"/>
            </w14:solidFill>
          </w14:textFill>
        </w:rPr>
      </w:pPr>
      <w:bookmarkStart w:id="33" w:name="_Toc25059"/>
      <w:bookmarkStart w:id="34" w:name="_Toc20481"/>
      <w:r>
        <w:rPr>
          <w:color w:val="000000" w:themeColor="text1"/>
          <w14:textFill>
            <w14:solidFill>
              <w14:schemeClr w14:val="tx1"/>
            </w14:solidFill>
          </w14:textFill>
        </w:rPr>
        <w:br w:type="page"/>
      </w:r>
    </w:p>
    <w:p>
      <w:pPr>
        <w:pStyle w:val="3"/>
        <w:ind w:firstLineChars="0"/>
        <w:rPr>
          <w:color w:val="000000" w:themeColor="text1"/>
          <w14:textFill>
            <w14:solidFill>
              <w14:schemeClr w14:val="tx1"/>
            </w14:solidFill>
          </w14:textFill>
        </w:rPr>
      </w:pPr>
      <w:bookmarkStart w:id="35" w:name="_Toc14196"/>
      <w:r>
        <w:rPr>
          <w:color w:val="000000" w:themeColor="text1"/>
          <w14:textFill>
            <w14:solidFill>
              <w14:schemeClr w14:val="tx1"/>
            </w14:solidFill>
          </w14:textFill>
        </w:rPr>
        <w:t>第三部分 评标标准和评标方法</w:t>
      </w:r>
      <w:bookmarkEnd w:id="32"/>
      <w:bookmarkEnd w:id="33"/>
      <w:bookmarkEnd w:id="34"/>
      <w:bookmarkEnd w:id="35"/>
    </w:p>
    <w:p>
      <w:pPr>
        <w:ind w:firstLine="0" w:firstLineChars="0"/>
        <w:rPr>
          <w:color w:val="000000" w:themeColor="text1"/>
          <w14:textFill>
            <w14:solidFill>
              <w14:schemeClr w14:val="tx1"/>
            </w14:solidFill>
          </w14:textFill>
        </w:rPr>
      </w:pPr>
    </w:p>
    <w:p>
      <w:pPr>
        <w:kinsoku w:val="0"/>
        <w:overflowPunct w:val="0"/>
        <w:autoSpaceDE w:val="0"/>
        <w:autoSpaceDN w:val="0"/>
        <w:snapToGrid w:val="0"/>
        <w:spacing w:line="360" w:lineRule="auto"/>
        <w:ind w:firstLine="562"/>
        <w:rPr>
          <w:b/>
          <w:color w:val="000000" w:themeColor="text1"/>
          <w:kern w:val="0"/>
          <w:szCs w:val="28"/>
          <w14:textFill>
            <w14:solidFill>
              <w14:schemeClr w14:val="tx1"/>
            </w14:solidFill>
          </w14:textFill>
        </w:rPr>
      </w:pPr>
      <w:bookmarkStart w:id="36" w:name="_Toc175644027"/>
      <w:bookmarkStart w:id="37" w:name="_Toc175644030"/>
      <w:r>
        <w:rPr>
          <w:b/>
          <w:color w:val="000000" w:themeColor="text1"/>
          <w:kern w:val="0"/>
          <w:szCs w:val="28"/>
          <w14:textFill>
            <w14:solidFill>
              <w14:schemeClr w14:val="tx1"/>
            </w14:solidFill>
          </w14:textFill>
        </w:rPr>
        <w:t>一、评标原则</w:t>
      </w:r>
      <w:bookmarkEnd w:id="36"/>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评标委员会在评标时，依据投标报价和各项技术、服务因素对投标人及投标货物进行综合评价，包括但不限于以下各项因素：</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报价及折扣，包括运费和保险（货物从出厂地／到货港运抵指定交货地点所发生的内陆运费、保险费及其它相关费用的计算将按照铁路／公路等交通部门、保险公司或其它官方机构发布的计算标准进行计算）等费用；</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货物的性能和投标方案的合理性；</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货物的配置与招标文件技术规格要求的偏离；</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付款条件；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交货和配送能力的承诺，包括交货时间（货物应在招标文件规定的时间范围内交货，交货时间超过采购人可接受的时间范围的投标将视为非实质响应投标）等；</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售后服务和备件供应（在保修期内所需的费用如果是单独报价的话，评标时应计入评标价；在保修期满后的服务费用应在投标文件中列明，但不包含在评标价中）以及其他有附加值的服务承诺；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经营信誉；</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投标人提供的其它内容和条件。</w:t>
      </w:r>
    </w:p>
    <w:p>
      <w:pPr>
        <w:kinsoku w:val="0"/>
        <w:overflowPunct w:val="0"/>
        <w:autoSpaceDE w:val="0"/>
        <w:autoSpaceDN w:val="0"/>
        <w:snapToGrid w:val="0"/>
        <w:spacing w:line="360" w:lineRule="auto"/>
        <w:ind w:firstLine="562"/>
        <w:rPr>
          <w:b/>
          <w:color w:val="000000" w:themeColor="text1"/>
          <w:kern w:val="0"/>
          <w:szCs w:val="28"/>
          <w14:textFill>
            <w14:solidFill>
              <w14:schemeClr w14:val="tx1"/>
            </w14:solidFill>
          </w14:textFill>
        </w:rPr>
      </w:pPr>
      <w:bookmarkStart w:id="38" w:name="_Toc175644028"/>
      <w:r>
        <w:rPr>
          <w:b/>
          <w:color w:val="000000" w:themeColor="text1"/>
          <w:kern w:val="0"/>
          <w:szCs w:val="28"/>
          <w14:textFill>
            <w14:solidFill>
              <w14:schemeClr w14:val="tx1"/>
            </w14:solidFill>
          </w14:textFill>
        </w:rPr>
        <w:t>二、评标方法</w:t>
      </w:r>
      <w:bookmarkEnd w:id="38"/>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本次评标采用综合评分法。综合评分因素的主要因素为价格、技术、业绩、服务以及对招标文件的响应程度等。每一投标人的最终得分为所有评委评分的算</w:t>
      </w:r>
      <w:r>
        <w:rPr>
          <w:rFonts w:hint="eastAsia"/>
          <w:color w:val="000000" w:themeColor="text1"/>
          <w:kern w:val="0"/>
          <w:szCs w:val="28"/>
          <w14:textFill>
            <w14:solidFill>
              <w14:schemeClr w14:val="tx1"/>
            </w14:solidFill>
          </w14:textFill>
        </w:rPr>
        <w:t>术</w:t>
      </w:r>
      <w:r>
        <w:rPr>
          <w:color w:val="000000" w:themeColor="text1"/>
          <w:kern w:val="0"/>
          <w:szCs w:val="28"/>
          <w14:textFill>
            <w14:solidFill>
              <w14:schemeClr w14:val="tx1"/>
            </w14:solidFill>
          </w14:textFill>
        </w:rPr>
        <w:t>平均值。</w:t>
      </w:r>
      <w:bookmarkEnd w:id="37"/>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ind w:firstLine="562"/>
        <w:rPr>
          <w:rStyle w:val="17"/>
          <w:rFonts w:ascii="Times New Roman" w:hAnsi="Times New Roman"/>
          <w:color w:val="000000" w:themeColor="text1"/>
          <w14:textFill>
            <w14:solidFill>
              <w14:schemeClr w14:val="tx1"/>
            </w14:solidFill>
          </w14:textFill>
        </w:rPr>
      </w:pPr>
      <w:bookmarkStart w:id="39" w:name="_Toc17165"/>
      <w:r>
        <w:rPr>
          <w:rStyle w:val="17"/>
          <w:rFonts w:ascii="Times New Roman" w:hAnsi="Times New Roman"/>
          <w:color w:val="000000" w:themeColor="text1"/>
          <w14:textFill>
            <w14:solidFill>
              <w14:schemeClr w14:val="tx1"/>
            </w14:solidFill>
          </w14:textFill>
        </w:rPr>
        <w:br w:type="page"/>
      </w:r>
    </w:p>
    <w:bookmarkEnd w:id="39"/>
    <w:p>
      <w:pPr>
        <w:pStyle w:val="3"/>
        <w:ind w:firstLine="562"/>
        <w:rPr>
          <w:color w:val="000000" w:themeColor="text1"/>
          <w14:textFill>
            <w14:solidFill>
              <w14:schemeClr w14:val="tx1"/>
            </w14:solidFill>
          </w14:textFill>
        </w:rPr>
        <w:sectPr>
          <w:footerReference r:id="rId13" w:type="default"/>
          <w:pgSz w:w="11905" w:h="16838"/>
          <w:pgMar w:top="1440" w:right="1803" w:bottom="1440" w:left="1803" w:header="850" w:footer="992" w:gutter="0"/>
          <w:pgNumType w:start="1"/>
          <w:cols w:space="0" w:num="1"/>
          <w:docGrid w:linePitch="312" w:charSpace="0"/>
        </w:sectPr>
      </w:pPr>
      <w:bookmarkStart w:id="40" w:name="_Toc25134"/>
      <w:bookmarkStart w:id="41" w:name="_Toc15026"/>
    </w:p>
    <w:p>
      <w:pPr>
        <w:pStyle w:val="4"/>
        <w:bidi w:val="0"/>
      </w:pPr>
      <w:bookmarkStart w:id="42" w:name="_Toc25105"/>
      <w:r>
        <w:t>包</w:t>
      </w:r>
      <w:r>
        <w:rPr>
          <w:rFonts w:hint="eastAsia"/>
        </w:rPr>
        <w:t>17</w:t>
      </w:r>
      <w:r>
        <w:t>“</w:t>
      </w:r>
      <w:r>
        <w:rPr>
          <w:rFonts w:hint="eastAsia"/>
        </w:rPr>
        <w:t>盥洗车</w:t>
      </w:r>
      <w:r>
        <w:t>”评标标准和评标方法</w:t>
      </w:r>
      <w:bookmarkEnd w:id="42"/>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14:textFill>
                  <w14:solidFill>
                    <w14:schemeClr w14:val="tx1"/>
                  </w14:solidFill>
                </w14:textFill>
              </w:rPr>
              <w:t>盥洗车</w:t>
            </w:r>
            <w:r>
              <w:rPr>
                <w:rFonts w:hint="eastAsia"/>
                <w:color w:val="000000" w:themeColor="text1"/>
                <w:sz w:val="24"/>
                <w:highlight w:val="none"/>
                <w:lang w:val="en-US" w:eastAsia="zh-CN"/>
                <w14:textFill>
                  <w14:solidFill>
                    <w14:schemeClr w14:val="tx1"/>
                  </w14:solidFill>
                </w14:textFill>
              </w:rPr>
              <w:t>或厕所车或移动卫生间</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color w:val="000000" w:themeColor="text1"/>
                <w:sz w:val="24"/>
                <w:highlight w:val="none"/>
                <w:lang w:eastAsia="zh-CN"/>
                <w14:textFill>
                  <w14:solidFill>
                    <w14:schemeClr w14:val="tx1"/>
                  </w14:solidFill>
                </w14:textFill>
              </w:rPr>
              <w:t>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3项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合计24分，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合计22分，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超过22项不满足，得0分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color w:val="000000" w:themeColor="text1"/>
                <w:sz w:val="24"/>
                <w:highlight w:val="none"/>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lang w:val="en-US" w:eastAsia="zh-CN"/>
                <w14:textFill>
                  <w14:solidFill>
                    <w14:schemeClr w14:val="tx1"/>
                  </w14:solidFill>
                </w14:textFill>
              </w:rPr>
              <w:t>无</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43" w:name="_Toc2599"/>
      <w:r>
        <w:t>包</w:t>
      </w:r>
      <w:r>
        <w:rPr>
          <w:rFonts w:hint="eastAsia"/>
        </w:rPr>
        <w:t>18</w:t>
      </w:r>
      <w:r>
        <w:t>“被服洗涤车”评标标准和评标方法</w:t>
      </w:r>
      <w:bookmarkEnd w:id="43"/>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22.5</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被服洗涤车</w:t>
            </w:r>
            <w:r>
              <w:rPr>
                <w:rFonts w:hint="eastAsia"/>
                <w:color w:val="000000" w:themeColor="text1"/>
                <w:sz w:val="24"/>
                <w:highlight w:val="none"/>
                <w14:textFill>
                  <w14:solidFill>
                    <w14:schemeClr w14:val="tx1"/>
                  </w14:solidFill>
                </w14:textFill>
              </w:rPr>
              <w:t>类</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9"/>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9"/>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2.5</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45.5</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1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45.5</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7</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合计25.5分，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1.5</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highlight w:val="none"/>
                <w14:textFill>
                  <w14:solidFill>
                    <w14:schemeClr w14:val="tx1"/>
                  </w14:solidFill>
                </w14:textFill>
              </w:rPr>
              <w:t>1.2.2</w:t>
            </w:r>
            <w:r>
              <w:rPr>
                <w:rFonts w:hint="eastAsia"/>
                <w:color w:val="000000" w:themeColor="text1"/>
                <w:sz w:val="24"/>
                <w:highlight w:val="none"/>
                <w14:textFill>
                  <w14:solidFill>
                    <w14:schemeClr w14:val="tx1"/>
                  </w14:solidFill>
                </w14:textFill>
              </w:rPr>
              <w:t>未标注“★”和“▲”的技术要求</w:t>
            </w:r>
            <w:r>
              <w:rPr>
                <w:rFonts w:hint="eastAsia"/>
                <w:color w:val="000000" w:themeColor="text1"/>
                <w:sz w:val="24"/>
                <w:highlight w:val="none"/>
                <w:lang w:val="en-US" w:eastAsia="zh-CN"/>
                <w14:textFill>
                  <w14:solidFill>
                    <w14:schemeClr w14:val="tx1"/>
                  </w14:solidFill>
                </w14:textFill>
              </w:rPr>
              <w:t>合计20分，</w:t>
            </w:r>
            <w:r>
              <w:rPr>
                <w:rFonts w:hint="eastAsia"/>
                <w:color w:val="000000" w:themeColor="text1"/>
                <w:sz w:val="24"/>
                <w:highlight w:val="none"/>
                <w14:textFill>
                  <w14:solidFill>
                    <w14:schemeClr w14:val="tx1"/>
                  </w14:solidFill>
                </w14:textFill>
              </w:rPr>
              <w:t>有1项不满足的扣</w:t>
            </w:r>
            <w:r>
              <w:rPr>
                <w:rFonts w:hint="eastAsia"/>
                <w:color w:val="000000" w:themeColor="text1"/>
                <w:sz w:val="24"/>
                <w:highlight w:val="none"/>
                <w:lang w:val="en-US" w:eastAsia="zh-CN"/>
                <w14:textFill>
                  <w14:solidFill>
                    <w14:schemeClr w14:val="tx1"/>
                  </w14:solidFill>
                </w14:textFill>
              </w:rPr>
              <w:t>1</w:t>
            </w:r>
            <w:r>
              <w:rPr>
                <w:rFonts w:hint="eastAsia"/>
                <w:color w:val="000000" w:themeColor="text1"/>
                <w:sz w:val="24"/>
                <w:highlight w:val="none"/>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超过20项不满足，得0分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rFonts w:hint="eastAsia" w:eastAsia="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1.3加分项：</w:t>
            </w:r>
            <w:r>
              <w:rPr>
                <w:rFonts w:hint="eastAsia"/>
                <w:color w:val="000000" w:themeColor="text1"/>
                <w:sz w:val="24"/>
                <w:highlight w:val="none"/>
                <w:lang w:val="en-US" w:eastAsia="zh-CN"/>
                <w14:textFill>
                  <w14:solidFill>
                    <w14:schemeClr w14:val="tx1"/>
                  </w14:solidFill>
                </w14:textFill>
              </w:rPr>
              <w:t>无。</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4"/>
        <w:bidi w:val="0"/>
      </w:pPr>
      <w:bookmarkStart w:id="44" w:name="_Toc22993"/>
      <w:r>
        <w:t>包</w:t>
      </w:r>
      <w:r>
        <w:rPr>
          <w:rFonts w:hint="eastAsia"/>
        </w:rPr>
        <w:t>19</w:t>
      </w:r>
      <w:r>
        <w:t>“</w:t>
      </w:r>
      <w:r>
        <w:rPr>
          <w:rFonts w:hint="eastAsia"/>
        </w:rPr>
        <w:t>运兵车</w:t>
      </w:r>
      <w:r>
        <w:t>”评标标准和评标方法</w:t>
      </w:r>
      <w:bookmarkEnd w:id="44"/>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22.5</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运兵车</w:t>
            </w:r>
            <w:r>
              <w:rPr>
                <w:rFonts w:hint="eastAsia"/>
                <w:color w:val="000000" w:themeColor="text1"/>
                <w:sz w:val="24"/>
                <w:highlight w:val="none"/>
                <w:lang w:val="en-US" w:eastAsia="zh-CN"/>
                <w14:textFill>
                  <w14:solidFill>
                    <w14:schemeClr w14:val="tx1"/>
                  </w14:solidFill>
                </w14:textFill>
              </w:rPr>
              <w:t xml:space="preserve">类或大型客车类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1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1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1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1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1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1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12"/>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12"/>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2.5</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45.5</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 xml:space="preserve"> 2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45.5</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lang w:val="en-US" w:eastAsia="zh-CN"/>
                <w14:textFill>
                  <w14:solidFill>
                    <w14:schemeClr w14:val="tx1"/>
                  </w14:solidFill>
                </w14:textFill>
              </w:rPr>
              <w:t>8</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合计20分，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2.5</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1.2.2</w:t>
            </w:r>
            <w:r>
              <w:rPr>
                <w:rFonts w:hint="eastAsia"/>
                <w:color w:val="000000" w:themeColor="text1"/>
                <w:sz w:val="24"/>
                <w:highlight w:val="none"/>
                <w14:textFill>
                  <w14:solidFill>
                    <w14:schemeClr w14:val="tx1"/>
                  </w14:solidFill>
                </w14:textFill>
              </w:rPr>
              <w:t>未标注“★”和“▲”的技术要求</w:t>
            </w:r>
            <w:r>
              <w:rPr>
                <w:rFonts w:hint="eastAsia"/>
                <w:color w:val="000000" w:themeColor="text1"/>
                <w:sz w:val="24"/>
                <w:highlight w:val="none"/>
                <w:lang w:val="en-US" w:eastAsia="zh-CN"/>
                <w14:textFill>
                  <w14:solidFill>
                    <w14:schemeClr w14:val="tx1"/>
                  </w14:solidFill>
                </w14:textFill>
              </w:rPr>
              <w:t>合计25.5分，</w:t>
            </w:r>
            <w:r>
              <w:rPr>
                <w:rFonts w:hint="eastAsia"/>
                <w:color w:val="000000" w:themeColor="text1"/>
                <w:sz w:val="24"/>
                <w:highlight w:val="none"/>
                <w14:textFill>
                  <w14:solidFill>
                    <w14:schemeClr w14:val="tx1"/>
                  </w14:solidFill>
                </w14:textFill>
              </w:rPr>
              <w:t>有1项不满足的扣</w:t>
            </w:r>
            <w:r>
              <w:rPr>
                <w:rFonts w:hint="eastAsia"/>
                <w:color w:val="000000" w:themeColor="text1"/>
                <w:sz w:val="24"/>
                <w:highlight w:val="none"/>
                <w:lang w:val="en-US" w:eastAsia="zh-CN"/>
                <w14:textFill>
                  <w14:solidFill>
                    <w14:schemeClr w14:val="tx1"/>
                  </w14:solidFill>
                </w14:textFill>
              </w:rPr>
              <w:t>1.5</w:t>
            </w:r>
            <w:r>
              <w:rPr>
                <w:rFonts w:hint="eastAsia"/>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超过17项不满足，得0分</w:t>
            </w:r>
            <w:r>
              <w:rPr>
                <w:rFonts w:hint="eastAsia"/>
                <w:color w:val="000000" w:themeColor="text1"/>
                <w:sz w:val="24"/>
                <w:highlight w:val="none"/>
                <w14:textFill>
                  <w14:solidFill>
                    <w14:schemeClr w14:val="tx1"/>
                  </w14:solidFill>
                </w14:textFill>
              </w:rPr>
              <w:t>。</w:t>
            </w:r>
          </w:p>
          <w:p>
            <w:pPr>
              <w:widowControl/>
              <w:adjustRightInd w:val="0"/>
              <w:snapToGrid w:val="0"/>
              <w:spacing w:line="460" w:lineRule="exact"/>
              <w:ind w:firstLine="0" w:firstLineChars="0"/>
              <w:rPr>
                <w:rFonts w:hint="eastAsia" w:eastAsia="宋体"/>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lang w:val="en-US" w:eastAsia="zh-CN"/>
                <w14:textFill>
                  <w14:solidFill>
                    <w14:schemeClr w14:val="tx1"/>
                  </w14:solidFill>
                </w14:textFill>
              </w:rPr>
              <w:t>无。</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45" w:name="_Toc5120"/>
      <w:r>
        <w:t>包</w:t>
      </w:r>
      <w:r>
        <w:rPr>
          <w:rFonts w:hint="eastAsia"/>
        </w:rPr>
        <w:t>20</w:t>
      </w:r>
      <w:r>
        <w:t>“装备维修车”评标标准和评标方法</w:t>
      </w:r>
      <w:bookmarkEnd w:id="45"/>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装备维修车</w:t>
            </w:r>
            <w:r>
              <w:rPr>
                <w:rFonts w:hint="eastAsia"/>
                <w:color w:val="000000" w:themeColor="text1"/>
                <w:sz w:val="24"/>
                <w:highlight w:val="none"/>
                <w14:textFill>
                  <w14:solidFill>
                    <w14:schemeClr w14:val="tx1"/>
                  </w14:solidFill>
                </w14:textFill>
              </w:rPr>
              <w:t>类</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1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1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1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1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1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1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15"/>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15"/>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3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合计24分，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合计22分，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超过22项不满足，得0分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rFonts w:hint="eastAsia" w:eastAsia="宋体"/>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lang w:val="en-US" w:eastAsia="zh-CN"/>
                <w14:textFill>
                  <w14:solidFill>
                    <w14:schemeClr w14:val="tx1"/>
                  </w14:solidFill>
                </w14:textFill>
              </w:rPr>
              <w:t>无。</w:t>
            </w:r>
          </w:p>
          <w:p>
            <w:pPr>
              <w:widowControl/>
              <w:adjustRightInd w:val="0"/>
              <w:snapToGrid w:val="0"/>
              <w:spacing w:line="460" w:lineRule="exact"/>
              <w:ind w:firstLine="0" w:firstLineChars="0"/>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46" w:name="_Toc10012"/>
      <w:r>
        <w:t>包</w:t>
      </w:r>
      <w:r>
        <w:rPr>
          <w:rFonts w:hint="eastAsia"/>
        </w:rPr>
        <w:t>21</w:t>
      </w:r>
      <w:r>
        <w:t>“水质净化车”评标标准和评标方法</w:t>
      </w:r>
      <w:bookmarkEnd w:id="46"/>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水质净化车</w:t>
            </w:r>
            <w:r>
              <w:rPr>
                <w:rFonts w:hint="eastAsia"/>
                <w:color w:val="000000" w:themeColor="text1"/>
                <w:sz w:val="24"/>
                <w:highlight w:val="none"/>
                <w:lang w:val="en-US" w:eastAsia="zh-CN"/>
                <w14:textFill>
                  <w14:solidFill>
                    <w14:schemeClr w14:val="tx1"/>
                  </w14:solidFill>
                </w14:textFill>
              </w:rPr>
              <w:t xml:space="preserve">类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1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1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1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1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1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1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1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1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2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highlight w:val="none"/>
                <w14:textFill>
                  <w14:solidFill>
                    <w14:schemeClr w14:val="tx1"/>
                  </w14:solidFill>
                </w14:textFill>
              </w:rPr>
              <w:t>1.2.1</w:t>
            </w:r>
            <w:r>
              <w:rPr>
                <w:color w:val="000000" w:themeColor="text1"/>
                <w:sz w:val="24"/>
                <w14:textFill>
                  <w14:solidFill>
                    <w14:schemeClr w14:val="tx1"/>
                  </w14:solidFill>
                </w14:textFill>
              </w:rPr>
              <w:t>标注“▲”的为重要技术要求，重要技术要求共计</w:t>
            </w:r>
            <w:r>
              <w:rPr>
                <w:rFonts w:hint="eastAsia"/>
                <w:color w:val="000000" w:themeColor="text1"/>
                <w:sz w:val="24"/>
                <w:lang w:val="en-US" w:eastAsia="zh-CN"/>
                <w14:textFill>
                  <w14:solidFill>
                    <w14:schemeClr w14:val="tx1"/>
                  </w14:solidFill>
                </w14:textFill>
              </w:rPr>
              <w:t>14</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合计21分，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1.5</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合计25分，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超过25项不满足，得0分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rFonts w:hint="eastAsia" w:eastAsia="宋体"/>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lang w:val="en-US" w:eastAsia="zh-CN"/>
                <w14:textFill>
                  <w14:solidFill>
                    <w14:schemeClr w14:val="tx1"/>
                  </w14:solidFill>
                </w14:textFill>
              </w:rPr>
              <w:t>无。</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47" w:name="_Toc12608"/>
      <w:r>
        <w:t>包</w:t>
      </w:r>
      <w:r>
        <w:rPr>
          <w:rFonts w:hint="eastAsia"/>
        </w:rPr>
        <w:t>22</w:t>
      </w:r>
      <w:r>
        <w:t>“潜水救援车”评标标准和评标方法</w:t>
      </w:r>
      <w:bookmarkEnd w:id="47"/>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潜水救援车类</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1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2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2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2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2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2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2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2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 xml:space="preserve"> 2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lang w:val="en-US" w:eastAsia="zh-CN"/>
                <w14:textFill>
                  <w14:solidFill>
                    <w14:schemeClr w14:val="tx1"/>
                  </w14:solidFill>
                </w14:textFill>
              </w:rPr>
              <w:t>24</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合计24分，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合计22分，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0.5</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超过44项不满足，得0分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color w:val="000000" w:themeColor="text1"/>
                <w:sz w:val="24"/>
                <w:highlight w:val="none"/>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lang w:val="en-US" w:eastAsia="zh-CN"/>
                <w14:textFill>
                  <w14:solidFill>
                    <w14:schemeClr w14:val="tx1"/>
                  </w14:solidFill>
                </w14:textFill>
              </w:rPr>
              <w:t>无</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48" w:name="_Toc28440"/>
      <w:r>
        <w:t>包</w:t>
      </w:r>
      <w:r>
        <w:rPr>
          <w:rFonts w:hint="eastAsia"/>
        </w:rPr>
        <w:t>23</w:t>
      </w:r>
      <w:r>
        <w:t>“大型排涝车A”评标标准和评标方法</w:t>
      </w:r>
      <w:bookmarkEnd w:id="48"/>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大型排涝车</w:t>
            </w:r>
            <w:r>
              <w:rPr>
                <w:rFonts w:hint="eastAsia"/>
                <w:color w:val="000000" w:themeColor="text1"/>
                <w:sz w:val="24"/>
                <w:highlight w:val="none"/>
                <w14:textFill>
                  <w14:solidFill>
                    <w14:schemeClr w14:val="tx1"/>
                  </w14:solidFill>
                </w14:textFill>
              </w:rPr>
              <w:t>类</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2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2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2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2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2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2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2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2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1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lang w:val="en-US" w:eastAsia="zh-CN"/>
                <w14:textFill>
                  <w14:solidFill>
                    <w14:schemeClr w14:val="tx1"/>
                  </w14:solidFill>
                </w14:textFill>
              </w:rPr>
              <w:t>16</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合计24分，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1.5</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合计22分，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超过22项不满足，得0分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color w:val="000000" w:themeColor="text1"/>
                <w:sz w:val="24"/>
                <w:highlight w:val="none"/>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highlight w:val="none"/>
                <w:lang w:val="en-US" w:eastAsia="zh-CN"/>
                <w14:textFill>
                  <w14:solidFill>
                    <w14:schemeClr w14:val="tx1"/>
                  </w14:solidFill>
                </w14:textFill>
              </w:rPr>
              <w:t>无</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widowControl/>
        <w:snapToGrid w:val="0"/>
        <w:spacing w:line="360" w:lineRule="auto"/>
        <w:ind w:firstLine="0" w:firstLineChars="0"/>
        <w:jc w:val="center"/>
        <w:outlineLvl w:val="0"/>
        <w:rPr>
          <w:b/>
          <w:bCs/>
          <w:color w:val="000000"/>
          <w:szCs w:val="28"/>
        </w:rPr>
      </w:pPr>
    </w:p>
    <w:p>
      <w:pPr>
        <w:widowControl/>
        <w:snapToGrid w:val="0"/>
        <w:spacing w:line="360" w:lineRule="auto"/>
        <w:ind w:firstLine="0" w:firstLineChars="0"/>
        <w:jc w:val="center"/>
        <w:outlineLvl w:val="0"/>
        <w:rPr>
          <w:b/>
          <w:bCs/>
          <w:color w:val="000000"/>
          <w:szCs w:val="28"/>
        </w:rPr>
      </w:pPr>
    </w:p>
    <w:p>
      <w:pPr>
        <w:widowControl/>
        <w:snapToGrid w:val="0"/>
        <w:spacing w:line="360" w:lineRule="auto"/>
        <w:ind w:firstLine="0" w:firstLineChars="0"/>
        <w:jc w:val="both"/>
        <w:outlineLvl w:val="0"/>
        <w:rPr>
          <w:b/>
          <w:bCs/>
          <w:color w:val="000000"/>
          <w:szCs w:val="28"/>
        </w:rPr>
      </w:pPr>
    </w:p>
    <w:p>
      <w:pPr>
        <w:widowControl/>
        <w:snapToGrid w:val="0"/>
        <w:spacing w:line="360" w:lineRule="auto"/>
        <w:ind w:firstLine="0" w:firstLineChars="0"/>
        <w:jc w:val="center"/>
        <w:outlineLvl w:val="0"/>
        <w:rPr>
          <w:b/>
          <w:bCs/>
          <w:color w:val="000000"/>
          <w:szCs w:val="28"/>
        </w:rPr>
      </w:pPr>
    </w:p>
    <w:p>
      <w:pPr>
        <w:pStyle w:val="4"/>
        <w:bidi w:val="0"/>
      </w:pPr>
      <w:bookmarkStart w:id="49" w:name="_Toc27833"/>
      <w:r>
        <w:t>包</w:t>
      </w:r>
      <w:r>
        <w:rPr>
          <w:rFonts w:hint="eastAsia"/>
        </w:rPr>
        <w:t>24</w:t>
      </w:r>
      <w:r>
        <w:t>“大型排涝车B”评标标准和评标方法</w:t>
      </w:r>
      <w:bookmarkEnd w:id="49"/>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大型排涝车</w:t>
            </w:r>
            <w:r>
              <w:rPr>
                <w:rFonts w:hint="eastAsia"/>
                <w:color w:val="000000" w:themeColor="text1"/>
                <w:sz w:val="24"/>
                <w:highlight w:val="none"/>
                <w14:textFill>
                  <w14:solidFill>
                    <w14:schemeClr w14:val="tx1"/>
                  </w14:solidFill>
                </w14:textFill>
              </w:rPr>
              <w:t>类</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2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2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2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2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2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27"/>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27"/>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27"/>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 xml:space="preserve"> 1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lang w:val="en-US" w:eastAsia="zh-CN"/>
                <w14:textFill>
                  <w14:solidFill>
                    <w14:schemeClr w14:val="tx1"/>
                  </w14:solidFill>
                </w14:textFill>
              </w:rPr>
              <w:t>10</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合计20分，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合计26分，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超过26项不满足，得0分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color w:val="000000" w:themeColor="text1"/>
                <w:sz w:val="24"/>
                <w:highlight w:val="none"/>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highlight w:val="none"/>
                <w:lang w:val="en-US" w:eastAsia="zh-CN"/>
                <w14:textFill>
                  <w14:solidFill>
                    <w14:schemeClr w14:val="tx1"/>
                  </w14:solidFill>
                </w14:textFill>
              </w:rPr>
              <w:t>无</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50" w:name="_Toc10891"/>
      <w:r>
        <w:t>包</w:t>
      </w:r>
      <w:r>
        <w:rPr>
          <w:rFonts w:hint="eastAsia"/>
        </w:rPr>
        <w:t>25</w:t>
      </w:r>
      <w:r>
        <w:t>“泡沫输转消防车”评标标准和评标方法</w:t>
      </w:r>
      <w:bookmarkEnd w:id="50"/>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泡沫输转消防车</w:t>
            </w:r>
            <w:r>
              <w:rPr>
                <w:rFonts w:hint="eastAsia"/>
                <w:color w:val="000000" w:themeColor="text1"/>
                <w:sz w:val="24"/>
                <w:highlight w:val="none"/>
                <w14:textFill>
                  <w14:solidFill>
                    <w14:schemeClr w14:val="tx1"/>
                  </w14:solidFill>
                </w14:textFill>
              </w:rPr>
              <w:t>类</w:t>
            </w:r>
            <w:r>
              <w:rPr>
                <w:rFonts w:hint="eastAsia"/>
                <w:color w:val="000000" w:themeColor="text1"/>
                <w:sz w:val="24"/>
                <w:highlight w:val="none"/>
                <w:lang w:val="en-US" w:eastAsia="zh-CN"/>
                <w14:textFill>
                  <w14:solidFill>
                    <w14:schemeClr w14:val="tx1"/>
                  </w14:solidFill>
                </w14:textFill>
              </w:rPr>
              <w:t xml:space="preserve">或供液类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28"/>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2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2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2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29"/>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30"/>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30"/>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30"/>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 xml:space="preserve"> 3 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36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highlight w:val="none"/>
                <w14:textFill>
                  <w14:solidFill>
                    <w14:schemeClr w14:val="tx1"/>
                  </w14:solidFill>
                </w14:textFill>
              </w:rPr>
              <w:t>1.2.1</w:t>
            </w:r>
            <w:r>
              <w:rPr>
                <w:color w:val="000000" w:themeColor="text1"/>
                <w:sz w:val="24"/>
                <w14:textFill>
                  <w14:solidFill>
                    <w14:schemeClr w14:val="tx1"/>
                  </w14:solidFill>
                </w14:textFill>
              </w:rPr>
              <w:t>标注“▲”的为重要技术要求，重要技术要求共计</w:t>
            </w: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合计22分，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合计14分，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超过14项不满足，得0分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1.3加分项：</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以下技术要求优于招标文件要求进行加分</w:t>
            </w:r>
            <w:r>
              <w:rPr>
                <w:rFonts w:hint="eastAsia"/>
                <w:color w:val="000000" w:themeColor="text1"/>
                <w:sz w:val="24"/>
                <w14:textFill>
                  <w14:solidFill>
                    <w14:schemeClr w14:val="tx1"/>
                  </w14:solidFill>
                </w14:textFill>
              </w:rPr>
              <w:t>，加分合计</w:t>
            </w:r>
            <w:r>
              <w:rPr>
                <w:rFonts w:hint="eastAsia"/>
                <w:color w:val="000000" w:themeColor="text1"/>
                <w:sz w:val="24"/>
                <w:lang w:val="en-US" w:eastAsia="zh-CN"/>
                <w14:textFill>
                  <w14:solidFill>
                    <w14:schemeClr w14:val="tx1"/>
                  </w14:solidFill>
                </w14:textFill>
              </w:rPr>
              <w:t>10</w:t>
            </w:r>
            <w:r>
              <w:rPr>
                <w:rFonts w:hint="eastAsia"/>
                <w:color w:val="000000" w:themeColor="text1"/>
                <w:sz w:val="24"/>
                <w14:textFill>
                  <w14:solidFill>
                    <w14:schemeClr w14:val="tx1"/>
                  </w14:solidFill>
                </w14:textFill>
              </w:rPr>
              <w:t>分</w:t>
            </w:r>
            <w:r>
              <w:rPr>
                <w:color w:val="000000" w:themeColor="text1"/>
                <w:sz w:val="24"/>
                <w14:textFill>
                  <w14:solidFill>
                    <w14:schemeClr w14:val="tx1"/>
                  </w14:solidFill>
                </w14:textFill>
              </w:rPr>
              <w:t>，加分项如下：</w:t>
            </w:r>
          </w:p>
          <w:p>
            <w:pPr>
              <w:widowControl/>
              <w:adjustRightInd w:val="0"/>
              <w:snapToGrid w:val="0"/>
              <w:spacing w:line="460" w:lineRule="exact"/>
              <w:ind w:firstLine="0" w:firstLineChars="0"/>
              <w:rPr>
                <w:color w:val="000000" w:themeColor="text1"/>
                <w:sz w:val="24"/>
                <w:highlight w:val="none"/>
                <w14:textFill>
                  <w14:solidFill>
                    <w14:schemeClr w14:val="tx1"/>
                  </w14:solidFill>
                </w14:textFill>
              </w:rPr>
            </w:pPr>
            <w:r>
              <w:rPr>
                <w:rFonts w:hint="default" w:ascii="Calibri" w:hAnsi="Calibri" w:cs="Calibri"/>
                <w:color w:val="000000" w:themeColor="text1"/>
                <w:sz w:val="24"/>
                <w14:textFill>
                  <w14:solidFill>
                    <w14:schemeClr w14:val="tx1"/>
                  </w14:solidFill>
                </w14:textFill>
              </w:rPr>
              <w:t>①</w:t>
            </w:r>
            <w:r>
              <w:rPr>
                <w:color w:val="000000" w:themeColor="text1"/>
                <w:sz w:val="24"/>
                <w14:textFill>
                  <w14:solidFill>
                    <w14:schemeClr w14:val="tx1"/>
                  </w14:solidFill>
                </w14:textFill>
              </w:rPr>
              <w:t>底盘：选用进口或国产通用二类底盘；选用进口底盘</w:t>
            </w:r>
            <w:r>
              <w:rPr>
                <w:rFonts w:hint="eastAsia"/>
                <w:color w:val="000000" w:themeColor="text1"/>
                <w:sz w:val="24"/>
                <w:lang w:val="en-US" w:eastAsia="zh-CN"/>
                <w14:textFill>
                  <w14:solidFill>
                    <w14:schemeClr w14:val="tx1"/>
                  </w14:solidFill>
                </w14:textFill>
              </w:rPr>
              <w:t>加</w:t>
            </w:r>
            <w:r>
              <w:rPr>
                <w:color w:val="000000" w:themeColor="text1"/>
                <w:sz w:val="24"/>
                <w14:textFill>
                  <w14:solidFill>
                    <w14:schemeClr w14:val="tx1"/>
                  </w14:solidFill>
                </w14:textFill>
              </w:rPr>
              <w:t>10分</w:t>
            </w:r>
            <w:r>
              <w:rPr>
                <w:rFonts w:hint="eastAsia"/>
                <w:color w:val="000000" w:themeColor="text1"/>
                <w:sz w:val="24"/>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51" w:name="_Toc30823"/>
      <w:r>
        <w:t>包</w:t>
      </w:r>
      <w:r>
        <w:rPr>
          <w:rFonts w:hint="eastAsia"/>
        </w:rPr>
        <w:t>26</w:t>
      </w:r>
      <w:r>
        <w:t>“前突皮卡车（含器材汽油版）”评标标准和评标方法</w:t>
      </w:r>
      <w:bookmarkEnd w:id="51"/>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皮卡车类</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31"/>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3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3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3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32"/>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33"/>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33"/>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33"/>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14项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0</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合计20分，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合计26分，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0.5</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超过52项不满足，得0分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rFonts w:hint="eastAsia" w:eastAsia="宋体"/>
                <w:color w:val="000000" w:themeColor="text1"/>
                <w:sz w:val="24"/>
                <w:highlight w:val="none"/>
                <w:lang w:eastAsia="zh-CN"/>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highlight w:val="none"/>
                <w:lang w:val="en-US" w:eastAsia="zh-CN"/>
                <w14:textFill>
                  <w14:solidFill>
                    <w14:schemeClr w14:val="tx1"/>
                  </w14:solidFill>
                </w14:textFill>
              </w:rPr>
              <w:t>无</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560"/>
      </w:pPr>
      <w:r>
        <w:br w:type="page"/>
      </w:r>
    </w:p>
    <w:p>
      <w:pPr>
        <w:pStyle w:val="4"/>
        <w:bidi w:val="0"/>
      </w:pPr>
      <w:bookmarkStart w:id="52" w:name="_Toc13960"/>
      <w:r>
        <w:t>包27“前突皮卡车（含器材柴油版）”评标标准和评标方法</w:t>
      </w:r>
      <w:bookmarkEnd w:id="52"/>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一、商务部分（</w:t>
            </w:r>
            <w:r>
              <w:rPr>
                <w:rFonts w:hint="eastAsia"/>
                <w:color w:val="000000" w:themeColor="text1"/>
                <w:sz w:val="24"/>
                <w:highlight w:val="none"/>
                <w:lang w:val="en-US" w:eastAsia="zh-CN"/>
                <w14:textFill>
                  <w14:solidFill>
                    <w14:schemeClr w14:val="tx1"/>
                  </w14:solidFill>
                </w14:textFill>
              </w:rPr>
              <w:t>22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1.投标人业绩（</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1.1评分条件</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1.1.1业绩是以投标人提供的自身合同为准，即合同的乙方必须与投标人的名称完全一致，如投标人名称发生变更，必须提供相关证明文件。要求必须是与最终用户签订的</w:t>
            </w:r>
            <w:r>
              <w:rPr>
                <w:rFonts w:hint="eastAsia"/>
                <w:color w:val="000000" w:themeColor="text1"/>
                <w:sz w:val="24"/>
                <w:highlight w:val="none"/>
                <w14:textFill>
                  <w14:solidFill>
                    <w14:schemeClr w14:val="tx1"/>
                  </w14:solidFill>
                </w14:textFill>
              </w:rPr>
              <w:t>合同</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1.1.2业绩要求年限为2021年1月1日至投标截止时间，以合同签订时间为准。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1.1.3一个完整的业绩证明资料至少</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：合同首页、金额所在页、供货明细单、签字盖章页、结算凭证（可提供部分发票或银行付款记录）等。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1.1.4供应商所提供证明材料应真实完整，不得涂改，否则不予评分。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1.1.5同类型业绩指供货明细单中包含“</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皮卡车类</w:t>
            </w:r>
            <w:r>
              <w:rPr>
                <w:rFonts w:hint="eastAsia"/>
                <w:color w:val="000000" w:themeColor="text1"/>
                <w:sz w:val="24"/>
                <w:highlight w:val="none"/>
                <w:lang w:val="en-US" w:eastAsia="zh-CN"/>
                <w14:textFill>
                  <w14:solidFill>
                    <w14:schemeClr w14:val="tx1"/>
                  </w14:solidFill>
                </w14:textFill>
              </w:rPr>
              <w:t xml:space="preserve"> </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1.2评分标准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提供1份同类型业绩及相关证明材料复印件或扫描件得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分，最高得</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2.技术方案（9分）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lang w:val="en-US" w:eastAsia="zh-CN"/>
                <w14:textFill>
                  <w14:solidFill>
                    <w14:schemeClr w14:val="tx1"/>
                  </w14:solidFill>
                </w14:textFill>
              </w:rPr>
            </w:pPr>
            <w:r>
              <w:rPr>
                <w:color w:val="000000" w:themeColor="text1"/>
                <w:sz w:val="24"/>
                <w:highlight w:val="none"/>
                <w:lang w:val="en-US" w:eastAsia="zh-CN"/>
                <w14:textFill>
                  <w14:solidFill>
                    <w14:schemeClr w14:val="tx1"/>
                  </w14:solidFill>
                </w14:textFill>
              </w:rPr>
              <w:t>2.1投标人认真阅读招标文件采购需求，根据采购需求编制技术服务方案，技术方案包含但不限于以下内容：</w:t>
            </w:r>
          </w:p>
          <w:p>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车辆设计方案（包含车辆整体设计、技术优势等）</w:t>
            </w:r>
          </w:p>
          <w:p>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车辆整体设计的适用性（包含重要部件兼容性分析、产品整体可靠性分析等）</w:t>
            </w:r>
          </w:p>
          <w:p>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车辆底盘的选配方案（包含车辆底盘的适配、性能，如何更好满足特殊环境下的使用要求等）</w:t>
            </w:r>
          </w:p>
          <w:p>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关键部件选配方案（包含关键部件的适配、性能，如何更好满足特殊环境下的使用要求等）</w:t>
            </w:r>
          </w:p>
          <w:p>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车辆设计图纸（包含从正上方、正前方、正后方、侧方详细展示产品，附带设计图纸或三视图等）</w:t>
            </w:r>
          </w:p>
          <w:p>
            <w:pPr>
              <w:keepNext w:val="0"/>
              <w:keepLines w:val="0"/>
              <w:pageBreakBefore w:val="0"/>
              <w:widowControl/>
              <w:numPr>
                <w:ilvl w:val="0"/>
                <w:numId w:val="34"/>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生产工艺、装配流程（包含生产工艺、生产设备、制造技术、装配等）</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2.2打分标准：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技术方案中缺少1项内容扣1.5分（其中“项”指上述2.1条款中①②③④⑤⑥条内容）。内容存在缺陷扣1分，内容存在偏差扣0.5分（其中“内容”指上述2.1条款中①②③④⑤⑥条所述括号中的要求）。</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注：</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“内容存在缺陷”是指技术方案内容生搬硬造；引用标准错误；或技术参数表述错误；或内容不适用项目实际情况；或对采购需求理解混乱；或内容凭空编造、存在逻辑漏洞。</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3.质量控制（4分）</w:t>
            </w:r>
          </w:p>
          <w:p>
            <w:pPr>
              <w:pStyle w:val="2"/>
              <w:keepNext w:val="0"/>
              <w:keepLines w:val="0"/>
              <w:pageBreakBefore w:val="0"/>
              <w:kinsoku/>
              <w:wordWrap/>
              <w:overflowPunct/>
              <w:topLinePunct w:val="0"/>
              <w:autoSpaceDE/>
              <w:autoSpaceDN/>
              <w:bidi w:val="0"/>
              <w:snapToGrid w:val="0"/>
              <w:spacing w:line="440" w:lineRule="exact"/>
              <w:ind w:left="0" w:leftChars="0" w:firstLine="0" w:firstLineChars="0"/>
              <w:textAlignment w:val="auto"/>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3.1投标人认真阅读招标文件采购需求，根据采购需求编制质量控制方案，质量控制方案包含但不限于以下内容：</w:t>
            </w:r>
          </w:p>
          <w:p>
            <w:pPr>
              <w:keepNext w:val="0"/>
              <w:keepLines w:val="0"/>
              <w:pageBreakBefore w:val="0"/>
              <w:widowControl/>
              <w:numPr>
                <w:ilvl w:val="0"/>
                <w:numId w:val="3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质量预控方案（包含工序或过程名称、可能出现的质量问题、提出的质量预控措施三部分）</w:t>
            </w:r>
          </w:p>
          <w:p>
            <w:pPr>
              <w:keepNext w:val="0"/>
              <w:keepLines w:val="0"/>
              <w:pageBreakBefore w:val="0"/>
              <w:widowControl/>
              <w:numPr>
                <w:ilvl w:val="0"/>
                <w:numId w:val="3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事前质量控制（包含制造前准备阶段的质量控制，是对投入参与生产的人、机、料、法、环和资源条件的控制）</w:t>
            </w:r>
          </w:p>
          <w:p>
            <w:pPr>
              <w:keepNext w:val="0"/>
              <w:keepLines w:val="0"/>
              <w:pageBreakBefore w:val="0"/>
              <w:widowControl/>
              <w:numPr>
                <w:ilvl w:val="0"/>
                <w:numId w:val="3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事中质量控制（包含生产过程质量控制、设备监造控制、中间产品控制、质量验收或评定的控制等）</w:t>
            </w:r>
          </w:p>
          <w:p>
            <w:pPr>
              <w:keepNext w:val="0"/>
              <w:keepLines w:val="0"/>
              <w:pageBreakBefore w:val="0"/>
              <w:widowControl/>
              <w:numPr>
                <w:ilvl w:val="0"/>
                <w:numId w:val="35"/>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事后控制（包含整车检验控制、整车质量评定、整车质量文件审核与建档、回访保修等）</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质量控制</w:t>
            </w:r>
            <w:r>
              <w:rPr>
                <w:rFonts w:hint="eastAsia" w:cs="Times New Roman"/>
                <w:color w:val="000000" w:themeColor="text1"/>
                <w:kern w:val="2"/>
                <w:sz w:val="24"/>
                <w:szCs w:val="24"/>
                <w:highlight w:val="none"/>
                <w:lang w:val="en-US" w:eastAsia="zh-CN" w:bidi="ar-SA"/>
                <w14:textFill>
                  <w14:solidFill>
                    <w14:schemeClr w14:val="tx1"/>
                  </w14:solidFill>
                </w14:textFill>
              </w:rPr>
              <w:t>方案</w:t>
            </w:r>
            <w:r>
              <w:rPr>
                <w:rFonts w:hint="eastAsia"/>
                <w:color w:val="000000" w:themeColor="text1"/>
                <w:sz w:val="24"/>
                <w:highlight w:val="none"/>
                <w:lang w:val="en-US" w:eastAsia="zh-CN"/>
                <w14:textFill>
                  <w14:solidFill>
                    <w14:schemeClr w14:val="tx1"/>
                  </w14:solidFill>
                </w14:textFill>
              </w:rPr>
              <w:t>中缺少1项内容扣1分（其中“项”指上述3.1条款中①②③④条内容）。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lang w:val="en-US" w:eastAsia="zh-CN"/>
                <w14:textFill>
                  <w14:solidFill>
                    <w14:schemeClr w14:val="tx1"/>
                  </w14:solidFill>
                </w14:textFill>
              </w:rPr>
              <w:t>扣0.5分（其中“内容”指上述3.1条款中①②③④条所述括号中的要求）。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asci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4.售后服务（3分）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4.1投标人认真阅读招标文件采购需求，根据采购需求编制售后服务方案，售后服务方案包含但不限于以下内容：</w:t>
            </w:r>
          </w:p>
          <w:p>
            <w:pPr>
              <w:keepNext w:val="0"/>
              <w:keepLines w:val="0"/>
              <w:pageBreakBefore w:val="0"/>
              <w:widowControl/>
              <w:numPr>
                <w:ilvl w:val="0"/>
                <w:numId w:val="36"/>
              </w:numPr>
              <w:kinsoku/>
              <w:wordWrap/>
              <w:overflowPunct/>
              <w:topLinePunct w:val="0"/>
              <w:autoSpaceDE/>
              <w:autoSpaceDN/>
              <w:bidi w:val="0"/>
              <w:adjustRightInd w:val="0"/>
              <w:snapToGrid w:val="0"/>
              <w:spacing w:line="440" w:lineRule="exact"/>
              <w:ind w:firstLine="0" w:firstLineChars="0"/>
              <w:textAlignment w:val="auto"/>
              <w:rPr>
                <w:rFonts w:hint="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配送、验收、安装调试方案（包含配送、保险、车辆移交、安装调试服务、有关车辆</w:t>
            </w:r>
            <w:r>
              <w:rPr>
                <w:rFonts w:hint="default"/>
                <w:color w:val="000000" w:themeColor="text1"/>
                <w:sz w:val="24"/>
                <w:highlight w:val="none"/>
                <w:lang w:val="en-US" w:eastAsia="zh-CN"/>
                <w14:textFill>
                  <w14:solidFill>
                    <w14:schemeClr w14:val="tx1"/>
                  </w14:solidFill>
                </w14:textFill>
              </w:rPr>
              <w:t>使用等方面的技术指导</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售后服务团队</w:t>
            </w:r>
            <w:r>
              <w:rPr>
                <w:rFonts w:hint="eastAsia"/>
                <w:color w:val="000000" w:themeColor="text1"/>
                <w:sz w:val="24"/>
                <w:highlight w:val="none"/>
                <w:lang w:val="en-US" w:eastAsia="zh-CN"/>
                <w14:textFill>
                  <w14:solidFill>
                    <w14:schemeClr w14:val="tx1"/>
                  </w14:solidFill>
                </w14:textFill>
              </w:rPr>
              <w:t>等）</w:t>
            </w:r>
          </w:p>
          <w:p>
            <w:pPr>
              <w:keepNext w:val="0"/>
              <w:keepLines w:val="0"/>
              <w:pageBreakBefore w:val="0"/>
              <w:widowControl/>
              <w:numPr>
                <w:ilvl w:val="0"/>
                <w:numId w:val="3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易损件、备品备件的供应保障、保养、回访（包含易损件、备品备件的清单、供应保障、价格及伴随的服务、</w:t>
            </w:r>
            <w:r>
              <w:rPr>
                <w:rFonts w:hint="default"/>
                <w:color w:val="000000" w:themeColor="text1"/>
                <w:sz w:val="24"/>
                <w:highlight w:val="none"/>
                <w:lang w:val="en-US" w:eastAsia="zh-CN"/>
                <w14:textFill>
                  <w14:solidFill>
                    <w14:schemeClr w14:val="tx1"/>
                  </w14:solidFill>
                </w14:textFill>
              </w:rPr>
              <w:t>定期维护、定期保养</w:t>
            </w:r>
            <w:r>
              <w:rPr>
                <w:rFonts w:hint="eastAsia"/>
                <w:color w:val="000000" w:themeColor="text1"/>
                <w:sz w:val="24"/>
                <w:highlight w:val="none"/>
                <w:lang w:val="en-US" w:eastAsia="zh-CN"/>
                <w14:textFill>
                  <w14:solidFill>
                    <w14:schemeClr w14:val="tx1"/>
                  </w14:solidFill>
                </w14:textFill>
              </w:rPr>
              <w:t>、</w:t>
            </w:r>
            <w:r>
              <w:rPr>
                <w:rFonts w:hint="default"/>
                <w:color w:val="000000" w:themeColor="text1"/>
                <w:sz w:val="24"/>
                <w:highlight w:val="none"/>
                <w:lang w:val="en-US" w:eastAsia="zh-CN"/>
                <w14:textFill>
                  <w14:solidFill>
                    <w14:schemeClr w14:val="tx1"/>
                  </w14:solidFill>
                </w14:textFill>
              </w:rPr>
              <w:t>定期电话回访或上门回访</w:t>
            </w:r>
            <w:r>
              <w:rPr>
                <w:rFonts w:hint="eastAsia"/>
                <w:color w:val="000000" w:themeColor="text1"/>
                <w:sz w:val="24"/>
                <w:highlight w:val="none"/>
                <w:lang w:val="en-US" w:eastAsia="zh-CN"/>
                <w14:textFill>
                  <w14:solidFill>
                    <w14:schemeClr w14:val="tx1"/>
                  </w14:solidFill>
                </w14:textFill>
              </w:rPr>
              <w:t>、车辆零部件三包范围等）</w:t>
            </w:r>
          </w:p>
          <w:p>
            <w:pPr>
              <w:keepNext w:val="0"/>
              <w:keepLines w:val="0"/>
              <w:pageBreakBefore w:val="0"/>
              <w:widowControl/>
              <w:numPr>
                <w:ilvl w:val="0"/>
                <w:numId w:val="36"/>
              </w:numPr>
              <w:kinsoku/>
              <w:wordWrap/>
              <w:overflowPunct/>
              <w:topLinePunct w:val="0"/>
              <w:autoSpaceDE/>
              <w:autoSpaceDN/>
              <w:bidi w:val="0"/>
              <w:adjustRightInd w:val="0"/>
              <w:snapToGrid w:val="0"/>
              <w:spacing w:line="440" w:lineRule="exact"/>
              <w:ind w:firstLine="0" w:firstLineChars="0"/>
              <w:textAlignment w:val="auto"/>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培训方案</w:t>
            </w:r>
            <w:r>
              <w:rPr>
                <w:color w:val="000000" w:themeColor="text1"/>
                <w:sz w:val="24"/>
                <w:highlight w:val="none"/>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包含</w:t>
            </w:r>
            <w:r>
              <w:rPr>
                <w:color w:val="000000" w:themeColor="text1"/>
                <w:sz w:val="24"/>
                <w:highlight w:val="none"/>
                <w14:textFill>
                  <w14:solidFill>
                    <w14:schemeClr w14:val="tx1"/>
                  </w14:solidFill>
                </w14:textFill>
              </w:rPr>
              <w:t>团队人员</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针对性的培训课程、课时、重点、目的、</w:t>
            </w:r>
            <w:r>
              <w:rPr>
                <w:color w:val="000000" w:themeColor="text1"/>
                <w:sz w:val="24"/>
                <w:highlight w:val="none"/>
                <w14:textFill>
                  <w14:solidFill>
                    <w14:schemeClr w14:val="tx1"/>
                  </w14:solidFill>
                </w14:textFill>
              </w:rPr>
              <w:t>培训</w:t>
            </w:r>
            <w:r>
              <w:rPr>
                <w:rFonts w:hint="eastAsia"/>
                <w:color w:val="000000" w:themeColor="text1"/>
                <w:sz w:val="24"/>
                <w:highlight w:val="none"/>
                <w:lang w:val="en-US" w:eastAsia="zh-CN"/>
                <w14:textFill>
                  <w14:solidFill>
                    <w14:schemeClr w14:val="tx1"/>
                  </w14:solidFill>
                </w14:textFill>
              </w:rPr>
              <w:t>时间等</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售后服务</w:t>
            </w:r>
            <w:r>
              <w:rPr>
                <w:color w:val="000000" w:themeColor="text1"/>
                <w:sz w:val="24"/>
                <w:highlight w:val="none"/>
                <w14:textFill>
                  <w14:solidFill>
                    <w14:schemeClr w14:val="tx1"/>
                  </w14:solidFill>
                </w14:textFill>
              </w:rPr>
              <w:t>方案中缺少1项内容扣</w:t>
            </w:r>
            <w:r>
              <w:rPr>
                <w:rFonts w:hint="eastAsia"/>
                <w:color w:val="000000" w:themeColor="text1"/>
                <w:sz w:val="24"/>
                <w:highlight w:val="none"/>
                <w:lang w:val="en-US" w:eastAsia="zh-CN"/>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rFonts w:hint="eastAsia"/>
                <w:color w:val="000000" w:themeColor="text1"/>
                <w:sz w:val="24"/>
                <w:highlight w:val="none"/>
                <w14:textFill>
                  <w14:solidFill>
                    <w14:schemeClr w14:val="tx1"/>
                  </w14:solidFill>
                </w14:textFill>
              </w:rPr>
              <w:t>扣</w:t>
            </w:r>
            <w:r>
              <w:rPr>
                <w:rFonts w:hint="eastAsia"/>
                <w:color w:val="000000" w:themeColor="text1"/>
                <w:sz w:val="24"/>
                <w:highlight w:val="none"/>
                <w:lang w:val="en-US" w:eastAsia="zh-CN"/>
                <w14:textFill>
                  <w14:solidFill>
                    <w14:schemeClr w14:val="tx1"/>
                  </w14:solidFill>
                </w14:textFill>
              </w:rPr>
              <w:t>0.5</w:t>
            </w:r>
            <w:r>
              <w:rPr>
                <w:rFonts w:hint="eastAsia"/>
                <w:color w:val="000000" w:themeColor="text1"/>
                <w:sz w:val="24"/>
                <w:highlight w:val="none"/>
                <w14:textFill>
                  <w14:solidFill>
                    <w14:schemeClr w14:val="tx1"/>
                  </w14:solidFill>
                </w14:textFill>
              </w:rPr>
              <w:t>分（其中“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highlight w:val="none"/>
                <w14:textFill>
                  <w14:solidFill>
                    <w14:schemeClr w14:val="tx1"/>
                  </w14:solidFill>
                </w14:textFill>
              </w:rPr>
              <w:t>”指上述</w:t>
            </w: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14:textFill>
                  <w14:solidFill>
                    <w14:schemeClr w14:val="tx1"/>
                  </w14:solidFill>
                </w14:textFill>
              </w:rPr>
              <w:t>.1条款中①②③条所述括号中的要求）。</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default"/>
                <w:lang w:val="en-US" w:eastAsia="zh-CN"/>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.实施进度（</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.1根据招标文件中明确的交货时间，投标人编写实施进度计划，包含但不限于以下内容：</w:t>
            </w:r>
            <w:r>
              <w:rPr>
                <w:rFonts w:hint="eastAsia"/>
                <w:color w:val="000000" w:themeColor="text1"/>
                <w:sz w:val="24"/>
                <w:highlight w:val="none"/>
                <w14:textFill>
                  <w14:solidFill>
                    <w14:schemeClr w14:val="tx1"/>
                  </w14:solidFill>
                </w14:textFill>
              </w:rPr>
              <w:t>①</w:t>
            </w:r>
            <w:r>
              <w:rPr>
                <w:color w:val="000000" w:themeColor="text1"/>
                <w:sz w:val="24"/>
                <w:highlight w:val="none"/>
                <w14:textFill>
                  <w14:solidFill>
                    <w14:schemeClr w14:val="tx1"/>
                  </w14:solidFill>
                </w14:textFill>
              </w:rPr>
              <w:t>整体部署、</w:t>
            </w:r>
            <w:r>
              <w:rPr>
                <w:rFonts w:hint="eastAsia"/>
                <w:color w:val="000000" w:themeColor="text1"/>
                <w:sz w:val="24"/>
                <w:highlight w:val="none"/>
                <w14:textFill>
                  <w14:solidFill>
                    <w14:schemeClr w14:val="tx1"/>
                  </w14:solidFill>
                </w14:textFill>
              </w:rPr>
              <w:t>②</w:t>
            </w:r>
            <w:r>
              <w:rPr>
                <w:color w:val="000000" w:themeColor="text1"/>
                <w:sz w:val="24"/>
                <w:highlight w:val="none"/>
                <w14:textFill>
                  <w14:solidFill>
                    <w14:schemeClr w14:val="tx1"/>
                  </w14:solidFill>
                </w14:textFill>
              </w:rPr>
              <w:t>关键工作节点、特殊情况下压缩工作时间的预案等内容。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.2打分标准：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实施进度中缺少1项内容扣</w:t>
            </w: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分</w:t>
            </w:r>
            <w:r>
              <w:rPr>
                <w:rFonts w:hint="eastAsia"/>
                <w:color w:val="000000" w:themeColor="text1"/>
                <w:sz w:val="24"/>
                <w:highlight w:val="none"/>
                <w14:textFill>
                  <w14:solidFill>
                    <w14:schemeClr w14:val="tx1"/>
                  </w14:solidFill>
                </w14:textFill>
              </w:rPr>
              <w:t>（其中“项”指上述</w:t>
            </w:r>
            <w:r>
              <w:rPr>
                <w:rFonts w:hint="eastAsia"/>
                <w:color w:val="000000" w:themeColor="text1"/>
                <w:sz w:val="24"/>
                <w:highlight w:val="none"/>
                <w:lang w:val="en-US" w:eastAsia="zh-CN"/>
                <w14:textFill>
                  <w14:solidFill>
                    <w14:schemeClr w14:val="tx1"/>
                  </w14:solidFill>
                </w14:textFill>
              </w:rPr>
              <w:t>5</w:t>
            </w:r>
            <w:r>
              <w:rPr>
                <w:rFonts w:hint="eastAsia"/>
                <w:color w:val="000000" w:themeColor="text1"/>
                <w:sz w:val="24"/>
                <w:highlight w:val="none"/>
                <w14:textFill>
                  <w14:solidFill>
                    <w14:schemeClr w14:val="tx1"/>
                  </w14:solidFill>
                </w14:textFill>
              </w:rPr>
              <w:t>.1条款中①②条内容）。</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w:t>
            </w:r>
            <w:r>
              <w:rPr>
                <w:color w:val="000000" w:themeColor="text1"/>
                <w:sz w:val="24"/>
                <w:highlight w:val="none"/>
                <w14:textFill>
                  <w14:solidFill>
                    <w14:schemeClr w14:val="tx1"/>
                  </w14:solidFill>
                </w14:textFill>
              </w:rPr>
              <w:t>扣</w:t>
            </w:r>
            <w:r>
              <w:rPr>
                <w:rFonts w:hint="eastAsia"/>
                <w:color w:val="000000" w:themeColor="text1"/>
                <w:sz w:val="24"/>
                <w:highlight w:val="none"/>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其中“</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w:t>
            </w:r>
            <w:r>
              <w:rPr>
                <w:rFonts w:hint="eastAsia"/>
                <w:color w:val="000000" w:themeColor="text1"/>
                <w:sz w:val="24"/>
                <w:szCs w:val="24"/>
                <w:highlight w:val="none"/>
                <w:lang w:eastAsia="zh-CN"/>
                <w14:textFill>
                  <w14:solidFill>
                    <w14:schemeClr w14:val="tx1"/>
                  </w14:solidFill>
                </w14:textFill>
              </w:rPr>
              <w:t>”指上述</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.1条款中①②条所述</w:t>
            </w:r>
            <w:r>
              <w:rPr>
                <w:rFonts w:hint="eastAsia"/>
                <w:color w:val="000000" w:themeColor="text1"/>
                <w:sz w:val="24"/>
                <w:szCs w:val="24"/>
                <w:highlight w:val="none"/>
                <w:lang w:val="en-US" w:eastAsia="zh-CN"/>
                <w14:textFill>
                  <w14:solidFill>
                    <w14:schemeClr w14:val="tx1"/>
                  </w14:solidFill>
                </w14:textFill>
              </w:rPr>
              <w:t>的要求</w:t>
            </w:r>
            <w:r>
              <w:rPr>
                <w:rFonts w:hint="eastAsia"/>
                <w:color w:val="000000" w:themeColor="text1"/>
                <w:sz w:val="24"/>
                <w:szCs w:val="24"/>
                <w:highlight w:val="none"/>
                <w14:textFill>
                  <w14:solidFill>
                    <w14:schemeClr w14:val="tx1"/>
                  </w14:solidFill>
                </w14:textFill>
              </w:rPr>
              <w:t>）</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r>
              <w:rPr>
                <w:rFonts w:hint="eastAsia" w:ascii="Times New Roman" w:eastAsia="宋体" w:cs="Times New Roman"/>
                <w:color w:val="000000" w:themeColor="text1"/>
                <w:kern w:val="2"/>
                <w:sz w:val="24"/>
                <w:szCs w:val="24"/>
                <w:highlight w:val="none"/>
                <w:lang w:val="en-US" w:eastAsia="zh-CN" w:bidi="ar-SA"/>
                <w14:textFill>
                  <w14:solidFill>
                    <w14:schemeClr w14:val="tx1"/>
                  </w14:solidFill>
                </w14:textFill>
              </w:rPr>
              <w:t>“内容存在偏差”是指存在与项目需求明显无关的文字内容；或内容虽阐述但未贴合项目实际情况进行论述；或夸大情形以及内容；或出现内容前后不一致。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2</w:t>
            </w:r>
            <w:r>
              <w:rPr>
                <w:color w:val="000000" w:themeColor="text1"/>
                <w:sz w:val="24"/>
                <w:highlight w:val="none"/>
                <w14:textFill>
                  <w14:solidFill>
                    <w14:schemeClr w14:val="tx1"/>
                  </w14:solidFill>
                </w14:textFill>
              </w:rPr>
              <w:t>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6.1</w:t>
            </w:r>
            <w:r>
              <w:rPr>
                <w:rFonts w:hint="eastAsia"/>
                <w:color w:val="000000" w:themeColor="text1"/>
                <w:sz w:val="24"/>
                <w:highlight w:val="none"/>
                <w14:textFill>
                  <w14:solidFill>
                    <w14:schemeClr w14:val="tx1"/>
                  </w14:solidFill>
                </w14:textFill>
              </w:rPr>
              <w:t>投标人承诺质保期内提供每年不少于1次巡检服务得1分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须提供加盖投标人公章的承诺函，格式自拟</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，未承诺不得分。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6.2</w:t>
            </w:r>
            <w:r>
              <w:rPr>
                <w:color w:val="000000" w:themeColor="text1"/>
                <w:sz w:val="24"/>
                <w:highlight w:val="none"/>
                <w14:textFill>
                  <w14:solidFill>
                    <w14:schemeClr w14:val="tx1"/>
                  </w14:solidFill>
                </w14:textFill>
              </w:rPr>
              <w:t>投标人</w:t>
            </w:r>
            <w:r>
              <w:rPr>
                <w:rFonts w:hint="eastAsia"/>
                <w:color w:val="000000" w:themeColor="text1"/>
                <w:sz w:val="24"/>
                <w:highlight w:val="none"/>
                <w:lang w:val="en-US" w:eastAsia="zh-CN"/>
                <w14:textFill>
                  <w14:solidFill>
                    <w14:schemeClr w14:val="tx1"/>
                  </w14:solidFill>
                </w14:textFill>
              </w:rPr>
              <w:t>投标文件中提供由货物最终用户出具的</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证明；每提供1份</w:t>
            </w:r>
            <w:r>
              <w:rPr>
                <w:color w:val="000000" w:themeColor="text1"/>
                <w:sz w:val="24"/>
                <w:highlight w:val="none"/>
                <w14:textFill>
                  <w14:solidFill>
                    <w14:schemeClr w14:val="tx1"/>
                  </w14:solidFill>
                </w14:textFill>
              </w:rPr>
              <w:t>巡检服务</w:t>
            </w:r>
            <w:r>
              <w:rPr>
                <w:rFonts w:hint="eastAsia"/>
                <w:color w:val="000000" w:themeColor="text1"/>
                <w:sz w:val="24"/>
                <w:highlight w:val="none"/>
                <w:lang w:val="en-US" w:eastAsia="zh-CN"/>
                <w14:textFill>
                  <w14:solidFill>
                    <w14:schemeClr w14:val="tx1"/>
                  </w14:solidFill>
                </w14:textFill>
              </w:rPr>
              <w:t>证明材料复印件或扫描件</w:t>
            </w:r>
            <w:r>
              <w:rPr>
                <w:color w:val="000000" w:themeColor="text1"/>
                <w:sz w:val="24"/>
                <w:highlight w:val="none"/>
                <w14:textFill>
                  <w14:solidFill>
                    <w14:schemeClr w14:val="tx1"/>
                  </w14:solidFill>
                </w14:textFill>
              </w:rPr>
              <w:t>得</w:t>
            </w:r>
            <w:r>
              <w:rPr>
                <w:rFonts w:hint="eastAsia"/>
                <w:color w:val="000000" w:themeColor="text1"/>
                <w:sz w:val="24"/>
                <w:highlight w:val="none"/>
                <w:lang w:val="en-US" w:eastAsia="zh-CN"/>
                <w14:textFill>
                  <w14:solidFill>
                    <w14:schemeClr w14:val="tx1"/>
                  </w14:solidFill>
                </w14:textFill>
              </w:rPr>
              <w:t>0.5</w:t>
            </w:r>
            <w:r>
              <w:rPr>
                <w:color w:val="000000" w:themeColor="text1"/>
                <w:sz w:val="24"/>
                <w:highlight w:val="none"/>
                <w14:textFill>
                  <w14:solidFill>
                    <w14:schemeClr w14:val="tx1"/>
                  </w14:solidFill>
                </w14:textFill>
              </w:rPr>
              <w:t>分，</w:t>
            </w:r>
            <w:r>
              <w:rPr>
                <w:rFonts w:hint="eastAsia"/>
                <w:color w:val="000000" w:themeColor="text1"/>
                <w:sz w:val="24"/>
                <w:highlight w:val="none"/>
                <w:lang w:val="en-US" w:eastAsia="zh-CN"/>
                <w14:textFill>
                  <w14:solidFill>
                    <w14:schemeClr w14:val="tx1"/>
                  </w14:solidFill>
                </w14:textFill>
              </w:rPr>
              <w:t>满分1分，</w:t>
            </w:r>
            <w:r>
              <w:rPr>
                <w:color w:val="000000" w:themeColor="text1"/>
                <w:sz w:val="24"/>
                <w:highlight w:val="none"/>
                <w14:textFill>
                  <w14:solidFill>
                    <w14:schemeClr w14:val="tx1"/>
                  </w14:solidFill>
                </w14:textFill>
              </w:rPr>
              <w:t>未</w:t>
            </w:r>
            <w:r>
              <w:rPr>
                <w:rFonts w:hint="eastAsia"/>
                <w:color w:val="000000" w:themeColor="text1"/>
                <w:sz w:val="24"/>
                <w:highlight w:val="none"/>
                <w:lang w:val="en-US" w:eastAsia="zh-CN"/>
                <w14:textFill>
                  <w14:solidFill>
                    <w14:schemeClr w14:val="tx1"/>
                  </w14:solidFill>
                </w14:textFill>
              </w:rPr>
              <w:t>提供或证明材料无效</w:t>
            </w:r>
            <w:r>
              <w:rPr>
                <w:color w:val="000000" w:themeColor="text1"/>
                <w:sz w:val="24"/>
                <w:highlight w:val="none"/>
                <w14:textFill>
                  <w14:solidFill>
                    <w14:schemeClr w14:val="tx1"/>
                  </w14:solidFill>
                </w14:textFill>
              </w:rPr>
              <w:t>不得分。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注：巡检服务证明出具时间为2021年1月1日至投标截止时间。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二、技术部分（</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1.技术响应</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1.1标注“★”的为关键技术要求，不满足招标文件要求的，按废标处理。</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12项</w:t>
            </w:r>
            <w:r>
              <w:rPr>
                <w:rFonts w:hint="eastAsia"/>
                <w:color w:val="000000" w:themeColor="text1"/>
                <w:sz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1.2扣分项：</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技术要求完全满足或优于招标文件要求得</w:t>
            </w:r>
            <w:r>
              <w:rPr>
                <w:rFonts w:hint="eastAsia"/>
                <w:color w:val="000000" w:themeColor="text1"/>
                <w:sz w:val="24"/>
                <w:highlight w:val="none"/>
                <w:lang w:val="en-US" w:eastAsia="zh-CN"/>
                <w14:textFill>
                  <w14:solidFill>
                    <w14:schemeClr w14:val="tx1"/>
                  </w14:solidFill>
                </w14:textFill>
              </w:rPr>
              <w:t>46</w:t>
            </w:r>
            <w:r>
              <w:rPr>
                <w:color w:val="000000" w:themeColor="text1"/>
                <w:sz w:val="24"/>
                <w:highlight w:val="none"/>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1.2.1标注“▲”的为重要技术要求，重要技术要求共计</w:t>
            </w:r>
            <w:r>
              <w:rPr>
                <w:rFonts w:hint="eastAsia"/>
                <w:color w:val="000000" w:themeColor="text1"/>
                <w:sz w:val="24"/>
                <w14:textFill>
                  <w14:solidFill>
                    <w14:schemeClr w14:val="tx1"/>
                  </w14:solidFill>
                </w14:textFill>
              </w:rPr>
              <w:t>1</w:t>
            </w:r>
            <w:r>
              <w:rPr>
                <w:rFonts w:hint="eastAsia"/>
                <w:color w:val="000000" w:themeColor="text1"/>
                <w:sz w:val="24"/>
                <w:lang w:val="en-US" w:eastAsia="zh-CN"/>
                <w14:textFill>
                  <w14:solidFill>
                    <w14:schemeClr w14:val="tx1"/>
                  </w14:solidFill>
                </w14:textFill>
              </w:rPr>
              <w:t>0</w:t>
            </w:r>
            <w:r>
              <w:rPr>
                <w:color w:val="000000" w:themeColor="text1"/>
                <w:sz w:val="24"/>
                <w14:textFill>
                  <w14:solidFill>
                    <w14:schemeClr w14:val="tx1"/>
                  </w14:solidFill>
                </w14:textFill>
              </w:rPr>
              <w:t>项，</w:t>
            </w:r>
            <w:r>
              <w:rPr>
                <w:rFonts w:hint="eastAsia"/>
                <w:color w:val="000000" w:themeColor="text1"/>
                <w:sz w:val="24"/>
                <w:lang w:val="en-US" w:eastAsia="zh-CN"/>
                <w14:textFill>
                  <w14:solidFill>
                    <w14:schemeClr w14:val="tx1"/>
                  </w14:solidFill>
                </w14:textFill>
              </w:rPr>
              <w:t>合计20分，</w:t>
            </w:r>
            <w:r>
              <w:rPr>
                <w:color w:val="000000" w:themeColor="text1"/>
                <w:sz w:val="24"/>
                <w14:textFill>
                  <w14:solidFill>
                    <w14:schemeClr w14:val="tx1"/>
                  </w14:solidFill>
                </w14:textFill>
              </w:rPr>
              <w:t>有</w:t>
            </w:r>
            <w:r>
              <w:rPr>
                <w:rFonts w:hint="eastAsia"/>
                <w:color w:val="000000" w:themeColor="text1"/>
                <w:sz w:val="24"/>
                <w:lang w:val="en-US" w:eastAsia="zh-CN"/>
                <w14:textFill>
                  <w14:solidFill>
                    <w14:schemeClr w14:val="tx1"/>
                  </w14:solidFill>
                </w14:textFill>
              </w:rPr>
              <w:t>1</w:t>
            </w:r>
            <w:r>
              <w:rPr>
                <w:color w:val="000000" w:themeColor="text1"/>
                <w:sz w:val="24"/>
                <w14:textFill>
                  <w14:solidFill>
                    <w14:schemeClr w14:val="tx1"/>
                  </w14:solidFill>
                </w14:textFill>
              </w:rPr>
              <w:t>项不满足的扣</w:t>
            </w:r>
            <w:r>
              <w:rPr>
                <w:rFonts w:hint="eastAsia"/>
                <w:color w:val="000000" w:themeColor="text1"/>
                <w:sz w:val="24"/>
                <w:lang w:val="en-US" w:eastAsia="zh-CN"/>
                <w14:textFill>
                  <w14:solidFill>
                    <w14:schemeClr w14:val="tx1"/>
                  </w14:solidFill>
                </w14:textFill>
              </w:rPr>
              <w:t>2</w:t>
            </w:r>
            <w:r>
              <w:rPr>
                <w:color w:val="000000" w:themeColor="text1"/>
                <w:sz w:val="24"/>
                <w14:textFill>
                  <w14:solidFill>
                    <w14:schemeClr w14:val="tx1"/>
                  </w14:solidFill>
                </w14:textFill>
              </w:rPr>
              <w:t>分。</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1.2.2</w:t>
            </w:r>
            <w:r>
              <w:rPr>
                <w:rFonts w:hint="eastAsia"/>
                <w:color w:val="000000" w:themeColor="text1"/>
                <w:sz w:val="24"/>
                <w14:textFill>
                  <w14:solidFill>
                    <w14:schemeClr w14:val="tx1"/>
                  </w14:solidFill>
                </w14:textFill>
              </w:rPr>
              <w:t>未标注“★”和“▲”的技术要求</w:t>
            </w:r>
            <w:r>
              <w:rPr>
                <w:rFonts w:hint="eastAsia"/>
                <w:color w:val="000000" w:themeColor="text1"/>
                <w:sz w:val="24"/>
                <w:lang w:val="en-US" w:eastAsia="zh-CN"/>
                <w14:textFill>
                  <w14:solidFill>
                    <w14:schemeClr w14:val="tx1"/>
                  </w14:solidFill>
                </w14:textFill>
              </w:rPr>
              <w:t>合计26分，</w:t>
            </w:r>
            <w:r>
              <w:rPr>
                <w:rFonts w:hint="eastAsia"/>
                <w:color w:val="000000" w:themeColor="text1"/>
                <w:sz w:val="24"/>
                <w14:textFill>
                  <w14:solidFill>
                    <w14:schemeClr w14:val="tx1"/>
                  </w14:solidFill>
                </w14:textFill>
              </w:rPr>
              <w:t>有1项不满足的扣</w:t>
            </w:r>
            <w:r>
              <w:rPr>
                <w:rFonts w:hint="eastAsia"/>
                <w:color w:val="000000" w:themeColor="text1"/>
                <w:sz w:val="24"/>
                <w:lang w:val="en-US" w:eastAsia="zh-CN"/>
                <w14:textFill>
                  <w14:solidFill>
                    <w14:schemeClr w14:val="tx1"/>
                  </w14:solidFill>
                </w14:textFill>
              </w:rPr>
              <w:t>0.5</w:t>
            </w:r>
            <w:r>
              <w:rPr>
                <w:rFonts w:hint="eastAsia"/>
                <w:color w:val="000000" w:themeColor="text1"/>
                <w:sz w:val="24"/>
                <w14:textFill>
                  <w14:solidFill>
                    <w14:schemeClr w14:val="tx1"/>
                  </w14:solidFill>
                </w14:textFill>
              </w:rPr>
              <w:t>分，</w:t>
            </w:r>
            <w:r>
              <w:rPr>
                <w:rFonts w:hint="eastAsia"/>
                <w:color w:val="000000" w:themeColor="text1"/>
                <w:sz w:val="24"/>
                <w:lang w:val="en-US" w:eastAsia="zh-CN"/>
                <w14:textFill>
                  <w14:solidFill>
                    <w14:schemeClr w14:val="tx1"/>
                  </w14:solidFill>
                </w14:textFill>
              </w:rPr>
              <w:t>超过52项不满足，得0分</w:t>
            </w:r>
            <w:r>
              <w:rPr>
                <w:rFonts w:hint="eastAsia"/>
                <w:color w:val="000000" w:themeColor="text1"/>
                <w:sz w:val="24"/>
                <w14:textFill>
                  <w14:solidFill>
                    <w14:schemeClr w14:val="tx1"/>
                  </w14:solidFill>
                </w14:textFill>
              </w:rPr>
              <w:t>。</w:t>
            </w:r>
          </w:p>
          <w:p>
            <w:pPr>
              <w:widowControl/>
              <w:adjustRightInd w:val="0"/>
              <w:snapToGrid w:val="0"/>
              <w:spacing w:line="460" w:lineRule="exact"/>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1.3加分项：</w:t>
            </w:r>
            <w:r>
              <w:rPr>
                <w:rFonts w:hint="eastAsia"/>
                <w:color w:val="000000" w:themeColor="text1"/>
                <w:sz w:val="24"/>
                <w:highlight w:val="none"/>
                <w:lang w:val="en-US" w:eastAsia="zh-CN"/>
                <w14:textFill>
                  <w14:solidFill>
                    <w14:schemeClr w14:val="tx1"/>
                  </w14:solidFill>
                </w14:textFill>
              </w:rPr>
              <w:t>无</w:t>
            </w:r>
            <w:r>
              <w:rPr>
                <w:color w:val="000000" w:themeColor="text1"/>
                <w:sz w:val="24"/>
                <w:highlight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highlight w:val="none"/>
              </w:rPr>
            </w:pPr>
            <w:r>
              <w:rPr>
                <w:color w:val="000000" w:themeColor="text1"/>
                <w:sz w:val="24"/>
                <w:highlight w:val="none"/>
                <w14:textFill>
                  <w14:solidFill>
                    <w14:schemeClr w14:val="tx1"/>
                  </w14:solidFill>
                </w14:textFill>
              </w:rPr>
              <w:t>注：关键、重要技术要求和</w:t>
            </w:r>
            <w:r>
              <w:rPr>
                <w:rFonts w:hint="eastAsia"/>
                <w:color w:val="000000" w:themeColor="text1"/>
                <w:sz w:val="24"/>
                <w:highlight w:val="none"/>
                <w14:textFill>
                  <w14:solidFill>
                    <w14:schemeClr w14:val="tx1"/>
                  </w14:solidFill>
                </w14:textFill>
              </w:rPr>
              <w:t>加分项技术要求</w:t>
            </w:r>
            <w:r>
              <w:rPr>
                <w:color w:val="000000" w:themeColor="text1"/>
                <w:sz w:val="24"/>
                <w:highlight w:val="none"/>
                <w14:textFill>
                  <w14:solidFill>
                    <w14:schemeClr w14:val="tx1"/>
                  </w14:solidFill>
                </w14:textFill>
              </w:rPr>
              <w:t>需提供相关证明材料（</w:t>
            </w:r>
            <w:r>
              <w:rPr>
                <w:rFonts w:hint="eastAsia"/>
                <w:color w:val="000000" w:themeColor="text1"/>
                <w:sz w:val="24"/>
                <w:highlight w:val="none"/>
                <w14:textFill>
                  <w14:solidFill>
                    <w14:schemeClr w14:val="tx1"/>
                  </w14:solidFill>
                </w14:textFill>
              </w:rPr>
              <w:t>原则要求投标人提供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作为证明材料，无法提供</w:t>
            </w:r>
            <w:r>
              <w:rPr>
                <w:color w:val="000000" w:themeColor="text1"/>
                <w:sz w:val="24"/>
                <w:highlight w:val="none"/>
                <w14:textFill>
                  <w14:solidFill>
                    <w14:schemeClr w14:val="tx1"/>
                  </w14:solidFill>
                </w14:textFill>
              </w:rPr>
              <w:t>检测报告</w:t>
            </w:r>
            <w:r>
              <w:rPr>
                <w:rFonts w:hint="eastAsia"/>
                <w:color w:val="000000" w:themeColor="text1"/>
                <w:sz w:val="24"/>
                <w:highlight w:val="none"/>
                <w14:textFill>
                  <w14:solidFill>
                    <w14:schemeClr w14:val="tx1"/>
                  </w14:solidFill>
                </w14:textFill>
              </w:rPr>
              <w:t>可以提供</w:t>
            </w:r>
            <w:r>
              <w:rPr>
                <w:color w:val="000000" w:themeColor="text1"/>
                <w:sz w:val="24"/>
                <w:highlight w:val="none"/>
                <w14:textFill>
                  <w14:solidFill>
                    <w14:schemeClr w14:val="tx1"/>
                  </w14:solidFill>
                </w14:textFill>
              </w:rPr>
              <w:t>官网链接或功能截图或产品彩页或产品说明书</w:t>
            </w:r>
            <w:r>
              <w:rPr>
                <w:rFonts w:hint="eastAsia"/>
                <w:color w:val="000000" w:themeColor="text1"/>
                <w:sz w:val="24"/>
                <w:highlight w:val="none"/>
                <w14:textFill>
                  <w14:solidFill>
                    <w14:schemeClr w14:val="tx1"/>
                  </w14:solidFill>
                </w14:textFill>
              </w:rPr>
              <w:t>作为证明材料</w:t>
            </w:r>
            <w:r>
              <w:rPr>
                <w:color w:val="000000" w:themeColor="text1"/>
                <w:sz w:val="24"/>
                <w:highlight w:val="none"/>
                <w14:textFill>
                  <w14:solidFill>
                    <w14:schemeClr w14:val="tx1"/>
                  </w14:solidFill>
                </w14:textFill>
              </w:rPr>
              <w:t>），未提供证明材料视为不满足要求或不视为正偏离。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三、政策因素（2分）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6"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1.节能产品（1分）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投标货物中有最新公布的《节能产品政府采购品目清单》中强制采购产品以外的其他节能产品，每提供一项节能产品证明材料得0.2分，最高得1分。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注：证明材料指所投货物有国家确定的认证机构出具的、处于有效期之内的节能产品认证证书复印件或扫描件。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2.环境标志产品（1分）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投标货物中有最新公布的《环境标志产品政府采购品目清单》中产品的，每提供一项环境标志产品证明材料得0.2分，最高得1分。</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注：证明材料指所投货物有国家确定的认证机构出具的、处于有效期之内的环境标志产品认证证书复印件或扫描件。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满足招标文件要求且投标价格最低的投标报价为评标基准价，其价格分为满分。其他投标人的价格分统一按照下列公式计算：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投标报价得分=（评标基准价／投标报价）×30%×100</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1.未实质性响应招标文件的投标人投标报价不参与报价得分的计算。</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2.若本包专门面向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企业采购，价格打分时不考虑价格评审优惠政策。</w:t>
            </w:r>
          </w:p>
          <w:p>
            <w:pPr>
              <w:keepNext w:val="0"/>
              <w:keepLines w:val="0"/>
              <w:pageBreakBefore w:val="0"/>
              <w:widowControl/>
              <w:kinsoku/>
              <w:wordWrap/>
              <w:overflowPunct/>
              <w:topLinePunct w:val="0"/>
              <w:autoSpaceDE/>
              <w:autoSpaceDN/>
              <w:bidi w:val="0"/>
              <w:adjustRightInd w:val="0"/>
              <w:snapToGrid w:val="0"/>
              <w:spacing w:line="440" w:lineRule="exact"/>
              <w:ind w:firstLine="0" w:firstLineChars="0"/>
              <w:textAlignment w:val="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3.若本包不专门面向</w:t>
            </w:r>
            <w:r>
              <w:rPr>
                <w:rFonts w:hint="eastAsia"/>
                <w:color w:val="000000" w:themeColor="text1"/>
                <w:sz w:val="24"/>
                <w:highlight w:val="none"/>
                <w14:textFill>
                  <w14:solidFill>
                    <w14:schemeClr w14:val="tx1"/>
                  </w14:solidFill>
                </w14:textFill>
              </w:rPr>
              <w:t>小微</w:t>
            </w:r>
            <w:r>
              <w:rPr>
                <w:color w:val="000000" w:themeColor="text1"/>
                <w:sz w:val="24"/>
                <w:highlight w:val="none"/>
                <w14:textFill>
                  <w14:solidFill>
                    <w14:schemeClr w14:val="tx1"/>
                  </w14:solidFill>
                </w14:textFill>
              </w:rPr>
              <w:t>企业采购，价格打分时考虑价格评审优惠政策。</w:t>
            </w:r>
          </w:p>
        </w:tc>
      </w:tr>
    </w:tbl>
    <w:p>
      <w:pPr>
        <w:ind w:firstLine="0" w:firstLineChars="0"/>
      </w:pPr>
      <w:r>
        <w:br w:type="page"/>
      </w:r>
    </w:p>
    <w:p>
      <w:pPr>
        <w:pStyle w:val="3"/>
        <w:ind w:firstLine="562"/>
        <w:rPr>
          <w:color w:val="000000" w:themeColor="text1"/>
          <w14:textFill>
            <w14:solidFill>
              <w14:schemeClr w14:val="tx1"/>
            </w14:solidFill>
          </w14:textFill>
        </w:rPr>
        <w:sectPr>
          <w:pgSz w:w="11905" w:h="16838"/>
          <w:pgMar w:top="1440" w:right="1803" w:bottom="1440" w:left="1803" w:header="850" w:footer="992" w:gutter="0"/>
          <w:cols w:space="0" w:num="1"/>
          <w:docGrid w:linePitch="312" w:charSpace="0"/>
        </w:sectPr>
      </w:pPr>
    </w:p>
    <w:p>
      <w:pPr>
        <w:pStyle w:val="3"/>
        <w:bidi w:val="0"/>
      </w:pPr>
      <w:bookmarkStart w:id="53" w:name="_Toc3063"/>
      <w:r>
        <w:t>第四部分 商务、技术要求</w:t>
      </w:r>
      <w:bookmarkEnd w:id="40"/>
      <w:bookmarkEnd w:id="41"/>
      <w:bookmarkEnd w:id="53"/>
      <w:bookmarkStart w:id="54" w:name="_Toc4264"/>
      <w:bookmarkStart w:id="55" w:name="_Toc22196"/>
    </w:p>
    <w:p>
      <w:pPr>
        <w:pStyle w:val="4"/>
        <w:jc w:val="center"/>
        <w:rPr>
          <w:rFonts w:ascii="Times New Roman" w:hAnsi="Times New Roman"/>
          <w:color w:val="000000" w:themeColor="text1"/>
          <w14:textFill>
            <w14:solidFill>
              <w14:schemeClr w14:val="tx1"/>
            </w14:solidFill>
          </w14:textFill>
        </w:rPr>
      </w:pPr>
      <w:bookmarkStart w:id="56" w:name="_Toc1895"/>
      <w:r>
        <w:rPr>
          <w:rFonts w:ascii="Times New Roman" w:hAnsi="Times New Roman"/>
          <w:color w:val="000000" w:themeColor="text1"/>
          <w14:textFill>
            <w14:solidFill>
              <w14:schemeClr w14:val="tx1"/>
            </w14:solidFill>
          </w14:textFill>
        </w:rPr>
        <w:t>商务要求</w:t>
      </w:r>
      <w:bookmarkEnd w:id="56"/>
    </w:p>
    <w:bookmarkEnd w:id="54"/>
    <w:bookmarkEnd w:id="55"/>
    <w:p>
      <w:pPr>
        <w:snapToGrid w:val="0"/>
        <w:spacing w:line="360" w:lineRule="auto"/>
        <w:ind w:firstLine="562"/>
        <w:rPr>
          <w:b/>
          <w:bCs/>
          <w:color w:val="000000" w:themeColor="text1"/>
          <w14:textFill>
            <w14:solidFill>
              <w14:schemeClr w14:val="tx1"/>
            </w14:solidFill>
          </w14:textFill>
        </w:rPr>
      </w:pPr>
      <w:r>
        <w:rPr>
          <w:b/>
          <w:bCs/>
          <w:color w:val="000000" w:themeColor="text1"/>
          <w14:textFill>
            <w14:solidFill>
              <w14:schemeClr w14:val="tx1"/>
            </w14:solidFill>
          </w14:textFill>
        </w:rPr>
        <w:t>注：以下商务条款均为实质性条款，如不满足按投标无效处理。</w:t>
      </w:r>
    </w:p>
    <w:p>
      <w:pPr>
        <w:kinsoku w:val="0"/>
        <w:overflowPunct w:val="0"/>
        <w:autoSpaceDE w:val="0"/>
        <w:autoSpaceDN w:val="0"/>
        <w:snapToGrid w:val="0"/>
        <w:spacing w:line="360" w:lineRule="auto"/>
        <w:ind w:firstLine="0" w:firstLineChars="0"/>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t>一、设备发运</w:t>
      </w:r>
    </w:p>
    <w:p>
      <w:pPr>
        <w:kinsoku w:val="0"/>
        <w:overflowPunct w:val="0"/>
        <w:autoSpaceDE w:val="0"/>
        <w:autoSpaceDN w:val="0"/>
        <w:snapToGrid w:val="0"/>
        <w:spacing w:line="360" w:lineRule="auto"/>
        <w:ind w:firstLine="560"/>
        <w:rPr>
          <w:color w:val="000000" w:themeColor="text1"/>
          <w:kern w:val="0"/>
          <w:szCs w:val="28"/>
          <w:lang w:val="zh-CN"/>
          <w14:textFill>
            <w14:solidFill>
              <w14:schemeClr w14:val="tx1"/>
            </w14:solidFill>
          </w14:textFill>
        </w:rPr>
      </w:pPr>
      <w:r>
        <w:rPr>
          <w:color w:val="000000" w:themeColor="text1"/>
          <w:kern w:val="0"/>
          <w:szCs w:val="28"/>
          <w:lang w:val="zh-CN"/>
          <w14:textFill>
            <w14:solidFill>
              <w14:schemeClr w14:val="tx1"/>
            </w14:solidFill>
          </w14:textFill>
        </w:rPr>
        <w:t>1．交货承诺</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1.1交货日期：</w:t>
      </w:r>
    </w:p>
    <w:p>
      <w:pPr>
        <w:snapToGrid w:val="0"/>
        <w:spacing w:line="360" w:lineRule="auto"/>
        <w:ind w:firstLine="560"/>
        <w:rPr>
          <w:rFonts w:hint="eastAsia" w:eastAsia="宋体"/>
          <w:color w:val="000000" w:themeColor="text1"/>
          <w:szCs w:val="28"/>
          <w:lang w:eastAsia="zh-CN"/>
          <w14:textFill>
            <w14:solidFill>
              <w14:schemeClr w14:val="tx1"/>
            </w14:solidFill>
          </w14:textFill>
        </w:rPr>
      </w:pPr>
      <w:r>
        <w:rPr>
          <w:color w:val="000000" w:themeColor="text1"/>
          <w:szCs w:val="28"/>
          <w14:textFill>
            <w14:solidFill>
              <w14:schemeClr w14:val="tx1"/>
            </w14:solidFill>
          </w14:textFill>
        </w:rPr>
        <w:t>合同履行期限：</w:t>
      </w:r>
      <w:r>
        <w:rPr>
          <w:rFonts w:hint="eastAsia"/>
          <w:color w:val="000000" w:themeColor="text1"/>
          <w:szCs w:val="28"/>
          <w:shd w:val="clear" w:color="auto" w:fill="FFFFFF"/>
          <w14:textFill>
            <w14:solidFill>
              <w14:schemeClr w14:val="tx1"/>
            </w14:solidFill>
          </w14:textFill>
        </w:rPr>
        <w:t>合同签订之日起150日历天交货（如遇特殊情况，不能如期交货，供货方提前书面说明情况，经采购人同意后，双方另行约定交货日期）</w:t>
      </w:r>
      <w:r>
        <w:rPr>
          <w:rFonts w:hint="eastAsia"/>
          <w:color w:val="000000" w:themeColor="text1"/>
          <w:szCs w:val="28"/>
          <w:shd w:val="clear" w:color="auto" w:fill="FFFFFF"/>
          <w:lang w:eastAsia="zh-CN"/>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1.2交货地点：合同约定。</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1.3</w:t>
      </w:r>
      <w:r>
        <w:rPr>
          <w:color w:val="000000" w:themeColor="text1"/>
          <w:kern w:val="0"/>
          <w:szCs w:val="28"/>
          <w:lang w:val="zh-CN"/>
          <w14:textFill>
            <w14:solidFill>
              <w14:schemeClr w14:val="tx1"/>
            </w14:solidFill>
          </w14:textFill>
        </w:rPr>
        <w:t>投标人应在投标文件中提交保证按期交货的承诺和措施。</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w:t>
      </w:r>
      <w:r>
        <w:rPr>
          <w:color w:val="000000" w:themeColor="text1"/>
          <w:kern w:val="0"/>
          <w:szCs w:val="28"/>
          <w:lang w:val="zh-CN"/>
          <w14:textFill>
            <w14:solidFill>
              <w14:schemeClr w14:val="tx1"/>
            </w14:solidFill>
          </w14:textFill>
        </w:rPr>
        <w:t>.</w:t>
      </w:r>
      <w:r>
        <w:rPr>
          <w:color w:val="000000" w:themeColor="text1"/>
          <w:kern w:val="0"/>
          <w:szCs w:val="28"/>
          <w14:textFill>
            <w14:solidFill>
              <w14:schemeClr w14:val="tx1"/>
            </w14:solidFill>
          </w14:textFill>
        </w:rPr>
        <w:t>设备发运时间及要求</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2.1中标人负责将设备运抵货物需求表所指定地点，一切运输事项由中标人负责。</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2.2中标人须在发货前24小时通知采购人，以便及时安排人员进行接收。中标人要将货物送达指定地点并负责卸货。</w:t>
      </w:r>
    </w:p>
    <w:p>
      <w:pPr>
        <w:kinsoku w:val="0"/>
        <w:overflowPunct w:val="0"/>
        <w:autoSpaceDE w:val="0"/>
        <w:autoSpaceDN w:val="0"/>
        <w:snapToGrid w:val="0"/>
        <w:spacing w:line="360" w:lineRule="auto"/>
        <w:ind w:firstLine="0" w:firstLineChars="0"/>
        <w:rPr>
          <w:b/>
          <w:bCs/>
          <w:color w:val="000000" w:themeColor="text1"/>
          <w:kern w:val="0"/>
          <w:szCs w:val="28"/>
          <w14:textFill>
            <w14:solidFill>
              <w14:schemeClr w14:val="tx1"/>
            </w14:solidFill>
          </w14:textFill>
        </w:rPr>
      </w:pPr>
      <w:r>
        <w:rPr>
          <w:rFonts w:hint="eastAsia"/>
          <w:b/>
          <w:bCs/>
          <w:color w:val="000000" w:themeColor="text1"/>
          <w:kern w:val="0"/>
          <w:szCs w:val="28"/>
          <w14:textFill>
            <w14:solidFill>
              <w14:schemeClr w14:val="tx1"/>
            </w14:solidFill>
          </w14:textFill>
        </w:rPr>
        <w:t>二</w:t>
      </w:r>
      <w:r>
        <w:rPr>
          <w:b/>
          <w:bCs/>
          <w:color w:val="000000" w:themeColor="text1"/>
          <w:kern w:val="0"/>
          <w:szCs w:val="28"/>
          <w14:textFill>
            <w14:solidFill>
              <w14:schemeClr w14:val="tx1"/>
            </w14:solidFill>
          </w14:textFill>
        </w:rPr>
        <w:t>、售后服务</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1.投标文件中应提供完整的售后服务方案。</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内容包括售后服务机构、人员配备、培训</w:t>
      </w:r>
      <w:r>
        <w:rPr>
          <w:rFonts w:hint="eastAsia"/>
          <w:color w:val="000000" w:themeColor="text1"/>
          <w:kern w:val="0"/>
          <w:szCs w:val="28"/>
          <w14:textFill>
            <w14:solidFill>
              <w14:schemeClr w14:val="tx1"/>
            </w14:solidFill>
          </w14:textFill>
        </w:rPr>
        <w:t>、</w:t>
      </w:r>
      <w:r>
        <w:rPr>
          <w:color w:val="000000" w:themeColor="text1"/>
          <w:kern w:val="0"/>
          <w:szCs w:val="28"/>
          <w14:textFill>
            <w14:solidFill>
              <w14:schemeClr w14:val="tx1"/>
            </w14:solidFill>
          </w14:textFill>
        </w:rPr>
        <w:t>本地化服务措施、质保期、备品备件及易损件、故障响应及解决时间、定期巡检、经费保障、优惠条件等。</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2.售后服务要求：</w:t>
      </w:r>
    </w:p>
    <w:p>
      <w:pPr>
        <w:kinsoku w:val="0"/>
        <w:overflowPunct w:val="0"/>
        <w:autoSpaceDE w:val="0"/>
        <w:autoSpaceDN w:val="0"/>
        <w:snapToGrid w:val="0"/>
        <w:spacing w:line="360" w:lineRule="auto"/>
        <w:ind w:firstLine="560"/>
        <w:rPr>
          <w:rFonts w:hint="eastAsia"/>
          <w:kern w:val="0"/>
          <w:szCs w:val="28"/>
        </w:rPr>
      </w:pPr>
      <w:r>
        <w:rPr>
          <w:rFonts w:hint="eastAsia"/>
          <w:kern w:val="0"/>
          <w:szCs w:val="28"/>
        </w:rPr>
        <w:t>2.1质保期：上装质保期为验收合格后五年（底盘</w:t>
      </w:r>
      <w:r>
        <w:rPr>
          <w:rFonts w:hint="eastAsia"/>
          <w:kern w:val="0"/>
          <w:szCs w:val="28"/>
          <w:lang w:eastAsia="zh-CN"/>
        </w:rPr>
        <w:t>、</w:t>
      </w:r>
      <w:r>
        <w:rPr>
          <w:rFonts w:hint="eastAsia"/>
          <w:kern w:val="0"/>
          <w:szCs w:val="28"/>
        </w:rPr>
        <w:t>具体配件</w:t>
      </w:r>
      <w:r>
        <w:rPr>
          <w:rFonts w:hint="eastAsia"/>
          <w:kern w:val="0"/>
          <w:szCs w:val="28"/>
          <w:lang w:val="en-US" w:eastAsia="zh-CN"/>
        </w:rPr>
        <w:t>质保期按照</w:t>
      </w:r>
      <w:r>
        <w:rPr>
          <w:rFonts w:hint="eastAsia"/>
          <w:kern w:val="0"/>
          <w:szCs w:val="28"/>
        </w:rPr>
        <w:t>原厂质保期执行）</w:t>
      </w:r>
      <w:r>
        <w:rPr>
          <w:rFonts w:hint="eastAsia"/>
          <w:kern w:val="0"/>
          <w:szCs w:val="28"/>
          <w:lang w:eastAsia="zh-CN"/>
        </w:rPr>
        <w:t>，</w:t>
      </w:r>
      <w:r>
        <w:rPr>
          <w:rFonts w:hint="eastAsia"/>
          <w:kern w:val="0"/>
          <w:szCs w:val="28"/>
        </w:rPr>
        <w:t>质保期内提供免费服务。</w:t>
      </w:r>
    </w:p>
    <w:p>
      <w:pPr>
        <w:kinsoku w:val="0"/>
        <w:overflowPunct w:val="0"/>
        <w:autoSpaceDE w:val="0"/>
        <w:autoSpaceDN w:val="0"/>
        <w:snapToGrid w:val="0"/>
        <w:spacing w:line="360" w:lineRule="auto"/>
        <w:ind w:firstLine="560"/>
        <w:rPr>
          <w:rFonts w:hint="default"/>
          <w:kern w:val="0"/>
          <w:szCs w:val="28"/>
          <w:lang w:val="en-US"/>
        </w:rPr>
      </w:pPr>
      <w:r>
        <w:rPr>
          <w:rFonts w:hint="eastAsia"/>
          <w:kern w:val="0"/>
          <w:szCs w:val="28"/>
          <w:lang w:val="en-US" w:eastAsia="zh-CN"/>
        </w:rPr>
        <w:t>上述所有产品质保期的起算时点均为验收合格之日起算。</w:t>
      </w:r>
    </w:p>
    <w:p>
      <w:pPr>
        <w:kinsoku w:val="0"/>
        <w:overflowPunct w:val="0"/>
        <w:autoSpaceDE w:val="0"/>
        <w:autoSpaceDN w:val="0"/>
        <w:snapToGrid w:val="0"/>
        <w:spacing w:line="360" w:lineRule="auto"/>
        <w:ind w:firstLine="560"/>
        <w:rPr>
          <w:kern w:val="0"/>
          <w:szCs w:val="28"/>
        </w:rPr>
      </w:pPr>
      <w:r>
        <w:rPr>
          <w:kern w:val="0"/>
          <w:szCs w:val="28"/>
        </w:rPr>
        <w:t>2.2修复时间：质保期内即时响应（包括电话响应）；质保期内7*24电话即时响应；24小时内到达现场（如电话响应无法解决）。</w:t>
      </w:r>
    </w:p>
    <w:p>
      <w:pPr>
        <w:kinsoku w:val="0"/>
        <w:overflowPunct w:val="0"/>
        <w:autoSpaceDE w:val="0"/>
        <w:autoSpaceDN w:val="0"/>
        <w:snapToGrid w:val="0"/>
        <w:spacing w:line="360" w:lineRule="auto"/>
        <w:ind w:firstLine="0" w:firstLineChars="0"/>
        <w:rPr>
          <w:b/>
          <w:bCs/>
          <w:color w:val="000000" w:themeColor="text1"/>
          <w:kern w:val="0"/>
          <w:szCs w:val="28"/>
          <w14:textFill>
            <w14:solidFill>
              <w14:schemeClr w14:val="tx1"/>
            </w14:solidFill>
          </w14:textFill>
        </w:rPr>
      </w:pPr>
      <w:r>
        <w:rPr>
          <w:rFonts w:hint="eastAsia"/>
          <w:b/>
          <w:bCs/>
          <w:color w:val="000000" w:themeColor="text1"/>
          <w:kern w:val="0"/>
          <w:szCs w:val="28"/>
          <w14:textFill>
            <w14:solidFill>
              <w14:schemeClr w14:val="tx1"/>
            </w14:solidFill>
          </w14:textFill>
        </w:rPr>
        <w:t>三</w:t>
      </w:r>
      <w:r>
        <w:rPr>
          <w:b/>
          <w:bCs/>
          <w:color w:val="000000" w:themeColor="text1"/>
          <w:kern w:val="0"/>
          <w:szCs w:val="28"/>
          <w14:textFill>
            <w14:solidFill>
              <w14:schemeClr w14:val="tx1"/>
            </w14:solidFill>
          </w14:textFill>
        </w:rPr>
        <w:t>、履约保证金</w:t>
      </w:r>
    </w:p>
    <w:p>
      <w:pPr>
        <w:snapToGrid w:val="0"/>
        <w:spacing w:line="360" w:lineRule="auto"/>
        <w:ind w:firstLine="560"/>
        <w:rPr>
          <w:color w:val="000000" w:themeColor="text1"/>
          <w:szCs w:val="28"/>
          <w14:textFill>
            <w14:solidFill>
              <w14:schemeClr w14:val="tx1"/>
            </w14:solidFill>
          </w14:textFill>
        </w:rPr>
      </w:pPr>
      <w:r>
        <w:rPr>
          <w:color w:val="000000" w:themeColor="text1"/>
          <w:szCs w:val="28"/>
          <w14:textFill>
            <w14:solidFill>
              <w14:schemeClr w14:val="tx1"/>
            </w14:solidFill>
          </w14:textFill>
        </w:rPr>
        <w:t>采购合同签订后，</w:t>
      </w:r>
      <w:r>
        <w:rPr>
          <w:rFonts w:hint="eastAsia"/>
          <w:color w:val="000000" w:themeColor="text1"/>
          <w:szCs w:val="28"/>
          <w14:textFill>
            <w14:solidFill>
              <w14:schemeClr w14:val="tx1"/>
            </w14:solidFill>
          </w14:textFill>
        </w:rPr>
        <w:t>十五个工作日内</w:t>
      </w:r>
      <w:r>
        <w:rPr>
          <w:color w:val="000000" w:themeColor="text1"/>
          <w:szCs w:val="28"/>
          <w14:textFill>
            <w14:solidFill>
              <w14:schemeClr w14:val="tx1"/>
            </w14:solidFill>
          </w14:textFill>
        </w:rPr>
        <w:t>，</w:t>
      </w:r>
      <w:r>
        <w:rPr>
          <w:rFonts w:hint="eastAsia"/>
          <w:color w:val="000000" w:themeColor="text1"/>
          <w:szCs w:val="28"/>
          <w14:textFill>
            <w14:solidFill>
              <w14:schemeClr w14:val="tx1"/>
            </w14:solidFill>
          </w14:textFill>
        </w:rPr>
        <w:t>乙方应当按照甲方的要求以支票、汇票、本票或者金融机构、担保机构出具的保函等非现金形式提交合同总金额的5%作为履约保证金</w:t>
      </w:r>
      <w:r>
        <w:rPr>
          <w:color w:val="000000" w:themeColor="text1"/>
          <w:szCs w:val="28"/>
          <w14:textFill>
            <w14:solidFill>
              <w14:schemeClr w14:val="tx1"/>
            </w14:solidFill>
          </w14:textFill>
        </w:rPr>
        <w:t>。</w:t>
      </w:r>
    </w:p>
    <w:p>
      <w:pPr>
        <w:kinsoku w:val="0"/>
        <w:overflowPunct w:val="0"/>
        <w:autoSpaceDE w:val="0"/>
        <w:autoSpaceDN w:val="0"/>
        <w:snapToGrid w:val="0"/>
        <w:spacing w:line="360" w:lineRule="auto"/>
        <w:ind w:firstLine="0" w:firstLineChars="0"/>
        <w:rPr>
          <w:b/>
          <w:bCs/>
          <w:color w:val="000000" w:themeColor="text1"/>
          <w:kern w:val="0"/>
          <w:szCs w:val="28"/>
          <w14:textFill>
            <w14:solidFill>
              <w14:schemeClr w14:val="tx1"/>
            </w14:solidFill>
          </w14:textFill>
        </w:rPr>
      </w:pPr>
      <w:r>
        <w:rPr>
          <w:rFonts w:hint="eastAsia"/>
          <w:b/>
          <w:bCs/>
          <w:color w:val="000000" w:themeColor="text1"/>
          <w:kern w:val="0"/>
          <w:szCs w:val="28"/>
          <w14:textFill>
            <w14:solidFill>
              <w14:schemeClr w14:val="tx1"/>
            </w14:solidFill>
          </w14:textFill>
        </w:rPr>
        <w:t>四</w:t>
      </w:r>
      <w:r>
        <w:rPr>
          <w:b/>
          <w:bCs/>
          <w:color w:val="000000" w:themeColor="text1"/>
          <w:kern w:val="0"/>
          <w:szCs w:val="28"/>
          <w14:textFill>
            <w14:solidFill>
              <w14:schemeClr w14:val="tx1"/>
            </w14:solidFill>
          </w14:textFill>
        </w:rPr>
        <w:t>、货款支付</w:t>
      </w:r>
    </w:p>
    <w:p>
      <w:pPr>
        <w:snapToGrid w:val="0"/>
        <w:spacing w:line="360" w:lineRule="auto"/>
        <w:ind w:firstLine="560"/>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采购合同签订后，凭供应商等额有效收据，支付合同金额的30%作为预付款；项目交付后，凭供应商等额有效收据，支付合同金额的40%；验收合格并经结算审计后，凭供应商合同全额发票，支付至审计后总金额的100%。</w:t>
      </w:r>
    </w:p>
    <w:p>
      <w:pPr>
        <w:kinsoku w:val="0"/>
        <w:overflowPunct w:val="0"/>
        <w:autoSpaceDE w:val="0"/>
        <w:autoSpaceDN w:val="0"/>
        <w:snapToGrid w:val="0"/>
        <w:spacing w:line="360" w:lineRule="auto"/>
        <w:ind w:firstLine="0" w:firstLineChars="0"/>
        <w:rPr>
          <w:b/>
          <w:bCs/>
          <w:color w:val="000000" w:themeColor="text1"/>
          <w:kern w:val="0"/>
          <w:szCs w:val="28"/>
          <w14:textFill>
            <w14:solidFill>
              <w14:schemeClr w14:val="tx1"/>
            </w14:solidFill>
          </w14:textFill>
        </w:rPr>
      </w:pPr>
      <w:r>
        <w:rPr>
          <w:rFonts w:hint="eastAsia"/>
          <w:b/>
          <w:bCs/>
          <w:color w:val="000000" w:themeColor="text1"/>
          <w:kern w:val="0"/>
          <w:szCs w:val="28"/>
          <w14:textFill>
            <w14:solidFill>
              <w14:schemeClr w14:val="tx1"/>
            </w14:solidFill>
          </w14:textFill>
        </w:rPr>
        <w:t>五</w:t>
      </w:r>
      <w:r>
        <w:rPr>
          <w:b/>
          <w:bCs/>
          <w:color w:val="000000" w:themeColor="text1"/>
          <w:kern w:val="0"/>
          <w:szCs w:val="28"/>
          <w14:textFill>
            <w14:solidFill>
              <w14:schemeClr w14:val="tx1"/>
            </w14:solidFill>
          </w14:textFill>
        </w:rPr>
        <w:t>、其他要求</w:t>
      </w:r>
    </w:p>
    <w:p>
      <w:pPr>
        <w:snapToGrid w:val="0"/>
        <w:spacing w:line="360" w:lineRule="auto"/>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1.</w:t>
      </w:r>
      <w:r>
        <w:rPr>
          <w:color w:val="000000" w:themeColor="text1"/>
          <w14:textFill>
            <w14:solidFill>
              <w14:schemeClr w14:val="tx1"/>
            </w14:solidFill>
          </w14:textFill>
        </w:rPr>
        <w:t>投标货物参数如有国家最新标准，按最新标准执行。</w:t>
      </w:r>
    </w:p>
    <w:p>
      <w:pPr>
        <w:snapToGrid w:val="0"/>
        <w:spacing w:line="360" w:lineRule="auto"/>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2.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snapToGrid w:val="0"/>
        <w:spacing w:line="360" w:lineRule="auto"/>
        <w:ind w:firstLine="560"/>
        <w:rPr>
          <w:color w:val="000000" w:themeColor="text1"/>
          <w14:textFill>
            <w14:solidFill>
              <w14:schemeClr w14:val="tx1"/>
            </w14:solidFill>
          </w14:textFill>
        </w:rPr>
      </w:pPr>
      <w:r>
        <w:rPr>
          <w:rFonts w:hint="eastAsia"/>
          <w:color w:val="000000" w:themeColor="text1"/>
          <w14:textFill>
            <w14:solidFill>
              <w14:schemeClr w14:val="tx1"/>
            </w14:solidFill>
          </w14:textFill>
        </w:rPr>
        <w:t>3.投标人</w:t>
      </w:r>
      <w:r>
        <w:rPr>
          <w:color w:val="000000" w:themeColor="text1"/>
          <w14:textFill>
            <w14:solidFill>
              <w14:schemeClr w14:val="tx1"/>
            </w14:solidFill>
          </w14:textFill>
        </w:rPr>
        <w:t>须在投标文件中提交所投车辆</w:t>
      </w:r>
      <w:r>
        <w:rPr>
          <w:rFonts w:hint="eastAsia"/>
          <w:color w:val="000000" w:themeColor="text1"/>
          <w14:textFill>
            <w14:solidFill>
              <w14:schemeClr w14:val="tx1"/>
            </w14:solidFill>
          </w14:textFill>
        </w:rPr>
        <w:t>中华人民共和国工业和信息化部颁布《道路机动车辆生产企业及产品公告》所在批次首页和所投车辆所在页的复印件，标明所投车辆位置</w:t>
      </w:r>
      <w:r>
        <w:rPr>
          <w:color w:val="000000" w:themeColor="text1"/>
          <w14:textFill>
            <w14:solidFill>
              <w14:schemeClr w14:val="tx1"/>
            </w14:solidFill>
          </w14:textFill>
        </w:rPr>
        <w:t>；如未取得所投车辆</w:t>
      </w:r>
      <w:r>
        <w:rPr>
          <w:rFonts w:hint="eastAsia"/>
          <w:color w:val="000000" w:themeColor="text1"/>
          <w14:textFill>
            <w14:solidFill>
              <w14:schemeClr w14:val="tx1"/>
            </w14:solidFill>
          </w14:textFill>
        </w:rPr>
        <w:t>公告</w:t>
      </w:r>
      <w:r>
        <w:rPr>
          <w:color w:val="000000" w:themeColor="text1"/>
          <w14:textFill>
            <w14:solidFill>
              <w14:schemeClr w14:val="tx1"/>
            </w14:solidFill>
          </w14:textFill>
        </w:rPr>
        <w:t>的，须承诺交货时提供该车型的</w:t>
      </w:r>
      <w:r>
        <w:rPr>
          <w:rFonts w:hint="eastAsia"/>
          <w:color w:val="000000" w:themeColor="text1"/>
          <w14:textFill>
            <w14:solidFill>
              <w14:schemeClr w14:val="tx1"/>
            </w14:solidFill>
          </w14:textFill>
        </w:rPr>
        <w:t>中华人民共和国工业和信息化部《道路机动车辆生产企业及产品公告》</w:t>
      </w:r>
      <w:r>
        <w:rPr>
          <w:color w:val="000000" w:themeColor="text1"/>
          <w14:textFill>
            <w14:solidFill>
              <w14:schemeClr w14:val="tx1"/>
            </w14:solidFill>
          </w14:textFill>
        </w:rPr>
        <w:t>（提交承诺函</w:t>
      </w:r>
      <w:r>
        <w:rPr>
          <w:rFonts w:hint="eastAsia"/>
          <w:color w:val="000000" w:themeColor="text1"/>
          <w14:textFill>
            <w14:solidFill>
              <w14:schemeClr w14:val="tx1"/>
            </w14:solidFill>
          </w14:textFill>
        </w:rPr>
        <w:t>，格式自拟</w:t>
      </w:r>
      <w:r>
        <w:rPr>
          <w:color w:val="000000" w:themeColor="text1"/>
          <w14:textFill>
            <w14:solidFill>
              <w14:schemeClr w14:val="tx1"/>
            </w14:solidFill>
          </w14:textFill>
        </w:rPr>
        <w:t>）。</w:t>
      </w:r>
    </w:p>
    <w:p>
      <w:pPr>
        <w:numPr>
          <w:ilvl w:val="0"/>
          <w:numId w:val="37"/>
        </w:numPr>
        <w:kinsoku w:val="0"/>
        <w:overflowPunct w:val="0"/>
        <w:autoSpaceDE w:val="0"/>
        <w:autoSpaceDN w:val="0"/>
        <w:snapToGrid w:val="0"/>
        <w:spacing w:line="360" w:lineRule="auto"/>
        <w:ind w:firstLine="0" w:firstLineChars="0"/>
        <w:rPr>
          <w:b/>
          <w:bCs/>
          <w:color w:val="000000" w:themeColor="text1"/>
          <w:kern w:val="0"/>
          <w:szCs w:val="28"/>
          <w14:textFill>
            <w14:solidFill>
              <w14:schemeClr w14:val="tx1"/>
            </w14:solidFill>
          </w14:textFill>
        </w:rPr>
      </w:pPr>
      <w:r>
        <w:rPr>
          <w:rFonts w:hint="eastAsia"/>
          <w:b/>
          <w:bCs/>
          <w:color w:val="000000" w:themeColor="text1"/>
          <w:kern w:val="0"/>
          <w:szCs w:val="28"/>
          <w14:textFill>
            <w14:solidFill>
              <w14:schemeClr w14:val="tx1"/>
            </w14:solidFill>
          </w14:textFill>
        </w:rPr>
        <w:t>验收内容详见附件，附件内容须全部进行承诺响应。</w:t>
      </w:r>
    </w:p>
    <w:p>
      <w:pPr>
        <w:ind w:firstLine="562"/>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rPr>
          <w:b/>
          <w:bCs/>
          <w:color w:val="000000" w:themeColor="text1"/>
          <w:kern w:val="0"/>
          <w:sz w:val="24"/>
          <w14:textFill>
            <w14:solidFill>
              <w14:schemeClr w14:val="tx1"/>
            </w14:solidFill>
          </w14:textFill>
        </w:rPr>
      </w:pPr>
      <w:r>
        <w:rPr>
          <w:b/>
          <w:bCs/>
          <w:color w:val="000000" w:themeColor="text1"/>
          <w:kern w:val="0"/>
          <w:sz w:val="24"/>
          <w14:textFill>
            <w14:solidFill>
              <w14:schemeClr w14:val="tx1"/>
            </w14:solidFill>
          </w14:textFill>
        </w:rPr>
        <w:t>附件：</w:t>
      </w:r>
    </w:p>
    <w:p>
      <w:pPr>
        <w:adjustRightInd w:val="0"/>
        <w:snapToGrid w:val="0"/>
        <w:spacing w:line="360" w:lineRule="auto"/>
        <w:ind w:firstLine="0" w:firstLineChars="0"/>
        <w:jc w:val="center"/>
        <w:rPr>
          <w:b/>
          <w:bCs/>
          <w:color w:val="000000"/>
          <w:szCs w:val="28"/>
        </w:rPr>
      </w:pPr>
      <w:r>
        <w:rPr>
          <w:b/>
          <w:bCs/>
          <w:color w:val="000000"/>
          <w:szCs w:val="28"/>
        </w:rPr>
        <w:t>山西省消防救援总队灭火救援装备验收规程</w:t>
      </w:r>
    </w:p>
    <w:p>
      <w:pPr>
        <w:adjustRightInd w:val="0"/>
        <w:snapToGrid w:val="0"/>
        <w:spacing w:line="360" w:lineRule="auto"/>
        <w:ind w:firstLine="0" w:firstLineChars="0"/>
        <w:jc w:val="center"/>
        <w:rPr>
          <w:b/>
          <w:bCs/>
          <w:color w:val="000000"/>
          <w:sz w:val="24"/>
        </w:rPr>
      </w:pPr>
      <w:r>
        <w:rPr>
          <w:b/>
          <w:bCs/>
          <w:color w:val="000000"/>
          <w:sz w:val="24"/>
        </w:rPr>
        <w:t>(试行)</w:t>
      </w:r>
    </w:p>
    <w:p>
      <w:pPr>
        <w:adjustRightInd w:val="0"/>
        <w:snapToGrid w:val="0"/>
        <w:spacing w:line="360" w:lineRule="auto"/>
        <w:ind w:firstLine="0" w:firstLineChars="0"/>
        <w:jc w:val="center"/>
        <w:rPr>
          <w:b/>
          <w:bCs/>
          <w:color w:val="000000"/>
          <w:sz w:val="24"/>
        </w:rPr>
      </w:pPr>
      <w:r>
        <w:rPr>
          <w:b/>
          <w:bCs/>
          <w:color w:val="000000"/>
          <w:sz w:val="24"/>
        </w:rPr>
        <w:t>第一章　总 则</w:t>
      </w:r>
    </w:p>
    <w:p>
      <w:pPr>
        <w:adjustRightInd w:val="0"/>
        <w:snapToGrid w:val="0"/>
        <w:spacing w:line="360" w:lineRule="auto"/>
        <w:ind w:firstLine="482"/>
        <w:rPr>
          <w:color w:val="000000"/>
          <w:sz w:val="24"/>
        </w:rPr>
      </w:pPr>
      <w:r>
        <w:rPr>
          <w:b/>
          <w:bCs/>
          <w:color w:val="000000"/>
          <w:sz w:val="24"/>
        </w:rPr>
        <w:t>第一条</w:t>
      </w:r>
      <w:r>
        <w:rPr>
          <w:color w:val="000000"/>
          <w:sz w:val="24"/>
        </w:rPr>
        <w:t xml:space="preserve">  为规范全省消防救援队伍灭火救援装备采购工作中的验收环节，确保装备采购质量，按照《消防救援局关于加强灭火救援装备采购管理工作的通知》《消防救援队伍政府采购管理暂行办法》《政府采购需求管理办法》《消防救援队伍消防装备器材采购管理监督八项措施》等要求，结合我省消防救援队伍实际，制定本规程。</w:t>
      </w:r>
    </w:p>
    <w:p>
      <w:pPr>
        <w:adjustRightInd w:val="0"/>
        <w:snapToGrid w:val="0"/>
        <w:spacing w:line="360" w:lineRule="auto"/>
        <w:ind w:firstLine="482"/>
        <w:rPr>
          <w:color w:val="000000"/>
          <w:sz w:val="24"/>
        </w:rPr>
      </w:pPr>
      <w:r>
        <w:rPr>
          <w:b/>
          <w:bCs/>
          <w:color w:val="000000"/>
          <w:sz w:val="24"/>
        </w:rPr>
        <w:t>第二条</w:t>
      </w:r>
      <w:r>
        <w:rPr>
          <w:color w:val="000000"/>
          <w:sz w:val="24"/>
        </w:rPr>
        <w:t xml:space="preserve">  本规程所称灭火救援装备（以下简称装备）,是指消防救援队伍用于执勤训练、灭火救援、战勤保障等任务的消防车辆、消防船艇、消防飞行器、消防员防护装备、灭火救援器材、通信器材、药剂及其它专用装备与附属设施、设备。</w:t>
      </w:r>
    </w:p>
    <w:p>
      <w:pPr>
        <w:adjustRightInd w:val="0"/>
        <w:snapToGrid w:val="0"/>
        <w:spacing w:line="360" w:lineRule="auto"/>
        <w:ind w:firstLine="482"/>
        <w:rPr>
          <w:color w:val="000000"/>
          <w:sz w:val="24"/>
        </w:rPr>
      </w:pPr>
      <w:r>
        <w:rPr>
          <w:b/>
          <w:bCs/>
          <w:color w:val="000000"/>
          <w:sz w:val="24"/>
        </w:rPr>
        <w:t>第三条</w:t>
      </w:r>
      <w:r>
        <w:rPr>
          <w:color w:val="000000"/>
          <w:sz w:val="24"/>
        </w:rPr>
        <w:t xml:space="preserve">  装备验收是指采购人依据采购档案（含招标文件、投标文件、采购合同、封样样品、投标人所做的其他承诺等，下同）对交付的装备数量、规格型号、检测报告或产品认证、质量性能等进行检验、核实和评估，以确认其提供的装备是否符合采购合同约定的标准和要求。</w:t>
      </w:r>
    </w:p>
    <w:p>
      <w:pPr>
        <w:adjustRightInd w:val="0"/>
        <w:snapToGrid w:val="0"/>
        <w:spacing w:line="360" w:lineRule="auto"/>
        <w:ind w:firstLine="482"/>
        <w:rPr>
          <w:color w:val="000000"/>
          <w:sz w:val="24"/>
        </w:rPr>
      </w:pPr>
      <w:r>
        <w:rPr>
          <w:b/>
          <w:bCs/>
          <w:color w:val="000000"/>
          <w:sz w:val="24"/>
        </w:rPr>
        <w:t>第四条</w:t>
      </w:r>
      <w:r>
        <w:rPr>
          <w:color w:val="000000"/>
          <w:sz w:val="24"/>
        </w:rPr>
        <w:t xml:space="preserve">  装备验收工作应当遵循“集采集验、客观公正”的原则，严格执行相关法律、法规和合同条款，切实维护保障队伍合法权益。</w:t>
      </w:r>
    </w:p>
    <w:p>
      <w:pPr>
        <w:adjustRightInd w:val="0"/>
        <w:snapToGrid w:val="0"/>
        <w:spacing w:line="360" w:lineRule="auto"/>
        <w:ind w:firstLine="482"/>
        <w:rPr>
          <w:color w:val="000000"/>
          <w:sz w:val="24"/>
        </w:rPr>
      </w:pPr>
      <w:r>
        <w:rPr>
          <w:b/>
          <w:bCs/>
          <w:color w:val="000000"/>
          <w:sz w:val="24"/>
        </w:rPr>
        <w:t>第五条</w:t>
      </w:r>
      <w:r>
        <w:rPr>
          <w:color w:val="000000"/>
          <w:sz w:val="24"/>
        </w:rPr>
        <w:t xml:space="preserve"> 集采装备验收工作在总队灭火救援装备集中采购工作领导小组领导下工作，由总队后勤装备处牵头，会同作战训练处、信息通信处、采购办、训练与战勤保障支队及相关部门和各需求单位共同组织实施。自采装备验收工作由各支队参考本规程自行组织实施。技术复杂、专业性强的装备采购项目（品类），经采购领导小组审批后可委托国家认可的质量检测机构或专业技术人员进行验收。</w:t>
      </w:r>
    </w:p>
    <w:p>
      <w:pPr>
        <w:adjustRightInd w:val="0"/>
        <w:snapToGrid w:val="0"/>
        <w:spacing w:line="360" w:lineRule="auto"/>
        <w:ind w:firstLine="482"/>
        <w:rPr>
          <w:color w:val="000000"/>
          <w:sz w:val="24"/>
        </w:rPr>
      </w:pPr>
      <w:r>
        <w:rPr>
          <w:b/>
          <w:bCs/>
          <w:color w:val="000000"/>
          <w:sz w:val="24"/>
        </w:rPr>
        <w:t>第六条</w:t>
      </w:r>
      <w:r>
        <w:rPr>
          <w:color w:val="000000"/>
          <w:sz w:val="24"/>
        </w:rPr>
        <w:t xml:space="preserve"> 装备验收组（第三方机构除外）由战训、信通、装备管理干部、执勤消防站指战员、装备质检员、装备维护员（特种消防车驾驶员）或相关专家等5人以上单数（含5人，至少有1名装备质检员，可按照项目规模酌情增加人数和比例）组成，宜有熟悉采购需求和技术要求的人员参加，可结合验收品目分成多个小组。采购人代表、评审专家以及政府采购回避制度规定的与供应商有利害关系的人员，不得作为验收组组成人员参与验收。</w:t>
      </w:r>
    </w:p>
    <w:p>
      <w:pPr>
        <w:adjustRightInd w:val="0"/>
        <w:snapToGrid w:val="0"/>
        <w:spacing w:line="360" w:lineRule="auto"/>
        <w:ind w:firstLine="482"/>
        <w:rPr>
          <w:color w:val="000000"/>
          <w:sz w:val="24"/>
        </w:rPr>
      </w:pPr>
      <w:r>
        <w:rPr>
          <w:b/>
          <w:bCs/>
          <w:color w:val="000000"/>
          <w:sz w:val="24"/>
        </w:rPr>
        <w:t>第七条</w:t>
      </w:r>
      <w:r>
        <w:rPr>
          <w:color w:val="000000"/>
          <w:sz w:val="24"/>
        </w:rPr>
        <w:t xml:space="preserve"> 职责分工</w:t>
      </w:r>
    </w:p>
    <w:p>
      <w:pPr>
        <w:adjustRightInd w:val="0"/>
        <w:snapToGrid w:val="0"/>
        <w:spacing w:line="360" w:lineRule="auto"/>
        <w:ind w:firstLine="480"/>
        <w:rPr>
          <w:color w:val="000000"/>
          <w:sz w:val="24"/>
        </w:rPr>
      </w:pPr>
      <w:r>
        <w:rPr>
          <w:color w:val="000000"/>
          <w:sz w:val="24"/>
        </w:rPr>
        <w:t>（一）装备验收工作组职责</w:t>
      </w:r>
    </w:p>
    <w:p>
      <w:pPr>
        <w:adjustRightInd w:val="0"/>
        <w:snapToGrid w:val="0"/>
        <w:spacing w:line="360" w:lineRule="auto"/>
        <w:ind w:firstLine="480"/>
        <w:rPr>
          <w:color w:val="000000"/>
          <w:sz w:val="24"/>
        </w:rPr>
      </w:pPr>
      <w:r>
        <w:rPr>
          <w:color w:val="000000"/>
          <w:sz w:val="24"/>
        </w:rPr>
        <w:t>1．拟定装备验收方案，组织验收前业务培训；</w:t>
      </w:r>
    </w:p>
    <w:p>
      <w:pPr>
        <w:adjustRightInd w:val="0"/>
        <w:snapToGrid w:val="0"/>
        <w:spacing w:line="360" w:lineRule="auto"/>
        <w:ind w:firstLine="480"/>
        <w:rPr>
          <w:color w:val="000000"/>
          <w:sz w:val="24"/>
        </w:rPr>
      </w:pPr>
      <w:r>
        <w:rPr>
          <w:color w:val="000000"/>
          <w:sz w:val="24"/>
        </w:rPr>
        <w:t>2．组织督促验收组成员认真履行职责，严格按照规定开展验收工作；</w:t>
      </w:r>
    </w:p>
    <w:p>
      <w:pPr>
        <w:adjustRightInd w:val="0"/>
        <w:snapToGrid w:val="0"/>
        <w:spacing w:line="360" w:lineRule="auto"/>
        <w:ind w:firstLine="480"/>
        <w:rPr>
          <w:color w:val="000000"/>
          <w:sz w:val="24"/>
        </w:rPr>
      </w:pPr>
      <w:r>
        <w:rPr>
          <w:color w:val="000000"/>
          <w:sz w:val="24"/>
        </w:rPr>
        <w:t>3．监督供应厂商履约进度，及时按照节点开展验收工作；</w:t>
      </w:r>
    </w:p>
    <w:p>
      <w:pPr>
        <w:adjustRightInd w:val="0"/>
        <w:snapToGrid w:val="0"/>
        <w:spacing w:line="360" w:lineRule="auto"/>
        <w:ind w:firstLine="480"/>
        <w:rPr>
          <w:color w:val="000000"/>
          <w:sz w:val="24"/>
        </w:rPr>
      </w:pPr>
      <w:r>
        <w:rPr>
          <w:color w:val="000000"/>
          <w:sz w:val="24"/>
        </w:rPr>
        <w:t>4．督促供应商做好灭火救援装备接装培训；</w:t>
      </w:r>
    </w:p>
    <w:p>
      <w:pPr>
        <w:adjustRightInd w:val="0"/>
        <w:snapToGrid w:val="0"/>
        <w:spacing w:line="360" w:lineRule="auto"/>
        <w:ind w:firstLine="480"/>
        <w:rPr>
          <w:color w:val="000000"/>
          <w:sz w:val="24"/>
        </w:rPr>
      </w:pPr>
      <w:r>
        <w:rPr>
          <w:color w:val="000000"/>
          <w:sz w:val="24"/>
        </w:rPr>
        <w:t>5．填报汇总验收资料，反馈验收情况；</w:t>
      </w:r>
    </w:p>
    <w:p>
      <w:pPr>
        <w:adjustRightInd w:val="0"/>
        <w:snapToGrid w:val="0"/>
        <w:spacing w:line="360" w:lineRule="auto"/>
        <w:ind w:firstLine="480"/>
        <w:rPr>
          <w:color w:val="000000"/>
          <w:sz w:val="24"/>
        </w:rPr>
      </w:pPr>
      <w:r>
        <w:rPr>
          <w:color w:val="000000"/>
          <w:sz w:val="24"/>
        </w:rPr>
        <w:t>6．后勤装备处负责人为第一责任人。</w:t>
      </w:r>
    </w:p>
    <w:p>
      <w:pPr>
        <w:adjustRightInd w:val="0"/>
        <w:snapToGrid w:val="0"/>
        <w:spacing w:line="360" w:lineRule="auto"/>
        <w:ind w:firstLine="480"/>
        <w:rPr>
          <w:color w:val="000000"/>
          <w:sz w:val="24"/>
        </w:rPr>
      </w:pPr>
      <w:r>
        <w:rPr>
          <w:color w:val="000000"/>
          <w:sz w:val="24"/>
        </w:rPr>
        <w:t>（二）装备验收组成员职责</w:t>
      </w:r>
    </w:p>
    <w:p>
      <w:pPr>
        <w:adjustRightInd w:val="0"/>
        <w:snapToGrid w:val="0"/>
        <w:spacing w:line="360" w:lineRule="auto"/>
        <w:ind w:firstLine="480"/>
        <w:rPr>
          <w:color w:val="000000"/>
          <w:sz w:val="24"/>
        </w:rPr>
      </w:pPr>
      <w:r>
        <w:rPr>
          <w:color w:val="000000"/>
          <w:sz w:val="24"/>
        </w:rPr>
        <w:t>1．根据采购档案结合实战需求，与各采购单位或使用单位共同对灭火救援车辆技术方案（样车）的主要部件、乘员室空间、器材厢设置以及灭火救援装备及其它装备物资样品的外观、结构组成、功能设置等提出优化或整改建议；</w:t>
      </w:r>
    </w:p>
    <w:p>
      <w:pPr>
        <w:adjustRightInd w:val="0"/>
        <w:snapToGrid w:val="0"/>
        <w:spacing w:line="360" w:lineRule="auto"/>
        <w:ind w:firstLine="480"/>
        <w:rPr>
          <w:color w:val="000000"/>
          <w:sz w:val="24"/>
        </w:rPr>
      </w:pPr>
      <w:r>
        <w:rPr>
          <w:color w:val="000000"/>
          <w:sz w:val="24"/>
        </w:rPr>
        <w:t>2．根据采购合同，对车辆整车型号、底盘规格及泵炮、吊臂、绞盘等核心部件进行核对，对车辆检测报告、工信部公告、中文技术档案、中文操作说明、培训视频等技术资料进行核对，对随车器材、维修配件的数量、规格、质保期等进行核对；</w:t>
      </w:r>
    </w:p>
    <w:p>
      <w:pPr>
        <w:adjustRightInd w:val="0"/>
        <w:snapToGrid w:val="0"/>
        <w:spacing w:line="360" w:lineRule="auto"/>
        <w:ind w:firstLine="480"/>
        <w:rPr>
          <w:color w:val="000000"/>
          <w:sz w:val="24"/>
        </w:rPr>
      </w:pPr>
      <w:r>
        <w:rPr>
          <w:color w:val="000000"/>
          <w:sz w:val="24"/>
        </w:rPr>
        <w:t>3．根据采购合同，对防护装备、灭火救援器材及其它装备物资的品牌、型号、产地、数量、质保期、技术资料及相关配件等进行核对；</w:t>
      </w:r>
    </w:p>
    <w:p>
      <w:pPr>
        <w:adjustRightInd w:val="0"/>
        <w:snapToGrid w:val="0"/>
        <w:spacing w:line="360" w:lineRule="auto"/>
        <w:ind w:firstLine="480"/>
        <w:rPr>
          <w:color w:val="000000"/>
          <w:sz w:val="24"/>
        </w:rPr>
      </w:pPr>
      <w:r>
        <w:rPr>
          <w:color w:val="000000"/>
          <w:sz w:val="24"/>
        </w:rPr>
        <w:t>4．与各采购单位或使用单位共同对灭火救援装备的主要性能、功能进行实装测试；</w:t>
      </w:r>
    </w:p>
    <w:p>
      <w:pPr>
        <w:adjustRightInd w:val="0"/>
        <w:snapToGrid w:val="0"/>
        <w:spacing w:line="360" w:lineRule="auto"/>
        <w:ind w:firstLine="480"/>
        <w:rPr>
          <w:color w:val="000000"/>
          <w:sz w:val="24"/>
        </w:rPr>
      </w:pPr>
      <w:r>
        <w:rPr>
          <w:color w:val="000000"/>
          <w:sz w:val="24"/>
        </w:rPr>
        <w:t>5．涉及信通类装备由后勤装备处牵头，信息通信处及相关单位具体组织验收，方法步骤按照本规程执行；</w:t>
      </w:r>
    </w:p>
    <w:p>
      <w:pPr>
        <w:adjustRightInd w:val="0"/>
        <w:snapToGrid w:val="0"/>
        <w:spacing w:line="360" w:lineRule="auto"/>
        <w:ind w:firstLine="480"/>
        <w:rPr>
          <w:color w:val="000000"/>
          <w:sz w:val="24"/>
        </w:rPr>
      </w:pPr>
      <w:r>
        <w:rPr>
          <w:color w:val="000000"/>
          <w:sz w:val="24"/>
        </w:rPr>
        <w:t>6．各组长为本验收组第一责任人。</w:t>
      </w:r>
    </w:p>
    <w:p>
      <w:pPr>
        <w:adjustRightInd w:val="0"/>
        <w:snapToGrid w:val="0"/>
        <w:spacing w:line="360" w:lineRule="auto"/>
        <w:ind w:firstLine="480"/>
        <w:rPr>
          <w:color w:val="000000"/>
          <w:sz w:val="24"/>
        </w:rPr>
      </w:pPr>
      <w:r>
        <w:rPr>
          <w:color w:val="000000"/>
          <w:sz w:val="24"/>
        </w:rPr>
        <w:t>（三）采购办职责：</w:t>
      </w:r>
    </w:p>
    <w:p>
      <w:pPr>
        <w:adjustRightInd w:val="0"/>
        <w:snapToGrid w:val="0"/>
        <w:spacing w:line="360" w:lineRule="auto"/>
        <w:ind w:firstLine="480"/>
        <w:rPr>
          <w:color w:val="000000"/>
          <w:sz w:val="24"/>
        </w:rPr>
      </w:pPr>
      <w:r>
        <w:rPr>
          <w:color w:val="000000"/>
          <w:sz w:val="24"/>
        </w:rPr>
        <w:t>1．负责提供中标供应商投标文件、合同、中标通知书等验收所需采购档案、资料；</w:t>
      </w:r>
    </w:p>
    <w:p>
      <w:pPr>
        <w:adjustRightInd w:val="0"/>
        <w:snapToGrid w:val="0"/>
        <w:spacing w:line="360" w:lineRule="auto"/>
        <w:ind w:firstLine="480"/>
        <w:rPr>
          <w:color w:val="000000"/>
          <w:sz w:val="24"/>
        </w:rPr>
      </w:pPr>
      <w:r>
        <w:rPr>
          <w:color w:val="000000"/>
          <w:sz w:val="24"/>
        </w:rPr>
        <w:t>2．配合做好灭火救援装备验收工作；</w:t>
      </w:r>
    </w:p>
    <w:p>
      <w:pPr>
        <w:adjustRightInd w:val="0"/>
        <w:snapToGrid w:val="0"/>
        <w:spacing w:line="360" w:lineRule="auto"/>
        <w:ind w:firstLine="480"/>
        <w:rPr>
          <w:color w:val="000000"/>
          <w:sz w:val="24"/>
        </w:rPr>
      </w:pPr>
      <w:r>
        <w:rPr>
          <w:color w:val="000000"/>
          <w:sz w:val="24"/>
        </w:rPr>
        <w:t>3．采购办负责人为第一责任人。</w:t>
      </w:r>
    </w:p>
    <w:p>
      <w:pPr>
        <w:adjustRightInd w:val="0"/>
        <w:snapToGrid w:val="0"/>
        <w:spacing w:line="360" w:lineRule="auto"/>
        <w:ind w:firstLine="480"/>
        <w:rPr>
          <w:color w:val="000000"/>
          <w:sz w:val="24"/>
        </w:rPr>
      </w:pPr>
      <w:r>
        <w:rPr>
          <w:color w:val="000000"/>
          <w:sz w:val="24"/>
        </w:rPr>
        <w:t>（四）训练与战勤保障支队人员职责：</w:t>
      </w:r>
    </w:p>
    <w:p>
      <w:pPr>
        <w:adjustRightInd w:val="0"/>
        <w:snapToGrid w:val="0"/>
        <w:spacing w:line="360" w:lineRule="auto"/>
        <w:ind w:firstLine="480"/>
        <w:rPr>
          <w:color w:val="000000"/>
          <w:sz w:val="24"/>
        </w:rPr>
      </w:pPr>
      <w:r>
        <w:rPr>
          <w:color w:val="000000"/>
          <w:sz w:val="24"/>
        </w:rPr>
        <w:t>1．负责封存保管防护装备和其它灭火救援器材物资样品；</w:t>
      </w:r>
    </w:p>
    <w:p>
      <w:pPr>
        <w:adjustRightInd w:val="0"/>
        <w:snapToGrid w:val="0"/>
        <w:spacing w:line="360" w:lineRule="auto"/>
        <w:ind w:firstLine="480"/>
        <w:rPr>
          <w:color w:val="000000"/>
          <w:sz w:val="24"/>
        </w:rPr>
      </w:pPr>
      <w:r>
        <w:rPr>
          <w:color w:val="000000"/>
          <w:sz w:val="24"/>
        </w:rPr>
        <w:t>2．负责接收、清点、保管、核对新购灭火救援装备，每周五向后勤装备处反馈一次集采装备到货情况；</w:t>
      </w:r>
    </w:p>
    <w:p>
      <w:pPr>
        <w:adjustRightInd w:val="0"/>
        <w:snapToGrid w:val="0"/>
        <w:spacing w:line="360" w:lineRule="auto"/>
        <w:ind w:firstLine="480"/>
        <w:rPr>
          <w:color w:val="000000"/>
          <w:sz w:val="24"/>
        </w:rPr>
      </w:pPr>
      <w:r>
        <w:rPr>
          <w:color w:val="000000"/>
          <w:sz w:val="24"/>
        </w:rPr>
        <w:t>3．负责按照有关通知要求对新购含有水力系统消防车辆开展水力性能测试，并将测试结果及时反馈装备验收组；</w:t>
      </w:r>
    </w:p>
    <w:p>
      <w:pPr>
        <w:adjustRightInd w:val="0"/>
        <w:snapToGrid w:val="0"/>
        <w:spacing w:line="360" w:lineRule="auto"/>
        <w:ind w:firstLine="480"/>
        <w:rPr>
          <w:color w:val="000000"/>
          <w:sz w:val="24"/>
        </w:rPr>
      </w:pPr>
      <w:r>
        <w:rPr>
          <w:color w:val="000000"/>
          <w:sz w:val="24"/>
        </w:rPr>
        <w:t>4．按照验收工作组通知，及时发放验收合格装备，填报确认验收单据；</w:t>
      </w:r>
    </w:p>
    <w:p>
      <w:pPr>
        <w:adjustRightInd w:val="0"/>
        <w:snapToGrid w:val="0"/>
        <w:spacing w:line="360" w:lineRule="auto"/>
        <w:ind w:firstLine="480"/>
        <w:rPr>
          <w:color w:val="000000"/>
          <w:sz w:val="24"/>
        </w:rPr>
      </w:pPr>
      <w:r>
        <w:rPr>
          <w:color w:val="000000"/>
          <w:sz w:val="24"/>
        </w:rPr>
        <w:t>5．支队主官为第一责任人。</w:t>
      </w:r>
    </w:p>
    <w:p>
      <w:pPr>
        <w:adjustRightInd w:val="0"/>
        <w:snapToGrid w:val="0"/>
        <w:spacing w:line="360" w:lineRule="auto"/>
        <w:ind w:firstLine="480"/>
        <w:rPr>
          <w:color w:val="000000"/>
          <w:sz w:val="24"/>
        </w:rPr>
      </w:pPr>
      <w:r>
        <w:rPr>
          <w:color w:val="000000"/>
          <w:sz w:val="24"/>
        </w:rPr>
        <w:t>（五）需求单位职责：</w:t>
      </w:r>
    </w:p>
    <w:p>
      <w:pPr>
        <w:adjustRightInd w:val="0"/>
        <w:snapToGrid w:val="0"/>
        <w:spacing w:line="360" w:lineRule="auto"/>
        <w:ind w:firstLine="480"/>
        <w:rPr>
          <w:color w:val="000000"/>
          <w:sz w:val="24"/>
        </w:rPr>
      </w:pPr>
      <w:r>
        <w:rPr>
          <w:color w:val="000000"/>
          <w:sz w:val="24"/>
        </w:rPr>
        <w:t>1．按照验收方案，调派战训、信通、装备管理干部，执勤消防站指战员，装备质量检验员，装备维护员（特种消防车驾驶员）等人员参加验收工作；</w:t>
      </w:r>
    </w:p>
    <w:p>
      <w:pPr>
        <w:adjustRightInd w:val="0"/>
        <w:snapToGrid w:val="0"/>
        <w:spacing w:line="360" w:lineRule="auto"/>
        <w:ind w:firstLine="480"/>
        <w:rPr>
          <w:color w:val="000000"/>
          <w:sz w:val="24"/>
        </w:rPr>
      </w:pPr>
      <w:r>
        <w:rPr>
          <w:color w:val="000000"/>
          <w:sz w:val="24"/>
        </w:rPr>
        <w:t>2．根据一线灭火救援任务需求，对新购灭火救援装备提出合理的整（修）改意见和建议；</w:t>
      </w:r>
    </w:p>
    <w:p>
      <w:pPr>
        <w:adjustRightInd w:val="0"/>
        <w:snapToGrid w:val="0"/>
        <w:spacing w:line="360" w:lineRule="auto"/>
        <w:ind w:firstLine="480"/>
        <w:rPr>
          <w:color w:val="000000"/>
          <w:sz w:val="24"/>
        </w:rPr>
      </w:pPr>
      <w:r>
        <w:rPr>
          <w:color w:val="000000"/>
          <w:sz w:val="24"/>
        </w:rPr>
        <w:t>3．合理安排人员参加消防车水力性能测试和灭火救援装备接装培训，及时完成验收合格装备的货款支付；</w:t>
      </w:r>
    </w:p>
    <w:p>
      <w:pPr>
        <w:adjustRightInd w:val="0"/>
        <w:snapToGrid w:val="0"/>
        <w:spacing w:line="360" w:lineRule="auto"/>
        <w:ind w:firstLine="480"/>
        <w:rPr>
          <w:color w:val="000000"/>
          <w:sz w:val="24"/>
        </w:rPr>
      </w:pPr>
      <w:r>
        <w:rPr>
          <w:color w:val="000000"/>
          <w:sz w:val="24"/>
        </w:rPr>
        <w:t>4．各支队主官为第一责任人。</w:t>
      </w:r>
    </w:p>
    <w:p>
      <w:pPr>
        <w:adjustRightInd w:val="0"/>
        <w:snapToGrid w:val="0"/>
        <w:spacing w:line="360" w:lineRule="auto"/>
        <w:ind w:firstLine="480"/>
        <w:rPr>
          <w:color w:val="000000"/>
          <w:sz w:val="24"/>
        </w:rPr>
      </w:pPr>
      <w:r>
        <w:rPr>
          <w:color w:val="000000"/>
          <w:sz w:val="24"/>
        </w:rPr>
        <w:t>（六）供应商职责</w:t>
      </w:r>
    </w:p>
    <w:p>
      <w:pPr>
        <w:adjustRightInd w:val="0"/>
        <w:snapToGrid w:val="0"/>
        <w:spacing w:line="360" w:lineRule="auto"/>
        <w:ind w:firstLine="480"/>
        <w:rPr>
          <w:color w:val="000000"/>
          <w:sz w:val="24"/>
        </w:rPr>
      </w:pPr>
      <w:r>
        <w:rPr>
          <w:color w:val="000000"/>
          <w:sz w:val="24"/>
        </w:rPr>
        <w:t>中标供应商应当严格按合同约定，积极配合采购人做好装备验收工作，提供与验收相关的生产、技术、服务、数量、质量、安全等资料，根据实际需要做好技术说明、测试演示或场景应用情况分析等工作。对履约情况争议问题，有义务提供相应证据证明材料。</w:t>
      </w:r>
    </w:p>
    <w:p>
      <w:pPr>
        <w:adjustRightInd w:val="0"/>
        <w:snapToGrid w:val="0"/>
        <w:spacing w:line="360" w:lineRule="auto"/>
        <w:ind w:firstLine="0" w:firstLineChars="0"/>
        <w:jc w:val="center"/>
        <w:rPr>
          <w:b/>
          <w:bCs/>
          <w:color w:val="000000"/>
          <w:sz w:val="24"/>
        </w:rPr>
      </w:pPr>
      <w:r>
        <w:rPr>
          <w:b/>
          <w:bCs/>
          <w:color w:val="000000"/>
          <w:sz w:val="24"/>
        </w:rPr>
        <w:t>第二章 验收程序</w:t>
      </w:r>
    </w:p>
    <w:p>
      <w:pPr>
        <w:adjustRightInd w:val="0"/>
        <w:snapToGrid w:val="0"/>
        <w:spacing w:line="360" w:lineRule="auto"/>
        <w:ind w:firstLine="482"/>
        <w:rPr>
          <w:color w:val="000000"/>
          <w:sz w:val="24"/>
        </w:rPr>
      </w:pPr>
      <w:r>
        <w:rPr>
          <w:b/>
          <w:bCs/>
          <w:color w:val="000000"/>
          <w:sz w:val="24"/>
        </w:rPr>
        <w:t>第八条</w:t>
      </w:r>
      <w:r>
        <w:rPr>
          <w:color w:val="000000"/>
          <w:sz w:val="24"/>
        </w:rPr>
        <w:t xml:space="preserve"> 验收工作按照验收准备、预备会、现场验收、结论评审、结果反馈等程序进行。</w:t>
      </w:r>
    </w:p>
    <w:p>
      <w:pPr>
        <w:adjustRightInd w:val="0"/>
        <w:snapToGrid w:val="0"/>
        <w:spacing w:line="360" w:lineRule="auto"/>
        <w:ind w:firstLine="480"/>
        <w:rPr>
          <w:color w:val="000000"/>
          <w:sz w:val="24"/>
        </w:rPr>
      </w:pPr>
      <w:r>
        <w:rPr>
          <w:color w:val="000000"/>
          <w:sz w:val="24"/>
        </w:rPr>
        <w:t>一、验收准备</w:t>
      </w:r>
    </w:p>
    <w:p>
      <w:pPr>
        <w:adjustRightInd w:val="0"/>
        <w:snapToGrid w:val="0"/>
        <w:spacing w:line="360" w:lineRule="auto"/>
        <w:ind w:firstLine="480"/>
        <w:rPr>
          <w:color w:val="000000"/>
          <w:sz w:val="24"/>
        </w:rPr>
      </w:pPr>
      <w:r>
        <w:rPr>
          <w:color w:val="000000"/>
          <w:sz w:val="24"/>
        </w:rPr>
        <w:t>根据采购项目节点要求或供应厂商验收申请，由后勤装备处从相关人才库中随机抽取验收人员，制定相应的验收工作方案，明确验收的时间、方式、程序、人员抽调等内容，并报分管后勤的副总队长审批。</w:t>
      </w:r>
    </w:p>
    <w:p>
      <w:pPr>
        <w:adjustRightInd w:val="0"/>
        <w:snapToGrid w:val="0"/>
        <w:spacing w:line="360" w:lineRule="auto"/>
        <w:ind w:firstLine="480"/>
        <w:rPr>
          <w:color w:val="000000"/>
          <w:sz w:val="24"/>
        </w:rPr>
      </w:pPr>
      <w:r>
        <w:rPr>
          <w:color w:val="000000"/>
          <w:sz w:val="24"/>
        </w:rPr>
        <w:t>二、预备会</w:t>
      </w:r>
    </w:p>
    <w:p>
      <w:pPr>
        <w:adjustRightInd w:val="0"/>
        <w:snapToGrid w:val="0"/>
        <w:spacing w:line="360" w:lineRule="auto"/>
        <w:ind w:firstLine="480"/>
        <w:rPr>
          <w:color w:val="000000"/>
          <w:sz w:val="24"/>
        </w:rPr>
      </w:pPr>
      <w:r>
        <w:rPr>
          <w:color w:val="000000"/>
          <w:sz w:val="24"/>
        </w:rPr>
        <w:t>验收工作方案批准后，由后勤装备处负责人组织召开预备会，对验收组人员进行分组，推选验收小组组长，明确责任分工、验收方式方法、验收装备数量或种类。</w:t>
      </w:r>
    </w:p>
    <w:p>
      <w:pPr>
        <w:adjustRightInd w:val="0"/>
        <w:snapToGrid w:val="0"/>
        <w:spacing w:line="360" w:lineRule="auto"/>
        <w:ind w:firstLine="480"/>
        <w:rPr>
          <w:color w:val="000000"/>
          <w:sz w:val="24"/>
        </w:rPr>
      </w:pPr>
      <w:r>
        <w:rPr>
          <w:color w:val="000000"/>
          <w:sz w:val="24"/>
        </w:rPr>
        <w:t>三、实施验收</w:t>
      </w:r>
    </w:p>
    <w:p>
      <w:pPr>
        <w:adjustRightInd w:val="0"/>
        <w:snapToGrid w:val="0"/>
        <w:spacing w:line="360" w:lineRule="auto"/>
        <w:ind w:firstLine="480"/>
        <w:rPr>
          <w:color w:val="000000"/>
          <w:sz w:val="24"/>
        </w:rPr>
      </w:pPr>
      <w:r>
        <w:rPr>
          <w:color w:val="000000"/>
          <w:sz w:val="24"/>
        </w:rPr>
        <w:t>验收组按照验收方案和各自责任分工，对中标装备的技术方案或样品、生产过程、到货实物等进行复核、监督、查验和测试，验收过程全程录像。验收实行“单项内容初验、复验，组长核验”工作机制，初验、复验人员分别进行验收并签署意见。</w:t>
      </w:r>
    </w:p>
    <w:p>
      <w:pPr>
        <w:adjustRightInd w:val="0"/>
        <w:snapToGrid w:val="0"/>
        <w:spacing w:line="360" w:lineRule="auto"/>
        <w:ind w:firstLine="480"/>
        <w:rPr>
          <w:color w:val="000000"/>
          <w:sz w:val="24"/>
        </w:rPr>
      </w:pPr>
      <w:r>
        <w:rPr>
          <w:color w:val="000000"/>
          <w:sz w:val="24"/>
        </w:rPr>
        <w:t>四、出具验收意见</w:t>
      </w:r>
    </w:p>
    <w:p>
      <w:pPr>
        <w:adjustRightInd w:val="0"/>
        <w:snapToGrid w:val="0"/>
        <w:spacing w:line="360" w:lineRule="auto"/>
        <w:ind w:firstLine="480"/>
        <w:rPr>
          <w:color w:val="000000"/>
          <w:sz w:val="24"/>
        </w:rPr>
      </w:pPr>
      <w:r>
        <w:rPr>
          <w:color w:val="000000"/>
          <w:sz w:val="24"/>
        </w:rPr>
        <w:t>验收结束后，由各验收组组长组织结论评审。验收小组成员应当分别发表验收意见，共同依据验收情况对装备整体性能进行综合判定，以书面形式作出结论性意见，列明各项标准的验收情况及项目总体评价，形成验收意见报告并以会议纪要的形式记录在案。验收小组成员对需要共同认定的事项存在争议的，应当按照少数服从多数的原则作出结论。验收合格后提交审计部门开展结算审计，坚持集中、批量原则实施。经总队审计部门审计后的项目支队不再复审。</w:t>
      </w:r>
    </w:p>
    <w:p>
      <w:pPr>
        <w:adjustRightInd w:val="0"/>
        <w:snapToGrid w:val="0"/>
        <w:spacing w:line="360" w:lineRule="auto"/>
        <w:ind w:firstLine="480"/>
        <w:rPr>
          <w:color w:val="000000"/>
          <w:sz w:val="24"/>
        </w:rPr>
      </w:pPr>
      <w:r>
        <w:rPr>
          <w:color w:val="000000"/>
          <w:sz w:val="24"/>
        </w:rPr>
        <w:t>五、结果反馈</w:t>
      </w:r>
    </w:p>
    <w:p>
      <w:pPr>
        <w:adjustRightInd w:val="0"/>
        <w:snapToGrid w:val="0"/>
        <w:spacing w:line="360" w:lineRule="auto"/>
        <w:ind w:firstLine="480"/>
        <w:rPr>
          <w:color w:val="000000"/>
          <w:sz w:val="24"/>
        </w:rPr>
      </w:pPr>
      <w:r>
        <w:rPr>
          <w:color w:val="000000"/>
          <w:sz w:val="24"/>
        </w:rPr>
        <w:t>验收结论由验收工作组组长按照验收批次或时间节点汇总后，及时向集中采购工作领导小组书面报告并反馈供应厂商，同时督促供应商按照合同及验收结论履行相关责任、义务。</w:t>
      </w:r>
    </w:p>
    <w:p>
      <w:pPr>
        <w:adjustRightInd w:val="0"/>
        <w:snapToGrid w:val="0"/>
        <w:spacing w:line="360" w:lineRule="auto"/>
        <w:ind w:firstLine="480"/>
        <w:rPr>
          <w:color w:val="000000"/>
          <w:sz w:val="24"/>
        </w:rPr>
      </w:pPr>
      <w:r>
        <w:rPr>
          <w:color w:val="000000"/>
          <w:sz w:val="24"/>
        </w:rPr>
        <w:t>一个项目（批次）装备验收工作（含整改重新验收）完结后，验收工作组要及时进行总结，并在采购单位办公会上（适时）通报。</w:t>
      </w:r>
    </w:p>
    <w:p>
      <w:pPr>
        <w:adjustRightInd w:val="0"/>
        <w:snapToGrid w:val="0"/>
        <w:spacing w:line="360" w:lineRule="auto"/>
        <w:ind w:firstLine="0" w:firstLineChars="0"/>
        <w:jc w:val="center"/>
        <w:rPr>
          <w:b/>
          <w:bCs/>
          <w:color w:val="000000"/>
          <w:sz w:val="24"/>
        </w:rPr>
      </w:pPr>
      <w:r>
        <w:rPr>
          <w:b/>
          <w:bCs/>
          <w:color w:val="000000"/>
          <w:sz w:val="24"/>
        </w:rPr>
        <w:t>第三章 验收方式及内容</w:t>
      </w:r>
    </w:p>
    <w:p>
      <w:pPr>
        <w:adjustRightInd w:val="0"/>
        <w:snapToGrid w:val="0"/>
        <w:spacing w:line="360" w:lineRule="auto"/>
        <w:ind w:firstLine="482"/>
        <w:jc w:val="both"/>
        <w:rPr>
          <w:color w:val="000000"/>
          <w:sz w:val="24"/>
        </w:rPr>
      </w:pPr>
      <w:r>
        <w:rPr>
          <w:b/>
          <w:bCs/>
          <w:color w:val="000000"/>
          <w:sz w:val="24"/>
        </w:rPr>
        <w:t>第九条</w:t>
      </w:r>
      <w:r>
        <w:rPr>
          <w:color w:val="000000"/>
          <w:sz w:val="24"/>
        </w:rPr>
        <w:t xml:space="preserve"> 为实现对灭火救援装备的全链条、全流程的质量管控，装备验收工作将贯穿装备生产的始终，对中标装备采取技术方案或样品会审验收、生产过程检查或驻厂验收、到货实物验收等三种验收方式。</w:t>
      </w:r>
    </w:p>
    <w:p>
      <w:pPr>
        <w:adjustRightInd w:val="0"/>
        <w:snapToGrid w:val="0"/>
        <w:spacing w:line="360" w:lineRule="auto"/>
        <w:ind w:firstLine="480"/>
        <w:rPr>
          <w:color w:val="000000"/>
          <w:sz w:val="24"/>
        </w:rPr>
      </w:pPr>
      <w:r>
        <w:rPr>
          <w:color w:val="000000"/>
          <w:sz w:val="24"/>
        </w:rPr>
        <w:t>（一）技术方案会审或样品验收。主要对中标车辆（船艇、飞行器、机器人）的技术方案或样车和防护装备及其它灭火救援器材物资的样品及验证材料的真伪进行复核。</w:t>
      </w:r>
    </w:p>
    <w:p>
      <w:pPr>
        <w:adjustRightInd w:val="0"/>
        <w:snapToGrid w:val="0"/>
        <w:spacing w:line="360" w:lineRule="auto"/>
        <w:ind w:firstLine="480"/>
        <w:rPr>
          <w:color w:val="000000"/>
          <w:sz w:val="24"/>
        </w:rPr>
      </w:pPr>
      <w:r>
        <w:rPr>
          <w:color w:val="000000"/>
          <w:sz w:val="24"/>
        </w:rPr>
        <w:t>在中标通知书发出后，签订采购合同前完成，会审或验收意见书面报告装备集中采购工作领导小组，为签订合同提供参考意见。《新购消防装备(车辆)技术确认备忘录》由中标厂商、后勤装备部门和需求单位（部门）各自留存，总队集采的防护装备和其它灭火救援器材样品由训练与战勤保障支队封存，一并作为到货实物验收的重要依据和验收档案的组成部分。</w:t>
      </w:r>
    </w:p>
    <w:p>
      <w:pPr>
        <w:adjustRightInd w:val="0"/>
        <w:snapToGrid w:val="0"/>
        <w:spacing w:line="360" w:lineRule="auto"/>
        <w:ind w:firstLine="480"/>
        <w:rPr>
          <w:color w:val="000000"/>
          <w:sz w:val="24"/>
        </w:rPr>
      </w:pPr>
      <w:r>
        <w:rPr>
          <w:color w:val="000000"/>
          <w:sz w:val="24"/>
        </w:rPr>
        <w:t>（二）生产过程检查或驻厂验收。批量采购的装备可根据需要组织生产过程检查、驻厂验收（出厂检验）。在生产过程中出现或检查中发现有合同未明确项目，需要进行技术确认时，由驻厂验收组协商厂家予以解决，并形成《新购消防装备（车辆）驻厂验收备忘录》，由中标厂商、后勤装备部门和需求单位（部门）各自留存，作为到货验实物收的重要依据和验收档案的组成部分。</w:t>
      </w:r>
    </w:p>
    <w:p>
      <w:pPr>
        <w:adjustRightInd w:val="0"/>
        <w:snapToGrid w:val="0"/>
        <w:spacing w:line="360" w:lineRule="auto"/>
        <w:ind w:firstLine="480"/>
        <w:rPr>
          <w:color w:val="000000"/>
          <w:sz w:val="24"/>
        </w:rPr>
      </w:pPr>
      <w:r>
        <w:rPr>
          <w:color w:val="000000"/>
          <w:sz w:val="24"/>
        </w:rPr>
        <w:t>（三）到货实物验收。由验收工作组根据中标厂商申请，结合装备到货情况，在10个工作日内组织验收。应急采购装备，即到即验。特殊情况以实际通知时间为准。</w:t>
      </w:r>
    </w:p>
    <w:p>
      <w:pPr>
        <w:adjustRightInd w:val="0"/>
        <w:snapToGrid w:val="0"/>
        <w:spacing w:line="360" w:lineRule="auto"/>
        <w:ind w:firstLine="480"/>
        <w:rPr>
          <w:color w:val="000000"/>
          <w:sz w:val="24"/>
        </w:rPr>
      </w:pPr>
      <w:r>
        <w:rPr>
          <w:color w:val="000000"/>
          <w:sz w:val="24"/>
        </w:rPr>
        <w:t>到货验收采用一致性查验和装备质量性能测试的验收方法。防护装备和其它灭火救援器材可进行抽样送检，由国家检测机构进行检测，其结果可作为该送检装备的验收结论。有封存样品的防护装备和其它灭火救援器材，验收组还须将交付装备与封存样品进行核对，交付装备质量应不低于封存样品。</w:t>
      </w:r>
    </w:p>
    <w:p>
      <w:pPr>
        <w:adjustRightInd w:val="0"/>
        <w:snapToGrid w:val="0"/>
        <w:spacing w:line="360" w:lineRule="auto"/>
        <w:ind w:firstLine="482"/>
        <w:jc w:val="both"/>
        <w:rPr>
          <w:color w:val="000000"/>
          <w:sz w:val="24"/>
        </w:rPr>
      </w:pPr>
      <w:r>
        <w:rPr>
          <w:b/>
          <w:bCs/>
          <w:color w:val="000000"/>
          <w:sz w:val="24"/>
        </w:rPr>
        <w:t>第十条</w:t>
      </w:r>
      <w:r>
        <w:rPr>
          <w:color w:val="000000"/>
          <w:sz w:val="24"/>
        </w:rPr>
        <w:t xml:space="preserve">  一致性查验。验收组对照合同、补充协议和封样样品等，按照验收方案对装备供应厂商提供的技术资料、证明材料原件等资料进行查验，重点核查装备数量、规格型号、外观、主要零（部）件、附件、配件、资料、各类总成的品牌、型号等是否与合同（样品）一致。</w:t>
      </w:r>
    </w:p>
    <w:p>
      <w:pPr>
        <w:adjustRightInd w:val="0"/>
        <w:snapToGrid w:val="0"/>
        <w:spacing w:line="360" w:lineRule="auto"/>
        <w:ind w:firstLine="480"/>
        <w:jc w:val="both"/>
        <w:rPr>
          <w:color w:val="000000"/>
          <w:sz w:val="24"/>
        </w:rPr>
      </w:pPr>
      <w:r>
        <w:rPr>
          <w:color w:val="000000"/>
          <w:sz w:val="24"/>
        </w:rPr>
        <w:t>车辆一致性查验时，须对其《机动车整车出厂合格证》进行国家综合性消防救援车辆牌证信息管理系统查询，查询结果与合格证内容一致，方可进行后续查验。</w:t>
      </w:r>
    </w:p>
    <w:p>
      <w:pPr>
        <w:adjustRightInd w:val="0"/>
        <w:snapToGrid w:val="0"/>
        <w:spacing w:line="360" w:lineRule="auto"/>
        <w:ind w:firstLine="482"/>
        <w:jc w:val="both"/>
        <w:rPr>
          <w:color w:val="000000"/>
          <w:sz w:val="24"/>
        </w:rPr>
      </w:pPr>
      <w:r>
        <w:rPr>
          <w:b/>
          <w:bCs/>
          <w:color w:val="000000"/>
          <w:sz w:val="24"/>
        </w:rPr>
        <w:t>第十一条</w:t>
      </w:r>
      <w:r>
        <w:rPr>
          <w:color w:val="000000"/>
          <w:sz w:val="24"/>
        </w:rPr>
        <w:t xml:space="preserve"> 装备质量性能测试。验收组采用必要的检测设施（备）、用具或依托专门的检测机构，对照合同、补充协议和封样样品等，按照验收方案进行装备性能测试。</w:t>
      </w:r>
    </w:p>
    <w:p>
      <w:pPr>
        <w:adjustRightInd w:val="0"/>
        <w:snapToGrid w:val="0"/>
        <w:spacing w:line="360" w:lineRule="auto"/>
        <w:ind w:firstLine="480"/>
        <w:jc w:val="both"/>
        <w:rPr>
          <w:color w:val="000000"/>
          <w:sz w:val="24"/>
        </w:rPr>
      </w:pPr>
      <w:r>
        <w:rPr>
          <w:color w:val="000000"/>
          <w:sz w:val="24"/>
        </w:rPr>
        <w:t>含有水力系统消防车辆须在水力性能测试合格后进行质量性能测试。</w:t>
      </w:r>
    </w:p>
    <w:p>
      <w:pPr>
        <w:adjustRightInd w:val="0"/>
        <w:snapToGrid w:val="0"/>
        <w:spacing w:line="360" w:lineRule="auto"/>
        <w:ind w:firstLine="482"/>
        <w:jc w:val="both"/>
        <w:rPr>
          <w:color w:val="000000"/>
          <w:sz w:val="24"/>
        </w:rPr>
      </w:pPr>
      <w:r>
        <w:rPr>
          <w:b/>
          <w:bCs/>
          <w:color w:val="000000"/>
          <w:sz w:val="24"/>
        </w:rPr>
        <w:t>第十二条</w:t>
      </w:r>
      <w:r>
        <w:rPr>
          <w:color w:val="000000"/>
          <w:sz w:val="24"/>
        </w:rPr>
        <w:t xml:space="preserve">  严格随装资料查验，各类装备必须配有中文说明书，进口装备必须配有原文说明书及与相对应的中文说明书，性能复杂、操作难度较大的装备还应有音视频资料。交付车辆按照《消防救援车辆牌证核发与管理暂行规定》提供牌证申领资料。</w:t>
      </w:r>
    </w:p>
    <w:p>
      <w:pPr>
        <w:adjustRightInd w:val="0"/>
        <w:snapToGrid w:val="0"/>
        <w:spacing w:line="360" w:lineRule="auto"/>
        <w:ind w:firstLine="482"/>
        <w:rPr>
          <w:color w:val="000000"/>
          <w:sz w:val="24"/>
        </w:rPr>
      </w:pPr>
      <w:r>
        <w:rPr>
          <w:b/>
          <w:bCs/>
          <w:color w:val="000000"/>
          <w:sz w:val="24"/>
        </w:rPr>
        <w:t>第十三条</w:t>
      </w:r>
      <w:r>
        <w:rPr>
          <w:color w:val="000000"/>
          <w:sz w:val="24"/>
        </w:rPr>
        <w:t xml:space="preserve"> 验收结果与采购合同约定的内容不完全符合，但经验收小组确认，供应商所提供装备比合同约定内容提高了使用功能、标准或者属于技术更新换代产品的，在不影响、不降低整个采购项目的运行质量和功能以及合同金额不提高的前提下，可以验收通过。</w:t>
      </w:r>
    </w:p>
    <w:p>
      <w:pPr>
        <w:adjustRightInd w:val="0"/>
        <w:snapToGrid w:val="0"/>
        <w:spacing w:line="360" w:lineRule="auto"/>
        <w:ind w:firstLine="482"/>
        <w:jc w:val="both"/>
        <w:rPr>
          <w:color w:val="000000"/>
          <w:sz w:val="24"/>
        </w:rPr>
      </w:pPr>
      <w:r>
        <w:rPr>
          <w:b/>
          <w:bCs/>
          <w:color w:val="000000"/>
          <w:sz w:val="24"/>
        </w:rPr>
        <w:t>第十四条</w:t>
      </w:r>
      <w:r>
        <w:rPr>
          <w:color w:val="000000"/>
          <w:sz w:val="24"/>
        </w:rPr>
        <w:t xml:space="preserve"> 新购装备信息要及时按照时间节点录入装备管理系统和装备采购信息网。新购车辆还应当及时申领应急救援专用牌证。</w:t>
      </w:r>
    </w:p>
    <w:p>
      <w:pPr>
        <w:adjustRightInd w:val="0"/>
        <w:snapToGrid w:val="0"/>
        <w:spacing w:line="360" w:lineRule="auto"/>
        <w:ind w:firstLine="482"/>
        <w:jc w:val="both"/>
        <w:rPr>
          <w:color w:val="000000"/>
          <w:sz w:val="24"/>
        </w:rPr>
      </w:pPr>
      <w:r>
        <w:rPr>
          <w:b/>
          <w:bCs/>
          <w:color w:val="000000"/>
          <w:sz w:val="24"/>
        </w:rPr>
        <w:t>第十五条</w:t>
      </w:r>
      <w:r>
        <w:rPr>
          <w:color w:val="000000"/>
          <w:sz w:val="24"/>
        </w:rPr>
        <w:t xml:space="preserve"> 质量保证期。灭火救援装备质量保证期自验收合格报告双方签字确认之日算起。</w:t>
      </w:r>
    </w:p>
    <w:p>
      <w:pPr>
        <w:adjustRightInd w:val="0"/>
        <w:snapToGrid w:val="0"/>
        <w:spacing w:line="360" w:lineRule="auto"/>
        <w:ind w:firstLine="0" w:firstLineChars="0"/>
        <w:jc w:val="center"/>
        <w:rPr>
          <w:b/>
          <w:bCs/>
          <w:color w:val="000000"/>
          <w:sz w:val="24"/>
        </w:rPr>
      </w:pPr>
      <w:r>
        <w:rPr>
          <w:b/>
          <w:bCs/>
          <w:color w:val="000000"/>
          <w:sz w:val="24"/>
        </w:rPr>
        <w:t>第四章  验收不合格情况的处理</w:t>
      </w:r>
    </w:p>
    <w:p>
      <w:pPr>
        <w:adjustRightInd w:val="0"/>
        <w:snapToGrid w:val="0"/>
        <w:spacing w:line="360" w:lineRule="auto"/>
        <w:ind w:firstLine="482"/>
        <w:jc w:val="both"/>
        <w:rPr>
          <w:color w:val="000000"/>
          <w:sz w:val="24"/>
        </w:rPr>
      </w:pPr>
      <w:r>
        <w:rPr>
          <w:b/>
          <w:bCs/>
          <w:color w:val="000000"/>
          <w:sz w:val="24"/>
        </w:rPr>
        <w:t>第十六条</w:t>
      </w:r>
      <w:r>
        <w:rPr>
          <w:color w:val="000000"/>
          <w:sz w:val="24"/>
        </w:rPr>
        <w:t xml:space="preserve">  装备一致性查验、质量性能验收不合格或经验收组综合评审需进行整改的，验收组填写《消防装备验收整改意见书》，由供应商签字确认，经分管后勤的副总队长批准后，通知供应厂商限期整改。整改期限一般不超过30个工作日，特殊情况按照合同约定的争议解决另行协商，在规定期限内完成整改的，验收组重新组织验收；整改一次后仍验收不合格的，由后勤装备处提请装备集中采购工作领导小组按合同约定的违约责任处理，有封存样品的不予退还。</w:t>
      </w:r>
    </w:p>
    <w:p>
      <w:pPr>
        <w:adjustRightInd w:val="0"/>
        <w:snapToGrid w:val="0"/>
        <w:spacing w:line="360" w:lineRule="auto"/>
        <w:ind w:firstLine="482"/>
        <w:rPr>
          <w:color w:val="000000"/>
          <w:sz w:val="24"/>
        </w:rPr>
      </w:pPr>
      <w:r>
        <w:rPr>
          <w:b/>
          <w:bCs/>
          <w:color w:val="000000"/>
          <w:sz w:val="24"/>
        </w:rPr>
        <w:t>第十七条</w:t>
      </w:r>
      <w:r>
        <w:rPr>
          <w:color w:val="000000"/>
          <w:sz w:val="24"/>
        </w:rPr>
        <w:t xml:space="preserve"> 供应厂商交付装备应当为全新的合格产品。如交付或掺杂修复、变造、假冒、伪劣产品的，按照合同条款进行处理并建议将不合格产品及生产厂家、供应商列入山西省消防救援队伍采购“黑名单”，涉及违法的按照法律程序进行处理。</w:t>
      </w:r>
    </w:p>
    <w:p>
      <w:pPr>
        <w:adjustRightInd w:val="0"/>
        <w:snapToGrid w:val="0"/>
        <w:spacing w:line="360" w:lineRule="auto"/>
        <w:ind w:firstLine="0" w:firstLineChars="0"/>
        <w:jc w:val="center"/>
        <w:rPr>
          <w:b/>
          <w:bCs/>
          <w:color w:val="000000"/>
          <w:sz w:val="24"/>
        </w:rPr>
      </w:pPr>
      <w:r>
        <w:rPr>
          <w:b/>
          <w:bCs/>
          <w:color w:val="000000"/>
          <w:sz w:val="24"/>
        </w:rPr>
        <w:t>第五章 售后服务管理</w:t>
      </w:r>
    </w:p>
    <w:p>
      <w:pPr>
        <w:adjustRightInd w:val="0"/>
        <w:snapToGrid w:val="0"/>
        <w:spacing w:line="360" w:lineRule="auto"/>
        <w:ind w:firstLine="482"/>
        <w:jc w:val="both"/>
        <w:rPr>
          <w:color w:val="000000"/>
          <w:sz w:val="24"/>
        </w:rPr>
      </w:pPr>
      <w:r>
        <w:rPr>
          <w:b/>
          <w:bCs/>
          <w:color w:val="000000"/>
          <w:sz w:val="24"/>
        </w:rPr>
        <w:t>第十八条</w:t>
      </w:r>
      <w:r>
        <w:rPr>
          <w:color w:val="000000"/>
          <w:sz w:val="24"/>
        </w:rPr>
        <w:t xml:space="preserve"> 售后服务管理是对合同约定在装备后续使用过程中提供配套服务进行的检验，也是装备全寿命管理和合同履约的重要环节。供应厂商的质量承诺、售后响应、培训、巡检（回访）以及建立联勤联动机制等落实情况，由总队、支队装备管理部门负责监督。未按照合同约定提供服务的，由后勤装备处提请总队装备集中采购工作领导小组将该供应厂商列入山西省消防救援队伍采购“黑名单”。</w:t>
      </w:r>
    </w:p>
    <w:p>
      <w:pPr>
        <w:adjustRightInd w:val="0"/>
        <w:snapToGrid w:val="0"/>
        <w:spacing w:line="360" w:lineRule="auto"/>
        <w:ind w:firstLine="482"/>
        <w:jc w:val="both"/>
        <w:rPr>
          <w:color w:val="000000"/>
          <w:sz w:val="24"/>
        </w:rPr>
      </w:pPr>
      <w:r>
        <w:rPr>
          <w:b/>
          <w:bCs/>
          <w:color w:val="000000"/>
          <w:sz w:val="24"/>
        </w:rPr>
        <w:t>第十九条</w:t>
      </w:r>
      <w:r>
        <w:rPr>
          <w:color w:val="000000"/>
          <w:sz w:val="24"/>
        </w:rPr>
        <w:t xml:space="preserve"> 供应厂商在装备交付时需对指战员进行接装培训，确保参训指战员学懂弄通并熟练操作。各单位推荐参加培训的人员，工作岗位应相对固定，杜绝“训而不用、训后换岗”现象的发生。组织接装培训的供应厂商，须在实物验收合格30天内将培训方案、参训人员签到表、结业考核成绩单或结业证书以及培训影像资料等移交至后勤装备处存档备查，未按期移交，视为未组织培训。</w:t>
      </w:r>
    </w:p>
    <w:p>
      <w:pPr>
        <w:adjustRightInd w:val="0"/>
        <w:snapToGrid w:val="0"/>
        <w:spacing w:line="360" w:lineRule="auto"/>
        <w:ind w:firstLine="0" w:firstLineChars="0"/>
        <w:jc w:val="center"/>
        <w:rPr>
          <w:b/>
          <w:bCs/>
          <w:color w:val="000000"/>
          <w:sz w:val="24"/>
        </w:rPr>
      </w:pPr>
      <w:r>
        <w:rPr>
          <w:b/>
          <w:bCs/>
          <w:color w:val="000000"/>
          <w:sz w:val="24"/>
        </w:rPr>
        <w:t>第六章附则</w:t>
      </w:r>
    </w:p>
    <w:p>
      <w:pPr>
        <w:adjustRightInd w:val="0"/>
        <w:snapToGrid w:val="0"/>
        <w:spacing w:line="360" w:lineRule="auto"/>
        <w:ind w:firstLine="482"/>
        <w:jc w:val="both"/>
        <w:rPr>
          <w:color w:val="000000"/>
          <w:sz w:val="24"/>
        </w:rPr>
      </w:pPr>
      <w:r>
        <w:rPr>
          <w:b/>
          <w:bCs/>
          <w:color w:val="000000"/>
          <w:sz w:val="24"/>
        </w:rPr>
        <w:t>第二十条</w:t>
      </w:r>
      <w:r>
        <w:rPr>
          <w:color w:val="000000"/>
          <w:sz w:val="24"/>
        </w:rPr>
        <w:t xml:space="preserve"> 装备验收人员须严格遵守廉洁自律相关规定，在验收过程中如出现“吃、拿、卡、要”，弄虚作假等违反廉洁规定的，取消其验收资格，并报请本级纪检部门，按相关规定进行处理，涉及违法的追究其相应的法律责任。</w:t>
      </w:r>
    </w:p>
    <w:p>
      <w:pPr>
        <w:snapToGrid w:val="0"/>
        <w:spacing w:line="360" w:lineRule="auto"/>
        <w:ind w:firstLine="482"/>
        <w:rPr>
          <w:color w:val="000000"/>
          <w:sz w:val="24"/>
        </w:rPr>
      </w:pPr>
      <w:r>
        <w:rPr>
          <w:b/>
          <w:bCs/>
          <w:color w:val="000000"/>
          <w:sz w:val="24"/>
        </w:rPr>
        <w:t>第二十一条</w:t>
      </w:r>
      <w:r>
        <w:rPr>
          <w:color w:val="000000"/>
          <w:sz w:val="24"/>
        </w:rPr>
        <w:t xml:space="preserve"> 装备验收人员对履约验收过程中获悉的国家秘密、商业秘密和个人隐私等均负有保密义务。</w:t>
      </w:r>
    </w:p>
    <w:p>
      <w:pPr>
        <w:snapToGrid w:val="0"/>
        <w:spacing w:line="360" w:lineRule="auto"/>
        <w:ind w:firstLine="482"/>
        <w:rPr>
          <w:color w:val="000000"/>
          <w:sz w:val="24"/>
        </w:rPr>
      </w:pPr>
      <w:r>
        <w:rPr>
          <w:b/>
          <w:bCs/>
          <w:color w:val="000000"/>
          <w:sz w:val="24"/>
        </w:rPr>
        <w:t>第二十二条</w:t>
      </w:r>
      <w:r>
        <w:rPr>
          <w:color w:val="000000"/>
          <w:sz w:val="24"/>
        </w:rPr>
        <w:t xml:space="preserve"> 项目验收完成后，验收档案归入采购项目档案妥善保管，保存期限与采购项目档案一致。</w:t>
      </w:r>
    </w:p>
    <w:p>
      <w:pPr>
        <w:adjustRightInd w:val="0"/>
        <w:snapToGrid w:val="0"/>
        <w:spacing w:line="360" w:lineRule="auto"/>
        <w:ind w:firstLine="482"/>
        <w:jc w:val="both"/>
        <w:rPr>
          <w:color w:val="000000"/>
          <w:sz w:val="24"/>
        </w:rPr>
      </w:pPr>
      <w:r>
        <w:rPr>
          <w:b/>
          <w:bCs/>
          <w:color w:val="000000"/>
          <w:sz w:val="24"/>
        </w:rPr>
        <w:t>第二十三条</w:t>
      </w:r>
      <w:r>
        <w:rPr>
          <w:color w:val="000000"/>
          <w:sz w:val="24"/>
        </w:rPr>
        <w:t xml:space="preserve"> 本规程自公布之日起实施，原有《山西省消防救援总队灭火救援装备验收工作规程》即行废止，由总队后勤装备处负责解释。</w:t>
      </w:r>
    </w:p>
    <w:p>
      <w:pPr>
        <w:snapToGrid w:val="0"/>
        <w:spacing w:line="360" w:lineRule="auto"/>
        <w:ind w:firstLine="560"/>
        <w:rPr>
          <w:color w:val="000000" w:themeColor="text1"/>
          <w14:textFill>
            <w14:solidFill>
              <w14:schemeClr w14:val="tx1"/>
            </w14:solidFill>
          </w14:textFill>
        </w:rPr>
      </w:pPr>
    </w:p>
    <w:p>
      <w:pPr>
        <w:ind w:firstLine="562"/>
        <w:rPr>
          <w:b/>
          <w:bCs/>
          <w:color w:val="000000" w:themeColor="text1"/>
          <w:szCs w:val="28"/>
          <w14:textFill>
            <w14:solidFill>
              <w14:schemeClr w14:val="tx1"/>
            </w14:solidFill>
          </w14:textFill>
        </w:rPr>
      </w:pPr>
      <w:r>
        <w:rPr>
          <w:b/>
          <w:bCs/>
          <w:color w:val="000000" w:themeColor="text1"/>
          <w:szCs w:val="28"/>
          <w14:textFill>
            <w14:solidFill>
              <w14:schemeClr w14:val="tx1"/>
            </w14:solidFill>
          </w14:textFill>
        </w:rPr>
        <w:br w:type="page"/>
      </w:r>
    </w:p>
    <w:p>
      <w:pPr>
        <w:pStyle w:val="4"/>
        <w:bidi w:val="0"/>
      </w:pPr>
      <w:bookmarkStart w:id="57" w:name="_Toc24655"/>
      <w:r>
        <w:t>技术要求</w:t>
      </w:r>
      <w:bookmarkEnd w:id="57"/>
    </w:p>
    <w:p>
      <w:pPr>
        <w:pStyle w:val="8"/>
        <w:ind w:firstLine="0" w:firstLineChars="0"/>
        <w:rPr>
          <w:rFonts w:ascii="Times New Roman"/>
          <w:szCs w:val="28"/>
        </w:rPr>
      </w:pPr>
      <w:r>
        <w:rPr>
          <w:rFonts w:ascii="Times New Roman"/>
          <w:szCs w:val="28"/>
        </w:rPr>
        <w:t>特别说明：</w:t>
      </w:r>
    </w:p>
    <w:p>
      <w:pPr>
        <w:pStyle w:val="8"/>
        <w:ind w:firstLine="560"/>
        <w:rPr>
          <w:rFonts w:ascii="Times New Roman"/>
          <w:szCs w:val="28"/>
        </w:rPr>
      </w:pPr>
      <w:r>
        <w:rPr>
          <w:rFonts w:ascii="Times New Roman"/>
          <w:szCs w:val="28"/>
        </w:rPr>
        <w:t>1.标注“★”的为关键技术要求，不满足招标文件要求的，按废标处理。标注“▲”的为重要技术要求，未标注“★”和“▲”的为一般技术要求，不满足招标文件要求的扣分。</w:t>
      </w:r>
    </w:p>
    <w:p>
      <w:pPr>
        <w:pStyle w:val="8"/>
        <w:ind w:firstLine="560"/>
        <w:rPr>
          <w:rFonts w:ascii="Times New Roman"/>
          <w:szCs w:val="28"/>
        </w:rPr>
      </w:pPr>
      <w:r>
        <w:rPr>
          <w:rFonts w:ascii="Times New Roman"/>
          <w:szCs w:val="28"/>
        </w:rPr>
        <w:t>2.中标后签订合同前，对所投产品提供生产厂家质量保证书和售后服务承诺书，并加盖生产厂家公章，否则采购人有权不与中标人签订合同。</w:t>
      </w:r>
    </w:p>
    <w:p>
      <w:pPr>
        <w:pStyle w:val="8"/>
        <w:ind w:firstLine="560"/>
        <w:rPr>
          <w:rFonts w:ascii="Times New Roman"/>
          <w:szCs w:val="28"/>
        </w:rPr>
      </w:pPr>
      <w:r>
        <w:rPr>
          <w:rFonts w:ascii="Times New Roman"/>
          <w:szCs w:val="28"/>
        </w:rPr>
        <w:t>3.投标文件中同一产品出现技术参数描述不一致按照如下优先级处理：</w:t>
      </w:r>
    </w:p>
    <w:p>
      <w:pPr>
        <w:pStyle w:val="8"/>
        <w:ind w:firstLine="560"/>
        <w:rPr>
          <w:rFonts w:ascii="Times New Roman"/>
          <w:szCs w:val="28"/>
        </w:rPr>
      </w:pPr>
      <w:r>
        <w:rPr>
          <w:rFonts w:ascii="Times New Roman"/>
          <w:szCs w:val="28"/>
        </w:rPr>
        <w:t>检测报告&gt;官网链接/功能截图/产品彩页/产品说明书&gt;偏离表&gt;投标货物主要技术指标和运行性能的详细描述。</w:t>
      </w:r>
    </w:p>
    <w:p>
      <w:pPr>
        <w:ind w:firstLine="560"/>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 xml:space="preserve"> 4.下列参数中标明“</w:t>
      </w:r>
      <w:r>
        <w:rPr>
          <w:rFonts w:hint="eastAsia"/>
          <w:color w:val="000000" w:themeColor="text1"/>
          <w:highlight w:val="none"/>
          <w:u w:val="single"/>
          <w:lang w:val="en-US"/>
          <w14:textFill>
            <w14:solidFill>
              <w14:schemeClr w14:val="tx1"/>
            </w14:solidFill>
          </w14:textFill>
        </w:rPr>
        <w:t>★</w:t>
      </w:r>
      <w:r>
        <w:rPr>
          <w:color w:val="000000" w:themeColor="text1"/>
          <w:highlight w:val="none"/>
          <w14:textFill>
            <w14:solidFill>
              <w14:schemeClr w14:val="tx1"/>
            </w14:solidFill>
          </w14:textFill>
        </w:rPr>
        <w:t>______</w:t>
      </w:r>
      <w:r>
        <w:rPr>
          <w:rFonts w:hint="eastAsia"/>
          <w:color w:val="000000" w:themeColor="text1"/>
          <w:highlight w:val="none"/>
          <w14:textFill>
            <w14:solidFill>
              <w14:schemeClr w14:val="tx1"/>
            </w14:solidFill>
          </w14:textFill>
        </w:rPr>
        <w:t>”是指：</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14:textFill>
            <w14:solidFill>
              <w14:schemeClr w14:val="tx1"/>
            </w14:solidFill>
          </w14:textFill>
        </w:rPr>
        <w:t>★</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仅针对“</w:t>
      </w:r>
      <w:r>
        <w:rPr>
          <w:color w:val="000000" w:themeColor="text1"/>
          <w:highlight w:val="none"/>
          <w14:textFill>
            <w14:solidFill>
              <w14:schemeClr w14:val="tx1"/>
            </w14:solidFill>
          </w14:textFill>
        </w:rPr>
        <w:t>______</w:t>
      </w:r>
      <w:r>
        <w:rPr>
          <w:rFonts w:hint="eastAsia"/>
          <w:color w:val="000000" w:themeColor="text1"/>
          <w:highlight w:val="none"/>
          <w14:textFill>
            <w14:solidFill>
              <w14:schemeClr w14:val="tx1"/>
            </w14:solidFill>
          </w14:textFill>
        </w:rPr>
        <w:t>”中内容</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如有</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 xml:space="preserve">。     </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br w:type="page"/>
      </w:r>
    </w:p>
    <w:p>
      <w:pPr>
        <w:pStyle w:val="4"/>
        <w:bidi w:val="0"/>
      </w:pPr>
      <w:bookmarkStart w:id="58" w:name="_Toc30877"/>
      <w:bookmarkStart w:id="59" w:name="_Toc30076"/>
      <w:bookmarkStart w:id="60" w:name="_Toc7212"/>
      <w:r>
        <w:rPr>
          <w:rFonts w:hint="eastAsia"/>
        </w:rPr>
        <w:t>包</w:t>
      </w:r>
      <w:r>
        <w:rPr>
          <w:rFonts w:hint="eastAsia"/>
          <w:lang w:val="en-US" w:eastAsia="zh-CN"/>
        </w:rPr>
        <w:t>17</w:t>
      </w:r>
      <w:r>
        <w:rPr>
          <w:rFonts w:hint="eastAsia"/>
        </w:rPr>
        <w:t xml:space="preserve">  </w:t>
      </w:r>
      <w:r>
        <w:rPr>
          <w:rFonts w:hint="eastAsia"/>
          <w:lang w:eastAsia="zh-CN"/>
        </w:rPr>
        <w:t>“</w:t>
      </w:r>
      <w:r>
        <w:rPr>
          <w:rFonts w:hint="eastAsia"/>
        </w:rPr>
        <w:t>盥洗车</w:t>
      </w:r>
      <w:r>
        <w:rPr>
          <w:rFonts w:hint="eastAsia"/>
          <w:lang w:eastAsia="zh-CN"/>
        </w:rPr>
        <w:t>”</w:t>
      </w:r>
      <w:bookmarkEnd w:id="58"/>
    </w:p>
    <w:p>
      <w:pPr>
        <w:spacing w:line="576" w:lineRule="exact"/>
        <w:ind w:firstLine="560"/>
        <w:rPr>
          <w:rFonts w:ascii="宋体" w:hAnsi="宋体" w:eastAsia="宋体" w:cs="宋体"/>
          <w:bCs/>
          <w:sz w:val="28"/>
          <w:szCs w:val="28"/>
          <w:lang w:val="en-US"/>
        </w:rPr>
      </w:pPr>
      <w:r>
        <w:rPr>
          <w:rFonts w:hint="eastAsia" w:ascii="宋体" w:hAnsi="宋体" w:eastAsia="宋体" w:cs="宋体"/>
          <w:bCs/>
          <w:sz w:val="28"/>
          <w:szCs w:val="28"/>
          <w:lang w:val="en-US"/>
        </w:rPr>
        <w:t>1.基本要求</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1.1外形尺寸：长≤12000mm，宽≤2550mm，高≤4000mm；</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1.2保障能力：整车保障处置灾害事故期间现场指挥部工作人员如厕，一次加水情况下能保障600人次持续使用；</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1.3符合GB1589-2016《汽车、挂车及汽车列车外廓尺寸、轴荷及质量限值》规定；符合GB7258-2017《机动车运行安全技术条件》规定；随车器材符合国家相关标准要求；</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1.4车身颜色和漆料：消防车车身的颜色应符合GB/T3181-2008中规定的R03大红色；外观应光滑、平整、色泽均匀，不应有缺漆等缺陷，车顶和车身涂装的工艺、颜色保持一致，不得自行增加饰条、饰带、饰物；</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1.5外观标识：按照《消防救援局关于做好消防救援车辆外观制式涂装工作的通知》（应急消[2019]76号）要求涂装，车辆前后有预留牌照架（符合现行应急车牌尺寸，采用金属构件固定后结实耐用。</w:t>
      </w:r>
    </w:p>
    <w:p>
      <w:pPr>
        <w:spacing w:line="576" w:lineRule="exact"/>
        <w:ind w:firstLine="560"/>
        <w:rPr>
          <w:rFonts w:ascii="宋体" w:hAnsi="宋体" w:eastAsia="宋体" w:cs="宋体"/>
          <w:bCs/>
          <w:sz w:val="28"/>
          <w:szCs w:val="28"/>
          <w:lang w:val="en-US"/>
        </w:rPr>
      </w:pPr>
      <w:r>
        <w:rPr>
          <w:rFonts w:hint="eastAsia" w:ascii="宋体" w:hAnsi="宋体" w:eastAsia="宋体" w:cs="宋体"/>
          <w:bCs/>
          <w:sz w:val="28"/>
          <w:szCs w:val="28"/>
          <w:lang w:val="en-US"/>
        </w:rPr>
        <w:t>2.底盘要求</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2.1底盘：通用二类底盘；</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▲2.1.1发动机功率：≥250kW；</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2.1.2最高车速：≥90km/h；</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2.1.3发动机：涡轮增压柴油机；</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2.1.4油箱：容积≥200L，金属材质，加装滤网，油箱盖带锁，并具备防冻解冻功能，适合在严寒条件下正常使用；</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2.1.5燃料种类：柴油；</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2.1.6变速箱：手动或自动变速箱；</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2.1.7驱动方式：≥4×2；</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★2.1.8排放标准：国六排放标准；</w:t>
      </w:r>
    </w:p>
    <w:p>
      <w:pPr>
        <w:adjustRightInd w:val="0"/>
        <w:snapToGrid w:val="0"/>
        <w:spacing w:line="576" w:lineRule="exact"/>
        <w:ind w:firstLine="560"/>
        <w:jc w:val="both"/>
        <w:rPr>
          <w:rFonts w:ascii="宋体" w:hAnsi="宋体" w:eastAsia="宋体" w:cs="宋体"/>
          <w:sz w:val="28"/>
          <w:szCs w:val="28"/>
          <w:lang w:val="en-US"/>
        </w:rPr>
      </w:pPr>
      <w:r>
        <w:rPr>
          <w:rFonts w:hint="eastAsia" w:ascii="宋体" w:hAnsi="宋体" w:eastAsia="宋体" w:cs="宋体"/>
          <w:sz w:val="28"/>
          <w:szCs w:val="28"/>
          <w:lang w:val="en-US"/>
        </w:rPr>
        <w:t>▲2.1.9制动方式：前轮盘式制动器、ABS防抱死制动系统或EBS电控制动系统，装配液力缓速器；</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2.1.10配有寒区包适合寒冷地区使用。</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2.2驾乘室</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▲2.2.1驾乘室：全钢保险杠，分体式大灯，驾驶室可电动翻转，翻转支撑结构可靠，翻转角不小于45°，带线控功能，密闭良好，外形美观、平整，座位≥2人，具有中控锁、适当位置配置储物箱；</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2.2.2驾驶室后视镜安装要求：两侧电加热后视镜，电动可调节、两侧广角加热后视镜，副驾驶侧门配盲区照地镜和驾驶室前盲区镜并符合</w:t>
      </w:r>
      <w:r>
        <w:rPr>
          <w:rFonts w:hint="eastAsia" w:ascii="宋体" w:hAnsi="宋体" w:eastAsia="宋体" w:cs="宋体"/>
          <w:sz w:val="28"/>
          <w:szCs w:val="28"/>
          <w:lang w:val="en-US" w:eastAsia="zh-CN"/>
        </w:rPr>
        <w:t>GB 15084-2022（20230701）《机动车辆间接视野装置性能和安装要求》</w:t>
      </w:r>
      <w:r>
        <w:rPr>
          <w:rFonts w:hint="eastAsia" w:ascii="宋体" w:hAnsi="宋体" w:eastAsia="宋体" w:cs="宋体"/>
          <w:sz w:val="28"/>
          <w:szCs w:val="28"/>
          <w:lang w:val="en-US"/>
        </w:rPr>
        <w:t>；</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2.2.3驾乘人员座位均采用三点式安全带，电动升降玻璃；</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2.2.4设置行进途中器材箱门开启、车门开启声光报警装置；</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2.2.5车内设置冷暖空调，收音机带USB接口;</w:t>
      </w:r>
    </w:p>
    <w:p>
      <w:pPr>
        <w:spacing w:line="576" w:lineRule="exact"/>
        <w:ind w:firstLine="560"/>
        <w:rPr>
          <w:rFonts w:ascii="宋体" w:hAnsi="宋体" w:eastAsia="宋体" w:cs="宋体"/>
          <w:strike/>
          <w:sz w:val="28"/>
          <w:szCs w:val="28"/>
          <w:lang w:val="en-US"/>
        </w:rPr>
      </w:pPr>
      <w:r>
        <w:rPr>
          <w:rFonts w:hint="eastAsia" w:ascii="宋体" w:hAnsi="宋体" w:eastAsia="宋体" w:cs="宋体"/>
          <w:sz w:val="28"/>
          <w:szCs w:val="28"/>
          <w:lang w:val="en-US"/>
        </w:rPr>
        <w:t>▲2.2.6配备360°行车记录仪（内存≥128G）、倒车雷达、胎压监测系统等，预留220V逆变电源插口2个，USB插口4个；配备370MHz数字车载台（支持PDT数字集群并需接入山西省370MHz无线通信核心网）；</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2.2.7驾驶室踏板要求：驾驶室的上下车踏板间距≤270mm，踏板深度≥100mm，踏板间应有水平照度≥5Lx的照明灯，踏板脚踏面应有防滑措施，与地面最近一级的离地距离≤500mm；</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▲2.2.8轮胎：子午线真空钢丝轮胎（包括1个驱动轮同规格、同型号、同品牌备胎）；</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2.2.9底盘必须为车辆采购招标公告发布当年生产的底盘，交车时需提供底盘出厂合格证。</w:t>
      </w:r>
    </w:p>
    <w:p>
      <w:pPr>
        <w:spacing w:line="576" w:lineRule="exact"/>
        <w:ind w:firstLine="560"/>
        <w:rPr>
          <w:rFonts w:ascii="宋体" w:hAnsi="宋体" w:eastAsia="宋体" w:cs="宋体"/>
          <w:bCs/>
          <w:sz w:val="28"/>
          <w:szCs w:val="28"/>
          <w:lang w:val="en-US"/>
        </w:rPr>
      </w:pPr>
      <w:r>
        <w:rPr>
          <w:rFonts w:hint="eastAsia" w:ascii="宋体" w:hAnsi="宋体" w:eastAsia="宋体" w:cs="宋体"/>
          <w:bCs/>
          <w:sz w:val="28"/>
          <w:szCs w:val="28"/>
          <w:lang w:val="en-US"/>
        </w:rPr>
        <w:t>3.上装要求</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★3.1箱体同时满足不少于8人的卫厕需求，配备洗手槽（盆）及储物柜;</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3.2厢体顶部用防滑花纹铝板铺设，厢体内外包型材、门结构采用阳极氧化处理过的铝型材，外型美观，防腐耐用，各开孔和承重处均有骨架的预埋件，满足厢体的承重要求和安装要求，所有线束均预埋在方舱的大板内，线束规范整齐便于检修更换，线束应有抗磨绝缘保护层，抗老化、外露部位耐折弯，大板结构要求具有环境适应性好及具有多种防护性能，隔热保温，防雨、防火、防热辐射、防虫蛀鼠咬等性能，车厢装有登顶梯便于上顶部维护设备，车厢内地板设置要求防滑，便于清洁；</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3.3车厢右侧设置1套抽拉平台式上下门，平台上方设有遮阳棚，平台下部设置铝合金抽拉梯，配有双侧牢固上车扶手，梯面进行防滑处理；</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▲3.4卫厕区顶部安装电动换气扇，换气量≥1700m</w:t>
      </w:r>
      <w:r>
        <w:rPr>
          <w:rFonts w:hint="eastAsia" w:ascii="宋体" w:hAnsi="宋体" w:eastAsia="宋体" w:cs="宋体"/>
          <w:sz w:val="28"/>
          <w:szCs w:val="28"/>
          <w:vertAlign w:val="superscript"/>
          <w:lang w:val="en-US"/>
        </w:rPr>
        <w:t>3</w:t>
      </w:r>
      <w:r>
        <w:rPr>
          <w:rFonts w:hint="eastAsia" w:ascii="宋体" w:hAnsi="宋体" w:eastAsia="宋体" w:cs="宋体"/>
          <w:sz w:val="28"/>
          <w:szCs w:val="28"/>
          <w:lang w:val="en-US"/>
        </w:rPr>
        <w:t>/h，数量不少于3个；</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3.5卫厕之间采用隔断设计，每个隔间要设有独立照明灯、衣帽钩等辅助设施；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3.6蹲便器不少于6个，为真空抽吸式，不锈钢材质，耐腐蚀、抗静电；水压3～10Bar；操作真空度-30～-70Kpa；耗水量：0.8L/次；耗气量：60-100L/次；冲水方式：环状喷水；喷水圈喷水出口数量：≥5个；排放方式：真空气动机械控制；</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▲3.7座便器：为真空抽吸式，白色陶瓷；水压3～10Bar；操作真空度-30～-70Kpa；耗水量：≤0.8L/次；耗气量：60-100L/次；冲水方式：环状喷水；喷水圈喷水出口数量：≥5个；排放方式：真空气动机械控制；</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3.8真空泵：额定功率≥2KW；</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3.9洗手池2套，配2个独立水龙头，并配备半身镜、洗手液、金属纸巾盒等辅助设施；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3.10设计储物柜，用于存放清扫工具、厕纸、洗手液等物品；</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3.11在车辆尾部设置1排小便池，利用灰水箱的水进行冲洗，灰水箱收集满后自动冲洗小便池，小便池水和尿液直接进入黑水箱；</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3.12水箱储水量：净水箱≥1000L，不锈钢材质，设有进出水呼吸阀，液位显示传感器，排污口，有保温设施；灰水箱≥800L，不锈钢材质，设有进出水呼吸阀，液位显示传感器，排污口，有保温设施；黑水箱≥1000L，不锈钢材质，设有进出水呼吸阀，液位显示传感器，排污口，有保温设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3.13厢体设有溢流管，车厢体两侧各设1个标准DN65注水口，方便补充水源，箱底设有带球阀的排污口；</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▲3.14净水箱带电加热，保证高寒地区正常使用；</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3.15水路系统配备车用水泵；</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3.16整车用水管路最低位设置排空阀；</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3.17配有排污泵，电机功率≥1.5KW；</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3.18配备1根10m软管，便于排污；</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3.19车厢顶后部配置有全方位电控照明灯，在车厢两侧、尾部等并联安装红色爆闪灯，警灯、警报器各自采用独立控制开关，下方安装安全标志灯和侧回复反射器，配有示廓灯；</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3.20车内卫生间电气照明应使用防潮灯具，防护等级≥IP54；</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3.21车厢两侧、尾部设有6个24V、60W照明灯，满足夜间作业需要；操作盘及接线盒高度均≥1.2m；</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3.22设置1套可连接所有电器设备的控制柜，内设电压表、电流表、指示灯、插座、照明灯开关、排风扇等所有电器开关指示，并具有漏电保护、过载保护、短路过流保护等。</w:t>
      </w:r>
    </w:p>
    <w:p>
      <w:pPr>
        <w:spacing w:line="576" w:lineRule="exact"/>
        <w:ind w:firstLine="560"/>
        <w:rPr>
          <w:rFonts w:ascii="宋体" w:hAnsi="宋体" w:eastAsia="宋体" w:cs="宋体"/>
          <w:bCs/>
          <w:sz w:val="28"/>
          <w:szCs w:val="28"/>
          <w:lang w:val="en-US"/>
        </w:rPr>
      </w:pPr>
      <w:r>
        <w:rPr>
          <w:rFonts w:hint="eastAsia" w:ascii="宋体" w:hAnsi="宋体" w:eastAsia="宋体" w:cs="宋体"/>
          <w:bCs/>
          <w:sz w:val="28"/>
          <w:szCs w:val="28"/>
          <w:lang w:val="en-US"/>
        </w:rPr>
        <w:t>4.电器及控制设备</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4.1供电系统：24V，蓄电池：2×12V，蓄电池容量≥180Ah，发动机电流≥100A，带有可复位熔断器，且带可拆卸蓄电池箱盖板；</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4.2各类指示灯：转向灯显示器，远、近光，仪表板显示亮度调节，电瓶充电指示器，驻车制动指示灯，前雾灯，后雾灯，警灯警报系统“开”指示灯、厢体/门“打开”指示灯；</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4.3紧急警示灯：制动系统气压低报警，发动机润滑系统低压报警，空滤器堵塞报警等；</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4.4开关：蓄电池总电源开关，双重控制，一个电子开关位于驾驶室内，一个手动开关位于蓄电池箱近旁；蓄电池安装部位合理，更换方便；电动式雨刷间歇开关等各类开关设置科学合理；</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4.5符合国家标准的前照灯、停车灯、转向灯、倒车灯、牌照灯和前后雾灯等，上装和消防系统的所有保险丝和继电器安装在一个保险盒中；</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4.6电气系统线路改装要求：整车电路标识清楚，每根电线都具备单独编号，整车电气系统线路采用铜芯或铜合金芯电线，正负电极线路颜色区分明显，改装线路具有防水、防尘性能，各线路捆扎整齐，线路铺设位置便于检查维修，改装线路裸露在车体外部、接近热源、靠近油箱等情况下应加装隔板或相应的保护；</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▲4.7静音发电机：燃料汽油或者柴油，配电瓶、机油、电启动（≥8Kw、计时功能、电压：380V和220V），发电机接地钎加装T型把手；</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4.8独立发电机散热风扇：无刷散热风机；</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4.9车内照明灯及车外场地灯：车内LED照明灯及车外场地照明灯；</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4.10配电箱：总电源</w:t>
      </w:r>
      <w:r>
        <w:rPr>
          <w:rFonts w:hint="eastAsia" w:ascii="宋体" w:hAnsi="宋体" w:eastAsia="宋体" w:cs="宋体"/>
          <w:color w:val="000000" w:themeColor="text1"/>
          <w:sz w:val="28"/>
          <w:szCs w:val="28"/>
          <w:lang w:val="en-US"/>
          <w14:textFill>
            <w14:solidFill>
              <w14:schemeClr w14:val="tx1"/>
            </w14:solidFill>
          </w14:textFill>
        </w:rPr>
        <w:t>与各分路设有过电压过电流保护、漏电流保护等、市电多种供电方式</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lang w:val="en-US"/>
          <w14:textFill>
            <w14:solidFill>
              <w14:schemeClr w14:val="tx1"/>
            </w14:solidFill>
          </w14:textFill>
        </w:rPr>
        <w:t>总电源符合220V/380V的电源输出，具有市电/发电切换，直流/交流分开控制</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lang w:val="en-US"/>
          <w14:textFill>
            <w14:solidFill>
              <w14:schemeClr w14:val="tx1"/>
            </w14:solidFill>
          </w14:textFill>
        </w:rPr>
        <w:t>所有用</w:t>
      </w:r>
      <w:r>
        <w:rPr>
          <w:rFonts w:hint="eastAsia" w:ascii="宋体" w:hAnsi="宋体" w:eastAsia="宋体" w:cs="宋体"/>
          <w:sz w:val="28"/>
          <w:szCs w:val="28"/>
          <w:lang w:val="en-US"/>
        </w:rPr>
        <w:t>电设备都有独立控制总开关；</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4.11应配有使用220V市电对蓄电池充电的充电器；</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4.12防雷器：电源防雷、浪涌保护器；</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4.13驾乘室顶部安装红色长排警灯，功率≥100W报警器、警灯控制器；乘员室、操纵仪表板等处须安装LED照明灯；器材箱、泵室合理安装LED灯带，随门启闭，确保照明美观及安全；所有外置车灯、灯具均须加装防护罩；</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4.14自动充电充气系统：可对车辆蓄电池进行智能充电（额定电压≥DC24V，充电电流≥20A），气路系统进行智能充气，可自动分离，也可手动分离，具有设备故障声光报警功能；消防车侧面或后部应装有充电插座，不用时防水挡板应盖住插口，当消防车启动时能使充电插头自动脱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4.15所有操作开关、仪表、器材架及车辆均有规范的永久性中文铭牌标识。</w:t>
      </w:r>
    </w:p>
    <w:p>
      <w:pPr>
        <w:spacing w:line="576" w:lineRule="exact"/>
        <w:ind w:firstLine="560"/>
        <w:rPr>
          <w:rFonts w:ascii="宋体" w:hAnsi="宋体" w:eastAsia="宋体" w:cs="宋体"/>
          <w:bCs/>
          <w:sz w:val="28"/>
          <w:szCs w:val="28"/>
          <w:lang w:val="en-US"/>
        </w:rPr>
      </w:pPr>
      <w:r>
        <w:rPr>
          <w:rFonts w:hint="eastAsia" w:ascii="宋体" w:hAnsi="宋体" w:eastAsia="宋体" w:cs="宋体"/>
          <w:bCs/>
          <w:sz w:val="28"/>
          <w:szCs w:val="28"/>
          <w:lang w:val="en-US"/>
        </w:rPr>
        <w:t>5.其他要求</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5.1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5.2随车附件</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5.2.1随车文件（中文）；</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5.2.2底盘使用、维护说明书（3份）；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5.2.3底盘质量保修卡、合格证（1份）；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5.2.4底盘维修手册（1份）；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5.2.5底盘改装手册（1份）；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5.2.6底盘电气原理图（1份）；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5.2.7底盘零件目录图册（2份）；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5.2.8底盘厂家提供的底盘随车配件清单（1份）；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5.2.9车辆整车合格证（1份）；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5.2.10上装操作使用说明书（附零部件结构图和技术资料，生产厂商联系方式及地址），配操作演示示范光盘（3份、电子版1份）；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5.2.11上装维护保养说明书（附管路系统、气动系统、电路配线图）（3份、电子版1份），上装零配件目录图册（3份）；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5.2.12随车工具清单、器材清单（1份）；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5.2.13车架号、发动机号拓印件（2份）；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5.2.14跟踪服务卡（1份）；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5.2.15随车免费提供部分底盘和上装、随车设备使用、保养、维修用的配件、必备工具和易损备件。</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5.3随车器材（配置不低于表内数量及规格型号）</w:t>
      </w:r>
    </w:p>
    <w:tbl>
      <w:tblPr>
        <w:tblStyle w:val="14"/>
        <w:tblW w:w="8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5"/>
        <w:gridCol w:w="2433"/>
        <w:gridCol w:w="1735"/>
        <w:gridCol w:w="908"/>
        <w:gridCol w:w="747"/>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000000" w:sz="2"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序号</w:t>
            </w:r>
          </w:p>
        </w:tc>
        <w:tc>
          <w:tcPr>
            <w:tcW w:w="2433" w:type="dxa"/>
            <w:tcBorders>
              <w:top w:val="single" w:color="000000" w:sz="2"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名称</w:t>
            </w:r>
          </w:p>
        </w:tc>
        <w:tc>
          <w:tcPr>
            <w:tcW w:w="1735" w:type="dxa"/>
            <w:tcBorders>
              <w:top w:val="single" w:color="000000" w:sz="2"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规格/代号</w:t>
            </w:r>
          </w:p>
        </w:tc>
        <w:tc>
          <w:tcPr>
            <w:tcW w:w="908" w:type="dxa"/>
            <w:tcBorders>
              <w:top w:val="single" w:color="000000" w:sz="2"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单位</w:t>
            </w:r>
          </w:p>
        </w:tc>
        <w:tc>
          <w:tcPr>
            <w:tcW w:w="747" w:type="dxa"/>
            <w:tcBorders>
              <w:top w:val="single" w:color="000000" w:sz="2"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数量</w:t>
            </w:r>
          </w:p>
        </w:tc>
        <w:tc>
          <w:tcPr>
            <w:tcW w:w="2115" w:type="dxa"/>
            <w:tcBorders>
              <w:top w:val="single" w:color="000000" w:sz="2"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433"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灭火器（含支架）</w:t>
            </w:r>
          </w:p>
        </w:tc>
        <w:tc>
          <w:tcPr>
            <w:tcW w:w="173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4kg</w:t>
            </w:r>
          </w:p>
        </w:tc>
        <w:tc>
          <w:tcPr>
            <w:tcW w:w="908"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具</w:t>
            </w:r>
          </w:p>
        </w:tc>
        <w:tc>
          <w:tcPr>
            <w:tcW w:w="747"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2</w:t>
            </w:r>
          </w:p>
        </w:tc>
        <w:tc>
          <w:tcPr>
            <w:tcW w:w="211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2</w:t>
            </w:r>
          </w:p>
        </w:tc>
        <w:tc>
          <w:tcPr>
            <w:tcW w:w="2433"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三角警示架</w:t>
            </w:r>
          </w:p>
        </w:tc>
        <w:tc>
          <w:tcPr>
            <w:tcW w:w="173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c>
          <w:tcPr>
            <w:tcW w:w="908"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3</w:t>
            </w:r>
          </w:p>
        </w:tc>
        <w:tc>
          <w:tcPr>
            <w:tcW w:w="2433"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随车工具</w:t>
            </w:r>
          </w:p>
        </w:tc>
        <w:tc>
          <w:tcPr>
            <w:tcW w:w="173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c>
          <w:tcPr>
            <w:tcW w:w="908"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4</w:t>
            </w:r>
          </w:p>
        </w:tc>
        <w:tc>
          <w:tcPr>
            <w:tcW w:w="2433"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电路检测工具</w:t>
            </w:r>
          </w:p>
        </w:tc>
        <w:tc>
          <w:tcPr>
            <w:tcW w:w="173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c>
          <w:tcPr>
            <w:tcW w:w="908"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5</w:t>
            </w:r>
          </w:p>
        </w:tc>
        <w:tc>
          <w:tcPr>
            <w:tcW w:w="2433"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车辆限位块</w:t>
            </w:r>
          </w:p>
        </w:tc>
        <w:tc>
          <w:tcPr>
            <w:tcW w:w="173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c>
          <w:tcPr>
            <w:tcW w:w="908"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块</w:t>
            </w:r>
          </w:p>
        </w:tc>
        <w:tc>
          <w:tcPr>
            <w:tcW w:w="747"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4</w:t>
            </w:r>
          </w:p>
        </w:tc>
        <w:tc>
          <w:tcPr>
            <w:tcW w:w="211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6</w:t>
            </w:r>
          </w:p>
        </w:tc>
        <w:tc>
          <w:tcPr>
            <w:tcW w:w="2433"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随车千斤顶</w:t>
            </w:r>
          </w:p>
        </w:tc>
        <w:tc>
          <w:tcPr>
            <w:tcW w:w="173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c>
          <w:tcPr>
            <w:tcW w:w="908"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72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7</w:t>
            </w:r>
          </w:p>
        </w:tc>
        <w:tc>
          <w:tcPr>
            <w:tcW w:w="2433"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轮胎充气管</w:t>
            </w:r>
          </w:p>
        </w:tc>
        <w:tc>
          <w:tcPr>
            <w:tcW w:w="173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≥10m</w:t>
            </w:r>
          </w:p>
        </w:tc>
        <w:tc>
          <w:tcPr>
            <w:tcW w:w="908"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根</w:t>
            </w:r>
          </w:p>
        </w:tc>
        <w:tc>
          <w:tcPr>
            <w:tcW w:w="747"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带接头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7" w:hRule="atLeast"/>
          <w:jc w:val="center"/>
        </w:trPr>
        <w:tc>
          <w:tcPr>
            <w:tcW w:w="725"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8</w:t>
            </w:r>
          </w:p>
        </w:tc>
        <w:tc>
          <w:tcPr>
            <w:tcW w:w="2433"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备用保险套装</w:t>
            </w:r>
          </w:p>
        </w:tc>
        <w:tc>
          <w:tcPr>
            <w:tcW w:w="1735"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c>
          <w:tcPr>
            <w:tcW w:w="908"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套</w:t>
            </w:r>
          </w:p>
        </w:tc>
        <w:tc>
          <w:tcPr>
            <w:tcW w:w="747"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115"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7" w:hRule="atLeast"/>
          <w:jc w:val="center"/>
        </w:trPr>
        <w:tc>
          <w:tcPr>
            <w:tcW w:w="725"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9</w:t>
            </w:r>
          </w:p>
        </w:tc>
        <w:tc>
          <w:tcPr>
            <w:tcW w:w="2433"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接地棒</w:t>
            </w:r>
          </w:p>
        </w:tc>
        <w:tc>
          <w:tcPr>
            <w:tcW w:w="1735"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c>
          <w:tcPr>
            <w:tcW w:w="908"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根</w:t>
            </w:r>
          </w:p>
        </w:tc>
        <w:tc>
          <w:tcPr>
            <w:tcW w:w="747"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r>
              <w:rPr>
                <w:rFonts w:hint="eastAsia" w:ascii="宋体" w:hAnsi="宋体" w:cs="宋体"/>
                <w:kern w:val="0"/>
                <w:szCs w:val="28"/>
              </w:rPr>
              <w:t>1</w:t>
            </w:r>
          </w:p>
        </w:tc>
        <w:tc>
          <w:tcPr>
            <w:tcW w:w="2115" w:type="dxa"/>
            <w:tcBorders>
              <w:top w:val="single" w:color="auto" w:sz="4" w:space="0"/>
              <w:left w:val="single" w:color="auto" w:sz="4" w:space="0"/>
              <w:bottom w:val="single" w:color="auto" w:sz="4" w:space="0"/>
              <w:right w:val="single" w:color="000000" w:sz="2" w:space="0"/>
            </w:tcBorders>
            <w:vAlign w:val="center"/>
          </w:tcPr>
          <w:p>
            <w:pPr>
              <w:snapToGrid w:val="0"/>
              <w:spacing w:line="576" w:lineRule="exact"/>
              <w:ind w:firstLine="0" w:firstLineChars="0"/>
              <w:jc w:val="center"/>
              <w:rPr>
                <w:rFonts w:ascii="宋体" w:hAnsi="宋体" w:cs="宋体"/>
                <w:kern w:val="0"/>
                <w:szCs w:val="28"/>
              </w:rPr>
            </w:pPr>
          </w:p>
        </w:tc>
      </w:tr>
    </w:tbl>
    <w:p>
      <w:pPr>
        <w:pStyle w:val="4"/>
        <w:bidi w:val="0"/>
        <w:rPr>
          <w:rStyle w:val="17"/>
          <w:b/>
          <w:bCs/>
        </w:rPr>
      </w:pPr>
      <w:r>
        <w:rPr>
          <w:rFonts w:hint="eastAsia"/>
          <w:color w:val="000000" w:themeColor="text1"/>
          <w14:textFill>
            <w14:solidFill>
              <w14:schemeClr w14:val="tx1"/>
            </w14:solidFill>
          </w14:textFill>
        </w:rPr>
        <w:br w:type="page"/>
      </w:r>
      <w:bookmarkStart w:id="61" w:name="_Toc30870"/>
      <w:r>
        <w:rPr>
          <w:rStyle w:val="17"/>
          <w:rFonts w:hint="eastAsia"/>
          <w:b/>
          <w:bCs/>
        </w:rPr>
        <w:t>包</w:t>
      </w:r>
      <w:r>
        <w:rPr>
          <w:rStyle w:val="17"/>
          <w:rFonts w:hint="eastAsia"/>
          <w:b/>
          <w:bCs/>
          <w:lang w:val="en-US" w:eastAsia="zh-CN"/>
        </w:rPr>
        <w:t>18</w:t>
      </w:r>
      <w:r>
        <w:rPr>
          <w:rStyle w:val="17"/>
          <w:rFonts w:hint="eastAsia"/>
          <w:b/>
          <w:bCs/>
        </w:rPr>
        <w:t xml:space="preserve">  </w:t>
      </w:r>
      <w:r>
        <w:rPr>
          <w:rStyle w:val="17"/>
          <w:rFonts w:hint="eastAsia"/>
          <w:b/>
          <w:bCs/>
          <w:lang w:eastAsia="zh-CN"/>
        </w:rPr>
        <w:t>“</w:t>
      </w:r>
      <w:r>
        <w:rPr>
          <w:rStyle w:val="17"/>
          <w:rFonts w:hint="eastAsia"/>
          <w:b/>
          <w:bCs/>
        </w:rPr>
        <w:t>被服洗涤车</w:t>
      </w:r>
      <w:r>
        <w:rPr>
          <w:rStyle w:val="17"/>
          <w:rFonts w:hint="eastAsia"/>
          <w:b/>
          <w:bCs/>
          <w:lang w:eastAsia="zh-CN"/>
        </w:rPr>
        <w:t>”</w:t>
      </w:r>
      <w:bookmarkEnd w:id="61"/>
    </w:p>
    <w:p>
      <w:pPr>
        <w:spacing w:line="576" w:lineRule="exact"/>
        <w:ind w:firstLine="560"/>
        <w:jc w:val="both"/>
        <w:rPr>
          <w:rFonts w:ascii="宋体" w:hAnsi="宋体" w:cs="宋体"/>
          <w:szCs w:val="28"/>
        </w:rPr>
      </w:pPr>
      <w:r>
        <w:rPr>
          <w:rFonts w:hint="eastAsia" w:ascii="宋体" w:hAnsi="宋体" w:cs="宋体"/>
          <w:szCs w:val="28"/>
          <w:lang w:bidi="ar"/>
        </w:rPr>
        <w:t>1.</w:t>
      </w:r>
      <w:r>
        <w:rPr>
          <w:rFonts w:hint="eastAsia" w:ascii="宋体" w:hAnsi="宋体" w:cs="宋体"/>
          <w:szCs w:val="28"/>
        </w:rPr>
        <w:t>整车要求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1.1整车性能符合GB7956.1-2014《</w:t>
      </w:r>
      <w:r>
        <w:rPr>
          <w:rFonts w:hint="eastAsia" w:ascii="宋体" w:hAnsi="宋体" w:cs="宋体"/>
          <w:bCs/>
          <w:szCs w:val="28"/>
          <w:lang w:bidi="ar"/>
        </w:rPr>
        <w:fldChar w:fldCharType="begin"/>
      </w:r>
      <w:r>
        <w:rPr>
          <w:rFonts w:hint="eastAsia" w:ascii="宋体" w:hAnsi="宋体" w:cs="宋体"/>
          <w:bCs/>
          <w:szCs w:val="28"/>
          <w:lang w:bidi="ar"/>
        </w:rPr>
        <w:instrText xml:space="preserve"> HYPERLINK "http://10.2.192.2:8080/xiaof/standardList.php?type=c9" \l "#" </w:instrText>
      </w:r>
      <w:r>
        <w:rPr>
          <w:rFonts w:hint="eastAsia" w:ascii="宋体" w:hAnsi="宋体" w:cs="宋体"/>
          <w:bCs/>
          <w:szCs w:val="28"/>
          <w:lang w:bidi="ar"/>
        </w:rPr>
        <w:fldChar w:fldCharType="separate"/>
      </w:r>
      <w:r>
        <w:rPr>
          <w:rFonts w:hint="eastAsia" w:ascii="宋体" w:hAnsi="宋体" w:cs="宋体"/>
          <w:bCs/>
          <w:szCs w:val="28"/>
          <w:lang w:bidi="ar"/>
        </w:rPr>
        <w:t>消防车第1部分：通用技术条件</w:t>
      </w:r>
      <w:r>
        <w:rPr>
          <w:rFonts w:hint="eastAsia" w:ascii="宋体" w:hAnsi="宋体" w:cs="宋体"/>
          <w:bCs/>
          <w:szCs w:val="28"/>
          <w:lang w:bidi="ar"/>
        </w:rPr>
        <w:fldChar w:fldCharType="end"/>
      </w:r>
      <w:r>
        <w:rPr>
          <w:rFonts w:hint="eastAsia" w:ascii="宋体" w:hAnsi="宋体" w:cs="宋体"/>
          <w:bCs/>
          <w:szCs w:val="28"/>
          <w:lang w:bidi="ar"/>
        </w:rPr>
        <w:t>》规定；符合GB1589-2016《汽车、挂车及汽车列车外廓尺寸、轴荷及质量限值》规定；符合GB7258-2017《机动车运行安全技术条件》规定；随车器材符合国家相关标准要求；</w:t>
      </w:r>
    </w:p>
    <w:p>
      <w:pPr>
        <w:spacing w:line="576" w:lineRule="exact"/>
        <w:ind w:firstLine="560"/>
        <w:jc w:val="both"/>
        <w:rPr>
          <w:rFonts w:ascii="宋体" w:hAnsi="宋体" w:cs="宋体"/>
          <w:szCs w:val="28"/>
        </w:rPr>
      </w:pPr>
      <w:r>
        <w:rPr>
          <w:rFonts w:hint="eastAsia" w:ascii="宋体" w:hAnsi="宋体" w:cs="宋体"/>
          <w:bCs/>
          <w:szCs w:val="28"/>
          <w:lang w:bidi="ar"/>
        </w:rPr>
        <w:t>1.2</w:t>
      </w:r>
      <w:r>
        <w:rPr>
          <w:rFonts w:hint="eastAsia" w:ascii="宋体" w:hAnsi="宋体" w:cs="宋体"/>
          <w:szCs w:val="28"/>
        </w:rPr>
        <w:t>外形尺寸:长≤12000㎜，宽≤2550㎜，高≤4000㎜；</w:t>
      </w:r>
    </w:p>
    <w:p>
      <w:pPr>
        <w:spacing w:line="576" w:lineRule="exact"/>
        <w:ind w:firstLine="560"/>
        <w:jc w:val="both"/>
        <w:rPr>
          <w:rFonts w:ascii="宋体" w:hAnsi="宋体" w:cs="宋体"/>
          <w:szCs w:val="28"/>
        </w:rPr>
      </w:pPr>
      <w:r>
        <w:rPr>
          <w:rFonts w:hint="eastAsia" w:ascii="宋体" w:hAnsi="宋体" w:cs="宋体"/>
          <w:bCs/>
          <w:szCs w:val="28"/>
          <w:lang w:bidi="ar"/>
        </w:rPr>
        <w:t>1.3</w:t>
      </w:r>
      <w:r>
        <w:rPr>
          <w:rFonts w:hint="eastAsia" w:ascii="宋体" w:hAnsi="宋体" w:cs="宋体"/>
          <w:szCs w:val="28"/>
        </w:rPr>
        <w:t>整车最大允许总质量：≥18000kg；</w:t>
      </w:r>
    </w:p>
    <w:p>
      <w:pPr>
        <w:spacing w:line="576" w:lineRule="exact"/>
        <w:ind w:firstLine="560"/>
        <w:jc w:val="both"/>
        <w:rPr>
          <w:rFonts w:ascii="宋体" w:hAnsi="宋体" w:cs="宋体"/>
          <w:szCs w:val="28"/>
        </w:rPr>
      </w:pPr>
      <w:r>
        <w:rPr>
          <w:rFonts w:hint="eastAsia" w:ascii="宋体" w:hAnsi="宋体" w:cs="宋体"/>
          <w:bCs/>
          <w:szCs w:val="28"/>
          <w:lang w:bidi="ar"/>
        </w:rPr>
        <w:t>1.4</w:t>
      </w:r>
      <w:r>
        <w:rPr>
          <w:rFonts w:hint="eastAsia" w:ascii="宋体" w:hAnsi="宋体" w:cs="宋体"/>
          <w:szCs w:val="28"/>
        </w:rPr>
        <w:t>驾乘室人员数量：≥2人；</w:t>
      </w:r>
    </w:p>
    <w:p>
      <w:pPr>
        <w:spacing w:line="576" w:lineRule="exact"/>
        <w:ind w:firstLine="560"/>
        <w:jc w:val="both"/>
        <w:rPr>
          <w:rFonts w:ascii="宋体" w:hAnsi="宋体" w:cs="宋体"/>
          <w:szCs w:val="28"/>
        </w:rPr>
      </w:pPr>
      <w:r>
        <w:rPr>
          <w:rFonts w:hint="eastAsia" w:ascii="宋体" w:hAnsi="宋体" w:cs="宋体"/>
          <w:bCs/>
          <w:szCs w:val="28"/>
          <w:lang w:bidi="ar"/>
        </w:rPr>
        <w:t>1.5车身颜色和漆料：消防车车身的颜色应符合GB/T3181-2008中规定的R03大红色；外观应光滑、平整、色泽均匀，不应有缺漆等缺陷，车顶和车身涂装的工艺、颜色保持一致，不得自行增加饰条、饰带、饰物；</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1.6外观标识：按照《消防救援局关于做好消防救援车辆外观制式涂装工作的通知》（应急消[20</w:t>
      </w:r>
      <w:r>
        <w:rPr>
          <w:rFonts w:hint="eastAsia" w:ascii="宋体" w:hAnsi="宋体" w:cs="宋体"/>
          <w:bCs/>
          <w:szCs w:val="28"/>
          <w:lang w:val="en-US" w:eastAsia="zh-CN" w:bidi="ar"/>
        </w:rPr>
        <w:t>·</w:t>
      </w:r>
      <w:r>
        <w:rPr>
          <w:rFonts w:hint="eastAsia" w:ascii="宋体" w:hAnsi="宋体" w:cs="宋体"/>
          <w:bCs/>
          <w:szCs w:val="28"/>
          <w:lang w:bidi="ar"/>
        </w:rPr>
        <w:t>19]76号）要求涂装，车辆前后有预留牌照架（符合现行应急车牌尺寸，采用金属构件固定后结实耐用）。</w:t>
      </w:r>
    </w:p>
    <w:p>
      <w:pPr>
        <w:spacing w:line="576" w:lineRule="exact"/>
        <w:ind w:firstLine="560"/>
        <w:jc w:val="both"/>
        <w:rPr>
          <w:rFonts w:ascii="宋体" w:hAnsi="宋体" w:cs="宋体"/>
          <w:szCs w:val="28"/>
        </w:rPr>
      </w:pPr>
      <w:r>
        <w:rPr>
          <w:rFonts w:hint="eastAsia" w:ascii="宋体" w:hAnsi="宋体" w:cs="宋体"/>
          <w:szCs w:val="28"/>
          <w:lang w:bidi="ar"/>
        </w:rPr>
        <w:t>2.</w:t>
      </w:r>
      <w:r>
        <w:rPr>
          <w:rFonts w:hint="eastAsia" w:ascii="宋体" w:hAnsi="宋体" w:cs="宋体"/>
          <w:szCs w:val="28"/>
        </w:rPr>
        <w:t>底盘要求</w:t>
      </w:r>
    </w:p>
    <w:p>
      <w:pPr>
        <w:spacing w:line="576" w:lineRule="exact"/>
        <w:ind w:firstLine="560"/>
        <w:jc w:val="both"/>
        <w:rPr>
          <w:rFonts w:ascii="宋体" w:hAnsi="宋体" w:cs="宋体"/>
          <w:szCs w:val="28"/>
        </w:rPr>
      </w:pPr>
      <w:r>
        <w:rPr>
          <w:rFonts w:hint="eastAsia" w:ascii="宋体" w:hAnsi="宋体" w:cs="宋体"/>
          <w:bCs/>
          <w:szCs w:val="28"/>
          <w:lang w:bidi="ar"/>
        </w:rPr>
        <w:t>2.1</w:t>
      </w:r>
      <w:r>
        <w:rPr>
          <w:rFonts w:hint="eastAsia" w:ascii="宋体" w:hAnsi="宋体" w:cs="宋体"/>
          <w:szCs w:val="28"/>
        </w:rPr>
        <w:t>底盘</w:t>
      </w:r>
    </w:p>
    <w:p>
      <w:pPr>
        <w:spacing w:line="576" w:lineRule="exact"/>
        <w:ind w:firstLine="560"/>
        <w:jc w:val="both"/>
        <w:rPr>
          <w:rFonts w:ascii="宋体" w:hAnsi="宋体" w:cs="宋体"/>
          <w:szCs w:val="28"/>
        </w:rPr>
      </w:pPr>
      <w:r>
        <w:rPr>
          <w:rFonts w:hint="eastAsia" w:ascii="宋体" w:hAnsi="宋体" w:cs="宋体"/>
          <w:bCs/>
          <w:szCs w:val="28"/>
          <w:lang w:bidi="ar"/>
        </w:rPr>
        <w:t>2.1.1通用二类底盘</w:t>
      </w:r>
      <w:r>
        <w:rPr>
          <w:rFonts w:hint="eastAsia" w:ascii="宋体" w:hAnsi="宋体" w:cs="宋体"/>
          <w:szCs w:val="28"/>
        </w:rPr>
        <w:t>；</w:t>
      </w:r>
    </w:p>
    <w:p>
      <w:pPr>
        <w:spacing w:line="576" w:lineRule="exact"/>
        <w:ind w:firstLine="560"/>
        <w:jc w:val="both"/>
        <w:rPr>
          <w:rFonts w:ascii="宋体" w:hAnsi="宋体" w:cs="宋体"/>
          <w:szCs w:val="28"/>
        </w:rPr>
      </w:pPr>
      <w:r>
        <w:rPr>
          <w:rFonts w:hint="eastAsia" w:ascii="宋体" w:hAnsi="宋体" w:cs="宋体"/>
          <w:bCs/>
          <w:szCs w:val="28"/>
          <w:lang w:bidi="ar"/>
        </w:rPr>
        <w:t>2.1.2</w:t>
      </w:r>
      <w:r>
        <w:rPr>
          <w:rFonts w:hint="eastAsia" w:ascii="宋体" w:hAnsi="宋体" w:cs="宋体"/>
          <w:szCs w:val="28"/>
        </w:rPr>
        <w:t>燃料种类:柴油；</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2.1.3</w:t>
      </w:r>
      <w:r>
        <w:rPr>
          <w:rFonts w:hint="eastAsia" w:ascii="宋体" w:hAnsi="宋体" w:cs="宋体"/>
          <w:szCs w:val="28"/>
        </w:rPr>
        <w:t>驱动形式：≥4×2；</w:t>
      </w:r>
    </w:p>
    <w:p>
      <w:pPr>
        <w:spacing w:line="576" w:lineRule="exact"/>
        <w:ind w:firstLine="560"/>
        <w:jc w:val="both"/>
        <w:rPr>
          <w:rFonts w:ascii="宋体" w:hAnsi="宋体" w:cs="宋体"/>
          <w:szCs w:val="28"/>
        </w:rPr>
      </w:pPr>
      <w:r>
        <w:rPr>
          <w:rFonts w:hint="eastAsia" w:ascii="宋体" w:hAnsi="宋体" w:cs="宋体"/>
          <w:bCs/>
          <w:szCs w:val="28"/>
          <w:lang w:bidi="ar"/>
        </w:rPr>
        <w:t>★2.1.4</w:t>
      </w:r>
      <w:r>
        <w:rPr>
          <w:rFonts w:hint="eastAsia" w:ascii="宋体" w:hAnsi="宋体" w:cs="宋体"/>
          <w:szCs w:val="28"/>
        </w:rPr>
        <w:t>排放标准：</w:t>
      </w:r>
      <w:r>
        <w:rPr>
          <w:rFonts w:hint="eastAsia" w:ascii="宋体" w:hAnsi="宋体" w:cs="宋体"/>
          <w:bCs/>
          <w:szCs w:val="28"/>
          <w:lang w:bidi="ar"/>
        </w:rPr>
        <w:t>国六排放标准</w:t>
      </w:r>
      <w:r>
        <w:rPr>
          <w:rFonts w:hint="eastAsia" w:ascii="宋体" w:hAnsi="宋体" w:cs="宋体"/>
          <w:szCs w:val="28"/>
        </w:rPr>
        <w:t>；</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2.1.5</w:t>
      </w:r>
      <w:r>
        <w:rPr>
          <w:rFonts w:hint="eastAsia" w:ascii="宋体" w:hAnsi="宋体" w:cs="宋体"/>
          <w:szCs w:val="28"/>
        </w:rPr>
        <w:t>发动机：柴油发动机，最大输出功率≥250kW；</w:t>
      </w:r>
    </w:p>
    <w:p>
      <w:pPr>
        <w:spacing w:line="576" w:lineRule="exact"/>
        <w:ind w:firstLine="560"/>
        <w:jc w:val="both"/>
        <w:rPr>
          <w:rFonts w:ascii="宋体" w:hAnsi="宋体" w:cs="宋体"/>
          <w:szCs w:val="28"/>
        </w:rPr>
      </w:pPr>
      <w:r>
        <w:rPr>
          <w:rFonts w:hint="eastAsia" w:ascii="宋体" w:hAnsi="宋体" w:cs="宋体"/>
          <w:bCs/>
          <w:szCs w:val="28"/>
          <w:lang w:bidi="ar"/>
        </w:rPr>
        <w:t>2.1.6</w:t>
      </w:r>
      <w:r>
        <w:rPr>
          <w:rFonts w:hint="eastAsia" w:ascii="宋体" w:hAnsi="宋体" w:cs="宋体"/>
          <w:szCs w:val="28"/>
        </w:rPr>
        <w:t>变速器：手动或自动变速；</w:t>
      </w:r>
    </w:p>
    <w:p>
      <w:pPr>
        <w:spacing w:line="576" w:lineRule="exact"/>
        <w:ind w:firstLine="560"/>
        <w:jc w:val="both"/>
        <w:rPr>
          <w:rFonts w:ascii="宋体" w:hAnsi="宋体" w:cs="宋体"/>
          <w:szCs w:val="28"/>
        </w:rPr>
      </w:pPr>
      <w:r>
        <w:rPr>
          <w:rFonts w:hint="eastAsia" w:ascii="宋体" w:hAnsi="宋体" w:cs="宋体"/>
          <w:bCs/>
          <w:szCs w:val="28"/>
          <w:lang w:bidi="ar"/>
        </w:rPr>
        <w:t>2.1.7</w:t>
      </w:r>
      <w:r>
        <w:rPr>
          <w:rFonts w:hint="eastAsia" w:ascii="宋体" w:hAnsi="宋体" w:cs="宋体"/>
          <w:szCs w:val="28"/>
        </w:rPr>
        <w:t>油箱：容积：≥200L，金属材质，加装滤网，油箱盖带锁；</w:t>
      </w:r>
    </w:p>
    <w:p>
      <w:pPr>
        <w:snapToGrid w:val="0"/>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2.1.8制动方式：</w:t>
      </w:r>
      <w:r>
        <w:rPr>
          <w:rFonts w:hint="eastAsia" w:ascii="宋体" w:hAnsi="宋体" w:cs="宋体"/>
          <w:szCs w:val="28"/>
        </w:rPr>
        <w:t>前轮盘式制动器、ABS防抱死制动系统或EBS电控制动系统，装配液力缓速器；</w:t>
      </w:r>
    </w:p>
    <w:p>
      <w:pPr>
        <w:spacing w:line="576" w:lineRule="exact"/>
        <w:ind w:firstLine="560"/>
        <w:rPr>
          <w:rFonts w:ascii="宋体" w:hAnsi="宋体" w:eastAsia="宋体" w:cs="宋体"/>
          <w:sz w:val="28"/>
          <w:szCs w:val="28"/>
        </w:rPr>
      </w:pPr>
      <w:r>
        <w:rPr>
          <w:rFonts w:hint="eastAsia" w:ascii="宋体" w:hAnsi="宋体" w:eastAsia="宋体" w:cs="宋体"/>
          <w:bCs/>
          <w:sz w:val="28"/>
          <w:szCs w:val="28"/>
          <w:lang w:val="en-US" w:bidi="ar"/>
        </w:rPr>
        <w:t>2.1.9配有寒区包适合寒冷地区使用；</w:t>
      </w:r>
    </w:p>
    <w:p>
      <w:pPr>
        <w:spacing w:line="576" w:lineRule="exact"/>
        <w:ind w:firstLine="560"/>
        <w:jc w:val="both"/>
        <w:rPr>
          <w:rFonts w:ascii="宋体" w:hAnsi="宋体" w:cs="宋体"/>
          <w:szCs w:val="28"/>
        </w:rPr>
      </w:pPr>
      <w:r>
        <w:rPr>
          <w:rFonts w:hint="eastAsia" w:ascii="宋体" w:hAnsi="宋体" w:cs="宋体"/>
          <w:bCs/>
          <w:szCs w:val="28"/>
          <w:lang w:bidi="ar"/>
        </w:rPr>
        <w:t>2.2</w:t>
      </w:r>
      <w:r>
        <w:rPr>
          <w:rFonts w:hint="eastAsia" w:ascii="宋体" w:hAnsi="宋体" w:cs="宋体"/>
          <w:szCs w:val="28"/>
        </w:rPr>
        <w:t>驾乘室</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2.2.1</w:t>
      </w:r>
      <w:r>
        <w:rPr>
          <w:rFonts w:hint="eastAsia" w:ascii="宋体" w:hAnsi="宋体" w:cs="宋体"/>
          <w:szCs w:val="28"/>
        </w:rPr>
        <w:t>原厂双门单排驾驶室，全钢保险杠，分体式大灯；</w:t>
      </w:r>
    </w:p>
    <w:p>
      <w:pPr>
        <w:spacing w:line="576" w:lineRule="exact"/>
        <w:ind w:firstLine="560"/>
        <w:jc w:val="both"/>
        <w:rPr>
          <w:rFonts w:ascii="宋体" w:hAnsi="宋体" w:cs="宋体"/>
          <w:szCs w:val="28"/>
        </w:rPr>
      </w:pPr>
      <w:r>
        <w:rPr>
          <w:rFonts w:hint="eastAsia" w:ascii="宋体" w:hAnsi="宋体" w:cs="宋体"/>
          <w:bCs/>
          <w:szCs w:val="28"/>
          <w:lang w:bidi="ar"/>
        </w:rPr>
        <w:t>2.2.2</w:t>
      </w:r>
      <w:r>
        <w:rPr>
          <w:rFonts w:hint="eastAsia" w:ascii="宋体" w:hAnsi="宋体" w:cs="宋体"/>
          <w:szCs w:val="28"/>
        </w:rPr>
        <w:t>设置行进途中器材箱门开启、车门开启声光报警装置；</w:t>
      </w:r>
    </w:p>
    <w:p>
      <w:pPr>
        <w:spacing w:line="576" w:lineRule="exact"/>
        <w:ind w:firstLine="560"/>
        <w:jc w:val="both"/>
        <w:rPr>
          <w:rFonts w:ascii="宋体" w:hAnsi="宋体" w:cs="宋体"/>
          <w:szCs w:val="28"/>
        </w:rPr>
      </w:pPr>
      <w:r>
        <w:rPr>
          <w:rFonts w:hint="eastAsia" w:ascii="宋体" w:hAnsi="宋体" w:cs="宋体"/>
          <w:bCs/>
          <w:szCs w:val="28"/>
          <w:lang w:bidi="ar"/>
        </w:rPr>
        <w:t>2.2.3</w:t>
      </w:r>
      <w:r>
        <w:rPr>
          <w:rFonts w:hint="eastAsia" w:ascii="宋体" w:hAnsi="宋体" w:cs="宋体"/>
          <w:szCs w:val="28"/>
        </w:rPr>
        <w:t>驾驶室可电动翻转、带线控功能，中央门锁，电动后视镜，驾驶室前望地镜，驾驶室外遮阳板，驾驶室电源总开关；</w:t>
      </w:r>
      <w:r>
        <w:rPr>
          <w:rFonts w:hint="eastAsia" w:ascii="宋体" w:hAnsi="宋体" w:cs="宋体"/>
          <w:bCs/>
          <w:szCs w:val="28"/>
          <w:lang w:bidi="ar"/>
        </w:rPr>
        <w:t>驾乘人员座位均采用三点式安全带；电动升降玻璃；车内设置冷暖空调，收音机带USB接口；</w:t>
      </w:r>
    </w:p>
    <w:p>
      <w:pPr>
        <w:snapToGrid w:val="0"/>
        <w:spacing w:line="576" w:lineRule="exact"/>
        <w:ind w:firstLine="560"/>
        <w:jc w:val="both"/>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2.2.4配备360°行车记录仪（内存≥128G）、倒车雷达、胎压监测系统等，预留220V逆变电源插口2个，USB插口4个；配备370MHz数字车载台（支持PDT数字集群并需接入山西省370MHz无线通信核心网）；</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2.2.5驾驶室踏板要求：驾驶室的上下车踏板间距≤270mm，踏板深度≥100mm，踏板间应有水平照度≥5Lx的照明灯，踏板脚踏面应有防滑措施，与地面最近一级的离地距离≤500mm；</w:t>
      </w:r>
    </w:p>
    <w:p>
      <w:pPr>
        <w:snapToGrid w:val="0"/>
        <w:spacing w:line="576" w:lineRule="exact"/>
        <w:ind w:firstLine="560"/>
        <w:jc w:val="both"/>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2.2.6轮胎：子午线真空钢丝轮胎（包括1个驱动轮同规格、同型号、同品牌备胎）；</w:t>
      </w:r>
    </w:p>
    <w:p>
      <w:pPr>
        <w:spacing w:line="576" w:lineRule="exact"/>
        <w:ind w:firstLine="560"/>
        <w:jc w:val="both"/>
        <w:rPr>
          <w:rFonts w:ascii="宋体" w:hAnsi="宋体" w:cs="宋体"/>
          <w:szCs w:val="28"/>
        </w:rPr>
      </w:pPr>
      <w:r>
        <w:rPr>
          <w:rFonts w:hint="eastAsia" w:ascii="宋体" w:hAnsi="宋体" w:cs="宋体"/>
          <w:bCs/>
          <w:szCs w:val="28"/>
          <w:lang w:bidi="ar"/>
        </w:rPr>
        <w:t>2.2.7底盘必须为车辆采购招标公告发布当年生产的底盘，交车时需提供底盘出厂合格证。</w:t>
      </w:r>
    </w:p>
    <w:p>
      <w:pPr>
        <w:spacing w:line="576" w:lineRule="exact"/>
        <w:ind w:firstLine="560"/>
        <w:jc w:val="both"/>
        <w:rPr>
          <w:rFonts w:ascii="宋体" w:hAnsi="宋体" w:cs="宋体"/>
          <w:szCs w:val="28"/>
        </w:rPr>
      </w:pPr>
      <w:r>
        <w:rPr>
          <w:rFonts w:hint="eastAsia" w:ascii="宋体" w:hAnsi="宋体" w:cs="宋体"/>
          <w:szCs w:val="28"/>
          <w:lang w:bidi="ar"/>
        </w:rPr>
        <w:t>3.</w:t>
      </w:r>
      <w:r>
        <w:rPr>
          <w:rFonts w:hint="eastAsia" w:ascii="宋体" w:hAnsi="宋体" w:cs="宋体"/>
          <w:szCs w:val="28"/>
        </w:rPr>
        <w:t>上装要求</w:t>
      </w:r>
    </w:p>
    <w:p>
      <w:pPr>
        <w:spacing w:line="576" w:lineRule="exact"/>
        <w:ind w:firstLine="560"/>
        <w:jc w:val="both"/>
        <w:rPr>
          <w:rFonts w:ascii="宋体" w:hAnsi="宋体" w:cs="宋体"/>
          <w:szCs w:val="28"/>
        </w:rPr>
      </w:pPr>
      <w:r>
        <w:rPr>
          <w:rFonts w:hint="eastAsia" w:ascii="宋体" w:hAnsi="宋体" w:cs="宋体"/>
          <w:bCs/>
          <w:szCs w:val="28"/>
          <w:lang w:bidi="ar"/>
        </w:rPr>
        <w:t>3.1</w:t>
      </w:r>
      <w:r>
        <w:rPr>
          <w:rFonts w:hint="eastAsia" w:ascii="宋体" w:hAnsi="宋体" w:cs="宋体"/>
          <w:szCs w:val="28"/>
        </w:rPr>
        <w:t>总体要求：实现在灾害事故现场或驻防地进行灭火救援防护服装及常规服装洗涤、脱水、烘干、储存等功能，具备25kg的洗涤、脱水、烘干一体</w:t>
      </w:r>
      <w:r>
        <w:rPr>
          <w:rFonts w:hint="eastAsia" w:ascii="宋体" w:hAnsi="宋体" w:cs="宋体"/>
          <w:bCs/>
          <w:szCs w:val="28"/>
          <w:lang w:bidi="ar"/>
        </w:rPr>
        <w:t>洗衣机</w:t>
      </w:r>
      <w:r>
        <w:rPr>
          <w:rFonts w:hint="eastAsia" w:ascii="宋体" w:hAnsi="宋体" w:cs="宋体"/>
          <w:szCs w:val="28"/>
        </w:rPr>
        <w:t>≥2台，10kg洗涤、脱水、烘干一体洗衣机≥1台；</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3.1.1</w:t>
      </w:r>
      <w:r>
        <w:rPr>
          <w:rFonts w:hint="eastAsia" w:ascii="宋体" w:hAnsi="宋体" w:cs="宋体"/>
          <w:szCs w:val="28"/>
        </w:rPr>
        <w:t>洗脱烘一体机：数量：≥2台大型洗脱烘一体机、≥1台小型洗脱烘一体机；</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3.1.2</w:t>
      </w:r>
      <w:r>
        <w:rPr>
          <w:rFonts w:hint="eastAsia" w:ascii="宋体" w:hAnsi="宋体" w:cs="宋体"/>
          <w:szCs w:val="28"/>
        </w:rPr>
        <w:t>单个大型洗脱烘一体机容量：≥25kg，机器分上下双层，上部烘干、下部洗脱。额定电压：380V，烘干容量：≥25kg；</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3.1.3</w:t>
      </w:r>
      <w:r>
        <w:rPr>
          <w:rFonts w:hint="eastAsia" w:ascii="宋体" w:hAnsi="宋体" w:cs="宋体"/>
          <w:szCs w:val="28"/>
        </w:rPr>
        <w:t>单个小型洗脱烘一体机容量：≥10kg，额定电压：220V；</w:t>
      </w:r>
    </w:p>
    <w:p>
      <w:pPr>
        <w:spacing w:line="576" w:lineRule="exact"/>
        <w:ind w:firstLine="560"/>
        <w:jc w:val="both"/>
        <w:rPr>
          <w:rFonts w:ascii="宋体" w:hAnsi="宋体" w:cs="宋体"/>
          <w:szCs w:val="28"/>
        </w:rPr>
      </w:pPr>
      <w:r>
        <w:rPr>
          <w:rFonts w:hint="eastAsia" w:ascii="宋体" w:hAnsi="宋体" w:cs="宋体"/>
          <w:bCs/>
          <w:szCs w:val="28"/>
          <w:lang w:bidi="ar"/>
        </w:rPr>
        <w:t>3.2</w:t>
      </w:r>
      <w:r>
        <w:rPr>
          <w:rFonts w:hint="eastAsia" w:ascii="宋体" w:hAnsi="宋体" w:cs="宋体"/>
          <w:szCs w:val="28"/>
        </w:rPr>
        <w:t>厢体：车厢主要设置：操作平台、洗烘系统、水路系统、晾晒系统、电路系统等；</w:t>
      </w:r>
    </w:p>
    <w:p>
      <w:pPr>
        <w:spacing w:line="576" w:lineRule="exact"/>
        <w:ind w:firstLine="560"/>
        <w:jc w:val="both"/>
        <w:rPr>
          <w:rFonts w:ascii="宋体" w:hAnsi="宋体" w:cs="宋体"/>
          <w:szCs w:val="28"/>
        </w:rPr>
      </w:pPr>
      <w:r>
        <w:rPr>
          <w:rFonts w:hint="eastAsia" w:ascii="宋体" w:hAnsi="宋体" w:cs="宋体"/>
          <w:bCs/>
          <w:szCs w:val="28"/>
          <w:lang w:bidi="ar"/>
        </w:rPr>
        <w:t>3.2.1</w:t>
      </w:r>
      <w:r>
        <w:rPr>
          <w:rFonts w:hint="eastAsia" w:ascii="宋体" w:hAnsi="宋体" w:cs="宋体"/>
          <w:szCs w:val="28"/>
        </w:rPr>
        <w:t>抽拉梯：在厢体尾部设计一个后开门，供人员进出厢体内使用。设计≥1套隐藏式抽拉机构，使用时将抽拉梯从箱体下方拉出；</w:t>
      </w:r>
    </w:p>
    <w:p>
      <w:pPr>
        <w:spacing w:line="576" w:lineRule="exact"/>
        <w:ind w:firstLine="560"/>
        <w:jc w:val="both"/>
        <w:rPr>
          <w:rFonts w:ascii="宋体" w:hAnsi="宋体" w:cs="宋体"/>
          <w:szCs w:val="28"/>
        </w:rPr>
      </w:pPr>
      <w:r>
        <w:rPr>
          <w:rFonts w:hint="eastAsia" w:ascii="宋体" w:hAnsi="宋体" w:cs="宋体"/>
          <w:bCs/>
          <w:szCs w:val="28"/>
          <w:lang w:bidi="ar"/>
        </w:rPr>
        <w:t>3.2.2</w:t>
      </w:r>
      <w:r>
        <w:rPr>
          <w:rFonts w:hint="eastAsia" w:ascii="宋体" w:hAnsi="宋体" w:cs="宋体"/>
          <w:szCs w:val="28"/>
        </w:rPr>
        <w:t>挂梯：为方便人员从车厢上下车，设计≥1套挂梯，平时安装于车内，使用时取下；</w:t>
      </w:r>
    </w:p>
    <w:p>
      <w:pPr>
        <w:spacing w:line="576" w:lineRule="exact"/>
        <w:ind w:firstLine="560"/>
        <w:jc w:val="both"/>
        <w:rPr>
          <w:rFonts w:ascii="宋体" w:hAnsi="宋体" w:cs="宋体"/>
          <w:szCs w:val="28"/>
        </w:rPr>
      </w:pPr>
      <w:r>
        <w:rPr>
          <w:rFonts w:hint="eastAsia" w:ascii="宋体" w:hAnsi="宋体" w:cs="宋体"/>
          <w:bCs/>
          <w:szCs w:val="28"/>
          <w:lang w:bidi="ar"/>
        </w:rPr>
        <w:t>3.2.3</w:t>
      </w:r>
      <w:r>
        <w:rPr>
          <w:rFonts w:hint="eastAsia" w:ascii="宋体" w:hAnsi="宋体" w:cs="宋体"/>
          <w:szCs w:val="28"/>
        </w:rPr>
        <w:t>折叠梯：设置≥1部折叠梯，供人员上车顶检修设备，具备防滑设施；</w:t>
      </w:r>
    </w:p>
    <w:p>
      <w:pPr>
        <w:spacing w:line="576" w:lineRule="exact"/>
        <w:ind w:firstLine="560"/>
        <w:jc w:val="both"/>
        <w:rPr>
          <w:rFonts w:ascii="宋体" w:hAnsi="宋体" w:cs="宋体"/>
          <w:szCs w:val="28"/>
        </w:rPr>
      </w:pPr>
      <w:r>
        <w:rPr>
          <w:rFonts w:hint="eastAsia" w:ascii="宋体" w:hAnsi="宋体" w:cs="宋体"/>
          <w:bCs/>
          <w:szCs w:val="28"/>
          <w:lang w:bidi="ar"/>
        </w:rPr>
        <w:t>3.2.4</w:t>
      </w:r>
      <w:r>
        <w:rPr>
          <w:rFonts w:hint="eastAsia" w:ascii="宋体" w:hAnsi="宋体" w:cs="宋体"/>
          <w:szCs w:val="28"/>
        </w:rPr>
        <w:t>厢体尾部上方有两个向斜后方照射的照明灯，与倒档装置联动，方便驾驶员安全倒车；</w:t>
      </w:r>
    </w:p>
    <w:p>
      <w:pPr>
        <w:spacing w:line="576" w:lineRule="exact"/>
        <w:ind w:firstLine="560"/>
        <w:jc w:val="both"/>
        <w:rPr>
          <w:rFonts w:ascii="宋体" w:hAnsi="宋体" w:cs="宋体"/>
          <w:bCs/>
          <w:szCs w:val="28"/>
          <w:lang w:bidi="ar"/>
        </w:rPr>
      </w:pPr>
      <w:r>
        <w:rPr>
          <w:rFonts w:hint="eastAsia" w:ascii="宋体" w:hAnsi="宋体" w:cs="宋体"/>
          <w:bCs/>
          <w:szCs w:val="28"/>
          <w:lang w:bidi="ar"/>
        </w:rPr>
        <w:t>3.2.5所有焊接须牢固、光洁、平整并经过美化处理；</w:t>
      </w:r>
    </w:p>
    <w:p>
      <w:pPr>
        <w:spacing w:line="576" w:lineRule="exact"/>
        <w:ind w:firstLine="560"/>
        <w:jc w:val="both"/>
        <w:rPr>
          <w:rFonts w:ascii="宋体" w:hAnsi="宋体" w:cs="宋体"/>
          <w:szCs w:val="28"/>
        </w:rPr>
      </w:pPr>
      <w:r>
        <w:rPr>
          <w:rFonts w:hint="eastAsia" w:ascii="宋体" w:hAnsi="宋体" w:cs="宋体"/>
          <w:bCs/>
          <w:szCs w:val="28"/>
          <w:lang w:bidi="ar"/>
        </w:rPr>
        <w:t>3.2.6内饰</w:t>
      </w:r>
      <w:r>
        <w:rPr>
          <w:rFonts w:hint="eastAsia" w:ascii="宋体" w:hAnsi="宋体" w:cs="宋体"/>
          <w:szCs w:val="28"/>
        </w:rPr>
        <w:t>具有良好的防水、防潮及耐腐蚀性能。地板选用防水材料，设有残水排放措施不会在地板上形成积水，地板浸水不得出现腐烂、</w:t>
      </w:r>
      <w:r>
        <w:rPr>
          <w:rFonts w:hint="eastAsia" w:ascii="宋体" w:hAnsi="宋体" w:cs="宋体"/>
          <w:bCs/>
          <w:szCs w:val="28"/>
          <w:lang w:bidi="ar"/>
        </w:rPr>
        <w:t>锈蚀</w:t>
      </w:r>
      <w:r>
        <w:rPr>
          <w:rFonts w:hint="eastAsia" w:ascii="宋体" w:hAnsi="宋体" w:cs="宋体"/>
          <w:szCs w:val="28"/>
        </w:rPr>
        <w:t>、发霉、有异味等现象；</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3.3</w:t>
      </w:r>
      <w:r>
        <w:rPr>
          <w:rFonts w:hint="eastAsia" w:ascii="宋体" w:hAnsi="宋体" w:cs="宋体"/>
          <w:szCs w:val="28"/>
        </w:rPr>
        <w:t>操作平台：车厢内部设置操作平台，摆放洗衣液，可对衣物进行预处理。配有≥1套缝补设备，储物架：配备相应的储物箱并做好固定措施，中间部位满足≥50套战斗服悬挂使用，配备≥100个具有防脱落功能的战斗服专用晾衣架；</w:t>
      </w:r>
    </w:p>
    <w:p>
      <w:pPr>
        <w:spacing w:line="576" w:lineRule="exact"/>
        <w:ind w:firstLine="560"/>
        <w:jc w:val="both"/>
        <w:rPr>
          <w:rFonts w:ascii="宋体" w:hAnsi="宋体" w:cs="宋体"/>
          <w:szCs w:val="28"/>
        </w:rPr>
      </w:pPr>
      <w:r>
        <w:rPr>
          <w:rFonts w:hint="eastAsia" w:ascii="宋体" w:hAnsi="宋体" w:cs="宋体"/>
          <w:bCs/>
          <w:szCs w:val="28"/>
          <w:lang w:bidi="ar"/>
        </w:rPr>
        <w:t>3.4</w:t>
      </w:r>
      <w:r>
        <w:rPr>
          <w:rFonts w:hint="eastAsia" w:ascii="宋体" w:hAnsi="宋体" w:cs="宋体"/>
          <w:szCs w:val="28"/>
        </w:rPr>
        <w:t>水路系统</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3.4.1</w:t>
      </w:r>
      <w:r>
        <w:rPr>
          <w:rFonts w:hint="eastAsia" w:ascii="宋体" w:hAnsi="宋体" w:cs="宋体"/>
          <w:szCs w:val="28"/>
        </w:rPr>
        <w:t>水箱容量≥1000L，不低于304不锈钢材质，底部设有排污口。配备1个检修口，带有快速锁定/开启装置，1个水箱溢流及通气阀，不少于1个Ф65mm内扣式注水接口，配有止逆阀、截流阀、液位传感器及显示装置、铜质滤网，具备低液位报警功能，配备加热装置；</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3.4.2</w:t>
      </w:r>
      <w:r>
        <w:rPr>
          <w:rFonts w:hint="eastAsia" w:ascii="宋体" w:hAnsi="宋体" w:cs="宋体"/>
          <w:szCs w:val="28"/>
        </w:rPr>
        <w:t>设置净水系统，净化量≥1000L/h，能将地表三类水净化为洗衣用水；</w:t>
      </w:r>
    </w:p>
    <w:p>
      <w:pPr>
        <w:spacing w:line="576" w:lineRule="exact"/>
        <w:ind w:firstLine="560"/>
        <w:jc w:val="both"/>
        <w:rPr>
          <w:rFonts w:ascii="宋体" w:hAnsi="宋体" w:cs="宋体"/>
          <w:szCs w:val="28"/>
        </w:rPr>
      </w:pPr>
      <w:r>
        <w:rPr>
          <w:rFonts w:hint="eastAsia" w:ascii="宋体" w:hAnsi="宋体" w:cs="宋体"/>
          <w:bCs/>
          <w:szCs w:val="28"/>
          <w:lang w:bidi="ar"/>
        </w:rPr>
        <w:t>3.4.3</w:t>
      </w:r>
      <w:r>
        <w:rPr>
          <w:rFonts w:hint="eastAsia" w:ascii="宋体" w:hAnsi="宋体" w:cs="宋体"/>
          <w:szCs w:val="28"/>
        </w:rPr>
        <w:t>水路全部采用PPR材质管道；设计排水口，低温或者长时间驻车放掉管路遗留水，设置防冻保护设备；</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3.4.4</w:t>
      </w:r>
      <w:r>
        <w:rPr>
          <w:rFonts w:hint="eastAsia" w:ascii="宋体" w:hAnsi="宋体" w:cs="宋体"/>
          <w:szCs w:val="28"/>
        </w:rPr>
        <w:t>增压泵：水泵功率≥120W，流量≥70L/min；</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3.4.5</w:t>
      </w:r>
      <w:r>
        <w:rPr>
          <w:rFonts w:hint="eastAsia" w:ascii="宋体" w:hAnsi="宋体" w:cs="宋体"/>
          <w:szCs w:val="28"/>
        </w:rPr>
        <w:t>污水箱：容量：≥500L。采用不低于304不锈钢材质的耐腐蚀材料（罐内管道及阀应采用耐腐蚀材料），底部设有排污口，配备排水软管供集中排放污水，液位满时有报警提示，配备加热装置；</w:t>
      </w:r>
    </w:p>
    <w:p>
      <w:pPr>
        <w:spacing w:line="576" w:lineRule="exact"/>
        <w:ind w:firstLine="560"/>
        <w:jc w:val="both"/>
        <w:rPr>
          <w:rFonts w:ascii="宋体" w:hAnsi="宋体" w:cs="宋体"/>
          <w:szCs w:val="28"/>
        </w:rPr>
      </w:pPr>
      <w:r>
        <w:rPr>
          <w:rFonts w:hint="eastAsia" w:ascii="宋体" w:hAnsi="宋体" w:cs="宋体"/>
          <w:bCs/>
          <w:szCs w:val="28"/>
          <w:lang w:bidi="ar"/>
        </w:rPr>
        <w:t>3.4.6</w:t>
      </w:r>
      <w:r>
        <w:rPr>
          <w:rFonts w:hint="eastAsia" w:ascii="宋体" w:hAnsi="宋体" w:cs="宋体"/>
          <w:szCs w:val="28"/>
        </w:rPr>
        <w:t>配备2个敞开式储水囊，每个容量≥1000L。在车体一侧设置1套冲洗装置及毛刷；</w:t>
      </w:r>
    </w:p>
    <w:p>
      <w:pPr>
        <w:spacing w:line="576" w:lineRule="exact"/>
        <w:ind w:firstLine="560"/>
        <w:jc w:val="both"/>
        <w:rPr>
          <w:rFonts w:ascii="宋体" w:hAnsi="宋体" w:cs="宋体"/>
          <w:szCs w:val="28"/>
        </w:rPr>
      </w:pPr>
      <w:r>
        <w:rPr>
          <w:rFonts w:hint="eastAsia" w:ascii="宋体" w:hAnsi="宋体" w:cs="宋体"/>
          <w:bCs/>
          <w:szCs w:val="28"/>
          <w:lang w:bidi="ar"/>
        </w:rPr>
        <w:t>3.5</w:t>
      </w:r>
      <w:r>
        <w:rPr>
          <w:rFonts w:hint="eastAsia" w:ascii="宋体" w:hAnsi="宋体" w:cs="宋体"/>
          <w:szCs w:val="28"/>
        </w:rPr>
        <w:t>晾晒装置：设置车载式晾衣架，布局合理；</w:t>
      </w:r>
    </w:p>
    <w:p>
      <w:pPr>
        <w:spacing w:line="576" w:lineRule="exact"/>
        <w:ind w:firstLine="560"/>
        <w:jc w:val="both"/>
        <w:rPr>
          <w:rFonts w:ascii="宋体" w:hAnsi="宋体" w:cs="宋体"/>
          <w:szCs w:val="28"/>
        </w:rPr>
      </w:pPr>
      <w:r>
        <w:rPr>
          <w:rFonts w:hint="eastAsia" w:ascii="宋体" w:hAnsi="宋体" w:cs="宋体"/>
          <w:bCs/>
          <w:szCs w:val="28"/>
          <w:lang w:bidi="ar"/>
        </w:rPr>
        <w:t>3.6</w:t>
      </w:r>
      <w:r>
        <w:rPr>
          <w:rFonts w:hint="eastAsia" w:ascii="宋体" w:hAnsi="宋体" w:cs="宋体"/>
          <w:szCs w:val="28"/>
        </w:rPr>
        <w:t>发电机组</w:t>
      </w:r>
    </w:p>
    <w:p>
      <w:pPr>
        <w:spacing w:line="576" w:lineRule="exact"/>
        <w:ind w:firstLine="560"/>
        <w:jc w:val="both"/>
        <w:rPr>
          <w:rFonts w:ascii="宋体" w:hAnsi="宋体" w:cs="宋体"/>
          <w:szCs w:val="28"/>
        </w:rPr>
      </w:pPr>
      <w:r>
        <w:rPr>
          <w:rFonts w:hint="eastAsia" w:ascii="宋体" w:hAnsi="宋体" w:cs="宋体"/>
          <w:bCs/>
          <w:szCs w:val="28"/>
          <w:lang w:bidi="ar"/>
        </w:rPr>
        <w:t>3.6.1</w:t>
      </w:r>
      <w:r>
        <w:rPr>
          <w:rFonts w:hint="eastAsia" w:ascii="宋体" w:hAnsi="宋体" w:cs="宋体"/>
          <w:szCs w:val="28"/>
        </w:rPr>
        <w:t>静音柴油发电机（距车7米，车内噪音≤70分贝）；</w:t>
      </w:r>
    </w:p>
    <w:p>
      <w:pPr>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3.6.2</w:t>
      </w:r>
      <w:r>
        <w:rPr>
          <w:rFonts w:hint="eastAsia" w:ascii="宋体" w:hAnsi="宋体" w:cs="宋体"/>
          <w:szCs w:val="28"/>
        </w:rPr>
        <w:t>工作时排放尾气不得进入车内；</w:t>
      </w:r>
    </w:p>
    <w:p>
      <w:pPr>
        <w:spacing w:line="576" w:lineRule="exact"/>
        <w:ind w:firstLine="560"/>
        <w:jc w:val="both"/>
        <w:rPr>
          <w:rFonts w:ascii="宋体" w:hAnsi="宋体" w:cs="宋体"/>
          <w:szCs w:val="28"/>
        </w:rPr>
      </w:pPr>
      <w:r>
        <w:rPr>
          <w:rFonts w:hint="eastAsia" w:ascii="宋体" w:hAnsi="宋体" w:cs="宋体"/>
          <w:bCs/>
          <w:szCs w:val="28"/>
          <w:lang w:bidi="ar"/>
        </w:rPr>
        <w:t>3.6.3</w:t>
      </w:r>
      <w:r>
        <w:rPr>
          <w:rFonts w:hint="eastAsia" w:ascii="宋体" w:hAnsi="宋体" w:cs="宋体"/>
          <w:szCs w:val="28"/>
        </w:rPr>
        <w:t>额定功率≥30kW，既可为整车用电设施供电，具有过压、欠压，过载、缺相等保护功能，也可外接对其他用电设备进行供电，留有对外供电接口（220V和380V输出电压各不少于1个）；</w:t>
      </w:r>
    </w:p>
    <w:p>
      <w:pPr>
        <w:spacing w:line="576" w:lineRule="exact"/>
        <w:ind w:firstLine="560"/>
        <w:jc w:val="both"/>
        <w:rPr>
          <w:rFonts w:ascii="宋体" w:hAnsi="宋体" w:cs="宋体"/>
          <w:szCs w:val="28"/>
        </w:rPr>
      </w:pPr>
      <w:r>
        <w:rPr>
          <w:rFonts w:hint="eastAsia" w:ascii="宋体" w:hAnsi="宋体" w:cs="宋体"/>
          <w:bCs/>
          <w:szCs w:val="28"/>
          <w:lang w:bidi="ar"/>
        </w:rPr>
        <w:t>3.6.4</w:t>
      </w:r>
      <w:r>
        <w:rPr>
          <w:rFonts w:hint="eastAsia" w:ascii="宋体" w:hAnsi="宋体" w:cs="宋体"/>
          <w:szCs w:val="28"/>
        </w:rPr>
        <w:t>启动方式：电启动、遥控启动；</w:t>
      </w:r>
    </w:p>
    <w:p>
      <w:pPr>
        <w:spacing w:line="576" w:lineRule="exact"/>
        <w:ind w:firstLine="560"/>
        <w:jc w:val="both"/>
        <w:rPr>
          <w:rFonts w:ascii="宋体" w:hAnsi="宋体" w:cs="宋体"/>
          <w:szCs w:val="28"/>
        </w:rPr>
      </w:pPr>
      <w:r>
        <w:rPr>
          <w:rFonts w:hint="eastAsia" w:ascii="宋体" w:hAnsi="宋体" w:cs="宋体"/>
          <w:bCs/>
          <w:szCs w:val="28"/>
          <w:lang w:bidi="ar"/>
        </w:rPr>
        <w:t>3.6.5</w:t>
      </w:r>
      <w:r>
        <w:rPr>
          <w:rFonts w:hint="eastAsia" w:ascii="宋体" w:hAnsi="宋体" w:cs="宋体"/>
          <w:szCs w:val="28"/>
        </w:rPr>
        <w:t>额定电压：220V/380V,油箱容量：≥40L；</w:t>
      </w:r>
    </w:p>
    <w:p>
      <w:pPr>
        <w:spacing w:line="576" w:lineRule="exact"/>
        <w:ind w:firstLine="560"/>
        <w:jc w:val="both"/>
        <w:rPr>
          <w:rFonts w:ascii="宋体" w:hAnsi="宋体" w:cs="宋体"/>
          <w:szCs w:val="28"/>
        </w:rPr>
      </w:pPr>
      <w:r>
        <w:rPr>
          <w:rFonts w:hint="eastAsia" w:ascii="宋体" w:hAnsi="宋体" w:cs="宋体"/>
          <w:szCs w:val="28"/>
        </w:rPr>
        <w:t>3</w:t>
      </w:r>
      <w:r>
        <w:rPr>
          <w:rFonts w:hint="eastAsia" w:ascii="宋体" w:hAnsi="宋体" w:cs="宋体"/>
          <w:bCs/>
          <w:szCs w:val="28"/>
          <w:lang w:bidi="ar"/>
        </w:rPr>
        <w:t>.6.6</w:t>
      </w:r>
      <w:r>
        <w:rPr>
          <w:rFonts w:hint="eastAsia" w:ascii="宋体" w:hAnsi="宋体" w:cs="宋体"/>
          <w:szCs w:val="28"/>
        </w:rPr>
        <w:t>满载运行时间：≥12h；</w:t>
      </w:r>
    </w:p>
    <w:p>
      <w:pPr>
        <w:spacing w:line="576" w:lineRule="exact"/>
        <w:ind w:firstLine="560"/>
        <w:jc w:val="both"/>
        <w:rPr>
          <w:rFonts w:ascii="宋体" w:hAnsi="宋体" w:cs="宋体"/>
          <w:szCs w:val="28"/>
        </w:rPr>
      </w:pPr>
      <w:r>
        <w:rPr>
          <w:rFonts w:hint="eastAsia" w:ascii="宋体" w:hAnsi="宋体" w:cs="宋体"/>
          <w:bCs/>
          <w:szCs w:val="28"/>
          <w:lang w:bidi="ar"/>
        </w:rPr>
        <w:t>3.6.7</w:t>
      </w:r>
      <w:r>
        <w:rPr>
          <w:rFonts w:hint="eastAsia" w:ascii="宋体" w:hAnsi="宋体" w:cs="宋体"/>
          <w:bCs/>
          <w:szCs w:val="28"/>
          <w:lang w:val="en-US" w:eastAsia="zh-CN" w:bidi="ar"/>
        </w:rPr>
        <w:t xml:space="preserve"> </w:t>
      </w:r>
      <w:r>
        <w:rPr>
          <w:rFonts w:hint="eastAsia" w:ascii="宋体" w:hAnsi="宋体" w:cs="宋体"/>
          <w:szCs w:val="28"/>
        </w:rPr>
        <w:t>2个独立电气回路对地及回路间应能承受1200V、50Hz历时1min的绝缘介电强度试验而无击穿或闪络现象；并配备不少于50m的电力连接线；</w:t>
      </w:r>
    </w:p>
    <w:p>
      <w:pPr>
        <w:spacing w:line="576" w:lineRule="exact"/>
        <w:ind w:firstLine="560"/>
        <w:jc w:val="both"/>
        <w:rPr>
          <w:rFonts w:ascii="宋体" w:hAnsi="宋体" w:cs="宋体"/>
          <w:szCs w:val="28"/>
        </w:rPr>
      </w:pPr>
      <w:r>
        <w:rPr>
          <w:rFonts w:hint="eastAsia" w:ascii="宋体" w:hAnsi="宋体" w:cs="宋体"/>
          <w:bCs/>
          <w:szCs w:val="28"/>
          <w:lang w:bidi="ar"/>
        </w:rPr>
        <w:t>3.6.8</w:t>
      </w:r>
      <w:r>
        <w:rPr>
          <w:rFonts w:hint="eastAsia" w:ascii="宋体" w:hAnsi="宋体" w:cs="宋体"/>
          <w:szCs w:val="28"/>
        </w:rPr>
        <w:t>设置1套可连接所有电器设备的控制柜，内设电压表、电流表、指示灯、航空插座、照明灯开关、排风扇等所有电器开关指示，并具有漏电保护、短路过流保护等；</w:t>
      </w:r>
    </w:p>
    <w:p>
      <w:pPr>
        <w:spacing w:line="576" w:lineRule="exact"/>
        <w:ind w:firstLine="560"/>
        <w:jc w:val="both"/>
        <w:rPr>
          <w:rFonts w:ascii="宋体" w:hAnsi="宋体" w:cs="宋体"/>
          <w:szCs w:val="28"/>
        </w:rPr>
      </w:pPr>
      <w:r>
        <w:rPr>
          <w:rFonts w:hint="eastAsia" w:ascii="宋体" w:hAnsi="宋体" w:cs="宋体"/>
          <w:bCs/>
          <w:szCs w:val="28"/>
          <w:lang w:bidi="ar"/>
        </w:rPr>
        <w:t>3.6.9</w:t>
      </w:r>
      <w:r>
        <w:rPr>
          <w:rFonts w:hint="eastAsia" w:ascii="宋体" w:hAnsi="宋体" w:cs="宋体"/>
          <w:szCs w:val="28"/>
        </w:rPr>
        <w:t>整车配置有电气系统、液压系统、油路系统从而实现整车的综合控制；</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3.7内装饰、隔板、地板均为3mm及以上铝合金板材（或优于该设计），轻质防腐铝合金结构，表面作阳极氧化处理。铝合金板材通过具有弹性、高粘接强度的进口连接密封胶与主结构相联，同时用铆钉紧密固定，并可根据需要随意调节每层高度，且做好防锈、防滑处理，保证安装简单、维修方便、固定牢靠、振动小，噪声低。器材箱应设置排雨水孔槽。</w:t>
      </w:r>
    </w:p>
    <w:p>
      <w:pPr>
        <w:spacing w:line="576" w:lineRule="exact"/>
        <w:ind w:firstLine="560"/>
        <w:jc w:val="both"/>
        <w:rPr>
          <w:rFonts w:ascii="宋体" w:hAnsi="宋体" w:cs="宋体"/>
          <w:szCs w:val="28"/>
        </w:rPr>
      </w:pPr>
      <w:r>
        <w:rPr>
          <w:rFonts w:hint="eastAsia" w:ascii="宋体" w:hAnsi="宋体" w:cs="宋体"/>
          <w:szCs w:val="28"/>
          <w:lang w:bidi="ar"/>
        </w:rPr>
        <w:t>4.</w:t>
      </w:r>
      <w:r>
        <w:rPr>
          <w:rFonts w:hint="eastAsia" w:ascii="宋体" w:hAnsi="宋体" w:cs="宋体"/>
          <w:szCs w:val="28"/>
        </w:rPr>
        <w:t>电器及控制设备</w:t>
      </w:r>
    </w:p>
    <w:p>
      <w:pPr>
        <w:spacing w:line="576" w:lineRule="exact"/>
        <w:ind w:firstLine="560"/>
        <w:jc w:val="both"/>
        <w:rPr>
          <w:rFonts w:ascii="宋体" w:hAnsi="宋体" w:cs="宋体"/>
          <w:szCs w:val="28"/>
        </w:rPr>
      </w:pPr>
      <w:r>
        <w:rPr>
          <w:rFonts w:hint="eastAsia" w:ascii="宋体" w:hAnsi="宋体" w:cs="宋体"/>
          <w:bCs/>
          <w:szCs w:val="28"/>
          <w:lang w:bidi="ar"/>
        </w:rPr>
        <w:t>4.1</w:t>
      </w:r>
      <w:r>
        <w:rPr>
          <w:rFonts w:hint="eastAsia" w:ascii="宋体" w:hAnsi="宋体" w:cs="宋体"/>
          <w:szCs w:val="28"/>
        </w:rPr>
        <w:t>供电系统：24V，蓄电池：2×12V，蓄电池容量≥180Ah，发动机电流≥100A。带有可复位熔断器，且带可拆卸蓄电池箱盖板；</w:t>
      </w:r>
    </w:p>
    <w:p>
      <w:pPr>
        <w:spacing w:line="576" w:lineRule="exact"/>
        <w:ind w:firstLine="560"/>
        <w:jc w:val="both"/>
        <w:rPr>
          <w:rFonts w:ascii="宋体" w:hAnsi="宋体" w:cs="宋体"/>
          <w:szCs w:val="28"/>
        </w:rPr>
      </w:pPr>
      <w:r>
        <w:rPr>
          <w:rFonts w:hint="eastAsia" w:ascii="宋体" w:hAnsi="宋体" w:cs="宋体"/>
          <w:bCs/>
          <w:szCs w:val="28"/>
          <w:lang w:bidi="ar"/>
        </w:rPr>
        <w:t>4.2</w:t>
      </w:r>
      <w:r>
        <w:rPr>
          <w:rFonts w:hint="eastAsia" w:ascii="宋体" w:hAnsi="宋体" w:cs="宋体"/>
          <w:szCs w:val="28"/>
        </w:rPr>
        <w:t>各类指示灯：转向灯显示器，远、近光，仪表板显示亮度调节，电瓶充电指示器，驻车制动指示灯，前雾灯，后雾灯，警灯警报系统“开”指示灯、厢体/门“打开”指示灯；</w:t>
      </w:r>
    </w:p>
    <w:p>
      <w:pPr>
        <w:spacing w:line="576" w:lineRule="exact"/>
        <w:ind w:firstLine="560"/>
        <w:jc w:val="both"/>
        <w:rPr>
          <w:rFonts w:ascii="宋体" w:hAnsi="宋体" w:cs="宋体"/>
          <w:szCs w:val="28"/>
        </w:rPr>
      </w:pPr>
      <w:r>
        <w:rPr>
          <w:rFonts w:hint="eastAsia" w:ascii="宋体" w:hAnsi="宋体" w:cs="宋体"/>
          <w:bCs/>
          <w:szCs w:val="28"/>
          <w:lang w:bidi="ar"/>
        </w:rPr>
        <w:t>4.3</w:t>
      </w:r>
      <w:r>
        <w:rPr>
          <w:rFonts w:hint="eastAsia" w:ascii="宋体" w:hAnsi="宋体" w:cs="宋体"/>
          <w:szCs w:val="28"/>
        </w:rPr>
        <w:t>紧急警示灯：制动系统气压低报警，发动机润滑系统低压报警，空滤器堵塞报警等；</w:t>
      </w:r>
    </w:p>
    <w:p>
      <w:pPr>
        <w:spacing w:line="576" w:lineRule="exact"/>
        <w:ind w:firstLine="560"/>
        <w:jc w:val="both"/>
        <w:rPr>
          <w:rFonts w:ascii="宋体" w:hAnsi="宋体" w:cs="宋体"/>
          <w:szCs w:val="28"/>
        </w:rPr>
      </w:pPr>
      <w:r>
        <w:rPr>
          <w:rFonts w:hint="eastAsia" w:ascii="宋体" w:hAnsi="宋体" w:cs="宋体"/>
          <w:bCs/>
          <w:szCs w:val="28"/>
          <w:lang w:bidi="ar"/>
        </w:rPr>
        <w:t>4.4</w:t>
      </w:r>
      <w:r>
        <w:rPr>
          <w:rFonts w:hint="eastAsia" w:ascii="宋体" w:hAnsi="宋体" w:cs="宋体"/>
          <w:szCs w:val="28"/>
        </w:rPr>
        <w:t>开关：蓄电池总电源开关，双重控制，一个电子开关位于驾驶室内，一个手动开关位于蓄电池箱近旁；蓄电池安装部位合理，更换方便,电动式雨刷间歇开关等各类开关设置科学合理；</w:t>
      </w:r>
    </w:p>
    <w:p>
      <w:pPr>
        <w:spacing w:line="576" w:lineRule="exact"/>
        <w:ind w:firstLine="560"/>
        <w:jc w:val="both"/>
        <w:rPr>
          <w:rFonts w:ascii="宋体" w:hAnsi="宋体" w:cs="宋体"/>
          <w:szCs w:val="28"/>
        </w:rPr>
      </w:pPr>
      <w:r>
        <w:rPr>
          <w:rFonts w:hint="eastAsia" w:ascii="宋体" w:hAnsi="宋体" w:cs="宋体"/>
          <w:bCs/>
          <w:szCs w:val="28"/>
          <w:lang w:bidi="ar"/>
        </w:rPr>
        <w:t>4.5</w:t>
      </w:r>
      <w:r>
        <w:rPr>
          <w:rFonts w:hint="eastAsia" w:ascii="宋体" w:hAnsi="宋体" w:cs="宋体"/>
          <w:szCs w:val="28"/>
        </w:rPr>
        <w:t>电气系统线路改装要求：整车电路标识清楚，每根电线都具备单独编号，整车电气系统线路采用铜芯或铜合金芯电线，正负电极线路颜色区分明显，改装线路具有防水、防尘性能，各线路捆扎整齐，线路铺设位置便于检查维修，改装线路裸露在车体外部、接近热源、靠近油箱等情况下应加装隔板或相应的保护；</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4.6驾乘室顶部安装红色长排警灯，功率≥100W报警器、警灯控制器；两侧加装爆闪灯，乘员室、操纵仪表板等处须安装LED照明灯；器材箱合理安装LED灯带，随车厢门启闭，确保照明美观及安全；所有外置车灯、灯具均须加装防护罩；</w:t>
      </w:r>
    </w:p>
    <w:p>
      <w:pPr>
        <w:snapToGrid w:val="0"/>
        <w:spacing w:line="576" w:lineRule="exact"/>
        <w:ind w:firstLine="560"/>
        <w:jc w:val="both"/>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4.7自动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jc w:val="both"/>
        <w:rPr>
          <w:rFonts w:ascii="宋体" w:hAnsi="宋体" w:cs="宋体"/>
          <w:szCs w:val="28"/>
        </w:rPr>
      </w:pPr>
      <w:r>
        <w:rPr>
          <w:rFonts w:hint="eastAsia" w:ascii="宋体" w:hAnsi="宋体" w:cs="宋体"/>
          <w:bCs/>
          <w:szCs w:val="28"/>
          <w:lang w:bidi="ar"/>
        </w:rPr>
        <w:t>4.8</w:t>
      </w:r>
      <w:r>
        <w:rPr>
          <w:rFonts w:hint="eastAsia" w:ascii="宋体" w:hAnsi="宋体" w:cs="宋体"/>
          <w:szCs w:val="28"/>
        </w:rPr>
        <w:t>车内照明灯及车外场地灯：车内LED照明灯及车外场地照明灯；</w:t>
      </w:r>
    </w:p>
    <w:p>
      <w:pPr>
        <w:spacing w:line="576" w:lineRule="exact"/>
        <w:ind w:firstLine="560"/>
        <w:jc w:val="both"/>
        <w:rPr>
          <w:rFonts w:ascii="宋体" w:hAnsi="宋体" w:cs="宋体"/>
          <w:szCs w:val="28"/>
        </w:rPr>
      </w:pPr>
      <w:r>
        <w:rPr>
          <w:rFonts w:hint="eastAsia" w:ascii="宋体" w:hAnsi="宋体" w:cs="宋体"/>
          <w:bCs/>
          <w:szCs w:val="28"/>
          <w:lang w:bidi="ar"/>
        </w:rPr>
        <w:t>4.9</w:t>
      </w:r>
      <w:r>
        <w:rPr>
          <w:rFonts w:hint="eastAsia" w:ascii="宋体" w:hAnsi="宋体" w:cs="宋体"/>
          <w:szCs w:val="28"/>
        </w:rPr>
        <w:t>搜索灯：功率≥70W，位于车顶后部；</w:t>
      </w:r>
    </w:p>
    <w:p>
      <w:pPr>
        <w:spacing w:line="576" w:lineRule="exact"/>
        <w:ind w:firstLine="560"/>
        <w:jc w:val="both"/>
        <w:rPr>
          <w:rFonts w:ascii="宋体" w:hAnsi="宋体" w:cs="宋体"/>
          <w:szCs w:val="28"/>
        </w:rPr>
      </w:pPr>
      <w:r>
        <w:rPr>
          <w:rFonts w:hint="eastAsia" w:ascii="宋体" w:hAnsi="宋体" w:cs="宋体"/>
          <w:bCs/>
          <w:szCs w:val="28"/>
          <w:lang w:bidi="ar"/>
        </w:rPr>
        <w:t>4.10</w:t>
      </w:r>
      <w:r>
        <w:rPr>
          <w:rFonts w:hint="eastAsia" w:ascii="宋体" w:hAnsi="宋体" w:cs="宋体"/>
          <w:szCs w:val="28"/>
        </w:rPr>
        <w:t>车辆行驶标识灯：包括示廓灯、侧边灯和牌照灯；示廓灯前白后红，侧边灯黄色，牌照灯白色，所有外置车灯、灯具均加装防护罩。</w:t>
      </w:r>
    </w:p>
    <w:p>
      <w:pPr>
        <w:spacing w:line="576" w:lineRule="exact"/>
        <w:ind w:firstLine="560"/>
        <w:jc w:val="both"/>
        <w:rPr>
          <w:rFonts w:ascii="宋体" w:hAnsi="宋体" w:cs="宋体"/>
          <w:szCs w:val="28"/>
        </w:rPr>
      </w:pPr>
      <w:r>
        <w:rPr>
          <w:rFonts w:hint="eastAsia" w:ascii="宋体" w:hAnsi="宋体" w:cs="宋体"/>
          <w:szCs w:val="28"/>
          <w:lang w:bidi="ar"/>
        </w:rPr>
        <w:t>5.</w:t>
      </w:r>
      <w:r>
        <w:rPr>
          <w:rFonts w:hint="eastAsia" w:ascii="宋体" w:hAnsi="宋体" w:cs="宋体"/>
          <w:szCs w:val="28"/>
        </w:rPr>
        <w:t>随车附件</w:t>
      </w:r>
    </w:p>
    <w:p>
      <w:pPr>
        <w:spacing w:line="576" w:lineRule="exact"/>
        <w:ind w:firstLine="560"/>
        <w:jc w:val="both"/>
        <w:rPr>
          <w:rFonts w:ascii="宋体" w:hAnsi="宋体" w:cs="宋体"/>
          <w:szCs w:val="28"/>
        </w:rPr>
      </w:pPr>
      <w:r>
        <w:rPr>
          <w:rFonts w:hint="eastAsia" w:ascii="宋体" w:hAnsi="宋体" w:cs="宋体"/>
          <w:bCs/>
          <w:szCs w:val="28"/>
          <w:lang w:bidi="ar"/>
        </w:rPr>
        <w:t>5.1</w:t>
      </w:r>
      <w:r>
        <w:rPr>
          <w:rFonts w:hint="eastAsia" w:ascii="宋体" w:hAnsi="宋体" w:cs="宋体"/>
          <w:szCs w:val="28"/>
        </w:rPr>
        <w:t>随车文件（中文）；</w:t>
      </w:r>
    </w:p>
    <w:p>
      <w:pPr>
        <w:spacing w:line="576" w:lineRule="exact"/>
        <w:ind w:firstLine="560"/>
        <w:jc w:val="both"/>
        <w:rPr>
          <w:rFonts w:ascii="宋体" w:hAnsi="宋体" w:cs="宋体"/>
          <w:szCs w:val="28"/>
        </w:rPr>
      </w:pPr>
      <w:r>
        <w:rPr>
          <w:rFonts w:hint="eastAsia" w:ascii="宋体" w:hAnsi="宋体" w:cs="宋体"/>
          <w:bCs/>
          <w:szCs w:val="28"/>
          <w:lang w:bidi="ar"/>
        </w:rPr>
        <w:t>5.2</w:t>
      </w:r>
      <w:r>
        <w:rPr>
          <w:rFonts w:hint="eastAsia" w:ascii="宋体" w:hAnsi="宋体" w:cs="宋体"/>
          <w:szCs w:val="28"/>
        </w:rPr>
        <w:t>底盘使用、维护说明书（3份）；</w:t>
      </w:r>
    </w:p>
    <w:p>
      <w:pPr>
        <w:spacing w:line="576" w:lineRule="exact"/>
        <w:ind w:firstLine="560"/>
        <w:jc w:val="both"/>
        <w:rPr>
          <w:rFonts w:ascii="宋体" w:hAnsi="宋体" w:cs="宋体"/>
          <w:szCs w:val="28"/>
        </w:rPr>
      </w:pPr>
      <w:r>
        <w:rPr>
          <w:rFonts w:hint="eastAsia" w:ascii="宋体" w:hAnsi="宋体" w:cs="宋体"/>
          <w:bCs/>
          <w:szCs w:val="28"/>
          <w:lang w:bidi="ar"/>
        </w:rPr>
        <w:t>5.3</w:t>
      </w:r>
      <w:r>
        <w:rPr>
          <w:rFonts w:hint="eastAsia" w:ascii="宋体" w:hAnsi="宋体" w:cs="宋体"/>
          <w:szCs w:val="28"/>
        </w:rPr>
        <w:t>底盘质量保修卡、合格证（1份）；</w:t>
      </w:r>
    </w:p>
    <w:p>
      <w:pPr>
        <w:spacing w:line="576" w:lineRule="exact"/>
        <w:ind w:firstLine="560"/>
        <w:jc w:val="both"/>
        <w:rPr>
          <w:rFonts w:ascii="宋体" w:hAnsi="宋体" w:cs="宋体"/>
          <w:szCs w:val="28"/>
        </w:rPr>
      </w:pPr>
      <w:r>
        <w:rPr>
          <w:rFonts w:hint="eastAsia" w:ascii="宋体" w:hAnsi="宋体" w:cs="宋体"/>
          <w:bCs/>
          <w:szCs w:val="28"/>
          <w:lang w:bidi="ar"/>
        </w:rPr>
        <w:t>5.4</w:t>
      </w:r>
      <w:r>
        <w:rPr>
          <w:rFonts w:hint="eastAsia" w:ascii="宋体" w:hAnsi="宋体" w:cs="宋体"/>
          <w:szCs w:val="28"/>
        </w:rPr>
        <w:t>底盘维修手册（1份）；</w:t>
      </w:r>
    </w:p>
    <w:p>
      <w:pPr>
        <w:spacing w:line="576" w:lineRule="exact"/>
        <w:ind w:firstLine="560"/>
        <w:jc w:val="both"/>
        <w:rPr>
          <w:rFonts w:ascii="宋体" w:hAnsi="宋体" w:cs="宋体"/>
          <w:szCs w:val="28"/>
        </w:rPr>
      </w:pPr>
      <w:r>
        <w:rPr>
          <w:rFonts w:hint="eastAsia" w:ascii="宋体" w:hAnsi="宋体" w:cs="宋体"/>
          <w:bCs/>
          <w:szCs w:val="28"/>
          <w:lang w:bidi="ar"/>
        </w:rPr>
        <w:t>5.5</w:t>
      </w:r>
      <w:r>
        <w:rPr>
          <w:rFonts w:hint="eastAsia" w:ascii="宋体" w:hAnsi="宋体" w:cs="宋体"/>
          <w:szCs w:val="28"/>
        </w:rPr>
        <w:t>底盘改装手册（1份）；</w:t>
      </w:r>
    </w:p>
    <w:p>
      <w:pPr>
        <w:spacing w:line="576" w:lineRule="exact"/>
        <w:ind w:firstLine="560"/>
        <w:jc w:val="both"/>
        <w:rPr>
          <w:rFonts w:ascii="宋体" w:hAnsi="宋体" w:cs="宋体"/>
          <w:szCs w:val="28"/>
        </w:rPr>
      </w:pPr>
      <w:r>
        <w:rPr>
          <w:rFonts w:hint="eastAsia" w:ascii="宋体" w:hAnsi="宋体" w:cs="宋体"/>
          <w:bCs/>
          <w:szCs w:val="28"/>
          <w:lang w:bidi="ar"/>
        </w:rPr>
        <w:t>5.6</w:t>
      </w:r>
      <w:r>
        <w:rPr>
          <w:rFonts w:hint="eastAsia" w:ascii="宋体" w:hAnsi="宋体" w:cs="宋体"/>
          <w:szCs w:val="28"/>
        </w:rPr>
        <w:t>底盘电气原理图（1份）；</w:t>
      </w:r>
    </w:p>
    <w:p>
      <w:pPr>
        <w:spacing w:line="576" w:lineRule="exact"/>
        <w:ind w:firstLine="560"/>
        <w:jc w:val="both"/>
        <w:rPr>
          <w:rFonts w:ascii="宋体" w:hAnsi="宋体" w:cs="宋体"/>
          <w:szCs w:val="28"/>
        </w:rPr>
      </w:pPr>
      <w:r>
        <w:rPr>
          <w:rFonts w:hint="eastAsia" w:ascii="宋体" w:hAnsi="宋体" w:cs="宋体"/>
          <w:bCs/>
          <w:szCs w:val="28"/>
          <w:lang w:bidi="ar"/>
        </w:rPr>
        <w:t>5.7</w:t>
      </w:r>
      <w:r>
        <w:rPr>
          <w:rFonts w:hint="eastAsia" w:ascii="宋体" w:hAnsi="宋体" w:cs="宋体"/>
          <w:szCs w:val="28"/>
        </w:rPr>
        <w:t>底盘零件目录图册（2份）；</w:t>
      </w:r>
    </w:p>
    <w:p>
      <w:pPr>
        <w:spacing w:line="576" w:lineRule="exact"/>
        <w:ind w:firstLine="560"/>
        <w:jc w:val="both"/>
        <w:rPr>
          <w:rFonts w:ascii="宋体" w:hAnsi="宋体" w:cs="宋体"/>
          <w:szCs w:val="28"/>
        </w:rPr>
      </w:pPr>
      <w:r>
        <w:rPr>
          <w:rFonts w:hint="eastAsia" w:ascii="宋体" w:hAnsi="宋体" w:cs="宋体"/>
          <w:bCs/>
          <w:szCs w:val="28"/>
          <w:lang w:bidi="ar"/>
        </w:rPr>
        <w:t>5.8</w:t>
      </w:r>
      <w:r>
        <w:rPr>
          <w:rFonts w:hint="eastAsia" w:ascii="宋体" w:hAnsi="宋体" w:cs="宋体"/>
          <w:szCs w:val="28"/>
        </w:rPr>
        <w:t>底盘厂家提供的底盘随车配件清单（1份）；</w:t>
      </w:r>
    </w:p>
    <w:p>
      <w:pPr>
        <w:spacing w:line="576" w:lineRule="exact"/>
        <w:ind w:firstLine="560"/>
        <w:jc w:val="both"/>
        <w:rPr>
          <w:rFonts w:ascii="宋体" w:hAnsi="宋体" w:cs="宋体"/>
          <w:szCs w:val="28"/>
        </w:rPr>
      </w:pPr>
      <w:r>
        <w:rPr>
          <w:rFonts w:hint="eastAsia" w:ascii="宋体" w:hAnsi="宋体" w:cs="宋体"/>
          <w:bCs/>
          <w:szCs w:val="28"/>
          <w:lang w:bidi="ar"/>
        </w:rPr>
        <w:t>5.9</w:t>
      </w:r>
      <w:r>
        <w:rPr>
          <w:rFonts w:hint="eastAsia" w:ascii="宋体" w:hAnsi="宋体" w:cs="宋体"/>
          <w:szCs w:val="28"/>
        </w:rPr>
        <w:t>车辆整车合格证（1份）；</w:t>
      </w:r>
    </w:p>
    <w:p>
      <w:pPr>
        <w:spacing w:line="576" w:lineRule="exact"/>
        <w:ind w:firstLine="560"/>
        <w:jc w:val="both"/>
        <w:rPr>
          <w:rFonts w:ascii="宋体" w:hAnsi="宋体" w:cs="宋体"/>
          <w:szCs w:val="28"/>
        </w:rPr>
      </w:pPr>
      <w:r>
        <w:rPr>
          <w:rFonts w:hint="eastAsia" w:ascii="宋体" w:hAnsi="宋体" w:cs="宋体"/>
          <w:bCs/>
          <w:szCs w:val="28"/>
          <w:lang w:bidi="ar"/>
        </w:rPr>
        <w:t>5.10</w:t>
      </w:r>
      <w:r>
        <w:rPr>
          <w:rFonts w:hint="eastAsia" w:ascii="宋体" w:hAnsi="宋体" w:cs="宋体"/>
          <w:szCs w:val="28"/>
        </w:rPr>
        <w:t>上装操作使用说明书（附零部件结构图和技术资料，生产厂商联系方式及地址），配操作演示示范光盘（3份、电子版1份）；</w:t>
      </w:r>
    </w:p>
    <w:p>
      <w:pPr>
        <w:spacing w:line="576" w:lineRule="exact"/>
        <w:ind w:firstLine="560"/>
        <w:jc w:val="both"/>
        <w:rPr>
          <w:rFonts w:ascii="宋体" w:hAnsi="宋体" w:cs="宋体"/>
          <w:szCs w:val="28"/>
        </w:rPr>
      </w:pPr>
      <w:r>
        <w:rPr>
          <w:rFonts w:hint="eastAsia" w:ascii="宋体" w:hAnsi="宋体" w:cs="宋体"/>
          <w:bCs/>
          <w:szCs w:val="28"/>
          <w:lang w:bidi="ar"/>
        </w:rPr>
        <w:t>5.11</w:t>
      </w:r>
      <w:r>
        <w:rPr>
          <w:rFonts w:hint="eastAsia" w:ascii="宋体" w:hAnsi="宋体" w:cs="宋体"/>
          <w:szCs w:val="28"/>
        </w:rPr>
        <w:t>上装维护保养说明书（附管路系统、气动系统、电路配线图）（3份、电子版1份），上装零配件目录图册（3份）；</w:t>
      </w:r>
    </w:p>
    <w:p>
      <w:pPr>
        <w:spacing w:line="576" w:lineRule="exact"/>
        <w:ind w:firstLine="560"/>
        <w:jc w:val="both"/>
        <w:rPr>
          <w:rFonts w:ascii="宋体" w:hAnsi="宋体" w:cs="宋体"/>
          <w:szCs w:val="28"/>
        </w:rPr>
      </w:pPr>
      <w:r>
        <w:rPr>
          <w:rFonts w:hint="eastAsia" w:ascii="宋体" w:hAnsi="宋体" w:cs="宋体"/>
          <w:bCs/>
          <w:szCs w:val="28"/>
          <w:lang w:bidi="ar"/>
        </w:rPr>
        <w:t>5.12</w:t>
      </w:r>
      <w:r>
        <w:rPr>
          <w:rFonts w:hint="eastAsia" w:ascii="宋体" w:hAnsi="宋体" w:cs="宋体"/>
          <w:szCs w:val="28"/>
        </w:rPr>
        <w:t>随车工具清单、器材清单（1份）；</w:t>
      </w:r>
    </w:p>
    <w:p>
      <w:pPr>
        <w:spacing w:line="576" w:lineRule="exact"/>
        <w:ind w:firstLine="560"/>
        <w:jc w:val="both"/>
        <w:rPr>
          <w:rFonts w:ascii="宋体" w:hAnsi="宋体" w:cs="宋体"/>
          <w:szCs w:val="28"/>
        </w:rPr>
      </w:pPr>
      <w:r>
        <w:rPr>
          <w:rFonts w:hint="eastAsia" w:ascii="宋体" w:hAnsi="宋体" w:cs="宋体"/>
          <w:bCs/>
          <w:szCs w:val="28"/>
          <w:lang w:bidi="ar"/>
        </w:rPr>
        <w:t>5.13</w:t>
      </w:r>
      <w:r>
        <w:rPr>
          <w:rFonts w:hint="eastAsia" w:ascii="宋体" w:hAnsi="宋体" w:cs="宋体"/>
          <w:szCs w:val="28"/>
        </w:rPr>
        <w:t>车架号、发动机号拓印件（2份）；</w:t>
      </w:r>
    </w:p>
    <w:p>
      <w:pPr>
        <w:spacing w:line="576" w:lineRule="exact"/>
        <w:ind w:firstLine="560"/>
        <w:jc w:val="both"/>
        <w:rPr>
          <w:rFonts w:ascii="宋体" w:hAnsi="宋体" w:cs="宋体"/>
          <w:szCs w:val="28"/>
        </w:rPr>
      </w:pPr>
      <w:r>
        <w:rPr>
          <w:rFonts w:hint="eastAsia" w:ascii="宋体" w:hAnsi="宋体" w:cs="宋体"/>
          <w:bCs/>
          <w:szCs w:val="28"/>
          <w:lang w:bidi="ar"/>
        </w:rPr>
        <w:t>5.14</w:t>
      </w:r>
      <w:r>
        <w:rPr>
          <w:rFonts w:hint="eastAsia" w:ascii="宋体" w:hAnsi="宋体" w:cs="宋体"/>
          <w:szCs w:val="28"/>
        </w:rPr>
        <w:t>跟踪服务卡（1份）；</w:t>
      </w:r>
    </w:p>
    <w:p>
      <w:pPr>
        <w:spacing w:line="576" w:lineRule="exact"/>
        <w:ind w:firstLine="560"/>
        <w:jc w:val="both"/>
        <w:rPr>
          <w:rFonts w:ascii="宋体" w:hAnsi="宋体" w:cs="宋体"/>
          <w:bCs/>
          <w:szCs w:val="28"/>
          <w:lang w:bidi="ar"/>
        </w:rPr>
      </w:pPr>
      <w:r>
        <w:rPr>
          <w:rFonts w:hint="eastAsia" w:ascii="宋体" w:hAnsi="宋体" w:cs="宋体"/>
          <w:bCs/>
          <w:szCs w:val="28"/>
          <w:lang w:bidi="ar"/>
        </w:rPr>
        <w:t>5.15随车免费提供部分底盘和上装、随车设备使用、保养、维修用的配件、必备工具和易损备件（附清单）。</w:t>
      </w:r>
    </w:p>
    <w:p>
      <w:pPr>
        <w:spacing w:line="576" w:lineRule="exact"/>
        <w:ind w:firstLine="560"/>
        <w:jc w:val="both"/>
        <w:rPr>
          <w:rFonts w:ascii="宋体" w:hAnsi="宋体" w:cs="宋体"/>
          <w:szCs w:val="28"/>
        </w:rPr>
      </w:pPr>
      <w:r>
        <w:rPr>
          <w:rFonts w:hint="eastAsia" w:ascii="宋体" w:hAnsi="宋体" w:cs="宋体"/>
          <w:szCs w:val="28"/>
          <w:lang w:bidi="ar"/>
        </w:rPr>
        <w:t>6.</w:t>
      </w:r>
      <w:r>
        <w:rPr>
          <w:rFonts w:hint="eastAsia" w:ascii="宋体" w:hAnsi="宋体" w:cs="宋体"/>
          <w:szCs w:val="28"/>
        </w:rPr>
        <w:t>随车器材（配置不低于表内数量及规格型号）</w:t>
      </w:r>
    </w:p>
    <w:tbl>
      <w:tblPr>
        <w:tblStyle w:val="14"/>
        <w:tblpPr w:leftFromText="181" w:rightFromText="181" w:vertAnchor="text" w:horzAnchor="margin" w:tblpXSpec="center" w:tblpY="1"/>
        <w:tblOverlap w:val="never"/>
        <w:tblW w:w="8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1"/>
        <w:gridCol w:w="2045"/>
        <w:gridCol w:w="1947"/>
        <w:gridCol w:w="908"/>
        <w:gridCol w:w="747"/>
        <w:gridCol w:w="2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000000" w:sz="2"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序号</w:t>
            </w:r>
          </w:p>
        </w:tc>
        <w:tc>
          <w:tcPr>
            <w:tcW w:w="2045" w:type="dxa"/>
            <w:tcBorders>
              <w:top w:val="single" w:color="000000" w:sz="2"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名称</w:t>
            </w:r>
          </w:p>
        </w:tc>
        <w:tc>
          <w:tcPr>
            <w:tcW w:w="1947" w:type="dxa"/>
            <w:tcBorders>
              <w:top w:val="single" w:color="000000" w:sz="2"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规格/代号</w:t>
            </w:r>
          </w:p>
        </w:tc>
        <w:tc>
          <w:tcPr>
            <w:tcW w:w="908" w:type="dxa"/>
            <w:tcBorders>
              <w:top w:val="single" w:color="000000" w:sz="2"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单位</w:t>
            </w:r>
          </w:p>
        </w:tc>
        <w:tc>
          <w:tcPr>
            <w:tcW w:w="747" w:type="dxa"/>
            <w:tcBorders>
              <w:top w:val="single" w:color="000000" w:sz="2"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数量</w:t>
            </w:r>
          </w:p>
        </w:tc>
        <w:tc>
          <w:tcPr>
            <w:tcW w:w="2115" w:type="dxa"/>
            <w:tcBorders>
              <w:top w:val="single" w:color="000000" w:sz="2"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灭火器（含支架）</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4kg</w:t>
            </w: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具</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2</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2</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三角警示架</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3</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随车工具</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4</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电路检测工具</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5</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车辆限位块</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块</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4</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6</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随车千斤顶</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2"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7</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备胎</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条</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9" w:hRule="atLeast"/>
          <w:jc w:val="center"/>
        </w:trPr>
        <w:tc>
          <w:tcPr>
            <w:tcW w:w="901" w:type="dxa"/>
            <w:tcBorders>
              <w:top w:val="single" w:color="auto" w:sz="4" w:space="0"/>
              <w:left w:val="single" w:color="auto" w:sz="4" w:space="0"/>
              <w:bottom w:val="single" w:color="auto" w:sz="4"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8</w:t>
            </w:r>
          </w:p>
        </w:tc>
        <w:tc>
          <w:tcPr>
            <w:tcW w:w="2045" w:type="dxa"/>
            <w:tcBorders>
              <w:top w:val="single" w:color="auto" w:sz="4" w:space="0"/>
              <w:left w:val="single" w:color="auto" w:sz="4" w:space="0"/>
              <w:bottom w:val="single" w:color="auto" w:sz="4"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轮胎充气管</w:t>
            </w:r>
          </w:p>
        </w:tc>
        <w:tc>
          <w:tcPr>
            <w:tcW w:w="1947" w:type="dxa"/>
            <w:tcBorders>
              <w:top w:val="single" w:color="auto" w:sz="4" w:space="0"/>
              <w:left w:val="single" w:color="auto" w:sz="4" w:space="0"/>
              <w:bottom w:val="single" w:color="auto" w:sz="4" w:space="0"/>
              <w:right w:val="single" w:color="000000" w:sz="2" w:space="0"/>
            </w:tcBorders>
            <w:vAlign w:val="center"/>
          </w:tcPr>
          <w:p>
            <w:pPr>
              <w:spacing w:line="576" w:lineRule="exact"/>
              <w:ind w:firstLine="560"/>
              <w:jc w:val="center"/>
              <w:rPr>
                <w:rFonts w:ascii="宋体" w:hAnsi="宋体" w:cs="宋体"/>
                <w:bCs/>
                <w:szCs w:val="28"/>
                <w:lang w:bidi="ar"/>
              </w:rPr>
            </w:pPr>
          </w:p>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≥10m</w:t>
            </w:r>
          </w:p>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auto" w:sz="4"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根</w:t>
            </w:r>
          </w:p>
        </w:tc>
        <w:tc>
          <w:tcPr>
            <w:tcW w:w="747" w:type="dxa"/>
            <w:tcBorders>
              <w:top w:val="single" w:color="auto" w:sz="4" w:space="0"/>
              <w:left w:val="single" w:color="auto" w:sz="4" w:space="0"/>
              <w:bottom w:val="single" w:color="auto" w:sz="4"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115" w:type="dxa"/>
            <w:tcBorders>
              <w:top w:val="single" w:color="auto" w:sz="4" w:space="0"/>
              <w:left w:val="single" w:color="auto" w:sz="4" w:space="0"/>
              <w:bottom w:val="single" w:color="auto" w:sz="4"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带接头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9" w:hRule="atLeast"/>
          <w:jc w:val="center"/>
        </w:trPr>
        <w:tc>
          <w:tcPr>
            <w:tcW w:w="901"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9</w:t>
            </w:r>
          </w:p>
        </w:tc>
        <w:tc>
          <w:tcPr>
            <w:tcW w:w="204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备用保险套装</w:t>
            </w:r>
          </w:p>
        </w:tc>
        <w:tc>
          <w:tcPr>
            <w:tcW w:w="19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p>
            <w:pPr>
              <w:spacing w:line="576" w:lineRule="exact"/>
              <w:ind w:firstLine="560"/>
              <w:jc w:val="center"/>
              <w:rPr>
                <w:rFonts w:ascii="宋体" w:hAnsi="宋体" w:cs="宋体"/>
                <w:bCs/>
                <w:szCs w:val="28"/>
                <w:lang w:bidi="ar"/>
              </w:rPr>
            </w:pPr>
          </w:p>
        </w:tc>
        <w:tc>
          <w:tcPr>
            <w:tcW w:w="908"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747"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115" w:type="dxa"/>
            <w:tcBorders>
              <w:top w:val="single" w:color="auto" w:sz="4" w:space="0"/>
              <w:left w:val="single" w:color="auto" w:sz="4" w:space="0"/>
              <w:bottom w:val="single" w:color="000000" w:sz="2" w:space="0"/>
              <w:right w:val="single" w:color="000000" w:sz="2" w:space="0"/>
            </w:tcBorders>
            <w:vAlign w:val="center"/>
          </w:tcPr>
          <w:p>
            <w:pPr>
              <w:spacing w:line="576" w:lineRule="exact"/>
              <w:ind w:firstLine="560"/>
              <w:jc w:val="center"/>
              <w:rPr>
                <w:rFonts w:ascii="宋体" w:hAnsi="宋体" w:cs="宋体"/>
                <w:bCs/>
                <w:szCs w:val="28"/>
                <w:lang w:bidi="ar"/>
              </w:rPr>
            </w:pPr>
          </w:p>
        </w:tc>
      </w:tr>
    </w:tbl>
    <w:p>
      <w:pPr>
        <w:spacing w:line="576" w:lineRule="exact"/>
        <w:ind w:firstLine="560"/>
        <w:jc w:val="both"/>
        <w:rPr>
          <w:rFonts w:ascii="宋体" w:hAnsi="宋体" w:cs="宋体"/>
          <w:szCs w:val="28"/>
        </w:rPr>
      </w:pPr>
      <w:r>
        <w:rPr>
          <w:rFonts w:hint="eastAsia" w:ascii="宋体" w:hAnsi="宋体" w:cs="宋体"/>
          <w:bCs/>
          <w:szCs w:val="28"/>
          <w:lang w:bidi="ar"/>
        </w:rPr>
        <w:t>7.所有操作开关、仪表、器材架及车辆均有规范的永久性中文铭牌标识。</w:t>
      </w:r>
    </w:p>
    <w:p>
      <w:pPr>
        <w:spacing w:line="576" w:lineRule="exact"/>
        <w:ind w:firstLine="560"/>
        <w:rPr>
          <w:rFonts w:ascii="宋体" w:hAnsi="宋体" w:eastAsia="宋体" w:cs="宋体"/>
          <w:bCs/>
          <w:sz w:val="28"/>
          <w:szCs w:val="28"/>
          <w:lang w:val="en-US" w:bidi="ar"/>
        </w:rPr>
      </w:pPr>
      <w:r>
        <w:rPr>
          <w:rFonts w:hint="eastAsia" w:ascii="宋体" w:hAnsi="宋体" w:eastAsia="宋体" w:cs="宋体"/>
          <w:sz w:val="28"/>
          <w:szCs w:val="28"/>
        </w:rPr>
        <w:t>▲</w:t>
      </w:r>
      <w:r>
        <w:rPr>
          <w:rFonts w:hint="eastAsia" w:ascii="宋体" w:hAnsi="宋体" w:eastAsia="宋体" w:cs="宋体"/>
          <w:sz w:val="28"/>
          <w:szCs w:val="28"/>
          <w:lang w:val="en-US"/>
        </w:rPr>
        <w:t>8.</w:t>
      </w:r>
      <w:r>
        <w:rPr>
          <w:rFonts w:hint="eastAsia" w:ascii="宋体" w:hAnsi="宋体" w:eastAsia="宋体" w:cs="宋体"/>
          <w:bCs/>
          <w:sz w:val="28"/>
          <w:szCs w:val="28"/>
          <w:lang w:val="en-US" w:bidi="ar"/>
        </w:rPr>
        <w:t>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ind w:firstLine="560"/>
        <w:rPr>
          <w:color w:val="000000" w:themeColor="text1"/>
          <w14:textFill>
            <w14:solidFill>
              <w14:schemeClr w14:val="tx1"/>
            </w14:solidFill>
          </w14:textFill>
        </w:rPr>
      </w:pPr>
    </w:p>
    <w:p/>
    <w:p>
      <w:pPr>
        <w:ind w:firstLine="560"/>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4"/>
        <w:bidi w:val="0"/>
      </w:pPr>
      <w:bookmarkStart w:id="62" w:name="_Toc18476"/>
      <w:r>
        <w:rPr>
          <w:rFonts w:hint="eastAsia"/>
        </w:rPr>
        <w:t>包</w:t>
      </w:r>
      <w:r>
        <w:rPr>
          <w:rFonts w:hint="eastAsia"/>
          <w:lang w:val="en-US" w:eastAsia="zh-CN"/>
        </w:rPr>
        <w:t>19</w:t>
      </w:r>
      <w:r>
        <w:rPr>
          <w:rFonts w:hint="eastAsia"/>
        </w:rPr>
        <w:t xml:space="preserve"> </w:t>
      </w:r>
      <w:r>
        <w:rPr>
          <w:rFonts w:hint="eastAsia"/>
          <w:lang w:eastAsia="zh-CN"/>
        </w:rPr>
        <w:t>“</w:t>
      </w:r>
      <w:r>
        <w:rPr>
          <w:rFonts w:hint="eastAsia"/>
        </w:rPr>
        <w:t xml:space="preserve"> 运兵车</w:t>
      </w:r>
      <w:r>
        <w:rPr>
          <w:rFonts w:hint="eastAsia"/>
          <w:lang w:eastAsia="zh-CN"/>
        </w:rPr>
        <w:t>”</w:t>
      </w:r>
      <w:bookmarkEnd w:id="62"/>
    </w:p>
    <w:p>
      <w:pPr>
        <w:ind w:firstLine="560"/>
        <w:rPr>
          <w:color w:val="000000" w:themeColor="text1"/>
          <w14:textFill>
            <w14:solidFill>
              <w14:schemeClr w14:val="tx1"/>
            </w14:solidFill>
          </w14:textFill>
        </w:rPr>
      </w:pPr>
    </w:p>
    <w:p>
      <w:pPr>
        <w:spacing w:line="576" w:lineRule="exact"/>
        <w:ind w:firstLine="560"/>
        <w:jc w:val="both"/>
        <w:rPr>
          <w:rFonts w:ascii="宋体" w:hAnsi="宋体" w:cs="宋体"/>
          <w:szCs w:val="28"/>
        </w:rPr>
      </w:pPr>
      <w:r>
        <w:rPr>
          <w:rFonts w:hint="eastAsia" w:ascii="宋体" w:hAnsi="宋体" w:cs="宋体"/>
          <w:szCs w:val="28"/>
          <w:lang w:bidi="ar"/>
        </w:rPr>
        <w:t>1.</w:t>
      </w:r>
      <w:r>
        <w:rPr>
          <w:rFonts w:hint="eastAsia" w:ascii="宋体" w:hAnsi="宋体" w:cs="宋体"/>
          <w:szCs w:val="28"/>
        </w:rPr>
        <w:t>整车要求</w:t>
      </w:r>
    </w:p>
    <w:p>
      <w:pPr>
        <w:snapToGrid w:val="0"/>
        <w:spacing w:line="576" w:lineRule="exact"/>
        <w:ind w:left="2" w:firstLine="560"/>
        <w:rPr>
          <w:rFonts w:ascii="宋体" w:hAnsi="宋体" w:cs="宋体"/>
          <w:szCs w:val="28"/>
        </w:rPr>
      </w:pPr>
      <w:r>
        <w:rPr>
          <w:rFonts w:hint="eastAsia" w:ascii="宋体" w:hAnsi="宋体" w:cs="宋体"/>
          <w:bCs/>
          <w:szCs w:val="28"/>
          <w:lang w:bidi="ar"/>
        </w:rPr>
        <w:t>1.1</w:t>
      </w:r>
      <w:r>
        <w:rPr>
          <w:rFonts w:hint="eastAsia" w:ascii="宋体" w:hAnsi="宋体" w:cs="宋体"/>
          <w:szCs w:val="28"/>
        </w:rPr>
        <w:t>外形尺寸：长≤12000mm，宽≤2550mm，高≤3750mm；</w:t>
      </w:r>
    </w:p>
    <w:p>
      <w:pPr>
        <w:snapToGrid w:val="0"/>
        <w:spacing w:line="576" w:lineRule="exact"/>
        <w:ind w:left="2" w:firstLine="560"/>
        <w:rPr>
          <w:rFonts w:ascii="宋体" w:hAnsi="宋体" w:cs="宋体"/>
          <w:szCs w:val="28"/>
        </w:rPr>
      </w:pPr>
      <w:r>
        <w:rPr>
          <w:rFonts w:hint="eastAsia" w:ascii="宋体" w:hAnsi="宋体" w:cs="宋体"/>
          <w:szCs w:val="28"/>
        </w:rPr>
        <w:t>★</w:t>
      </w:r>
      <w:r>
        <w:rPr>
          <w:rFonts w:hint="eastAsia" w:ascii="宋体" w:hAnsi="宋体" w:cs="宋体"/>
          <w:bCs/>
          <w:szCs w:val="28"/>
          <w:lang w:bidi="ar"/>
        </w:rPr>
        <w:t>1.2</w:t>
      </w:r>
      <w:r>
        <w:rPr>
          <w:rFonts w:hint="eastAsia" w:ascii="宋体" w:hAnsi="宋体" w:cs="宋体"/>
          <w:szCs w:val="28"/>
        </w:rPr>
        <w:t>保障能力：整车可保障运输人数≥38人；</w:t>
      </w:r>
    </w:p>
    <w:p>
      <w:pPr>
        <w:snapToGrid w:val="0"/>
        <w:spacing w:line="576" w:lineRule="exact"/>
        <w:ind w:left="2" w:firstLine="560"/>
        <w:rPr>
          <w:rFonts w:ascii="宋体" w:hAnsi="宋体" w:cs="宋体"/>
          <w:szCs w:val="28"/>
        </w:rPr>
      </w:pPr>
      <w:r>
        <w:rPr>
          <w:rFonts w:hint="eastAsia" w:ascii="宋体" w:hAnsi="宋体" w:cs="宋体"/>
          <w:bCs/>
          <w:szCs w:val="28"/>
          <w:lang w:bidi="ar"/>
        </w:rPr>
        <w:t>1.3</w:t>
      </w:r>
      <w:r>
        <w:rPr>
          <w:rFonts w:hint="eastAsia" w:ascii="宋体" w:hAnsi="宋体" w:cs="宋体"/>
          <w:szCs w:val="28"/>
        </w:rPr>
        <w:t>车身颜色和漆料：</w:t>
      </w:r>
      <w:r>
        <w:rPr>
          <w:rFonts w:hint="eastAsia" w:ascii="宋体" w:hAnsi="宋体" w:cs="宋体"/>
          <w:bCs/>
          <w:szCs w:val="28"/>
          <w:lang w:bidi="ar"/>
        </w:rPr>
        <w:t>车身颜色应符合GB/T3181-2008中规定的R03大红色；外观应光滑、平整、色泽均匀，不应有缺漆等缺陷，车顶和车身涂装的工艺、颜色保持一致，不得自行增加饰条、饰带、饰物</w:t>
      </w:r>
      <w:r>
        <w:rPr>
          <w:rFonts w:hint="eastAsia" w:ascii="宋体" w:hAnsi="宋体" w:cs="宋体"/>
          <w:szCs w:val="28"/>
        </w:rPr>
        <w:t>；</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1.4外观标识：按照《消防救援局关于做好消防救援车辆外观制式涂装工作的通知》（应急消[2019]76号）要求涂装，车辆前后有预留牌照架（符合现行应急车牌尺寸，采用金属构件固定后结实耐用）；</w:t>
      </w:r>
    </w:p>
    <w:p>
      <w:pPr>
        <w:snapToGrid w:val="0"/>
        <w:spacing w:line="576" w:lineRule="exact"/>
        <w:ind w:left="2" w:firstLine="560"/>
        <w:rPr>
          <w:rFonts w:ascii="宋体" w:hAnsi="宋体" w:cs="宋体"/>
          <w:szCs w:val="28"/>
        </w:rPr>
      </w:pPr>
      <w:r>
        <w:rPr>
          <w:rFonts w:hint="eastAsia" w:ascii="宋体" w:hAnsi="宋体" w:cs="宋体"/>
          <w:bCs/>
          <w:szCs w:val="28"/>
          <w:lang w:bidi="ar"/>
        </w:rPr>
        <w:t>1.5</w:t>
      </w:r>
      <w:r>
        <w:rPr>
          <w:rFonts w:hint="eastAsia" w:ascii="宋体" w:hAnsi="宋体" w:cs="宋体"/>
          <w:szCs w:val="28"/>
        </w:rPr>
        <w:t>具备较强的机动性能和通过性能；</w:t>
      </w:r>
    </w:p>
    <w:p>
      <w:pPr>
        <w:snapToGrid w:val="0"/>
        <w:spacing w:line="576" w:lineRule="exact"/>
        <w:ind w:left="2" w:firstLine="560"/>
        <w:rPr>
          <w:rFonts w:ascii="宋体" w:hAnsi="宋体" w:cs="宋体"/>
          <w:szCs w:val="28"/>
        </w:rPr>
      </w:pPr>
      <w:r>
        <w:rPr>
          <w:rFonts w:hint="eastAsia" w:ascii="宋体" w:hAnsi="宋体" w:cs="宋体"/>
          <w:bCs/>
          <w:szCs w:val="28"/>
          <w:lang w:bidi="ar"/>
        </w:rPr>
        <w:t>1.6</w:t>
      </w:r>
      <w:r>
        <w:rPr>
          <w:rFonts w:hint="eastAsia" w:ascii="宋体" w:hAnsi="宋体" w:cs="宋体"/>
          <w:szCs w:val="28"/>
        </w:rPr>
        <w:t>整车外廓尺寸、轴荷及质量限值符合GB1589-2016有关规定；</w:t>
      </w:r>
    </w:p>
    <w:p>
      <w:pPr>
        <w:snapToGrid w:val="0"/>
        <w:spacing w:line="576" w:lineRule="exact"/>
        <w:ind w:left="2" w:firstLine="560"/>
        <w:rPr>
          <w:rFonts w:ascii="宋体" w:hAnsi="宋体" w:cs="宋体"/>
          <w:szCs w:val="28"/>
        </w:rPr>
      </w:pPr>
      <w:r>
        <w:rPr>
          <w:rFonts w:hint="eastAsia" w:ascii="宋体" w:hAnsi="宋体" w:cs="宋体"/>
          <w:bCs/>
          <w:szCs w:val="28"/>
          <w:lang w:bidi="ar"/>
        </w:rPr>
        <w:t>1.7</w:t>
      </w:r>
      <w:r>
        <w:rPr>
          <w:rFonts w:hint="eastAsia" w:ascii="宋体" w:hAnsi="宋体" w:cs="宋体"/>
          <w:szCs w:val="28"/>
        </w:rPr>
        <w:t>整车外观保持一定的平整度，具有一定的美观性，所有焊接牢固，光洁，平整；所有缝隙涂上硅胶，硅胶平整、密封良好,环保性能好；</w:t>
      </w:r>
    </w:p>
    <w:p>
      <w:pPr>
        <w:snapToGrid w:val="0"/>
        <w:spacing w:line="576" w:lineRule="exact"/>
        <w:ind w:left="2" w:firstLine="560"/>
        <w:rPr>
          <w:rFonts w:ascii="宋体" w:hAnsi="宋体" w:cs="宋体"/>
          <w:szCs w:val="28"/>
        </w:rPr>
      </w:pPr>
      <w:r>
        <w:rPr>
          <w:rFonts w:hint="eastAsia" w:ascii="宋体" w:hAnsi="宋体" w:cs="宋体"/>
          <w:bCs/>
          <w:szCs w:val="28"/>
          <w:lang w:bidi="ar"/>
        </w:rPr>
        <w:t>1.8</w:t>
      </w:r>
      <w:r>
        <w:rPr>
          <w:rFonts w:hint="eastAsia" w:ascii="宋体" w:hAnsi="宋体" w:cs="宋体"/>
          <w:szCs w:val="28"/>
        </w:rPr>
        <w:t>所有板材及骨架、零部件、结构件，均经过严格的防锈处理，铝型材、铝板、花纹板均进行电泳处理；</w:t>
      </w:r>
    </w:p>
    <w:p>
      <w:pPr>
        <w:snapToGrid w:val="0"/>
        <w:spacing w:line="576" w:lineRule="exact"/>
        <w:ind w:left="2" w:firstLine="560"/>
        <w:rPr>
          <w:rFonts w:ascii="宋体" w:hAnsi="宋体" w:cs="宋体"/>
          <w:szCs w:val="28"/>
        </w:rPr>
      </w:pPr>
      <w:r>
        <w:rPr>
          <w:rFonts w:hint="eastAsia" w:ascii="宋体" w:hAnsi="宋体" w:cs="宋体"/>
          <w:szCs w:val="28"/>
        </w:rPr>
        <w:t>▲</w:t>
      </w:r>
      <w:r>
        <w:rPr>
          <w:rFonts w:hint="eastAsia" w:ascii="宋体" w:hAnsi="宋体" w:cs="宋体"/>
          <w:bCs/>
          <w:szCs w:val="28"/>
          <w:lang w:bidi="ar"/>
        </w:rPr>
        <w:t>1.9</w:t>
      </w:r>
      <w:r>
        <w:rPr>
          <w:rFonts w:hint="eastAsia" w:ascii="宋体" w:hAnsi="宋体" w:cs="宋体"/>
          <w:szCs w:val="28"/>
        </w:rPr>
        <w:t>配备行车记录仪（内存≥128G）、胎压监测系统、轨道偏离系统，防撞预警系统，USB插口4个；进口ABS+ESC系统，内饰软包顶、软包侧围，整车带LED氛围灯可变色，皮革拼接面料座椅（伸缩式安全带含报警功能），空气悬浮式司机座椅（带加热，阻尼系统），不锈钢司机包围，透明玻璃预留线束，可调式司机风扇，整车灭菌系统，</w:t>
      </w:r>
      <w:r>
        <w:rPr>
          <w:rFonts w:hint="eastAsia" w:ascii="宋体" w:hAnsi="宋体" w:eastAsia="宋体" w:cs="宋体"/>
          <w:bCs/>
          <w:sz w:val="28"/>
          <w:szCs w:val="28"/>
          <w:highlight w:val="none"/>
        </w:rPr>
        <w:t>配备370MHz数字车载台</w:t>
      </w:r>
      <w:r>
        <w:rPr>
          <w:rFonts w:hint="eastAsia" w:ascii="宋体" w:hAnsi="宋体" w:cs="宋体"/>
          <w:bCs/>
          <w:szCs w:val="28"/>
          <w:lang w:bidi="ar"/>
        </w:rPr>
        <w:t>（支持PDT数字集群并需接入山西省370MHz无线通信核心网）</w:t>
      </w:r>
      <w:r>
        <w:rPr>
          <w:rFonts w:hint="eastAsia" w:ascii="宋体" w:hAnsi="宋体" w:cs="宋体"/>
          <w:szCs w:val="28"/>
        </w:rPr>
        <w:t>；</w:t>
      </w:r>
    </w:p>
    <w:p>
      <w:pPr>
        <w:snapToGrid w:val="0"/>
        <w:spacing w:line="576" w:lineRule="exact"/>
        <w:ind w:left="2" w:firstLine="560"/>
        <w:rPr>
          <w:rFonts w:ascii="宋体" w:hAnsi="宋体" w:cs="宋体"/>
          <w:szCs w:val="28"/>
        </w:rPr>
      </w:pPr>
      <w:r>
        <w:rPr>
          <w:rFonts w:hint="eastAsia" w:ascii="宋体" w:hAnsi="宋体" w:cs="宋体"/>
          <w:bCs/>
          <w:szCs w:val="28"/>
          <w:lang w:bidi="ar"/>
        </w:rPr>
        <w:t>1.10</w:t>
      </w:r>
      <w:r>
        <w:rPr>
          <w:rFonts w:hint="eastAsia" w:ascii="宋体" w:hAnsi="宋体" w:cs="宋体"/>
          <w:szCs w:val="28"/>
        </w:rPr>
        <w:t>隔音降噪加强，整车发泡加厚。</w:t>
      </w:r>
    </w:p>
    <w:p>
      <w:pPr>
        <w:snapToGrid w:val="0"/>
        <w:spacing w:line="576" w:lineRule="exact"/>
        <w:ind w:left="2" w:firstLine="560"/>
        <w:rPr>
          <w:rFonts w:ascii="宋体" w:hAnsi="宋体" w:cs="宋体"/>
          <w:szCs w:val="28"/>
        </w:rPr>
      </w:pPr>
      <w:r>
        <w:rPr>
          <w:rFonts w:hint="eastAsia" w:ascii="宋体" w:hAnsi="宋体" w:cs="宋体"/>
          <w:szCs w:val="28"/>
          <w:lang w:bidi="ar"/>
        </w:rPr>
        <w:t>2.底</w:t>
      </w:r>
      <w:r>
        <w:rPr>
          <w:rFonts w:hint="eastAsia" w:ascii="宋体" w:hAnsi="宋体" w:cs="宋体"/>
          <w:szCs w:val="28"/>
        </w:rPr>
        <w:t>盘配置</w:t>
      </w:r>
    </w:p>
    <w:p>
      <w:pPr>
        <w:snapToGrid w:val="0"/>
        <w:spacing w:line="576" w:lineRule="exact"/>
        <w:ind w:left="2" w:firstLine="560"/>
        <w:rPr>
          <w:rFonts w:ascii="宋体" w:hAnsi="宋体" w:cs="宋体"/>
          <w:szCs w:val="28"/>
        </w:rPr>
      </w:pPr>
      <w:r>
        <w:rPr>
          <w:rFonts w:hint="eastAsia" w:ascii="宋体" w:hAnsi="宋体" w:cs="宋体"/>
          <w:szCs w:val="28"/>
        </w:rPr>
        <w:t>▲2.1采用大型客车底盘，发动机功率：≥220kW；</w:t>
      </w:r>
    </w:p>
    <w:p>
      <w:pPr>
        <w:snapToGrid w:val="0"/>
        <w:spacing w:line="576" w:lineRule="exact"/>
        <w:ind w:left="2" w:firstLine="560"/>
        <w:rPr>
          <w:rFonts w:ascii="宋体" w:hAnsi="宋体" w:cs="宋体"/>
          <w:szCs w:val="28"/>
        </w:rPr>
      </w:pPr>
      <w:r>
        <w:rPr>
          <w:rFonts w:hint="eastAsia" w:ascii="宋体" w:hAnsi="宋体" w:cs="宋体"/>
          <w:szCs w:val="28"/>
        </w:rPr>
        <w:t>2.2驱动形式：4×2；</w:t>
      </w:r>
    </w:p>
    <w:p>
      <w:pPr>
        <w:snapToGrid w:val="0"/>
        <w:spacing w:line="576" w:lineRule="exact"/>
        <w:ind w:left="2" w:firstLine="560"/>
        <w:rPr>
          <w:rFonts w:ascii="宋体" w:hAnsi="宋体" w:cs="宋体"/>
          <w:szCs w:val="28"/>
        </w:rPr>
      </w:pPr>
      <w:r>
        <w:rPr>
          <w:rFonts w:hint="eastAsia" w:ascii="宋体" w:hAnsi="宋体" w:cs="宋体"/>
          <w:szCs w:val="28"/>
        </w:rPr>
        <w:t>2.3最高车速≥100km/h；</w:t>
      </w:r>
    </w:p>
    <w:p>
      <w:pPr>
        <w:snapToGrid w:val="0"/>
        <w:spacing w:line="576" w:lineRule="exact"/>
        <w:ind w:left="2" w:firstLine="560"/>
        <w:rPr>
          <w:rFonts w:ascii="宋体" w:hAnsi="宋体" w:cs="宋体"/>
          <w:bCs/>
          <w:szCs w:val="28"/>
          <w:lang w:bidi="ar"/>
        </w:rPr>
      </w:pPr>
      <w:r>
        <w:rPr>
          <w:rFonts w:hint="eastAsia" w:ascii="宋体" w:hAnsi="宋体" w:cs="宋体"/>
          <w:szCs w:val="28"/>
        </w:rPr>
        <w:t>2.4发动机：柴油机；</w:t>
      </w:r>
    </w:p>
    <w:p>
      <w:pPr>
        <w:snapToGrid w:val="0"/>
        <w:spacing w:line="576" w:lineRule="exact"/>
        <w:ind w:left="2" w:firstLine="560"/>
        <w:rPr>
          <w:rFonts w:ascii="宋体" w:hAnsi="宋体" w:cs="宋体"/>
          <w:szCs w:val="28"/>
        </w:rPr>
      </w:pPr>
      <w:r>
        <w:rPr>
          <w:rFonts w:hint="eastAsia" w:ascii="宋体" w:hAnsi="宋体" w:cs="宋体"/>
          <w:szCs w:val="28"/>
        </w:rPr>
        <w:t>2.5油箱：容积≥200L；</w:t>
      </w:r>
    </w:p>
    <w:p>
      <w:pPr>
        <w:snapToGrid w:val="0"/>
        <w:spacing w:line="576" w:lineRule="exact"/>
        <w:ind w:left="2" w:firstLine="560"/>
        <w:rPr>
          <w:rFonts w:ascii="宋体" w:hAnsi="宋体" w:cs="宋体"/>
          <w:szCs w:val="28"/>
        </w:rPr>
      </w:pPr>
      <w:r>
        <w:rPr>
          <w:rFonts w:hint="eastAsia" w:ascii="宋体" w:hAnsi="宋体" w:cs="宋体"/>
          <w:szCs w:val="28"/>
        </w:rPr>
        <w:t>★2.6排放标准：</w:t>
      </w:r>
      <w:r>
        <w:rPr>
          <w:rFonts w:hint="eastAsia" w:ascii="宋体" w:hAnsi="宋体" w:cs="宋体"/>
          <w:bCs/>
          <w:szCs w:val="28"/>
          <w:lang w:bidi="ar"/>
        </w:rPr>
        <w:t>国六排放标准</w:t>
      </w:r>
      <w:r>
        <w:rPr>
          <w:rFonts w:hint="eastAsia" w:ascii="宋体" w:hAnsi="宋体" w:cs="宋体"/>
          <w:szCs w:val="28"/>
        </w:rPr>
        <w:t>；</w:t>
      </w:r>
    </w:p>
    <w:p>
      <w:pPr>
        <w:snapToGrid w:val="0"/>
        <w:spacing w:line="576" w:lineRule="exact"/>
        <w:ind w:left="2" w:firstLine="560"/>
        <w:rPr>
          <w:rFonts w:ascii="宋体" w:hAnsi="宋体" w:cs="宋体"/>
          <w:szCs w:val="28"/>
        </w:rPr>
      </w:pPr>
      <w:r>
        <w:rPr>
          <w:rFonts w:hint="eastAsia" w:ascii="宋体" w:hAnsi="宋体" w:cs="宋体"/>
          <w:szCs w:val="28"/>
        </w:rPr>
        <w:t>2.7变速器:手动（带助力挂挡）；</w:t>
      </w:r>
    </w:p>
    <w:p>
      <w:pPr>
        <w:snapToGrid w:val="0"/>
        <w:spacing w:line="576" w:lineRule="exact"/>
        <w:ind w:left="2" w:firstLine="560"/>
        <w:rPr>
          <w:rFonts w:ascii="宋体" w:hAnsi="宋体" w:cs="宋体"/>
          <w:szCs w:val="28"/>
        </w:rPr>
      </w:pPr>
      <w:r>
        <w:rPr>
          <w:rFonts w:hint="eastAsia" w:ascii="宋体" w:hAnsi="宋体" w:cs="宋体"/>
          <w:szCs w:val="28"/>
        </w:rPr>
        <w:t>▲2.8制动方式:盘式制动器，维护便捷或免维护；</w:t>
      </w:r>
    </w:p>
    <w:p>
      <w:pPr>
        <w:snapToGrid w:val="0"/>
        <w:spacing w:line="576" w:lineRule="exact"/>
        <w:ind w:left="2" w:firstLine="560"/>
        <w:rPr>
          <w:rFonts w:ascii="宋体" w:hAnsi="宋体" w:cs="宋体"/>
          <w:szCs w:val="28"/>
        </w:rPr>
      </w:pPr>
      <w:r>
        <w:rPr>
          <w:rFonts w:hint="eastAsia" w:ascii="宋体" w:hAnsi="宋体" w:cs="宋体"/>
          <w:szCs w:val="28"/>
        </w:rPr>
        <w:t>▲2.9悬架系统:空气悬挂，双向作用液压减振器；</w:t>
      </w:r>
    </w:p>
    <w:p>
      <w:pPr>
        <w:snapToGrid w:val="0"/>
        <w:spacing w:line="576" w:lineRule="exact"/>
        <w:ind w:left="2" w:firstLine="560"/>
        <w:rPr>
          <w:rFonts w:ascii="宋体" w:hAnsi="宋体" w:cs="宋体"/>
          <w:szCs w:val="28"/>
        </w:rPr>
      </w:pPr>
      <w:r>
        <w:rPr>
          <w:rFonts w:hint="eastAsia" w:ascii="宋体" w:hAnsi="宋体" w:cs="宋体"/>
          <w:szCs w:val="28"/>
        </w:rPr>
        <w:t>▲2.10轮胎:</w:t>
      </w:r>
      <w:r>
        <w:rPr>
          <w:rFonts w:hint="eastAsia" w:ascii="宋体" w:hAnsi="宋体" w:cs="宋体"/>
          <w:bCs/>
          <w:szCs w:val="28"/>
          <w:lang w:bidi="ar"/>
        </w:rPr>
        <w:t>子午线真空钢丝轮胎（包括1个驱动轮同规格、同型号、同品牌备胎）；</w:t>
      </w:r>
    </w:p>
    <w:p>
      <w:pPr>
        <w:snapToGrid w:val="0"/>
        <w:spacing w:line="576" w:lineRule="exact"/>
        <w:ind w:left="2" w:firstLine="560"/>
        <w:rPr>
          <w:rFonts w:ascii="宋体" w:hAnsi="宋体" w:cs="宋体"/>
          <w:szCs w:val="28"/>
        </w:rPr>
      </w:pPr>
      <w:r>
        <w:rPr>
          <w:rFonts w:hint="eastAsia" w:ascii="宋体" w:hAnsi="宋体" w:cs="宋体"/>
          <w:bCs/>
          <w:szCs w:val="28"/>
          <w:lang w:bidi="ar"/>
        </w:rPr>
        <w:t>2.11</w:t>
      </w:r>
      <w:r>
        <w:rPr>
          <w:rFonts w:hint="eastAsia" w:ascii="宋体" w:hAnsi="宋体" w:cs="宋体"/>
          <w:szCs w:val="28"/>
        </w:rPr>
        <w:t>配备寒区包适合寒区使用。</w:t>
      </w:r>
    </w:p>
    <w:p>
      <w:pPr>
        <w:snapToGrid w:val="0"/>
        <w:spacing w:line="576" w:lineRule="exact"/>
        <w:ind w:left="2" w:firstLine="560"/>
        <w:rPr>
          <w:rFonts w:ascii="宋体" w:hAnsi="宋体" w:cs="宋体"/>
          <w:bCs/>
          <w:szCs w:val="28"/>
        </w:rPr>
      </w:pPr>
      <w:r>
        <w:rPr>
          <w:rFonts w:hint="eastAsia" w:ascii="宋体" w:hAnsi="宋体" w:cs="宋体"/>
          <w:bCs/>
          <w:szCs w:val="28"/>
        </w:rPr>
        <w:t>3.车身及电器配置</w:t>
      </w:r>
    </w:p>
    <w:p>
      <w:pPr>
        <w:snapToGrid w:val="0"/>
        <w:spacing w:line="576" w:lineRule="exact"/>
        <w:ind w:left="2" w:firstLine="560"/>
        <w:rPr>
          <w:rFonts w:ascii="宋体" w:hAnsi="宋体" w:cs="宋体"/>
          <w:szCs w:val="28"/>
        </w:rPr>
      </w:pPr>
      <w:r>
        <w:rPr>
          <w:rFonts w:hint="eastAsia" w:ascii="宋体" w:hAnsi="宋体" w:cs="宋体"/>
          <w:szCs w:val="28"/>
        </w:rPr>
        <w:t>3.1车身结构:全承载式钢骨架；</w:t>
      </w:r>
    </w:p>
    <w:p>
      <w:pPr>
        <w:snapToGrid w:val="0"/>
        <w:spacing w:line="576" w:lineRule="exact"/>
        <w:ind w:left="2" w:firstLine="560"/>
        <w:rPr>
          <w:rFonts w:ascii="宋体" w:hAnsi="宋体" w:cs="宋体"/>
          <w:szCs w:val="28"/>
        </w:rPr>
      </w:pPr>
      <w:r>
        <w:rPr>
          <w:rFonts w:hint="eastAsia" w:ascii="宋体" w:hAnsi="宋体" w:cs="宋体"/>
          <w:szCs w:val="28"/>
        </w:rPr>
        <w:t>3.2车身内饰:整体式行李架空调风道，带出风口，阅读灯，座位牌；</w:t>
      </w:r>
    </w:p>
    <w:p>
      <w:pPr>
        <w:snapToGrid w:val="0"/>
        <w:spacing w:line="576" w:lineRule="exact"/>
        <w:ind w:left="2" w:firstLine="560"/>
        <w:rPr>
          <w:rFonts w:ascii="宋体" w:hAnsi="宋体" w:cs="宋体"/>
          <w:szCs w:val="28"/>
        </w:rPr>
      </w:pPr>
      <w:r>
        <w:rPr>
          <w:rFonts w:hint="eastAsia" w:ascii="宋体" w:hAnsi="宋体" w:cs="宋体"/>
          <w:szCs w:val="28"/>
        </w:rPr>
        <w:t>3.3车门及门泵:单扇外摆门，具备手动操作功能。铝合金翻转舱门；</w:t>
      </w:r>
    </w:p>
    <w:p>
      <w:pPr>
        <w:snapToGrid w:val="0"/>
        <w:spacing w:line="576" w:lineRule="exact"/>
        <w:ind w:left="2" w:firstLine="560"/>
        <w:rPr>
          <w:rFonts w:ascii="宋体" w:hAnsi="宋体" w:cs="宋体"/>
          <w:szCs w:val="28"/>
        </w:rPr>
      </w:pPr>
      <w:r>
        <w:rPr>
          <w:rFonts w:hint="eastAsia" w:ascii="宋体" w:hAnsi="宋体" w:cs="宋体"/>
          <w:szCs w:val="28"/>
        </w:rPr>
        <w:t>3.4车窗:两侧有外推式应急窗、内嵌式推拉窗，其余全封闭中空玻璃；</w:t>
      </w:r>
    </w:p>
    <w:p>
      <w:pPr>
        <w:snapToGrid w:val="0"/>
        <w:spacing w:line="576" w:lineRule="exact"/>
        <w:ind w:left="2" w:firstLine="560"/>
        <w:rPr>
          <w:rFonts w:ascii="宋体" w:hAnsi="宋体" w:cs="宋体"/>
          <w:szCs w:val="28"/>
        </w:rPr>
      </w:pPr>
      <w:r>
        <w:rPr>
          <w:rFonts w:hint="eastAsia" w:ascii="宋体" w:hAnsi="宋体" w:cs="宋体"/>
          <w:szCs w:val="28"/>
        </w:rPr>
        <w:t>▲3.5空调系统车载顶置空调，制冷量≥28000kcal／h，带新风换气功能；</w:t>
      </w:r>
    </w:p>
    <w:p>
      <w:pPr>
        <w:snapToGrid w:val="0"/>
        <w:spacing w:line="576" w:lineRule="exact"/>
        <w:ind w:left="2" w:firstLine="560"/>
        <w:rPr>
          <w:rFonts w:ascii="宋体" w:hAnsi="宋体" w:cs="宋体"/>
          <w:szCs w:val="28"/>
        </w:rPr>
      </w:pPr>
      <w:r>
        <w:rPr>
          <w:rFonts w:hint="eastAsia" w:ascii="宋体" w:hAnsi="宋体" w:cs="宋体"/>
          <w:szCs w:val="28"/>
        </w:rPr>
        <w:t>3.6暖风系统:独立水暖多方向散热、除霜；</w:t>
      </w:r>
    </w:p>
    <w:p>
      <w:pPr>
        <w:snapToGrid w:val="0"/>
        <w:spacing w:line="576" w:lineRule="exact"/>
        <w:ind w:left="2" w:firstLine="560"/>
        <w:rPr>
          <w:rFonts w:ascii="宋体" w:hAnsi="宋体" w:cs="宋体"/>
          <w:szCs w:val="28"/>
        </w:rPr>
      </w:pPr>
      <w:r>
        <w:rPr>
          <w:rFonts w:hint="eastAsia" w:ascii="宋体" w:hAnsi="宋体" w:cs="宋体"/>
          <w:szCs w:val="28"/>
        </w:rPr>
        <w:t>3.7后视系统:电动兔耳式倒车镜（带加热）、彩色倒车监视器；</w:t>
      </w:r>
    </w:p>
    <w:p>
      <w:pPr>
        <w:snapToGrid w:val="0"/>
        <w:spacing w:line="576" w:lineRule="exact"/>
        <w:ind w:left="2" w:firstLine="560"/>
        <w:rPr>
          <w:rFonts w:ascii="宋体" w:hAnsi="宋体" w:cs="宋体"/>
          <w:szCs w:val="28"/>
        </w:rPr>
      </w:pPr>
      <w:r>
        <w:rPr>
          <w:rFonts w:hint="eastAsia" w:ascii="宋体" w:hAnsi="宋体" w:cs="宋体"/>
          <w:szCs w:val="28"/>
        </w:rPr>
        <w:t>3.8服务设施:带温湿度电子钟，顶风窗带换气功能，乘客门遥控门锁；</w:t>
      </w:r>
    </w:p>
    <w:p>
      <w:pPr>
        <w:snapToGrid w:val="0"/>
        <w:spacing w:line="576" w:lineRule="exact"/>
        <w:ind w:left="2" w:firstLine="560"/>
        <w:rPr>
          <w:rFonts w:ascii="宋体" w:hAnsi="宋体" w:cs="宋体"/>
          <w:szCs w:val="28"/>
        </w:rPr>
      </w:pPr>
      <w:r>
        <w:rPr>
          <w:rFonts w:hint="eastAsia" w:ascii="宋体" w:hAnsi="宋体" w:cs="宋体"/>
          <w:szCs w:val="28"/>
        </w:rPr>
        <w:t>▲3.9</w:t>
      </w:r>
      <w:r>
        <w:rPr>
          <w:rFonts w:hint="eastAsia" w:ascii="宋体" w:hAnsi="宋体" w:cs="宋体"/>
          <w:bCs/>
          <w:szCs w:val="28"/>
          <w:lang w:bidi="ar"/>
        </w:rPr>
        <w:t>自动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3.10</w:t>
      </w:r>
      <w:r>
        <w:rPr>
          <w:rFonts w:hint="eastAsia" w:ascii="宋体" w:hAnsi="宋体" w:eastAsia="宋体" w:cs="宋体"/>
          <w:bCs/>
          <w:sz w:val="28"/>
          <w:szCs w:val="28"/>
          <w:lang w:val="en-US" w:bidi="ar"/>
        </w:rPr>
        <w:t>驾乘室顶部安装红色长排警灯，功率≥100W报警器、警灯控制器；两侧加装爆闪警灯，所有外置车灯、灯具均须加装防护罩。</w:t>
      </w:r>
    </w:p>
    <w:p>
      <w:pPr>
        <w:snapToGrid w:val="0"/>
        <w:spacing w:line="576" w:lineRule="exact"/>
        <w:ind w:left="2" w:firstLine="560"/>
        <w:rPr>
          <w:rFonts w:ascii="宋体" w:hAnsi="宋体" w:cs="宋体"/>
          <w:bCs/>
          <w:szCs w:val="28"/>
        </w:rPr>
      </w:pPr>
      <w:r>
        <w:rPr>
          <w:rFonts w:hint="eastAsia" w:ascii="宋体" w:hAnsi="宋体" w:cs="宋体"/>
          <w:bCs/>
          <w:szCs w:val="28"/>
        </w:rPr>
        <w:t>4.随车文件</w:t>
      </w:r>
    </w:p>
    <w:p>
      <w:pPr>
        <w:snapToGrid w:val="0"/>
        <w:spacing w:line="576" w:lineRule="exact"/>
        <w:ind w:left="2" w:firstLine="560"/>
        <w:rPr>
          <w:rFonts w:ascii="宋体" w:hAnsi="宋体" w:cs="宋体"/>
          <w:szCs w:val="28"/>
        </w:rPr>
      </w:pPr>
      <w:r>
        <w:rPr>
          <w:rFonts w:hint="eastAsia" w:ascii="宋体" w:hAnsi="宋体" w:cs="宋体"/>
          <w:szCs w:val="28"/>
        </w:rPr>
        <w:t>4.1整车合格证、说明书、保修卡等；</w:t>
      </w:r>
    </w:p>
    <w:p>
      <w:pPr>
        <w:snapToGrid w:val="0"/>
        <w:spacing w:line="576" w:lineRule="exact"/>
        <w:ind w:left="2" w:firstLine="560"/>
        <w:rPr>
          <w:rFonts w:ascii="宋体" w:hAnsi="宋体" w:cs="宋体"/>
          <w:szCs w:val="28"/>
        </w:rPr>
      </w:pPr>
      <w:r>
        <w:rPr>
          <w:rFonts w:hint="eastAsia" w:ascii="宋体" w:hAnsi="宋体" w:cs="宋体"/>
          <w:szCs w:val="28"/>
        </w:rPr>
        <w:t>4.2发动机号、车辆识别码拓印件2份；</w:t>
      </w:r>
    </w:p>
    <w:p>
      <w:pPr>
        <w:snapToGrid w:val="0"/>
        <w:spacing w:line="576" w:lineRule="exact"/>
        <w:ind w:left="2" w:firstLine="560"/>
        <w:rPr>
          <w:rFonts w:ascii="宋体" w:hAnsi="宋体" w:cs="宋体"/>
          <w:szCs w:val="28"/>
        </w:rPr>
      </w:pPr>
      <w:r>
        <w:rPr>
          <w:rFonts w:hint="eastAsia" w:ascii="宋体" w:hAnsi="宋体" w:cs="宋体"/>
          <w:szCs w:val="28"/>
        </w:rPr>
        <w:t>4.3随车物品、工具、器材、配（备）件清单等；</w:t>
      </w:r>
    </w:p>
    <w:p>
      <w:pPr>
        <w:snapToGrid w:val="0"/>
        <w:spacing w:line="576" w:lineRule="exact"/>
        <w:ind w:left="2" w:firstLine="560"/>
        <w:rPr>
          <w:rFonts w:ascii="宋体" w:hAnsi="宋体" w:cs="宋体"/>
          <w:szCs w:val="28"/>
        </w:rPr>
      </w:pPr>
      <w:r>
        <w:rPr>
          <w:rFonts w:hint="eastAsia" w:ascii="宋体" w:hAnsi="宋体" w:cs="宋体"/>
          <w:szCs w:val="28"/>
        </w:rPr>
        <w:t>4.4其它需要交付的文件资料；</w:t>
      </w:r>
    </w:p>
    <w:p>
      <w:pPr>
        <w:snapToGrid w:val="0"/>
        <w:spacing w:line="576" w:lineRule="exact"/>
        <w:ind w:left="2" w:firstLine="560"/>
        <w:rPr>
          <w:rFonts w:ascii="宋体" w:hAnsi="宋体" w:cs="宋体"/>
          <w:szCs w:val="28"/>
        </w:rPr>
      </w:pPr>
      <w:r>
        <w:rPr>
          <w:rFonts w:hint="eastAsia" w:ascii="宋体" w:hAnsi="宋体" w:cs="宋体"/>
          <w:szCs w:val="28"/>
        </w:rPr>
        <w:t>4.5车内其他配置SD卡播放器+彩色倒车监视器带夜视功能；ATS电子散热系统；窗帘、遮阳帘、砂耐磨地板革、发动机仓自动灭火装置；日间行车灯、弯道补光、车内空气净化。</w:t>
      </w:r>
    </w:p>
    <w:p>
      <w:pPr>
        <w:snapToGrid w:val="0"/>
        <w:spacing w:line="576" w:lineRule="exact"/>
        <w:ind w:left="2" w:firstLine="560"/>
        <w:rPr>
          <w:rFonts w:ascii="宋体" w:hAnsi="宋体" w:cs="宋体"/>
          <w:szCs w:val="28"/>
        </w:rPr>
      </w:pPr>
      <w:r>
        <w:rPr>
          <w:rFonts w:hint="eastAsia" w:ascii="宋体" w:hAnsi="宋体" w:cs="宋体"/>
          <w:bCs/>
          <w:szCs w:val="28"/>
          <w:lang w:bidi="ar"/>
        </w:rPr>
        <w:t>4.6所有操作开关、仪表、器材架及车辆均有规范的永久性中文铭牌标识</w:t>
      </w:r>
      <w:r>
        <w:rPr>
          <w:rFonts w:hint="eastAsia" w:ascii="宋体" w:hAnsi="宋体" w:cs="宋体"/>
          <w:szCs w:val="28"/>
        </w:rPr>
        <w:t>；</w:t>
      </w:r>
    </w:p>
    <w:p>
      <w:pPr>
        <w:snapToGrid w:val="0"/>
        <w:spacing w:line="576" w:lineRule="exact"/>
        <w:ind w:left="2" w:firstLine="560"/>
        <w:rPr>
          <w:rFonts w:ascii="宋体" w:hAnsi="宋体" w:cs="宋体"/>
          <w:szCs w:val="28"/>
        </w:rPr>
      </w:pPr>
      <w:r>
        <w:rPr>
          <w:rFonts w:hint="eastAsia" w:ascii="宋体" w:hAnsi="宋体" w:cs="宋体"/>
          <w:szCs w:val="28"/>
        </w:rPr>
        <w:t>▲4.7</w:t>
      </w:r>
      <w:r>
        <w:rPr>
          <w:rFonts w:hint="eastAsia" w:ascii="宋体" w:hAnsi="宋体" w:cs="宋体"/>
          <w:bCs/>
          <w:szCs w:val="28"/>
          <w:lang w:bidi="ar"/>
        </w:rPr>
        <w:t>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ind w:firstLine="560"/>
        <w:rPr>
          <w:color w:val="000000" w:themeColor="text1"/>
          <w14:textFill>
            <w14:solidFill>
              <w14:schemeClr w14:val="tx1"/>
            </w14:solidFill>
          </w14:textFill>
        </w:rPr>
      </w:pPr>
    </w:p>
    <w:p>
      <w:pPr>
        <w:ind w:firstLine="560"/>
        <w:rPr>
          <w:color w:val="000000" w:themeColor="text1"/>
          <w14:textFill>
            <w14:solidFill>
              <w14:schemeClr w14:val="tx1"/>
            </w14:solidFill>
          </w14:textFill>
        </w:rPr>
      </w:pPr>
    </w:p>
    <w:p>
      <w:pPr>
        <w:ind w:firstLine="560"/>
        <w:rPr>
          <w:color w:val="000000" w:themeColor="text1"/>
          <w14:textFill>
            <w14:solidFill>
              <w14:schemeClr w14:val="tx1"/>
            </w14:solidFill>
          </w14:textFill>
        </w:rPr>
      </w:pPr>
      <w:r>
        <w:rPr>
          <w:color w:val="000000" w:themeColor="text1"/>
          <w14:textFill>
            <w14:solidFill>
              <w14:schemeClr w14:val="tx1"/>
            </w14:solidFill>
          </w14:textFill>
        </w:rPr>
        <w:br w:type="page"/>
      </w:r>
    </w:p>
    <w:p>
      <w:pPr>
        <w:ind w:firstLine="562"/>
        <w:jc w:val="center"/>
        <w:rPr>
          <w:b/>
          <w:bCs/>
          <w:color w:val="000000" w:themeColor="text1"/>
          <w14:textFill>
            <w14:solidFill>
              <w14:schemeClr w14:val="tx1"/>
            </w14:solidFill>
          </w14:textFill>
        </w:rPr>
      </w:pPr>
    </w:p>
    <w:p>
      <w:pPr>
        <w:pStyle w:val="4"/>
        <w:bidi w:val="0"/>
      </w:pPr>
      <w:bookmarkStart w:id="63" w:name="_Toc11350"/>
      <w:r>
        <w:rPr>
          <w:rFonts w:hint="eastAsia"/>
        </w:rPr>
        <w:t xml:space="preserve">包 </w:t>
      </w:r>
      <w:r>
        <w:rPr>
          <w:rFonts w:hint="eastAsia"/>
          <w:lang w:val="en-US" w:eastAsia="zh-CN"/>
        </w:rPr>
        <w:t>20</w:t>
      </w:r>
      <w:r>
        <w:rPr>
          <w:rFonts w:hint="eastAsia"/>
        </w:rPr>
        <w:t xml:space="preserve"> </w:t>
      </w:r>
      <w:r>
        <w:rPr>
          <w:rFonts w:hint="eastAsia"/>
          <w:lang w:eastAsia="zh-CN"/>
        </w:rPr>
        <w:t>“</w:t>
      </w:r>
      <w:r>
        <w:rPr>
          <w:rFonts w:hint="eastAsia"/>
        </w:rPr>
        <w:t>装备维修车</w:t>
      </w:r>
      <w:r>
        <w:rPr>
          <w:rFonts w:hint="eastAsia"/>
          <w:lang w:eastAsia="zh-CN"/>
        </w:rPr>
        <w:t>”</w:t>
      </w:r>
      <w:bookmarkEnd w:id="63"/>
    </w:p>
    <w:p>
      <w:pPr>
        <w:numPr>
          <w:ilvl w:val="0"/>
          <w:numId w:val="38"/>
        </w:numPr>
        <w:spacing w:line="576" w:lineRule="exact"/>
        <w:ind w:firstLine="560"/>
        <w:rPr>
          <w:rFonts w:ascii="宋体" w:hAnsi="宋体" w:cs="宋体"/>
          <w:bCs/>
          <w:szCs w:val="28"/>
        </w:rPr>
      </w:pPr>
      <w:r>
        <w:rPr>
          <w:rFonts w:hint="eastAsia" w:ascii="宋体" w:hAnsi="宋体" w:cs="宋体"/>
          <w:bCs/>
          <w:szCs w:val="28"/>
        </w:rPr>
        <w:t>整车要求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1.1整车性能符合GB7956.1-2014《</w:t>
      </w:r>
      <w:r>
        <w:rPr>
          <w:rFonts w:hint="eastAsia" w:ascii="宋体" w:hAnsi="宋体" w:cs="宋体"/>
          <w:bCs/>
          <w:szCs w:val="28"/>
          <w:lang w:bidi="ar"/>
        </w:rPr>
        <w:fldChar w:fldCharType="begin"/>
      </w:r>
      <w:r>
        <w:rPr>
          <w:rFonts w:hint="eastAsia" w:ascii="宋体" w:hAnsi="宋体" w:cs="宋体"/>
          <w:bCs/>
          <w:szCs w:val="28"/>
          <w:lang w:bidi="ar"/>
        </w:rPr>
        <w:instrText xml:space="preserve"> HYPERLINK "http://10.2.192.2:8080/xiaof/standardList.php?type=c9" \l "#" </w:instrText>
      </w:r>
      <w:r>
        <w:rPr>
          <w:rFonts w:hint="eastAsia" w:ascii="宋体" w:hAnsi="宋体" w:cs="宋体"/>
          <w:bCs/>
          <w:szCs w:val="28"/>
          <w:lang w:bidi="ar"/>
        </w:rPr>
        <w:fldChar w:fldCharType="separate"/>
      </w:r>
      <w:r>
        <w:rPr>
          <w:rFonts w:hint="eastAsia" w:ascii="宋体" w:hAnsi="宋体" w:cs="宋体"/>
          <w:bCs/>
          <w:szCs w:val="28"/>
          <w:lang w:bidi="ar"/>
        </w:rPr>
        <w:t>消防车第1部分：通用技术条件</w:t>
      </w:r>
      <w:r>
        <w:rPr>
          <w:rFonts w:hint="eastAsia" w:ascii="宋体" w:hAnsi="宋体" w:cs="宋体"/>
          <w:bCs/>
          <w:szCs w:val="28"/>
          <w:lang w:bidi="ar"/>
        </w:rPr>
        <w:fldChar w:fldCharType="end"/>
      </w:r>
      <w:r>
        <w:rPr>
          <w:rFonts w:hint="eastAsia" w:ascii="宋体" w:hAnsi="宋体" w:cs="宋体"/>
          <w:bCs/>
          <w:szCs w:val="28"/>
          <w:lang w:bidi="ar"/>
        </w:rPr>
        <w:t>》规定；符合GB1589-2016《汽车、挂车及汽车列车外廓尺寸、轴荷及质量限值》规定；符合GB7258-2017《机动车运行安全技术条件》规定；随车器材符合国家相关标准要求；</w:t>
      </w:r>
    </w:p>
    <w:p>
      <w:pPr>
        <w:spacing w:line="576" w:lineRule="exact"/>
        <w:ind w:firstLine="560"/>
        <w:rPr>
          <w:rFonts w:ascii="宋体" w:hAnsi="宋体" w:cs="宋体"/>
          <w:szCs w:val="28"/>
        </w:rPr>
      </w:pPr>
      <w:r>
        <w:rPr>
          <w:rFonts w:hint="eastAsia" w:ascii="宋体" w:hAnsi="宋体" w:cs="宋体"/>
          <w:szCs w:val="28"/>
        </w:rPr>
        <w:t>1.2外形尺寸：长≤10000mm，宽≤2550mm，高≤4000mm；</w:t>
      </w:r>
    </w:p>
    <w:p>
      <w:pPr>
        <w:spacing w:line="576" w:lineRule="exact"/>
        <w:ind w:firstLine="560"/>
        <w:rPr>
          <w:rFonts w:ascii="宋体" w:hAnsi="宋体" w:cs="宋体"/>
          <w:szCs w:val="28"/>
        </w:rPr>
      </w:pPr>
      <w:r>
        <w:rPr>
          <w:rFonts w:hint="eastAsia" w:ascii="宋体" w:hAnsi="宋体" w:cs="宋体"/>
          <w:szCs w:val="28"/>
        </w:rPr>
        <w:t>1.3主要用途：整车用于派送装备抢修小组，利用车辆配备设备和随车携行备件，在野外条件下对消防车辆及装备实施抢修、伴随保障、保养等作业，恢复车辆装备正常使用；</w:t>
      </w:r>
    </w:p>
    <w:p>
      <w:pPr>
        <w:spacing w:line="576" w:lineRule="exact"/>
        <w:ind w:firstLine="560"/>
        <w:rPr>
          <w:rFonts w:ascii="宋体" w:hAnsi="宋体" w:cs="宋体"/>
          <w:szCs w:val="28"/>
        </w:rPr>
      </w:pPr>
      <w:r>
        <w:rPr>
          <w:rFonts w:hint="eastAsia" w:ascii="宋体" w:hAnsi="宋体" w:cs="宋体"/>
          <w:szCs w:val="28"/>
        </w:rPr>
        <w:t>1.4</w:t>
      </w:r>
      <w:r>
        <w:rPr>
          <w:rFonts w:hint="eastAsia" w:ascii="宋体" w:hAnsi="宋体" w:cs="宋体"/>
          <w:bCs/>
          <w:szCs w:val="28"/>
          <w:lang w:bidi="ar"/>
        </w:rPr>
        <w:t>车身颜色和漆料：消防车车身的颜色应符合GB/T3181-2008中规定的R03大红色；外观应光滑、平整、色泽均匀，不应有缺漆等缺陷，车顶和车身涂装的工艺、颜色保持一致，不得自行增加饰条、饰带、饰物</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1.5</w:t>
      </w:r>
      <w:r>
        <w:rPr>
          <w:rFonts w:hint="eastAsia" w:ascii="宋体" w:hAnsi="宋体" w:cs="宋体"/>
          <w:bCs/>
          <w:szCs w:val="28"/>
          <w:lang w:bidi="ar"/>
        </w:rPr>
        <w:t>外观标识：按照《消防救援局关于做好消防救援车辆外观制式涂装工作的通知》（应急消[2019]76号）要求涂装，车辆前后有预留牌照架（符合现行应急车牌尺寸，采用金属构件固定后结实耐用）</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1.6车辆可在-30℃～+45℃环境中使用，可在8级风条件下作业，适用于平原高原各类地形；</w:t>
      </w:r>
    </w:p>
    <w:p>
      <w:pPr>
        <w:spacing w:line="576" w:lineRule="exact"/>
        <w:ind w:firstLine="560"/>
        <w:rPr>
          <w:rFonts w:ascii="宋体" w:hAnsi="宋体" w:cs="宋体"/>
          <w:szCs w:val="28"/>
        </w:rPr>
      </w:pPr>
      <w:r>
        <w:rPr>
          <w:rFonts w:hint="eastAsia" w:ascii="宋体" w:hAnsi="宋体" w:cs="宋体"/>
          <w:szCs w:val="28"/>
        </w:rPr>
        <w:t>1.7整车外观保持一定的平整度，具有一定的美观性，所有焊接牢固，光洁，平整；所有缝隙涂上硅胶，硅胶平整、密封良好；</w:t>
      </w:r>
    </w:p>
    <w:p>
      <w:pPr>
        <w:spacing w:line="576" w:lineRule="exact"/>
        <w:ind w:firstLine="560"/>
        <w:rPr>
          <w:rFonts w:ascii="宋体" w:hAnsi="宋体" w:cs="宋体"/>
          <w:szCs w:val="28"/>
        </w:rPr>
      </w:pPr>
      <w:r>
        <w:rPr>
          <w:rFonts w:hint="eastAsia" w:ascii="宋体" w:hAnsi="宋体" w:cs="宋体"/>
          <w:szCs w:val="28"/>
        </w:rPr>
        <w:t>1.8所有板材及骨架、零部件、结构件，均经过严格的防锈处理，铝型材、铝板、花纹板均进行氧化处理；</w:t>
      </w:r>
    </w:p>
    <w:p>
      <w:pPr>
        <w:spacing w:line="576" w:lineRule="exact"/>
        <w:ind w:firstLine="560"/>
        <w:rPr>
          <w:rFonts w:ascii="宋体" w:hAnsi="宋体" w:cs="宋体"/>
          <w:szCs w:val="28"/>
        </w:rPr>
      </w:pPr>
      <w:r>
        <w:rPr>
          <w:rFonts w:hint="eastAsia" w:ascii="宋体" w:hAnsi="宋体" w:cs="宋体"/>
          <w:szCs w:val="28"/>
        </w:rPr>
        <w:t>1.9箱体改装后不得影响加油、清洗油箱吸油管滤网，更换电瓶、燃油滤芯、干燥罐、空气滤芯、柴油滤芯等底盘与上装的维护保养。</w:t>
      </w:r>
    </w:p>
    <w:p>
      <w:pPr>
        <w:spacing w:line="576" w:lineRule="exact"/>
        <w:ind w:firstLine="560"/>
        <w:rPr>
          <w:rFonts w:ascii="宋体" w:hAnsi="宋体" w:cs="宋体"/>
          <w:bCs/>
          <w:szCs w:val="28"/>
        </w:rPr>
      </w:pPr>
      <w:r>
        <w:rPr>
          <w:rFonts w:hint="eastAsia" w:ascii="宋体" w:hAnsi="宋体" w:cs="宋体"/>
          <w:bCs/>
          <w:szCs w:val="28"/>
        </w:rPr>
        <w:t>2.底盘要求</w:t>
      </w:r>
    </w:p>
    <w:p>
      <w:pPr>
        <w:spacing w:line="576" w:lineRule="exact"/>
        <w:ind w:firstLine="560"/>
        <w:rPr>
          <w:rFonts w:ascii="宋体" w:hAnsi="宋体" w:cs="宋体"/>
          <w:szCs w:val="28"/>
        </w:rPr>
      </w:pPr>
      <w:r>
        <w:rPr>
          <w:rFonts w:hint="eastAsia" w:ascii="宋体" w:hAnsi="宋体" w:cs="宋体"/>
          <w:szCs w:val="28"/>
        </w:rPr>
        <w:t>2.1底盘</w:t>
      </w:r>
    </w:p>
    <w:p>
      <w:pPr>
        <w:spacing w:line="576" w:lineRule="exact"/>
        <w:ind w:firstLine="560"/>
        <w:rPr>
          <w:rFonts w:ascii="宋体" w:hAnsi="宋体" w:cs="宋体"/>
          <w:szCs w:val="28"/>
        </w:rPr>
      </w:pPr>
      <w:r>
        <w:rPr>
          <w:rFonts w:hint="eastAsia" w:ascii="宋体" w:hAnsi="宋体" w:cs="宋体"/>
          <w:szCs w:val="28"/>
        </w:rPr>
        <w:t>2.1.1</w:t>
      </w:r>
      <w:r>
        <w:rPr>
          <w:rFonts w:hint="eastAsia" w:ascii="宋体" w:hAnsi="宋体" w:cs="宋体"/>
          <w:bCs/>
          <w:szCs w:val="28"/>
          <w:lang w:bidi="ar"/>
        </w:rPr>
        <w:t>通用二类底盘</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▲2.1.2发动机：铸铁柴油发动机，发动机功率≥250kW；</w:t>
      </w:r>
    </w:p>
    <w:p>
      <w:pPr>
        <w:spacing w:line="576" w:lineRule="exact"/>
        <w:ind w:firstLine="560"/>
        <w:rPr>
          <w:rFonts w:ascii="宋体" w:hAnsi="宋体" w:cs="宋体"/>
          <w:szCs w:val="28"/>
        </w:rPr>
      </w:pPr>
      <w:r>
        <w:rPr>
          <w:rFonts w:hint="eastAsia" w:ascii="宋体" w:hAnsi="宋体" w:cs="宋体"/>
          <w:szCs w:val="28"/>
        </w:rPr>
        <w:t>2.1.3燃料种类：柴油；</w:t>
      </w:r>
    </w:p>
    <w:p>
      <w:pPr>
        <w:spacing w:line="576" w:lineRule="exact"/>
        <w:ind w:firstLine="560"/>
        <w:rPr>
          <w:rFonts w:ascii="宋体" w:hAnsi="宋体" w:cs="宋体"/>
          <w:szCs w:val="28"/>
        </w:rPr>
      </w:pPr>
      <w:r>
        <w:rPr>
          <w:rFonts w:hint="eastAsia" w:ascii="宋体" w:hAnsi="宋体" w:cs="宋体"/>
          <w:szCs w:val="28"/>
        </w:rPr>
        <w:t>2.1.4驱动形式：≥4×2；</w:t>
      </w:r>
    </w:p>
    <w:p>
      <w:pPr>
        <w:spacing w:line="576" w:lineRule="exact"/>
        <w:ind w:firstLine="560"/>
        <w:rPr>
          <w:rFonts w:ascii="宋体" w:hAnsi="宋体" w:cs="宋体"/>
          <w:szCs w:val="28"/>
        </w:rPr>
      </w:pPr>
      <w:r>
        <w:rPr>
          <w:rFonts w:hint="eastAsia" w:ascii="宋体" w:hAnsi="宋体" w:cs="宋体"/>
          <w:szCs w:val="28"/>
        </w:rPr>
        <w:t>★2.1.5排放标准：</w:t>
      </w:r>
      <w:r>
        <w:rPr>
          <w:rFonts w:hint="eastAsia" w:ascii="宋体" w:hAnsi="宋体" w:cs="宋体"/>
          <w:bCs/>
          <w:szCs w:val="28"/>
          <w:lang w:bidi="ar"/>
        </w:rPr>
        <w:t>国六排放标准</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2.1.6变速器：手动或自动变速；</w:t>
      </w:r>
    </w:p>
    <w:p>
      <w:pPr>
        <w:spacing w:line="576" w:lineRule="exact"/>
        <w:ind w:firstLine="560"/>
        <w:rPr>
          <w:rFonts w:ascii="宋体" w:hAnsi="宋体" w:cs="宋体"/>
          <w:szCs w:val="28"/>
        </w:rPr>
      </w:pPr>
      <w:r>
        <w:rPr>
          <w:rFonts w:hint="eastAsia" w:ascii="宋体" w:hAnsi="宋体" w:cs="宋体"/>
          <w:szCs w:val="28"/>
        </w:rPr>
        <w:t>2.1.7最高车速：≥90km/h；</w:t>
      </w:r>
    </w:p>
    <w:p>
      <w:pPr>
        <w:spacing w:line="576" w:lineRule="exact"/>
        <w:ind w:firstLine="560"/>
        <w:rPr>
          <w:rFonts w:ascii="宋体" w:hAnsi="宋体" w:cs="宋体"/>
          <w:szCs w:val="28"/>
        </w:rPr>
      </w:pPr>
      <w:r>
        <w:rPr>
          <w:rFonts w:hint="eastAsia" w:ascii="宋体" w:hAnsi="宋体" w:cs="宋体"/>
          <w:szCs w:val="28"/>
        </w:rPr>
        <w:t>2.2驾乘室</w:t>
      </w:r>
    </w:p>
    <w:p>
      <w:pPr>
        <w:spacing w:line="576" w:lineRule="exact"/>
        <w:ind w:firstLine="560"/>
        <w:rPr>
          <w:rFonts w:ascii="宋体" w:hAnsi="宋体" w:cs="宋体"/>
          <w:szCs w:val="28"/>
        </w:rPr>
      </w:pPr>
      <w:r>
        <w:rPr>
          <w:rFonts w:hint="eastAsia" w:ascii="宋体" w:hAnsi="宋体" w:cs="宋体"/>
          <w:szCs w:val="28"/>
        </w:rPr>
        <w:t xml:space="preserve">▲2.2.1四门标准驾乘室，乘员人数≥6人，全钢保险杠，分体式大灯； </w:t>
      </w:r>
    </w:p>
    <w:p>
      <w:pPr>
        <w:spacing w:line="576" w:lineRule="exact"/>
        <w:ind w:firstLine="560"/>
        <w:rPr>
          <w:rFonts w:ascii="宋体" w:hAnsi="宋体" w:cs="宋体"/>
          <w:szCs w:val="28"/>
        </w:rPr>
      </w:pPr>
      <w:r>
        <w:rPr>
          <w:rFonts w:hint="eastAsia" w:ascii="宋体" w:hAnsi="宋体" w:cs="宋体"/>
          <w:szCs w:val="28"/>
        </w:rPr>
        <w:t>2.2.2</w:t>
      </w:r>
      <w:r>
        <w:rPr>
          <w:rFonts w:hint="eastAsia" w:ascii="宋体" w:hAnsi="宋体" w:cs="宋体"/>
          <w:bCs/>
          <w:szCs w:val="28"/>
          <w:lang w:bidi="ar"/>
        </w:rPr>
        <w:t>设置行进途中器材箱门开启、车门开启声光报警装置</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2.2.3驾驶室可电动翻转，带线控功能，密闭良好，座椅坐垫宽度≥400mm、坐垫深度≥400mm、前后排座椅距离≥650mm，座椅材质为防割耐磨材料，</w:t>
      </w:r>
      <w:r>
        <w:rPr>
          <w:rFonts w:hint="eastAsia" w:ascii="宋体" w:hAnsi="宋体" w:cs="宋体"/>
          <w:bCs/>
          <w:szCs w:val="28"/>
          <w:lang w:bidi="ar"/>
        </w:rPr>
        <w:t>驾乘人员座位均采用三点式安全带；电动升降玻璃</w:t>
      </w:r>
      <w:r>
        <w:rPr>
          <w:rFonts w:hint="eastAsia" w:ascii="宋体" w:hAnsi="宋体" w:cs="宋体"/>
          <w:szCs w:val="28"/>
        </w:rPr>
        <w:t>；车内设置冷暖空调，收音机带USB接口；</w:t>
      </w:r>
    </w:p>
    <w:p>
      <w:pPr>
        <w:spacing w:line="576" w:lineRule="exact"/>
        <w:ind w:firstLine="560"/>
        <w:rPr>
          <w:rFonts w:ascii="宋体" w:hAnsi="宋体" w:cs="宋体"/>
          <w:szCs w:val="28"/>
        </w:rPr>
      </w:pPr>
      <w:r>
        <w:rPr>
          <w:rFonts w:hint="eastAsia" w:ascii="宋体" w:hAnsi="宋体" w:cs="宋体"/>
          <w:szCs w:val="28"/>
        </w:rPr>
        <w:t>▲2.2.4</w:t>
      </w:r>
      <w:r>
        <w:rPr>
          <w:rFonts w:hint="eastAsia" w:ascii="宋体" w:hAnsi="宋体" w:cs="宋体"/>
          <w:bCs/>
          <w:szCs w:val="28"/>
          <w:lang w:bidi="ar"/>
        </w:rPr>
        <w:t>配备360°行车记录仪（内存≥128G）、倒车雷达、胎压监测系统等，预留220V逆变电源插口2个，USB插口4个；配备370MHz数字车载台（支持PDT数字集群并需接入山西省370MHz无线通信核心网）</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2.2.5驾驶室内防倾杆及扶手要求：前排驾驶员与后排乘员之间应安装防倾翻杆，采用不锈钢或铝合金材质，表面防滑处理，高度≥500mm，后排驾驶室应安装乘员扶手，能承受100kg的拉力不脱落和断裂，驾驶室内或外侧应设置上下车扶手，便于乘员抓握；</w:t>
      </w:r>
    </w:p>
    <w:p>
      <w:pPr>
        <w:spacing w:line="576" w:lineRule="exact"/>
        <w:ind w:firstLine="560"/>
        <w:rPr>
          <w:rFonts w:ascii="宋体" w:hAnsi="宋体" w:cs="宋体"/>
          <w:szCs w:val="28"/>
        </w:rPr>
      </w:pPr>
      <w:r>
        <w:rPr>
          <w:rFonts w:hint="eastAsia" w:ascii="宋体" w:hAnsi="宋体" w:cs="宋体"/>
          <w:szCs w:val="28"/>
        </w:rPr>
        <w:t>2.2.6</w:t>
      </w:r>
      <w:r>
        <w:rPr>
          <w:rFonts w:hint="eastAsia" w:ascii="宋体" w:hAnsi="宋体" w:cs="宋体"/>
          <w:bCs/>
          <w:szCs w:val="28"/>
          <w:lang w:bidi="ar"/>
        </w:rPr>
        <w:t>驾驶室踏板要求：驾驶室的上下车踏板间距≤270mm，踏板深度≥100mm，踏板间应有水平照度≥5Lx的照明灯，踏板脚踏面应有防滑措施，与地面最近一级的离地距离≤500mm</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2.3</w:t>
      </w:r>
      <w:r>
        <w:rPr>
          <w:rFonts w:hint="eastAsia" w:ascii="宋体" w:hAnsi="宋体" w:cs="宋体"/>
          <w:bCs/>
          <w:szCs w:val="28"/>
          <w:lang w:bidi="ar"/>
        </w:rPr>
        <w:t>取力器：采用比功率相匹配的取力器，驾驶室设有取力器控制开关及指示灯</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▲2.4</w:t>
      </w:r>
      <w:r>
        <w:rPr>
          <w:rFonts w:hint="eastAsia" w:ascii="宋体" w:hAnsi="宋体" w:cs="宋体"/>
          <w:bCs/>
          <w:szCs w:val="28"/>
          <w:lang w:bidi="ar"/>
        </w:rPr>
        <w:t>轮胎：子午线真空钢丝轮胎（包括1个驱动轮同规格、同型号、同品牌备胎）</w:t>
      </w:r>
      <w:r>
        <w:rPr>
          <w:rFonts w:hint="eastAsia" w:ascii="宋体" w:hAnsi="宋体" w:cs="宋体"/>
          <w:szCs w:val="28"/>
        </w:rPr>
        <w:t>；</w:t>
      </w:r>
    </w:p>
    <w:p>
      <w:pPr>
        <w:snapToGrid w:val="0"/>
        <w:spacing w:line="576" w:lineRule="exact"/>
        <w:ind w:firstLine="560"/>
        <w:jc w:val="both"/>
        <w:rPr>
          <w:rFonts w:ascii="宋体" w:hAnsi="宋体" w:cs="宋体"/>
          <w:szCs w:val="28"/>
        </w:rPr>
      </w:pPr>
      <w:r>
        <w:rPr>
          <w:rFonts w:hint="eastAsia" w:ascii="宋体" w:hAnsi="宋体" w:cs="宋体"/>
          <w:szCs w:val="28"/>
        </w:rPr>
        <w:t>▲</w:t>
      </w:r>
      <w:r>
        <w:rPr>
          <w:rFonts w:hint="eastAsia" w:ascii="宋体" w:hAnsi="宋体" w:cs="宋体"/>
          <w:bCs/>
          <w:szCs w:val="28"/>
          <w:lang w:bidi="ar"/>
        </w:rPr>
        <w:t>2.5制动方式：前轮盘式制动器、ABS防抱死制动系统或EBS电控制动系统，装配液力缓速器；</w:t>
      </w:r>
    </w:p>
    <w:p>
      <w:pPr>
        <w:spacing w:line="576" w:lineRule="exact"/>
        <w:ind w:firstLine="560"/>
        <w:rPr>
          <w:rFonts w:ascii="宋体" w:hAnsi="宋体" w:cs="宋体"/>
          <w:szCs w:val="28"/>
        </w:rPr>
      </w:pPr>
      <w:r>
        <w:rPr>
          <w:rFonts w:hint="eastAsia" w:ascii="宋体" w:hAnsi="宋体" w:cs="宋体"/>
          <w:szCs w:val="28"/>
        </w:rPr>
        <w:t>2.6油箱：容积≥200L，金属材质，加装滤网，油箱盖带锁；</w:t>
      </w:r>
    </w:p>
    <w:p>
      <w:pPr>
        <w:spacing w:line="576" w:lineRule="exact"/>
        <w:ind w:firstLine="560"/>
        <w:rPr>
          <w:rFonts w:ascii="宋体" w:hAnsi="宋体" w:cs="宋体"/>
          <w:szCs w:val="28"/>
        </w:rPr>
      </w:pPr>
      <w:r>
        <w:rPr>
          <w:rFonts w:hint="eastAsia" w:ascii="宋体" w:hAnsi="宋体" w:cs="宋体"/>
          <w:szCs w:val="28"/>
        </w:rPr>
        <w:t>2.7配有寒区包适合寒冷地区使用；</w:t>
      </w:r>
    </w:p>
    <w:p>
      <w:pPr>
        <w:spacing w:line="576" w:lineRule="exact"/>
        <w:ind w:firstLine="560"/>
        <w:rPr>
          <w:rFonts w:ascii="宋体" w:hAnsi="宋体" w:cs="宋体"/>
          <w:szCs w:val="28"/>
        </w:rPr>
      </w:pPr>
      <w:r>
        <w:rPr>
          <w:rFonts w:hint="eastAsia" w:ascii="宋体" w:hAnsi="宋体" w:cs="宋体"/>
          <w:szCs w:val="28"/>
        </w:rPr>
        <w:t>2.8</w:t>
      </w:r>
      <w:r>
        <w:rPr>
          <w:rFonts w:hint="eastAsia" w:ascii="宋体" w:hAnsi="宋体" w:cs="宋体"/>
          <w:bCs/>
          <w:szCs w:val="28"/>
          <w:lang w:bidi="ar"/>
        </w:rPr>
        <w:t>底盘必须为车辆采购招标公告发布当年生产的底盘，交车时需提供底盘出厂合格证</w:t>
      </w:r>
      <w:r>
        <w:rPr>
          <w:rFonts w:hint="eastAsia" w:ascii="宋体" w:hAnsi="宋体" w:cs="宋体"/>
          <w:szCs w:val="28"/>
        </w:rPr>
        <w:t>。</w:t>
      </w:r>
    </w:p>
    <w:p>
      <w:pPr>
        <w:spacing w:line="576" w:lineRule="exact"/>
        <w:ind w:firstLine="560"/>
        <w:rPr>
          <w:rFonts w:ascii="宋体" w:hAnsi="宋体" w:cs="宋体"/>
          <w:bCs/>
          <w:szCs w:val="28"/>
        </w:rPr>
      </w:pPr>
      <w:r>
        <w:rPr>
          <w:rFonts w:hint="eastAsia" w:ascii="宋体" w:hAnsi="宋体" w:cs="宋体"/>
          <w:bCs/>
          <w:szCs w:val="28"/>
        </w:rPr>
        <w:t>3.上装要求</w:t>
      </w:r>
    </w:p>
    <w:p>
      <w:pPr>
        <w:spacing w:line="576" w:lineRule="exact"/>
        <w:ind w:firstLine="560"/>
        <w:rPr>
          <w:rFonts w:ascii="宋体" w:hAnsi="宋体" w:cs="宋体"/>
          <w:szCs w:val="28"/>
        </w:rPr>
      </w:pPr>
      <w:r>
        <w:rPr>
          <w:rFonts w:hint="eastAsia" w:ascii="宋体" w:hAnsi="宋体" w:cs="宋体"/>
          <w:szCs w:val="28"/>
        </w:rPr>
        <w:t>3.1照明系统：整车供电照明系统由车载发电机、配电系统、市电接入装置、车厢供电照明系统、移动灯架、LED照明灯等组成；车厢内部各舱室、器材箱设置照明系统，工作台配置工作照明灯，工作台旁边设置220V插座（每侧3个），配备36V安全工作灯；</w:t>
      </w:r>
    </w:p>
    <w:p>
      <w:pPr>
        <w:spacing w:line="576" w:lineRule="exact"/>
        <w:ind w:firstLine="560"/>
        <w:rPr>
          <w:rFonts w:ascii="宋体" w:hAnsi="宋体" w:cs="宋体"/>
          <w:szCs w:val="28"/>
        </w:rPr>
      </w:pPr>
      <w:r>
        <w:rPr>
          <w:rFonts w:hint="eastAsia" w:ascii="宋体" w:hAnsi="宋体" w:cs="宋体"/>
          <w:szCs w:val="28"/>
        </w:rPr>
        <w:t>3.2发电机</w:t>
      </w:r>
    </w:p>
    <w:p>
      <w:pPr>
        <w:spacing w:line="576" w:lineRule="exact"/>
        <w:ind w:firstLine="560"/>
        <w:rPr>
          <w:rFonts w:ascii="宋体" w:hAnsi="宋体" w:cs="宋体"/>
          <w:szCs w:val="28"/>
        </w:rPr>
      </w:pPr>
      <w:r>
        <w:rPr>
          <w:rFonts w:hint="eastAsia" w:ascii="宋体" w:hAnsi="宋体" w:cs="宋体"/>
          <w:szCs w:val="28"/>
        </w:rPr>
        <w:t>3.2.1驱动形式：采用取力器驱动；</w:t>
      </w:r>
    </w:p>
    <w:p>
      <w:pPr>
        <w:spacing w:line="576" w:lineRule="exact"/>
        <w:ind w:firstLine="560"/>
        <w:rPr>
          <w:rFonts w:ascii="宋体" w:hAnsi="宋体" w:cs="宋体"/>
          <w:szCs w:val="28"/>
        </w:rPr>
      </w:pPr>
      <w:r>
        <w:rPr>
          <w:rFonts w:hint="eastAsia" w:ascii="宋体" w:hAnsi="宋体" w:cs="宋体"/>
          <w:szCs w:val="28"/>
        </w:rPr>
        <w:t>▲3.2.2额定功率：≥30kW；</w:t>
      </w:r>
    </w:p>
    <w:p>
      <w:pPr>
        <w:spacing w:line="576" w:lineRule="exact"/>
        <w:ind w:firstLine="560"/>
        <w:rPr>
          <w:rFonts w:ascii="宋体" w:hAnsi="宋体" w:cs="宋体"/>
          <w:szCs w:val="28"/>
        </w:rPr>
      </w:pPr>
      <w:r>
        <w:rPr>
          <w:rFonts w:hint="eastAsia" w:ascii="宋体" w:hAnsi="宋体" w:cs="宋体"/>
          <w:szCs w:val="28"/>
        </w:rPr>
        <w:t>3.2.3额定转速：≥1500r/min；</w:t>
      </w:r>
    </w:p>
    <w:p>
      <w:pPr>
        <w:spacing w:line="576" w:lineRule="exact"/>
        <w:ind w:firstLine="560"/>
        <w:rPr>
          <w:rFonts w:ascii="宋体" w:hAnsi="宋体" w:cs="宋体"/>
          <w:szCs w:val="28"/>
        </w:rPr>
      </w:pPr>
      <w:r>
        <w:rPr>
          <w:rFonts w:hint="eastAsia" w:ascii="宋体" w:hAnsi="宋体" w:cs="宋体"/>
          <w:szCs w:val="28"/>
        </w:rPr>
        <w:t>3.2.4防护等级：≥IP56；</w:t>
      </w:r>
    </w:p>
    <w:p>
      <w:pPr>
        <w:spacing w:line="576" w:lineRule="exact"/>
        <w:ind w:firstLine="560"/>
        <w:rPr>
          <w:rFonts w:ascii="宋体" w:hAnsi="宋体" w:cs="宋体"/>
          <w:szCs w:val="28"/>
        </w:rPr>
      </w:pPr>
      <w:r>
        <w:rPr>
          <w:rFonts w:hint="eastAsia" w:ascii="宋体" w:hAnsi="宋体" w:cs="宋体"/>
          <w:szCs w:val="28"/>
        </w:rPr>
        <w:t>3.2.5配电系统：配电系统与发电机相匹配，输出电压380V和220V交流、可转换24V直流、12V直流，配独立输出插线板；</w:t>
      </w:r>
    </w:p>
    <w:p>
      <w:pPr>
        <w:spacing w:line="576" w:lineRule="exact"/>
        <w:ind w:firstLine="560"/>
        <w:rPr>
          <w:rFonts w:ascii="宋体" w:hAnsi="宋体" w:cs="宋体"/>
          <w:szCs w:val="28"/>
        </w:rPr>
      </w:pPr>
      <w:r>
        <w:rPr>
          <w:rFonts w:hint="eastAsia" w:ascii="宋体" w:hAnsi="宋体" w:cs="宋体"/>
          <w:szCs w:val="28"/>
        </w:rPr>
        <w:t>3.3车载空调系统</w:t>
      </w:r>
    </w:p>
    <w:p>
      <w:pPr>
        <w:spacing w:line="576" w:lineRule="exact"/>
        <w:ind w:firstLine="560"/>
        <w:rPr>
          <w:rFonts w:ascii="宋体" w:hAnsi="宋体" w:cs="宋体"/>
          <w:szCs w:val="28"/>
        </w:rPr>
      </w:pPr>
      <w:r>
        <w:rPr>
          <w:rFonts w:hint="eastAsia" w:ascii="宋体" w:hAnsi="宋体" w:cs="宋体"/>
          <w:szCs w:val="28"/>
        </w:rPr>
        <w:t>3.3.1制冷量：≥4000W；</w:t>
      </w:r>
    </w:p>
    <w:p>
      <w:pPr>
        <w:spacing w:line="576" w:lineRule="exact"/>
        <w:ind w:firstLine="560"/>
        <w:rPr>
          <w:rFonts w:ascii="宋体" w:hAnsi="宋体" w:cs="宋体"/>
          <w:szCs w:val="28"/>
        </w:rPr>
      </w:pPr>
      <w:r>
        <w:rPr>
          <w:rFonts w:hint="eastAsia" w:ascii="宋体" w:hAnsi="宋体" w:cs="宋体"/>
          <w:szCs w:val="28"/>
        </w:rPr>
        <w:t>3.3.2制热量：≥3000W；</w:t>
      </w:r>
    </w:p>
    <w:p>
      <w:pPr>
        <w:spacing w:line="576" w:lineRule="exact"/>
        <w:ind w:firstLine="560"/>
        <w:rPr>
          <w:rFonts w:ascii="宋体" w:hAnsi="宋体" w:cs="宋体"/>
          <w:szCs w:val="28"/>
        </w:rPr>
      </w:pPr>
      <w:r>
        <w:rPr>
          <w:rFonts w:hint="eastAsia" w:ascii="宋体" w:hAnsi="宋体" w:cs="宋体"/>
          <w:szCs w:val="28"/>
        </w:rPr>
        <w:t>3.3.3额定工作电压：220V；</w:t>
      </w:r>
    </w:p>
    <w:p>
      <w:pPr>
        <w:spacing w:line="576" w:lineRule="exact"/>
        <w:ind w:firstLine="560"/>
        <w:rPr>
          <w:rFonts w:ascii="宋体" w:hAnsi="宋体" w:cs="宋体"/>
          <w:szCs w:val="28"/>
        </w:rPr>
      </w:pPr>
      <w:r>
        <w:rPr>
          <w:rFonts w:hint="eastAsia" w:ascii="宋体" w:hAnsi="宋体" w:cs="宋体"/>
          <w:szCs w:val="28"/>
        </w:rPr>
        <w:t>3.3.4数量：≥1个；</w:t>
      </w:r>
    </w:p>
    <w:p>
      <w:pPr>
        <w:spacing w:line="576" w:lineRule="exact"/>
        <w:ind w:firstLine="560"/>
        <w:rPr>
          <w:rFonts w:ascii="宋体" w:hAnsi="宋体" w:cs="宋体"/>
          <w:szCs w:val="28"/>
        </w:rPr>
      </w:pPr>
      <w:r>
        <w:rPr>
          <w:rFonts w:hint="eastAsia" w:ascii="宋体" w:hAnsi="宋体" w:cs="宋体"/>
          <w:szCs w:val="28"/>
        </w:rPr>
        <w:t>3.4车窗及车门</w:t>
      </w:r>
    </w:p>
    <w:p>
      <w:pPr>
        <w:spacing w:line="576" w:lineRule="exact"/>
        <w:ind w:firstLine="560"/>
        <w:rPr>
          <w:rFonts w:ascii="宋体" w:hAnsi="宋体" w:cs="宋体"/>
          <w:szCs w:val="28"/>
        </w:rPr>
      </w:pPr>
      <w:r>
        <w:rPr>
          <w:rFonts w:hint="eastAsia" w:ascii="宋体" w:hAnsi="宋体" w:cs="宋体"/>
          <w:szCs w:val="28"/>
        </w:rPr>
        <w:t>3.4.1天窗有效开启空间：≥600mm×400mm；</w:t>
      </w:r>
    </w:p>
    <w:p>
      <w:pPr>
        <w:spacing w:line="576" w:lineRule="exact"/>
        <w:ind w:firstLine="560"/>
        <w:rPr>
          <w:rFonts w:ascii="宋体" w:hAnsi="宋体" w:cs="宋体"/>
          <w:szCs w:val="28"/>
        </w:rPr>
      </w:pPr>
      <w:r>
        <w:rPr>
          <w:rFonts w:hint="eastAsia" w:ascii="宋体" w:hAnsi="宋体" w:cs="宋体"/>
          <w:szCs w:val="28"/>
        </w:rPr>
        <w:t>3.4.2侧窗数量：≥7个；</w:t>
      </w:r>
    </w:p>
    <w:p>
      <w:pPr>
        <w:spacing w:line="576" w:lineRule="exact"/>
        <w:ind w:firstLine="560"/>
        <w:rPr>
          <w:rFonts w:ascii="宋体" w:hAnsi="宋体" w:cs="宋体"/>
          <w:szCs w:val="28"/>
        </w:rPr>
      </w:pPr>
      <w:r>
        <w:rPr>
          <w:rFonts w:hint="eastAsia" w:ascii="宋体" w:hAnsi="宋体" w:cs="宋体"/>
          <w:szCs w:val="28"/>
        </w:rPr>
        <w:t>3.4.3通风面积：≥3㎡；</w:t>
      </w:r>
    </w:p>
    <w:p>
      <w:pPr>
        <w:spacing w:line="576" w:lineRule="exact"/>
        <w:ind w:firstLine="560"/>
        <w:rPr>
          <w:rFonts w:ascii="宋体" w:hAnsi="宋体" w:cs="宋体"/>
          <w:szCs w:val="28"/>
        </w:rPr>
      </w:pPr>
      <w:r>
        <w:rPr>
          <w:rFonts w:hint="eastAsia" w:ascii="宋体" w:hAnsi="宋体" w:cs="宋体"/>
          <w:szCs w:val="28"/>
        </w:rPr>
        <w:t>3.4.4窗上下开启角度：≥60°；</w:t>
      </w:r>
    </w:p>
    <w:p>
      <w:pPr>
        <w:spacing w:line="576" w:lineRule="exact"/>
        <w:ind w:firstLine="560"/>
        <w:rPr>
          <w:rFonts w:ascii="宋体" w:hAnsi="宋体" w:cs="宋体"/>
          <w:szCs w:val="28"/>
        </w:rPr>
      </w:pPr>
      <w:r>
        <w:rPr>
          <w:rFonts w:hint="eastAsia" w:ascii="宋体" w:hAnsi="宋体" w:cs="宋体"/>
          <w:szCs w:val="28"/>
        </w:rPr>
        <w:t>3.4.5车门形式：自动平移或折叠式；</w:t>
      </w:r>
    </w:p>
    <w:p>
      <w:pPr>
        <w:spacing w:line="576" w:lineRule="exact"/>
        <w:ind w:firstLine="560"/>
        <w:rPr>
          <w:rFonts w:ascii="宋体" w:hAnsi="宋体" w:cs="宋体"/>
          <w:szCs w:val="28"/>
        </w:rPr>
      </w:pPr>
      <w:r>
        <w:rPr>
          <w:rFonts w:hint="eastAsia" w:ascii="宋体" w:hAnsi="宋体" w:cs="宋体"/>
          <w:szCs w:val="28"/>
        </w:rPr>
        <w:t>3.5空气压缩机</w:t>
      </w:r>
    </w:p>
    <w:p>
      <w:pPr>
        <w:spacing w:line="576" w:lineRule="exact"/>
        <w:ind w:firstLine="560"/>
        <w:rPr>
          <w:rFonts w:ascii="宋体" w:hAnsi="宋体" w:cs="宋体"/>
          <w:szCs w:val="28"/>
        </w:rPr>
      </w:pPr>
      <w:r>
        <w:rPr>
          <w:rFonts w:hint="eastAsia" w:ascii="宋体" w:hAnsi="宋体" w:cs="宋体"/>
          <w:szCs w:val="28"/>
        </w:rPr>
        <w:t>▲3.5.1进口；</w:t>
      </w:r>
    </w:p>
    <w:p>
      <w:pPr>
        <w:spacing w:line="576" w:lineRule="exact"/>
        <w:ind w:firstLine="560"/>
        <w:rPr>
          <w:rFonts w:ascii="宋体" w:hAnsi="宋体" w:cs="宋体"/>
          <w:szCs w:val="28"/>
        </w:rPr>
      </w:pPr>
      <w:r>
        <w:rPr>
          <w:rFonts w:hint="eastAsia" w:ascii="宋体" w:hAnsi="宋体" w:cs="宋体"/>
          <w:szCs w:val="28"/>
        </w:rPr>
        <w:t>3.5.2系统组成：活塞式空气压缩机，过滤器，储气罐等组成；</w:t>
      </w:r>
    </w:p>
    <w:p>
      <w:pPr>
        <w:spacing w:line="576" w:lineRule="exact"/>
        <w:ind w:firstLine="560"/>
        <w:rPr>
          <w:rFonts w:ascii="宋体" w:hAnsi="宋体" w:cs="宋体"/>
          <w:szCs w:val="28"/>
        </w:rPr>
      </w:pPr>
      <w:r>
        <w:rPr>
          <w:rFonts w:hint="eastAsia" w:ascii="宋体" w:hAnsi="宋体" w:cs="宋体"/>
          <w:szCs w:val="28"/>
        </w:rPr>
        <w:t>3.5.3冷却形式：空气冷却；</w:t>
      </w:r>
    </w:p>
    <w:p>
      <w:pPr>
        <w:spacing w:line="576" w:lineRule="exact"/>
        <w:ind w:firstLine="560"/>
        <w:rPr>
          <w:rFonts w:ascii="宋体" w:hAnsi="宋体" w:cs="宋体"/>
          <w:szCs w:val="28"/>
        </w:rPr>
      </w:pPr>
      <w:r>
        <w:rPr>
          <w:rFonts w:hint="eastAsia" w:ascii="宋体" w:hAnsi="宋体" w:cs="宋体"/>
          <w:szCs w:val="28"/>
        </w:rPr>
        <w:t>▲3.5.4排气量：≥480L/min；</w:t>
      </w:r>
    </w:p>
    <w:p>
      <w:pPr>
        <w:spacing w:line="576" w:lineRule="exact"/>
        <w:ind w:firstLine="560"/>
        <w:rPr>
          <w:rFonts w:ascii="宋体" w:hAnsi="宋体" w:cs="宋体"/>
          <w:szCs w:val="28"/>
        </w:rPr>
      </w:pPr>
      <w:r>
        <w:rPr>
          <w:rFonts w:hint="eastAsia" w:ascii="宋体" w:hAnsi="宋体" w:cs="宋体"/>
          <w:szCs w:val="28"/>
        </w:rPr>
        <w:t>▲3.5.5气罐容量：≥150L；</w:t>
      </w:r>
    </w:p>
    <w:p>
      <w:pPr>
        <w:spacing w:line="576" w:lineRule="exact"/>
        <w:ind w:firstLine="560"/>
        <w:rPr>
          <w:rFonts w:ascii="宋体" w:hAnsi="宋体" w:cs="宋体"/>
          <w:szCs w:val="28"/>
        </w:rPr>
      </w:pPr>
      <w:r>
        <w:rPr>
          <w:rFonts w:hint="eastAsia" w:ascii="宋体" w:hAnsi="宋体" w:cs="宋体"/>
          <w:szCs w:val="28"/>
        </w:rPr>
        <w:t>3.5.6可同时充罐数量：≥1个；</w:t>
      </w:r>
    </w:p>
    <w:p>
      <w:pPr>
        <w:spacing w:line="576" w:lineRule="exact"/>
        <w:ind w:firstLine="560"/>
        <w:rPr>
          <w:rFonts w:ascii="宋体" w:hAnsi="宋体" w:cs="宋体"/>
          <w:szCs w:val="28"/>
        </w:rPr>
      </w:pPr>
      <w:r>
        <w:rPr>
          <w:rFonts w:hint="eastAsia" w:ascii="宋体" w:hAnsi="宋体" w:cs="宋体"/>
          <w:szCs w:val="28"/>
        </w:rPr>
        <w:t>3.5.7充满一只罐的时间：≤90s；</w:t>
      </w:r>
    </w:p>
    <w:p>
      <w:pPr>
        <w:spacing w:line="576" w:lineRule="exact"/>
        <w:ind w:firstLine="560"/>
        <w:rPr>
          <w:rFonts w:ascii="宋体" w:hAnsi="宋体" w:eastAsia="宋体" w:cs="宋体"/>
          <w:sz w:val="28"/>
          <w:szCs w:val="28"/>
          <w:lang w:val="en-US"/>
        </w:rPr>
      </w:pPr>
      <w:r>
        <w:rPr>
          <w:rFonts w:hint="eastAsia" w:ascii="宋体" w:hAnsi="宋体" w:eastAsia="宋体" w:cs="宋体"/>
          <w:sz w:val="28"/>
          <w:szCs w:val="28"/>
          <w:lang w:val="en-US"/>
        </w:rPr>
        <w:t>3.5.8布置于厢体前端中部；</w:t>
      </w:r>
    </w:p>
    <w:p>
      <w:pPr>
        <w:spacing w:line="576" w:lineRule="exact"/>
        <w:ind w:firstLine="560"/>
        <w:rPr>
          <w:rFonts w:ascii="宋体" w:hAnsi="宋体" w:cs="宋体"/>
          <w:szCs w:val="28"/>
        </w:rPr>
      </w:pPr>
      <w:r>
        <w:rPr>
          <w:rFonts w:hint="eastAsia" w:ascii="宋体" w:hAnsi="宋体" w:cs="宋体"/>
          <w:szCs w:val="28"/>
        </w:rPr>
        <w:t>3.6液压尾板</w:t>
      </w:r>
    </w:p>
    <w:p>
      <w:pPr>
        <w:spacing w:line="576" w:lineRule="exact"/>
        <w:ind w:firstLine="560"/>
        <w:rPr>
          <w:rFonts w:ascii="宋体" w:hAnsi="宋体" w:cs="宋体"/>
          <w:szCs w:val="28"/>
        </w:rPr>
      </w:pPr>
      <w:r>
        <w:rPr>
          <w:rFonts w:hint="eastAsia" w:ascii="宋体" w:hAnsi="宋体" w:cs="宋体"/>
          <w:szCs w:val="28"/>
        </w:rPr>
        <w:t>3.6.1驱动形式：电动液压驱动；</w:t>
      </w:r>
    </w:p>
    <w:p>
      <w:pPr>
        <w:spacing w:line="576" w:lineRule="exact"/>
        <w:ind w:firstLine="560"/>
        <w:rPr>
          <w:rFonts w:ascii="宋体" w:hAnsi="宋体" w:cs="宋体"/>
          <w:szCs w:val="28"/>
        </w:rPr>
      </w:pPr>
      <w:r>
        <w:rPr>
          <w:rFonts w:hint="eastAsia" w:ascii="宋体" w:hAnsi="宋体" w:cs="宋体"/>
          <w:szCs w:val="28"/>
        </w:rPr>
        <w:t>3.6.2面板：钢板或铝合金板，具体尺寸根据车厢定制；</w:t>
      </w:r>
    </w:p>
    <w:p>
      <w:pPr>
        <w:spacing w:line="576" w:lineRule="exact"/>
        <w:ind w:firstLine="560"/>
        <w:rPr>
          <w:rFonts w:ascii="宋体" w:hAnsi="宋体" w:cs="宋体"/>
          <w:szCs w:val="28"/>
        </w:rPr>
      </w:pPr>
      <w:r>
        <w:rPr>
          <w:rFonts w:hint="eastAsia" w:ascii="宋体" w:hAnsi="宋体" w:cs="宋体"/>
          <w:szCs w:val="28"/>
        </w:rPr>
        <w:t>★3.6.3额定载重：≥2000kg；</w:t>
      </w:r>
    </w:p>
    <w:p>
      <w:pPr>
        <w:spacing w:line="576" w:lineRule="exact"/>
        <w:ind w:firstLine="560"/>
        <w:rPr>
          <w:rFonts w:ascii="宋体" w:hAnsi="宋体" w:cs="宋体"/>
          <w:szCs w:val="28"/>
        </w:rPr>
      </w:pPr>
      <w:r>
        <w:rPr>
          <w:rFonts w:hint="eastAsia" w:ascii="宋体" w:hAnsi="宋体" w:cs="宋体"/>
          <w:szCs w:val="28"/>
        </w:rPr>
        <w:t>3.6.4最大举升高度：与车尾内平面平齐。</w:t>
      </w:r>
    </w:p>
    <w:p>
      <w:pPr>
        <w:spacing w:line="576" w:lineRule="exact"/>
        <w:ind w:firstLine="560"/>
        <w:rPr>
          <w:rFonts w:ascii="宋体" w:hAnsi="宋体" w:cs="宋体"/>
          <w:szCs w:val="28"/>
        </w:rPr>
      </w:pPr>
      <w:r>
        <w:rPr>
          <w:rFonts w:hint="eastAsia" w:ascii="宋体" w:hAnsi="宋体" w:cs="宋体"/>
          <w:szCs w:val="28"/>
        </w:rPr>
        <w:t>3.6.5安装位置：车辆尾部；</w:t>
      </w:r>
    </w:p>
    <w:p>
      <w:pPr>
        <w:spacing w:line="576" w:lineRule="exact"/>
        <w:ind w:firstLine="560"/>
        <w:rPr>
          <w:rFonts w:ascii="宋体" w:hAnsi="宋体" w:cs="宋体"/>
          <w:szCs w:val="28"/>
        </w:rPr>
      </w:pPr>
      <w:r>
        <w:rPr>
          <w:rFonts w:hint="eastAsia" w:ascii="宋体" w:hAnsi="宋体" w:cs="宋体"/>
          <w:szCs w:val="28"/>
        </w:rPr>
        <w:t>3.6.6操作方式：有线控制；</w:t>
      </w:r>
    </w:p>
    <w:p>
      <w:pPr>
        <w:spacing w:line="576" w:lineRule="exact"/>
        <w:ind w:firstLine="560"/>
        <w:rPr>
          <w:rFonts w:ascii="宋体" w:hAnsi="宋体" w:cs="宋体"/>
          <w:szCs w:val="28"/>
        </w:rPr>
      </w:pPr>
      <w:r>
        <w:rPr>
          <w:rFonts w:hint="eastAsia" w:ascii="宋体" w:hAnsi="宋体" w:cs="宋体"/>
          <w:szCs w:val="28"/>
        </w:rPr>
        <w:t>3.7器材箱</w:t>
      </w:r>
    </w:p>
    <w:p>
      <w:pPr>
        <w:spacing w:line="576" w:lineRule="exact"/>
        <w:ind w:firstLine="560"/>
        <w:rPr>
          <w:rFonts w:ascii="宋体" w:hAnsi="宋体" w:cs="宋体"/>
          <w:szCs w:val="28"/>
        </w:rPr>
      </w:pPr>
      <w:r>
        <w:rPr>
          <w:rFonts w:hint="eastAsia" w:ascii="宋体" w:hAnsi="宋体" w:cs="宋体"/>
          <w:szCs w:val="28"/>
        </w:rPr>
        <w:t>3.7.1结构：</w:t>
      </w:r>
      <w:r>
        <w:rPr>
          <w:rFonts w:hint="eastAsia" w:ascii="宋体" w:hAnsi="宋体" w:cs="宋体"/>
          <w:bCs/>
          <w:szCs w:val="28"/>
          <w:lang w:bidi="ar"/>
        </w:rPr>
        <w:t>内装饰、隔板、地板均为3mm及以上铝合金板材（或优于该设计），轻质防腐铝合金结构，表面作阳极氧化处理。铝合金板材通过具有弹性、高粘接强度的进口连接密封胶与主结构相联，同时用铆钉紧密固定，并可根据需要随意调节每层高度，且做好防锈、防滑处理，保证安装简单、维修方便、固定牢靠、振动小，噪声低。器材箱应设置排雨水孔槽</w:t>
      </w:r>
      <w:r>
        <w:rPr>
          <w:rFonts w:hint="eastAsia" w:ascii="宋体" w:hAnsi="宋体" w:cs="宋体"/>
          <w:szCs w:val="28"/>
        </w:rPr>
        <w:t>；</w:t>
      </w:r>
    </w:p>
    <w:p>
      <w:pPr>
        <w:spacing w:line="576" w:lineRule="exact"/>
        <w:ind w:firstLine="560"/>
        <w:rPr>
          <w:rFonts w:ascii="宋体" w:hAnsi="宋体" w:cs="宋体"/>
          <w:szCs w:val="28"/>
        </w:rPr>
      </w:pPr>
      <w:r>
        <w:rPr>
          <w:rFonts w:hint="eastAsia" w:ascii="宋体" w:hAnsi="宋体" w:cs="宋体"/>
          <w:szCs w:val="28"/>
        </w:rPr>
        <w:t>▲3.7.2分区设计：由工具配件区、维修作业区、设备区和油品区等组成；</w:t>
      </w:r>
    </w:p>
    <w:p>
      <w:pPr>
        <w:spacing w:line="576" w:lineRule="exact"/>
        <w:ind w:firstLine="560"/>
        <w:rPr>
          <w:rFonts w:ascii="宋体" w:hAnsi="宋体" w:cs="宋体"/>
          <w:szCs w:val="28"/>
        </w:rPr>
      </w:pPr>
      <w:r>
        <w:rPr>
          <w:rFonts w:hint="eastAsia" w:ascii="宋体" w:hAnsi="宋体" w:cs="宋体"/>
          <w:szCs w:val="28"/>
        </w:rPr>
        <w:t>3.7.3工具配件区：设置配件架（配箱）、工具架及抽屉，工具架及抽屉架，根据配备工具大小规格合理设计,布置于箱体两侧前部；</w:t>
      </w:r>
    </w:p>
    <w:p>
      <w:pPr>
        <w:spacing w:line="576" w:lineRule="exact"/>
        <w:ind w:firstLine="560"/>
        <w:rPr>
          <w:rFonts w:ascii="宋体" w:hAnsi="宋体" w:cs="宋体"/>
          <w:szCs w:val="28"/>
        </w:rPr>
      </w:pPr>
      <w:r>
        <w:rPr>
          <w:rFonts w:hint="eastAsia" w:ascii="宋体" w:hAnsi="宋体" w:cs="宋体"/>
          <w:szCs w:val="28"/>
        </w:rPr>
        <w:t>3.7.4维修作业区：设置维修工作台及工作椅，根据配备工具大小规格合理设计，布置于厢体左侧中后部；</w:t>
      </w:r>
    </w:p>
    <w:p>
      <w:pPr>
        <w:spacing w:line="576" w:lineRule="exact"/>
        <w:ind w:firstLine="560"/>
        <w:rPr>
          <w:rFonts w:ascii="宋体" w:hAnsi="宋体" w:cs="宋体"/>
          <w:szCs w:val="28"/>
        </w:rPr>
      </w:pPr>
      <w:r>
        <w:rPr>
          <w:rFonts w:hint="eastAsia" w:ascii="宋体" w:hAnsi="宋体" w:cs="宋体"/>
          <w:szCs w:val="28"/>
        </w:rPr>
        <w:t>3.7.5设备区：根据设备尺寸合理设计。设备及重型工具舱主要安装或放置启动充电机（含蓄电池搭电线）、逆变手提式电焊机、电动加油泵（含流量枪）、手动葫芦、大风炮（含气管）、小风炮（含气管）、重型套筒、气动千斤顶、立式千斤顶、气动黄油枪、台钻、台钳、卷线器、拖车带、折叠工作台等（放置器材种类以器材清单为准）。设备及重型工具舱均装有门锁，布置于厢体右侧中后部；</w:t>
      </w:r>
    </w:p>
    <w:p>
      <w:pPr>
        <w:spacing w:line="576" w:lineRule="exact"/>
        <w:ind w:firstLine="560"/>
        <w:rPr>
          <w:rFonts w:ascii="宋体" w:hAnsi="宋体" w:cs="宋体"/>
          <w:szCs w:val="28"/>
        </w:rPr>
      </w:pPr>
      <w:r>
        <w:rPr>
          <w:rFonts w:hint="eastAsia" w:ascii="宋体" w:hAnsi="宋体" w:cs="宋体"/>
          <w:szCs w:val="28"/>
        </w:rPr>
        <w:t>3.7.6油品区：可放置各种类型润滑油品或液压油品等，固定牢固，布置于车厢两侧尾部；</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3.8器材箱设置要求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3.8.1按战斗编成和战斗展开设计器材集成、分区存放；</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3.8.2按人体工程学原理设计各种器材托架；</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3.8.3按使用逻辑关系和使用频率放置器材；</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3.8.4站在地面或踏板上1-2个动作内取用任何器材；</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3.8.5使用防锈、防振、防脱落、防划伤的专用夹具；</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3.8.6所有器材都需合理固定；</w:t>
      </w:r>
    </w:p>
    <w:p>
      <w:pPr>
        <w:spacing w:line="576" w:lineRule="exact"/>
        <w:ind w:firstLine="560"/>
        <w:rPr>
          <w:rFonts w:ascii="宋体" w:hAnsi="宋体" w:eastAsia="宋体" w:cs="宋体"/>
          <w:bCs/>
          <w:sz w:val="28"/>
          <w:szCs w:val="28"/>
          <w:lang w:val="en-US" w:bidi="ar"/>
        </w:rPr>
      </w:pPr>
      <w:r>
        <w:rPr>
          <w:rFonts w:hint="eastAsia" w:ascii="宋体" w:hAnsi="宋体" w:eastAsia="宋体" w:cs="宋体"/>
          <w:bCs/>
          <w:sz w:val="28"/>
          <w:szCs w:val="28"/>
          <w:lang w:val="en-US" w:bidi="ar"/>
        </w:rPr>
        <w:t>3.8.7器材箱设计方案需根据采购方要求进行确定；</w:t>
      </w:r>
    </w:p>
    <w:p>
      <w:pPr>
        <w:snapToGrid w:val="0"/>
        <w:spacing w:line="576" w:lineRule="exact"/>
        <w:ind w:firstLine="560"/>
        <w:jc w:val="both"/>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3.9自动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rPr>
          <w:rFonts w:ascii="宋体" w:hAnsi="宋体" w:eastAsia="宋体" w:cs="宋体"/>
          <w:sz w:val="28"/>
          <w:szCs w:val="28"/>
          <w:lang w:val="en-US"/>
        </w:rPr>
      </w:pPr>
      <w:r>
        <w:rPr>
          <w:rFonts w:hint="eastAsia" w:ascii="宋体" w:hAnsi="宋体" w:eastAsia="宋体" w:cs="宋体"/>
          <w:bCs/>
          <w:sz w:val="28"/>
          <w:szCs w:val="28"/>
          <w:lang w:val="en-US" w:bidi="ar"/>
        </w:rPr>
        <w:t>3.10驾乘室顶部安装红色长排警灯，功率≥100W报警器、警灯控制器；乘员室、操纵仪表板等处须安装LED照明灯；器材箱合理安装LED灯带，所有外置车灯、灯具均须加装防护罩。</w:t>
      </w:r>
    </w:p>
    <w:p>
      <w:pPr>
        <w:spacing w:line="576" w:lineRule="exact"/>
        <w:ind w:firstLine="560"/>
        <w:rPr>
          <w:rFonts w:ascii="宋体" w:hAnsi="宋体" w:cs="宋体"/>
          <w:bCs/>
          <w:szCs w:val="28"/>
        </w:rPr>
      </w:pPr>
      <w:r>
        <w:rPr>
          <w:rFonts w:hint="eastAsia" w:ascii="宋体" w:hAnsi="宋体" w:cs="宋体"/>
          <w:bCs/>
          <w:szCs w:val="28"/>
        </w:rPr>
        <w:t>4.随车附件</w:t>
      </w:r>
    </w:p>
    <w:p>
      <w:pPr>
        <w:spacing w:line="576" w:lineRule="exact"/>
        <w:ind w:firstLine="560"/>
        <w:rPr>
          <w:rFonts w:ascii="宋体" w:hAnsi="宋体" w:cs="宋体"/>
          <w:szCs w:val="28"/>
        </w:rPr>
      </w:pPr>
      <w:r>
        <w:rPr>
          <w:rFonts w:hint="eastAsia" w:ascii="宋体" w:hAnsi="宋体" w:cs="宋体"/>
          <w:szCs w:val="28"/>
        </w:rPr>
        <w:t>4.1随车文件（中文）；</w:t>
      </w:r>
    </w:p>
    <w:p>
      <w:pPr>
        <w:spacing w:line="576" w:lineRule="exact"/>
        <w:ind w:firstLine="560"/>
        <w:rPr>
          <w:rFonts w:ascii="宋体" w:hAnsi="宋体" w:cs="宋体"/>
          <w:szCs w:val="28"/>
        </w:rPr>
      </w:pPr>
      <w:r>
        <w:rPr>
          <w:rFonts w:hint="eastAsia" w:ascii="宋体" w:hAnsi="宋体" w:cs="宋体"/>
          <w:szCs w:val="28"/>
        </w:rPr>
        <w:t>4.2底盘使用、维护说明书（3份）；</w:t>
      </w:r>
    </w:p>
    <w:p>
      <w:pPr>
        <w:spacing w:line="576" w:lineRule="exact"/>
        <w:ind w:firstLine="560"/>
        <w:rPr>
          <w:rFonts w:ascii="宋体" w:hAnsi="宋体" w:cs="宋体"/>
          <w:szCs w:val="28"/>
        </w:rPr>
      </w:pPr>
      <w:r>
        <w:rPr>
          <w:rFonts w:hint="eastAsia" w:ascii="宋体" w:hAnsi="宋体" w:cs="宋体"/>
          <w:szCs w:val="28"/>
        </w:rPr>
        <w:t>4.3底盘质量保修卡、合格证（1份）；</w:t>
      </w:r>
    </w:p>
    <w:p>
      <w:pPr>
        <w:spacing w:line="576" w:lineRule="exact"/>
        <w:ind w:firstLine="560"/>
        <w:rPr>
          <w:rFonts w:ascii="宋体" w:hAnsi="宋体" w:cs="宋体"/>
          <w:szCs w:val="28"/>
        </w:rPr>
      </w:pPr>
      <w:r>
        <w:rPr>
          <w:rFonts w:hint="eastAsia" w:ascii="宋体" w:hAnsi="宋体" w:cs="宋体"/>
          <w:szCs w:val="28"/>
        </w:rPr>
        <w:t>4.4底盘维修手册（1份）；</w:t>
      </w:r>
    </w:p>
    <w:p>
      <w:pPr>
        <w:spacing w:line="576" w:lineRule="exact"/>
        <w:ind w:firstLine="560"/>
        <w:rPr>
          <w:rFonts w:ascii="宋体" w:hAnsi="宋体" w:cs="宋体"/>
          <w:szCs w:val="28"/>
        </w:rPr>
      </w:pPr>
      <w:r>
        <w:rPr>
          <w:rFonts w:hint="eastAsia" w:ascii="宋体" w:hAnsi="宋体" w:cs="宋体"/>
          <w:szCs w:val="28"/>
        </w:rPr>
        <w:t>4.5底盘改装手册（1份）；</w:t>
      </w:r>
    </w:p>
    <w:p>
      <w:pPr>
        <w:spacing w:line="576" w:lineRule="exact"/>
        <w:ind w:firstLine="560"/>
        <w:rPr>
          <w:rFonts w:ascii="宋体" w:hAnsi="宋体" w:cs="宋体"/>
          <w:szCs w:val="28"/>
        </w:rPr>
      </w:pPr>
      <w:r>
        <w:rPr>
          <w:rFonts w:hint="eastAsia" w:ascii="宋体" w:hAnsi="宋体" w:cs="宋体"/>
          <w:szCs w:val="28"/>
        </w:rPr>
        <w:t>4.6底盘电气原理图（1份）；</w:t>
      </w:r>
    </w:p>
    <w:p>
      <w:pPr>
        <w:spacing w:line="576" w:lineRule="exact"/>
        <w:ind w:firstLine="560"/>
        <w:rPr>
          <w:rFonts w:ascii="宋体" w:hAnsi="宋体" w:cs="宋体"/>
          <w:szCs w:val="28"/>
        </w:rPr>
      </w:pPr>
      <w:r>
        <w:rPr>
          <w:rFonts w:hint="eastAsia" w:ascii="宋体" w:hAnsi="宋体" w:cs="宋体"/>
          <w:szCs w:val="28"/>
        </w:rPr>
        <w:t>4.7底盘零件目录图册（2份）；</w:t>
      </w:r>
    </w:p>
    <w:p>
      <w:pPr>
        <w:spacing w:line="576" w:lineRule="exact"/>
        <w:ind w:firstLine="560"/>
        <w:rPr>
          <w:rFonts w:ascii="宋体" w:hAnsi="宋体" w:cs="宋体"/>
          <w:szCs w:val="28"/>
        </w:rPr>
      </w:pPr>
      <w:r>
        <w:rPr>
          <w:rFonts w:hint="eastAsia" w:ascii="宋体" w:hAnsi="宋体" w:cs="宋体"/>
          <w:szCs w:val="28"/>
        </w:rPr>
        <w:t>4.8底盘厂家提供的底盘随车配件清单（1份）；</w:t>
      </w:r>
    </w:p>
    <w:p>
      <w:pPr>
        <w:spacing w:line="576" w:lineRule="exact"/>
        <w:ind w:firstLine="560"/>
        <w:rPr>
          <w:rFonts w:ascii="宋体" w:hAnsi="宋体" w:cs="宋体"/>
          <w:szCs w:val="28"/>
        </w:rPr>
      </w:pPr>
      <w:r>
        <w:rPr>
          <w:rFonts w:hint="eastAsia" w:ascii="宋体" w:hAnsi="宋体" w:cs="宋体"/>
          <w:szCs w:val="28"/>
        </w:rPr>
        <w:t>4.9车辆整车合格证（1份）；</w:t>
      </w:r>
    </w:p>
    <w:p>
      <w:pPr>
        <w:spacing w:line="576" w:lineRule="exact"/>
        <w:ind w:firstLine="560"/>
        <w:rPr>
          <w:rFonts w:ascii="宋体" w:hAnsi="宋体" w:cs="宋体"/>
          <w:szCs w:val="28"/>
        </w:rPr>
      </w:pPr>
      <w:r>
        <w:rPr>
          <w:rFonts w:hint="eastAsia" w:ascii="宋体" w:hAnsi="宋体" w:cs="宋体"/>
          <w:szCs w:val="28"/>
        </w:rPr>
        <w:t>4.10上装操作使用说明书（附零部件结构图和技术资料，生产厂商联系方式及地址），配操作演示示范光盘（3份、电子版1份）；</w:t>
      </w:r>
    </w:p>
    <w:p>
      <w:pPr>
        <w:spacing w:line="576" w:lineRule="exact"/>
        <w:ind w:firstLine="560"/>
        <w:rPr>
          <w:rFonts w:ascii="宋体" w:hAnsi="宋体" w:cs="宋体"/>
          <w:szCs w:val="28"/>
        </w:rPr>
      </w:pPr>
      <w:r>
        <w:rPr>
          <w:rFonts w:hint="eastAsia" w:ascii="宋体" w:hAnsi="宋体" w:cs="宋体"/>
          <w:szCs w:val="28"/>
        </w:rPr>
        <w:t>4.11上装维护保养说明书（附管路系统、气动系统、电路配线图）（3份、电子版1份），上装零配件目录图册（3份）；</w:t>
      </w:r>
    </w:p>
    <w:p>
      <w:pPr>
        <w:spacing w:line="576" w:lineRule="exact"/>
        <w:ind w:firstLine="560"/>
        <w:rPr>
          <w:rFonts w:ascii="宋体" w:hAnsi="宋体" w:cs="宋体"/>
          <w:szCs w:val="28"/>
        </w:rPr>
      </w:pPr>
      <w:r>
        <w:rPr>
          <w:rFonts w:hint="eastAsia" w:ascii="宋体" w:hAnsi="宋体" w:cs="宋体"/>
          <w:szCs w:val="28"/>
        </w:rPr>
        <w:t>4.12随车工具清单、器材清单（1份）；</w:t>
      </w:r>
    </w:p>
    <w:p>
      <w:pPr>
        <w:spacing w:line="576" w:lineRule="exact"/>
        <w:ind w:firstLine="560"/>
        <w:rPr>
          <w:rFonts w:ascii="宋体" w:hAnsi="宋体" w:cs="宋体"/>
          <w:szCs w:val="28"/>
        </w:rPr>
      </w:pPr>
      <w:r>
        <w:rPr>
          <w:rFonts w:hint="eastAsia" w:ascii="宋体" w:hAnsi="宋体" w:cs="宋体"/>
          <w:szCs w:val="28"/>
        </w:rPr>
        <w:t>4.13车架号、发动机号拓印件（2份）；</w:t>
      </w:r>
    </w:p>
    <w:p>
      <w:pPr>
        <w:spacing w:line="576" w:lineRule="exact"/>
        <w:ind w:firstLine="560"/>
        <w:rPr>
          <w:rFonts w:ascii="宋体" w:hAnsi="宋体" w:cs="宋体"/>
          <w:szCs w:val="28"/>
        </w:rPr>
      </w:pPr>
      <w:r>
        <w:rPr>
          <w:rFonts w:hint="eastAsia" w:ascii="宋体" w:hAnsi="宋体" w:cs="宋体"/>
          <w:szCs w:val="28"/>
        </w:rPr>
        <w:t>4.14跟踪服务卡（1份）；</w:t>
      </w:r>
    </w:p>
    <w:p>
      <w:pPr>
        <w:spacing w:line="576" w:lineRule="exact"/>
        <w:ind w:firstLine="560"/>
        <w:rPr>
          <w:rFonts w:ascii="宋体" w:hAnsi="宋体" w:cs="宋体"/>
          <w:szCs w:val="28"/>
        </w:rPr>
      </w:pPr>
      <w:r>
        <w:rPr>
          <w:rFonts w:hint="eastAsia" w:ascii="宋体" w:hAnsi="宋体" w:cs="宋体"/>
          <w:szCs w:val="28"/>
        </w:rPr>
        <w:t>4.15随车免费提供部分底盘和上装、随车设备使用、保养、维修用的配件、必备工具和易损备件（附清单）。</w:t>
      </w:r>
    </w:p>
    <w:p>
      <w:pPr>
        <w:spacing w:line="576" w:lineRule="exact"/>
        <w:ind w:firstLine="560"/>
        <w:rPr>
          <w:rFonts w:ascii="宋体" w:hAnsi="宋体" w:cs="宋体"/>
          <w:bCs/>
          <w:szCs w:val="28"/>
        </w:rPr>
      </w:pPr>
      <w:r>
        <w:rPr>
          <w:rFonts w:hint="eastAsia" w:ascii="宋体" w:hAnsi="宋体" w:cs="宋体"/>
          <w:szCs w:val="28"/>
        </w:rPr>
        <w:t>★</w:t>
      </w:r>
      <w:r>
        <w:rPr>
          <w:rFonts w:hint="eastAsia" w:ascii="宋体" w:hAnsi="宋体" w:cs="宋体"/>
          <w:bCs/>
          <w:szCs w:val="28"/>
        </w:rPr>
        <w:t>5.随车器材（必须包括但不限于以下工具及随车器材）</w:t>
      </w:r>
    </w:p>
    <w:tbl>
      <w:tblPr>
        <w:tblStyle w:val="14"/>
        <w:tblW w:w="8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2470"/>
        <w:gridCol w:w="1393"/>
        <w:gridCol w:w="105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类别</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名称</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数量</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单位</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移动设备</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蓄电池搭电线</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电流≥120A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逆变手提式电焊机</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220V、380V双电压供电，额定频率50HZ/60HZ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电动加油泵+流量枪</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3</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手动葫芦</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1.5t*3m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移动设备</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可编程线性直流电源</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56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移动工作灯架</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手持式工作灯</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3</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56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维修工具</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大风炮</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小风炮</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大风炮管</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卷</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20m，带两边接头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小风炮管</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卷</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20m，带两边接头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重型套筒</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1寸风炮套筒规格：22、24、27、30、32、36、38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气动千斤顶</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起重重量：80/40t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立式千斤顶</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56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手动扒胎工具组</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适用大型车辆轮胎与轮毂的拆装；适用大型车辆轮胎与轮毂的拆装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吹尘枪（气枪）</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把</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气动黄油机</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12L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手动黄油枪</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支</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维修工具</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气动铆钉枪</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工作行程为14mm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手动拉钉枪</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把</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手电钻</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支</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功率550W，转速0-2800rpm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台钻</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最大钻孔直径：13mm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角磨机</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维修工具</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微型打磨机</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1、额定功率：130W</w:t>
            </w:r>
          </w:p>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2、钻速：10000-32000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防水卷线器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50m、380V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普通卷线器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50m，380V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普通卷线器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25m、220V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电工维修套装</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双梅套装</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5.5-32（10把）、32-34（1把）、34-36（1把）、36-41（1把）、41-46（1把）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双开套装</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6-32（13把）、32-34（1把）、34-36（1把）、36-41（1把）、</w:t>
            </w:r>
          </w:p>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41-46（1把）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两用扳手套装</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6-32（23把）、34（1把）、36（1把）、</w:t>
            </w:r>
          </w:p>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38（1把）、41（1把）、46（1把）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扭力扳手</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把</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活动扳手</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把</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最大开口67mm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花匙</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规格：TT10、TT15、TT20、TT25、TT27、TT30、</w:t>
            </w:r>
          </w:p>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TT40、TT45、TT50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六角匙</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规格：1.5、2、2.5、3、4、5、6、8、10mm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大六角匙</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12mm-36mm（12把）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150件组套工具</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三爪拉玛</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10寸（250mm）、6寸（150mm）、4寸（100mm）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维修工具</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二爪拉玛</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10寸（250mm）、6寸（150mm）、4寸（100mm）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凿子套装</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13件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钢丝钳</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把</w:t>
            </w:r>
          </w:p>
        </w:tc>
        <w:tc>
          <w:tcPr>
            <w:tcW w:w="2700" w:type="dxa"/>
            <w:vAlign w:val="center"/>
          </w:tcPr>
          <w:p>
            <w:pPr>
              <w:spacing w:line="600" w:lineRule="exact"/>
              <w:ind w:firstLine="56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铁锤</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把</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八角锤、3P、1.5P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断头螺丝取出器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丝攻</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手用（M3-M10)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油封拆装工具</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配气门油封钳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压管工具</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45、48、50、54、57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气管安装工具</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57件套维修工具组套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台钳</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6寸、重型、钳口宽度150mm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开孔器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56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规格16.19.20.22.25.30.32.35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大撬棍</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条</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0.4m-1m；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漏斗</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胶质（大）、胶质（小）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大油盘</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800*500*100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小油盘</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500*380*80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测量工具</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液压表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转速表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手持式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红外线测温仪</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56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游标卡尺</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把</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千分尺</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0-100（4把）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塞尺</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23件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拖车工具</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拖车带</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12mm*4m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警戒及防护器材</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警戒灯</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5</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56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减速标志</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200×300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维修标志</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200×300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安全带</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套</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符合GB/T6096-2009，防坠落悬挂安全带，重量约2.5kg，安全绳加缓冲包加大钩长度1.8m，材质：高强度涤纶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安全帽</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顶</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ABS材质，V型顶带透气孔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检测设备</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便携式维修工作站</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主要用于车辆装备故障检测，可访问车辆电子控制单元，进行系统、电路图等的编程和配置；CPU：Intel酷睿i9-13900HX（等同或优于）；内存容量：≥32GB；屏幕尺寸：≥16英寸；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restart"/>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其他</w:t>
            </w: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微波炉</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台</w:t>
            </w:r>
          </w:p>
        </w:tc>
        <w:tc>
          <w:tcPr>
            <w:tcW w:w="2700" w:type="dxa"/>
            <w:vAlign w:val="center"/>
          </w:tcPr>
          <w:p>
            <w:pPr>
              <w:spacing w:line="600" w:lineRule="exact"/>
              <w:ind w:firstLine="0" w:firstLineChars="0"/>
              <w:jc w:val="center"/>
              <w:rPr>
                <w:rFonts w:ascii="宋体" w:hAnsi="宋体" w:cs="宋体"/>
                <w:color w:val="00000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折叠工作台</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张</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长120cm宽60-80cm高80-100cm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椅子</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张</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折叠椅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凳子</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5</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张</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折叠凳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躺板</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修车滑板40尺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折叠铝梯</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1</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梯长1.2m-4.3m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灯泡</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个</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70W/工作灯用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灭火器</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2</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具</w:t>
            </w:r>
          </w:p>
        </w:tc>
        <w:tc>
          <w:tcPr>
            <w:tcW w:w="270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 w:type="dxa"/>
            <w:vMerge w:val="continue"/>
            <w:vAlign w:val="center"/>
          </w:tcPr>
          <w:p>
            <w:pPr>
              <w:spacing w:line="600" w:lineRule="exact"/>
              <w:ind w:firstLine="560"/>
              <w:jc w:val="center"/>
              <w:rPr>
                <w:rFonts w:ascii="宋体" w:hAnsi="宋体" w:cs="宋体"/>
                <w:color w:val="000000"/>
                <w:szCs w:val="28"/>
              </w:rPr>
            </w:pPr>
          </w:p>
        </w:tc>
        <w:tc>
          <w:tcPr>
            <w:tcW w:w="247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车辆限位块</w:t>
            </w:r>
          </w:p>
        </w:tc>
        <w:tc>
          <w:tcPr>
            <w:tcW w:w="1393"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4</w:t>
            </w:r>
          </w:p>
        </w:tc>
        <w:tc>
          <w:tcPr>
            <w:tcW w:w="1050" w:type="dxa"/>
            <w:vAlign w:val="center"/>
          </w:tcPr>
          <w:p>
            <w:pPr>
              <w:spacing w:line="600" w:lineRule="exact"/>
              <w:ind w:firstLine="0" w:firstLineChars="0"/>
              <w:jc w:val="center"/>
              <w:rPr>
                <w:rFonts w:ascii="宋体" w:hAnsi="宋体" w:cs="宋体"/>
                <w:color w:val="000000"/>
                <w:szCs w:val="28"/>
              </w:rPr>
            </w:pPr>
            <w:r>
              <w:rPr>
                <w:rFonts w:hint="eastAsia" w:ascii="宋体" w:hAnsi="宋体" w:cs="宋体"/>
                <w:color w:val="000000"/>
                <w:szCs w:val="28"/>
              </w:rPr>
              <w:t>块</w:t>
            </w:r>
          </w:p>
        </w:tc>
        <w:tc>
          <w:tcPr>
            <w:tcW w:w="2700" w:type="dxa"/>
            <w:vAlign w:val="center"/>
          </w:tcPr>
          <w:p>
            <w:pPr>
              <w:spacing w:line="600" w:lineRule="exact"/>
              <w:ind w:firstLine="560"/>
              <w:jc w:val="center"/>
              <w:rPr>
                <w:rFonts w:ascii="宋体" w:hAnsi="宋体" w:cs="宋体"/>
                <w:color w:val="000000"/>
                <w:szCs w:val="28"/>
              </w:rPr>
            </w:pPr>
          </w:p>
        </w:tc>
      </w:tr>
    </w:tbl>
    <w:p>
      <w:pPr>
        <w:spacing w:line="576" w:lineRule="exact"/>
        <w:ind w:firstLine="560"/>
        <w:rPr>
          <w:rFonts w:ascii="宋体" w:hAnsi="宋体" w:cs="宋体"/>
          <w:szCs w:val="28"/>
        </w:rPr>
      </w:pPr>
      <w:r>
        <w:rPr>
          <w:rFonts w:hint="eastAsia" w:ascii="宋体" w:hAnsi="宋体" w:cs="宋体"/>
          <w:bCs/>
          <w:szCs w:val="28"/>
          <w:lang w:bidi="ar"/>
        </w:rPr>
        <w:t>6.所有操作开关、仪表、器材架及车辆均有规范的永久性中文铭牌标识</w:t>
      </w:r>
      <w:r>
        <w:rPr>
          <w:rFonts w:hint="eastAsia" w:ascii="宋体" w:hAnsi="宋体" w:cs="宋体"/>
          <w:szCs w:val="28"/>
        </w:rPr>
        <w:t>；</w:t>
      </w:r>
    </w:p>
    <w:p>
      <w:pPr>
        <w:spacing w:line="576" w:lineRule="exact"/>
        <w:ind w:firstLine="560"/>
        <w:rPr>
          <w:rFonts w:ascii="宋体" w:hAnsi="宋体" w:cs="宋体"/>
          <w:bCs/>
          <w:szCs w:val="28"/>
          <w:lang w:bidi="ar"/>
        </w:rPr>
      </w:pPr>
      <w:r>
        <w:rPr>
          <w:rFonts w:hint="eastAsia" w:ascii="宋体" w:hAnsi="宋体" w:cs="宋体"/>
          <w:szCs w:val="28"/>
        </w:rPr>
        <w:t>▲7.</w:t>
      </w:r>
      <w:r>
        <w:rPr>
          <w:rFonts w:hint="eastAsia" w:ascii="宋体" w:hAnsi="宋体" w:cs="宋体"/>
          <w:bCs/>
          <w:szCs w:val="28"/>
          <w:lang w:bidi="ar"/>
        </w:rPr>
        <w:t>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ind w:firstLine="560"/>
        <w:rPr>
          <w:color w:val="000000" w:themeColor="text1"/>
          <w14:textFill>
            <w14:solidFill>
              <w14:schemeClr w14:val="tx1"/>
            </w14:solidFill>
          </w14:textFill>
        </w:rPr>
      </w:pPr>
    </w:p>
    <w:p>
      <w:pPr>
        <w:ind w:firstLine="560"/>
        <w:rPr>
          <w:color w:val="000000" w:themeColor="text1"/>
          <w14:textFill>
            <w14:solidFill>
              <w14:schemeClr w14:val="tx1"/>
            </w14:solidFill>
          </w14:textFill>
        </w:rPr>
      </w:pPr>
    </w:p>
    <w:p>
      <w:pPr>
        <w:ind w:firstLine="560"/>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4"/>
        <w:bidi w:val="0"/>
      </w:pPr>
      <w:bookmarkStart w:id="64" w:name="_Toc709"/>
      <w:r>
        <w:rPr>
          <w:rFonts w:hint="eastAsia"/>
        </w:rPr>
        <w:t xml:space="preserve">包 </w:t>
      </w:r>
      <w:r>
        <w:rPr>
          <w:rFonts w:hint="eastAsia"/>
          <w:lang w:val="en-US" w:eastAsia="zh-CN"/>
        </w:rPr>
        <w:t>21</w:t>
      </w:r>
      <w:r>
        <w:rPr>
          <w:rFonts w:hint="eastAsia"/>
        </w:rPr>
        <w:t xml:space="preserve"> </w:t>
      </w:r>
      <w:r>
        <w:rPr>
          <w:rFonts w:hint="eastAsia"/>
          <w:lang w:eastAsia="zh-CN"/>
        </w:rPr>
        <w:t>“</w:t>
      </w:r>
      <w:r>
        <w:rPr>
          <w:rFonts w:hint="eastAsia"/>
        </w:rPr>
        <w:t>水质净化车</w:t>
      </w:r>
      <w:r>
        <w:rPr>
          <w:rFonts w:hint="eastAsia"/>
          <w:lang w:eastAsia="zh-CN"/>
        </w:rPr>
        <w:t>”</w:t>
      </w:r>
      <w:bookmarkEnd w:id="64"/>
    </w:p>
    <w:p>
      <w:pPr>
        <w:spacing w:line="576" w:lineRule="exact"/>
        <w:ind w:firstLine="560"/>
        <w:rPr>
          <w:rFonts w:ascii="宋体" w:hAnsi="宋体" w:cs="宋体"/>
          <w:bCs/>
          <w:szCs w:val="28"/>
          <w:lang w:bidi="ar"/>
        </w:rPr>
      </w:pPr>
      <w:r>
        <w:rPr>
          <w:rFonts w:hint="eastAsia" w:ascii="宋体" w:hAnsi="宋体" w:cs="宋体"/>
          <w:bCs/>
          <w:szCs w:val="28"/>
          <w:lang w:bidi="ar"/>
        </w:rPr>
        <w:t>符合GB7956.1-2014《</w:t>
      </w:r>
      <w:r>
        <w:rPr>
          <w:rFonts w:hint="eastAsia" w:ascii="宋体" w:hAnsi="宋体" w:cs="宋体"/>
          <w:bCs/>
          <w:szCs w:val="28"/>
          <w:lang w:bidi="ar"/>
        </w:rPr>
        <w:fldChar w:fldCharType="begin"/>
      </w:r>
      <w:r>
        <w:rPr>
          <w:rFonts w:hint="eastAsia" w:ascii="宋体" w:hAnsi="宋体" w:cs="宋体"/>
          <w:bCs/>
          <w:szCs w:val="28"/>
          <w:lang w:bidi="ar"/>
        </w:rPr>
        <w:instrText xml:space="preserve"> HYPERLINK "" \l ""</w:instrText>
      </w:r>
      <w:r>
        <w:rPr>
          <w:rFonts w:hint="eastAsia" w:ascii="宋体" w:hAnsi="宋体" w:cs="宋体"/>
          <w:bCs/>
          <w:szCs w:val="28"/>
          <w:lang w:bidi="ar"/>
        </w:rPr>
        <w:fldChar w:fldCharType="separate"/>
      </w:r>
      <w:r>
        <w:rPr>
          <w:rFonts w:hint="eastAsia" w:ascii="宋体" w:hAnsi="宋体" w:cs="宋体"/>
          <w:bCs/>
          <w:szCs w:val="28"/>
          <w:lang w:bidi="ar"/>
        </w:rPr>
        <w:t>消防车第1部分：通用技术条件</w:t>
      </w:r>
      <w:r>
        <w:rPr>
          <w:rFonts w:hint="eastAsia" w:ascii="宋体" w:hAnsi="宋体" w:cs="宋体"/>
          <w:bCs/>
          <w:szCs w:val="28"/>
          <w:lang w:bidi="ar"/>
        </w:rPr>
        <w:fldChar w:fldCharType="end"/>
      </w:r>
      <w:r>
        <w:rPr>
          <w:rFonts w:hint="eastAsia" w:ascii="宋体" w:hAnsi="宋体" w:cs="宋体"/>
          <w:bCs/>
          <w:szCs w:val="28"/>
          <w:lang w:bidi="ar"/>
        </w:rPr>
        <w:t>》、GB1589-2016《汽车、挂车及汽车列车外廓尺寸、轴荷及质量限值》等国家标准。</w:t>
      </w:r>
    </w:p>
    <w:p>
      <w:pPr>
        <w:spacing w:line="576" w:lineRule="exact"/>
        <w:ind w:firstLine="560"/>
        <w:rPr>
          <w:rFonts w:ascii="宋体" w:hAnsi="宋体" w:cs="宋体"/>
          <w:szCs w:val="28"/>
          <w:lang w:bidi="ar"/>
        </w:rPr>
      </w:pPr>
      <w:r>
        <w:rPr>
          <w:rFonts w:hint="eastAsia" w:ascii="宋体" w:hAnsi="宋体" w:cs="宋体"/>
          <w:szCs w:val="28"/>
          <w:lang w:bidi="ar"/>
        </w:rPr>
        <w:t>1.整车综合要求</w:t>
      </w:r>
    </w:p>
    <w:p>
      <w:pPr>
        <w:spacing w:line="576" w:lineRule="exact"/>
        <w:ind w:firstLine="560"/>
        <w:rPr>
          <w:rFonts w:ascii="宋体" w:hAnsi="宋体" w:cs="宋体"/>
          <w:bCs/>
          <w:szCs w:val="28"/>
          <w:lang w:bidi="ar"/>
        </w:rPr>
      </w:pPr>
      <w:r>
        <w:rPr>
          <w:rFonts w:hint="eastAsia" w:ascii="宋体" w:hAnsi="宋体" w:cs="宋体"/>
          <w:bCs/>
          <w:szCs w:val="28"/>
          <w:lang w:bidi="ar"/>
        </w:rPr>
        <w:t>1.1外形尺寸:长≤10000㎜，宽≤2550㎜，高≤4000㎜，符合GB7956.1-2014标准要求；</w:t>
      </w:r>
    </w:p>
    <w:p>
      <w:pPr>
        <w:spacing w:line="576" w:lineRule="exact"/>
        <w:ind w:firstLine="560"/>
        <w:rPr>
          <w:rFonts w:ascii="宋体" w:hAnsi="宋体" w:cs="宋体"/>
          <w:bCs/>
          <w:szCs w:val="28"/>
          <w:lang w:bidi="ar"/>
        </w:rPr>
      </w:pPr>
      <w:r>
        <w:rPr>
          <w:rFonts w:hint="eastAsia" w:ascii="宋体" w:hAnsi="宋体" w:cs="宋体"/>
          <w:bCs/>
          <w:szCs w:val="28"/>
          <w:lang w:bidi="ar"/>
        </w:rPr>
        <w:t>1.2整车最大允许总质量：≥15000kg；</w:t>
      </w:r>
    </w:p>
    <w:p>
      <w:pPr>
        <w:spacing w:line="576" w:lineRule="exact"/>
        <w:ind w:firstLine="560"/>
        <w:rPr>
          <w:rFonts w:ascii="宋体" w:hAnsi="宋体" w:cs="宋体"/>
          <w:bCs/>
          <w:szCs w:val="28"/>
          <w:lang w:bidi="ar"/>
        </w:rPr>
      </w:pPr>
      <w:r>
        <w:rPr>
          <w:rFonts w:hint="eastAsia" w:ascii="宋体" w:hAnsi="宋体" w:cs="宋体"/>
          <w:bCs/>
          <w:szCs w:val="28"/>
          <w:lang w:bidi="ar"/>
        </w:rPr>
        <w:t>1.3驾乘室人员数量：≥2人；</w:t>
      </w:r>
    </w:p>
    <w:p>
      <w:pPr>
        <w:snapToGrid w:val="0"/>
        <w:spacing w:line="576" w:lineRule="exact"/>
        <w:ind w:firstLine="560"/>
        <w:rPr>
          <w:rFonts w:ascii="宋体" w:hAnsi="宋体" w:cs="宋体"/>
          <w:szCs w:val="28"/>
        </w:rPr>
      </w:pPr>
      <w:r>
        <w:rPr>
          <w:rFonts w:hint="eastAsia" w:ascii="宋体" w:hAnsi="宋体" w:cs="宋体"/>
          <w:szCs w:val="28"/>
          <w:lang w:bidi="ar"/>
        </w:rPr>
        <w:t>1.4车身颜色和漆料：消防车车身的颜色应符合GB/T3181-2008中规定的R03大红色；外观应光滑、平整、色泽均匀，不应有缺漆等缺陷，车顶和车身涂装的工艺、颜色保持一致，不得自行增加饰条、饰带、饰物；</w:t>
      </w:r>
    </w:p>
    <w:p>
      <w:pPr>
        <w:snapToGrid w:val="0"/>
        <w:spacing w:line="576" w:lineRule="exact"/>
        <w:ind w:firstLine="560"/>
        <w:rPr>
          <w:rFonts w:ascii="宋体" w:hAnsi="宋体" w:cs="宋体"/>
          <w:szCs w:val="28"/>
          <w:lang w:bidi="ar"/>
        </w:rPr>
      </w:pPr>
      <w:r>
        <w:rPr>
          <w:rFonts w:hint="eastAsia" w:ascii="宋体" w:hAnsi="宋体" w:cs="宋体"/>
          <w:szCs w:val="28"/>
          <w:lang w:bidi="ar"/>
        </w:rPr>
        <w:t>1.5外观标识：按照《消防救援局关于做好消防救援车辆外观制式涂装工作的通知》（应急消[2019]76号）要求涂装，车辆前后有预留牌照架（符合现行应急车牌尺寸，采用金属构件固定后结实耐用）；</w:t>
      </w:r>
    </w:p>
    <w:p>
      <w:pPr>
        <w:adjustRightInd w:val="0"/>
        <w:snapToGrid w:val="0"/>
        <w:spacing w:line="576" w:lineRule="exact"/>
        <w:ind w:firstLine="560"/>
        <w:rPr>
          <w:rFonts w:ascii="宋体" w:hAnsi="宋体" w:cs="宋体"/>
          <w:szCs w:val="28"/>
        </w:rPr>
      </w:pPr>
      <w:r>
        <w:rPr>
          <w:rFonts w:hint="eastAsia" w:ascii="宋体" w:hAnsi="宋体" w:cs="宋体"/>
          <w:szCs w:val="28"/>
          <w:lang w:bidi="ar"/>
        </w:rPr>
        <w:t>2.底盘要求</w:t>
      </w:r>
    </w:p>
    <w:p>
      <w:pPr>
        <w:snapToGrid w:val="0"/>
        <w:spacing w:line="576" w:lineRule="exact"/>
        <w:ind w:firstLine="560"/>
        <w:rPr>
          <w:rFonts w:ascii="宋体" w:hAnsi="宋体" w:cs="宋体"/>
          <w:bCs/>
          <w:szCs w:val="28"/>
        </w:rPr>
      </w:pPr>
      <w:r>
        <w:rPr>
          <w:rFonts w:hint="eastAsia" w:ascii="宋体" w:hAnsi="宋体" w:cs="宋体"/>
          <w:bCs/>
          <w:szCs w:val="28"/>
          <w:lang w:bidi="ar"/>
        </w:rPr>
        <w:t>2.1底盘</w:t>
      </w:r>
    </w:p>
    <w:p>
      <w:pPr>
        <w:snapToGrid w:val="0"/>
        <w:spacing w:line="576" w:lineRule="exact"/>
        <w:ind w:firstLine="560"/>
        <w:rPr>
          <w:rFonts w:ascii="宋体" w:hAnsi="宋体" w:cs="宋体"/>
          <w:bCs/>
          <w:szCs w:val="28"/>
        </w:rPr>
      </w:pPr>
      <w:r>
        <w:rPr>
          <w:rFonts w:hint="eastAsia" w:ascii="宋体" w:hAnsi="宋体" w:cs="宋体"/>
          <w:bCs/>
          <w:szCs w:val="28"/>
          <w:lang w:bidi="ar"/>
        </w:rPr>
        <w:t>2.1.1选用通用二类底盘；</w:t>
      </w:r>
    </w:p>
    <w:p>
      <w:pPr>
        <w:spacing w:line="576" w:lineRule="exact"/>
        <w:ind w:firstLine="560"/>
        <w:rPr>
          <w:rFonts w:ascii="宋体" w:hAnsi="宋体" w:cs="宋体"/>
          <w:bCs/>
          <w:szCs w:val="28"/>
        </w:rPr>
      </w:pPr>
      <w:r>
        <w:rPr>
          <w:rFonts w:hint="eastAsia" w:ascii="宋体" w:hAnsi="宋体" w:cs="宋体"/>
          <w:bCs/>
          <w:szCs w:val="28"/>
          <w:lang w:bidi="ar"/>
        </w:rPr>
        <w:t>2.1.2燃料种类:柴油；</w:t>
      </w:r>
    </w:p>
    <w:p>
      <w:pPr>
        <w:spacing w:line="576" w:lineRule="exact"/>
        <w:ind w:firstLine="560"/>
        <w:rPr>
          <w:rFonts w:ascii="宋体" w:hAnsi="宋体" w:cs="宋体"/>
          <w:bCs/>
          <w:szCs w:val="28"/>
        </w:rPr>
      </w:pPr>
      <w:r>
        <w:rPr>
          <w:rFonts w:hint="eastAsia" w:ascii="宋体" w:hAnsi="宋体" w:cs="宋体"/>
          <w:bCs/>
          <w:szCs w:val="28"/>
          <w:lang w:bidi="ar"/>
        </w:rPr>
        <w:t>2.1.3驱动形式：4×2；</w:t>
      </w:r>
    </w:p>
    <w:p>
      <w:pPr>
        <w:spacing w:line="576" w:lineRule="exact"/>
        <w:ind w:firstLine="560"/>
        <w:rPr>
          <w:rFonts w:ascii="宋体" w:hAnsi="宋体" w:cs="宋体"/>
          <w:bCs/>
          <w:kern w:val="0"/>
          <w:szCs w:val="28"/>
        </w:rPr>
      </w:pPr>
      <w:r>
        <w:rPr>
          <w:rFonts w:hint="eastAsia" w:ascii="宋体" w:hAnsi="宋体" w:cs="宋体"/>
          <w:bCs/>
          <w:szCs w:val="28"/>
          <w:lang w:bidi="ar"/>
        </w:rPr>
        <w:t>★2.1.4排放标准：国六排放标准</w:t>
      </w:r>
      <w:r>
        <w:rPr>
          <w:rFonts w:hint="eastAsia" w:ascii="宋体" w:hAnsi="宋体" w:cs="宋体"/>
          <w:bCs/>
          <w:kern w:val="0"/>
          <w:szCs w:val="28"/>
          <w:lang w:bidi="ar"/>
        </w:rPr>
        <w:t>；</w:t>
      </w:r>
    </w:p>
    <w:p>
      <w:pPr>
        <w:spacing w:line="576" w:lineRule="exact"/>
        <w:ind w:firstLine="560"/>
        <w:rPr>
          <w:rFonts w:ascii="宋体" w:hAnsi="宋体" w:cs="宋体"/>
          <w:bCs/>
          <w:szCs w:val="28"/>
        </w:rPr>
      </w:pPr>
      <w:r>
        <w:rPr>
          <w:rFonts w:hint="eastAsia" w:ascii="宋体" w:hAnsi="宋体" w:cs="宋体"/>
          <w:szCs w:val="28"/>
        </w:rPr>
        <w:t>▲</w:t>
      </w:r>
      <w:r>
        <w:rPr>
          <w:rFonts w:hint="eastAsia" w:ascii="宋体" w:hAnsi="宋体" w:cs="宋体"/>
          <w:bCs/>
          <w:szCs w:val="28"/>
          <w:lang w:bidi="ar"/>
        </w:rPr>
        <w:t>2.1.5发动机：铸铁柴油发动机，最大输出功率≥250kW；</w:t>
      </w:r>
    </w:p>
    <w:p>
      <w:pPr>
        <w:spacing w:line="576" w:lineRule="exact"/>
        <w:ind w:firstLine="560"/>
        <w:rPr>
          <w:rFonts w:ascii="宋体" w:hAnsi="宋体" w:cs="宋体"/>
          <w:bCs/>
          <w:szCs w:val="28"/>
          <w:lang w:bidi="ar"/>
        </w:rPr>
      </w:pPr>
      <w:r>
        <w:rPr>
          <w:rFonts w:hint="eastAsia" w:ascii="宋体" w:hAnsi="宋体" w:cs="宋体"/>
          <w:bCs/>
          <w:szCs w:val="28"/>
          <w:lang w:bidi="ar"/>
        </w:rPr>
        <w:t>2.1.6变速器：手动或自动变速；</w:t>
      </w:r>
    </w:p>
    <w:p>
      <w:pPr>
        <w:snapToGrid w:val="0"/>
        <w:spacing w:line="576" w:lineRule="exact"/>
        <w:ind w:left="2" w:firstLine="560"/>
        <w:rPr>
          <w:rFonts w:ascii="宋体" w:hAnsi="宋体" w:cs="宋体"/>
          <w:szCs w:val="28"/>
        </w:rPr>
      </w:pPr>
      <w:r>
        <w:rPr>
          <w:rFonts w:hint="eastAsia" w:ascii="宋体" w:hAnsi="宋体" w:cs="宋体"/>
          <w:szCs w:val="28"/>
        </w:rPr>
        <w:t>2.1.7底盘必须为车辆采购招标公告发布当年生产的底盘，交车时需提供底盘出厂合格证。</w:t>
      </w:r>
    </w:p>
    <w:p>
      <w:pPr>
        <w:spacing w:line="576" w:lineRule="exact"/>
        <w:ind w:firstLine="560"/>
        <w:rPr>
          <w:rFonts w:ascii="宋体" w:hAnsi="宋体" w:cs="宋体"/>
          <w:bCs/>
          <w:szCs w:val="28"/>
          <w:lang w:bidi="ar"/>
        </w:rPr>
      </w:pPr>
      <w:r>
        <w:rPr>
          <w:rFonts w:hint="eastAsia" w:ascii="宋体" w:hAnsi="宋体" w:cs="宋体"/>
          <w:bCs/>
          <w:szCs w:val="28"/>
          <w:lang w:bidi="ar"/>
        </w:rPr>
        <w:t>2.2驾乘室</w:t>
      </w:r>
    </w:p>
    <w:p>
      <w:pPr>
        <w:spacing w:line="576" w:lineRule="exact"/>
        <w:ind w:firstLine="560"/>
        <w:rPr>
          <w:rFonts w:ascii="宋体" w:hAnsi="宋体" w:cs="宋体"/>
          <w:bCs/>
          <w:szCs w:val="28"/>
        </w:rPr>
      </w:pPr>
      <w:r>
        <w:rPr>
          <w:rFonts w:hint="eastAsia" w:ascii="宋体" w:hAnsi="宋体" w:cs="宋体"/>
          <w:szCs w:val="28"/>
        </w:rPr>
        <w:t>▲</w:t>
      </w:r>
      <w:r>
        <w:rPr>
          <w:rFonts w:hint="eastAsia" w:ascii="宋体" w:hAnsi="宋体" w:cs="宋体"/>
          <w:bCs/>
          <w:szCs w:val="28"/>
          <w:lang w:bidi="ar"/>
        </w:rPr>
        <w:t>2.2.1底盘厂原装双门单排标准驾乘室，</w:t>
      </w:r>
      <w:r>
        <w:rPr>
          <w:rFonts w:hint="eastAsia" w:ascii="宋体" w:hAnsi="宋体" w:cs="宋体"/>
          <w:bCs/>
          <w:szCs w:val="28"/>
        </w:rPr>
        <w:t>全钢保险杠，分体式大灯；</w:t>
      </w:r>
    </w:p>
    <w:p>
      <w:pPr>
        <w:spacing w:line="576" w:lineRule="exact"/>
        <w:ind w:firstLine="560"/>
        <w:rPr>
          <w:rFonts w:ascii="宋体" w:hAnsi="宋体" w:cs="宋体"/>
          <w:bCs/>
          <w:szCs w:val="28"/>
        </w:rPr>
      </w:pPr>
      <w:r>
        <w:rPr>
          <w:rFonts w:hint="eastAsia" w:ascii="宋体" w:hAnsi="宋体" w:cs="宋体"/>
          <w:bCs/>
          <w:szCs w:val="28"/>
        </w:rPr>
        <w:t>2.2.2驾驶室可电动翻转，带线控功能，密闭良好，座椅材质为防割耐磨阻燃材料，座椅全部安装三点式安全带，车内应设置照明设施；</w:t>
      </w:r>
    </w:p>
    <w:p>
      <w:pPr>
        <w:spacing w:line="576" w:lineRule="exact"/>
        <w:ind w:firstLine="560"/>
        <w:rPr>
          <w:rFonts w:ascii="宋体" w:hAnsi="宋体" w:cs="宋体"/>
          <w:bCs/>
          <w:szCs w:val="28"/>
          <w:lang w:bidi="ar"/>
        </w:rPr>
      </w:pPr>
      <w:r>
        <w:rPr>
          <w:rFonts w:hint="eastAsia" w:ascii="宋体" w:hAnsi="宋体" w:cs="宋体"/>
          <w:bCs/>
          <w:szCs w:val="28"/>
          <w:lang w:bidi="ar"/>
        </w:rPr>
        <w:t>2.2.3设置行进途中器材箱门开启、车门开启声光报警装置；</w:t>
      </w:r>
    </w:p>
    <w:p>
      <w:pPr>
        <w:spacing w:line="576" w:lineRule="exact"/>
        <w:ind w:firstLine="560"/>
        <w:rPr>
          <w:rFonts w:ascii="宋体" w:hAnsi="宋体" w:cs="宋体"/>
          <w:bCs/>
          <w:szCs w:val="28"/>
          <w:lang w:bidi="ar"/>
        </w:rPr>
      </w:pPr>
      <w:r>
        <w:rPr>
          <w:rFonts w:hint="eastAsia" w:ascii="宋体" w:hAnsi="宋体" w:cs="宋体"/>
          <w:bCs/>
          <w:szCs w:val="28"/>
          <w:lang w:bidi="ar"/>
        </w:rPr>
        <w:t>2.2.4车内设置冷暖空调，收音机带USB接口；</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2.2.5配备360°行车记录仪（内存≥128G）、倒车雷达、胎压监测系统等，预留220V逆变电源插口2个，USB插口4个；配备370MHz数字车载台（支持PDT数字集群并需接入山西省370MHz无线通信核心网）；</w:t>
      </w:r>
    </w:p>
    <w:p>
      <w:pPr>
        <w:spacing w:line="576" w:lineRule="exact"/>
        <w:ind w:firstLine="560"/>
        <w:rPr>
          <w:rFonts w:ascii="宋体" w:hAnsi="宋体" w:cs="宋体"/>
          <w:bCs/>
          <w:szCs w:val="28"/>
          <w:lang w:bidi="ar"/>
        </w:rPr>
      </w:pPr>
      <w:r>
        <w:rPr>
          <w:rFonts w:hint="eastAsia" w:ascii="宋体" w:hAnsi="宋体" w:cs="宋体"/>
          <w:bCs/>
          <w:szCs w:val="28"/>
          <w:lang w:bidi="ar"/>
        </w:rPr>
        <w:t>2.2.6驾驶室车门应采用电动升降玻璃；</w:t>
      </w:r>
    </w:p>
    <w:p>
      <w:pPr>
        <w:spacing w:line="576" w:lineRule="exact"/>
        <w:ind w:firstLine="560"/>
        <w:rPr>
          <w:rFonts w:ascii="宋体" w:hAnsi="宋体" w:cs="宋体"/>
          <w:bCs/>
          <w:szCs w:val="28"/>
          <w:lang w:bidi="ar"/>
        </w:rPr>
      </w:pPr>
      <w:r>
        <w:rPr>
          <w:rFonts w:hint="eastAsia" w:ascii="宋体" w:hAnsi="宋体" w:cs="宋体"/>
          <w:bCs/>
          <w:szCs w:val="28"/>
          <w:lang w:bidi="ar"/>
        </w:rPr>
        <w:t>2.2.7驾驶室踏板要求：驾驶室的上下车踏板间距≤270mm，除驾驶员侧外，深度≥100mm，踏板间应有水平照度≥5Lx的照明灯，踏板脚踏面应有防滑措施，与地面最近一级的离地距离≤500mm；</w:t>
      </w:r>
    </w:p>
    <w:p>
      <w:pPr>
        <w:spacing w:line="576" w:lineRule="exact"/>
        <w:ind w:firstLine="560"/>
        <w:rPr>
          <w:rFonts w:ascii="宋体" w:hAnsi="宋体" w:cs="宋体"/>
          <w:bCs/>
          <w:szCs w:val="28"/>
          <w:lang w:bidi="ar"/>
        </w:rPr>
      </w:pPr>
      <w:r>
        <w:rPr>
          <w:rFonts w:hint="eastAsia" w:ascii="宋体" w:hAnsi="宋体" w:cs="宋体"/>
          <w:bCs/>
          <w:szCs w:val="28"/>
          <w:lang w:bidi="ar"/>
        </w:rPr>
        <w:t>2.2.8驾驶室后视镜安装要求：两侧电加热后视镜，电动可调节、两侧广角加热后视镜，副驾驶侧门配盲区照地镜和驾驶室前盲区镜并符合</w:t>
      </w:r>
      <w:r>
        <w:rPr>
          <w:rFonts w:hint="eastAsia" w:ascii="宋体" w:hAnsi="宋体" w:cs="宋体"/>
          <w:bCs/>
          <w:szCs w:val="28"/>
          <w:lang w:val="en-US" w:eastAsia="zh-CN" w:bidi="ar"/>
        </w:rPr>
        <w:t>GB 15084-2022（20230701）《机动车辆间接视野装置性能和安装要求》</w:t>
      </w:r>
      <w:r>
        <w:rPr>
          <w:rFonts w:hint="eastAsia" w:ascii="宋体" w:hAnsi="宋体" w:cs="宋体"/>
          <w:bCs/>
          <w:szCs w:val="28"/>
          <w:lang w:bidi="ar"/>
        </w:rPr>
        <w:t>；</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2.3轮胎：子午线真空钢丝轮胎（包括1个同规格、同型号、同品牌备胎）；</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2.4制动系统：前轮盘式制动器、ABS防抱死制动系统或EBS电控制动系统，装配液力缓速器；</w:t>
      </w:r>
    </w:p>
    <w:p>
      <w:pPr>
        <w:spacing w:line="576" w:lineRule="exact"/>
        <w:ind w:firstLine="560"/>
        <w:rPr>
          <w:rFonts w:ascii="宋体" w:hAnsi="宋体" w:cs="宋体"/>
          <w:bCs/>
          <w:szCs w:val="28"/>
          <w:lang w:bidi="ar"/>
        </w:rPr>
      </w:pPr>
      <w:r>
        <w:rPr>
          <w:rFonts w:hint="eastAsia" w:ascii="宋体" w:hAnsi="宋体" w:cs="宋体"/>
          <w:bCs/>
          <w:szCs w:val="28"/>
          <w:lang w:bidi="ar"/>
        </w:rPr>
        <w:t>2.5油箱：容积：≥200L，金属材质，加装滤网，油箱盖带锁；</w:t>
      </w:r>
    </w:p>
    <w:p>
      <w:pPr>
        <w:spacing w:line="576" w:lineRule="exact"/>
        <w:ind w:firstLine="560"/>
        <w:rPr>
          <w:rFonts w:ascii="宋体" w:hAnsi="宋体" w:cs="宋体"/>
          <w:bCs/>
          <w:szCs w:val="28"/>
          <w:lang w:bidi="ar"/>
        </w:rPr>
      </w:pPr>
      <w:r>
        <w:rPr>
          <w:rFonts w:hint="eastAsia" w:ascii="宋体" w:hAnsi="宋体" w:cs="宋体"/>
          <w:bCs/>
          <w:szCs w:val="28"/>
          <w:lang w:bidi="ar"/>
        </w:rPr>
        <w:t>2.6配有寒区包适合寒冷地区使用。</w:t>
      </w:r>
    </w:p>
    <w:p>
      <w:pPr>
        <w:spacing w:line="576" w:lineRule="exact"/>
        <w:ind w:firstLine="560"/>
        <w:rPr>
          <w:rFonts w:ascii="宋体" w:hAnsi="宋体" w:cs="宋体"/>
          <w:szCs w:val="28"/>
        </w:rPr>
      </w:pPr>
      <w:r>
        <w:rPr>
          <w:rFonts w:hint="eastAsia" w:ascii="宋体" w:hAnsi="宋体" w:cs="宋体"/>
          <w:szCs w:val="28"/>
          <w:lang w:bidi="ar"/>
        </w:rPr>
        <w:t>3.上装</w:t>
      </w:r>
    </w:p>
    <w:p>
      <w:pPr>
        <w:spacing w:line="576" w:lineRule="exact"/>
        <w:ind w:firstLine="560"/>
        <w:rPr>
          <w:rFonts w:ascii="宋体" w:hAnsi="宋体" w:cs="宋体"/>
          <w:bCs/>
          <w:szCs w:val="28"/>
          <w:lang w:bidi="ar"/>
        </w:rPr>
      </w:pPr>
      <w:r>
        <w:rPr>
          <w:rFonts w:hint="eastAsia" w:ascii="宋体" w:hAnsi="宋体" w:cs="宋体"/>
          <w:bCs/>
          <w:szCs w:val="28"/>
          <w:lang w:bidi="ar"/>
        </w:rPr>
        <w:t>3.1总体要求</w:t>
      </w:r>
    </w:p>
    <w:p>
      <w:pPr>
        <w:spacing w:line="576" w:lineRule="exact"/>
        <w:ind w:firstLine="560"/>
        <w:rPr>
          <w:rFonts w:ascii="宋体" w:hAnsi="宋体" w:cs="宋体"/>
          <w:bCs/>
          <w:szCs w:val="28"/>
          <w:lang w:bidi="ar"/>
        </w:rPr>
      </w:pPr>
      <w:r>
        <w:rPr>
          <w:rFonts w:hint="eastAsia" w:ascii="宋体" w:hAnsi="宋体" w:cs="宋体"/>
          <w:bCs/>
          <w:szCs w:val="28"/>
          <w:lang w:bidi="ar"/>
        </w:rPr>
        <w:t>3.1.1车顶要做防滑处理，保证人员在车顶的行走安全，左右侧应设有雨槽用于雨水的疏流，车顶设有护栏；</w:t>
      </w:r>
    </w:p>
    <w:p>
      <w:pPr>
        <w:spacing w:line="576" w:lineRule="exact"/>
        <w:ind w:firstLine="560"/>
        <w:rPr>
          <w:rFonts w:ascii="宋体" w:hAnsi="宋体" w:cs="宋体"/>
          <w:szCs w:val="28"/>
        </w:rPr>
      </w:pPr>
      <w:r>
        <w:rPr>
          <w:rFonts w:hint="eastAsia" w:ascii="宋体" w:hAnsi="宋体" w:cs="宋体"/>
          <w:bCs/>
          <w:szCs w:val="28"/>
          <w:lang w:bidi="ar"/>
        </w:rPr>
        <w:t>3.1.2爬梯梯级应有防滑及毛刺处理设计，顶部装有扶手，确保可方便登上车顶；</w:t>
      </w:r>
    </w:p>
    <w:p>
      <w:pPr>
        <w:adjustRightInd w:val="0"/>
        <w:snapToGrid w:val="0"/>
        <w:spacing w:line="576" w:lineRule="exact"/>
        <w:ind w:firstLine="560"/>
        <w:rPr>
          <w:rFonts w:ascii="宋体" w:hAnsi="宋体" w:cs="宋体"/>
          <w:bCs/>
          <w:szCs w:val="28"/>
          <w:lang w:bidi="ar"/>
        </w:rPr>
      </w:pPr>
      <w:r>
        <w:rPr>
          <w:rFonts w:hint="eastAsia" w:ascii="宋体" w:hAnsi="宋体" w:cs="宋体"/>
          <w:bCs/>
          <w:szCs w:val="28"/>
          <w:lang w:bidi="ar"/>
        </w:rPr>
        <w:t>3.1.3车厢划分为发电机舱、罐体舱和净水设备舱、仪器检测舱等。车厢（箱体、内骨架）材质全部采用全铝合金材质，内饰板采用光面拉丝氧化铝板。车厢结构要求具有环境适应性好及具有多种防护性能，隔热保温，防雨、防火、防热辐射、防虫蛀鼠咬等性能，外包型材、门结构采用防腐耐用材质，各开孔和承重处均设置骨架的预埋件，满足车厢的承重要求和安装要求，所有金属板材和方管边缘均做防毛刺处理。厢体开启方式为两侧翼开门，侧翼采用上翻门结构，向上为L型展翼形式，方便设备维护检修，采用液压油缸控制，可实现展开、半展开作业，作业时有声光报警，防止触碰伤人，车后设一扇二页对开门，左右墙板前后两端镶嵌LED警示灯，关闭后设置防开启锁止装置；</w:t>
      </w:r>
    </w:p>
    <w:p>
      <w:pPr>
        <w:adjustRightInd w:val="0"/>
        <w:snapToGrid w:val="0"/>
        <w:spacing w:line="576" w:lineRule="exact"/>
        <w:ind w:firstLine="560"/>
        <w:rPr>
          <w:rFonts w:ascii="宋体" w:hAnsi="宋体" w:cs="宋体"/>
          <w:bCs/>
          <w:szCs w:val="28"/>
          <w:lang w:bidi="ar"/>
        </w:rPr>
      </w:pPr>
      <w:r>
        <w:rPr>
          <w:rFonts w:hint="eastAsia" w:ascii="宋体" w:hAnsi="宋体" w:cs="宋体"/>
          <w:bCs/>
          <w:szCs w:val="28"/>
          <w:lang w:bidi="ar"/>
        </w:rPr>
        <w:t>3.2净水系统</w:t>
      </w:r>
    </w:p>
    <w:p>
      <w:pPr>
        <w:spacing w:line="576" w:lineRule="exact"/>
        <w:ind w:firstLine="560"/>
        <w:rPr>
          <w:rFonts w:ascii="宋体" w:hAnsi="宋体" w:cs="宋体"/>
          <w:bCs/>
          <w:szCs w:val="28"/>
          <w:lang w:bidi="ar"/>
        </w:rPr>
      </w:pPr>
      <w:r>
        <w:rPr>
          <w:rFonts w:hint="eastAsia" w:ascii="宋体" w:hAnsi="宋体" w:cs="宋体"/>
          <w:bCs/>
          <w:szCs w:val="28"/>
          <w:lang w:bidi="ar"/>
        </w:rPr>
        <w:t>3.2.1水净化系统可对原水进行净化、消毒处理，去除原水中的杂质，杀灭致病微生物，使产水达到生活饮用水卫生标准。水净化系统由前级潜水泵、预处理、反渗透系统、紫外线消毒器等部分组成，净水装置设压力、流量显示，各系统安装牢靠、无渗漏现象；</w:t>
      </w:r>
    </w:p>
    <w:p>
      <w:pPr>
        <w:spacing w:line="576" w:lineRule="exact"/>
        <w:ind w:firstLine="560"/>
        <w:rPr>
          <w:rFonts w:ascii="宋体" w:hAnsi="宋体" w:cs="宋体"/>
          <w:bCs/>
          <w:szCs w:val="28"/>
          <w:lang w:bidi="ar"/>
        </w:rPr>
      </w:pPr>
      <w:r>
        <w:rPr>
          <w:rFonts w:hint="eastAsia" w:ascii="宋体" w:hAnsi="宋体" w:cs="宋体"/>
          <w:bCs/>
          <w:szCs w:val="28"/>
          <w:lang w:bidi="ar"/>
        </w:rPr>
        <w:t>3.2.2水净化系统可处理GB3838-2002《地表水环境质量标准》中规定的Ⅰ类、Ⅱ类、Ⅲ类地表水，水质过滤耗材（粗滤、精滤、反渗透、紫外线杀菌消毒等设备），免费提供质保期内更换服务（含材料、人工、差旅费用等）；</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3.2.3净水预处理部分：原水箱≥1500L，过滤器包含多介质、活性碳、阻垢、精密过滤器等；</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3.2.4反渗透系统：一级高压泵额定流量≥4m</w:t>
      </w:r>
      <w:r>
        <w:rPr>
          <w:rFonts w:hint="eastAsia" w:ascii="宋体" w:hAnsi="宋体" w:cs="宋体"/>
          <w:bCs/>
          <w:szCs w:val="28"/>
          <w:vertAlign w:val="superscript"/>
          <w:lang w:bidi="ar"/>
        </w:rPr>
        <w:t>3</w:t>
      </w:r>
      <w:r>
        <w:rPr>
          <w:rFonts w:hint="eastAsia" w:ascii="宋体" w:hAnsi="宋体" w:cs="宋体"/>
          <w:bCs/>
          <w:szCs w:val="28"/>
          <w:lang w:bidi="ar"/>
        </w:rPr>
        <w:t>/h、额定扬程≥120m；二级高压泵额定流量≥4m</w:t>
      </w:r>
      <w:r>
        <w:rPr>
          <w:rFonts w:hint="eastAsia" w:ascii="宋体" w:hAnsi="宋体" w:cs="宋体"/>
          <w:bCs/>
          <w:szCs w:val="28"/>
          <w:vertAlign w:val="superscript"/>
          <w:lang w:bidi="ar"/>
        </w:rPr>
        <w:t>3</w:t>
      </w:r>
      <w:r>
        <w:rPr>
          <w:rFonts w:hint="eastAsia" w:ascii="宋体" w:hAnsi="宋体" w:cs="宋体"/>
          <w:bCs/>
          <w:szCs w:val="28"/>
          <w:lang w:bidi="ar"/>
        </w:rPr>
        <w:t>/h、额定扬程≥100m；有不少于二级反渗透净水设计；</w:t>
      </w:r>
    </w:p>
    <w:p>
      <w:pPr>
        <w:spacing w:line="576" w:lineRule="exact"/>
        <w:ind w:firstLine="560"/>
        <w:rPr>
          <w:rFonts w:ascii="宋体" w:hAnsi="宋体" w:cs="宋体"/>
          <w:bCs/>
          <w:szCs w:val="28"/>
          <w:lang w:bidi="ar"/>
        </w:rPr>
      </w:pPr>
      <w:r>
        <w:rPr>
          <w:rFonts w:hint="eastAsia" w:ascii="宋体" w:hAnsi="宋体" w:cs="宋体"/>
          <w:bCs/>
          <w:szCs w:val="28"/>
          <w:lang w:bidi="ar"/>
        </w:rPr>
        <w:t>3.2.5紫外线杀菌器:有效杀死水体内的细菌病毒，功率≥30W，确保水质安全无污染；</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3.2.6储水水箱：生活用水箱≥1500L，饮用水箱≥1500L；</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3.2.7净化水水质指标：通过净化后可直接饮用，水质符合GB5749-2006《生活饮用水卫生标准》；</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3.2.8产水量能力指标：净化水产水量：≥1000L/h，生活用水产水量：≥3000L/h；</w:t>
      </w:r>
    </w:p>
    <w:p>
      <w:pPr>
        <w:spacing w:line="576" w:lineRule="exact"/>
        <w:ind w:firstLine="560"/>
        <w:rPr>
          <w:rFonts w:ascii="宋体" w:hAnsi="宋体" w:eastAsia="宋体" w:cs="宋体"/>
          <w:bCs/>
          <w:sz w:val="28"/>
          <w:szCs w:val="28"/>
          <w:lang w:val="en-US" w:bidi="ar"/>
        </w:rPr>
      </w:pPr>
      <w:r>
        <w:rPr>
          <w:rFonts w:hint="eastAsia" w:ascii="宋体" w:hAnsi="宋体" w:eastAsia="宋体" w:cs="宋体"/>
          <w:bCs/>
          <w:sz w:val="28"/>
          <w:szCs w:val="28"/>
          <w:lang w:val="en-US" w:bidi="ar"/>
        </w:rPr>
        <w:t>3.3开水供应和水箱管路系统</w:t>
      </w:r>
    </w:p>
    <w:p>
      <w:pPr>
        <w:spacing w:line="576" w:lineRule="exact"/>
        <w:ind w:firstLine="560"/>
        <w:rPr>
          <w:rFonts w:ascii="宋体" w:hAnsi="宋体" w:eastAsia="宋体" w:cs="宋体"/>
          <w:bCs/>
          <w:sz w:val="28"/>
          <w:szCs w:val="28"/>
          <w:lang w:val="en-US" w:bidi="ar"/>
        </w:rPr>
      </w:pPr>
      <w:r>
        <w:rPr>
          <w:rFonts w:hint="eastAsia" w:ascii="宋体" w:hAnsi="宋体" w:eastAsia="宋体" w:cs="宋体"/>
          <w:sz w:val="28"/>
          <w:szCs w:val="28"/>
        </w:rPr>
        <w:t>▲</w:t>
      </w:r>
      <w:r>
        <w:rPr>
          <w:rFonts w:hint="eastAsia" w:ascii="宋体" w:hAnsi="宋体" w:eastAsia="宋体" w:cs="宋体"/>
          <w:bCs/>
          <w:sz w:val="28"/>
          <w:szCs w:val="28"/>
          <w:lang w:val="en-US" w:bidi="ar"/>
        </w:rPr>
        <w:t>3.3.1开水供应系统：饮水设备采用电加热方式，设置生活用水取水口和直饮水取水口各不少于3个，水龙头及管套等部件均采用食品级不锈钢材质。直饮水分热水、冷水，热水出水量≥120L/h、水温≥95℃，冷热水出口用颜色及金属蚀刻标识区分；</w:t>
      </w:r>
    </w:p>
    <w:p>
      <w:pPr>
        <w:spacing w:line="576" w:lineRule="exact"/>
        <w:ind w:firstLine="560"/>
        <w:rPr>
          <w:rFonts w:ascii="宋体" w:hAnsi="宋体" w:eastAsia="宋体" w:cs="宋体"/>
          <w:bCs/>
          <w:sz w:val="28"/>
          <w:szCs w:val="28"/>
          <w:lang w:val="en-US" w:bidi="ar"/>
        </w:rPr>
      </w:pPr>
      <w:r>
        <w:rPr>
          <w:rFonts w:hint="eastAsia" w:ascii="宋体" w:hAnsi="宋体" w:eastAsia="宋体" w:cs="宋体"/>
          <w:bCs/>
          <w:sz w:val="28"/>
          <w:szCs w:val="28"/>
          <w:lang w:val="en-US" w:bidi="ar"/>
        </w:rPr>
        <w:t>3.3.2水箱管路系统：水箱均内置防荡板，箱体安装稳固可靠，设置水箱入水孔、溢流口、排污口、出水口、注水口、高液位指示传感器、低液位指示传感器等。管路主要由进水管、出水管、及阀门等组成，水箱、管路及阀门等均采用食品级不锈钢材质并做保温处理，保证在寒冷地区能正常使用。</w:t>
      </w:r>
    </w:p>
    <w:p>
      <w:pPr>
        <w:spacing w:line="576" w:lineRule="exact"/>
        <w:ind w:firstLine="560"/>
        <w:rPr>
          <w:rFonts w:ascii="宋体" w:hAnsi="宋体" w:eastAsia="宋体" w:cs="宋体"/>
          <w:bCs/>
          <w:sz w:val="28"/>
          <w:szCs w:val="28"/>
          <w:lang w:val="en-US" w:bidi="ar"/>
        </w:rPr>
      </w:pPr>
      <w:r>
        <w:rPr>
          <w:rFonts w:hint="eastAsia" w:ascii="宋体" w:hAnsi="宋体" w:eastAsia="宋体" w:cs="宋体"/>
          <w:bCs/>
          <w:sz w:val="28"/>
          <w:szCs w:val="28"/>
          <w:lang w:val="en-US" w:bidi="ar"/>
        </w:rPr>
        <w:t>3.4辅助设备</w:t>
      </w:r>
    </w:p>
    <w:p>
      <w:pPr>
        <w:spacing w:line="576" w:lineRule="exact"/>
        <w:ind w:firstLine="560"/>
        <w:rPr>
          <w:rFonts w:ascii="宋体" w:hAnsi="宋体" w:eastAsia="宋体" w:cs="宋体"/>
          <w:bCs/>
          <w:sz w:val="28"/>
          <w:szCs w:val="28"/>
          <w:lang w:val="en-US" w:bidi="ar"/>
        </w:rPr>
      </w:pPr>
      <w:r>
        <w:rPr>
          <w:rFonts w:hint="eastAsia" w:ascii="宋体" w:hAnsi="宋体" w:eastAsia="宋体" w:cs="宋体"/>
          <w:sz w:val="28"/>
          <w:szCs w:val="28"/>
        </w:rPr>
        <w:t>▲</w:t>
      </w:r>
      <w:r>
        <w:rPr>
          <w:rFonts w:hint="eastAsia" w:ascii="宋体" w:hAnsi="宋体" w:eastAsia="宋体" w:cs="宋体"/>
          <w:bCs/>
          <w:sz w:val="28"/>
          <w:szCs w:val="28"/>
          <w:lang w:val="en-US" w:bidi="ar"/>
        </w:rPr>
        <w:t>3.4.1水质监测设备：通过对原水水样和净水水样的分析检测，最大限度确保饮用水的安全；</w:t>
      </w:r>
    </w:p>
    <w:p>
      <w:pPr>
        <w:spacing w:line="576" w:lineRule="exact"/>
        <w:ind w:firstLine="560"/>
        <w:rPr>
          <w:rFonts w:ascii="宋体" w:hAnsi="宋体" w:eastAsia="宋体" w:cs="宋体"/>
          <w:bCs/>
          <w:sz w:val="28"/>
          <w:szCs w:val="28"/>
          <w:lang w:val="en-US" w:bidi="ar"/>
        </w:rPr>
      </w:pPr>
      <w:r>
        <w:rPr>
          <w:rFonts w:hint="eastAsia" w:ascii="宋体" w:hAnsi="宋体" w:eastAsia="宋体" w:cs="宋体"/>
          <w:sz w:val="28"/>
          <w:szCs w:val="28"/>
        </w:rPr>
        <w:t>▲</w:t>
      </w:r>
      <w:r>
        <w:rPr>
          <w:rFonts w:hint="eastAsia" w:ascii="宋体" w:hAnsi="宋体" w:eastAsia="宋体" w:cs="宋体"/>
          <w:bCs/>
          <w:sz w:val="28"/>
          <w:szCs w:val="28"/>
          <w:lang w:val="en-US" w:bidi="ar"/>
        </w:rPr>
        <w:t>3.4.2移动式电动潜水泵：2台，一主一备，材质不低于304不锈钢</w:t>
      </w:r>
      <w:r>
        <w:rPr>
          <w:rFonts w:hint="eastAsia" w:ascii="宋体" w:hAnsi="宋体" w:eastAsia="宋体" w:cs="宋体"/>
          <w:bCs/>
          <w:sz w:val="28"/>
          <w:szCs w:val="28"/>
          <w:lang w:val="en-US" w:eastAsia="zh-CN" w:bidi="ar"/>
        </w:rPr>
        <w:t>，</w:t>
      </w:r>
      <w:r>
        <w:rPr>
          <w:rFonts w:hint="eastAsia" w:ascii="宋体" w:hAnsi="宋体" w:eastAsia="宋体" w:cs="宋体"/>
          <w:bCs/>
          <w:sz w:val="28"/>
          <w:szCs w:val="28"/>
          <w:lang w:val="en-US" w:bidi="ar"/>
        </w:rPr>
        <w:t>流量≥10m</w:t>
      </w:r>
      <w:r>
        <w:rPr>
          <w:rFonts w:hint="eastAsia" w:ascii="宋体" w:hAnsi="宋体" w:eastAsia="宋体" w:cs="宋体"/>
          <w:bCs/>
          <w:sz w:val="28"/>
          <w:szCs w:val="28"/>
          <w:vertAlign w:val="superscript"/>
          <w:lang w:val="en-US" w:bidi="ar"/>
        </w:rPr>
        <w:t>3</w:t>
      </w:r>
      <w:r>
        <w:rPr>
          <w:rFonts w:hint="eastAsia" w:ascii="宋体" w:hAnsi="宋体" w:eastAsia="宋体" w:cs="宋体"/>
          <w:bCs/>
          <w:sz w:val="28"/>
          <w:szCs w:val="28"/>
          <w:lang w:val="en-US" w:bidi="ar"/>
        </w:rPr>
        <w:t>/h，扬程≥35m，功率≥5kW，用于向原水罐供水；</w:t>
      </w:r>
    </w:p>
    <w:p>
      <w:pPr>
        <w:spacing w:line="576" w:lineRule="exact"/>
        <w:ind w:firstLine="560"/>
        <w:rPr>
          <w:rFonts w:ascii="宋体" w:hAnsi="宋体" w:cs="宋体"/>
          <w:bCs/>
          <w:szCs w:val="28"/>
          <w:lang w:bidi="ar"/>
        </w:rPr>
      </w:pPr>
      <w:r>
        <w:rPr>
          <w:rFonts w:hint="eastAsia" w:ascii="宋体" w:hAnsi="宋体" w:cs="宋体"/>
          <w:bCs/>
          <w:szCs w:val="28"/>
          <w:lang w:bidi="ar"/>
        </w:rPr>
        <w:t>3.5翻板踏脚</w:t>
      </w:r>
    </w:p>
    <w:p>
      <w:pPr>
        <w:spacing w:line="576" w:lineRule="exact"/>
        <w:ind w:firstLine="560"/>
        <w:rPr>
          <w:rFonts w:ascii="宋体" w:hAnsi="宋体" w:cs="宋体"/>
          <w:bCs/>
          <w:szCs w:val="28"/>
          <w:lang w:bidi="ar"/>
        </w:rPr>
      </w:pPr>
      <w:r>
        <w:rPr>
          <w:rFonts w:hint="eastAsia" w:ascii="宋体" w:hAnsi="宋体" w:cs="宋体"/>
          <w:bCs/>
          <w:szCs w:val="28"/>
          <w:lang w:bidi="ar"/>
        </w:rPr>
        <w:t>3.5.1框架为高强度型钢，蒙皮为铝合金材质。内藏可翻转式气动弹簧脚踏板，采用弹簧与门止口双重固定，要求安全可靠，坚固耐用，密封性强，站立取用器材方便，且能防止泥尘进入器材箱；最大承重力≥150kg；</w:t>
      </w:r>
    </w:p>
    <w:p>
      <w:pPr>
        <w:spacing w:line="576" w:lineRule="exact"/>
        <w:ind w:firstLine="560"/>
        <w:rPr>
          <w:rFonts w:ascii="宋体" w:hAnsi="宋体" w:cs="宋体"/>
          <w:bCs/>
          <w:szCs w:val="28"/>
          <w:lang w:bidi="ar"/>
        </w:rPr>
      </w:pPr>
      <w:r>
        <w:rPr>
          <w:rFonts w:hint="eastAsia" w:ascii="宋体" w:hAnsi="宋体" w:cs="宋体"/>
          <w:bCs/>
          <w:szCs w:val="28"/>
          <w:lang w:bidi="ar"/>
        </w:rPr>
        <w:t>3.5.2主骨架及连接件选用优质钢材及材料，面板具有防滑设计；</w:t>
      </w:r>
    </w:p>
    <w:p>
      <w:pPr>
        <w:spacing w:line="576" w:lineRule="exact"/>
        <w:ind w:firstLine="560"/>
        <w:rPr>
          <w:rFonts w:ascii="宋体" w:hAnsi="宋体" w:cs="宋体"/>
          <w:bCs/>
          <w:szCs w:val="28"/>
          <w:lang w:bidi="ar"/>
        </w:rPr>
      </w:pPr>
      <w:r>
        <w:rPr>
          <w:rFonts w:hint="eastAsia" w:ascii="宋体" w:hAnsi="宋体" w:cs="宋体"/>
          <w:bCs/>
          <w:szCs w:val="28"/>
          <w:lang w:bidi="ar"/>
        </w:rPr>
        <w:t>3.5.3踏板放下后外朝向消防车前和后方均设有黄色警告灯闪烁；</w:t>
      </w:r>
    </w:p>
    <w:p>
      <w:pPr>
        <w:spacing w:line="576" w:lineRule="exact"/>
        <w:ind w:firstLine="560"/>
        <w:rPr>
          <w:rFonts w:ascii="宋体" w:hAnsi="宋体" w:cs="宋体"/>
          <w:bCs/>
          <w:szCs w:val="28"/>
          <w:lang w:bidi="ar"/>
        </w:rPr>
      </w:pPr>
      <w:r>
        <w:rPr>
          <w:rFonts w:hint="eastAsia" w:ascii="宋体" w:hAnsi="宋体" w:cs="宋体"/>
          <w:bCs/>
          <w:szCs w:val="28"/>
          <w:lang w:bidi="ar"/>
        </w:rPr>
        <w:t>3.5.4踏板应设有锁止装置</w:t>
      </w:r>
      <w:r>
        <w:rPr>
          <w:rFonts w:hint="eastAsia" w:ascii="宋体" w:hAnsi="宋体" w:cs="宋体"/>
          <w:bCs/>
          <w:szCs w:val="28"/>
          <w:lang w:eastAsia="zh-CN" w:bidi="ar"/>
        </w:rPr>
        <w:t>，</w:t>
      </w:r>
      <w:r>
        <w:rPr>
          <w:rFonts w:hint="eastAsia" w:ascii="宋体" w:hAnsi="宋体" w:cs="宋体"/>
          <w:bCs/>
          <w:szCs w:val="28"/>
          <w:lang w:bidi="ar"/>
        </w:rPr>
        <w:t>防止踏板受震动后自行翻转；</w:t>
      </w:r>
    </w:p>
    <w:p>
      <w:pPr>
        <w:spacing w:line="576" w:lineRule="exact"/>
        <w:ind w:firstLine="560"/>
        <w:rPr>
          <w:rFonts w:ascii="宋体" w:hAnsi="宋体" w:cs="宋体"/>
          <w:bCs/>
          <w:szCs w:val="28"/>
          <w:lang w:bidi="ar"/>
        </w:rPr>
      </w:pPr>
      <w:r>
        <w:rPr>
          <w:rFonts w:hint="eastAsia" w:ascii="宋体" w:hAnsi="宋体" w:cs="宋体"/>
          <w:bCs/>
          <w:szCs w:val="28"/>
          <w:lang w:bidi="ar"/>
        </w:rPr>
        <w:t>3.5.5车辆任何涉及人员登入的位置必须设置防滑处理；</w:t>
      </w:r>
    </w:p>
    <w:p>
      <w:pPr>
        <w:spacing w:line="576" w:lineRule="exact"/>
        <w:ind w:firstLine="560"/>
        <w:rPr>
          <w:rFonts w:ascii="宋体" w:hAnsi="宋体" w:cs="宋体"/>
          <w:bCs/>
          <w:szCs w:val="28"/>
          <w:lang w:bidi="ar"/>
        </w:rPr>
      </w:pPr>
      <w:r>
        <w:rPr>
          <w:rFonts w:hint="eastAsia" w:ascii="宋体" w:hAnsi="宋体" w:cs="宋体"/>
          <w:bCs/>
          <w:szCs w:val="28"/>
          <w:lang w:bidi="ar"/>
        </w:rPr>
        <w:t>3.6电气及警示系统</w:t>
      </w:r>
    </w:p>
    <w:p>
      <w:pPr>
        <w:spacing w:line="576" w:lineRule="exact"/>
        <w:ind w:firstLine="560"/>
        <w:rPr>
          <w:rFonts w:ascii="宋体" w:hAnsi="宋体" w:cs="宋体"/>
          <w:bCs/>
          <w:szCs w:val="28"/>
          <w:lang w:bidi="ar"/>
        </w:rPr>
      </w:pPr>
      <w:r>
        <w:rPr>
          <w:rFonts w:hint="eastAsia" w:ascii="宋体" w:hAnsi="宋体" w:cs="宋体"/>
          <w:bCs/>
          <w:szCs w:val="28"/>
          <w:lang w:bidi="ar"/>
        </w:rPr>
        <w:t>3.6.1车顶前部配置红色长排LED警灯，功率≥100W报警器、警灯控制器，乘员室、操纵仪表板等处须安装LED照明灯，驾驶室内安装警报器控制盒；</w:t>
      </w:r>
    </w:p>
    <w:p>
      <w:pPr>
        <w:spacing w:line="576" w:lineRule="exact"/>
        <w:ind w:firstLine="560"/>
        <w:rPr>
          <w:rFonts w:ascii="宋体" w:hAnsi="宋体" w:cs="宋体"/>
          <w:bCs/>
          <w:szCs w:val="28"/>
          <w:lang w:bidi="ar"/>
        </w:rPr>
      </w:pPr>
      <w:r>
        <w:rPr>
          <w:rFonts w:hint="eastAsia" w:ascii="宋体" w:hAnsi="宋体" w:cs="宋体"/>
          <w:bCs/>
          <w:szCs w:val="28"/>
          <w:lang w:bidi="ar"/>
        </w:rPr>
        <w:t>3.6.2车厢顶后部配置有全方位电控照明灯，2个红色爆闪灯；</w:t>
      </w:r>
    </w:p>
    <w:p>
      <w:pPr>
        <w:spacing w:line="576" w:lineRule="exact"/>
        <w:ind w:firstLine="560"/>
        <w:rPr>
          <w:rFonts w:ascii="宋体" w:hAnsi="宋体" w:cs="宋体"/>
          <w:bCs/>
          <w:szCs w:val="28"/>
          <w:lang w:bidi="ar"/>
        </w:rPr>
      </w:pPr>
      <w:r>
        <w:rPr>
          <w:rFonts w:hint="eastAsia" w:ascii="宋体" w:hAnsi="宋体" w:cs="宋体"/>
          <w:bCs/>
          <w:szCs w:val="28"/>
          <w:lang w:bidi="ar"/>
        </w:rPr>
        <w:t>3.6.3每个器材箱门两侧均安装有条形LED照明灯带；</w:t>
      </w:r>
    </w:p>
    <w:p>
      <w:pPr>
        <w:spacing w:line="576" w:lineRule="exact"/>
        <w:ind w:firstLine="560"/>
        <w:rPr>
          <w:rFonts w:ascii="宋体" w:hAnsi="宋体" w:cs="宋体"/>
          <w:bCs/>
          <w:szCs w:val="28"/>
          <w:lang w:bidi="ar"/>
        </w:rPr>
      </w:pPr>
      <w:r>
        <w:rPr>
          <w:rFonts w:hint="eastAsia" w:ascii="宋体" w:hAnsi="宋体" w:cs="宋体"/>
          <w:bCs/>
          <w:szCs w:val="28"/>
          <w:lang w:bidi="ar"/>
        </w:rPr>
        <w:t>3.6.4车厢两侧上部各配置2只独立控制爆闪灯,3只独立控制LED照明灯，车顶内侧设置LED照明灯带便于夜间车顶照明；</w:t>
      </w:r>
    </w:p>
    <w:p>
      <w:pPr>
        <w:spacing w:line="576" w:lineRule="exact"/>
        <w:ind w:firstLine="560"/>
        <w:rPr>
          <w:rFonts w:ascii="宋体" w:hAnsi="宋体" w:cs="宋体"/>
          <w:bCs/>
          <w:szCs w:val="28"/>
          <w:lang w:bidi="ar"/>
        </w:rPr>
      </w:pPr>
      <w:r>
        <w:rPr>
          <w:rFonts w:hint="eastAsia" w:ascii="宋体" w:hAnsi="宋体" w:cs="宋体"/>
          <w:bCs/>
          <w:szCs w:val="28"/>
          <w:lang w:bidi="ar"/>
        </w:rPr>
        <w:t>3.6.5车厢内LED照明灯，随门启闭自动开关，无死角，满足夜间照明需求，确保照明美观及安全；</w:t>
      </w:r>
    </w:p>
    <w:p>
      <w:pPr>
        <w:spacing w:line="576" w:lineRule="exact"/>
        <w:ind w:firstLine="560"/>
        <w:rPr>
          <w:rFonts w:ascii="宋体" w:hAnsi="宋体" w:cs="宋体"/>
          <w:bCs/>
          <w:szCs w:val="28"/>
          <w:lang w:bidi="ar"/>
        </w:rPr>
      </w:pPr>
      <w:r>
        <w:rPr>
          <w:rFonts w:hint="eastAsia" w:ascii="宋体" w:hAnsi="宋体" w:cs="宋体"/>
          <w:bCs/>
          <w:szCs w:val="28"/>
          <w:lang w:bidi="ar"/>
        </w:rPr>
        <w:t>3.6.6所有外置车灯、灯具均须加装防护罩，上装所有保险丝和继电器安装在一个保险盒中；</w:t>
      </w:r>
    </w:p>
    <w:p>
      <w:pPr>
        <w:spacing w:line="576" w:lineRule="exact"/>
        <w:ind w:firstLine="560"/>
        <w:rPr>
          <w:rFonts w:ascii="宋体" w:hAnsi="宋体" w:cs="宋体"/>
          <w:bCs/>
          <w:szCs w:val="28"/>
          <w:lang w:bidi="ar"/>
        </w:rPr>
      </w:pPr>
      <w:r>
        <w:rPr>
          <w:rFonts w:hint="eastAsia" w:ascii="宋体" w:hAnsi="宋体" w:cs="宋体"/>
          <w:bCs/>
          <w:szCs w:val="28"/>
          <w:lang w:bidi="ar"/>
        </w:rPr>
        <w:t>3.6.7车内电气照明应使用防潮灯具，防护等级不低于IP67；</w:t>
      </w:r>
    </w:p>
    <w:p>
      <w:pPr>
        <w:spacing w:line="576" w:lineRule="exact"/>
        <w:ind w:firstLine="560"/>
        <w:rPr>
          <w:rFonts w:ascii="宋体" w:hAnsi="宋体" w:cs="宋体"/>
          <w:bCs/>
          <w:szCs w:val="28"/>
          <w:lang w:bidi="ar"/>
        </w:rPr>
      </w:pPr>
      <w:r>
        <w:rPr>
          <w:rFonts w:hint="eastAsia" w:ascii="宋体" w:hAnsi="宋体" w:cs="宋体"/>
          <w:bCs/>
          <w:szCs w:val="28"/>
          <w:lang w:bidi="ar"/>
        </w:rPr>
        <w:t>3.6.8所有说明牌和标牌都具有持久性和高附着性，受一般外力情况下不脱落或字迹模糊；</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3.6.9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rPr>
          <w:rFonts w:ascii="宋体" w:hAnsi="宋体" w:cs="宋体"/>
          <w:szCs w:val="28"/>
        </w:rPr>
      </w:pPr>
      <w:r>
        <w:rPr>
          <w:rFonts w:hint="eastAsia" w:ascii="宋体" w:hAnsi="宋体" w:cs="宋体"/>
          <w:bCs/>
          <w:szCs w:val="28"/>
          <w:lang w:bidi="ar"/>
        </w:rPr>
        <w:t>3.6.10供电系统：具备由市电、车载发电机供电切换功能，保障车辆使用。配置外接电源输入输出接口，可外接市政电源（AC380V/50HZ）供给车内设备使用，电源引入处采用航插连接，能自动锁紧，防止脱落，安全可靠。电源引入装置设有漏电保护，当舱内漏电流超过30mA或发生短路故障时自动切断电源，保障人员及设备安全；车载发电机组：独立式柴油静音发电机，在无外接市电情况下，既可为整车用电设施供电，具有过压、欠压，过载、缺相等保护功能，也可外接对其他用电设备进行供电，留有对外供电接口（220V和380V输出电压各不少于1个）</w:t>
      </w:r>
      <w:r>
        <w:rPr>
          <w:rFonts w:hint="eastAsia" w:ascii="宋体" w:hAnsi="宋体" w:cs="宋体"/>
          <w:bCs/>
          <w:szCs w:val="28"/>
          <w:lang w:eastAsia="zh-CN" w:bidi="ar"/>
        </w:rPr>
        <w:t>，</w:t>
      </w:r>
      <w:r>
        <w:rPr>
          <w:rFonts w:hint="eastAsia" w:ascii="宋体" w:hAnsi="宋体" w:cs="宋体"/>
          <w:bCs/>
          <w:szCs w:val="28"/>
          <w:lang w:bidi="ar"/>
        </w:rPr>
        <w:t>额定功率：≥30kW</w:t>
      </w:r>
      <w:r>
        <w:rPr>
          <w:rFonts w:hint="eastAsia" w:ascii="宋体" w:hAnsi="宋体" w:cs="宋体"/>
          <w:bCs/>
          <w:szCs w:val="28"/>
          <w:lang w:eastAsia="zh-CN" w:bidi="ar"/>
        </w:rPr>
        <w:t>，</w:t>
      </w:r>
      <w:r>
        <w:rPr>
          <w:rFonts w:hint="eastAsia" w:ascii="宋体" w:hAnsi="宋体" w:cs="宋体"/>
          <w:bCs/>
          <w:szCs w:val="28"/>
          <w:lang w:bidi="ar"/>
        </w:rPr>
        <w:t>且满足整装电器最大用电功率的120%，额定电压：220/380V，配置50m电线卷盘2套（母线380V×50m，三相四线制；子线220V×50m）。具备直接显示电压、频率、负载、燃油量、电瓶电量、机油报警提示等功能，连续供电时间不低于24小时；</w:t>
      </w:r>
    </w:p>
    <w:p>
      <w:pPr>
        <w:spacing w:line="576" w:lineRule="exact"/>
        <w:ind w:firstLine="560"/>
        <w:rPr>
          <w:rFonts w:ascii="宋体" w:hAnsi="宋体" w:cs="宋体"/>
          <w:bCs/>
          <w:szCs w:val="28"/>
          <w:lang w:bidi="ar"/>
        </w:rPr>
      </w:pPr>
      <w:r>
        <w:rPr>
          <w:rFonts w:hint="eastAsia" w:ascii="宋体" w:hAnsi="宋体" w:cs="宋体"/>
          <w:bCs/>
          <w:szCs w:val="28"/>
          <w:lang w:bidi="ar"/>
        </w:rPr>
        <w:t>3.7控制系统</w:t>
      </w:r>
    </w:p>
    <w:p>
      <w:pPr>
        <w:spacing w:line="576" w:lineRule="exact"/>
        <w:ind w:firstLine="560"/>
        <w:rPr>
          <w:rFonts w:ascii="宋体" w:hAnsi="宋体" w:cs="宋体"/>
          <w:bCs/>
          <w:szCs w:val="28"/>
          <w:lang w:bidi="ar"/>
        </w:rPr>
      </w:pPr>
      <w:r>
        <w:rPr>
          <w:rFonts w:hint="eastAsia" w:ascii="宋体" w:hAnsi="宋体" w:cs="宋体"/>
          <w:bCs/>
          <w:szCs w:val="28"/>
          <w:lang w:bidi="ar"/>
        </w:rPr>
        <w:t>3.7.1控制系统：采用国内产品继电控制且双回路供电，实现净水作业功能所必须的仪表参数显示、设备控制及状态指示功能，确保控制系统及仪表的供电安全；操作面板上仪表单位应采用国家标准单位；控制开关至少包括：电源开关、纯净运行、反渗透膜清洗、自动受水、急停等；仪表显示至少包括：纯净水流量、纯净系统累计工作时间、原水电导率、产水电导率、水位值、压力表等；</w:t>
      </w:r>
    </w:p>
    <w:p>
      <w:pPr>
        <w:spacing w:line="576" w:lineRule="exact"/>
        <w:ind w:firstLine="560"/>
        <w:rPr>
          <w:rFonts w:ascii="宋体" w:hAnsi="宋体" w:cs="宋体"/>
          <w:szCs w:val="28"/>
        </w:rPr>
      </w:pPr>
      <w:r>
        <w:rPr>
          <w:rFonts w:hint="eastAsia" w:ascii="宋体" w:hAnsi="宋体" w:cs="宋体"/>
          <w:bCs/>
          <w:szCs w:val="28"/>
          <w:lang w:bidi="ar"/>
        </w:rPr>
        <w:t>3.7.2CAN总线控制系统：采用CAN总线集成控制，可实现净水作业功能必须的仪表参数显示、设备控制及状态指示功能等；</w:t>
      </w:r>
    </w:p>
    <w:p>
      <w:pPr>
        <w:spacing w:line="576" w:lineRule="exact"/>
        <w:ind w:firstLine="280" w:firstLineChars="100"/>
        <w:rPr>
          <w:rFonts w:ascii="宋体" w:hAnsi="宋体" w:cs="宋体"/>
          <w:szCs w:val="28"/>
          <w:lang w:bidi="ar"/>
        </w:rPr>
      </w:pPr>
      <w:r>
        <w:rPr>
          <w:rFonts w:hint="eastAsia" w:ascii="宋体" w:hAnsi="宋体" w:cs="宋体"/>
          <w:szCs w:val="28"/>
          <w:lang w:bidi="ar"/>
        </w:rPr>
        <w:t>4.随车器材</w:t>
      </w:r>
    </w:p>
    <w:p>
      <w:pPr>
        <w:spacing w:line="576" w:lineRule="exact"/>
        <w:ind w:firstLine="280" w:firstLineChars="100"/>
        <w:rPr>
          <w:rFonts w:ascii="宋体" w:hAnsi="宋体" w:cs="宋体"/>
          <w:bCs/>
          <w:szCs w:val="28"/>
          <w:lang w:bidi="ar"/>
        </w:rPr>
      </w:pPr>
      <w:r>
        <w:rPr>
          <w:rFonts w:hint="eastAsia" w:ascii="宋体" w:hAnsi="宋体" w:cs="宋体"/>
          <w:bCs/>
          <w:szCs w:val="28"/>
          <w:lang w:bidi="ar"/>
        </w:rPr>
        <w:t>器材名称，单位，数量，规格</w:t>
      </w:r>
    </w:p>
    <w:tbl>
      <w:tblPr>
        <w:tblStyle w:val="14"/>
        <w:tblW w:w="54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3057"/>
        <w:gridCol w:w="1030"/>
        <w:gridCol w:w="922"/>
        <w:gridCol w:w="3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5"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序号</w:t>
            </w:r>
          </w:p>
        </w:tc>
        <w:tc>
          <w:tcPr>
            <w:tcW w:w="1638"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名称</w:t>
            </w:r>
          </w:p>
        </w:tc>
        <w:tc>
          <w:tcPr>
            <w:tcW w:w="552"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单位</w:t>
            </w:r>
          </w:p>
        </w:tc>
        <w:tc>
          <w:tcPr>
            <w:tcW w:w="494"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数量</w:t>
            </w:r>
          </w:p>
        </w:tc>
        <w:tc>
          <w:tcPr>
            <w:tcW w:w="1848"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5"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c>
          <w:tcPr>
            <w:tcW w:w="1638"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c>
          <w:tcPr>
            <w:tcW w:w="552"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c>
          <w:tcPr>
            <w:tcW w:w="494"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c>
          <w:tcPr>
            <w:tcW w:w="1848"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65" w:type="pct"/>
            <w:vMerge w:val="restar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638" w:type="pct"/>
            <w:vMerge w:val="restar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消防水带</w:t>
            </w:r>
          </w:p>
        </w:tc>
        <w:tc>
          <w:tcPr>
            <w:tcW w:w="552" w:type="pct"/>
            <w:vMerge w:val="restar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盘</w:t>
            </w:r>
          </w:p>
        </w:tc>
        <w:tc>
          <w:tcPr>
            <w:tcW w:w="494" w:type="pct"/>
            <w:tcBorders>
              <w:top w:val="single" w:color="auto" w:sz="4" w:space="0"/>
              <w:left w:val="single" w:color="auto" w:sz="4" w:space="0"/>
              <w:bottom w:val="single" w:color="auto" w:sz="4" w:space="0"/>
              <w:right w:val="single" w:color="auto" w:sz="4" w:space="0"/>
            </w:tcBorders>
            <w:tcMar>
              <w:left w:w="0" w:type="dxa"/>
              <w:right w:w="0" w:type="dxa"/>
            </w:tcMar>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12</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20-65-20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5" w:type="pct"/>
            <w:vMerge w:val="continue"/>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c>
          <w:tcPr>
            <w:tcW w:w="1638" w:type="pct"/>
            <w:vMerge w:val="continue"/>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c>
          <w:tcPr>
            <w:tcW w:w="552" w:type="pct"/>
            <w:vMerge w:val="continue"/>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c>
          <w:tcPr>
            <w:tcW w:w="494" w:type="pct"/>
            <w:tcBorders>
              <w:top w:val="single" w:color="auto" w:sz="4" w:space="0"/>
              <w:left w:val="single" w:color="auto" w:sz="4" w:space="0"/>
              <w:bottom w:val="single" w:color="auto" w:sz="4" w:space="0"/>
              <w:right w:val="single" w:color="auto" w:sz="4" w:space="0"/>
            </w:tcBorders>
            <w:tcMar>
              <w:left w:w="0" w:type="dxa"/>
              <w:right w:w="0" w:type="dxa"/>
            </w:tcMar>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12</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20-80-20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干粉灭火器</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具</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8kg，ABC干粉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3</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移动水囊</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储水量不低于3立方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4</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浮圈</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个</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2</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与潜水泵配套使用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5</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rPr>
              <w:t>50米市电电缆卷盘</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盘</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rPr>
              <w:t>2</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6</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地上消火栓扳手</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件</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48" w:type="pct"/>
            <w:vMerge w:val="restar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根据地域要求进行合理配置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7</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地下消火栓扳手</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件</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48" w:type="pct"/>
            <w:vMerge w:val="continue"/>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异径接口</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4</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65内扣式/80卡式雌、65内扣式/80卡式雄、65/80卡式接口互转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9</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车用三角警示牌</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块</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szCs w:val="28"/>
              </w:rPr>
              <w:t>符合GB19151-2003标准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10</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警戒带</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盘</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11</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橡胶式水带护桥</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副</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12</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水带包布</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件</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不锈钢活动外套加软防护内衬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13</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水带挂钩</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件</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不锈钢活动外套可卡在水带接口处进行固定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14</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破拆工具</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铁铤、丁字镐等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15</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车辆制动垫块</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16</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防滑链</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钢链或优于此材质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17</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随车工具</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随车底盘工具及专用工具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18</w:t>
            </w:r>
          </w:p>
        </w:tc>
        <w:tc>
          <w:tcPr>
            <w:tcW w:w="163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随车配件</w:t>
            </w:r>
          </w:p>
        </w:tc>
        <w:tc>
          <w:tcPr>
            <w:tcW w:w="55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494"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48"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电路保险丝及</w:t>
            </w:r>
            <w:r>
              <w:rPr>
                <w:rFonts w:hint="eastAsia" w:ascii="宋体" w:hAnsi="宋体" w:cs="宋体"/>
                <w:szCs w:val="28"/>
              </w:rPr>
              <w:t>原装底盘保养滤芯（空滤、柴油油滤、机滤、空调滤芯）等</w:t>
            </w:r>
          </w:p>
        </w:tc>
      </w:tr>
    </w:tbl>
    <w:p>
      <w:pPr>
        <w:spacing w:line="576" w:lineRule="exact"/>
        <w:ind w:firstLine="560"/>
        <w:rPr>
          <w:rFonts w:ascii="宋体" w:hAnsi="宋体" w:cs="宋体"/>
          <w:szCs w:val="28"/>
          <w:lang w:bidi="ar"/>
        </w:rPr>
      </w:pPr>
      <w:r>
        <w:rPr>
          <w:rFonts w:hint="eastAsia" w:ascii="宋体" w:hAnsi="宋体" w:cs="宋体"/>
          <w:szCs w:val="28"/>
          <w:lang w:bidi="ar"/>
        </w:rPr>
        <w:t>5.随车附件</w:t>
      </w:r>
    </w:p>
    <w:p>
      <w:pPr>
        <w:spacing w:line="576" w:lineRule="exact"/>
        <w:ind w:firstLine="560"/>
        <w:rPr>
          <w:rFonts w:ascii="宋体" w:hAnsi="宋体" w:cs="宋体"/>
          <w:bCs/>
          <w:szCs w:val="28"/>
          <w:lang w:bidi="ar"/>
        </w:rPr>
      </w:pPr>
      <w:r>
        <w:rPr>
          <w:rFonts w:hint="eastAsia" w:ascii="宋体" w:hAnsi="宋体" w:cs="宋体"/>
          <w:bCs/>
          <w:szCs w:val="28"/>
          <w:lang w:bidi="ar"/>
        </w:rPr>
        <w:t>5.1随车文件（中文）；</w:t>
      </w:r>
    </w:p>
    <w:p>
      <w:pPr>
        <w:spacing w:line="576" w:lineRule="exact"/>
        <w:ind w:firstLine="560"/>
        <w:rPr>
          <w:rFonts w:ascii="宋体" w:hAnsi="宋体" w:cs="宋体"/>
          <w:bCs/>
          <w:szCs w:val="28"/>
          <w:lang w:bidi="ar"/>
        </w:rPr>
      </w:pPr>
      <w:r>
        <w:rPr>
          <w:rFonts w:hint="eastAsia" w:ascii="宋体" w:hAnsi="宋体" w:cs="宋体"/>
          <w:bCs/>
          <w:szCs w:val="28"/>
          <w:lang w:bidi="ar"/>
        </w:rPr>
        <w:t>5.2底盘使用、维护说明书（3份）；</w:t>
      </w:r>
    </w:p>
    <w:p>
      <w:pPr>
        <w:spacing w:line="576" w:lineRule="exact"/>
        <w:ind w:firstLine="560"/>
        <w:rPr>
          <w:rFonts w:ascii="宋体" w:hAnsi="宋体" w:cs="宋体"/>
          <w:bCs/>
          <w:szCs w:val="28"/>
          <w:lang w:bidi="ar"/>
        </w:rPr>
      </w:pPr>
      <w:r>
        <w:rPr>
          <w:rFonts w:hint="eastAsia" w:ascii="宋体" w:hAnsi="宋体" w:cs="宋体"/>
          <w:bCs/>
          <w:szCs w:val="28"/>
          <w:lang w:bidi="ar"/>
        </w:rPr>
        <w:t>5.3底盘质量保修卡、合格证（1份）；</w:t>
      </w:r>
    </w:p>
    <w:p>
      <w:pPr>
        <w:spacing w:line="576" w:lineRule="exact"/>
        <w:ind w:firstLine="560"/>
        <w:rPr>
          <w:rFonts w:ascii="宋体" w:hAnsi="宋体" w:cs="宋体"/>
          <w:bCs/>
          <w:szCs w:val="28"/>
          <w:lang w:bidi="ar"/>
        </w:rPr>
      </w:pPr>
      <w:r>
        <w:rPr>
          <w:rFonts w:hint="eastAsia" w:ascii="宋体" w:hAnsi="宋体" w:cs="宋体"/>
          <w:bCs/>
          <w:szCs w:val="28"/>
          <w:lang w:bidi="ar"/>
        </w:rPr>
        <w:t>5.4底盘维修手册（1份）；</w:t>
      </w:r>
    </w:p>
    <w:p>
      <w:pPr>
        <w:spacing w:line="576" w:lineRule="exact"/>
        <w:ind w:firstLine="560"/>
        <w:rPr>
          <w:rFonts w:ascii="宋体" w:hAnsi="宋体" w:cs="宋体"/>
          <w:bCs/>
          <w:szCs w:val="28"/>
          <w:lang w:bidi="ar"/>
        </w:rPr>
      </w:pPr>
      <w:r>
        <w:rPr>
          <w:rFonts w:hint="eastAsia" w:ascii="宋体" w:hAnsi="宋体" w:cs="宋体"/>
          <w:bCs/>
          <w:szCs w:val="28"/>
          <w:lang w:bidi="ar"/>
        </w:rPr>
        <w:t>5.5底盘改装手册（1份）；</w:t>
      </w:r>
    </w:p>
    <w:p>
      <w:pPr>
        <w:spacing w:line="576" w:lineRule="exact"/>
        <w:ind w:firstLine="560"/>
        <w:rPr>
          <w:rFonts w:ascii="宋体" w:hAnsi="宋体" w:cs="宋体"/>
          <w:bCs/>
          <w:szCs w:val="28"/>
          <w:lang w:bidi="ar"/>
        </w:rPr>
      </w:pPr>
      <w:r>
        <w:rPr>
          <w:rFonts w:hint="eastAsia" w:ascii="宋体" w:hAnsi="宋体" w:cs="宋体"/>
          <w:bCs/>
          <w:szCs w:val="28"/>
          <w:lang w:bidi="ar"/>
        </w:rPr>
        <w:t>5.6底盘电气原理图（1份）；</w:t>
      </w:r>
    </w:p>
    <w:p>
      <w:pPr>
        <w:spacing w:line="576" w:lineRule="exact"/>
        <w:ind w:firstLine="560"/>
        <w:rPr>
          <w:rFonts w:ascii="宋体" w:hAnsi="宋体" w:cs="宋体"/>
          <w:bCs/>
          <w:szCs w:val="28"/>
          <w:lang w:bidi="ar"/>
        </w:rPr>
      </w:pPr>
      <w:r>
        <w:rPr>
          <w:rFonts w:hint="eastAsia" w:ascii="宋体" w:hAnsi="宋体" w:cs="宋体"/>
          <w:bCs/>
          <w:szCs w:val="28"/>
          <w:lang w:bidi="ar"/>
        </w:rPr>
        <w:t>5.7底盘零件目录图册（2份）；</w:t>
      </w:r>
    </w:p>
    <w:p>
      <w:pPr>
        <w:spacing w:line="576" w:lineRule="exact"/>
        <w:ind w:firstLine="560"/>
        <w:rPr>
          <w:rFonts w:ascii="宋体" w:hAnsi="宋体" w:cs="宋体"/>
          <w:bCs/>
          <w:szCs w:val="28"/>
          <w:lang w:bidi="ar"/>
        </w:rPr>
      </w:pPr>
      <w:r>
        <w:rPr>
          <w:rFonts w:hint="eastAsia" w:ascii="宋体" w:hAnsi="宋体" w:cs="宋体"/>
          <w:bCs/>
          <w:szCs w:val="28"/>
          <w:lang w:bidi="ar"/>
        </w:rPr>
        <w:t>5.8底盘厂家提供的底盘随车配件清单（1份）；</w:t>
      </w:r>
    </w:p>
    <w:p>
      <w:pPr>
        <w:spacing w:line="576" w:lineRule="exact"/>
        <w:ind w:firstLine="560"/>
        <w:rPr>
          <w:rFonts w:ascii="宋体" w:hAnsi="宋体" w:cs="宋体"/>
          <w:bCs/>
          <w:szCs w:val="28"/>
          <w:lang w:bidi="ar"/>
        </w:rPr>
      </w:pPr>
      <w:r>
        <w:rPr>
          <w:rFonts w:hint="eastAsia" w:ascii="宋体" w:hAnsi="宋体" w:cs="宋体"/>
          <w:bCs/>
          <w:szCs w:val="28"/>
          <w:lang w:bidi="ar"/>
        </w:rPr>
        <w:t>5.9车辆整车合格证（1份）；</w:t>
      </w:r>
    </w:p>
    <w:p>
      <w:pPr>
        <w:spacing w:line="576" w:lineRule="exact"/>
        <w:ind w:firstLine="560"/>
        <w:rPr>
          <w:rFonts w:ascii="宋体" w:hAnsi="宋体" w:cs="宋体"/>
          <w:bCs/>
          <w:szCs w:val="28"/>
          <w:lang w:bidi="ar"/>
        </w:rPr>
      </w:pPr>
      <w:r>
        <w:rPr>
          <w:rFonts w:hint="eastAsia" w:ascii="宋体" w:hAnsi="宋体" w:cs="宋体"/>
          <w:bCs/>
          <w:szCs w:val="28"/>
          <w:lang w:bidi="ar"/>
        </w:rPr>
        <w:t>5.10上装操作使用说明书（附零部件结构图和技术资料，生产厂商联系方式及地址），配操作演示示范光盘（3份、电子版1份）；</w:t>
      </w:r>
    </w:p>
    <w:p>
      <w:pPr>
        <w:spacing w:line="576" w:lineRule="exact"/>
        <w:ind w:firstLine="560"/>
        <w:rPr>
          <w:rFonts w:ascii="宋体" w:hAnsi="宋体" w:cs="宋体"/>
          <w:bCs/>
          <w:szCs w:val="28"/>
          <w:lang w:bidi="ar"/>
        </w:rPr>
      </w:pPr>
      <w:r>
        <w:rPr>
          <w:rFonts w:hint="eastAsia" w:ascii="宋体" w:hAnsi="宋体" w:cs="宋体"/>
          <w:bCs/>
          <w:szCs w:val="28"/>
          <w:lang w:bidi="ar"/>
        </w:rPr>
        <w:t>5.11上装维护保养说明书（附管路系统、气动系统、电路配线图）（3份、电子版1份），上装零配件目录图册（3份）；</w:t>
      </w:r>
    </w:p>
    <w:p>
      <w:pPr>
        <w:spacing w:line="576" w:lineRule="exact"/>
        <w:ind w:firstLine="560"/>
        <w:rPr>
          <w:rFonts w:ascii="宋体" w:hAnsi="宋体" w:cs="宋体"/>
          <w:bCs/>
          <w:szCs w:val="28"/>
          <w:lang w:bidi="ar"/>
        </w:rPr>
      </w:pPr>
      <w:r>
        <w:rPr>
          <w:rFonts w:hint="eastAsia" w:ascii="宋体" w:hAnsi="宋体" w:cs="宋体"/>
          <w:bCs/>
          <w:szCs w:val="28"/>
          <w:lang w:bidi="ar"/>
        </w:rPr>
        <w:t>5.12随车工具清单、器材清单（1份）；</w:t>
      </w:r>
    </w:p>
    <w:p>
      <w:pPr>
        <w:spacing w:line="576" w:lineRule="exact"/>
        <w:ind w:firstLine="560"/>
        <w:rPr>
          <w:rFonts w:ascii="宋体" w:hAnsi="宋体" w:cs="宋体"/>
          <w:bCs/>
          <w:szCs w:val="28"/>
          <w:lang w:bidi="ar"/>
        </w:rPr>
      </w:pPr>
      <w:r>
        <w:rPr>
          <w:rFonts w:hint="eastAsia" w:ascii="宋体" w:hAnsi="宋体" w:cs="宋体"/>
          <w:bCs/>
          <w:szCs w:val="28"/>
          <w:lang w:bidi="ar"/>
        </w:rPr>
        <w:t>5.13车架号、发动机号拓印件（2份）；</w:t>
      </w:r>
    </w:p>
    <w:p>
      <w:pPr>
        <w:spacing w:line="576" w:lineRule="exact"/>
        <w:ind w:firstLine="560"/>
        <w:rPr>
          <w:rFonts w:ascii="宋体" w:hAnsi="宋体" w:cs="宋体"/>
          <w:bCs/>
          <w:szCs w:val="28"/>
          <w:lang w:bidi="ar"/>
        </w:rPr>
      </w:pPr>
      <w:r>
        <w:rPr>
          <w:rFonts w:hint="eastAsia" w:ascii="宋体" w:hAnsi="宋体" w:cs="宋体"/>
          <w:bCs/>
          <w:szCs w:val="28"/>
          <w:lang w:bidi="ar"/>
        </w:rPr>
        <w:t>5.14跟踪服务卡（1份）；</w:t>
      </w:r>
    </w:p>
    <w:p>
      <w:pPr>
        <w:spacing w:line="576" w:lineRule="exact"/>
        <w:ind w:firstLine="560"/>
        <w:rPr>
          <w:rFonts w:ascii="宋体" w:hAnsi="宋体" w:cs="宋体"/>
          <w:bCs/>
          <w:szCs w:val="28"/>
          <w:lang w:bidi="ar"/>
        </w:rPr>
      </w:pPr>
      <w:r>
        <w:rPr>
          <w:rFonts w:hint="eastAsia" w:ascii="宋体" w:hAnsi="宋体" w:cs="宋体"/>
          <w:bCs/>
          <w:szCs w:val="28"/>
          <w:lang w:bidi="ar"/>
        </w:rPr>
        <w:t>5.15随车免费提供部分底盘和上装、随车设备使用、保养、维修用的配件、必备工具和易损备件（附清单）。</w:t>
      </w:r>
    </w:p>
    <w:p>
      <w:pPr>
        <w:spacing w:line="576" w:lineRule="exact"/>
        <w:ind w:firstLine="560"/>
        <w:rPr>
          <w:rFonts w:ascii="宋体" w:hAnsi="宋体" w:cs="宋体"/>
          <w:bCs/>
          <w:szCs w:val="28"/>
          <w:lang w:bidi="ar"/>
        </w:rPr>
      </w:pPr>
      <w:r>
        <w:rPr>
          <w:rFonts w:hint="eastAsia" w:ascii="宋体" w:hAnsi="宋体" w:cs="宋体"/>
          <w:bCs/>
          <w:szCs w:val="28"/>
          <w:lang w:bidi="ar"/>
        </w:rPr>
        <w:t>5.16所有操作开关、仪表、器材架及车辆均有规范的永久性中文铭牌标识；</w:t>
      </w:r>
    </w:p>
    <w:p>
      <w:pPr>
        <w:spacing w:line="576" w:lineRule="exact"/>
        <w:ind w:firstLine="560"/>
        <w:rPr>
          <w:rFonts w:ascii="宋体" w:hAnsi="宋体" w:cs="宋体"/>
          <w:bCs/>
          <w:szCs w:val="28"/>
          <w:lang w:bidi="ar"/>
        </w:rPr>
      </w:pPr>
      <w:r>
        <w:rPr>
          <w:rFonts w:hint="eastAsia" w:ascii="宋体" w:hAnsi="宋体" w:cs="宋体"/>
          <w:szCs w:val="28"/>
        </w:rPr>
        <w:t>▲5.17</w:t>
      </w:r>
      <w:r>
        <w:rPr>
          <w:rFonts w:hint="eastAsia" w:ascii="宋体" w:hAnsi="宋体" w:cs="宋体"/>
          <w:bCs/>
          <w:szCs w:val="28"/>
          <w:lang w:bidi="ar"/>
        </w:rPr>
        <w:t>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br w:type="page"/>
      </w:r>
    </w:p>
    <w:p>
      <w:pPr>
        <w:pStyle w:val="4"/>
        <w:bidi w:val="0"/>
      </w:pPr>
      <w:bookmarkStart w:id="65" w:name="_Toc17309"/>
      <w:r>
        <w:rPr>
          <w:rFonts w:hint="eastAsia"/>
        </w:rPr>
        <w:t>包</w:t>
      </w:r>
      <w:r>
        <w:rPr>
          <w:rFonts w:hint="eastAsia"/>
          <w:lang w:val="en-US" w:eastAsia="zh-CN"/>
        </w:rPr>
        <w:t>22</w:t>
      </w:r>
      <w:r>
        <w:rPr>
          <w:rFonts w:hint="eastAsia"/>
        </w:rPr>
        <w:t xml:space="preserve">  </w:t>
      </w:r>
      <w:r>
        <w:rPr>
          <w:rFonts w:hint="eastAsia"/>
          <w:lang w:eastAsia="zh-CN"/>
        </w:rPr>
        <w:t>“</w:t>
      </w:r>
      <w:r>
        <w:rPr>
          <w:rFonts w:hint="eastAsia"/>
        </w:rPr>
        <w:t>潜水救援车</w:t>
      </w:r>
      <w:r>
        <w:rPr>
          <w:rFonts w:hint="eastAsia"/>
          <w:lang w:eastAsia="zh-CN"/>
        </w:rPr>
        <w:t>”</w:t>
      </w:r>
      <w:bookmarkEnd w:id="65"/>
    </w:p>
    <w:p>
      <w:pPr>
        <w:spacing w:line="576" w:lineRule="exact"/>
        <w:ind w:firstLine="560"/>
        <w:rPr>
          <w:rFonts w:ascii="宋体" w:hAnsi="宋体" w:cs="宋体"/>
          <w:bCs/>
          <w:szCs w:val="28"/>
          <w:lang w:bidi="ar"/>
        </w:rPr>
      </w:pPr>
      <w:r>
        <w:rPr>
          <w:rFonts w:hint="eastAsia" w:ascii="宋体" w:hAnsi="宋体" w:cs="宋体"/>
          <w:bCs/>
          <w:szCs w:val="28"/>
          <w:lang w:bidi="ar"/>
        </w:rPr>
        <w:t>符合GB7956.1-2014《</w:t>
      </w:r>
      <w:r>
        <w:rPr>
          <w:rFonts w:hint="eastAsia" w:ascii="宋体" w:hAnsi="宋体" w:cs="宋体"/>
          <w:bCs/>
          <w:szCs w:val="28"/>
          <w:lang w:bidi="ar"/>
        </w:rPr>
        <w:fldChar w:fldCharType="begin"/>
      </w:r>
      <w:r>
        <w:rPr>
          <w:rFonts w:hint="eastAsia" w:ascii="宋体" w:hAnsi="宋体" w:cs="宋体"/>
          <w:bCs/>
          <w:szCs w:val="28"/>
          <w:lang w:bidi="ar"/>
        </w:rPr>
        <w:instrText xml:space="preserve"> HYPERLINK "" \l ""</w:instrText>
      </w:r>
      <w:r>
        <w:rPr>
          <w:rFonts w:hint="eastAsia" w:ascii="宋体" w:hAnsi="宋体" w:cs="宋体"/>
          <w:bCs/>
          <w:szCs w:val="28"/>
          <w:lang w:bidi="ar"/>
        </w:rPr>
        <w:fldChar w:fldCharType="separate"/>
      </w:r>
      <w:r>
        <w:rPr>
          <w:rFonts w:hint="eastAsia" w:ascii="宋体" w:hAnsi="宋体" w:cs="宋体"/>
          <w:bCs/>
          <w:szCs w:val="28"/>
          <w:lang w:bidi="ar"/>
        </w:rPr>
        <w:t>消防车第1部分：通用技术条件</w:t>
      </w:r>
      <w:r>
        <w:rPr>
          <w:rFonts w:hint="eastAsia" w:ascii="宋体" w:hAnsi="宋体" w:cs="宋体"/>
          <w:bCs/>
          <w:szCs w:val="28"/>
          <w:lang w:bidi="ar"/>
        </w:rPr>
        <w:fldChar w:fldCharType="end"/>
      </w:r>
      <w:r>
        <w:rPr>
          <w:rFonts w:hint="eastAsia" w:ascii="宋体" w:hAnsi="宋体" w:cs="宋体"/>
          <w:bCs/>
          <w:szCs w:val="28"/>
          <w:lang w:bidi="ar"/>
        </w:rPr>
        <w:t>》、GB1589-2016《汽车、挂车及汽车列车外廓尺寸、轴荷及质量限值》等国家标准。</w:t>
      </w:r>
    </w:p>
    <w:p>
      <w:pPr>
        <w:spacing w:line="576" w:lineRule="exact"/>
        <w:ind w:firstLine="560"/>
        <w:rPr>
          <w:rFonts w:ascii="宋体" w:hAnsi="宋体" w:cs="宋体"/>
          <w:szCs w:val="28"/>
          <w:lang w:bidi="ar"/>
        </w:rPr>
      </w:pPr>
      <w:r>
        <w:rPr>
          <w:rFonts w:hint="eastAsia" w:ascii="宋体" w:hAnsi="宋体" w:cs="宋体"/>
          <w:szCs w:val="28"/>
          <w:lang w:bidi="ar"/>
        </w:rPr>
        <w:t>1.整车综合要求</w:t>
      </w:r>
    </w:p>
    <w:p>
      <w:pPr>
        <w:spacing w:line="576" w:lineRule="exact"/>
        <w:ind w:firstLine="560"/>
        <w:rPr>
          <w:rFonts w:ascii="宋体" w:hAnsi="宋体" w:cs="宋体"/>
          <w:bCs/>
          <w:szCs w:val="28"/>
          <w:lang w:bidi="ar"/>
        </w:rPr>
      </w:pPr>
      <w:r>
        <w:rPr>
          <w:rFonts w:hint="eastAsia" w:ascii="宋体" w:hAnsi="宋体" w:cs="宋体"/>
          <w:bCs/>
          <w:szCs w:val="28"/>
          <w:lang w:bidi="ar"/>
        </w:rPr>
        <w:t>1.1外形尺寸:长≤10000㎜，宽≤2550㎜，高≤4000㎜，符合GB7956.1-2014标准要求；</w:t>
      </w:r>
    </w:p>
    <w:p>
      <w:pPr>
        <w:spacing w:line="576" w:lineRule="exact"/>
        <w:ind w:firstLine="560"/>
        <w:rPr>
          <w:rFonts w:ascii="宋体" w:hAnsi="宋体" w:cs="宋体"/>
          <w:bCs/>
          <w:szCs w:val="28"/>
          <w:lang w:bidi="ar"/>
        </w:rPr>
      </w:pPr>
      <w:r>
        <w:rPr>
          <w:rFonts w:hint="eastAsia" w:ascii="宋体" w:hAnsi="宋体" w:cs="宋体"/>
          <w:bCs/>
          <w:szCs w:val="28"/>
          <w:lang w:bidi="ar"/>
        </w:rPr>
        <w:t>1.2整车最大允许总质量：≥15000kg；</w:t>
      </w:r>
    </w:p>
    <w:p>
      <w:pPr>
        <w:spacing w:line="576" w:lineRule="exact"/>
        <w:ind w:firstLine="560"/>
        <w:rPr>
          <w:rFonts w:ascii="宋体" w:hAnsi="宋体" w:cs="宋体"/>
          <w:bCs/>
          <w:szCs w:val="28"/>
          <w:lang w:bidi="ar"/>
        </w:rPr>
      </w:pPr>
      <w:r>
        <w:rPr>
          <w:rFonts w:hint="eastAsia" w:ascii="宋体" w:hAnsi="宋体" w:cs="宋体"/>
          <w:bCs/>
          <w:szCs w:val="28"/>
          <w:lang w:bidi="ar"/>
        </w:rPr>
        <w:t>1.3驾乘室人员数量：≥6人；</w:t>
      </w:r>
    </w:p>
    <w:p>
      <w:pPr>
        <w:snapToGrid w:val="0"/>
        <w:spacing w:line="576" w:lineRule="exact"/>
        <w:ind w:firstLine="560"/>
        <w:rPr>
          <w:rFonts w:ascii="宋体" w:hAnsi="宋体" w:cs="宋体"/>
          <w:szCs w:val="28"/>
        </w:rPr>
      </w:pPr>
      <w:r>
        <w:rPr>
          <w:rFonts w:hint="eastAsia" w:ascii="宋体" w:hAnsi="宋体" w:cs="宋体"/>
          <w:szCs w:val="28"/>
          <w:lang w:bidi="ar"/>
        </w:rPr>
        <w:t>1.4车身颜色和漆料：消防车车身的颜色应符合GB/T3181-2008中规定的R03大红色；外观应光滑、平整、色泽均匀，不应有缺漆等缺陷，车顶和车身涂装的工艺、颜色保持一致，不得自行增加饰条、饰带、饰物；</w:t>
      </w:r>
    </w:p>
    <w:p>
      <w:pPr>
        <w:snapToGrid w:val="0"/>
        <w:spacing w:line="576" w:lineRule="exact"/>
        <w:ind w:firstLine="560"/>
        <w:rPr>
          <w:rFonts w:ascii="宋体" w:hAnsi="宋体" w:cs="宋体"/>
          <w:szCs w:val="28"/>
          <w:lang w:bidi="ar"/>
        </w:rPr>
      </w:pPr>
      <w:r>
        <w:rPr>
          <w:rFonts w:hint="eastAsia" w:ascii="宋体" w:hAnsi="宋体" w:cs="宋体"/>
          <w:szCs w:val="28"/>
          <w:lang w:bidi="ar"/>
        </w:rPr>
        <w:t>1.5外观标识：按照《消防救援局关于做好消防救援车辆外观制式涂装工作的通知》（应急消[2019]76号）要求涂装，车辆前后有预留牌照架（符合现行应急车牌尺寸，采用金属构件固定后结实耐用）；</w:t>
      </w:r>
    </w:p>
    <w:p>
      <w:pPr>
        <w:adjustRightInd w:val="0"/>
        <w:snapToGrid w:val="0"/>
        <w:spacing w:line="576" w:lineRule="exact"/>
        <w:ind w:firstLine="560"/>
        <w:rPr>
          <w:rFonts w:ascii="宋体" w:hAnsi="宋体" w:cs="宋体"/>
          <w:szCs w:val="28"/>
        </w:rPr>
      </w:pPr>
      <w:r>
        <w:rPr>
          <w:rFonts w:hint="eastAsia" w:ascii="宋体" w:hAnsi="宋体" w:cs="宋体"/>
          <w:szCs w:val="28"/>
          <w:lang w:bidi="ar"/>
        </w:rPr>
        <w:t>2.底盘要求</w:t>
      </w:r>
    </w:p>
    <w:p>
      <w:pPr>
        <w:snapToGrid w:val="0"/>
        <w:spacing w:line="576" w:lineRule="exact"/>
        <w:ind w:firstLine="560"/>
        <w:rPr>
          <w:rFonts w:ascii="宋体" w:hAnsi="宋体" w:cs="宋体"/>
          <w:bCs/>
          <w:szCs w:val="28"/>
        </w:rPr>
      </w:pPr>
      <w:r>
        <w:rPr>
          <w:rFonts w:hint="eastAsia" w:ascii="宋体" w:hAnsi="宋体" w:cs="宋体"/>
          <w:bCs/>
          <w:szCs w:val="28"/>
          <w:lang w:bidi="ar"/>
        </w:rPr>
        <w:t>2.1底盘</w:t>
      </w:r>
    </w:p>
    <w:p>
      <w:pPr>
        <w:snapToGrid w:val="0"/>
        <w:spacing w:line="576" w:lineRule="exact"/>
        <w:ind w:firstLine="560"/>
        <w:rPr>
          <w:rFonts w:ascii="宋体" w:hAnsi="宋体" w:cs="宋体"/>
          <w:bCs/>
          <w:szCs w:val="28"/>
        </w:rPr>
      </w:pPr>
      <w:r>
        <w:rPr>
          <w:rFonts w:hint="eastAsia" w:ascii="宋体" w:hAnsi="宋体" w:cs="宋体"/>
          <w:bCs/>
          <w:szCs w:val="28"/>
          <w:lang w:bidi="ar"/>
        </w:rPr>
        <w:t>2.1.1选用通用二类底盘；</w:t>
      </w:r>
    </w:p>
    <w:p>
      <w:pPr>
        <w:spacing w:line="576" w:lineRule="exact"/>
        <w:ind w:firstLine="560"/>
        <w:rPr>
          <w:rFonts w:ascii="宋体" w:hAnsi="宋体" w:cs="宋体"/>
          <w:bCs/>
          <w:szCs w:val="28"/>
        </w:rPr>
      </w:pPr>
      <w:r>
        <w:rPr>
          <w:rFonts w:hint="eastAsia" w:ascii="宋体" w:hAnsi="宋体" w:cs="宋体"/>
          <w:bCs/>
          <w:szCs w:val="28"/>
          <w:lang w:bidi="ar"/>
        </w:rPr>
        <w:t>2.1.2燃料种类:柴油；</w:t>
      </w:r>
    </w:p>
    <w:p>
      <w:pPr>
        <w:spacing w:line="576" w:lineRule="exact"/>
        <w:ind w:firstLine="560"/>
        <w:rPr>
          <w:rFonts w:ascii="宋体" w:hAnsi="宋体" w:cs="宋体"/>
          <w:bCs/>
          <w:szCs w:val="28"/>
        </w:rPr>
      </w:pPr>
      <w:r>
        <w:rPr>
          <w:rFonts w:hint="eastAsia" w:ascii="宋体" w:hAnsi="宋体" w:cs="宋体"/>
          <w:szCs w:val="28"/>
        </w:rPr>
        <w:t>★</w:t>
      </w:r>
      <w:r>
        <w:rPr>
          <w:rFonts w:hint="eastAsia" w:ascii="宋体" w:hAnsi="宋体" w:cs="宋体"/>
          <w:bCs/>
          <w:szCs w:val="28"/>
          <w:lang w:bidi="ar"/>
        </w:rPr>
        <w:t>2.1.3驱动形式：4×4；</w:t>
      </w:r>
    </w:p>
    <w:p>
      <w:pPr>
        <w:spacing w:line="576" w:lineRule="exact"/>
        <w:ind w:firstLine="560"/>
        <w:rPr>
          <w:rFonts w:ascii="宋体" w:hAnsi="宋体" w:cs="宋体"/>
          <w:bCs/>
          <w:kern w:val="0"/>
          <w:szCs w:val="28"/>
        </w:rPr>
      </w:pPr>
      <w:r>
        <w:rPr>
          <w:rFonts w:hint="eastAsia" w:ascii="宋体" w:hAnsi="宋体" w:cs="宋体"/>
          <w:szCs w:val="28"/>
        </w:rPr>
        <w:t>★</w:t>
      </w:r>
      <w:r>
        <w:rPr>
          <w:rFonts w:hint="eastAsia" w:ascii="宋体" w:hAnsi="宋体" w:cs="宋体"/>
          <w:bCs/>
          <w:szCs w:val="28"/>
          <w:lang w:bidi="ar"/>
        </w:rPr>
        <w:t>2.1.4排放标准：国六排放标准</w:t>
      </w:r>
      <w:r>
        <w:rPr>
          <w:rFonts w:hint="eastAsia" w:ascii="宋体" w:hAnsi="宋体" w:cs="宋体"/>
          <w:bCs/>
          <w:kern w:val="0"/>
          <w:szCs w:val="28"/>
          <w:lang w:bidi="ar"/>
        </w:rPr>
        <w:t>；</w:t>
      </w:r>
    </w:p>
    <w:p>
      <w:pPr>
        <w:spacing w:line="576" w:lineRule="exact"/>
        <w:ind w:firstLine="560"/>
        <w:rPr>
          <w:rFonts w:ascii="宋体" w:hAnsi="宋体" w:cs="宋体"/>
          <w:bCs/>
          <w:szCs w:val="28"/>
        </w:rPr>
      </w:pPr>
      <w:r>
        <w:rPr>
          <w:rFonts w:hint="eastAsia" w:ascii="宋体" w:hAnsi="宋体" w:cs="宋体"/>
          <w:szCs w:val="28"/>
        </w:rPr>
        <w:t>▲</w:t>
      </w:r>
      <w:r>
        <w:rPr>
          <w:rFonts w:hint="eastAsia" w:ascii="宋体" w:hAnsi="宋体" w:cs="宋体"/>
          <w:bCs/>
          <w:szCs w:val="28"/>
          <w:lang w:bidi="ar"/>
        </w:rPr>
        <w:t>2.1.5发动机：铸铁柴油发动机，最大输出功率≥290kW；</w:t>
      </w:r>
    </w:p>
    <w:p>
      <w:pPr>
        <w:spacing w:line="576" w:lineRule="exact"/>
        <w:ind w:firstLine="560"/>
        <w:rPr>
          <w:rFonts w:ascii="宋体" w:hAnsi="宋体" w:cs="宋体"/>
          <w:bCs/>
          <w:szCs w:val="28"/>
          <w:lang w:bidi="ar"/>
        </w:rPr>
      </w:pPr>
      <w:r>
        <w:rPr>
          <w:rFonts w:hint="eastAsia" w:ascii="宋体" w:hAnsi="宋体" w:cs="宋体"/>
          <w:bCs/>
          <w:szCs w:val="28"/>
          <w:lang w:bidi="ar"/>
        </w:rPr>
        <w:t>2.1.6变速器：手动或自动变速；</w:t>
      </w:r>
    </w:p>
    <w:p>
      <w:pPr>
        <w:snapToGrid w:val="0"/>
        <w:spacing w:line="576" w:lineRule="exact"/>
        <w:ind w:left="2" w:firstLine="560"/>
        <w:rPr>
          <w:rFonts w:ascii="宋体" w:hAnsi="宋体" w:cs="宋体"/>
          <w:szCs w:val="28"/>
        </w:rPr>
      </w:pPr>
      <w:r>
        <w:rPr>
          <w:rFonts w:hint="eastAsia" w:ascii="宋体" w:hAnsi="宋体" w:cs="宋体"/>
          <w:szCs w:val="28"/>
        </w:rPr>
        <w:t>2.1.7底盘必须为车辆采购招标公告发布当年生产的底盘，交车时需提供底盘出厂合格证。</w:t>
      </w:r>
    </w:p>
    <w:p>
      <w:pPr>
        <w:spacing w:line="576" w:lineRule="exact"/>
        <w:ind w:firstLine="560"/>
        <w:rPr>
          <w:rFonts w:ascii="宋体" w:hAnsi="宋体" w:cs="宋体"/>
          <w:bCs/>
          <w:szCs w:val="28"/>
          <w:lang w:bidi="ar"/>
        </w:rPr>
      </w:pPr>
      <w:r>
        <w:rPr>
          <w:rFonts w:hint="eastAsia" w:ascii="宋体" w:hAnsi="宋体" w:cs="宋体"/>
          <w:bCs/>
          <w:szCs w:val="28"/>
          <w:lang w:bidi="ar"/>
        </w:rPr>
        <w:t>2.2驾乘室</w:t>
      </w:r>
    </w:p>
    <w:p>
      <w:pPr>
        <w:spacing w:line="576" w:lineRule="exact"/>
        <w:ind w:firstLine="560"/>
        <w:rPr>
          <w:rFonts w:ascii="宋体" w:hAnsi="宋体" w:cs="宋体"/>
          <w:bCs/>
          <w:szCs w:val="28"/>
        </w:rPr>
      </w:pPr>
      <w:r>
        <w:rPr>
          <w:rFonts w:hint="eastAsia" w:ascii="宋体" w:hAnsi="宋体" w:cs="宋体"/>
          <w:szCs w:val="28"/>
        </w:rPr>
        <w:t>▲</w:t>
      </w:r>
      <w:r>
        <w:rPr>
          <w:rFonts w:hint="eastAsia" w:ascii="宋体" w:hAnsi="宋体" w:cs="宋体"/>
          <w:bCs/>
          <w:szCs w:val="28"/>
          <w:lang w:bidi="ar"/>
        </w:rPr>
        <w:t>2.2.1底盘厂原装双门单排标准驾乘室，</w:t>
      </w:r>
      <w:r>
        <w:rPr>
          <w:rFonts w:hint="eastAsia" w:ascii="宋体" w:hAnsi="宋体" w:cs="宋体"/>
          <w:bCs/>
          <w:szCs w:val="28"/>
        </w:rPr>
        <w:t>全钢保险杠，分体式大灯；</w:t>
      </w:r>
    </w:p>
    <w:p>
      <w:pPr>
        <w:spacing w:line="576" w:lineRule="exact"/>
        <w:ind w:firstLine="560"/>
        <w:rPr>
          <w:rFonts w:ascii="宋体" w:hAnsi="宋体" w:cs="宋体"/>
          <w:bCs/>
          <w:szCs w:val="28"/>
        </w:rPr>
      </w:pPr>
      <w:r>
        <w:rPr>
          <w:rFonts w:hint="eastAsia" w:ascii="宋体" w:hAnsi="宋体" w:cs="宋体"/>
          <w:bCs/>
          <w:szCs w:val="28"/>
        </w:rPr>
        <w:t>2.2.2驾驶室可电动翻转，带线控功能，密闭良好，座椅材质为防割耐磨阻燃材料，座椅全部安装三点式安全带，车内应设置照明设施；</w:t>
      </w:r>
    </w:p>
    <w:p>
      <w:pPr>
        <w:spacing w:line="576" w:lineRule="exact"/>
        <w:ind w:firstLine="560"/>
        <w:rPr>
          <w:rFonts w:ascii="宋体" w:hAnsi="宋体" w:cs="宋体"/>
          <w:bCs/>
          <w:szCs w:val="28"/>
          <w:lang w:bidi="ar"/>
        </w:rPr>
      </w:pPr>
      <w:r>
        <w:rPr>
          <w:rFonts w:hint="eastAsia" w:ascii="宋体" w:hAnsi="宋体" w:cs="宋体"/>
          <w:bCs/>
          <w:szCs w:val="28"/>
          <w:lang w:bidi="ar"/>
        </w:rPr>
        <w:t>2.2.3设置行进途中器材箱门开启、车门开启声光报警装置；</w:t>
      </w:r>
    </w:p>
    <w:p>
      <w:pPr>
        <w:spacing w:line="576" w:lineRule="exact"/>
        <w:ind w:firstLine="560"/>
        <w:rPr>
          <w:rFonts w:ascii="宋体" w:hAnsi="宋体" w:cs="宋体"/>
          <w:bCs/>
          <w:szCs w:val="28"/>
          <w:lang w:bidi="ar"/>
        </w:rPr>
      </w:pPr>
      <w:r>
        <w:rPr>
          <w:rFonts w:hint="eastAsia" w:ascii="宋体" w:hAnsi="宋体" w:cs="宋体"/>
          <w:bCs/>
          <w:szCs w:val="28"/>
          <w:lang w:bidi="ar"/>
        </w:rPr>
        <w:t>2.2.4车内设置冷暖空调，收音机带USB接口；</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2.2.5配备360°行车记录仪（内存≥128G）、倒车雷达、胎压监测系统等，预留220V逆变电源插口2个，USB插口4个；配备370MHz数字车载台（支持PDT数字集群并需接入山西省370MHz无线通信核心网）；</w:t>
      </w:r>
    </w:p>
    <w:p>
      <w:pPr>
        <w:spacing w:line="576" w:lineRule="exact"/>
        <w:ind w:firstLine="560"/>
        <w:rPr>
          <w:rFonts w:ascii="宋体" w:hAnsi="宋体" w:cs="宋体"/>
          <w:bCs/>
          <w:szCs w:val="28"/>
          <w:lang w:bidi="ar"/>
        </w:rPr>
      </w:pPr>
      <w:r>
        <w:rPr>
          <w:rFonts w:hint="eastAsia" w:ascii="宋体" w:hAnsi="宋体" w:cs="宋体"/>
          <w:bCs/>
          <w:szCs w:val="28"/>
          <w:lang w:bidi="ar"/>
        </w:rPr>
        <w:t>2.2.6驾驶室车门应采用电动升降玻璃；</w:t>
      </w:r>
    </w:p>
    <w:p>
      <w:pPr>
        <w:spacing w:line="576" w:lineRule="exact"/>
        <w:ind w:firstLine="560"/>
        <w:rPr>
          <w:rFonts w:ascii="宋体" w:hAnsi="宋体" w:cs="宋体"/>
          <w:bCs/>
          <w:szCs w:val="28"/>
          <w:lang w:bidi="ar"/>
        </w:rPr>
      </w:pPr>
      <w:r>
        <w:rPr>
          <w:rFonts w:hint="eastAsia" w:ascii="宋体" w:hAnsi="宋体" w:cs="宋体"/>
          <w:bCs/>
          <w:szCs w:val="28"/>
          <w:lang w:bidi="ar"/>
        </w:rPr>
        <w:t>2.2.7驾驶室踏板要求：驾驶室的上下车踏板间距≤270mm，除驾驶员侧外，深度≥100mm，踏板间应有水平照度≥5Lx的照明灯，踏板脚踏面应有防滑措施，与地面最近一级的离地距离≤500mm；</w:t>
      </w:r>
    </w:p>
    <w:p>
      <w:pPr>
        <w:tabs>
          <w:tab w:val="left" w:pos="8120"/>
        </w:tabs>
        <w:snapToGrid w:val="0"/>
        <w:spacing w:line="576" w:lineRule="exact"/>
        <w:ind w:left="2" w:firstLine="560"/>
        <w:rPr>
          <w:rFonts w:ascii="宋体" w:hAnsi="宋体" w:cs="宋体"/>
          <w:szCs w:val="28"/>
        </w:rPr>
      </w:pPr>
      <w:r>
        <w:rPr>
          <w:rFonts w:hint="eastAsia" w:ascii="宋体" w:hAnsi="宋体" w:cs="宋体"/>
          <w:szCs w:val="28"/>
        </w:rPr>
        <w:t>2.2.8驾驶室后视镜安装要求：两侧电加热后视镜，电动可调节、两侧广角加热后视镜，副驾驶侧门配盲区照地镜和驾驶室前盲区镜并符合</w:t>
      </w:r>
      <w:r>
        <w:rPr>
          <w:rFonts w:hint="eastAsia" w:ascii="宋体" w:hAnsi="宋体" w:cs="宋体"/>
          <w:szCs w:val="28"/>
          <w:lang w:val="en-US" w:eastAsia="zh-CN"/>
        </w:rPr>
        <w:t>GB 15084-2022（20230701）《机动车辆间接视野装置性能和安装要求》</w:t>
      </w:r>
      <w:r>
        <w:rPr>
          <w:rFonts w:hint="eastAsia" w:ascii="宋体" w:hAnsi="宋体" w:cs="宋体"/>
          <w:szCs w:val="28"/>
        </w:rPr>
        <w:t>；</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2.3轮胎：子午线真空钢丝轮胎（包括1个同规格、同型号、同品牌备胎）；</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2.4制动系统：前轮盘式制动器、ABS防抱死制动系统或EBS电控制动系统，装配液力缓速器；</w:t>
      </w:r>
    </w:p>
    <w:p>
      <w:pPr>
        <w:spacing w:line="576" w:lineRule="exact"/>
        <w:ind w:firstLine="560"/>
        <w:rPr>
          <w:rFonts w:ascii="宋体" w:hAnsi="宋体" w:cs="宋体"/>
          <w:bCs/>
          <w:szCs w:val="28"/>
          <w:lang w:bidi="ar"/>
        </w:rPr>
      </w:pPr>
      <w:r>
        <w:rPr>
          <w:rFonts w:hint="eastAsia" w:ascii="宋体" w:hAnsi="宋体" w:cs="宋体"/>
          <w:bCs/>
          <w:szCs w:val="28"/>
          <w:lang w:bidi="ar"/>
        </w:rPr>
        <w:t>2.5油箱：容积：≥200L，金属材质，加装滤网，油箱盖带锁；</w:t>
      </w:r>
    </w:p>
    <w:p>
      <w:pPr>
        <w:spacing w:line="576" w:lineRule="exact"/>
        <w:ind w:firstLine="560"/>
        <w:rPr>
          <w:rFonts w:ascii="宋体" w:hAnsi="宋体" w:cs="宋体"/>
          <w:bCs/>
          <w:szCs w:val="28"/>
          <w:lang w:bidi="ar"/>
        </w:rPr>
      </w:pPr>
      <w:r>
        <w:rPr>
          <w:rFonts w:hint="eastAsia" w:ascii="宋体" w:hAnsi="宋体" w:cs="宋体"/>
          <w:bCs/>
          <w:szCs w:val="28"/>
          <w:lang w:bidi="ar"/>
        </w:rPr>
        <w:t>2.6配有寒区包适合寒冷地区使用。</w:t>
      </w:r>
    </w:p>
    <w:p>
      <w:pPr>
        <w:spacing w:line="576" w:lineRule="exact"/>
        <w:ind w:firstLine="560"/>
        <w:rPr>
          <w:rFonts w:ascii="宋体" w:hAnsi="宋体" w:cs="宋体"/>
          <w:szCs w:val="28"/>
        </w:rPr>
      </w:pPr>
      <w:r>
        <w:rPr>
          <w:rFonts w:hint="eastAsia" w:ascii="宋体" w:hAnsi="宋体" w:cs="宋体"/>
          <w:szCs w:val="28"/>
          <w:lang w:bidi="ar"/>
        </w:rPr>
        <w:t>3.上装</w:t>
      </w:r>
    </w:p>
    <w:p>
      <w:pPr>
        <w:spacing w:line="576" w:lineRule="exact"/>
        <w:ind w:firstLine="560"/>
        <w:rPr>
          <w:rFonts w:ascii="宋体" w:hAnsi="宋体" w:cs="宋体"/>
          <w:bCs/>
          <w:szCs w:val="28"/>
          <w:lang w:bidi="ar"/>
        </w:rPr>
      </w:pPr>
      <w:r>
        <w:rPr>
          <w:rFonts w:hint="eastAsia" w:ascii="宋体" w:hAnsi="宋体" w:cs="宋体"/>
          <w:bCs/>
          <w:szCs w:val="28"/>
          <w:lang w:bidi="ar"/>
        </w:rPr>
        <w:t>3.1总体要求</w:t>
      </w:r>
    </w:p>
    <w:p>
      <w:pPr>
        <w:spacing w:line="576" w:lineRule="exact"/>
        <w:ind w:firstLine="560"/>
        <w:rPr>
          <w:rFonts w:ascii="宋体" w:hAnsi="宋体" w:cs="宋体"/>
          <w:bCs/>
          <w:szCs w:val="28"/>
          <w:lang w:bidi="ar"/>
        </w:rPr>
      </w:pPr>
      <w:r>
        <w:rPr>
          <w:rFonts w:hint="eastAsia" w:ascii="宋体" w:hAnsi="宋体" w:cs="宋体"/>
          <w:bCs/>
          <w:szCs w:val="28"/>
          <w:lang w:bidi="ar"/>
        </w:rPr>
        <w:t>3.1.1车顶要做防滑处理，保证人员在车顶的行走安全，左右侧应设有雨槽用于雨水的疏流，车顶设有护栏；</w:t>
      </w:r>
    </w:p>
    <w:p>
      <w:pPr>
        <w:spacing w:line="576" w:lineRule="exact"/>
        <w:ind w:firstLine="560"/>
        <w:rPr>
          <w:rFonts w:ascii="宋体" w:hAnsi="宋体" w:cs="宋体"/>
          <w:szCs w:val="28"/>
        </w:rPr>
      </w:pPr>
      <w:r>
        <w:rPr>
          <w:rFonts w:hint="eastAsia" w:ascii="宋体" w:hAnsi="宋体" w:cs="宋体"/>
          <w:bCs/>
          <w:szCs w:val="28"/>
          <w:lang w:bidi="ar"/>
        </w:rPr>
        <w:t>3.1.2爬梯梯级应有防滑设计，顶部装有扶手，确保可方便登上车顶；</w:t>
      </w:r>
    </w:p>
    <w:p>
      <w:pPr>
        <w:adjustRightInd w:val="0"/>
        <w:snapToGrid w:val="0"/>
        <w:spacing w:line="576" w:lineRule="exact"/>
        <w:ind w:firstLine="560"/>
        <w:rPr>
          <w:rFonts w:ascii="宋体" w:hAnsi="宋体" w:cs="宋体"/>
          <w:bCs/>
          <w:szCs w:val="28"/>
          <w:lang w:bidi="ar"/>
        </w:rPr>
      </w:pPr>
      <w:r>
        <w:rPr>
          <w:rFonts w:hint="eastAsia" w:ascii="宋体" w:hAnsi="宋体" w:cs="宋体"/>
          <w:bCs/>
          <w:szCs w:val="28"/>
          <w:lang w:bidi="ar"/>
        </w:rPr>
        <w:t>3.1.3车厢骨架结构为全铝合金材质框架焊接式结构，外蒙皮为铝合金板粘接技术。车厢内器材骨架采用铝合金型材搭接结构，根据采购方需求进行布局，在器材箱内可选用新型滑动托架、拖板或高强度的塑料存放盒等存放结构，充分利用车厢内部有限空间，所有金属板材和方管边缘均做防毛刺处理；</w:t>
      </w:r>
    </w:p>
    <w:p>
      <w:pPr>
        <w:spacing w:line="576" w:lineRule="exact"/>
        <w:ind w:firstLine="560"/>
        <w:rPr>
          <w:rFonts w:ascii="宋体" w:hAnsi="宋体" w:cs="宋体"/>
          <w:bCs/>
          <w:szCs w:val="28"/>
          <w:lang w:bidi="ar"/>
        </w:rPr>
      </w:pPr>
      <w:r>
        <w:rPr>
          <w:rFonts w:hint="eastAsia" w:ascii="宋体" w:hAnsi="宋体" w:cs="宋体"/>
          <w:bCs/>
          <w:szCs w:val="28"/>
          <w:lang w:bidi="ar"/>
        </w:rPr>
        <w:t>3.2乘员室</w:t>
      </w:r>
    </w:p>
    <w:p>
      <w:pPr>
        <w:spacing w:line="576" w:lineRule="exact"/>
        <w:ind w:firstLine="560"/>
        <w:rPr>
          <w:rFonts w:ascii="宋体" w:hAnsi="宋体" w:cs="宋体"/>
          <w:bCs/>
          <w:szCs w:val="28"/>
          <w:lang w:bidi="ar"/>
        </w:rPr>
      </w:pPr>
      <w:r>
        <w:rPr>
          <w:rFonts w:hint="eastAsia" w:ascii="宋体" w:hAnsi="宋体" w:cs="宋体"/>
          <w:bCs/>
          <w:szCs w:val="28"/>
          <w:lang w:bidi="ar"/>
        </w:rPr>
        <w:t>3.2.1乘员室设置在车厢前部，设置长排软包座椅</w:t>
      </w:r>
      <w:r>
        <w:rPr>
          <w:rFonts w:hint="eastAsia" w:ascii="宋体" w:hAnsi="宋体" w:cs="宋体"/>
          <w:bCs/>
          <w:szCs w:val="28"/>
          <w:lang w:eastAsia="zh-CN" w:bidi="ar"/>
        </w:rPr>
        <w:t>，</w:t>
      </w:r>
      <w:r>
        <w:rPr>
          <w:rFonts w:hint="eastAsia" w:ascii="宋体" w:hAnsi="宋体" w:cs="宋体"/>
          <w:bCs/>
          <w:szCs w:val="28"/>
          <w:lang w:bidi="ar"/>
        </w:rPr>
        <w:t>可搭载乘员人数不少于4人，座椅配备三点式安全带；</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3.2.2设置集成式潜水监测系统工作台，控制人员可通过系统工作台，对潜水人员进行协助，配合潜水人员的管供式潜水头盔，实时对不低于2名潜水人员进行调压供气，并监测潜水员的潜水深度和潜水时间；</w:t>
      </w:r>
    </w:p>
    <w:p>
      <w:pPr>
        <w:spacing w:line="576" w:lineRule="exact"/>
        <w:ind w:firstLine="560"/>
        <w:rPr>
          <w:rFonts w:ascii="宋体" w:hAnsi="宋体" w:cs="宋体"/>
          <w:bCs/>
          <w:szCs w:val="28"/>
          <w:lang w:bidi="ar"/>
        </w:rPr>
      </w:pPr>
      <w:r>
        <w:rPr>
          <w:rFonts w:hint="eastAsia" w:ascii="宋体" w:hAnsi="宋体" w:cs="宋体"/>
          <w:bCs/>
          <w:szCs w:val="28"/>
          <w:lang w:bidi="ar"/>
        </w:rPr>
        <w:t>3.2.3通过潜水头盔的摄像头与通信线路，可在系统面板上实时显示水下画面，也能与潜水员进行实时通信，为潜水员提供有效的水下作业指引及安全监护；</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3.2.4设置潜水员管供接口≥2个,满足2名潜水人员直接将脐带管连接至相应接口后进行水下救援作业；</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3.2.5充气接口：≥2个，提供高压压缩空气，为潜水气瓶进行充气；</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3.2.6供气接口：≥2个，直接供潜水员水下作业呼吸使用；</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3.2.7通信接口：≥2个，用于水面救援人员与潜水员的实时通信接口；</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3.2.8视频接口：≥2个，用于水面救援人员监控潜水员水下作业情况的视频连接口；</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3.2.9热水接口：≥2个，在冬季或深潜时，用于连接潜水员潜水服保温循环系统的接口，避免潜水员水下失温；</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3.2.10潜水摄像头：≥2个，满足在水下200m区域内正常作业，与车载潜水监测系统匹配使用；</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3.2.11水下照明灯：≥2个，耐压≥水下200m，最高亮度5000lm，与车载潜水监测系统匹配使用；</w:t>
      </w:r>
    </w:p>
    <w:p>
      <w:pPr>
        <w:spacing w:line="576" w:lineRule="exact"/>
        <w:ind w:firstLine="560"/>
        <w:rPr>
          <w:rFonts w:ascii="宋体" w:hAnsi="宋体" w:cs="宋体"/>
          <w:bCs/>
          <w:szCs w:val="28"/>
          <w:lang w:bidi="ar"/>
        </w:rPr>
      </w:pPr>
      <w:r>
        <w:rPr>
          <w:rFonts w:hint="eastAsia" w:ascii="宋体" w:hAnsi="宋体" w:cs="宋体"/>
          <w:bCs/>
          <w:szCs w:val="28"/>
          <w:lang w:bidi="ar"/>
        </w:rPr>
        <w:t>3.2.12在合同签订时与采购人协商明确，潜水监测系统能与采购人现有装备匹配使用；</w:t>
      </w:r>
    </w:p>
    <w:p>
      <w:pPr>
        <w:spacing w:line="600" w:lineRule="exact"/>
        <w:ind w:firstLine="560"/>
        <w:rPr>
          <w:rFonts w:ascii="宋体" w:hAnsi="宋体" w:cs="宋体"/>
          <w:bCs/>
          <w:color w:val="000000"/>
          <w:szCs w:val="28"/>
          <w:lang w:bidi="ar"/>
        </w:rPr>
      </w:pPr>
      <w:r>
        <w:rPr>
          <w:rFonts w:hint="eastAsia" w:ascii="宋体" w:hAnsi="宋体" w:cs="宋体"/>
          <w:bCs/>
          <w:color w:val="000000"/>
          <w:szCs w:val="28"/>
          <w:lang w:bidi="ar"/>
        </w:rPr>
        <w:t>3.3洗浴系统</w:t>
      </w:r>
    </w:p>
    <w:p>
      <w:pPr>
        <w:spacing w:line="600" w:lineRule="exact"/>
        <w:ind w:firstLine="560"/>
        <w:rPr>
          <w:rFonts w:ascii="宋体" w:hAnsi="宋体" w:cs="宋体"/>
          <w:bCs/>
          <w:color w:val="000000"/>
          <w:szCs w:val="28"/>
          <w:lang w:bidi="ar"/>
        </w:rPr>
      </w:pPr>
      <w:r>
        <w:rPr>
          <w:rFonts w:hint="eastAsia" w:ascii="宋体" w:hAnsi="宋体" w:cs="宋体"/>
          <w:bCs/>
          <w:color w:val="000000"/>
          <w:szCs w:val="28"/>
          <w:lang w:bidi="ar"/>
        </w:rPr>
        <w:t>3.3.1加热器：即热式加热器，可供潜水员洗浴，最大功率≥6kW；</w:t>
      </w:r>
    </w:p>
    <w:p>
      <w:pPr>
        <w:spacing w:line="600" w:lineRule="exact"/>
        <w:ind w:firstLine="560"/>
        <w:rPr>
          <w:rFonts w:ascii="宋体" w:hAnsi="宋体" w:cs="宋体"/>
          <w:bCs/>
          <w:color w:val="000000"/>
          <w:szCs w:val="28"/>
          <w:lang w:bidi="ar"/>
        </w:rPr>
      </w:pPr>
      <w:r>
        <w:rPr>
          <w:rFonts w:hint="eastAsia" w:ascii="宋体" w:hAnsi="宋体" w:cs="宋体"/>
          <w:bCs/>
          <w:color w:val="000000"/>
          <w:szCs w:val="28"/>
          <w:lang w:bidi="ar"/>
        </w:rPr>
        <w:t>3.3.2淋浴区：车厢内设置淋浴间，地面做防滑处理，面积≥1㎡，淋浴位≥1个；</w:t>
      </w:r>
    </w:p>
    <w:p>
      <w:pPr>
        <w:spacing w:line="600" w:lineRule="exact"/>
        <w:ind w:firstLine="560"/>
        <w:rPr>
          <w:rFonts w:ascii="宋体" w:hAnsi="宋体" w:cs="宋体"/>
          <w:bCs/>
          <w:color w:val="000000"/>
          <w:szCs w:val="28"/>
          <w:lang w:bidi="ar"/>
        </w:rPr>
      </w:pPr>
      <w:r>
        <w:rPr>
          <w:rFonts w:hint="eastAsia" w:ascii="宋体" w:hAnsi="宋体" w:cs="宋体"/>
          <w:bCs/>
          <w:color w:val="000000"/>
          <w:szCs w:val="28"/>
          <w:lang w:bidi="ar"/>
        </w:rPr>
        <w:t>3.3.3换衣区：配备烘洗一体机，满足潜水人员上岸后清洁更衣；</w:t>
      </w:r>
    </w:p>
    <w:p>
      <w:pPr>
        <w:spacing w:line="576" w:lineRule="exact"/>
        <w:ind w:firstLine="560"/>
        <w:rPr>
          <w:rFonts w:ascii="宋体" w:hAnsi="宋体" w:cs="宋体"/>
          <w:bCs/>
          <w:szCs w:val="28"/>
          <w:lang w:bidi="ar"/>
        </w:rPr>
      </w:pPr>
      <w:r>
        <w:rPr>
          <w:rFonts w:hint="eastAsia" w:ascii="宋体" w:hAnsi="宋体" w:cs="宋体"/>
          <w:bCs/>
          <w:szCs w:val="28"/>
          <w:lang w:bidi="ar"/>
        </w:rPr>
        <w:t>3.4照明系统</w:t>
      </w:r>
    </w:p>
    <w:p>
      <w:pPr>
        <w:spacing w:line="576" w:lineRule="exact"/>
        <w:ind w:firstLine="560"/>
        <w:rPr>
          <w:rFonts w:ascii="宋体" w:hAnsi="宋体" w:cs="宋体"/>
          <w:bCs/>
          <w:szCs w:val="28"/>
          <w:lang w:bidi="ar"/>
        </w:rPr>
      </w:pPr>
      <w:r>
        <w:rPr>
          <w:rFonts w:hint="eastAsia" w:ascii="宋体" w:hAnsi="宋体" w:cs="宋体"/>
          <w:bCs/>
          <w:szCs w:val="28"/>
          <w:lang w:bidi="ar"/>
        </w:rPr>
        <w:t>3.4.1主灯：≥4只，单只功率≥400W；</w:t>
      </w:r>
    </w:p>
    <w:p>
      <w:pPr>
        <w:spacing w:line="576" w:lineRule="exact"/>
        <w:ind w:firstLine="560"/>
        <w:rPr>
          <w:rFonts w:ascii="宋体" w:hAnsi="宋体" w:cs="宋体"/>
          <w:bCs/>
          <w:szCs w:val="28"/>
          <w:lang w:bidi="ar"/>
        </w:rPr>
      </w:pPr>
      <w:r>
        <w:rPr>
          <w:rFonts w:hint="eastAsia" w:ascii="宋体" w:hAnsi="宋体" w:cs="宋体"/>
          <w:bCs/>
          <w:szCs w:val="28"/>
          <w:lang w:bidi="ar"/>
        </w:rPr>
        <w:t>3.4.2光源形式：LED；</w:t>
      </w:r>
    </w:p>
    <w:p>
      <w:pPr>
        <w:spacing w:line="576" w:lineRule="exact"/>
        <w:ind w:firstLine="560"/>
        <w:rPr>
          <w:rFonts w:ascii="宋体" w:hAnsi="宋体" w:cs="宋体"/>
          <w:bCs/>
          <w:szCs w:val="28"/>
          <w:lang w:bidi="ar"/>
        </w:rPr>
      </w:pPr>
      <w:r>
        <w:rPr>
          <w:rFonts w:hint="eastAsia" w:ascii="宋体" w:hAnsi="宋体" w:cs="宋体"/>
          <w:bCs/>
          <w:szCs w:val="28"/>
          <w:lang w:bidi="ar"/>
        </w:rPr>
        <w:t>3.4.3旋转角度：水平0~355°仰俯0~355°；</w:t>
      </w:r>
    </w:p>
    <w:p>
      <w:pPr>
        <w:spacing w:line="576" w:lineRule="exact"/>
        <w:ind w:firstLine="560"/>
        <w:rPr>
          <w:rFonts w:ascii="宋体" w:hAnsi="宋体" w:cs="宋体"/>
          <w:bCs/>
          <w:szCs w:val="28"/>
          <w:lang w:bidi="ar"/>
        </w:rPr>
      </w:pPr>
      <w:r>
        <w:rPr>
          <w:rFonts w:hint="eastAsia" w:ascii="宋体" w:hAnsi="宋体" w:cs="宋体"/>
          <w:bCs/>
          <w:szCs w:val="28"/>
          <w:lang w:bidi="ar"/>
        </w:rPr>
        <w:t>3.4.4举升高度：≥2.5m。</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3.5悬臂式液压尾板：为方便各类设备自由上下车，设置于车箱尾部，额定载荷能力≥2t，电动液压控制，通过尾板可对相关设备器材快捷取放，提高器材装卸效率，配有有线遥控器，并在车厢尾部位置设置有液压尾板遥控器卡槽，方便人员操作，并有应急操作；</w:t>
      </w:r>
    </w:p>
    <w:p>
      <w:pPr>
        <w:spacing w:line="576" w:lineRule="exact"/>
        <w:ind w:firstLine="560"/>
        <w:rPr>
          <w:rFonts w:ascii="宋体" w:hAnsi="宋体" w:cs="宋体"/>
          <w:bCs/>
          <w:szCs w:val="28"/>
          <w:lang w:bidi="ar"/>
        </w:rPr>
      </w:pPr>
      <w:r>
        <w:rPr>
          <w:rFonts w:hint="eastAsia" w:ascii="宋体" w:hAnsi="宋体" w:cs="宋体"/>
          <w:bCs/>
          <w:szCs w:val="28"/>
          <w:lang w:bidi="ar"/>
        </w:rPr>
        <w:t>3.6橡皮艇翻转架</w:t>
      </w:r>
    </w:p>
    <w:p>
      <w:pPr>
        <w:spacing w:line="576" w:lineRule="exact"/>
        <w:ind w:firstLine="560"/>
        <w:rPr>
          <w:rFonts w:ascii="宋体" w:hAnsi="宋体" w:cs="宋体"/>
          <w:bCs/>
          <w:szCs w:val="28"/>
          <w:lang w:bidi="ar"/>
        </w:rPr>
      </w:pPr>
      <w:r>
        <w:rPr>
          <w:rFonts w:hint="eastAsia" w:ascii="宋体" w:hAnsi="宋体" w:cs="宋体"/>
          <w:bCs/>
          <w:szCs w:val="28"/>
          <w:lang w:bidi="ar"/>
        </w:rPr>
        <w:t>3.6.1驱动方式：气动；</w:t>
      </w:r>
    </w:p>
    <w:p>
      <w:pPr>
        <w:spacing w:line="576" w:lineRule="exact"/>
        <w:ind w:firstLine="560"/>
        <w:rPr>
          <w:rFonts w:ascii="宋体" w:hAnsi="宋体" w:cs="宋体"/>
          <w:bCs/>
          <w:szCs w:val="28"/>
          <w:lang w:bidi="ar"/>
        </w:rPr>
      </w:pPr>
      <w:r>
        <w:rPr>
          <w:rFonts w:hint="eastAsia" w:ascii="宋体" w:hAnsi="宋体" w:cs="宋体"/>
          <w:bCs/>
          <w:szCs w:val="28"/>
          <w:lang w:bidi="ar"/>
        </w:rPr>
        <w:t>3.6.2控制方式：电控；</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3.6.3可放置橡皮艇尺寸：≥4.2m；</w:t>
      </w:r>
    </w:p>
    <w:p>
      <w:pPr>
        <w:spacing w:line="576" w:lineRule="exact"/>
        <w:ind w:firstLine="560"/>
        <w:rPr>
          <w:rFonts w:ascii="宋体" w:hAnsi="宋体" w:cs="宋体"/>
          <w:bCs/>
          <w:szCs w:val="28"/>
          <w:lang w:bidi="ar"/>
        </w:rPr>
      </w:pPr>
      <w:r>
        <w:rPr>
          <w:rFonts w:hint="eastAsia" w:ascii="宋体" w:hAnsi="宋体" w:cs="宋体"/>
          <w:bCs/>
          <w:szCs w:val="28"/>
          <w:lang w:bidi="ar"/>
        </w:rPr>
        <w:t>3.6.4取放位置：车尾位置进行固定及取放；</w:t>
      </w:r>
    </w:p>
    <w:p>
      <w:pPr>
        <w:spacing w:line="576" w:lineRule="exact"/>
        <w:ind w:firstLine="560"/>
        <w:rPr>
          <w:rFonts w:ascii="宋体" w:hAnsi="宋体" w:cs="宋体"/>
          <w:bCs/>
          <w:szCs w:val="28"/>
          <w:lang w:bidi="ar"/>
        </w:rPr>
      </w:pPr>
      <w:r>
        <w:rPr>
          <w:rFonts w:hint="eastAsia" w:ascii="宋体" w:hAnsi="宋体" w:cs="宋体"/>
          <w:bCs/>
          <w:szCs w:val="28"/>
          <w:lang w:bidi="ar"/>
        </w:rPr>
        <w:t>3.7牵引绞盘</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3.7.1额定拉力≥7000kg；</w:t>
      </w:r>
    </w:p>
    <w:p>
      <w:pPr>
        <w:spacing w:line="576" w:lineRule="exact"/>
        <w:ind w:firstLine="560"/>
        <w:rPr>
          <w:rFonts w:ascii="宋体" w:hAnsi="宋体" w:cs="宋体"/>
          <w:bCs/>
          <w:szCs w:val="28"/>
          <w:lang w:bidi="ar"/>
        </w:rPr>
      </w:pPr>
      <w:r>
        <w:rPr>
          <w:rFonts w:hint="eastAsia" w:ascii="宋体" w:hAnsi="宋体" w:cs="宋体"/>
          <w:bCs/>
          <w:szCs w:val="28"/>
          <w:lang w:bidi="ar"/>
        </w:rPr>
        <w:t>3.7.2驱动形式：电动；</w:t>
      </w:r>
    </w:p>
    <w:p>
      <w:pPr>
        <w:spacing w:line="576" w:lineRule="exact"/>
        <w:ind w:firstLine="560"/>
        <w:rPr>
          <w:rFonts w:ascii="宋体" w:hAnsi="宋体" w:cs="宋体"/>
          <w:bCs/>
          <w:szCs w:val="28"/>
          <w:lang w:bidi="ar"/>
        </w:rPr>
      </w:pPr>
      <w:r>
        <w:rPr>
          <w:rFonts w:hint="eastAsia" w:ascii="宋体" w:hAnsi="宋体" w:cs="宋体"/>
          <w:bCs/>
          <w:szCs w:val="28"/>
          <w:lang w:bidi="ar"/>
        </w:rPr>
        <w:t>3.7.3安装位置：车前端保险杠下方，与底盘大梁安装牢靠；</w:t>
      </w:r>
    </w:p>
    <w:p>
      <w:pPr>
        <w:spacing w:line="576" w:lineRule="exact"/>
        <w:ind w:firstLine="560"/>
        <w:rPr>
          <w:rFonts w:ascii="宋体" w:hAnsi="宋体" w:cs="宋体"/>
          <w:bCs/>
          <w:szCs w:val="28"/>
          <w:lang w:bidi="ar"/>
        </w:rPr>
      </w:pPr>
      <w:r>
        <w:rPr>
          <w:rFonts w:hint="eastAsia" w:ascii="宋体" w:hAnsi="宋体" w:cs="宋体"/>
          <w:bCs/>
          <w:szCs w:val="28"/>
          <w:lang w:bidi="ar"/>
        </w:rPr>
        <w:t>3.7.4操作：采用线控，控制距离≥6m；保险杠处设置线控接口；</w:t>
      </w:r>
    </w:p>
    <w:p>
      <w:pPr>
        <w:spacing w:line="576" w:lineRule="exact"/>
        <w:ind w:firstLine="560"/>
        <w:rPr>
          <w:rFonts w:ascii="宋体" w:hAnsi="宋体" w:cs="宋体"/>
          <w:bCs/>
          <w:szCs w:val="28"/>
          <w:lang w:bidi="ar"/>
        </w:rPr>
      </w:pPr>
      <w:r>
        <w:rPr>
          <w:rFonts w:hint="eastAsia" w:ascii="宋体" w:hAnsi="宋体" w:cs="宋体"/>
          <w:bCs/>
          <w:szCs w:val="28"/>
          <w:lang w:bidi="ar"/>
        </w:rPr>
        <w:t>3.7.5具有过载保护装置；</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3.7.6绞盘具有自动排线功能；</w:t>
      </w:r>
    </w:p>
    <w:p>
      <w:pPr>
        <w:spacing w:line="576" w:lineRule="exact"/>
        <w:ind w:firstLine="560"/>
        <w:rPr>
          <w:rFonts w:ascii="宋体" w:hAnsi="宋体" w:cs="宋体"/>
          <w:bCs/>
          <w:szCs w:val="28"/>
          <w:lang w:bidi="ar"/>
        </w:rPr>
      </w:pPr>
      <w:r>
        <w:rPr>
          <w:rFonts w:hint="eastAsia" w:ascii="宋体" w:hAnsi="宋体" w:cs="宋体"/>
          <w:bCs/>
          <w:szCs w:val="28"/>
          <w:lang w:bidi="ar"/>
        </w:rPr>
        <w:t>3.7.7钢丝绳最大工作长度≥30m；</w:t>
      </w:r>
    </w:p>
    <w:p>
      <w:pPr>
        <w:spacing w:line="576" w:lineRule="exact"/>
        <w:ind w:firstLine="560"/>
        <w:rPr>
          <w:rFonts w:ascii="宋体" w:hAnsi="宋体" w:cs="宋体"/>
          <w:bCs/>
          <w:szCs w:val="28"/>
          <w:lang w:bidi="ar"/>
        </w:rPr>
      </w:pPr>
      <w:r>
        <w:rPr>
          <w:rFonts w:hint="eastAsia" w:ascii="宋体" w:hAnsi="宋体" w:cs="宋体"/>
          <w:bCs/>
          <w:szCs w:val="28"/>
          <w:lang w:bidi="ar"/>
        </w:rPr>
        <w:t>3.7.8配备1只与绞盘相配套的动滑轮及附件；</w:t>
      </w:r>
    </w:p>
    <w:p>
      <w:pPr>
        <w:spacing w:line="576" w:lineRule="exact"/>
        <w:ind w:firstLine="560"/>
        <w:rPr>
          <w:rFonts w:ascii="宋体" w:hAnsi="宋体" w:cs="宋体"/>
          <w:bCs/>
          <w:szCs w:val="28"/>
          <w:lang w:bidi="ar"/>
        </w:rPr>
      </w:pPr>
      <w:r>
        <w:rPr>
          <w:rFonts w:hint="eastAsia" w:ascii="宋体" w:hAnsi="宋体" w:cs="宋体"/>
          <w:bCs/>
          <w:szCs w:val="28"/>
          <w:lang w:bidi="ar"/>
        </w:rPr>
        <w:t>3.7.9配备金属材质的防水保护罩；</w:t>
      </w:r>
    </w:p>
    <w:p>
      <w:pPr>
        <w:spacing w:line="576" w:lineRule="exact"/>
        <w:ind w:firstLine="560"/>
        <w:rPr>
          <w:rFonts w:ascii="宋体" w:hAnsi="宋体" w:cs="宋体"/>
          <w:szCs w:val="28"/>
        </w:rPr>
      </w:pPr>
      <w:r>
        <w:rPr>
          <w:rFonts w:hint="eastAsia" w:ascii="宋体" w:hAnsi="宋体" w:cs="宋体"/>
          <w:bCs/>
          <w:szCs w:val="28"/>
          <w:lang w:bidi="ar"/>
        </w:rPr>
        <w:t>3.7.10提供中文详细说明书。</w:t>
      </w:r>
    </w:p>
    <w:p>
      <w:pPr>
        <w:spacing w:line="576" w:lineRule="exact"/>
        <w:ind w:firstLine="560"/>
        <w:rPr>
          <w:rFonts w:ascii="宋体" w:hAnsi="宋体" w:cs="宋体"/>
          <w:bCs/>
          <w:szCs w:val="28"/>
          <w:lang w:bidi="ar"/>
        </w:rPr>
      </w:pPr>
      <w:r>
        <w:rPr>
          <w:rFonts w:hint="eastAsia" w:ascii="宋体" w:hAnsi="宋体" w:cs="宋体"/>
          <w:bCs/>
          <w:szCs w:val="28"/>
          <w:lang w:bidi="ar"/>
        </w:rPr>
        <w:t>3.8供气系统</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3.8.1主要配置包含一台高压压缩机与低压压缩机、2×50L高压可移动碳钎维气瓶和200L低压钢瓶构成的储气系统；配备可同时供2名重潜潜水员水下作业的供气装置（配气站），供气装置可将高压气体转换为低压气体，也可直接输入低压气体供潜水员水下呼吸使用，且输出压力可根据进气压力进行调节；</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3.8.2高压压缩机：流量：≥300L/min，供气压力：330bar，驱动电机：380V/50Hz，功率：≥7kw，冷却方式：风冷式；</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3.8.3低压压缩机：流量：≥1000L/min，压力：≥16bar，驱动电机：380V/50Hz，功率：≥6kw，冷却方式：风冷式；</w:t>
      </w:r>
    </w:p>
    <w:p>
      <w:pPr>
        <w:spacing w:line="576" w:lineRule="exact"/>
        <w:ind w:firstLine="560"/>
        <w:rPr>
          <w:rFonts w:ascii="宋体" w:hAnsi="宋体" w:cs="宋体"/>
          <w:bCs/>
          <w:szCs w:val="28"/>
          <w:lang w:bidi="ar"/>
        </w:rPr>
      </w:pPr>
      <w:r>
        <w:rPr>
          <w:rFonts w:hint="eastAsia" w:ascii="宋体" w:hAnsi="宋体" w:cs="宋体"/>
          <w:bCs/>
          <w:szCs w:val="28"/>
          <w:lang w:bidi="ar"/>
        </w:rPr>
        <w:t>3.9清水箱</w:t>
      </w:r>
    </w:p>
    <w:p>
      <w:pPr>
        <w:spacing w:line="576" w:lineRule="exact"/>
        <w:ind w:firstLine="560"/>
        <w:rPr>
          <w:rFonts w:ascii="宋体" w:hAnsi="宋体" w:cs="宋体"/>
          <w:bCs/>
          <w:szCs w:val="28"/>
          <w:lang w:bidi="ar"/>
        </w:rPr>
      </w:pPr>
      <w:r>
        <w:rPr>
          <w:rFonts w:hint="eastAsia" w:ascii="宋体" w:hAnsi="宋体" w:cs="宋体"/>
          <w:bCs/>
          <w:szCs w:val="28"/>
          <w:lang w:bidi="ar"/>
        </w:rPr>
        <w:t>3.9.1容量：水≥300L；</w:t>
      </w:r>
    </w:p>
    <w:p>
      <w:pPr>
        <w:spacing w:line="576" w:lineRule="exact"/>
        <w:ind w:firstLine="560"/>
        <w:rPr>
          <w:rFonts w:ascii="宋体" w:hAnsi="宋体" w:cs="宋体"/>
          <w:bCs/>
          <w:szCs w:val="28"/>
          <w:lang w:bidi="ar"/>
        </w:rPr>
      </w:pPr>
      <w:r>
        <w:rPr>
          <w:rFonts w:hint="eastAsia" w:ascii="宋体" w:hAnsi="宋体" w:cs="宋体"/>
          <w:bCs/>
          <w:szCs w:val="28"/>
          <w:lang w:bidi="ar"/>
        </w:rPr>
        <w:t>3.9.2材质：高分子复合PP材料；</w:t>
      </w:r>
    </w:p>
    <w:p>
      <w:pPr>
        <w:spacing w:line="576" w:lineRule="exact"/>
        <w:ind w:firstLine="560"/>
        <w:rPr>
          <w:rFonts w:ascii="宋体" w:hAnsi="宋体" w:cs="宋体"/>
          <w:bCs/>
          <w:szCs w:val="28"/>
          <w:lang w:bidi="ar"/>
        </w:rPr>
      </w:pPr>
      <w:r>
        <w:rPr>
          <w:rFonts w:hint="eastAsia" w:ascii="宋体" w:hAnsi="宋体" w:cs="宋体"/>
          <w:bCs/>
          <w:szCs w:val="28"/>
          <w:lang w:bidi="ar"/>
        </w:rPr>
        <w:t>3.9.3结构：1个清洁孔，1个溢流/卸压装置，1个液位传感器，底部设置1个排污口；</w:t>
      </w:r>
    </w:p>
    <w:p>
      <w:pPr>
        <w:spacing w:line="576" w:lineRule="exact"/>
        <w:ind w:firstLine="560"/>
        <w:rPr>
          <w:rFonts w:ascii="宋体" w:hAnsi="宋体" w:cs="宋体"/>
          <w:bCs/>
          <w:szCs w:val="28"/>
          <w:lang w:bidi="ar"/>
        </w:rPr>
      </w:pPr>
      <w:r>
        <w:rPr>
          <w:rFonts w:hint="eastAsia" w:ascii="宋体" w:hAnsi="宋体" w:cs="宋体"/>
          <w:bCs/>
          <w:szCs w:val="28"/>
          <w:lang w:bidi="ar"/>
        </w:rPr>
        <w:t>3.10翻板踏脚</w:t>
      </w:r>
    </w:p>
    <w:p>
      <w:pPr>
        <w:spacing w:line="576" w:lineRule="exact"/>
        <w:ind w:firstLine="560"/>
        <w:rPr>
          <w:rFonts w:ascii="宋体" w:hAnsi="宋体" w:cs="宋体"/>
          <w:bCs/>
          <w:szCs w:val="28"/>
          <w:lang w:bidi="ar"/>
        </w:rPr>
      </w:pPr>
      <w:r>
        <w:rPr>
          <w:rFonts w:hint="eastAsia" w:ascii="宋体" w:hAnsi="宋体" w:cs="宋体"/>
          <w:bCs/>
          <w:szCs w:val="28"/>
          <w:lang w:bidi="ar"/>
        </w:rPr>
        <w:t>3.10.1框架为高强度型钢，蒙皮为铝合金材质。内藏可翻转式气动弹簧脚踏板，采用弹簧与门止口双重固定，要求安全可靠，坚固耐用，密封性强，站立取用器材方便，且能防止泥尘进入器材箱；最大承重力≥150kg；</w:t>
      </w:r>
    </w:p>
    <w:p>
      <w:pPr>
        <w:spacing w:line="576" w:lineRule="exact"/>
        <w:ind w:firstLine="560"/>
        <w:rPr>
          <w:rFonts w:ascii="宋体" w:hAnsi="宋体" w:cs="宋体"/>
          <w:bCs/>
          <w:szCs w:val="28"/>
          <w:lang w:bidi="ar"/>
        </w:rPr>
      </w:pPr>
      <w:r>
        <w:rPr>
          <w:rFonts w:hint="eastAsia" w:ascii="宋体" w:hAnsi="宋体" w:cs="宋体"/>
          <w:bCs/>
          <w:szCs w:val="28"/>
          <w:lang w:bidi="ar"/>
        </w:rPr>
        <w:t>3.10.2主骨架及连接件选用优质钢材及材料，面板具有防滑设计；</w:t>
      </w:r>
    </w:p>
    <w:p>
      <w:pPr>
        <w:spacing w:line="576" w:lineRule="exact"/>
        <w:ind w:firstLine="560"/>
        <w:rPr>
          <w:rFonts w:ascii="宋体" w:hAnsi="宋体" w:cs="宋体"/>
          <w:bCs/>
          <w:szCs w:val="28"/>
          <w:lang w:bidi="ar"/>
        </w:rPr>
      </w:pPr>
      <w:r>
        <w:rPr>
          <w:rFonts w:hint="eastAsia" w:ascii="宋体" w:hAnsi="宋体" w:cs="宋体"/>
          <w:bCs/>
          <w:szCs w:val="28"/>
          <w:lang w:bidi="ar"/>
        </w:rPr>
        <w:t>3.10.3踏板放下后外朝向消防车前和后方均设有黄色警告灯闪烁；</w:t>
      </w:r>
    </w:p>
    <w:p>
      <w:pPr>
        <w:spacing w:line="576" w:lineRule="exact"/>
        <w:ind w:firstLine="560"/>
        <w:rPr>
          <w:rFonts w:ascii="宋体" w:hAnsi="宋体" w:cs="宋体"/>
          <w:bCs/>
          <w:szCs w:val="28"/>
          <w:lang w:bidi="ar"/>
        </w:rPr>
      </w:pPr>
      <w:r>
        <w:rPr>
          <w:rFonts w:hint="eastAsia" w:ascii="宋体" w:hAnsi="宋体" w:cs="宋体"/>
          <w:bCs/>
          <w:szCs w:val="28"/>
          <w:lang w:bidi="ar"/>
        </w:rPr>
        <w:t>3.10.4踏板应设有锁止装置防止踏板受震动后自行翻转；</w:t>
      </w:r>
    </w:p>
    <w:p>
      <w:pPr>
        <w:spacing w:line="576" w:lineRule="exact"/>
        <w:ind w:firstLine="560"/>
        <w:rPr>
          <w:rFonts w:ascii="宋体" w:hAnsi="宋体" w:eastAsia="宋体" w:cs="宋体"/>
          <w:sz w:val="28"/>
          <w:szCs w:val="28"/>
          <w:lang w:val="en-US"/>
        </w:rPr>
      </w:pPr>
      <w:r>
        <w:rPr>
          <w:rFonts w:hint="eastAsia" w:ascii="宋体" w:hAnsi="宋体" w:eastAsia="宋体" w:cs="宋体"/>
          <w:bCs/>
          <w:sz w:val="28"/>
          <w:szCs w:val="28"/>
          <w:lang w:val="en-US" w:bidi="ar"/>
        </w:rPr>
        <w:t>3.10.5车辆任何涉及人员登入的位置必须设置防滑处理；</w:t>
      </w:r>
    </w:p>
    <w:p>
      <w:pPr>
        <w:spacing w:line="576" w:lineRule="exact"/>
        <w:ind w:firstLine="560"/>
        <w:rPr>
          <w:rFonts w:ascii="宋体" w:hAnsi="宋体" w:cs="宋体"/>
          <w:bCs/>
          <w:szCs w:val="28"/>
          <w:lang w:bidi="ar"/>
        </w:rPr>
      </w:pPr>
      <w:r>
        <w:rPr>
          <w:rFonts w:hint="eastAsia" w:ascii="宋体" w:hAnsi="宋体" w:cs="宋体"/>
          <w:bCs/>
          <w:szCs w:val="28"/>
          <w:lang w:bidi="ar"/>
        </w:rPr>
        <w:t>3.11电气及警示系统</w:t>
      </w:r>
    </w:p>
    <w:p>
      <w:pPr>
        <w:spacing w:line="576" w:lineRule="exact"/>
        <w:ind w:firstLine="560"/>
        <w:rPr>
          <w:rFonts w:ascii="宋体" w:hAnsi="宋体" w:cs="宋体"/>
          <w:bCs/>
          <w:szCs w:val="28"/>
          <w:lang w:bidi="ar"/>
        </w:rPr>
      </w:pPr>
      <w:r>
        <w:rPr>
          <w:rFonts w:hint="eastAsia" w:ascii="宋体" w:hAnsi="宋体" w:cs="宋体"/>
          <w:bCs/>
          <w:szCs w:val="28"/>
          <w:lang w:bidi="ar"/>
        </w:rPr>
        <w:t>3.11.1车顶前部配置红色长排LED警灯，功率≥100W报警器、警灯控制器，乘员室、操纵仪表板等处须安装LED照明灯，驾驶室内安装警报器控制盒；</w:t>
      </w:r>
    </w:p>
    <w:p>
      <w:pPr>
        <w:spacing w:line="576" w:lineRule="exact"/>
        <w:ind w:firstLine="560"/>
        <w:rPr>
          <w:rFonts w:ascii="宋体" w:hAnsi="宋体" w:cs="宋体"/>
          <w:bCs/>
          <w:szCs w:val="28"/>
          <w:lang w:bidi="ar"/>
        </w:rPr>
      </w:pPr>
      <w:r>
        <w:rPr>
          <w:rFonts w:hint="eastAsia" w:ascii="宋体" w:hAnsi="宋体" w:cs="宋体"/>
          <w:bCs/>
          <w:szCs w:val="28"/>
          <w:lang w:bidi="ar"/>
        </w:rPr>
        <w:t>3.11.2车厢顶后部配置有全方位电控照明灯，2个红色爆闪灯；</w:t>
      </w:r>
    </w:p>
    <w:p>
      <w:pPr>
        <w:spacing w:line="576" w:lineRule="exact"/>
        <w:ind w:firstLine="560"/>
        <w:rPr>
          <w:rFonts w:ascii="宋体" w:hAnsi="宋体" w:cs="宋体"/>
          <w:bCs/>
          <w:szCs w:val="28"/>
          <w:lang w:bidi="ar"/>
        </w:rPr>
      </w:pPr>
      <w:r>
        <w:rPr>
          <w:rFonts w:hint="eastAsia" w:ascii="宋体" w:hAnsi="宋体" w:cs="宋体"/>
          <w:bCs/>
          <w:szCs w:val="28"/>
          <w:lang w:bidi="ar"/>
        </w:rPr>
        <w:t>3.11.3每个器材箱门两侧均安装有条形LED照明灯带；</w:t>
      </w:r>
    </w:p>
    <w:p>
      <w:pPr>
        <w:spacing w:line="576" w:lineRule="exact"/>
        <w:ind w:firstLine="560"/>
        <w:rPr>
          <w:rFonts w:ascii="宋体" w:hAnsi="宋体" w:cs="宋体"/>
          <w:bCs/>
          <w:szCs w:val="28"/>
          <w:lang w:bidi="ar"/>
        </w:rPr>
      </w:pPr>
      <w:r>
        <w:rPr>
          <w:rFonts w:hint="eastAsia" w:ascii="宋体" w:hAnsi="宋体" w:cs="宋体"/>
          <w:bCs/>
          <w:szCs w:val="28"/>
          <w:lang w:bidi="ar"/>
        </w:rPr>
        <w:t>3.11.4车厢两侧上部各配置2只独立控制爆闪灯,3只独立控制LED照明灯，车顶内侧设置LED照明灯带便于夜间车顶照明；</w:t>
      </w:r>
    </w:p>
    <w:p>
      <w:pPr>
        <w:spacing w:line="576" w:lineRule="exact"/>
        <w:ind w:firstLine="560"/>
        <w:rPr>
          <w:rFonts w:ascii="宋体" w:hAnsi="宋体" w:cs="宋体"/>
          <w:bCs/>
          <w:szCs w:val="28"/>
          <w:lang w:bidi="ar"/>
        </w:rPr>
      </w:pPr>
      <w:r>
        <w:rPr>
          <w:rFonts w:hint="eastAsia" w:ascii="宋体" w:hAnsi="宋体" w:cs="宋体"/>
          <w:bCs/>
          <w:szCs w:val="28"/>
          <w:lang w:bidi="ar"/>
        </w:rPr>
        <w:t>3.11.5车厢内LED照明灯，随卷帘门启闭自动开关，无死角，满足夜间照明需求，确保照明美观及安全；</w:t>
      </w:r>
    </w:p>
    <w:p>
      <w:pPr>
        <w:spacing w:line="576" w:lineRule="exact"/>
        <w:ind w:firstLine="560"/>
        <w:rPr>
          <w:rFonts w:ascii="宋体" w:hAnsi="宋体" w:cs="宋体"/>
          <w:bCs/>
          <w:szCs w:val="28"/>
          <w:lang w:bidi="ar"/>
        </w:rPr>
      </w:pPr>
      <w:r>
        <w:rPr>
          <w:rFonts w:hint="eastAsia" w:ascii="宋体" w:hAnsi="宋体" w:cs="宋体"/>
          <w:bCs/>
          <w:szCs w:val="28"/>
          <w:lang w:bidi="ar"/>
        </w:rPr>
        <w:t>3.11.6所有外置车灯、灯具均须加装防护罩，上装和消防系统的所有保险丝和继电器安装在一个保险盒中；</w:t>
      </w:r>
    </w:p>
    <w:p>
      <w:pPr>
        <w:spacing w:line="576" w:lineRule="exact"/>
        <w:ind w:firstLine="560"/>
        <w:rPr>
          <w:rFonts w:ascii="宋体" w:hAnsi="宋体" w:cs="宋体"/>
          <w:bCs/>
          <w:szCs w:val="28"/>
          <w:lang w:bidi="ar"/>
        </w:rPr>
      </w:pPr>
      <w:r>
        <w:rPr>
          <w:rFonts w:hint="eastAsia" w:ascii="宋体" w:hAnsi="宋体" w:cs="宋体"/>
          <w:bCs/>
          <w:szCs w:val="28"/>
          <w:lang w:bidi="ar"/>
        </w:rPr>
        <w:t>3.11.7所有说明牌和标牌都具有持久性和高附着性，受一般外力情况下不脱落或字迹模糊；</w:t>
      </w:r>
    </w:p>
    <w:p>
      <w:pPr>
        <w:spacing w:line="576" w:lineRule="exact"/>
        <w:ind w:firstLine="560"/>
        <w:rPr>
          <w:rFonts w:ascii="宋体" w:hAnsi="宋体" w:cs="宋体"/>
          <w:bCs/>
          <w:szCs w:val="28"/>
          <w:lang w:bidi="ar"/>
        </w:rPr>
      </w:pPr>
      <w:r>
        <w:rPr>
          <w:rFonts w:hint="eastAsia" w:ascii="宋体" w:hAnsi="宋体" w:cs="宋体"/>
          <w:szCs w:val="28"/>
        </w:rPr>
        <w:t>▲</w:t>
      </w:r>
      <w:r>
        <w:rPr>
          <w:rFonts w:hint="eastAsia" w:ascii="宋体" w:hAnsi="宋体" w:cs="宋体"/>
          <w:bCs/>
          <w:szCs w:val="28"/>
          <w:lang w:bidi="ar"/>
        </w:rPr>
        <w:t>3.11.8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rPr>
          <w:rFonts w:ascii="宋体" w:hAnsi="宋体" w:cs="宋体"/>
          <w:bCs/>
          <w:szCs w:val="28"/>
          <w:lang w:bidi="ar"/>
        </w:rPr>
      </w:pPr>
      <w:r>
        <w:rPr>
          <w:rFonts w:hint="eastAsia" w:ascii="宋体" w:hAnsi="宋体" w:cs="宋体"/>
          <w:bCs/>
          <w:szCs w:val="28"/>
          <w:lang w:bidi="ar"/>
        </w:rPr>
        <w:t>3.11.9供电系统：具备由市电、车载发电机供电切换功能，保障车辆使用。配置外接电源输入输出接口，可外接市政电源（AC380V/50HZ）供给车内设备使用，电源引入处采用航插连接，能自动锁紧，防止脱落，安全可靠。电源引入装置设有漏电保护，当舱内漏电流超过30mA或发生短路故障时自动切断电源，保障人员及设备安全；车载发电机组：独立式柴油静音发电机，在无外接市电情况下，既可为整车用电设施供电，具有过压、欠压，过载、缺相等保护功能，也可外接对其他用电设备进行供电，留有对外供电接口（220V和380V输出电压各不少于1个）</w:t>
      </w:r>
      <w:r>
        <w:rPr>
          <w:rFonts w:hint="eastAsia" w:ascii="宋体" w:hAnsi="宋体" w:cs="宋体"/>
          <w:bCs/>
          <w:szCs w:val="28"/>
          <w:lang w:eastAsia="zh-CN" w:bidi="ar"/>
        </w:rPr>
        <w:t>，</w:t>
      </w:r>
      <w:r>
        <w:rPr>
          <w:rFonts w:hint="eastAsia" w:ascii="宋体" w:hAnsi="宋体" w:cs="宋体"/>
          <w:bCs/>
          <w:szCs w:val="28"/>
          <w:lang w:bidi="ar"/>
        </w:rPr>
        <w:t>额定功率：≥30kW</w:t>
      </w:r>
      <w:r>
        <w:rPr>
          <w:rFonts w:hint="eastAsia" w:ascii="宋体" w:hAnsi="宋体" w:cs="宋体"/>
          <w:bCs/>
          <w:szCs w:val="28"/>
          <w:lang w:eastAsia="zh-CN" w:bidi="ar"/>
        </w:rPr>
        <w:t>，</w:t>
      </w:r>
      <w:r>
        <w:rPr>
          <w:rFonts w:hint="eastAsia" w:ascii="宋体" w:hAnsi="宋体" w:cs="宋体"/>
          <w:bCs/>
          <w:szCs w:val="28"/>
          <w:lang w:bidi="ar"/>
        </w:rPr>
        <w:t>且满足整装电器最大用电功率的120%，额定电压：220/380V，配置50m电线卷盘2套（母线380V×50m，三相四线制；子线220V×50m）。具备直接显示电压、频率、负载、燃油量、电瓶电量、机油报警提示等功能，连续供电时间不低于24小时；</w:t>
      </w:r>
    </w:p>
    <w:p>
      <w:pPr>
        <w:spacing w:line="576" w:lineRule="exact"/>
        <w:ind w:firstLine="560"/>
        <w:rPr>
          <w:rFonts w:ascii="宋体" w:hAnsi="宋体" w:cs="宋体"/>
          <w:bCs/>
          <w:szCs w:val="28"/>
          <w:lang w:bidi="ar"/>
        </w:rPr>
      </w:pPr>
      <w:r>
        <w:rPr>
          <w:rFonts w:hint="eastAsia" w:ascii="宋体" w:hAnsi="宋体" w:cs="宋体"/>
          <w:bCs/>
          <w:szCs w:val="28"/>
          <w:lang w:bidi="ar"/>
        </w:rPr>
        <w:t>3.12器材箱</w:t>
      </w:r>
    </w:p>
    <w:p>
      <w:pPr>
        <w:spacing w:line="576" w:lineRule="exact"/>
        <w:ind w:firstLine="560"/>
        <w:rPr>
          <w:rFonts w:ascii="宋体" w:hAnsi="宋体" w:cs="宋体"/>
          <w:bCs/>
          <w:szCs w:val="28"/>
          <w:lang w:bidi="ar"/>
        </w:rPr>
      </w:pPr>
      <w:r>
        <w:rPr>
          <w:rFonts w:hint="eastAsia" w:ascii="宋体" w:hAnsi="宋体" w:cs="宋体"/>
          <w:bCs/>
          <w:szCs w:val="28"/>
          <w:lang w:bidi="ar"/>
        </w:rPr>
        <w:t>3.12.1总体要求：车厢尾部设置器材箱；布置合理、紧凑、装夹牢固、取用方便，符合人体工程学原理；箱体内储存的设备、器具均设防护设施；在器材箱内选用新型铝合金推车模块或高强度塑料存放盒等存放结构，充分利用车厢内部有限空间。通过尾部液压尾板，方便救援人员进出器材箱取放相应器材；</w:t>
      </w:r>
    </w:p>
    <w:p>
      <w:pPr>
        <w:spacing w:line="576" w:lineRule="exact"/>
        <w:ind w:firstLine="560"/>
        <w:rPr>
          <w:rFonts w:ascii="宋体" w:hAnsi="宋体" w:cs="宋体"/>
          <w:bCs/>
          <w:szCs w:val="28"/>
          <w:lang w:bidi="ar"/>
        </w:rPr>
      </w:pPr>
      <w:r>
        <w:rPr>
          <w:rFonts w:hint="eastAsia" w:ascii="宋体" w:hAnsi="宋体" w:cs="宋体"/>
          <w:bCs/>
          <w:szCs w:val="28"/>
          <w:lang w:bidi="ar"/>
        </w:rPr>
        <w:t>3.12.2满足且不限于设置以下装备固定位：个人潜水拉杆包（头套、全面罩与面镜、呼吸调节器、湿式潜水衣、浮力调节背心、潜水手套、潜水靴、蛙鞋、配重腰带、潜水仪表等）不少于4套；潜水气瓶（12L）不少于20个；脐带管不少于2套；干式潜水衣（装箱）不少于2套；重潜头盔（装箱）不少于2套；水下破拆工具组（装箱）不少于2套；水下通讯设备（装箱）不少于2套；PFD救生衣（装箱）不少于10套；浮力打捞袋（装箱）不少于8件。设置水下机器人固定架不少于2个；水下声呐固定架不少于1个，弦外机架不少于1个。车厢内器材骨架布局根据采购人实际要求确定。</w:t>
      </w:r>
    </w:p>
    <w:p>
      <w:pPr>
        <w:spacing w:line="576" w:lineRule="exact"/>
        <w:ind w:firstLine="560"/>
        <w:rPr>
          <w:rFonts w:ascii="宋体" w:hAnsi="宋体" w:cs="宋体"/>
          <w:szCs w:val="28"/>
          <w:lang w:bidi="ar"/>
        </w:rPr>
      </w:pPr>
      <w:r>
        <w:rPr>
          <w:rFonts w:hint="eastAsia" w:ascii="宋体" w:hAnsi="宋体" w:cs="宋体"/>
          <w:szCs w:val="28"/>
          <w:lang w:bidi="ar"/>
        </w:rPr>
        <w:t>4.随车器材</w:t>
      </w:r>
    </w:p>
    <w:p>
      <w:pPr>
        <w:spacing w:line="576" w:lineRule="exact"/>
        <w:ind w:firstLine="560"/>
        <w:rPr>
          <w:rFonts w:ascii="宋体" w:hAnsi="宋体" w:cs="宋体"/>
          <w:bCs/>
          <w:szCs w:val="28"/>
          <w:lang w:bidi="ar"/>
        </w:rPr>
      </w:pPr>
      <w:r>
        <w:rPr>
          <w:rFonts w:hint="eastAsia" w:ascii="宋体" w:hAnsi="宋体" w:cs="宋体"/>
          <w:bCs/>
          <w:szCs w:val="28"/>
          <w:lang w:bidi="ar"/>
        </w:rPr>
        <w:t>器材名称，单位，数量，规格</w:t>
      </w:r>
    </w:p>
    <w:tbl>
      <w:tblPr>
        <w:tblStyle w:val="14"/>
        <w:tblW w:w="52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346"/>
        <w:gridCol w:w="734"/>
        <w:gridCol w:w="838"/>
        <w:gridCol w:w="4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tcPr>
          <w:p>
            <w:pPr>
              <w:spacing w:line="576" w:lineRule="exact"/>
              <w:ind w:firstLine="0" w:firstLineChars="0"/>
              <w:jc w:val="center"/>
              <w:rPr>
                <w:rFonts w:ascii="宋体" w:hAnsi="宋体" w:cs="宋体"/>
                <w:szCs w:val="28"/>
              </w:rPr>
            </w:pPr>
            <w:r>
              <w:rPr>
                <w:rFonts w:hint="eastAsia" w:ascii="宋体" w:hAnsi="宋体" w:cs="宋体"/>
                <w:szCs w:val="28"/>
              </w:rPr>
              <w:t>序号</w:t>
            </w:r>
          </w:p>
        </w:tc>
        <w:tc>
          <w:tcPr>
            <w:tcW w:w="1303" w:type="pct"/>
            <w:noWrap/>
          </w:tcPr>
          <w:p>
            <w:pPr>
              <w:spacing w:line="576" w:lineRule="exact"/>
              <w:ind w:firstLine="0" w:firstLineChars="0"/>
              <w:jc w:val="center"/>
              <w:rPr>
                <w:rFonts w:ascii="宋体" w:hAnsi="宋体" w:cs="宋体"/>
                <w:szCs w:val="28"/>
              </w:rPr>
            </w:pPr>
            <w:r>
              <w:rPr>
                <w:rFonts w:hint="eastAsia" w:ascii="宋体" w:hAnsi="宋体" w:cs="宋体"/>
                <w:szCs w:val="28"/>
              </w:rPr>
              <w:t>器材名称</w:t>
            </w:r>
          </w:p>
        </w:tc>
        <w:tc>
          <w:tcPr>
            <w:tcW w:w="408" w:type="pct"/>
            <w:noWrap/>
          </w:tcPr>
          <w:p>
            <w:pPr>
              <w:spacing w:line="576" w:lineRule="exact"/>
              <w:ind w:firstLine="0" w:firstLineChars="0"/>
              <w:jc w:val="center"/>
              <w:rPr>
                <w:rFonts w:ascii="宋体" w:hAnsi="宋体" w:cs="宋体"/>
                <w:szCs w:val="28"/>
              </w:rPr>
            </w:pPr>
            <w:r>
              <w:rPr>
                <w:rFonts w:hint="eastAsia" w:ascii="宋体" w:hAnsi="宋体" w:cs="宋体"/>
                <w:szCs w:val="28"/>
              </w:rPr>
              <w:t>单位</w:t>
            </w:r>
          </w:p>
        </w:tc>
        <w:tc>
          <w:tcPr>
            <w:tcW w:w="466" w:type="pct"/>
            <w:noWrap/>
          </w:tcPr>
          <w:p>
            <w:pPr>
              <w:spacing w:line="576" w:lineRule="exact"/>
              <w:ind w:firstLine="0" w:firstLineChars="0"/>
              <w:jc w:val="center"/>
              <w:rPr>
                <w:rFonts w:ascii="宋体" w:hAnsi="宋体" w:cs="宋体"/>
                <w:szCs w:val="28"/>
              </w:rPr>
            </w:pPr>
            <w:r>
              <w:rPr>
                <w:rFonts w:hint="eastAsia" w:ascii="宋体" w:hAnsi="宋体" w:cs="宋体"/>
                <w:szCs w:val="28"/>
              </w:rPr>
              <w:t>数量</w:t>
            </w:r>
          </w:p>
        </w:tc>
        <w:tc>
          <w:tcPr>
            <w:tcW w:w="2383" w:type="pct"/>
            <w:noWrap/>
          </w:tcPr>
          <w:p>
            <w:pPr>
              <w:spacing w:line="576" w:lineRule="exact"/>
              <w:ind w:firstLine="0" w:firstLineChars="0"/>
              <w:jc w:val="center"/>
              <w:rPr>
                <w:rFonts w:ascii="宋体" w:hAnsi="宋体" w:cs="宋体"/>
                <w:szCs w:val="28"/>
              </w:rPr>
            </w:pPr>
            <w:r>
              <w:rPr>
                <w:rFonts w:hint="eastAsia" w:ascii="宋体" w:hAnsi="宋体" w:cs="宋体"/>
                <w:szCs w:val="28"/>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干粉灭火器</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具</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238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8kg，ABC干粉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2</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警戒带</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盘</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2383" w:type="pct"/>
            <w:noWrap/>
            <w:vAlign w:val="center"/>
          </w:tcPr>
          <w:p>
            <w:pPr>
              <w:spacing w:line="576" w:lineRule="exact"/>
              <w:ind w:firstLine="0" w:firstLineChars="0"/>
              <w:jc w:val="center"/>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3</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车用三角警告牌</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个</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238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符合GB19151-2003标准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4</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车辆制动垫块</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个</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2</w:t>
            </w:r>
          </w:p>
        </w:tc>
        <w:tc>
          <w:tcPr>
            <w:tcW w:w="2383" w:type="pct"/>
            <w:noWrap/>
            <w:vAlign w:val="center"/>
          </w:tcPr>
          <w:p>
            <w:pPr>
              <w:spacing w:line="576" w:lineRule="exact"/>
              <w:ind w:firstLine="0" w:firstLineChars="0"/>
              <w:jc w:val="center"/>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5</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防滑链</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套</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238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钢链或优于此材质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6</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破拆工具</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套</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238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铁铤、丁字镐等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7</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水桶</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个</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2</w:t>
            </w:r>
          </w:p>
        </w:tc>
        <w:tc>
          <w:tcPr>
            <w:tcW w:w="2383" w:type="pct"/>
            <w:noWrap/>
            <w:vAlign w:val="center"/>
          </w:tcPr>
          <w:p>
            <w:pPr>
              <w:spacing w:line="576" w:lineRule="exact"/>
              <w:ind w:firstLine="0" w:firstLineChars="0"/>
              <w:jc w:val="center"/>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highlight w:val="none"/>
              </w:rPr>
              <w:t>▲8</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水下破拆工具组</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套</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2</w:t>
            </w:r>
          </w:p>
        </w:tc>
        <w:tc>
          <w:tcPr>
            <w:tcW w:w="2383" w:type="pct"/>
            <w:noWrap/>
            <w:vAlign w:val="center"/>
          </w:tcPr>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1.工具性能符合GB/T17906-2021《液压破拆工具通用技术条件》的要求，符合GB31241-2022《便携式电子产品用锂离子电池和电池组安全技术规范》标准；2.整套产品为水陆两用两栖式设计，既可在路面使用，也可整套器材潜入深水中操作，具有扩张、剪切、顶撑功能，产品液压接口均为平头轴心阴阳双接口设计，并带自动锁定功能；3.整套工具标配液压连接系统1套、控制手阀1个、浮力装置4套、防水式专用充电系统1套。高强度塑料运输箱4套，防水、防震、抗摔，可直接用水清洗；</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4.主要设备：</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4.1水陆两用电动液压泵4.1.1电动泵机身应设置用于显示电池电量和防水罩壳内空间温度的显示屏。在显示屏上，电量应能同时以多重方式显示，满电为全亮；温度以数字方式显示。具有低电量报警功能。液压接口为平头轴心自锁式设计，液压快速接头经≥10000次插拔的可靠性试验后，动作正常，无泄漏及异常现象。控制手柄上的换向阀经≥30000次的可靠性试验后，动作正常，无卡阻及异常现象；4.1.2额定工作压力≥60Mpa，额定流量≥0.4L/min，低压流量≥2.4L/min，重量：≤18kg（含电池、携行包及液压油）。水下工作深度≥70m；</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4.2水陆两用液压扩张器：额定工作压力≥60Mpa，扩张距离≥450mm，最大扩张力≥65KN，水下工作深度≥70m，质量≤14kg；</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4.3水陆两用剪切器：额定工作压力≥60Mpa，能剪切φ≥32mm的Q235A材质圆钢和宽度≥50mm、厚度≥16mm的Q235A板材、能一次性剪切φ26的热轧带肋钢筋，开口距离≥210mm，水下工作深度≥70m，质量≤13kg；4.4水陆两用单级撑顶器：额定工作压力≥60Mpa，撑顶力≥172KN，撑顶高度≥930±10mm，收拢长度≤550±10mm，撑顶行程≥380±10mm,水下工作深度≥70m。质量≤13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9</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激流救生衣</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件</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10</w:t>
            </w:r>
          </w:p>
        </w:tc>
        <w:tc>
          <w:tcPr>
            <w:tcW w:w="2383" w:type="pct"/>
            <w:noWrap/>
            <w:vAlign w:val="center"/>
          </w:tcPr>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整体颜色为红色，系固采用扣件和拉链形式，救生衣的属具及配件无尖角.毛刺等导致穿着者和被救者受伤的缺陷，救生衣上逆向反光带的总面积≥300cm²，且救生衣的胸腹部.肩部和背部的外表面均贴有逆向反光带，救生衣装有能防止穿着人员入水后救生衣上浮窜动的裆带。</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1.浮力：救生衣固有浮力材料提供的浮力≥150N，在淡水中浸泡24h后，其浮力损失≤2.2%；</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2.人员穿着救生衣以任意方式下水，能在10s内解开快脱带，且快脱带的开启力≤112N，快脱带在扣件闭合状态下能承受≤2510N的拉力，且扣件未出现开启或损坏现象；</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3.救生衣衣身能承受≥3180N的作用力30min且不损坏，肩部能承受≥895N的作用力30min且不损坏，裆带与救生衣衣体之间能承受≥895N的作用力且不发生脱离或损坏；</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4.每件救生衣配有细索系牢的哨笛1只，使用时穿着者任何一只手能将哨笛移出或放入，每件救生衣配有细索系牢的示位灯1只；</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5.人员穿着救生衣以任意方式下水后，在自由漂浮状态下，人嘴能高出水面≥120mm以上；</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6.穿着救生衣人员落水及跳水后，救生衣符合下列要求：</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6.1救生衣不发生明显移位或对穿着人员造成伤害；</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6.2没有影响其水中姿态及浮力的破损；</w:t>
            </w:r>
          </w:p>
          <w:p>
            <w:pPr>
              <w:spacing w:line="576" w:lineRule="exact"/>
              <w:ind w:firstLine="0" w:firstLineChars="0"/>
              <w:rPr>
                <w:rFonts w:ascii="宋体" w:hAnsi="宋体" w:eastAsia="宋体" w:cs="宋体"/>
                <w:sz w:val="28"/>
                <w:szCs w:val="28"/>
                <w:lang w:val="en-US"/>
              </w:rPr>
            </w:pPr>
            <w:r>
              <w:rPr>
                <w:rFonts w:hint="eastAsia" w:ascii="宋体" w:hAnsi="宋体" w:eastAsia="宋体" w:cs="宋体"/>
                <w:sz w:val="28"/>
                <w:szCs w:val="28"/>
                <w:lang w:val="en-US"/>
              </w:rPr>
              <w:t>6.3不对其属具及附件造成破坏。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10</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50米市电电缆卷盘</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盘</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2</w:t>
            </w:r>
          </w:p>
        </w:tc>
        <w:tc>
          <w:tcPr>
            <w:tcW w:w="2383" w:type="pct"/>
            <w:noWrap/>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11</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随车工具</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套</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238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随车底盘工具及专用工具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12</w:t>
            </w:r>
          </w:p>
        </w:tc>
        <w:tc>
          <w:tcPr>
            <w:tcW w:w="130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随车配件</w:t>
            </w:r>
          </w:p>
        </w:tc>
        <w:tc>
          <w:tcPr>
            <w:tcW w:w="408"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套</w:t>
            </w:r>
          </w:p>
        </w:tc>
        <w:tc>
          <w:tcPr>
            <w:tcW w:w="466"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1</w:t>
            </w:r>
          </w:p>
        </w:tc>
        <w:tc>
          <w:tcPr>
            <w:tcW w:w="2383" w:type="pct"/>
            <w:noWrap/>
            <w:vAlign w:val="center"/>
          </w:tcPr>
          <w:p>
            <w:pPr>
              <w:spacing w:line="576" w:lineRule="exact"/>
              <w:ind w:firstLine="0" w:firstLineChars="0"/>
              <w:jc w:val="center"/>
              <w:rPr>
                <w:rFonts w:ascii="宋体" w:hAnsi="宋体" w:cs="宋体"/>
                <w:szCs w:val="28"/>
              </w:rPr>
            </w:pPr>
            <w:r>
              <w:rPr>
                <w:rFonts w:hint="eastAsia" w:ascii="宋体" w:hAnsi="宋体" w:cs="宋体"/>
                <w:szCs w:val="28"/>
              </w:rPr>
              <w:t>电路保险丝及原装底盘保养滤芯（空滤、柴油油滤、机滤、空调滤芯）等</w:t>
            </w:r>
          </w:p>
        </w:tc>
      </w:tr>
    </w:tbl>
    <w:p>
      <w:pPr>
        <w:spacing w:line="576" w:lineRule="exact"/>
        <w:ind w:firstLine="560"/>
        <w:rPr>
          <w:rFonts w:ascii="宋体" w:hAnsi="宋体" w:cs="宋体"/>
          <w:szCs w:val="28"/>
          <w:lang w:bidi="ar"/>
        </w:rPr>
      </w:pPr>
      <w:r>
        <w:rPr>
          <w:rFonts w:hint="eastAsia" w:ascii="宋体" w:hAnsi="宋体" w:cs="宋体"/>
          <w:szCs w:val="28"/>
          <w:lang w:bidi="ar"/>
        </w:rPr>
        <w:t>5.随车附件</w:t>
      </w:r>
    </w:p>
    <w:p>
      <w:pPr>
        <w:spacing w:line="576" w:lineRule="exact"/>
        <w:ind w:firstLine="560"/>
        <w:rPr>
          <w:rFonts w:ascii="宋体" w:hAnsi="宋体" w:cs="宋体"/>
          <w:bCs/>
          <w:szCs w:val="28"/>
          <w:lang w:bidi="ar"/>
        </w:rPr>
      </w:pPr>
      <w:r>
        <w:rPr>
          <w:rFonts w:hint="eastAsia" w:ascii="宋体" w:hAnsi="宋体" w:cs="宋体"/>
          <w:bCs/>
          <w:szCs w:val="28"/>
          <w:lang w:bidi="ar"/>
        </w:rPr>
        <w:t>5.1随车文件（中文）；</w:t>
      </w:r>
    </w:p>
    <w:p>
      <w:pPr>
        <w:spacing w:line="576" w:lineRule="exact"/>
        <w:ind w:firstLine="560"/>
        <w:rPr>
          <w:rFonts w:ascii="宋体" w:hAnsi="宋体" w:cs="宋体"/>
          <w:bCs/>
          <w:szCs w:val="28"/>
          <w:lang w:bidi="ar"/>
        </w:rPr>
      </w:pPr>
      <w:r>
        <w:rPr>
          <w:rFonts w:hint="eastAsia" w:ascii="宋体" w:hAnsi="宋体" w:cs="宋体"/>
          <w:bCs/>
          <w:szCs w:val="28"/>
          <w:lang w:bidi="ar"/>
        </w:rPr>
        <w:t>5.2底盘使用、维护说明书（3份）；</w:t>
      </w:r>
    </w:p>
    <w:p>
      <w:pPr>
        <w:spacing w:line="576" w:lineRule="exact"/>
        <w:ind w:firstLine="560"/>
        <w:rPr>
          <w:rFonts w:ascii="宋体" w:hAnsi="宋体" w:cs="宋体"/>
          <w:bCs/>
          <w:szCs w:val="28"/>
          <w:lang w:bidi="ar"/>
        </w:rPr>
      </w:pPr>
      <w:r>
        <w:rPr>
          <w:rFonts w:hint="eastAsia" w:ascii="宋体" w:hAnsi="宋体" w:cs="宋体"/>
          <w:bCs/>
          <w:szCs w:val="28"/>
          <w:lang w:bidi="ar"/>
        </w:rPr>
        <w:t>5.3底盘质量保修卡、合格证（1份）；</w:t>
      </w:r>
    </w:p>
    <w:p>
      <w:pPr>
        <w:spacing w:line="576" w:lineRule="exact"/>
        <w:ind w:firstLine="560"/>
        <w:rPr>
          <w:rFonts w:ascii="宋体" w:hAnsi="宋体" w:cs="宋体"/>
          <w:bCs/>
          <w:szCs w:val="28"/>
          <w:lang w:bidi="ar"/>
        </w:rPr>
      </w:pPr>
      <w:r>
        <w:rPr>
          <w:rFonts w:hint="eastAsia" w:ascii="宋体" w:hAnsi="宋体" w:cs="宋体"/>
          <w:bCs/>
          <w:szCs w:val="28"/>
          <w:lang w:bidi="ar"/>
        </w:rPr>
        <w:t>5.4底盘维修手册（1份）；</w:t>
      </w:r>
    </w:p>
    <w:p>
      <w:pPr>
        <w:spacing w:line="576" w:lineRule="exact"/>
        <w:ind w:firstLine="560"/>
        <w:rPr>
          <w:rFonts w:ascii="宋体" w:hAnsi="宋体" w:cs="宋体"/>
          <w:bCs/>
          <w:szCs w:val="28"/>
          <w:lang w:bidi="ar"/>
        </w:rPr>
      </w:pPr>
      <w:r>
        <w:rPr>
          <w:rFonts w:hint="eastAsia" w:ascii="宋体" w:hAnsi="宋体" w:cs="宋体"/>
          <w:bCs/>
          <w:szCs w:val="28"/>
          <w:lang w:bidi="ar"/>
        </w:rPr>
        <w:t>5.5底盘改装手册（1份）；</w:t>
      </w:r>
    </w:p>
    <w:p>
      <w:pPr>
        <w:spacing w:line="576" w:lineRule="exact"/>
        <w:ind w:firstLine="560"/>
        <w:rPr>
          <w:rFonts w:ascii="宋体" w:hAnsi="宋体" w:cs="宋体"/>
          <w:bCs/>
          <w:szCs w:val="28"/>
          <w:lang w:bidi="ar"/>
        </w:rPr>
      </w:pPr>
      <w:r>
        <w:rPr>
          <w:rFonts w:hint="eastAsia" w:ascii="宋体" w:hAnsi="宋体" w:cs="宋体"/>
          <w:bCs/>
          <w:szCs w:val="28"/>
          <w:lang w:bidi="ar"/>
        </w:rPr>
        <w:t>5.6底盘电气原理图（1份）；</w:t>
      </w:r>
    </w:p>
    <w:p>
      <w:pPr>
        <w:spacing w:line="576" w:lineRule="exact"/>
        <w:ind w:firstLine="560"/>
        <w:rPr>
          <w:rFonts w:ascii="宋体" w:hAnsi="宋体" w:cs="宋体"/>
          <w:bCs/>
          <w:szCs w:val="28"/>
          <w:lang w:bidi="ar"/>
        </w:rPr>
      </w:pPr>
      <w:r>
        <w:rPr>
          <w:rFonts w:hint="eastAsia" w:ascii="宋体" w:hAnsi="宋体" w:cs="宋体"/>
          <w:bCs/>
          <w:szCs w:val="28"/>
          <w:lang w:bidi="ar"/>
        </w:rPr>
        <w:t>5.7底盘零件目录图册（2份）；</w:t>
      </w:r>
    </w:p>
    <w:p>
      <w:pPr>
        <w:spacing w:line="576" w:lineRule="exact"/>
        <w:ind w:firstLine="560"/>
        <w:rPr>
          <w:rFonts w:ascii="宋体" w:hAnsi="宋体" w:cs="宋体"/>
          <w:bCs/>
          <w:szCs w:val="28"/>
          <w:lang w:bidi="ar"/>
        </w:rPr>
      </w:pPr>
      <w:r>
        <w:rPr>
          <w:rFonts w:hint="eastAsia" w:ascii="宋体" w:hAnsi="宋体" w:cs="宋体"/>
          <w:bCs/>
          <w:szCs w:val="28"/>
          <w:lang w:bidi="ar"/>
        </w:rPr>
        <w:t>5.8底盘厂家提供的底盘随车配件清单（1份）；</w:t>
      </w:r>
    </w:p>
    <w:p>
      <w:pPr>
        <w:spacing w:line="576" w:lineRule="exact"/>
        <w:ind w:firstLine="560"/>
        <w:rPr>
          <w:rFonts w:ascii="宋体" w:hAnsi="宋体" w:cs="宋体"/>
          <w:bCs/>
          <w:szCs w:val="28"/>
          <w:lang w:bidi="ar"/>
        </w:rPr>
      </w:pPr>
      <w:r>
        <w:rPr>
          <w:rFonts w:hint="eastAsia" w:ascii="宋体" w:hAnsi="宋体" w:cs="宋体"/>
          <w:bCs/>
          <w:szCs w:val="28"/>
          <w:lang w:bidi="ar"/>
        </w:rPr>
        <w:t>5.9车辆整车合格证（1份）；</w:t>
      </w:r>
    </w:p>
    <w:p>
      <w:pPr>
        <w:spacing w:line="576" w:lineRule="exact"/>
        <w:ind w:firstLine="560"/>
        <w:rPr>
          <w:rFonts w:ascii="宋体" w:hAnsi="宋体" w:cs="宋体"/>
          <w:bCs/>
          <w:szCs w:val="28"/>
          <w:lang w:bidi="ar"/>
        </w:rPr>
      </w:pPr>
      <w:r>
        <w:rPr>
          <w:rFonts w:hint="eastAsia" w:ascii="宋体" w:hAnsi="宋体" w:cs="宋体"/>
          <w:bCs/>
          <w:szCs w:val="28"/>
          <w:lang w:bidi="ar"/>
        </w:rPr>
        <w:t>5.10上装操作使用说明书（附零部件结构图和技术资料，生产厂商联系方式及地址），配操作演示示范光盘（3份、电子版1份）；</w:t>
      </w:r>
    </w:p>
    <w:p>
      <w:pPr>
        <w:spacing w:line="576" w:lineRule="exact"/>
        <w:ind w:firstLine="560"/>
        <w:rPr>
          <w:rFonts w:ascii="宋体" w:hAnsi="宋体" w:cs="宋体"/>
          <w:bCs/>
          <w:szCs w:val="28"/>
          <w:lang w:bidi="ar"/>
        </w:rPr>
      </w:pPr>
      <w:r>
        <w:rPr>
          <w:rFonts w:hint="eastAsia" w:ascii="宋体" w:hAnsi="宋体" w:cs="宋体"/>
          <w:bCs/>
          <w:szCs w:val="28"/>
          <w:lang w:bidi="ar"/>
        </w:rPr>
        <w:t>5.11上装维护保养说明书（附管路系统、气动系统、电路配线图）（3份、电子版1份），上装零配件目录图册（3份）；</w:t>
      </w:r>
    </w:p>
    <w:p>
      <w:pPr>
        <w:spacing w:line="576" w:lineRule="exact"/>
        <w:ind w:firstLine="560"/>
        <w:rPr>
          <w:rFonts w:ascii="宋体" w:hAnsi="宋体" w:cs="宋体"/>
          <w:bCs/>
          <w:szCs w:val="28"/>
          <w:lang w:bidi="ar"/>
        </w:rPr>
      </w:pPr>
      <w:r>
        <w:rPr>
          <w:rFonts w:hint="eastAsia" w:ascii="宋体" w:hAnsi="宋体" w:cs="宋体"/>
          <w:bCs/>
          <w:szCs w:val="28"/>
          <w:lang w:bidi="ar"/>
        </w:rPr>
        <w:t>5.12随车工具清单、器材清单（1份）；</w:t>
      </w:r>
    </w:p>
    <w:p>
      <w:pPr>
        <w:spacing w:line="576" w:lineRule="exact"/>
        <w:ind w:firstLine="560"/>
        <w:rPr>
          <w:rFonts w:ascii="宋体" w:hAnsi="宋体" w:cs="宋体"/>
          <w:bCs/>
          <w:szCs w:val="28"/>
          <w:lang w:bidi="ar"/>
        </w:rPr>
      </w:pPr>
      <w:r>
        <w:rPr>
          <w:rFonts w:hint="eastAsia" w:ascii="宋体" w:hAnsi="宋体" w:cs="宋体"/>
          <w:bCs/>
          <w:szCs w:val="28"/>
          <w:lang w:bidi="ar"/>
        </w:rPr>
        <w:t>5.13车架号、发动机号拓印件（2份）；</w:t>
      </w:r>
    </w:p>
    <w:p>
      <w:pPr>
        <w:spacing w:line="576" w:lineRule="exact"/>
        <w:ind w:firstLine="560"/>
        <w:rPr>
          <w:rFonts w:ascii="宋体" w:hAnsi="宋体" w:cs="宋体"/>
          <w:bCs/>
          <w:szCs w:val="28"/>
          <w:lang w:bidi="ar"/>
        </w:rPr>
      </w:pPr>
      <w:r>
        <w:rPr>
          <w:rFonts w:hint="eastAsia" w:ascii="宋体" w:hAnsi="宋体" w:cs="宋体"/>
          <w:bCs/>
          <w:szCs w:val="28"/>
          <w:lang w:bidi="ar"/>
        </w:rPr>
        <w:t>5.14跟踪服务卡（1份）；</w:t>
      </w:r>
    </w:p>
    <w:p>
      <w:pPr>
        <w:spacing w:line="576" w:lineRule="exact"/>
        <w:ind w:firstLine="560"/>
        <w:rPr>
          <w:rFonts w:ascii="宋体" w:hAnsi="宋体" w:cs="宋体"/>
          <w:bCs/>
          <w:szCs w:val="28"/>
          <w:lang w:bidi="ar"/>
        </w:rPr>
      </w:pPr>
      <w:r>
        <w:rPr>
          <w:rFonts w:hint="eastAsia" w:ascii="宋体" w:hAnsi="宋体" w:cs="宋体"/>
          <w:bCs/>
          <w:szCs w:val="28"/>
          <w:lang w:bidi="ar"/>
        </w:rPr>
        <w:t>5.15随车免费提供部分底盘和上装、随车设备使用、保养、维修用的配件、必备工具和易损备件（附清单）。</w:t>
      </w:r>
    </w:p>
    <w:p>
      <w:pPr>
        <w:spacing w:line="576" w:lineRule="exact"/>
        <w:ind w:firstLine="560"/>
        <w:rPr>
          <w:rFonts w:ascii="宋体" w:hAnsi="宋体" w:cs="宋体"/>
          <w:bCs/>
          <w:szCs w:val="28"/>
          <w:lang w:bidi="ar"/>
        </w:rPr>
      </w:pPr>
      <w:r>
        <w:rPr>
          <w:rFonts w:hint="eastAsia" w:ascii="宋体" w:hAnsi="宋体" w:cs="宋体"/>
          <w:bCs/>
          <w:szCs w:val="28"/>
          <w:lang w:bidi="ar"/>
        </w:rPr>
        <w:t>5.16所有操作开关、仪表、器材架及车辆均有规范的永久性中文铭牌标识；</w:t>
      </w:r>
    </w:p>
    <w:p>
      <w:pPr>
        <w:snapToGrid w:val="0"/>
        <w:spacing w:line="576" w:lineRule="exact"/>
        <w:ind w:left="2" w:firstLine="560"/>
        <w:rPr>
          <w:rFonts w:ascii="宋体" w:hAnsi="宋体" w:cs="宋体"/>
          <w:szCs w:val="28"/>
        </w:rPr>
      </w:pPr>
      <w:r>
        <w:rPr>
          <w:rFonts w:hint="eastAsia" w:ascii="宋体" w:hAnsi="宋体" w:cs="宋体"/>
          <w:szCs w:val="28"/>
        </w:rPr>
        <w:t>▲5.17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ind w:firstLine="840" w:firstLineChars="300"/>
        <w:rPr>
          <w:color w:val="000000" w:themeColor="text1"/>
          <w14:textFill>
            <w14:solidFill>
              <w14:schemeClr w14:val="tx1"/>
            </w14:solidFill>
          </w14:textFill>
        </w:rPr>
      </w:pPr>
    </w:p>
    <w:p>
      <w:pPr>
        <w:ind w:firstLine="560"/>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4"/>
        <w:bidi w:val="0"/>
      </w:pPr>
      <w:bookmarkStart w:id="66" w:name="_Toc3543"/>
      <w:r>
        <w:rPr>
          <w:rFonts w:hint="eastAsia"/>
        </w:rPr>
        <w:t>包</w:t>
      </w:r>
      <w:r>
        <w:rPr>
          <w:rFonts w:hint="eastAsia"/>
          <w:lang w:val="en-US" w:eastAsia="zh-CN"/>
        </w:rPr>
        <w:t>23</w:t>
      </w:r>
      <w:r>
        <w:rPr>
          <w:rFonts w:hint="eastAsia"/>
        </w:rPr>
        <w:t xml:space="preserve">  </w:t>
      </w:r>
      <w:r>
        <w:rPr>
          <w:rFonts w:hint="eastAsia"/>
          <w:lang w:eastAsia="zh-CN"/>
        </w:rPr>
        <w:t>“</w:t>
      </w:r>
      <w:r>
        <w:rPr>
          <w:rFonts w:hint="eastAsia"/>
        </w:rPr>
        <w:t>大型排涝车A</w:t>
      </w:r>
      <w:r>
        <w:rPr>
          <w:rFonts w:hint="eastAsia"/>
          <w:lang w:eastAsia="zh-CN"/>
        </w:rPr>
        <w:t>”</w:t>
      </w:r>
      <w:bookmarkEnd w:id="66"/>
    </w:p>
    <w:p/>
    <w:p>
      <w:pPr>
        <w:spacing w:line="576" w:lineRule="exact"/>
        <w:ind w:firstLine="560"/>
        <w:rPr>
          <w:rFonts w:ascii="宋体" w:hAnsi="宋体" w:cs="宋体"/>
          <w:bCs/>
          <w:szCs w:val="28"/>
          <w:lang w:bidi="ar"/>
        </w:rPr>
      </w:pPr>
      <w:r>
        <w:rPr>
          <w:rFonts w:hint="eastAsia" w:ascii="宋体" w:hAnsi="宋体" w:cs="宋体"/>
          <w:bCs/>
          <w:szCs w:val="28"/>
          <w:lang w:bidi="ar"/>
        </w:rPr>
        <w:t>符合GB1589-2016《汽车、挂车及汽车列车外廓尺寸、轴荷及质量限值》、GB6245-2006《消防泵》等国家标准。</w:t>
      </w:r>
    </w:p>
    <w:p>
      <w:pPr>
        <w:spacing w:line="576" w:lineRule="exact"/>
        <w:ind w:firstLine="560"/>
        <w:rPr>
          <w:rFonts w:ascii="宋体" w:hAnsi="宋体" w:cs="宋体"/>
          <w:szCs w:val="28"/>
          <w:lang w:bidi="ar"/>
        </w:rPr>
      </w:pPr>
      <w:r>
        <w:rPr>
          <w:rFonts w:hint="eastAsia" w:ascii="宋体" w:hAnsi="宋体" w:cs="宋体"/>
          <w:szCs w:val="28"/>
          <w:lang w:bidi="ar"/>
        </w:rPr>
        <w:t>1.整车综合要求</w:t>
      </w:r>
    </w:p>
    <w:p>
      <w:pPr>
        <w:spacing w:line="576" w:lineRule="exact"/>
        <w:ind w:firstLine="560"/>
        <w:rPr>
          <w:rFonts w:ascii="宋体" w:hAnsi="宋体" w:cs="宋体"/>
          <w:bCs/>
          <w:szCs w:val="28"/>
          <w:lang w:bidi="ar"/>
        </w:rPr>
      </w:pPr>
      <w:r>
        <w:rPr>
          <w:rFonts w:hint="eastAsia" w:ascii="宋体" w:hAnsi="宋体" w:cs="宋体"/>
          <w:bCs/>
          <w:szCs w:val="28"/>
          <w:lang w:bidi="ar"/>
        </w:rPr>
        <w:t>1.1外形尺寸:长≤10000㎜，宽≤2550㎜，高≤4000㎜，符合GB7956.1-2014标准要求；</w:t>
      </w:r>
    </w:p>
    <w:p>
      <w:pPr>
        <w:spacing w:line="576" w:lineRule="exact"/>
        <w:ind w:firstLine="560"/>
        <w:rPr>
          <w:rFonts w:ascii="宋体" w:hAnsi="宋体" w:cs="宋体"/>
          <w:bCs/>
          <w:szCs w:val="28"/>
          <w:lang w:bidi="ar"/>
        </w:rPr>
      </w:pPr>
      <w:r>
        <w:rPr>
          <w:rFonts w:hint="eastAsia" w:ascii="宋体" w:hAnsi="宋体" w:cs="宋体"/>
          <w:bCs/>
          <w:szCs w:val="28"/>
          <w:lang w:bidi="ar"/>
        </w:rPr>
        <w:t>1.2整车最大允许总质量：≥15000kg；</w:t>
      </w:r>
    </w:p>
    <w:p>
      <w:pPr>
        <w:spacing w:line="576" w:lineRule="exact"/>
        <w:ind w:firstLine="560"/>
        <w:rPr>
          <w:rFonts w:ascii="宋体" w:hAnsi="宋体" w:cs="宋体"/>
          <w:bCs/>
          <w:szCs w:val="28"/>
          <w:lang w:bidi="ar"/>
        </w:rPr>
      </w:pPr>
      <w:r>
        <w:rPr>
          <w:rFonts w:hint="eastAsia" w:ascii="宋体" w:hAnsi="宋体" w:cs="宋体"/>
          <w:bCs/>
          <w:szCs w:val="28"/>
          <w:lang w:bidi="ar"/>
        </w:rPr>
        <w:t>1.3驾乘室人员数量：≥2人；</w:t>
      </w:r>
    </w:p>
    <w:p>
      <w:pPr>
        <w:snapToGrid w:val="0"/>
        <w:spacing w:line="576" w:lineRule="exact"/>
        <w:ind w:firstLine="560"/>
        <w:rPr>
          <w:rFonts w:ascii="宋体" w:hAnsi="宋体" w:cs="宋体"/>
          <w:szCs w:val="28"/>
        </w:rPr>
      </w:pPr>
      <w:r>
        <w:rPr>
          <w:rFonts w:hint="eastAsia" w:ascii="宋体" w:hAnsi="宋体" w:cs="宋体"/>
          <w:szCs w:val="28"/>
          <w:lang w:bidi="ar"/>
        </w:rPr>
        <w:t>1.4车身颜色和漆料：消防车车身的颜色应符合GB/T3181-2008中规定的R03大红色；外观应光滑、平整、色泽均匀，不应有缺漆等缺陷，车顶和车身涂装的工艺、颜色保持一致，不得自行增加饰条、饰带、饰物；</w:t>
      </w:r>
    </w:p>
    <w:p>
      <w:pPr>
        <w:snapToGrid w:val="0"/>
        <w:spacing w:line="576" w:lineRule="exact"/>
        <w:ind w:firstLine="560"/>
        <w:rPr>
          <w:rFonts w:ascii="宋体" w:hAnsi="宋体" w:cs="宋体"/>
          <w:szCs w:val="28"/>
          <w:lang w:bidi="ar"/>
        </w:rPr>
      </w:pPr>
      <w:r>
        <w:rPr>
          <w:rFonts w:hint="eastAsia" w:ascii="宋体" w:hAnsi="宋体" w:cs="宋体"/>
          <w:szCs w:val="28"/>
          <w:lang w:bidi="ar"/>
        </w:rPr>
        <w:t>1.5外观标识：按照《消防救援局关于做好消防救援车辆外观制式涂装工作的通知》（应急消[2019]76号）要求涂装，车辆前后有预留牌照架（符合现行应急车牌尺寸，采用金属构件固定后结实耐用）。</w:t>
      </w:r>
    </w:p>
    <w:p>
      <w:pPr>
        <w:adjustRightInd w:val="0"/>
        <w:snapToGrid w:val="0"/>
        <w:spacing w:line="576" w:lineRule="exact"/>
        <w:ind w:firstLine="560"/>
        <w:rPr>
          <w:rFonts w:ascii="宋体" w:hAnsi="宋体" w:cs="宋体"/>
          <w:szCs w:val="28"/>
        </w:rPr>
      </w:pPr>
      <w:r>
        <w:rPr>
          <w:rFonts w:hint="eastAsia" w:ascii="宋体" w:hAnsi="宋体" w:cs="宋体"/>
          <w:szCs w:val="28"/>
          <w:lang w:bidi="ar"/>
        </w:rPr>
        <w:t>2.底盘要求</w:t>
      </w:r>
    </w:p>
    <w:p>
      <w:pPr>
        <w:snapToGrid w:val="0"/>
        <w:spacing w:line="576" w:lineRule="exact"/>
        <w:ind w:firstLine="560"/>
        <w:rPr>
          <w:rFonts w:ascii="宋体" w:hAnsi="宋体" w:cs="宋体"/>
          <w:bCs/>
          <w:szCs w:val="28"/>
        </w:rPr>
      </w:pPr>
      <w:r>
        <w:rPr>
          <w:rFonts w:hint="eastAsia" w:ascii="宋体" w:hAnsi="宋体" w:cs="宋体"/>
          <w:bCs/>
          <w:szCs w:val="28"/>
          <w:lang w:bidi="ar"/>
        </w:rPr>
        <w:t>2.1底盘</w:t>
      </w:r>
    </w:p>
    <w:p>
      <w:pPr>
        <w:snapToGrid w:val="0"/>
        <w:spacing w:line="576" w:lineRule="exact"/>
        <w:ind w:firstLine="560"/>
        <w:rPr>
          <w:rFonts w:ascii="宋体" w:hAnsi="宋体" w:cs="宋体"/>
          <w:bCs/>
          <w:szCs w:val="28"/>
        </w:rPr>
      </w:pPr>
      <w:r>
        <w:rPr>
          <w:rFonts w:hint="eastAsia" w:ascii="宋体" w:hAnsi="宋体" w:cs="宋体"/>
          <w:bCs/>
          <w:szCs w:val="28"/>
          <w:lang w:bidi="ar"/>
        </w:rPr>
        <w:t>2.1.1选用通用二类底盘；</w:t>
      </w:r>
    </w:p>
    <w:p>
      <w:pPr>
        <w:spacing w:line="576" w:lineRule="exact"/>
        <w:ind w:firstLine="560"/>
        <w:rPr>
          <w:rFonts w:ascii="宋体" w:hAnsi="宋体" w:cs="宋体"/>
          <w:bCs/>
          <w:szCs w:val="28"/>
        </w:rPr>
      </w:pPr>
      <w:r>
        <w:rPr>
          <w:rFonts w:hint="eastAsia" w:ascii="宋体" w:hAnsi="宋体" w:cs="宋体"/>
          <w:bCs/>
          <w:szCs w:val="28"/>
          <w:lang w:bidi="ar"/>
        </w:rPr>
        <w:t>2.1.2燃料种类:柴油；</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2.1.3驱动形式：4×2；</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★2.1.4排放标准：国六排放标准；</w:t>
      </w:r>
    </w:p>
    <w:p>
      <w:pPr>
        <w:spacing w:line="576" w:lineRule="exact"/>
        <w:ind w:firstLine="560"/>
        <w:rPr>
          <w:rFonts w:ascii="宋体" w:hAnsi="宋体" w:cs="宋体"/>
          <w:bCs/>
          <w:szCs w:val="28"/>
          <w:lang w:bidi="ar"/>
        </w:rPr>
      </w:pPr>
      <w:r>
        <w:rPr>
          <w:rFonts w:hint="eastAsia" w:ascii="宋体" w:hAnsi="宋体" w:cs="宋体"/>
          <w:bCs/>
          <w:szCs w:val="28"/>
          <w:lang w:bidi="ar"/>
        </w:rPr>
        <w:t>▲2.1.5发动机：柴油发动机，最大输出功率≥210kW；</w:t>
      </w:r>
    </w:p>
    <w:p>
      <w:pPr>
        <w:spacing w:line="576" w:lineRule="exact"/>
        <w:ind w:firstLine="560"/>
        <w:rPr>
          <w:rFonts w:ascii="宋体" w:hAnsi="宋体" w:cs="宋体"/>
          <w:bCs/>
          <w:szCs w:val="28"/>
          <w:lang w:bidi="ar"/>
        </w:rPr>
      </w:pPr>
      <w:r>
        <w:rPr>
          <w:rFonts w:hint="eastAsia" w:ascii="宋体" w:hAnsi="宋体" w:cs="宋体"/>
          <w:bCs/>
          <w:szCs w:val="28"/>
          <w:lang w:bidi="ar"/>
        </w:rPr>
        <w:t>2.1.6变速器：手动或自动变速；</w:t>
      </w:r>
    </w:p>
    <w:p>
      <w:pPr>
        <w:snapToGrid w:val="0"/>
        <w:spacing w:line="576" w:lineRule="exact"/>
        <w:ind w:left="2" w:firstLine="560"/>
        <w:rPr>
          <w:rFonts w:ascii="宋体" w:hAnsi="宋体" w:cs="宋体"/>
          <w:szCs w:val="28"/>
        </w:rPr>
      </w:pPr>
      <w:r>
        <w:rPr>
          <w:rFonts w:hint="eastAsia" w:ascii="宋体" w:hAnsi="宋体" w:cs="宋体"/>
          <w:szCs w:val="28"/>
        </w:rPr>
        <w:t>2.1.7底盘必须为车辆采购招标公告发布当年生产的底盘，交车时需提供底盘出厂合格证；</w:t>
      </w:r>
    </w:p>
    <w:p>
      <w:pPr>
        <w:spacing w:line="576" w:lineRule="exact"/>
        <w:ind w:firstLine="560"/>
        <w:rPr>
          <w:rFonts w:ascii="宋体" w:hAnsi="宋体" w:cs="宋体"/>
          <w:bCs/>
          <w:szCs w:val="28"/>
          <w:lang w:bidi="ar"/>
        </w:rPr>
      </w:pPr>
      <w:r>
        <w:rPr>
          <w:rFonts w:hint="eastAsia" w:ascii="宋体" w:hAnsi="宋体" w:cs="宋体"/>
          <w:bCs/>
          <w:szCs w:val="28"/>
          <w:lang w:bidi="ar"/>
        </w:rPr>
        <w:t>2.2驾乘室</w:t>
      </w:r>
    </w:p>
    <w:p>
      <w:pPr>
        <w:spacing w:line="576" w:lineRule="exact"/>
        <w:ind w:firstLine="560"/>
        <w:rPr>
          <w:rFonts w:ascii="宋体" w:hAnsi="宋体" w:cs="宋体"/>
          <w:bCs/>
          <w:szCs w:val="28"/>
          <w:lang w:bidi="ar"/>
        </w:rPr>
      </w:pPr>
      <w:r>
        <w:rPr>
          <w:rFonts w:hint="eastAsia" w:ascii="宋体" w:hAnsi="宋体" w:cs="宋体"/>
          <w:bCs/>
          <w:szCs w:val="28"/>
          <w:lang w:bidi="ar"/>
        </w:rPr>
        <w:t>▲2.2.1底盘厂原装双门单排标准驾乘室，</w:t>
      </w:r>
      <w:r>
        <w:rPr>
          <w:rFonts w:hint="eastAsia" w:ascii="宋体" w:hAnsi="宋体" w:cs="宋体"/>
          <w:bCs/>
          <w:szCs w:val="28"/>
        </w:rPr>
        <w:t>全钢保险杠，分体式大灯；</w:t>
      </w:r>
      <w:r>
        <w:rPr>
          <w:rFonts w:hint="eastAsia" w:ascii="宋体" w:hAnsi="宋体" w:cs="宋体"/>
          <w:bCs/>
          <w:szCs w:val="28"/>
          <w:lang w:bidi="ar"/>
        </w:rPr>
        <w:t xml:space="preserve"> </w:t>
      </w:r>
    </w:p>
    <w:p>
      <w:pPr>
        <w:spacing w:line="576" w:lineRule="exact"/>
        <w:ind w:firstLine="560"/>
        <w:rPr>
          <w:rFonts w:ascii="宋体" w:hAnsi="宋体" w:cs="宋体"/>
          <w:bCs/>
          <w:szCs w:val="28"/>
          <w:lang w:bidi="ar"/>
        </w:rPr>
      </w:pPr>
      <w:r>
        <w:rPr>
          <w:rFonts w:hint="eastAsia" w:ascii="宋体" w:hAnsi="宋体" w:cs="宋体"/>
          <w:bCs/>
          <w:szCs w:val="28"/>
          <w:lang w:bidi="ar"/>
        </w:rPr>
        <w:t>2.2.2设置行进途中器材箱门开启、车门开启声光报警装置；</w:t>
      </w:r>
    </w:p>
    <w:p>
      <w:pPr>
        <w:spacing w:line="576" w:lineRule="exact"/>
        <w:ind w:firstLine="560"/>
        <w:rPr>
          <w:rFonts w:ascii="宋体" w:hAnsi="宋体" w:cs="宋体"/>
          <w:bCs/>
          <w:szCs w:val="28"/>
          <w:lang w:bidi="ar"/>
        </w:rPr>
      </w:pPr>
      <w:r>
        <w:rPr>
          <w:rFonts w:hint="eastAsia" w:ascii="宋体" w:hAnsi="宋体" w:cs="宋体"/>
          <w:bCs/>
          <w:szCs w:val="28"/>
          <w:lang w:bidi="ar"/>
        </w:rPr>
        <w:t>2.2.3</w:t>
      </w:r>
      <w:r>
        <w:rPr>
          <w:rFonts w:hint="eastAsia" w:ascii="宋体" w:hAnsi="宋体" w:cs="宋体"/>
          <w:bCs/>
          <w:szCs w:val="28"/>
        </w:rPr>
        <w:t>驾驶室可电动翻转，带线控功能，密闭良好，座椅材质为防割耐磨阻燃材料，座椅全部安装三点式安全带，车内应设置照明设施；</w:t>
      </w:r>
      <w:r>
        <w:rPr>
          <w:rFonts w:hint="eastAsia" w:ascii="宋体" w:hAnsi="宋体" w:cs="宋体"/>
          <w:bCs/>
          <w:szCs w:val="28"/>
          <w:lang w:bidi="ar"/>
        </w:rPr>
        <w:t>车内设置冷暖空调，收音机带USB接口；</w:t>
      </w:r>
    </w:p>
    <w:p>
      <w:pPr>
        <w:spacing w:line="576" w:lineRule="exact"/>
        <w:ind w:firstLine="560"/>
        <w:rPr>
          <w:rFonts w:ascii="宋体" w:hAnsi="宋体" w:cs="宋体"/>
          <w:bCs/>
          <w:szCs w:val="28"/>
          <w:lang w:bidi="ar"/>
        </w:rPr>
      </w:pPr>
      <w:r>
        <w:rPr>
          <w:rFonts w:hint="eastAsia" w:ascii="宋体" w:hAnsi="宋体" w:cs="宋体"/>
          <w:bCs/>
          <w:szCs w:val="28"/>
          <w:lang w:bidi="ar"/>
        </w:rPr>
        <w:t>▲2.2.4配备360°行车记录仪（内存≥128G）、倒车雷达、胎压监测系统等，预留220V逆变电源插口2个，USB插口4个；配备370MHz数字车载台（支持PDT数字集群并需接入山西省370MHz无线通信核心网）；</w:t>
      </w:r>
    </w:p>
    <w:p>
      <w:pPr>
        <w:spacing w:line="576" w:lineRule="exact"/>
        <w:ind w:firstLine="560"/>
        <w:rPr>
          <w:rFonts w:ascii="宋体" w:hAnsi="宋体" w:cs="宋体"/>
          <w:bCs/>
          <w:szCs w:val="28"/>
          <w:lang w:bidi="ar"/>
        </w:rPr>
      </w:pPr>
      <w:r>
        <w:rPr>
          <w:rFonts w:hint="eastAsia" w:ascii="宋体" w:hAnsi="宋体" w:cs="宋体"/>
          <w:bCs/>
          <w:szCs w:val="28"/>
          <w:lang w:bidi="ar"/>
        </w:rPr>
        <w:t>2.2.5驾驶室车门应采用电动升降玻璃；</w:t>
      </w:r>
    </w:p>
    <w:p>
      <w:pPr>
        <w:spacing w:line="576" w:lineRule="exact"/>
        <w:ind w:firstLine="560"/>
        <w:rPr>
          <w:rFonts w:ascii="宋体" w:hAnsi="宋体" w:cs="宋体"/>
          <w:bCs/>
          <w:szCs w:val="28"/>
          <w:lang w:bidi="ar"/>
        </w:rPr>
      </w:pPr>
      <w:r>
        <w:rPr>
          <w:rFonts w:hint="eastAsia" w:ascii="宋体" w:hAnsi="宋体" w:cs="宋体"/>
          <w:bCs/>
          <w:szCs w:val="28"/>
          <w:lang w:bidi="ar"/>
        </w:rPr>
        <w:t>2.2.6驾驶室踏板要求：驾驶室的上下车踏板间距≤270mm，除驾驶员侧外，深度≥100mm，踏板间应有水平照度≥5Lx的照明灯，踏板脚踏面应有防滑措施，与地面最近一级的离地距离≤500mm；</w:t>
      </w:r>
    </w:p>
    <w:p>
      <w:pPr>
        <w:snapToGrid w:val="0"/>
        <w:spacing w:line="576" w:lineRule="exact"/>
        <w:ind w:left="2" w:firstLine="560"/>
        <w:rPr>
          <w:rFonts w:ascii="宋体" w:hAnsi="宋体" w:cs="宋体"/>
          <w:szCs w:val="28"/>
        </w:rPr>
      </w:pPr>
      <w:r>
        <w:rPr>
          <w:rFonts w:hint="eastAsia" w:ascii="宋体" w:hAnsi="宋体" w:cs="宋体"/>
          <w:bCs/>
          <w:szCs w:val="28"/>
          <w:lang w:bidi="ar"/>
        </w:rPr>
        <w:t>2.2.7</w:t>
      </w:r>
      <w:r>
        <w:rPr>
          <w:rFonts w:hint="eastAsia" w:ascii="宋体" w:hAnsi="宋体" w:cs="宋体"/>
          <w:szCs w:val="28"/>
        </w:rPr>
        <w:t>驾驶室后视镜安装要求：两侧电加热后视镜，电动可调节、两侧广角加热后视镜，副驾驶侧门配盲区照地镜和驾驶室前盲区镜并符合</w:t>
      </w:r>
      <w:r>
        <w:rPr>
          <w:rFonts w:hint="eastAsia" w:ascii="宋体" w:hAnsi="宋体" w:cs="宋体"/>
          <w:szCs w:val="28"/>
          <w:lang w:val="en-US" w:eastAsia="zh-CN"/>
        </w:rPr>
        <w:t>GB 15084-2022（20230701）《机动车辆间接视野装置性能和安装要求》</w:t>
      </w:r>
      <w:r>
        <w:rPr>
          <w:rFonts w:hint="eastAsia" w:ascii="宋体" w:hAnsi="宋体" w:cs="宋体"/>
          <w:szCs w:val="28"/>
        </w:rPr>
        <w:t>；</w:t>
      </w:r>
    </w:p>
    <w:p>
      <w:pPr>
        <w:spacing w:line="576" w:lineRule="exact"/>
        <w:ind w:firstLine="560"/>
        <w:rPr>
          <w:rFonts w:ascii="宋体" w:hAnsi="宋体" w:cs="宋体"/>
          <w:bCs/>
          <w:szCs w:val="28"/>
          <w:lang w:bidi="ar"/>
        </w:rPr>
      </w:pPr>
      <w:r>
        <w:rPr>
          <w:rFonts w:hint="eastAsia" w:ascii="宋体" w:hAnsi="宋体" w:cs="宋体"/>
          <w:bCs/>
          <w:szCs w:val="28"/>
          <w:lang w:bidi="ar"/>
        </w:rPr>
        <w:t>2.3取力器：采用比功率相匹配的取力器（进口底盘消防车由底盘自带进口油泵取力器总成），驾驶室设有取力器控制开关及指示灯；</w:t>
      </w:r>
    </w:p>
    <w:p>
      <w:pPr>
        <w:spacing w:line="576" w:lineRule="exact"/>
        <w:ind w:firstLine="560"/>
        <w:rPr>
          <w:rFonts w:ascii="宋体" w:hAnsi="宋体" w:cs="宋体"/>
          <w:bCs/>
          <w:szCs w:val="28"/>
          <w:lang w:bidi="ar"/>
        </w:rPr>
      </w:pPr>
      <w:r>
        <w:rPr>
          <w:rFonts w:hint="eastAsia" w:ascii="宋体" w:hAnsi="宋体" w:cs="宋体"/>
          <w:bCs/>
          <w:szCs w:val="28"/>
          <w:lang w:bidi="ar"/>
        </w:rPr>
        <w:t>▲2.4轮胎：子午线真空钢丝轮胎（包括1个同规格、同型号、同品牌备胎）；</w:t>
      </w:r>
    </w:p>
    <w:p>
      <w:pPr>
        <w:spacing w:line="576" w:lineRule="exact"/>
        <w:ind w:firstLine="560"/>
        <w:rPr>
          <w:rFonts w:ascii="宋体" w:hAnsi="宋体" w:cs="宋体"/>
          <w:bCs/>
          <w:szCs w:val="28"/>
          <w:lang w:bidi="ar"/>
        </w:rPr>
      </w:pPr>
      <w:r>
        <w:rPr>
          <w:rFonts w:hint="eastAsia" w:ascii="宋体" w:hAnsi="宋体" w:cs="宋体"/>
          <w:bCs/>
          <w:szCs w:val="28"/>
          <w:lang w:bidi="ar"/>
        </w:rPr>
        <w:t>▲2.5制动系统：前轮盘式制动器、ABS防抱死制动系统或EBS电控制动系统，装配液力缓速器；</w:t>
      </w:r>
    </w:p>
    <w:p>
      <w:pPr>
        <w:spacing w:line="576" w:lineRule="exact"/>
        <w:ind w:firstLine="560"/>
        <w:rPr>
          <w:rFonts w:ascii="宋体" w:hAnsi="宋体" w:cs="宋体"/>
          <w:bCs/>
          <w:szCs w:val="28"/>
          <w:lang w:bidi="ar"/>
        </w:rPr>
      </w:pPr>
      <w:r>
        <w:rPr>
          <w:rFonts w:hint="eastAsia" w:ascii="宋体" w:hAnsi="宋体" w:cs="宋体"/>
          <w:bCs/>
          <w:szCs w:val="28"/>
          <w:lang w:bidi="ar"/>
        </w:rPr>
        <w:t>2.6油箱：容积：≥200L，金属材质，加装滤网，油箱盖带锁；</w:t>
      </w:r>
    </w:p>
    <w:p>
      <w:pPr>
        <w:spacing w:line="576" w:lineRule="exact"/>
        <w:ind w:firstLine="560"/>
        <w:rPr>
          <w:rFonts w:ascii="宋体" w:hAnsi="宋体" w:cs="宋体"/>
          <w:bCs/>
          <w:szCs w:val="28"/>
          <w:lang w:bidi="ar"/>
        </w:rPr>
      </w:pPr>
      <w:r>
        <w:rPr>
          <w:rFonts w:hint="eastAsia" w:ascii="宋体" w:hAnsi="宋体" w:cs="宋体"/>
          <w:bCs/>
          <w:szCs w:val="28"/>
          <w:lang w:bidi="ar"/>
        </w:rPr>
        <w:t>2.7配有寒区包适合寒冷地区使用。</w:t>
      </w:r>
    </w:p>
    <w:p>
      <w:pPr>
        <w:spacing w:line="576" w:lineRule="exact"/>
        <w:ind w:firstLine="560"/>
        <w:rPr>
          <w:rFonts w:ascii="宋体" w:hAnsi="宋体" w:cs="宋体"/>
          <w:szCs w:val="28"/>
        </w:rPr>
      </w:pPr>
      <w:r>
        <w:rPr>
          <w:rFonts w:hint="eastAsia" w:ascii="宋体" w:hAnsi="宋体" w:cs="宋体"/>
          <w:szCs w:val="28"/>
          <w:lang w:bidi="ar"/>
        </w:rPr>
        <w:t>3.上装</w:t>
      </w:r>
    </w:p>
    <w:p>
      <w:pPr>
        <w:spacing w:line="576" w:lineRule="exact"/>
        <w:ind w:firstLine="560"/>
        <w:rPr>
          <w:rFonts w:ascii="宋体" w:hAnsi="宋体" w:cs="宋体"/>
          <w:bCs/>
          <w:szCs w:val="28"/>
        </w:rPr>
      </w:pPr>
      <w:r>
        <w:rPr>
          <w:rFonts w:hint="eastAsia" w:ascii="宋体" w:hAnsi="宋体" w:cs="宋体"/>
          <w:bCs/>
          <w:szCs w:val="28"/>
          <w:lang w:bidi="ar"/>
        </w:rPr>
        <w:t>3.1总体要求</w:t>
      </w:r>
    </w:p>
    <w:p>
      <w:pPr>
        <w:spacing w:line="576" w:lineRule="exact"/>
        <w:ind w:firstLine="560"/>
        <w:rPr>
          <w:rFonts w:ascii="宋体" w:hAnsi="宋体" w:cs="宋体"/>
          <w:bCs/>
          <w:szCs w:val="28"/>
          <w:lang w:bidi="ar"/>
        </w:rPr>
      </w:pPr>
      <w:r>
        <w:rPr>
          <w:rFonts w:hint="eastAsia" w:ascii="宋体" w:hAnsi="宋体" w:cs="宋体"/>
          <w:bCs/>
          <w:szCs w:val="28"/>
          <w:lang w:bidi="ar"/>
        </w:rPr>
        <w:t>3.1.1车顶要做防滑处理，保证人员在车顶的行走安全，左右侧应设有雨槽用于雨水的疏流，车顶设有护栏；</w:t>
      </w:r>
    </w:p>
    <w:p>
      <w:pPr>
        <w:spacing w:line="576" w:lineRule="exact"/>
        <w:ind w:firstLine="560"/>
        <w:rPr>
          <w:rFonts w:ascii="宋体" w:hAnsi="宋体" w:cs="宋体"/>
          <w:bCs/>
          <w:szCs w:val="28"/>
          <w:lang w:bidi="ar"/>
        </w:rPr>
      </w:pPr>
      <w:r>
        <w:rPr>
          <w:rFonts w:hint="eastAsia" w:ascii="宋体" w:hAnsi="宋体" w:cs="宋体"/>
          <w:bCs/>
          <w:szCs w:val="28"/>
          <w:lang w:bidi="ar"/>
        </w:rPr>
        <w:t>3.1.2爬梯梯级应有防滑及毛刺处理设计，顶部装有扶手，确保可方便登上车顶；</w:t>
      </w:r>
    </w:p>
    <w:p>
      <w:pPr>
        <w:spacing w:line="576" w:lineRule="exact"/>
        <w:ind w:firstLine="560"/>
        <w:rPr>
          <w:rFonts w:ascii="宋体" w:hAnsi="宋体" w:cs="宋体"/>
          <w:bCs/>
          <w:szCs w:val="28"/>
          <w:lang w:bidi="ar"/>
        </w:rPr>
      </w:pPr>
      <w:r>
        <w:rPr>
          <w:rFonts w:hint="eastAsia" w:ascii="宋体" w:hAnsi="宋体" w:cs="宋体"/>
          <w:bCs/>
          <w:szCs w:val="28"/>
          <w:lang w:bidi="ar"/>
        </w:rPr>
        <w:t>3.1.3车厢（箱体、内骨架）材质全部采用全铝合金材质，内饰板采用光面拉丝氧化铝板或更优材质。车厢结构要求具有环境适应性好及具有多种防护性能，隔热保温，防雨、防火、防热辐射、防虫蛀鼠咬等性能，外包型材、门结构采用防腐耐用材质，各开孔和承重处均设置骨架的预埋件，满足车厢的承重要求和安装要求，所有金属板材和方管边缘均做防毛刺处理。</w:t>
      </w:r>
    </w:p>
    <w:p>
      <w:pPr>
        <w:spacing w:line="576" w:lineRule="exact"/>
        <w:ind w:firstLine="560"/>
        <w:rPr>
          <w:rFonts w:ascii="宋体" w:hAnsi="宋体" w:cs="宋体"/>
          <w:bCs/>
          <w:szCs w:val="28"/>
          <w:lang w:bidi="ar"/>
        </w:rPr>
      </w:pPr>
      <w:r>
        <w:rPr>
          <w:rFonts w:hint="eastAsia" w:ascii="宋体" w:hAnsi="宋体" w:cs="宋体"/>
          <w:bCs/>
          <w:szCs w:val="28"/>
          <w:lang w:bidi="ar"/>
        </w:rPr>
        <w:t>3.2水泵系统</w:t>
      </w:r>
    </w:p>
    <w:p>
      <w:pPr>
        <w:spacing w:line="576" w:lineRule="exact"/>
        <w:ind w:firstLine="560"/>
        <w:rPr>
          <w:rFonts w:ascii="宋体" w:hAnsi="宋体" w:cs="宋体"/>
          <w:bCs/>
          <w:szCs w:val="28"/>
          <w:lang w:bidi="ar"/>
        </w:rPr>
      </w:pPr>
      <w:r>
        <w:rPr>
          <w:rFonts w:hint="eastAsia" w:ascii="宋体" w:hAnsi="宋体" w:cs="宋体"/>
          <w:bCs/>
          <w:szCs w:val="28"/>
          <w:lang w:bidi="ar"/>
        </w:rPr>
        <w:t>3.2.1水泵液压马达直接驱动；</w:t>
      </w:r>
    </w:p>
    <w:p>
      <w:pPr>
        <w:spacing w:line="576" w:lineRule="exact"/>
        <w:ind w:firstLine="560"/>
        <w:rPr>
          <w:rFonts w:ascii="宋体" w:hAnsi="宋体" w:cs="宋体"/>
          <w:bCs/>
          <w:szCs w:val="28"/>
          <w:lang w:bidi="ar"/>
        </w:rPr>
      </w:pPr>
      <w:r>
        <w:rPr>
          <w:rFonts w:hint="eastAsia" w:ascii="宋体" w:hAnsi="宋体" w:cs="宋体"/>
          <w:bCs/>
          <w:szCs w:val="28"/>
          <w:lang w:bidi="ar"/>
        </w:rPr>
        <w:t>▲3.2.2单个水泵流量：≥1500m</w:t>
      </w:r>
      <w:r>
        <w:rPr>
          <w:rFonts w:hint="eastAsia" w:ascii="宋体" w:hAnsi="宋体" w:cs="宋体"/>
          <w:bCs/>
          <w:szCs w:val="28"/>
          <w:vertAlign w:val="superscript"/>
          <w:lang w:bidi="ar"/>
        </w:rPr>
        <w:t>3</w:t>
      </w:r>
      <w:r>
        <w:rPr>
          <w:rFonts w:hint="eastAsia" w:ascii="宋体" w:hAnsi="宋体" w:cs="宋体"/>
          <w:bCs/>
          <w:szCs w:val="28"/>
          <w:lang w:bidi="ar"/>
        </w:rPr>
        <w:t>／h；单个水泵扬程：≥17m；</w:t>
      </w:r>
    </w:p>
    <w:p>
      <w:pPr>
        <w:spacing w:line="576" w:lineRule="exact"/>
        <w:ind w:firstLine="560"/>
        <w:rPr>
          <w:rFonts w:ascii="宋体" w:hAnsi="宋体" w:cs="宋体"/>
          <w:bCs/>
          <w:szCs w:val="28"/>
          <w:lang w:bidi="ar"/>
        </w:rPr>
      </w:pPr>
      <w:r>
        <w:rPr>
          <w:rFonts w:hint="eastAsia" w:ascii="宋体" w:hAnsi="宋体" w:cs="宋体"/>
          <w:bCs/>
          <w:szCs w:val="28"/>
          <w:lang w:bidi="ar"/>
        </w:rPr>
        <w:t>▲3.2.3水泵吸水口离水面作业最小深度：≤0.2m；</w:t>
      </w:r>
    </w:p>
    <w:p>
      <w:pPr>
        <w:spacing w:line="576" w:lineRule="exact"/>
        <w:ind w:firstLine="560"/>
        <w:rPr>
          <w:rFonts w:ascii="宋体" w:hAnsi="宋体" w:cs="宋体"/>
          <w:bCs/>
          <w:szCs w:val="28"/>
          <w:lang w:bidi="ar"/>
        </w:rPr>
      </w:pPr>
      <w:r>
        <w:rPr>
          <w:rFonts w:hint="eastAsia" w:ascii="宋体" w:hAnsi="宋体" w:cs="宋体"/>
          <w:bCs/>
          <w:szCs w:val="28"/>
          <w:lang w:bidi="ar"/>
        </w:rPr>
        <w:t>3.2.4水泵动力源来自汽车底盘上发动机，全功率取力器负责输出；</w:t>
      </w:r>
    </w:p>
    <w:p>
      <w:pPr>
        <w:spacing w:line="576" w:lineRule="exact"/>
        <w:ind w:firstLine="560"/>
        <w:rPr>
          <w:rFonts w:ascii="宋体" w:hAnsi="宋体" w:cs="宋体"/>
          <w:bCs/>
          <w:szCs w:val="28"/>
          <w:lang w:bidi="ar"/>
        </w:rPr>
      </w:pPr>
      <w:r>
        <w:rPr>
          <w:rFonts w:hint="eastAsia" w:ascii="宋体" w:hAnsi="宋体" w:cs="宋体"/>
          <w:bCs/>
          <w:szCs w:val="28"/>
          <w:lang w:bidi="ar"/>
        </w:rPr>
        <w:t>3.2.5泵口安装拦污罩，有效拦截漂浮物和石块等，拦污罩尺寸≤50mm×50mm。</w:t>
      </w:r>
    </w:p>
    <w:p>
      <w:pPr>
        <w:spacing w:line="576" w:lineRule="exact"/>
        <w:ind w:firstLine="560"/>
        <w:rPr>
          <w:rFonts w:ascii="宋体" w:hAnsi="宋体" w:cs="宋体"/>
          <w:bCs/>
          <w:szCs w:val="28"/>
          <w:lang w:bidi="ar"/>
        </w:rPr>
      </w:pPr>
      <w:r>
        <w:rPr>
          <w:rFonts w:hint="eastAsia" w:ascii="宋体" w:hAnsi="宋体" w:cs="宋体"/>
          <w:bCs/>
          <w:szCs w:val="28"/>
          <w:lang w:bidi="ar"/>
        </w:rPr>
        <w:t>3.2.6水泵控制便捷操作水泵垂直伸入市政标准窨井（内径≦650mm）中进行抽排水作业；</w:t>
      </w:r>
    </w:p>
    <w:p>
      <w:pPr>
        <w:spacing w:line="576" w:lineRule="exact"/>
        <w:ind w:firstLine="560"/>
        <w:rPr>
          <w:rFonts w:ascii="宋体" w:hAnsi="宋体" w:cs="宋体"/>
          <w:bCs/>
          <w:szCs w:val="28"/>
          <w:lang w:bidi="ar"/>
        </w:rPr>
      </w:pPr>
      <w:r>
        <w:rPr>
          <w:rFonts w:hint="eastAsia" w:ascii="宋体" w:hAnsi="宋体" w:cs="宋体"/>
          <w:bCs/>
          <w:szCs w:val="28"/>
          <w:lang w:bidi="ar"/>
        </w:rPr>
        <w:t>3.2.7水泵辅助结构形式：举升、平移、伸缩、旋转、滑动组合机构；</w:t>
      </w:r>
    </w:p>
    <w:p>
      <w:pPr>
        <w:spacing w:line="576" w:lineRule="exact"/>
        <w:ind w:firstLine="560"/>
        <w:rPr>
          <w:rFonts w:ascii="宋体" w:hAnsi="宋体" w:cs="宋体"/>
          <w:bCs/>
          <w:szCs w:val="28"/>
          <w:lang w:bidi="ar"/>
        </w:rPr>
      </w:pPr>
      <w:r>
        <w:rPr>
          <w:rFonts w:hint="eastAsia" w:ascii="宋体" w:hAnsi="宋体" w:cs="宋体"/>
          <w:bCs/>
          <w:szCs w:val="28"/>
          <w:lang w:bidi="ar"/>
        </w:rPr>
        <w:t>▲3.2.8尾部承载平台可直线平移≥1米；</w:t>
      </w:r>
    </w:p>
    <w:p>
      <w:pPr>
        <w:spacing w:line="576" w:lineRule="exact"/>
        <w:ind w:firstLine="560"/>
        <w:rPr>
          <w:rFonts w:ascii="宋体" w:hAnsi="宋体" w:cs="宋体"/>
          <w:bCs/>
          <w:szCs w:val="28"/>
          <w:lang w:bidi="ar"/>
        </w:rPr>
      </w:pPr>
      <w:r>
        <w:rPr>
          <w:rFonts w:hint="eastAsia" w:ascii="宋体" w:hAnsi="宋体" w:cs="宋体"/>
          <w:bCs/>
          <w:szCs w:val="28"/>
          <w:lang w:bidi="ar"/>
        </w:rPr>
        <w:t>▲3.2.9操作水泵深入窨井的最大有效垂直深度≥6.5m；</w:t>
      </w:r>
    </w:p>
    <w:p>
      <w:pPr>
        <w:spacing w:line="576" w:lineRule="exact"/>
        <w:ind w:firstLine="560"/>
        <w:rPr>
          <w:rFonts w:ascii="宋体" w:hAnsi="宋体" w:cs="宋体"/>
          <w:bCs/>
          <w:szCs w:val="28"/>
          <w:lang w:bidi="ar"/>
        </w:rPr>
      </w:pPr>
      <w:r>
        <w:rPr>
          <w:rFonts w:hint="eastAsia" w:ascii="宋体" w:hAnsi="宋体" w:cs="宋体"/>
          <w:bCs/>
          <w:szCs w:val="28"/>
          <w:lang w:bidi="ar"/>
        </w:rPr>
        <w:t>3.3.液压系统</w:t>
      </w:r>
    </w:p>
    <w:p>
      <w:pPr>
        <w:spacing w:line="576" w:lineRule="exact"/>
        <w:ind w:firstLine="560"/>
        <w:rPr>
          <w:rFonts w:ascii="宋体" w:hAnsi="宋体" w:cs="宋体"/>
          <w:bCs/>
          <w:szCs w:val="28"/>
          <w:lang w:bidi="ar"/>
        </w:rPr>
      </w:pPr>
      <w:r>
        <w:rPr>
          <w:rFonts w:hint="eastAsia" w:ascii="宋体" w:hAnsi="宋体" w:cs="宋体"/>
          <w:bCs/>
          <w:szCs w:val="28"/>
          <w:lang w:bidi="ar"/>
        </w:rPr>
        <w:t>3.3.1液压油泵：负载敏感变量柱塞泵，油泵的压力、转速等参数应与车辆上装匹配；</w:t>
      </w:r>
    </w:p>
    <w:p>
      <w:pPr>
        <w:spacing w:line="576" w:lineRule="exact"/>
        <w:ind w:firstLine="560"/>
        <w:rPr>
          <w:rFonts w:ascii="宋体" w:hAnsi="宋体" w:cs="宋体"/>
          <w:bCs/>
          <w:szCs w:val="28"/>
          <w:lang w:bidi="ar"/>
        </w:rPr>
      </w:pPr>
      <w:r>
        <w:rPr>
          <w:rFonts w:hint="eastAsia" w:ascii="宋体" w:hAnsi="宋体" w:cs="宋体"/>
          <w:bCs/>
          <w:szCs w:val="28"/>
          <w:lang w:bidi="ar"/>
        </w:rPr>
        <w:t>3.3.2液压油箱：碳钢材质，其容积不小于1000L；</w:t>
      </w:r>
    </w:p>
    <w:p>
      <w:pPr>
        <w:spacing w:line="576" w:lineRule="exact"/>
        <w:ind w:firstLine="560"/>
        <w:rPr>
          <w:rFonts w:ascii="宋体" w:hAnsi="宋体" w:cs="宋体"/>
          <w:bCs/>
          <w:szCs w:val="28"/>
          <w:lang w:bidi="ar"/>
        </w:rPr>
      </w:pPr>
      <w:r>
        <w:rPr>
          <w:rFonts w:hint="eastAsia" w:ascii="宋体" w:hAnsi="宋体" w:cs="宋体"/>
          <w:bCs/>
          <w:szCs w:val="28"/>
          <w:lang w:bidi="ar"/>
        </w:rPr>
        <w:t>▲3.3.3系统压力：液压系统额定工作压力≦30MPa，单个液压支腿承重≥13t；</w:t>
      </w:r>
    </w:p>
    <w:p>
      <w:pPr>
        <w:spacing w:line="576" w:lineRule="exact"/>
        <w:ind w:firstLine="560"/>
        <w:rPr>
          <w:rFonts w:ascii="宋体" w:hAnsi="宋体" w:cs="宋体"/>
          <w:bCs/>
          <w:szCs w:val="28"/>
          <w:lang w:bidi="ar"/>
        </w:rPr>
      </w:pPr>
      <w:r>
        <w:rPr>
          <w:rFonts w:hint="eastAsia" w:ascii="宋体" w:hAnsi="宋体" w:cs="宋体"/>
          <w:bCs/>
          <w:szCs w:val="28"/>
          <w:lang w:bidi="ar"/>
        </w:rPr>
        <w:t>3.4冷却系统：水泵的冷却采用水冷，满足系统不少于6小时满负荷连续工作。</w:t>
      </w:r>
    </w:p>
    <w:p>
      <w:pPr>
        <w:spacing w:line="576" w:lineRule="exact"/>
        <w:ind w:firstLine="560"/>
        <w:rPr>
          <w:rFonts w:ascii="宋体" w:hAnsi="宋体" w:cs="宋体"/>
          <w:bCs/>
          <w:szCs w:val="28"/>
          <w:lang w:bidi="ar"/>
        </w:rPr>
      </w:pPr>
      <w:r>
        <w:rPr>
          <w:rFonts w:hint="eastAsia" w:ascii="宋体" w:hAnsi="宋体" w:cs="宋体"/>
          <w:bCs/>
          <w:szCs w:val="28"/>
          <w:lang w:bidi="ar"/>
        </w:rPr>
        <w:t>3.5采用全液压机构控制，采用无线遥控操作，备份控制为电子模块按键操作；</w:t>
      </w:r>
    </w:p>
    <w:p>
      <w:pPr>
        <w:spacing w:line="576" w:lineRule="exact"/>
        <w:ind w:firstLine="560"/>
        <w:rPr>
          <w:rFonts w:ascii="宋体" w:hAnsi="宋体" w:cs="宋体"/>
          <w:bCs/>
          <w:szCs w:val="28"/>
          <w:lang w:bidi="ar"/>
        </w:rPr>
      </w:pPr>
      <w:r>
        <w:rPr>
          <w:rFonts w:hint="eastAsia" w:ascii="宋体" w:hAnsi="宋体" w:cs="宋体"/>
          <w:bCs/>
          <w:szCs w:val="28"/>
          <w:lang w:bidi="ar"/>
        </w:rPr>
        <w:t>3.6操作控制系统应能清晰体现汽车发动机转速、发动机水温、燃油位、液压系统压力、油温、油位；各个控制按钮对应的功能应有明确标识，操作应简单方便；</w:t>
      </w:r>
    </w:p>
    <w:p>
      <w:pPr>
        <w:spacing w:line="576" w:lineRule="exact"/>
        <w:ind w:firstLine="560"/>
        <w:rPr>
          <w:rFonts w:ascii="宋体" w:hAnsi="宋体" w:cs="宋体"/>
          <w:bCs/>
          <w:szCs w:val="28"/>
          <w:lang w:bidi="ar"/>
        </w:rPr>
      </w:pPr>
      <w:r>
        <w:rPr>
          <w:rFonts w:hint="eastAsia" w:ascii="宋体" w:hAnsi="宋体" w:cs="宋体"/>
          <w:bCs/>
          <w:szCs w:val="28"/>
          <w:lang w:bidi="ar"/>
        </w:rPr>
        <w:t>▲3.7遥控操作系统能控制车辆发动机的启停、调速、取力器离合、液压系统调压等功能，液晶显示屏能体现车辆的包括发动机转速、燃油位、上装液压系统压力、液压油温、液压油位等参数；</w:t>
      </w:r>
    </w:p>
    <w:p>
      <w:pPr>
        <w:spacing w:line="576" w:lineRule="exact"/>
        <w:ind w:firstLine="560"/>
        <w:rPr>
          <w:rFonts w:ascii="宋体" w:hAnsi="宋体" w:cs="宋体"/>
          <w:bCs/>
          <w:szCs w:val="28"/>
          <w:lang w:bidi="ar"/>
        </w:rPr>
      </w:pPr>
      <w:r>
        <w:rPr>
          <w:rFonts w:hint="eastAsia" w:ascii="宋体" w:hAnsi="宋体" w:cs="宋体"/>
          <w:bCs/>
          <w:szCs w:val="28"/>
          <w:lang w:bidi="ar"/>
        </w:rPr>
        <w:t>▲3.8照明系统：遥控探照灯数量不少于2套，每个灯头功率≥50WLED灯，可左右360</w:t>
      </w:r>
      <w:r>
        <w:rPr>
          <w:rFonts w:hint="eastAsia" w:ascii="方正仿宋_GBK" w:eastAsia="方正仿宋_GBK"/>
          <w:bCs/>
          <w:sz w:val="28"/>
          <w:szCs w:val="28"/>
          <w:lang w:bidi="ar"/>
        </w:rPr>
        <w:t>°</w:t>
      </w:r>
      <w:r>
        <w:rPr>
          <w:rFonts w:hint="eastAsia" w:ascii="宋体" w:hAnsi="宋体" w:cs="宋体"/>
          <w:bCs/>
          <w:szCs w:val="28"/>
          <w:lang w:bidi="ar"/>
        </w:rPr>
        <w:t>旋转；上下方向：0-160</w:t>
      </w:r>
      <w:r>
        <w:rPr>
          <w:rFonts w:hint="eastAsia" w:ascii="方正仿宋_GBK" w:eastAsia="方正仿宋_GBK"/>
          <w:bCs/>
          <w:sz w:val="28"/>
          <w:szCs w:val="28"/>
          <w:lang w:bidi="ar"/>
        </w:rPr>
        <w:t>°</w:t>
      </w:r>
      <w:r>
        <w:rPr>
          <w:rFonts w:hint="eastAsia" w:ascii="宋体" w:hAnsi="宋体" w:cs="宋体"/>
          <w:bCs/>
          <w:szCs w:val="28"/>
          <w:lang w:bidi="ar"/>
        </w:rPr>
        <w:t>旋转；</w:t>
      </w:r>
    </w:p>
    <w:p>
      <w:pPr>
        <w:spacing w:line="576" w:lineRule="exact"/>
        <w:ind w:firstLine="560"/>
        <w:rPr>
          <w:rFonts w:ascii="宋体" w:hAnsi="宋体" w:cs="宋体"/>
          <w:bCs/>
          <w:szCs w:val="28"/>
          <w:lang w:bidi="ar"/>
        </w:rPr>
      </w:pPr>
      <w:r>
        <w:rPr>
          <w:rFonts w:hint="eastAsia" w:ascii="宋体" w:hAnsi="宋体" w:cs="宋体"/>
          <w:bCs/>
          <w:szCs w:val="28"/>
          <w:lang w:bidi="ar"/>
        </w:rPr>
        <w:t>3.9排水管</w:t>
      </w:r>
    </w:p>
    <w:p>
      <w:pPr>
        <w:spacing w:line="576" w:lineRule="exact"/>
        <w:ind w:firstLine="560"/>
        <w:rPr>
          <w:rFonts w:ascii="宋体" w:hAnsi="宋体" w:cs="宋体"/>
          <w:bCs/>
          <w:szCs w:val="28"/>
          <w:lang w:bidi="ar"/>
        </w:rPr>
      </w:pPr>
      <w:r>
        <w:rPr>
          <w:rFonts w:hint="eastAsia" w:ascii="宋体" w:hAnsi="宋体" w:cs="宋体"/>
          <w:bCs/>
          <w:szCs w:val="28"/>
          <w:lang w:bidi="ar"/>
        </w:rPr>
        <w:t>▲3.9.1软管绞盘车≥2副，每副软管绞盘可收放30米排水软管，绞盘由液压马达驱动，可遥控操作；</w:t>
      </w:r>
    </w:p>
    <w:p>
      <w:pPr>
        <w:spacing w:line="576" w:lineRule="exact"/>
        <w:ind w:firstLine="560"/>
        <w:rPr>
          <w:rFonts w:ascii="宋体" w:hAnsi="宋体" w:cs="宋体"/>
          <w:bCs/>
          <w:szCs w:val="28"/>
          <w:lang w:bidi="ar"/>
        </w:rPr>
      </w:pPr>
      <w:r>
        <w:rPr>
          <w:rFonts w:hint="eastAsia" w:ascii="宋体" w:hAnsi="宋体" w:cs="宋体"/>
          <w:bCs/>
          <w:szCs w:val="28"/>
          <w:lang w:bidi="ar"/>
        </w:rPr>
        <w:t>▲3.9.2排水软管材质：聚氨酯材质，软管内径DN300，工作压力≥0.3MPa，爆破压力≥1MPa；</w:t>
      </w:r>
    </w:p>
    <w:p>
      <w:pPr>
        <w:spacing w:line="576" w:lineRule="exact"/>
        <w:ind w:firstLine="560"/>
        <w:rPr>
          <w:rFonts w:ascii="宋体" w:hAnsi="宋体" w:cs="宋体"/>
          <w:bCs/>
          <w:szCs w:val="28"/>
          <w:lang w:bidi="ar"/>
        </w:rPr>
      </w:pPr>
      <w:r>
        <w:rPr>
          <w:rFonts w:hint="eastAsia" w:ascii="宋体" w:hAnsi="宋体" w:cs="宋体"/>
          <w:bCs/>
          <w:szCs w:val="28"/>
          <w:lang w:bidi="ar"/>
        </w:rPr>
        <w:t>3.9.3排水硬管由2节以上伸缩水管组成；304不锈钢材质；DN300铝合金快速接口；充气式密封结构，密封良好；</w:t>
      </w:r>
    </w:p>
    <w:p>
      <w:pPr>
        <w:spacing w:line="576" w:lineRule="exact"/>
        <w:ind w:firstLine="560"/>
        <w:rPr>
          <w:rFonts w:ascii="宋体" w:hAnsi="宋体" w:cs="宋体"/>
          <w:bCs/>
          <w:szCs w:val="28"/>
          <w:lang w:bidi="ar"/>
        </w:rPr>
      </w:pPr>
      <w:r>
        <w:rPr>
          <w:rFonts w:hint="eastAsia" w:ascii="宋体" w:hAnsi="宋体" w:cs="宋体"/>
          <w:bCs/>
          <w:szCs w:val="28"/>
          <w:lang w:bidi="ar"/>
        </w:rPr>
        <w:t>3.10液压支撑系统：车辆安装两只支撑腿，保证整车平稳作业，保护车轮和弹簧钢板；遥控操作，支腿上应设置频闪灯；</w:t>
      </w:r>
    </w:p>
    <w:p>
      <w:pPr>
        <w:spacing w:line="576" w:lineRule="exact"/>
        <w:ind w:firstLine="560"/>
        <w:rPr>
          <w:rFonts w:ascii="宋体" w:hAnsi="宋体" w:cs="宋体"/>
          <w:bCs/>
          <w:szCs w:val="28"/>
          <w:lang w:bidi="ar"/>
        </w:rPr>
      </w:pPr>
      <w:r>
        <w:rPr>
          <w:rFonts w:hint="eastAsia" w:ascii="宋体" w:hAnsi="宋体" w:cs="宋体"/>
          <w:bCs/>
          <w:szCs w:val="28"/>
          <w:lang w:bidi="ar"/>
        </w:rPr>
        <w:t>3.12电气及警示系统</w:t>
      </w:r>
    </w:p>
    <w:p>
      <w:pPr>
        <w:spacing w:line="576" w:lineRule="exact"/>
        <w:ind w:firstLine="560"/>
        <w:rPr>
          <w:rFonts w:ascii="宋体" w:hAnsi="宋体" w:cs="宋体"/>
          <w:bCs/>
          <w:szCs w:val="28"/>
          <w:lang w:bidi="ar"/>
        </w:rPr>
      </w:pPr>
      <w:r>
        <w:rPr>
          <w:rFonts w:hint="eastAsia" w:ascii="宋体" w:hAnsi="宋体" w:cs="宋体"/>
          <w:bCs/>
          <w:szCs w:val="28"/>
          <w:lang w:bidi="ar"/>
        </w:rPr>
        <w:t>3.12.1车顶前部配置红色长排LED警灯，功率≥100W报警器、警灯控制器，乘员室、操纵仪表板等处须安装LED照明灯，驾驶室内安装警报器控制盒；</w:t>
      </w:r>
    </w:p>
    <w:p>
      <w:pPr>
        <w:spacing w:line="576" w:lineRule="exact"/>
        <w:ind w:firstLine="560"/>
        <w:rPr>
          <w:rFonts w:ascii="宋体" w:hAnsi="宋体" w:cs="宋体"/>
          <w:bCs/>
          <w:szCs w:val="28"/>
          <w:lang w:bidi="ar"/>
        </w:rPr>
      </w:pPr>
      <w:r>
        <w:rPr>
          <w:rFonts w:hint="eastAsia" w:ascii="宋体" w:hAnsi="宋体" w:cs="宋体"/>
          <w:bCs/>
          <w:szCs w:val="28"/>
          <w:lang w:bidi="ar"/>
        </w:rPr>
        <w:t>3.12.2车厢顶后部配置有全方位电控照明灯，2个红色爆闪灯；</w:t>
      </w:r>
    </w:p>
    <w:p>
      <w:pPr>
        <w:spacing w:line="576" w:lineRule="exact"/>
        <w:ind w:firstLine="560"/>
        <w:rPr>
          <w:rFonts w:ascii="宋体" w:hAnsi="宋体" w:cs="宋体"/>
          <w:bCs/>
          <w:szCs w:val="28"/>
          <w:lang w:bidi="ar"/>
        </w:rPr>
      </w:pPr>
      <w:r>
        <w:rPr>
          <w:rFonts w:hint="eastAsia" w:ascii="宋体" w:hAnsi="宋体" w:cs="宋体"/>
          <w:bCs/>
          <w:szCs w:val="28"/>
          <w:lang w:bidi="ar"/>
        </w:rPr>
        <w:t>3.12.3每个器材箱门两侧均安装有条形LED照明灯带；</w:t>
      </w:r>
    </w:p>
    <w:p>
      <w:pPr>
        <w:spacing w:line="576" w:lineRule="exact"/>
        <w:ind w:firstLine="560"/>
        <w:rPr>
          <w:rFonts w:ascii="宋体" w:hAnsi="宋体" w:cs="宋体"/>
          <w:bCs/>
          <w:szCs w:val="28"/>
          <w:lang w:bidi="ar"/>
        </w:rPr>
      </w:pPr>
      <w:r>
        <w:rPr>
          <w:rFonts w:hint="eastAsia" w:ascii="宋体" w:hAnsi="宋体" w:cs="宋体"/>
          <w:bCs/>
          <w:szCs w:val="28"/>
          <w:lang w:bidi="ar"/>
        </w:rPr>
        <w:t>3.12.4车厢两侧上部各配置2只独立控制爆闪灯,3只独立控制LED照明灯，车顶内侧设置LED照明灯带便于夜间车顶照明；</w:t>
      </w:r>
    </w:p>
    <w:p>
      <w:pPr>
        <w:spacing w:line="576" w:lineRule="exact"/>
        <w:ind w:firstLine="560"/>
        <w:rPr>
          <w:rFonts w:ascii="宋体" w:hAnsi="宋体" w:cs="宋体"/>
          <w:bCs/>
          <w:szCs w:val="28"/>
          <w:lang w:bidi="ar"/>
        </w:rPr>
      </w:pPr>
      <w:r>
        <w:rPr>
          <w:rFonts w:hint="eastAsia" w:ascii="宋体" w:hAnsi="宋体" w:cs="宋体"/>
          <w:bCs/>
          <w:szCs w:val="28"/>
          <w:lang w:bidi="ar"/>
        </w:rPr>
        <w:t>3.12.5车厢内LED照明灯，随卷帘门启闭自动开关，无死角，满足夜间照明需求，确保照明美观及安全；</w:t>
      </w:r>
    </w:p>
    <w:p>
      <w:pPr>
        <w:spacing w:line="576" w:lineRule="exact"/>
        <w:ind w:firstLine="560"/>
        <w:rPr>
          <w:rFonts w:ascii="宋体" w:hAnsi="宋体" w:cs="宋体"/>
          <w:bCs/>
          <w:szCs w:val="28"/>
          <w:lang w:bidi="ar"/>
        </w:rPr>
      </w:pPr>
      <w:r>
        <w:rPr>
          <w:rFonts w:hint="eastAsia" w:ascii="宋体" w:hAnsi="宋体" w:cs="宋体"/>
          <w:bCs/>
          <w:szCs w:val="28"/>
          <w:lang w:bidi="ar"/>
        </w:rPr>
        <w:t>3.12.6所有外置车灯、灯具均须加装防护罩，上装和消防系统的所有保险丝和继电器安装在一个保险盒中；</w:t>
      </w:r>
    </w:p>
    <w:p>
      <w:pPr>
        <w:spacing w:line="576" w:lineRule="exact"/>
        <w:ind w:firstLine="560"/>
        <w:rPr>
          <w:rFonts w:ascii="宋体" w:hAnsi="宋体" w:cs="宋体"/>
          <w:bCs/>
          <w:szCs w:val="28"/>
          <w:lang w:bidi="ar"/>
        </w:rPr>
      </w:pPr>
      <w:r>
        <w:rPr>
          <w:rFonts w:hint="eastAsia" w:ascii="宋体" w:hAnsi="宋体" w:cs="宋体"/>
          <w:bCs/>
          <w:szCs w:val="28"/>
          <w:lang w:bidi="ar"/>
        </w:rPr>
        <w:t>3.12.7所有说明牌和标牌都具有持久性和高附着性，受一般外力情况下不脱落或字迹模糊；</w:t>
      </w:r>
    </w:p>
    <w:p>
      <w:pPr>
        <w:spacing w:line="576" w:lineRule="exact"/>
        <w:ind w:firstLine="560"/>
        <w:rPr>
          <w:rFonts w:ascii="宋体" w:hAnsi="宋体" w:cs="宋体"/>
          <w:bCs/>
          <w:szCs w:val="28"/>
          <w:lang w:bidi="ar"/>
        </w:rPr>
      </w:pPr>
      <w:r>
        <w:rPr>
          <w:rFonts w:hint="eastAsia" w:ascii="宋体" w:hAnsi="宋体" w:cs="宋体"/>
          <w:bCs/>
          <w:szCs w:val="28"/>
          <w:lang w:bidi="ar"/>
        </w:rPr>
        <w:t>▲3.12.8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rPr>
          <w:rFonts w:ascii="宋体" w:hAnsi="宋体" w:cs="宋体"/>
          <w:bCs/>
          <w:szCs w:val="28"/>
          <w:lang w:bidi="ar"/>
        </w:rPr>
      </w:pPr>
      <w:r>
        <w:rPr>
          <w:rFonts w:hint="eastAsia" w:ascii="宋体" w:hAnsi="宋体" w:cs="宋体"/>
          <w:bCs/>
          <w:szCs w:val="28"/>
          <w:lang w:bidi="ar"/>
        </w:rPr>
        <w:t>3.13控制系统</w:t>
      </w:r>
    </w:p>
    <w:p>
      <w:pPr>
        <w:spacing w:line="576" w:lineRule="exact"/>
        <w:ind w:firstLine="560"/>
        <w:rPr>
          <w:rFonts w:ascii="宋体" w:hAnsi="宋体" w:eastAsia="宋体" w:cs="宋体"/>
          <w:bCs/>
          <w:sz w:val="28"/>
          <w:szCs w:val="28"/>
          <w:lang w:val="en-US" w:bidi="ar"/>
        </w:rPr>
      </w:pPr>
      <w:r>
        <w:rPr>
          <w:rFonts w:hint="eastAsia" w:ascii="宋体" w:hAnsi="宋体" w:eastAsia="宋体" w:cs="宋体"/>
          <w:bCs/>
          <w:sz w:val="28"/>
          <w:szCs w:val="28"/>
          <w:lang w:val="en-US" w:bidi="ar"/>
        </w:rPr>
        <w:t>3.13.1控制系统：采用国内产品继电控制，可实现排涝作业功能必须的仪表参数显示、设备控制及状态指示功能；操作面板上仪表单位应采用国家标准单位；控制面板上主要有显示仪表、操作按键和状态指示；显示仪表：系统压力表、水泵转速表、发动机转速表等；操作按键：液压动作操作按键、油门控制按键、压力控制按键等；状态指示：CAN总线通讯状态指示、控制器输出状态指示、各种报警信息显示等；</w:t>
      </w:r>
    </w:p>
    <w:p>
      <w:pPr>
        <w:spacing w:line="576" w:lineRule="exact"/>
        <w:ind w:firstLine="560"/>
        <w:rPr>
          <w:rFonts w:ascii="宋体" w:hAnsi="宋体" w:cs="宋体"/>
          <w:bCs/>
          <w:szCs w:val="28"/>
          <w:lang w:bidi="ar"/>
        </w:rPr>
      </w:pPr>
      <w:r>
        <w:rPr>
          <w:rFonts w:hint="eastAsia" w:ascii="宋体" w:hAnsi="宋体" w:cs="宋体"/>
          <w:bCs/>
          <w:szCs w:val="28"/>
          <w:lang w:bidi="ar"/>
        </w:rPr>
        <w:t>3.13.2CAN总线控制系统：采用CAN总线集成控制，可实现</w:t>
      </w:r>
      <w:r>
        <w:rPr>
          <w:rFonts w:hint="eastAsia" w:ascii="宋体" w:hAnsi="宋体" w:cs="宋体"/>
          <w:bCs/>
          <w:szCs w:val="28"/>
          <w:lang w:val="en-US" w:eastAsia="zh-CN" w:bidi="ar"/>
        </w:rPr>
        <w:t>排涝</w:t>
      </w:r>
      <w:r>
        <w:rPr>
          <w:rFonts w:hint="eastAsia" w:ascii="宋体" w:hAnsi="宋体" w:cs="宋体"/>
          <w:bCs/>
          <w:szCs w:val="28"/>
          <w:lang w:bidi="ar"/>
        </w:rPr>
        <w:t>作业功能必须的仪表参数显示、设备控制及状态指示功能；</w:t>
      </w:r>
    </w:p>
    <w:p>
      <w:pPr>
        <w:numPr>
          <w:ilvl w:val="0"/>
          <w:numId w:val="39"/>
        </w:numPr>
        <w:spacing w:line="576" w:lineRule="exact"/>
        <w:ind w:firstLine="560"/>
        <w:jc w:val="both"/>
        <w:rPr>
          <w:rFonts w:ascii="宋体" w:hAnsi="宋体" w:cs="宋体"/>
          <w:szCs w:val="28"/>
          <w:lang w:bidi="ar"/>
        </w:rPr>
      </w:pPr>
      <w:r>
        <w:rPr>
          <w:rFonts w:hint="eastAsia" w:ascii="宋体" w:hAnsi="宋体" w:cs="宋体"/>
          <w:szCs w:val="28"/>
          <w:lang w:bidi="ar"/>
        </w:rPr>
        <w:t>随车器材</w:t>
      </w:r>
    </w:p>
    <w:p>
      <w:pPr>
        <w:spacing w:line="576" w:lineRule="exact"/>
        <w:ind w:firstLine="560"/>
        <w:rPr>
          <w:rFonts w:ascii="宋体" w:hAnsi="宋体" w:cs="宋体"/>
          <w:szCs w:val="28"/>
        </w:rPr>
      </w:pPr>
      <w:r>
        <w:rPr>
          <w:rFonts w:hint="eastAsia" w:ascii="宋体" w:hAnsi="宋体" w:cs="宋体"/>
          <w:bCs/>
          <w:szCs w:val="28"/>
          <w:lang w:bidi="ar"/>
        </w:rPr>
        <w:t>器材名称，单位，数量，规格</w:t>
      </w:r>
    </w:p>
    <w:tbl>
      <w:tblPr>
        <w:tblStyle w:val="14"/>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860"/>
        <w:gridCol w:w="1012"/>
        <w:gridCol w:w="1387"/>
        <w:gridCol w:w="3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0"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序号</w:t>
            </w:r>
          </w:p>
        </w:tc>
        <w:tc>
          <w:tcPr>
            <w:tcW w:w="1125"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名称</w:t>
            </w:r>
          </w:p>
        </w:tc>
        <w:tc>
          <w:tcPr>
            <w:tcW w:w="612"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单位</w:t>
            </w:r>
          </w:p>
        </w:tc>
        <w:tc>
          <w:tcPr>
            <w:tcW w:w="839"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数量</w:t>
            </w:r>
          </w:p>
        </w:tc>
        <w:tc>
          <w:tcPr>
            <w:tcW w:w="1963"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0"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1125"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612"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839"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1963"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60" w:type="pc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125" w:type="pc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消防水带</w:t>
            </w:r>
          </w:p>
        </w:tc>
        <w:tc>
          <w:tcPr>
            <w:tcW w:w="612" w:type="pc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米</w:t>
            </w:r>
          </w:p>
        </w:tc>
        <w:tc>
          <w:tcPr>
            <w:tcW w:w="839" w:type="pct"/>
            <w:tcBorders>
              <w:top w:val="single" w:color="auto" w:sz="4" w:space="0"/>
              <w:left w:val="single" w:color="auto" w:sz="4" w:space="0"/>
              <w:bottom w:val="single" w:color="auto" w:sz="4" w:space="0"/>
              <w:right w:val="single" w:color="auto" w:sz="4" w:space="0"/>
            </w:tcBorders>
            <w:tcMar>
              <w:left w:w="0" w:type="dxa"/>
              <w:right w:w="0" w:type="dxa"/>
            </w:tcMar>
            <w:vAlign w:val="center"/>
          </w:tcPr>
          <w:p>
            <w:pPr>
              <w:spacing w:line="576" w:lineRule="exact"/>
              <w:ind w:firstLine="0" w:firstLineChars="0"/>
              <w:jc w:val="center"/>
              <w:rPr>
                <w:rFonts w:ascii="宋体" w:hAnsi="宋体" w:cs="宋体"/>
                <w:bCs/>
                <w:szCs w:val="28"/>
              </w:rPr>
            </w:pPr>
            <w:r>
              <w:rPr>
                <w:rFonts w:hint="eastAsia" w:ascii="宋体" w:hAnsi="宋体" w:cs="宋体"/>
                <w:szCs w:val="28"/>
              </w:rPr>
              <w:t>≥240</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rPr>
              <w:t>DN300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干粉灭火器</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具</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8kg，ABC干粉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3</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车用三角警示牌</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块</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szCs w:val="28"/>
              </w:rPr>
              <w:t>符合GB19151-2003标准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4</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警戒带</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盘</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5</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接口扳手</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4</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6</w:t>
            </w:r>
          </w:p>
        </w:tc>
        <w:tc>
          <w:tcPr>
            <w:tcW w:w="1125" w:type="pct"/>
            <w:tcBorders>
              <w:top w:val="single" w:color="auto" w:sz="4" w:space="0"/>
              <w:left w:val="single" w:color="auto" w:sz="4" w:space="0"/>
              <w:bottom w:val="single" w:color="auto" w:sz="4" w:space="0"/>
              <w:right w:val="single" w:color="auto" w:sz="4" w:space="0"/>
            </w:tcBorders>
            <w:vAlign w:val="center"/>
          </w:tcPr>
          <w:p>
            <w:pPr>
              <w:snapToGrid w:val="0"/>
              <w:spacing w:line="576" w:lineRule="exact"/>
              <w:ind w:right="-21" w:firstLine="0" w:firstLineChars="0"/>
              <w:jc w:val="center"/>
              <w:rPr>
                <w:rFonts w:ascii="宋体" w:hAnsi="宋体" w:cs="宋体"/>
                <w:szCs w:val="28"/>
              </w:rPr>
            </w:pPr>
            <w:r>
              <w:rPr>
                <w:rFonts w:hint="eastAsia" w:ascii="宋体" w:hAnsi="宋体" w:cs="宋体"/>
                <w:szCs w:val="28"/>
              </w:rPr>
              <w:t>轮胎打气套管</w:t>
            </w:r>
          </w:p>
        </w:tc>
        <w:tc>
          <w:tcPr>
            <w:tcW w:w="612" w:type="pct"/>
            <w:tcBorders>
              <w:top w:val="single" w:color="auto" w:sz="4" w:space="0"/>
              <w:left w:val="single" w:color="auto" w:sz="4" w:space="0"/>
              <w:bottom w:val="single" w:color="auto" w:sz="4" w:space="0"/>
              <w:right w:val="single" w:color="auto" w:sz="4" w:space="0"/>
            </w:tcBorders>
            <w:vAlign w:val="center"/>
          </w:tcPr>
          <w:p>
            <w:pPr>
              <w:snapToGrid w:val="0"/>
              <w:spacing w:line="576" w:lineRule="exact"/>
              <w:ind w:right="-21" w:firstLine="0" w:firstLineChars="0"/>
              <w:jc w:val="center"/>
              <w:rPr>
                <w:rFonts w:ascii="宋体" w:hAnsi="宋体" w:cs="宋体"/>
                <w:szCs w:val="28"/>
              </w:rPr>
            </w:pPr>
            <w:r>
              <w:rPr>
                <w:rFonts w:hint="eastAsia" w:ascii="宋体" w:hAnsi="宋体" w:cs="宋体"/>
                <w:szCs w:val="28"/>
              </w:rPr>
              <w:t>根</w:t>
            </w:r>
          </w:p>
        </w:tc>
        <w:tc>
          <w:tcPr>
            <w:tcW w:w="839" w:type="pct"/>
            <w:tcBorders>
              <w:top w:val="single" w:color="auto" w:sz="4" w:space="0"/>
              <w:left w:val="single" w:color="auto" w:sz="4" w:space="0"/>
              <w:bottom w:val="single" w:color="auto" w:sz="4" w:space="0"/>
              <w:right w:val="single" w:color="auto" w:sz="4" w:space="0"/>
            </w:tcBorders>
            <w:vAlign w:val="center"/>
          </w:tcPr>
          <w:p>
            <w:pPr>
              <w:snapToGrid w:val="0"/>
              <w:spacing w:line="576" w:lineRule="exact"/>
              <w:ind w:right="-21" w:firstLine="0" w:firstLineChars="0"/>
              <w:jc w:val="center"/>
              <w:rPr>
                <w:rFonts w:ascii="宋体" w:hAnsi="宋体" w:cs="宋体"/>
                <w:szCs w:val="28"/>
              </w:rPr>
            </w:pPr>
            <w:r>
              <w:rPr>
                <w:rFonts w:hint="eastAsia" w:ascii="宋体" w:hAnsi="宋体" w:cs="宋体"/>
                <w:szCs w:val="28"/>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7</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转换接口</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4</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rPr>
              <w:t>需与采购人确定具体型号跟现有远程供水等设备相匹配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橡胶式水护带桥</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副</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9</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水带包布</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件</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不锈钢活动外套加软防护内衬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10</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防滑链</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szCs w:val="28"/>
              </w:rPr>
              <w:t>钢链或优于此材质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11</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破拆工具</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铁铤、丁字镐等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12</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车辆制动垫块</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13</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随车工具</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随车底盘工具及专用工具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14</w:t>
            </w:r>
          </w:p>
        </w:tc>
        <w:tc>
          <w:tcPr>
            <w:tcW w:w="1125"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随车配件</w:t>
            </w:r>
          </w:p>
        </w:tc>
        <w:tc>
          <w:tcPr>
            <w:tcW w:w="612"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83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963"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szCs w:val="28"/>
              </w:rPr>
              <w:t>电路保险丝及原装底盘保养滤芯（空滤、柴油油滤、机滤、空调滤芯）等</w:t>
            </w:r>
          </w:p>
        </w:tc>
      </w:tr>
    </w:tbl>
    <w:p>
      <w:pPr>
        <w:spacing w:line="576" w:lineRule="exact"/>
        <w:ind w:firstLine="560"/>
        <w:rPr>
          <w:rFonts w:ascii="宋体" w:hAnsi="宋体" w:cs="宋体"/>
          <w:szCs w:val="28"/>
          <w:lang w:bidi="ar"/>
        </w:rPr>
      </w:pPr>
      <w:r>
        <w:rPr>
          <w:rFonts w:hint="eastAsia" w:ascii="宋体" w:hAnsi="宋体" w:cs="宋体"/>
          <w:szCs w:val="28"/>
          <w:lang w:bidi="ar"/>
        </w:rPr>
        <w:t>5.随车附件</w:t>
      </w:r>
    </w:p>
    <w:p>
      <w:pPr>
        <w:spacing w:line="576" w:lineRule="exact"/>
        <w:ind w:firstLine="560"/>
        <w:rPr>
          <w:rFonts w:ascii="宋体" w:hAnsi="宋体" w:cs="宋体"/>
          <w:bCs/>
          <w:szCs w:val="28"/>
          <w:lang w:bidi="ar"/>
        </w:rPr>
      </w:pPr>
      <w:r>
        <w:rPr>
          <w:rFonts w:hint="eastAsia" w:ascii="宋体" w:hAnsi="宋体" w:cs="宋体"/>
          <w:bCs/>
          <w:szCs w:val="28"/>
          <w:lang w:bidi="ar"/>
        </w:rPr>
        <w:t>5.1随车文件（中文）；</w:t>
      </w:r>
    </w:p>
    <w:p>
      <w:pPr>
        <w:spacing w:line="576" w:lineRule="exact"/>
        <w:ind w:firstLine="560"/>
        <w:rPr>
          <w:rFonts w:ascii="宋体" w:hAnsi="宋体" w:cs="宋体"/>
          <w:bCs/>
          <w:szCs w:val="28"/>
          <w:lang w:bidi="ar"/>
        </w:rPr>
      </w:pPr>
      <w:r>
        <w:rPr>
          <w:rFonts w:hint="eastAsia" w:ascii="宋体" w:hAnsi="宋体" w:cs="宋体"/>
          <w:bCs/>
          <w:szCs w:val="28"/>
          <w:lang w:bidi="ar"/>
        </w:rPr>
        <w:t>5.2底盘使用、维护说明书（3份）；</w:t>
      </w:r>
    </w:p>
    <w:p>
      <w:pPr>
        <w:spacing w:line="576" w:lineRule="exact"/>
        <w:ind w:firstLine="560"/>
        <w:rPr>
          <w:rFonts w:ascii="宋体" w:hAnsi="宋体" w:cs="宋体"/>
          <w:bCs/>
          <w:szCs w:val="28"/>
          <w:lang w:bidi="ar"/>
        </w:rPr>
      </w:pPr>
      <w:r>
        <w:rPr>
          <w:rFonts w:hint="eastAsia" w:ascii="宋体" w:hAnsi="宋体" w:cs="宋体"/>
          <w:bCs/>
          <w:szCs w:val="28"/>
          <w:lang w:bidi="ar"/>
        </w:rPr>
        <w:t>5.3底盘质量保修卡、合格证（1份）；</w:t>
      </w:r>
    </w:p>
    <w:p>
      <w:pPr>
        <w:spacing w:line="576" w:lineRule="exact"/>
        <w:ind w:firstLine="560"/>
        <w:rPr>
          <w:rFonts w:ascii="宋体" w:hAnsi="宋体" w:cs="宋体"/>
          <w:bCs/>
          <w:szCs w:val="28"/>
          <w:lang w:bidi="ar"/>
        </w:rPr>
      </w:pPr>
      <w:r>
        <w:rPr>
          <w:rFonts w:hint="eastAsia" w:ascii="宋体" w:hAnsi="宋体" w:cs="宋体"/>
          <w:bCs/>
          <w:szCs w:val="28"/>
          <w:lang w:bidi="ar"/>
        </w:rPr>
        <w:t>5.4底盘维修手册（1份）；</w:t>
      </w:r>
    </w:p>
    <w:p>
      <w:pPr>
        <w:spacing w:line="576" w:lineRule="exact"/>
        <w:ind w:firstLine="560"/>
        <w:rPr>
          <w:rFonts w:ascii="宋体" w:hAnsi="宋体" w:cs="宋体"/>
          <w:bCs/>
          <w:szCs w:val="28"/>
          <w:lang w:bidi="ar"/>
        </w:rPr>
      </w:pPr>
      <w:r>
        <w:rPr>
          <w:rFonts w:hint="eastAsia" w:ascii="宋体" w:hAnsi="宋体" w:cs="宋体"/>
          <w:bCs/>
          <w:szCs w:val="28"/>
          <w:lang w:bidi="ar"/>
        </w:rPr>
        <w:t>5.5底盘改装手册（1份）；</w:t>
      </w:r>
    </w:p>
    <w:p>
      <w:pPr>
        <w:spacing w:line="576" w:lineRule="exact"/>
        <w:ind w:firstLine="560"/>
        <w:rPr>
          <w:rFonts w:ascii="宋体" w:hAnsi="宋体" w:cs="宋体"/>
          <w:bCs/>
          <w:szCs w:val="28"/>
          <w:lang w:bidi="ar"/>
        </w:rPr>
      </w:pPr>
      <w:r>
        <w:rPr>
          <w:rFonts w:hint="eastAsia" w:ascii="宋体" w:hAnsi="宋体" w:cs="宋体"/>
          <w:bCs/>
          <w:szCs w:val="28"/>
          <w:lang w:bidi="ar"/>
        </w:rPr>
        <w:t>5.6底盘电气原理图（1份）；</w:t>
      </w:r>
    </w:p>
    <w:p>
      <w:pPr>
        <w:spacing w:line="576" w:lineRule="exact"/>
        <w:ind w:firstLine="560"/>
        <w:rPr>
          <w:rFonts w:ascii="宋体" w:hAnsi="宋体" w:cs="宋体"/>
          <w:bCs/>
          <w:szCs w:val="28"/>
          <w:lang w:bidi="ar"/>
        </w:rPr>
      </w:pPr>
      <w:r>
        <w:rPr>
          <w:rFonts w:hint="eastAsia" w:ascii="宋体" w:hAnsi="宋体" w:cs="宋体"/>
          <w:bCs/>
          <w:szCs w:val="28"/>
          <w:lang w:bidi="ar"/>
        </w:rPr>
        <w:t>5.7底盘零件目录图册（2份）；</w:t>
      </w:r>
    </w:p>
    <w:p>
      <w:pPr>
        <w:spacing w:line="576" w:lineRule="exact"/>
        <w:ind w:firstLine="560"/>
        <w:rPr>
          <w:rFonts w:ascii="宋体" w:hAnsi="宋体" w:cs="宋体"/>
          <w:bCs/>
          <w:szCs w:val="28"/>
          <w:lang w:bidi="ar"/>
        </w:rPr>
      </w:pPr>
      <w:r>
        <w:rPr>
          <w:rFonts w:hint="eastAsia" w:ascii="宋体" w:hAnsi="宋体" w:cs="宋体"/>
          <w:bCs/>
          <w:szCs w:val="28"/>
          <w:lang w:bidi="ar"/>
        </w:rPr>
        <w:t>5.8底盘厂家提供的底盘随车配件清单（1份）；</w:t>
      </w:r>
    </w:p>
    <w:p>
      <w:pPr>
        <w:spacing w:line="576" w:lineRule="exact"/>
        <w:ind w:firstLine="560"/>
        <w:rPr>
          <w:rFonts w:ascii="宋体" w:hAnsi="宋体" w:cs="宋体"/>
          <w:bCs/>
          <w:szCs w:val="28"/>
          <w:lang w:bidi="ar"/>
        </w:rPr>
      </w:pPr>
      <w:r>
        <w:rPr>
          <w:rFonts w:hint="eastAsia" w:ascii="宋体" w:hAnsi="宋体" w:cs="宋体"/>
          <w:bCs/>
          <w:szCs w:val="28"/>
          <w:lang w:bidi="ar"/>
        </w:rPr>
        <w:t>5.9车辆整车合格证（1份）；</w:t>
      </w:r>
    </w:p>
    <w:p>
      <w:pPr>
        <w:spacing w:line="576" w:lineRule="exact"/>
        <w:ind w:firstLine="560"/>
        <w:rPr>
          <w:rFonts w:ascii="宋体" w:hAnsi="宋体" w:cs="宋体"/>
          <w:bCs/>
          <w:szCs w:val="28"/>
          <w:lang w:bidi="ar"/>
        </w:rPr>
      </w:pPr>
      <w:r>
        <w:rPr>
          <w:rFonts w:hint="eastAsia" w:ascii="宋体" w:hAnsi="宋体" w:cs="宋体"/>
          <w:bCs/>
          <w:szCs w:val="28"/>
          <w:lang w:bidi="ar"/>
        </w:rPr>
        <w:t>5.10上装操作使用说明书（附零部件结构图和技术资料，生产厂商联系方式及地址），配操作演示示范光盘（3份、电子版1份）；</w:t>
      </w:r>
    </w:p>
    <w:p>
      <w:pPr>
        <w:spacing w:line="576" w:lineRule="exact"/>
        <w:ind w:firstLine="560"/>
        <w:rPr>
          <w:rFonts w:ascii="宋体" w:hAnsi="宋体" w:cs="宋体"/>
          <w:bCs/>
          <w:szCs w:val="28"/>
          <w:lang w:bidi="ar"/>
        </w:rPr>
      </w:pPr>
      <w:r>
        <w:rPr>
          <w:rFonts w:hint="eastAsia" w:ascii="宋体" w:hAnsi="宋体" w:cs="宋体"/>
          <w:bCs/>
          <w:szCs w:val="28"/>
          <w:lang w:bidi="ar"/>
        </w:rPr>
        <w:t>5.11上装维护保养说明书（附管路系统、气动系统、电路配线图）（3份、电子版1份），上装零配件目录图册（3份）；</w:t>
      </w:r>
    </w:p>
    <w:p>
      <w:pPr>
        <w:spacing w:line="576" w:lineRule="exact"/>
        <w:ind w:firstLine="560"/>
        <w:rPr>
          <w:rFonts w:ascii="宋体" w:hAnsi="宋体" w:cs="宋体"/>
          <w:bCs/>
          <w:szCs w:val="28"/>
          <w:lang w:bidi="ar"/>
        </w:rPr>
      </w:pPr>
      <w:r>
        <w:rPr>
          <w:rFonts w:hint="eastAsia" w:ascii="宋体" w:hAnsi="宋体" w:cs="宋体"/>
          <w:bCs/>
          <w:szCs w:val="28"/>
          <w:lang w:bidi="ar"/>
        </w:rPr>
        <w:t>5.12随车工具清单、器材清单（1份）；</w:t>
      </w:r>
    </w:p>
    <w:p>
      <w:pPr>
        <w:spacing w:line="576" w:lineRule="exact"/>
        <w:ind w:firstLine="560"/>
        <w:rPr>
          <w:rFonts w:ascii="宋体" w:hAnsi="宋体" w:cs="宋体"/>
          <w:bCs/>
          <w:szCs w:val="28"/>
          <w:lang w:bidi="ar"/>
        </w:rPr>
      </w:pPr>
      <w:r>
        <w:rPr>
          <w:rFonts w:hint="eastAsia" w:ascii="宋体" w:hAnsi="宋体" w:cs="宋体"/>
          <w:bCs/>
          <w:szCs w:val="28"/>
          <w:lang w:bidi="ar"/>
        </w:rPr>
        <w:t>5.13车架号、发动机号拓印件（2份）；</w:t>
      </w:r>
    </w:p>
    <w:p>
      <w:pPr>
        <w:spacing w:line="576" w:lineRule="exact"/>
        <w:ind w:firstLine="560"/>
        <w:rPr>
          <w:rFonts w:ascii="宋体" w:hAnsi="宋体" w:cs="宋体"/>
          <w:bCs/>
          <w:szCs w:val="28"/>
          <w:lang w:bidi="ar"/>
        </w:rPr>
      </w:pPr>
      <w:r>
        <w:rPr>
          <w:rFonts w:hint="eastAsia" w:ascii="宋体" w:hAnsi="宋体" w:cs="宋体"/>
          <w:bCs/>
          <w:szCs w:val="28"/>
          <w:lang w:bidi="ar"/>
        </w:rPr>
        <w:t>5.14跟踪服务卡（1份）；</w:t>
      </w:r>
    </w:p>
    <w:p>
      <w:pPr>
        <w:spacing w:line="576" w:lineRule="exact"/>
        <w:ind w:firstLine="560"/>
        <w:rPr>
          <w:rFonts w:ascii="宋体" w:hAnsi="宋体" w:cs="宋体"/>
          <w:bCs/>
          <w:szCs w:val="28"/>
          <w:lang w:bidi="ar"/>
        </w:rPr>
      </w:pPr>
      <w:r>
        <w:rPr>
          <w:rFonts w:hint="eastAsia" w:ascii="宋体" w:hAnsi="宋体" w:cs="宋体"/>
          <w:bCs/>
          <w:szCs w:val="28"/>
          <w:lang w:bidi="ar"/>
        </w:rPr>
        <w:t>5.15随车免费提供部分底盘和上装、随车设备使用、保养、维修用的配件、必备工具和易损备件（附清单）。</w:t>
      </w:r>
    </w:p>
    <w:p>
      <w:pPr>
        <w:spacing w:line="576" w:lineRule="exact"/>
        <w:ind w:firstLine="560"/>
        <w:rPr>
          <w:rFonts w:ascii="宋体" w:hAnsi="宋体" w:cs="宋体"/>
          <w:bCs/>
          <w:szCs w:val="28"/>
          <w:lang w:bidi="ar"/>
        </w:rPr>
      </w:pPr>
      <w:r>
        <w:rPr>
          <w:rFonts w:hint="eastAsia" w:ascii="宋体" w:hAnsi="宋体" w:cs="宋体"/>
          <w:bCs/>
          <w:szCs w:val="28"/>
          <w:lang w:bidi="ar"/>
        </w:rPr>
        <w:t>5.16所有操作开关、仪表、器材架及车辆均有规范的永久性中文铭牌标识；</w:t>
      </w:r>
    </w:p>
    <w:p>
      <w:pPr>
        <w:spacing w:line="576" w:lineRule="exact"/>
        <w:ind w:firstLine="560"/>
        <w:rPr>
          <w:rFonts w:ascii="宋体" w:hAnsi="宋体" w:cs="宋体"/>
          <w:bCs/>
          <w:szCs w:val="28"/>
          <w:lang w:bidi="ar"/>
        </w:rPr>
      </w:pPr>
      <w:r>
        <w:rPr>
          <w:rFonts w:hint="eastAsia" w:ascii="宋体" w:hAnsi="宋体" w:cs="宋体"/>
          <w:bCs/>
          <w:szCs w:val="28"/>
          <w:lang w:bidi="ar"/>
        </w:rPr>
        <w:t>▲5.17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ind w:firstLine="840" w:firstLineChars="300"/>
        <w:rPr>
          <w:color w:val="000000" w:themeColor="text1"/>
          <w14:textFill>
            <w14:solidFill>
              <w14:schemeClr w14:val="tx1"/>
            </w14:solidFill>
          </w14:textFill>
        </w:rPr>
      </w:pPr>
    </w:p>
    <w:p>
      <w:pPr>
        <w:pStyle w:val="4"/>
        <w:bidi w:val="0"/>
      </w:pPr>
      <w:bookmarkStart w:id="67" w:name="_Toc15699"/>
      <w:r>
        <w:rPr>
          <w:rFonts w:hint="eastAsia"/>
        </w:rPr>
        <w:t>包</w:t>
      </w:r>
      <w:r>
        <w:rPr>
          <w:rFonts w:hint="eastAsia"/>
          <w:lang w:val="en-US" w:eastAsia="zh-CN"/>
        </w:rPr>
        <w:t>24</w:t>
      </w:r>
      <w:r>
        <w:rPr>
          <w:rFonts w:hint="eastAsia"/>
        </w:rPr>
        <w:t xml:space="preserve">  </w:t>
      </w:r>
      <w:r>
        <w:rPr>
          <w:rFonts w:hint="eastAsia"/>
          <w:lang w:eastAsia="zh-CN"/>
        </w:rPr>
        <w:t>“</w:t>
      </w:r>
      <w:r>
        <w:rPr>
          <w:rFonts w:hint="eastAsia"/>
        </w:rPr>
        <w:t>大型排涝车B</w:t>
      </w:r>
      <w:r>
        <w:rPr>
          <w:rFonts w:hint="eastAsia"/>
          <w:lang w:eastAsia="zh-CN"/>
        </w:rPr>
        <w:t>”</w:t>
      </w:r>
      <w:bookmarkEnd w:id="67"/>
    </w:p>
    <w:p>
      <w:pPr>
        <w:spacing w:line="576" w:lineRule="exact"/>
        <w:ind w:firstLine="560"/>
        <w:rPr>
          <w:rFonts w:ascii="宋体" w:hAnsi="宋体" w:cs="宋体"/>
          <w:bCs/>
          <w:szCs w:val="28"/>
          <w:lang w:bidi="ar"/>
        </w:rPr>
      </w:pPr>
      <w:r>
        <w:rPr>
          <w:rFonts w:hint="eastAsia" w:ascii="宋体" w:hAnsi="宋体" w:cs="宋体"/>
          <w:bCs/>
          <w:szCs w:val="28"/>
          <w:lang w:bidi="ar"/>
        </w:rPr>
        <w:t>符合GB1589-2016《汽车、挂车及汽车列车外廓尺寸、轴荷及质量限值》等国家标准。</w:t>
      </w:r>
    </w:p>
    <w:p>
      <w:pPr>
        <w:spacing w:line="576" w:lineRule="exact"/>
        <w:ind w:firstLine="560"/>
        <w:rPr>
          <w:rFonts w:ascii="宋体" w:hAnsi="宋体" w:cs="宋体"/>
          <w:szCs w:val="28"/>
          <w:lang w:bidi="ar"/>
        </w:rPr>
      </w:pPr>
      <w:r>
        <w:rPr>
          <w:rFonts w:hint="eastAsia" w:ascii="宋体" w:hAnsi="宋体" w:cs="宋体"/>
          <w:szCs w:val="28"/>
          <w:lang w:bidi="ar"/>
        </w:rPr>
        <w:t>1.整车综合要求</w:t>
      </w:r>
    </w:p>
    <w:p>
      <w:pPr>
        <w:spacing w:line="576" w:lineRule="exact"/>
        <w:ind w:firstLine="560"/>
        <w:rPr>
          <w:rFonts w:ascii="宋体" w:hAnsi="宋体" w:cs="宋体"/>
          <w:bCs/>
          <w:szCs w:val="28"/>
          <w:lang w:bidi="ar"/>
        </w:rPr>
      </w:pPr>
      <w:r>
        <w:rPr>
          <w:rFonts w:hint="eastAsia" w:ascii="宋体" w:hAnsi="宋体" w:cs="宋体"/>
          <w:bCs/>
          <w:szCs w:val="28"/>
          <w:lang w:bidi="ar"/>
        </w:rPr>
        <w:t>1.1外形尺寸:长≤10000㎜，宽≤2550㎜，高≤4000㎜；</w:t>
      </w:r>
    </w:p>
    <w:p>
      <w:pPr>
        <w:spacing w:line="576" w:lineRule="exact"/>
        <w:ind w:firstLine="560"/>
        <w:rPr>
          <w:rFonts w:ascii="宋体" w:hAnsi="宋体" w:cs="宋体"/>
          <w:bCs/>
          <w:szCs w:val="28"/>
          <w:lang w:bidi="ar"/>
        </w:rPr>
      </w:pPr>
      <w:r>
        <w:rPr>
          <w:rFonts w:hint="eastAsia" w:ascii="宋体" w:hAnsi="宋体" w:cs="宋体"/>
          <w:bCs/>
          <w:szCs w:val="28"/>
          <w:lang w:bidi="ar"/>
        </w:rPr>
        <w:t>1.2整车最大允许总质量：≥17000kg；</w:t>
      </w:r>
    </w:p>
    <w:p>
      <w:pPr>
        <w:spacing w:line="576" w:lineRule="exact"/>
        <w:ind w:firstLine="560"/>
        <w:rPr>
          <w:rFonts w:ascii="宋体" w:hAnsi="宋体" w:cs="宋体"/>
          <w:bCs/>
          <w:szCs w:val="28"/>
          <w:lang w:bidi="ar"/>
        </w:rPr>
      </w:pPr>
      <w:r>
        <w:rPr>
          <w:rFonts w:hint="eastAsia" w:ascii="宋体" w:hAnsi="宋体" w:cs="宋体"/>
          <w:bCs/>
          <w:szCs w:val="28"/>
          <w:lang w:bidi="ar"/>
        </w:rPr>
        <w:t>1.3驾乘室人员数量：≥2人；</w:t>
      </w:r>
    </w:p>
    <w:p>
      <w:pPr>
        <w:snapToGrid w:val="0"/>
        <w:spacing w:line="576" w:lineRule="exact"/>
        <w:ind w:firstLine="560"/>
        <w:rPr>
          <w:rFonts w:ascii="宋体" w:hAnsi="宋体" w:cs="宋体"/>
          <w:szCs w:val="28"/>
        </w:rPr>
      </w:pPr>
      <w:r>
        <w:rPr>
          <w:rFonts w:hint="eastAsia" w:ascii="宋体" w:hAnsi="宋体" w:cs="宋体"/>
          <w:szCs w:val="28"/>
          <w:lang w:bidi="ar"/>
        </w:rPr>
        <w:t>1.4车身颜色和漆料：消防车车身的颜色应符合GB/T3181-2008中规定的R03大红色；外观应光滑、平整、色泽均匀，不应有缺漆等缺陷，车顶和车身涂装的工艺、颜色保持一致，不得自行增加饰条、饰带、饰物；</w:t>
      </w:r>
    </w:p>
    <w:p>
      <w:pPr>
        <w:snapToGrid w:val="0"/>
        <w:spacing w:line="576" w:lineRule="exact"/>
        <w:ind w:firstLine="560"/>
        <w:rPr>
          <w:rFonts w:ascii="宋体" w:hAnsi="宋体" w:cs="宋体"/>
          <w:szCs w:val="28"/>
          <w:lang w:bidi="ar"/>
        </w:rPr>
      </w:pPr>
      <w:r>
        <w:rPr>
          <w:rFonts w:hint="eastAsia" w:ascii="宋体" w:hAnsi="宋体" w:cs="宋体"/>
          <w:szCs w:val="28"/>
          <w:lang w:bidi="ar"/>
        </w:rPr>
        <w:t>1.5外观标识：按照《消防救援局关于做好消防救援车辆外观制式涂装工作的通知》（应急消[2019]76号）要求涂装，车辆前后有预留牌照架（符合现行应急车牌尺寸，采用金属构件固定后结实耐用）；</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1.6所有操作开关、仪表、器材架及车辆均有规范的永久性中文铭牌标识；</w:t>
      </w:r>
    </w:p>
    <w:p>
      <w:pPr>
        <w:snapToGrid w:val="0"/>
        <w:spacing w:line="576" w:lineRule="exact"/>
        <w:ind w:firstLine="560"/>
        <w:rPr>
          <w:rFonts w:ascii="宋体" w:hAnsi="宋体" w:cs="宋体"/>
          <w:szCs w:val="28"/>
        </w:rPr>
      </w:pPr>
      <w:r>
        <w:rPr>
          <w:rFonts w:hint="eastAsia" w:ascii="宋体" w:hAnsi="宋体" w:cs="宋体"/>
          <w:bCs/>
          <w:szCs w:val="28"/>
          <w:lang w:bidi="ar"/>
        </w:rPr>
        <w:t>1.7驾乘室顶部安装红色长排警灯，功率≥100W报警器、警灯控制器；乘员室、操纵仪表板等处须安装LED照明灯；器材箱合理安装LED灯带，随卷帘门启闭，确保照明美观及安全；所有外置车灯、灯具均须加装防护罩。</w:t>
      </w:r>
    </w:p>
    <w:p>
      <w:pPr>
        <w:adjustRightInd w:val="0"/>
        <w:snapToGrid w:val="0"/>
        <w:spacing w:line="576" w:lineRule="exact"/>
        <w:ind w:firstLine="560"/>
        <w:rPr>
          <w:rFonts w:ascii="宋体" w:hAnsi="宋体" w:cs="宋体"/>
          <w:bCs/>
          <w:szCs w:val="28"/>
        </w:rPr>
      </w:pPr>
      <w:r>
        <w:rPr>
          <w:rFonts w:hint="eastAsia" w:ascii="宋体" w:hAnsi="宋体" w:cs="宋体"/>
          <w:szCs w:val="28"/>
          <w:lang w:bidi="ar"/>
        </w:rPr>
        <w:t>2.底盘要求</w:t>
      </w:r>
    </w:p>
    <w:p>
      <w:pPr>
        <w:snapToGrid w:val="0"/>
        <w:spacing w:line="576" w:lineRule="exact"/>
        <w:ind w:firstLine="560"/>
        <w:rPr>
          <w:rFonts w:ascii="宋体" w:hAnsi="宋体" w:cs="宋体"/>
          <w:bCs/>
          <w:szCs w:val="28"/>
        </w:rPr>
      </w:pPr>
      <w:r>
        <w:rPr>
          <w:rFonts w:hint="eastAsia" w:ascii="宋体" w:hAnsi="宋体" w:cs="宋体"/>
          <w:bCs/>
          <w:szCs w:val="28"/>
          <w:lang w:bidi="ar"/>
        </w:rPr>
        <w:t>2.1底盘</w:t>
      </w:r>
    </w:p>
    <w:p>
      <w:pPr>
        <w:snapToGrid w:val="0"/>
        <w:spacing w:line="576" w:lineRule="exact"/>
        <w:ind w:firstLine="560"/>
        <w:rPr>
          <w:rFonts w:ascii="宋体" w:hAnsi="宋体" w:cs="宋体"/>
          <w:bCs/>
          <w:szCs w:val="28"/>
        </w:rPr>
      </w:pPr>
      <w:r>
        <w:rPr>
          <w:rFonts w:hint="eastAsia" w:ascii="宋体" w:hAnsi="宋体" w:cs="宋体"/>
          <w:bCs/>
          <w:szCs w:val="28"/>
          <w:lang w:bidi="ar"/>
        </w:rPr>
        <w:t>2.1.1选用通用二类底盘；</w:t>
      </w:r>
    </w:p>
    <w:p>
      <w:pPr>
        <w:spacing w:line="576" w:lineRule="exact"/>
        <w:ind w:firstLine="560"/>
        <w:rPr>
          <w:rFonts w:ascii="宋体" w:hAnsi="宋体" w:cs="宋体"/>
          <w:bCs/>
          <w:szCs w:val="28"/>
        </w:rPr>
      </w:pPr>
      <w:r>
        <w:rPr>
          <w:rFonts w:hint="eastAsia" w:ascii="宋体" w:hAnsi="宋体" w:cs="宋体"/>
          <w:bCs/>
          <w:szCs w:val="28"/>
          <w:lang w:bidi="ar"/>
        </w:rPr>
        <w:t>2.1.2燃料种类:柴油；</w:t>
      </w:r>
    </w:p>
    <w:p>
      <w:pPr>
        <w:spacing w:line="576" w:lineRule="exact"/>
        <w:ind w:firstLine="560"/>
        <w:rPr>
          <w:rFonts w:ascii="宋体" w:hAnsi="宋体" w:cs="宋体"/>
          <w:bCs/>
          <w:szCs w:val="28"/>
        </w:rPr>
      </w:pPr>
      <w:r>
        <w:rPr>
          <w:rFonts w:hint="eastAsia" w:ascii="宋体" w:hAnsi="宋体" w:cs="宋体"/>
          <w:bCs/>
          <w:szCs w:val="28"/>
          <w:lang w:bidi="ar"/>
        </w:rPr>
        <w:t>2.1.3驱动形式：4×2；</w:t>
      </w:r>
    </w:p>
    <w:p>
      <w:pPr>
        <w:spacing w:line="576" w:lineRule="exact"/>
        <w:ind w:firstLine="560"/>
        <w:rPr>
          <w:rFonts w:ascii="宋体" w:hAnsi="宋体" w:cs="宋体"/>
          <w:bCs/>
          <w:kern w:val="0"/>
          <w:szCs w:val="28"/>
        </w:rPr>
      </w:pPr>
      <w:r>
        <w:rPr>
          <w:rFonts w:hint="eastAsia" w:ascii="宋体" w:hAnsi="宋体" w:cs="宋体"/>
          <w:bCs/>
          <w:szCs w:val="28"/>
          <w:lang w:bidi="ar"/>
        </w:rPr>
        <w:t>★2.1.4排放标准：国六排放标准</w:t>
      </w:r>
      <w:r>
        <w:rPr>
          <w:rFonts w:hint="eastAsia" w:ascii="宋体" w:hAnsi="宋体" w:cs="宋体"/>
          <w:bCs/>
          <w:kern w:val="0"/>
          <w:szCs w:val="28"/>
          <w:lang w:bidi="ar"/>
        </w:rPr>
        <w:t>；</w:t>
      </w:r>
    </w:p>
    <w:p>
      <w:pPr>
        <w:spacing w:line="576" w:lineRule="exact"/>
        <w:ind w:firstLine="560"/>
        <w:rPr>
          <w:rFonts w:ascii="宋体" w:hAnsi="宋体" w:cs="宋体"/>
          <w:bCs/>
          <w:szCs w:val="28"/>
          <w:lang w:bidi="ar"/>
        </w:rPr>
      </w:pPr>
      <w:r>
        <w:rPr>
          <w:rFonts w:hint="eastAsia" w:ascii="宋体" w:hAnsi="宋体" w:cs="宋体"/>
          <w:bCs/>
          <w:szCs w:val="28"/>
          <w:lang w:bidi="ar"/>
        </w:rPr>
        <w:t>▲2.1.5发动机：最大输出功率≥220kW；</w:t>
      </w:r>
    </w:p>
    <w:p>
      <w:pPr>
        <w:spacing w:line="576" w:lineRule="exact"/>
        <w:ind w:firstLine="560"/>
        <w:rPr>
          <w:rFonts w:ascii="宋体" w:hAnsi="宋体" w:cs="宋体"/>
          <w:bCs/>
          <w:szCs w:val="28"/>
          <w:lang w:bidi="ar"/>
        </w:rPr>
      </w:pPr>
      <w:r>
        <w:rPr>
          <w:rFonts w:hint="eastAsia" w:ascii="宋体" w:hAnsi="宋体" w:cs="宋体"/>
          <w:bCs/>
          <w:szCs w:val="28"/>
          <w:lang w:bidi="ar"/>
        </w:rPr>
        <w:t>2.1.6变速器：手动变速；</w:t>
      </w:r>
    </w:p>
    <w:p>
      <w:pPr>
        <w:snapToGrid w:val="0"/>
        <w:spacing w:line="576" w:lineRule="exact"/>
        <w:ind w:left="2" w:firstLine="560"/>
        <w:rPr>
          <w:rFonts w:ascii="宋体" w:hAnsi="宋体" w:cs="宋体"/>
          <w:szCs w:val="28"/>
        </w:rPr>
      </w:pPr>
      <w:r>
        <w:rPr>
          <w:rFonts w:hint="eastAsia" w:ascii="宋体" w:hAnsi="宋体" w:cs="宋体"/>
          <w:szCs w:val="28"/>
        </w:rPr>
        <w:t>2.1.7底盘必须为车辆采购招标公告发布当年生产的底盘，交车时需提供底盘出厂合格证。</w:t>
      </w:r>
    </w:p>
    <w:p>
      <w:pPr>
        <w:spacing w:line="576" w:lineRule="exact"/>
        <w:ind w:firstLine="560"/>
        <w:rPr>
          <w:rFonts w:ascii="宋体" w:hAnsi="宋体" w:cs="宋体"/>
          <w:bCs/>
          <w:szCs w:val="28"/>
          <w:lang w:bidi="ar"/>
        </w:rPr>
      </w:pPr>
      <w:r>
        <w:rPr>
          <w:rFonts w:hint="eastAsia" w:ascii="宋体" w:hAnsi="宋体" w:cs="宋体"/>
          <w:bCs/>
          <w:szCs w:val="28"/>
          <w:lang w:bidi="ar"/>
        </w:rPr>
        <w:t>2.2驾乘室</w:t>
      </w:r>
    </w:p>
    <w:p>
      <w:pPr>
        <w:spacing w:line="576" w:lineRule="exact"/>
        <w:ind w:firstLine="560"/>
        <w:rPr>
          <w:rFonts w:ascii="宋体" w:hAnsi="宋体" w:cs="宋体"/>
          <w:bCs/>
          <w:szCs w:val="28"/>
          <w:lang w:bidi="ar"/>
        </w:rPr>
      </w:pPr>
      <w:r>
        <w:rPr>
          <w:rFonts w:hint="eastAsia" w:ascii="宋体" w:hAnsi="宋体" w:cs="宋体"/>
          <w:bCs/>
          <w:szCs w:val="28"/>
          <w:lang w:bidi="ar"/>
        </w:rPr>
        <w:t>▲2.2.1底盘厂原装双门单排标准驾乘室，</w:t>
      </w:r>
      <w:r>
        <w:rPr>
          <w:rFonts w:hint="eastAsia" w:ascii="宋体" w:hAnsi="宋体" w:cs="宋体"/>
          <w:bCs/>
          <w:szCs w:val="28"/>
        </w:rPr>
        <w:t>全钢保险杠，分体式大灯；</w:t>
      </w:r>
    </w:p>
    <w:p>
      <w:pPr>
        <w:spacing w:line="576" w:lineRule="exact"/>
        <w:ind w:firstLine="560"/>
        <w:rPr>
          <w:rFonts w:ascii="宋体" w:hAnsi="宋体" w:cs="宋体"/>
          <w:bCs/>
          <w:szCs w:val="28"/>
          <w:lang w:bidi="ar"/>
        </w:rPr>
      </w:pPr>
      <w:r>
        <w:rPr>
          <w:rFonts w:hint="eastAsia" w:ascii="宋体" w:hAnsi="宋体" w:cs="宋体"/>
          <w:bCs/>
          <w:szCs w:val="28"/>
          <w:lang w:bidi="ar"/>
        </w:rPr>
        <w:t>2.2.2设置行进途中器材箱门开启、车门开启声光报警装置；</w:t>
      </w:r>
    </w:p>
    <w:p>
      <w:pPr>
        <w:spacing w:line="576" w:lineRule="exact"/>
        <w:ind w:firstLine="560"/>
        <w:rPr>
          <w:rFonts w:ascii="宋体" w:hAnsi="宋体" w:cs="宋体"/>
          <w:bCs/>
          <w:szCs w:val="28"/>
          <w:lang w:bidi="ar"/>
        </w:rPr>
      </w:pPr>
      <w:r>
        <w:rPr>
          <w:rFonts w:hint="eastAsia" w:ascii="宋体" w:hAnsi="宋体" w:cs="宋体"/>
          <w:bCs/>
          <w:szCs w:val="28"/>
          <w:lang w:bidi="ar"/>
        </w:rPr>
        <w:t>2.2.3</w:t>
      </w:r>
      <w:r>
        <w:rPr>
          <w:rFonts w:hint="eastAsia" w:ascii="宋体" w:hAnsi="宋体" w:cs="宋体"/>
          <w:bCs/>
          <w:szCs w:val="28"/>
        </w:rPr>
        <w:t>驾驶室可电动翻转，带线控功能，密闭良好，座椅材质为防割耐磨阻燃材料，座椅全部安装三点式安全带，车内应设置照明设施；</w:t>
      </w:r>
      <w:r>
        <w:rPr>
          <w:rFonts w:hint="eastAsia" w:ascii="宋体" w:hAnsi="宋体" w:cs="宋体"/>
          <w:bCs/>
          <w:szCs w:val="28"/>
          <w:lang w:bidi="ar"/>
        </w:rPr>
        <w:t>车内设置冷暖空调，收音机带USB接口；</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▲2.2.4配备360°行车记录仪（内存≥128G）、倒车雷达、胎压监测系统等，预留220V逆变电源插口2个，USB插口4个；配备370MHz数字车载台（支持PDT数字集群并需接入山西省370MHz无线通信核心网）；</w:t>
      </w:r>
    </w:p>
    <w:p>
      <w:pPr>
        <w:spacing w:line="576" w:lineRule="exact"/>
        <w:ind w:firstLine="560"/>
        <w:rPr>
          <w:rFonts w:ascii="宋体" w:hAnsi="宋体" w:cs="宋体"/>
          <w:bCs/>
          <w:szCs w:val="28"/>
          <w:lang w:bidi="ar"/>
        </w:rPr>
      </w:pPr>
      <w:r>
        <w:rPr>
          <w:rFonts w:hint="eastAsia" w:ascii="宋体" w:hAnsi="宋体" w:cs="宋体"/>
          <w:bCs/>
          <w:szCs w:val="28"/>
          <w:lang w:bidi="ar"/>
        </w:rPr>
        <w:t>2.2.5驾驶室车门应采用电动升降玻璃；</w:t>
      </w:r>
    </w:p>
    <w:p>
      <w:pPr>
        <w:spacing w:line="576" w:lineRule="exact"/>
        <w:ind w:firstLine="560"/>
        <w:rPr>
          <w:rFonts w:ascii="宋体" w:hAnsi="宋体" w:cs="宋体"/>
          <w:bCs/>
          <w:szCs w:val="28"/>
          <w:lang w:bidi="ar"/>
        </w:rPr>
      </w:pPr>
      <w:r>
        <w:rPr>
          <w:rFonts w:hint="eastAsia" w:ascii="宋体" w:hAnsi="宋体" w:cs="宋体"/>
          <w:bCs/>
          <w:szCs w:val="28"/>
          <w:lang w:bidi="ar"/>
        </w:rPr>
        <w:t>2.2.6驾驶室踏板要求：驾驶室的上下车踏板间距≤270mm，除驾驶员侧外，深度≥100mm，踏板间应有水平照度≥5Lx的照明灯，踏板脚踏面应有防滑措施，与地面最近一级的离地距离≤500mm；</w:t>
      </w:r>
    </w:p>
    <w:p>
      <w:pPr>
        <w:snapToGrid w:val="0"/>
        <w:spacing w:line="576" w:lineRule="exact"/>
        <w:ind w:left="2" w:firstLine="560"/>
        <w:rPr>
          <w:rFonts w:ascii="宋体" w:hAnsi="宋体" w:cs="宋体"/>
          <w:szCs w:val="28"/>
        </w:rPr>
      </w:pPr>
      <w:r>
        <w:rPr>
          <w:rFonts w:hint="eastAsia" w:ascii="宋体" w:hAnsi="宋体" w:cs="宋体"/>
          <w:szCs w:val="28"/>
        </w:rPr>
        <w:t>2.2.7驾驶室后视镜安装要求：两侧电加热后视镜，电动可调节、两侧广角加热后视镜，副驾驶侧门配盲区照地镜和驾驶室前盲区镜并符合</w:t>
      </w:r>
      <w:r>
        <w:rPr>
          <w:rFonts w:hint="eastAsia" w:ascii="宋体" w:hAnsi="宋体" w:cs="宋体"/>
          <w:szCs w:val="28"/>
          <w:lang w:val="en-US" w:eastAsia="zh-CN"/>
        </w:rPr>
        <w:t>GB 15084-2022（20230701）《机动车辆间接视野装置性能和安装要求》</w:t>
      </w:r>
      <w:r>
        <w:rPr>
          <w:rFonts w:hint="eastAsia" w:ascii="宋体" w:hAnsi="宋体" w:cs="宋体"/>
          <w:szCs w:val="28"/>
        </w:rPr>
        <w:t>。</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▲2.3轮胎：子午线真空钢丝轮胎（包括1个驱动轮同规格、同型号、同品牌备胎）。</w:t>
      </w:r>
    </w:p>
    <w:p>
      <w:pPr>
        <w:spacing w:line="576" w:lineRule="exact"/>
        <w:ind w:firstLine="560"/>
        <w:rPr>
          <w:rFonts w:ascii="宋体" w:hAnsi="宋体" w:cs="宋体"/>
          <w:bCs/>
          <w:szCs w:val="28"/>
          <w:lang w:bidi="ar"/>
        </w:rPr>
      </w:pPr>
      <w:r>
        <w:rPr>
          <w:rFonts w:hint="eastAsia" w:ascii="宋体" w:hAnsi="宋体" w:cs="宋体"/>
          <w:bCs/>
          <w:szCs w:val="28"/>
          <w:lang w:bidi="ar"/>
        </w:rPr>
        <w:t>2.4制动系统</w:t>
      </w:r>
    </w:p>
    <w:p>
      <w:pPr>
        <w:spacing w:line="576" w:lineRule="exact"/>
        <w:ind w:firstLine="560"/>
        <w:rPr>
          <w:rFonts w:ascii="宋体" w:hAnsi="宋体" w:cs="宋体"/>
          <w:bCs/>
          <w:szCs w:val="28"/>
          <w:lang w:bidi="ar"/>
        </w:rPr>
      </w:pPr>
      <w:r>
        <w:rPr>
          <w:rFonts w:hint="eastAsia" w:ascii="宋体" w:hAnsi="宋体" w:cs="宋体"/>
          <w:bCs/>
          <w:szCs w:val="28"/>
          <w:lang w:bidi="ar"/>
        </w:rPr>
        <w:t>▲2.4.1前轮盘式制动器、安装ABS防抱死刹车系统或EBS(电控制动系统），装配液力缓速器；</w:t>
      </w:r>
    </w:p>
    <w:p>
      <w:pPr>
        <w:spacing w:line="576" w:lineRule="exact"/>
        <w:ind w:firstLine="560"/>
        <w:rPr>
          <w:rFonts w:ascii="宋体" w:hAnsi="宋体" w:cs="宋体"/>
          <w:bCs/>
          <w:szCs w:val="28"/>
          <w:lang w:bidi="ar"/>
        </w:rPr>
      </w:pPr>
      <w:r>
        <w:rPr>
          <w:rFonts w:hint="eastAsia" w:ascii="宋体" w:hAnsi="宋体" w:cs="宋体"/>
          <w:bCs/>
          <w:szCs w:val="28"/>
          <w:lang w:bidi="ar"/>
        </w:rPr>
        <w:t>2.5油箱：容积：≥200L，金属材质，加装滤网，油箱盖带锁。</w:t>
      </w:r>
    </w:p>
    <w:p>
      <w:pPr>
        <w:spacing w:line="576" w:lineRule="exact"/>
        <w:ind w:firstLine="560"/>
        <w:rPr>
          <w:rFonts w:ascii="宋体" w:hAnsi="宋体" w:cs="宋体"/>
          <w:bCs/>
          <w:szCs w:val="28"/>
          <w:lang w:bidi="ar"/>
        </w:rPr>
      </w:pPr>
      <w:r>
        <w:rPr>
          <w:rFonts w:hint="eastAsia" w:ascii="宋体" w:hAnsi="宋体" w:cs="宋体"/>
          <w:bCs/>
          <w:szCs w:val="28"/>
          <w:lang w:bidi="ar"/>
        </w:rPr>
        <w:t>2.6配有寒区包适合寒冷地区使用。</w:t>
      </w:r>
    </w:p>
    <w:p>
      <w:pPr>
        <w:spacing w:line="576" w:lineRule="exact"/>
        <w:ind w:firstLine="560"/>
        <w:rPr>
          <w:rFonts w:ascii="宋体" w:hAnsi="宋体" w:cs="宋体"/>
          <w:szCs w:val="28"/>
          <w:lang w:bidi="ar"/>
        </w:rPr>
      </w:pPr>
      <w:r>
        <w:rPr>
          <w:rFonts w:hint="eastAsia" w:ascii="宋体" w:hAnsi="宋体" w:cs="宋体"/>
          <w:szCs w:val="28"/>
          <w:lang w:bidi="ar"/>
        </w:rPr>
        <w:t>3.上装</w:t>
      </w:r>
    </w:p>
    <w:p>
      <w:pPr>
        <w:spacing w:line="576" w:lineRule="exact"/>
        <w:ind w:firstLine="560"/>
        <w:rPr>
          <w:rFonts w:ascii="宋体" w:hAnsi="宋体" w:cs="宋体"/>
          <w:bCs/>
          <w:szCs w:val="28"/>
          <w:lang w:bidi="ar"/>
        </w:rPr>
      </w:pPr>
      <w:r>
        <w:rPr>
          <w:rFonts w:hint="eastAsia" w:ascii="宋体" w:hAnsi="宋体" w:cs="宋体"/>
          <w:bCs/>
          <w:szCs w:val="28"/>
          <w:lang w:bidi="ar"/>
        </w:rPr>
        <w:t>3.1总体要求</w:t>
      </w:r>
    </w:p>
    <w:p>
      <w:pPr>
        <w:spacing w:line="576" w:lineRule="exact"/>
        <w:ind w:firstLine="560"/>
        <w:rPr>
          <w:rFonts w:ascii="宋体" w:hAnsi="宋体" w:cs="宋体"/>
          <w:bCs/>
          <w:szCs w:val="28"/>
          <w:lang w:bidi="ar"/>
        </w:rPr>
      </w:pPr>
      <w:r>
        <w:rPr>
          <w:rFonts w:hint="eastAsia" w:ascii="宋体" w:hAnsi="宋体" w:cs="宋体"/>
          <w:bCs/>
          <w:szCs w:val="28"/>
          <w:lang w:bidi="ar"/>
        </w:rPr>
        <w:t>3.1.1车顶要做防滑处理，保证人员在车顶的行走安全，左右侧应设有雨槽用于雨水的疏流，车顶设有护栏；</w:t>
      </w:r>
    </w:p>
    <w:p>
      <w:pPr>
        <w:spacing w:line="576" w:lineRule="exact"/>
        <w:ind w:firstLine="560"/>
        <w:rPr>
          <w:rFonts w:ascii="宋体" w:hAnsi="宋体" w:cs="宋体"/>
          <w:bCs/>
          <w:szCs w:val="28"/>
          <w:lang w:bidi="ar"/>
        </w:rPr>
      </w:pPr>
      <w:r>
        <w:rPr>
          <w:rFonts w:hint="eastAsia" w:ascii="宋体" w:hAnsi="宋体" w:cs="宋体"/>
          <w:bCs/>
          <w:szCs w:val="28"/>
          <w:lang w:bidi="ar"/>
        </w:rPr>
        <w:t>3.1.2爬梯梯级应有防滑及毛刺处理设计，顶部装有扶手，确保可方便登上车顶；</w:t>
      </w:r>
    </w:p>
    <w:p>
      <w:pPr>
        <w:spacing w:line="576" w:lineRule="exact"/>
        <w:ind w:firstLine="560"/>
        <w:rPr>
          <w:rFonts w:ascii="宋体" w:hAnsi="宋体" w:cs="宋体"/>
          <w:bCs/>
          <w:szCs w:val="28"/>
        </w:rPr>
      </w:pPr>
      <w:r>
        <w:rPr>
          <w:rFonts w:hint="eastAsia" w:ascii="宋体" w:hAnsi="宋体" w:cs="宋体"/>
          <w:bCs/>
          <w:szCs w:val="28"/>
          <w:lang w:bidi="ar"/>
        </w:rPr>
        <w:t>3.1.3车厢（箱体、内骨架）材质全部采用高强度铝合金型材，内饰板采用光面拉丝氧化铝板。车厢结构要求具有环境适应性好及具有多种防护性能，隔热保温，防雨、防火、防热辐射、防虫蛀鼠咬等性能，外包型材、门结构采用防腐耐用材质，各开孔和承重处均设置骨架的预埋件，满足车厢的承重要求和安装要求，所有金属板材和方管边缘均做防毛刺处理。</w:t>
      </w:r>
    </w:p>
    <w:p>
      <w:pPr>
        <w:spacing w:line="576" w:lineRule="exact"/>
        <w:ind w:firstLine="560"/>
        <w:rPr>
          <w:rFonts w:ascii="宋体" w:hAnsi="宋体" w:cs="宋体"/>
          <w:bCs/>
          <w:szCs w:val="28"/>
          <w:lang w:bidi="ar"/>
        </w:rPr>
      </w:pPr>
      <w:r>
        <w:rPr>
          <w:rFonts w:hint="eastAsia" w:ascii="宋体" w:hAnsi="宋体" w:cs="宋体"/>
          <w:bCs/>
          <w:szCs w:val="28"/>
          <w:lang w:bidi="ar"/>
        </w:rPr>
        <w:t>3.2水泵系统</w:t>
      </w:r>
    </w:p>
    <w:p>
      <w:pPr>
        <w:spacing w:line="576" w:lineRule="exact"/>
        <w:ind w:firstLine="560"/>
        <w:rPr>
          <w:rFonts w:ascii="宋体" w:hAnsi="宋体" w:cs="宋体"/>
          <w:bCs/>
          <w:szCs w:val="28"/>
          <w:lang w:bidi="ar"/>
        </w:rPr>
      </w:pPr>
      <w:r>
        <w:rPr>
          <w:rFonts w:hint="eastAsia" w:ascii="宋体" w:hAnsi="宋体" w:cs="宋体"/>
          <w:bCs/>
          <w:szCs w:val="28"/>
          <w:lang w:bidi="ar"/>
        </w:rPr>
        <w:t>▲3.2.1水泵流量功率参数：</w:t>
      </w:r>
    </w:p>
    <w:p>
      <w:pPr>
        <w:spacing w:line="576" w:lineRule="exact"/>
        <w:ind w:firstLine="560"/>
        <w:rPr>
          <w:rFonts w:hint="eastAsia" w:ascii="宋体" w:hAnsi="宋体" w:eastAsia="宋体" w:cs="宋体"/>
          <w:bCs/>
          <w:szCs w:val="28"/>
          <w:lang w:eastAsia="zh-CN" w:bidi="ar"/>
        </w:rPr>
      </w:pPr>
      <w:r>
        <w:rPr>
          <w:rFonts w:hint="eastAsia" w:ascii="宋体" w:hAnsi="宋体" w:cs="宋体"/>
          <w:bCs/>
          <w:szCs w:val="28"/>
          <w:lang w:bidi="ar"/>
        </w:rPr>
        <w:t>大流量排水时，单台水泵流量≥500m</w:t>
      </w:r>
      <w:r>
        <w:rPr>
          <w:rFonts w:hint="eastAsia" w:ascii="宋体" w:hAnsi="宋体" w:cs="宋体"/>
          <w:bCs/>
          <w:szCs w:val="28"/>
          <w:vertAlign w:val="superscript"/>
          <w:lang w:bidi="ar"/>
        </w:rPr>
        <w:t>3</w:t>
      </w:r>
      <w:r>
        <w:rPr>
          <w:rFonts w:hint="eastAsia" w:ascii="宋体" w:hAnsi="宋体" w:cs="宋体"/>
          <w:bCs/>
          <w:szCs w:val="28"/>
          <w:lang w:bidi="ar"/>
        </w:rPr>
        <w:t>/h，总流量≥3000m</w:t>
      </w:r>
      <w:r>
        <w:rPr>
          <w:rFonts w:hint="eastAsia" w:ascii="宋体" w:hAnsi="宋体" w:cs="宋体"/>
          <w:bCs/>
          <w:szCs w:val="28"/>
          <w:vertAlign w:val="superscript"/>
          <w:lang w:bidi="ar"/>
        </w:rPr>
        <w:t>3</w:t>
      </w:r>
      <w:r>
        <w:rPr>
          <w:rFonts w:hint="eastAsia" w:ascii="宋体" w:hAnsi="宋体" w:cs="宋体"/>
          <w:bCs/>
          <w:szCs w:val="28"/>
          <w:lang w:bidi="ar"/>
        </w:rPr>
        <w:t>/h，扬程≥10m，功率≥20KW</w:t>
      </w:r>
      <w:r>
        <w:rPr>
          <w:rFonts w:hint="eastAsia" w:ascii="宋体" w:hAnsi="宋体" w:cs="宋体"/>
          <w:bCs/>
          <w:szCs w:val="28"/>
          <w:lang w:eastAsia="zh-CN" w:bidi="ar"/>
        </w:rPr>
        <w:t>；</w:t>
      </w:r>
    </w:p>
    <w:p>
      <w:pPr>
        <w:spacing w:line="576" w:lineRule="exact"/>
        <w:ind w:firstLine="560"/>
        <w:rPr>
          <w:rFonts w:ascii="宋体" w:hAnsi="宋体" w:cs="宋体"/>
          <w:bCs/>
          <w:szCs w:val="28"/>
          <w:lang w:bidi="ar"/>
        </w:rPr>
      </w:pPr>
      <w:r>
        <w:rPr>
          <w:rFonts w:hint="eastAsia" w:ascii="宋体" w:hAnsi="宋体" w:cs="宋体"/>
          <w:bCs/>
          <w:szCs w:val="28"/>
          <w:lang w:bidi="ar"/>
        </w:rPr>
        <w:t>高扬程排水时，单台水泵流量≥150m</w:t>
      </w:r>
      <w:r>
        <w:rPr>
          <w:rFonts w:hint="eastAsia" w:ascii="宋体" w:hAnsi="宋体" w:cs="宋体"/>
          <w:bCs/>
          <w:szCs w:val="28"/>
          <w:vertAlign w:val="superscript"/>
          <w:lang w:bidi="ar"/>
        </w:rPr>
        <w:t>3</w:t>
      </w:r>
      <w:r>
        <w:rPr>
          <w:rFonts w:hint="eastAsia" w:ascii="宋体" w:hAnsi="宋体" w:cs="宋体"/>
          <w:bCs/>
          <w:szCs w:val="28"/>
          <w:lang w:bidi="ar"/>
        </w:rPr>
        <w:t>/h，总流量≥900m</w:t>
      </w:r>
      <w:r>
        <w:rPr>
          <w:rFonts w:hint="eastAsia" w:ascii="宋体" w:hAnsi="宋体" w:cs="宋体"/>
          <w:bCs/>
          <w:szCs w:val="28"/>
          <w:vertAlign w:val="superscript"/>
          <w:lang w:bidi="ar"/>
        </w:rPr>
        <w:t>3</w:t>
      </w:r>
      <w:r>
        <w:rPr>
          <w:rFonts w:hint="eastAsia" w:ascii="宋体" w:hAnsi="宋体" w:cs="宋体"/>
          <w:bCs/>
          <w:szCs w:val="28"/>
          <w:lang w:bidi="ar"/>
        </w:rPr>
        <w:t xml:space="preserve">/h，扬程≥20m，功率≥20KW； </w:t>
      </w:r>
    </w:p>
    <w:p>
      <w:pPr>
        <w:spacing w:line="576" w:lineRule="exact"/>
        <w:ind w:firstLine="560"/>
        <w:rPr>
          <w:rFonts w:ascii="宋体" w:hAnsi="宋体" w:cs="宋体"/>
          <w:bCs/>
          <w:szCs w:val="28"/>
          <w:lang w:bidi="ar"/>
        </w:rPr>
      </w:pPr>
      <w:r>
        <w:rPr>
          <w:rFonts w:hint="eastAsia" w:ascii="宋体" w:hAnsi="宋体" w:cs="宋体"/>
          <w:bCs/>
          <w:szCs w:val="28"/>
          <w:lang w:bidi="ar"/>
        </w:rPr>
        <w:t>3.2.2出水口径：DN200；</w:t>
      </w:r>
    </w:p>
    <w:p>
      <w:pPr>
        <w:spacing w:line="576" w:lineRule="exact"/>
        <w:ind w:firstLine="560"/>
        <w:rPr>
          <w:rFonts w:ascii="宋体" w:hAnsi="宋体" w:cs="宋体"/>
          <w:bCs/>
          <w:szCs w:val="28"/>
          <w:lang w:bidi="ar"/>
        </w:rPr>
      </w:pPr>
      <w:r>
        <w:rPr>
          <w:rFonts w:hint="eastAsia" w:ascii="宋体" w:hAnsi="宋体" w:cs="宋体"/>
          <w:bCs/>
          <w:szCs w:val="28"/>
          <w:lang w:bidi="ar"/>
        </w:rPr>
        <w:t>▲3.2.3单泵重量：≤35kg；</w:t>
      </w:r>
    </w:p>
    <w:p>
      <w:pPr>
        <w:spacing w:line="576" w:lineRule="exact"/>
        <w:ind w:firstLine="560"/>
        <w:rPr>
          <w:rFonts w:ascii="宋体" w:hAnsi="宋体" w:cs="宋体"/>
          <w:bCs/>
          <w:szCs w:val="28"/>
          <w:lang w:bidi="ar"/>
        </w:rPr>
      </w:pPr>
      <w:r>
        <w:rPr>
          <w:rFonts w:hint="eastAsia" w:ascii="宋体" w:hAnsi="宋体" w:cs="宋体"/>
          <w:bCs/>
          <w:szCs w:val="28"/>
          <w:lang w:bidi="ar"/>
        </w:rPr>
        <w:t>3.2.4潜水电缆：采用防水快速接头，防护等级≥IP65，单泵电缆长度≥20m；</w:t>
      </w:r>
    </w:p>
    <w:p>
      <w:pPr>
        <w:spacing w:line="576" w:lineRule="exact"/>
        <w:ind w:firstLine="560"/>
        <w:rPr>
          <w:rFonts w:ascii="宋体" w:hAnsi="宋体" w:cs="宋体"/>
          <w:bCs/>
          <w:szCs w:val="28"/>
          <w:lang w:bidi="ar"/>
        </w:rPr>
      </w:pPr>
      <w:r>
        <w:rPr>
          <w:rFonts w:hint="eastAsia" w:ascii="宋体" w:hAnsi="宋体" w:cs="宋体"/>
          <w:bCs/>
          <w:szCs w:val="28"/>
          <w:lang w:bidi="ar"/>
        </w:rPr>
        <w:t>3.2.5管为快速接头连接，操作方便；</w:t>
      </w:r>
    </w:p>
    <w:p>
      <w:pPr>
        <w:spacing w:line="576" w:lineRule="exact"/>
        <w:ind w:firstLine="560"/>
        <w:rPr>
          <w:rFonts w:ascii="宋体" w:hAnsi="宋体" w:cs="宋体"/>
          <w:bCs/>
          <w:szCs w:val="28"/>
          <w:lang w:bidi="ar"/>
        </w:rPr>
      </w:pPr>
      <w:r>
        <w:rPr>
          <w:rFonts w:hint="eastAsia" w:ascii="宋体" w:hAnsi="宋体" w:cs="宋体"/>
          <w:bCs/>
          <w:szCs w:val="28"/>
          <w:lang w:bidi="ar"/>
        </w:rPr>
        <w:t>3.2.6水泵配有单独的控制系统：每台水泵配有单独的控制系统，可显示水泵运行电压、电流、转速、功率及故障情况；</w:t>
      </w:r>
    </w:p>
    <w:p>
      <w:pPr>
        <w:spacing w:line="576" w:lineRule="exact"/>
        <w:ind w:firstLine="560"/>
        <w:rPr>
          <w:rFonts w:ascii="宋体" w:hAnsi="宋体" w:cs="宋体"/>
          <w:bCs/>
          <w:szCs w:val="28"/>
          <w:lang w:bidi="ar"/>
        </w:rPr>
      </w:pPr>
      <w:r>
        <w:rPr>
          <w:rFonts w:hint="eastAsia" w:ascii="宋体" w:hAnsi="宋体" w:cs="宋体"/>
          <w:bCs/>
          <w:szCs w:val="28"/>
          <w:lang w:bidi="ar"/>
        </w:rPr>
        <w:t>3.2.7控制柜柜体可移动、可拆卸，可实现离车远距离工作；</w:t>
      </w:r>
    </w:p>
    <w:p>
      <w:pPr>
        <w:spacing w:line="576" w:lineRule="exact"/>
        <w:ind w:firstLine="560"/>
        <w:rPr>
          <w:rFonts w:ascii="宋体" w:hAnsi="宋体" w:eastAsia="宋体" w:cs="宋体"/>
          <w:bCs/>
          <w:sz w:val="28"/>
          <w:szCs w:val="28"/>
          <w:lang w:val="en-US" w:bidi="ar"/>
        </w:rPr>
      </w:pPr>
      <w:r>
        <w:rPr>
          <w:rFonts w:hint="eastAsia" w:ascii="宋体" w:hAnsi="宋体" w:eastAsia="宋体" w:cs="宋体"/>
          <w:bCs/>
          <w:sz w:val="28"/>
          <w:szCs w:val="28"/>
          <w:lang w:val="en-US" w:bidi="ar"/>
        </w:rPr>
        <w:t>3.2.8水泵泵体装有提手，方便单人搬运。</w:t>
      </w:r>
    </w:p>
    <w:p>
      <w:pPr>
        <w:spacing w:line="576" w:lineRule="exact"/>
        <w:ind w:firstLine="560"/>
        <w:rPr>
          <w:rFonts w:ascii="宋体" w:hAnsi="宋体" w:cs="宋体"/>
          <w:bCs/>
          <w:szCs w:val="28"/>
          <w:lang w:bidi="ar"/>
        </w:rPr>
      </w:pPr>
      <w:r>
        <w:rPr>
          <w:rFonts w:hint="eastAsia" w:ascii="宋体" w:hAnsi="宋体" w:cs="宋体"/>
          <w:bCs/>
          <w:szCs w:val="28"/>
          <w:lang w:bidi="ar"/>
        </w:rPr>
        <w:t>3.3电气系统</w:t>
      </w:r>
    </w:p>
    <w:p>
      <w:pPr>
        <w:spacing w:line="576" w:lineRule="exact"/>
        <w:ind w:firstLine="560"/>
        <w:rPr>
          <w:rFonts w:ascii="宋体" w:hAnsi="宋体" w:cs="宋体"/>
          <w:bCs/>
          <w:szCs w:val="28"/>
          <w:lang w:bidi="ar"/>
        </w:rPr>
      </w:pPr>
      <w:r>
        <w:rPr>
          <w:rFonts w:hint="eastAsia" w:ascii="宋体" w:hAnsi="宋体" w:cs="宋体"/>
          <w:bCs/>
          <w:szCs w:val="28"/>
          <w:lang w:bidi="ar"/>
        </w:rPr>
        <w:t>3.3.1发电机品牌：投标须提供所使用的品牌；</w:t>
      </w:r>
    </w:p>
    <w:p>
      <w:pPr>
        <w:spacing w:line="576" w:lineRule="exact"/>
        <w:ind w:firstLine="560"/>
        <w:rPr>
          <w:rFonts w:ascii="宋体" w:hAnsi="宋体" w:cs="宋体"/>
          <w:bCs/>
          <w:szCs w:val="28"/>
          <w:lang w:bidi="ar"/>
        </w:rPr>
      </w:pPr>
      <w:r>
        <w:rPr>
          <w:rFonts w:hint="eastAsia" w:ascii="宋体" w:hAnsi="宋体" w:cs="宋体"/>
          <w:bCs/>
          <w:szCs w:val="28"/>
          <w:lang w:bidi="ar"/>
        </w:rPr>
        <w:t>3.3.2额定电压：380V；</w:t>
      </w:r>
    </w:p>
    <w:p>
      <w:pPr>
        <w:spacing w:line="576" w:lineRule="exact"/>
        <w:ind w:firstLine="560"/>
        <w:rPr>
          <w:rFonts w:ascii="宋体" w:hAnsi="宋体" w:cs="宋体"/>
          <w:bCs/>
          <w:szCs w:val="28"/>
          <w:lang w:bidi="ar"/>
        </w:rPr>
      </w:pPr>
      <w:r>
        <w:rPr>
          <w:rFonts w:hint="eastAsia" w:ascii="宋体" w:hAnsi="宋体" w:cs="宋体"/>
          <w:bCs/>
          <w:szCs w:val="28"/>
          <w:lang w:bidi="ar"/>
        </w:rPr>
        <w:t>3.3.3输出：支持自动调速，确保输出稳定；</w:t>
      </w:r>
    </w:p>
    <w:p>
      <w:pPr>
        <w:spacing w:line="576" w:lineRule="exact"/>
        <w:ind w:firstLine="560"/>
        <w:rPr>
          <w:rFonts w:ascii="宋体" w:hAnsi="宋体" w:cs="宋体"/>
          <w:bCs/>
          <w:szCs w:val="28"/>
          <w:lang w:bidi="ar"/>
        </w:rPr>
      </w:pPr>
      <w:r>
        <w:rPr>
          <w:rFonts w:hint="eastAsia" w:ascii="宋体" w:hAnsi="宋体" w:cs="宋体"/>
          <w:bCs/>
          <w:szCs w:val="28"/>
          <w:lang w:bidi="ar"/>
        </w:rPr>
        <w:t>▲3.3.4额定输出功率：≥200kW；</w:t>
      </w:r>
    </w:p>
    <w:p>
      <w:pPr>
        <w:spacing w:line="576" w:lineRule="exact"/>
        <w:ind w:firstLine="560"/>
        <w:rPr>
          <w:rFonts w:ascii="宋体" w:hAnsi="宋体" w:cs="宋体"/>
          <w:bCs/>
          <w:szCs w:val="28"/>
          <w:lang w:bidi="ar"/>
        </w:rPr>
      </w:pPr>
      <w:r>
        <w:rPr>
          <w:rFonts w:hint="eastAsia" w:ascii="宋体" w:hAnsi="宋体" w:cs="宋体"/>
          <w:bCs/>
          <w:szCs w:val="28"/>
          <w:lang w:bidi="ar"/>
        </w:rPr>
        <w:t>3.3.5冷却方式：采用封闭循环冷却；</w:t>
      </w:r>
    </w:p>
    <w:p>
      <w:pPr>
        <w:spacing w:line="576" w:lineRule="exact"/>
        <w:ind w:firstLine="560"/>
        <w:rPr>
          <w:rFonts w:ascii="宋体" w:hAnsi="宋体" w:cs="宋体"/>
          <w:bCs/>
          <w:szCs w:val="28"/>
          <w:lang w:bidi="ar"/>
        </w:rPr>
      </w:pPr>
      <w:r>
        <w:rPr>
          <w:rFonts w:hint="eastAsia" w:ascii="宋体" w:hAnsi="宋体" w:cs="宋体"/>
          <w:bCs/>
          <w:szCs w:val="28"/>
          <w:lang w:bidi="ar"/>
        </w:rPr>
        <w:t>3.3.6发电机油箱容积：在最大排水量的工况下，可以连续工作至少8小时；</w:t>
      </w:r>
    </w:p>
    <w:p>
      <w:pPr>
        <w:spacing w:line="576" w:lineRule="exact"/>
        <w:ind w:firstLine="560"/>
        <w:rPr>
          <w:rFonts w:ascii="宋体" w:hAnsi="宋体" w:cs="宋体"/>
          <w:bCs/>
          <w:szCs w:val="28"/>
          <w:lang w:bidi="ar"/>
        </w:rPr>
      </w:pPr>
      <w:r>
        <w:rPr>
          <w:rFonts w:hint="eastAsia" w:ascii="宋体" w:hAnsi="宋体" w:cs="宋体"/>
          <w:bCs/>
          <w:szCs w:val="28"/>
          <w:lang w:bidi="ar"/>
        </w:rPr>
        <w:t>3.3.7输出接口：具有与水泵数量相等的额定输出接口；</w:t>
      </w:r>
    </w:p>
    <w:p>
      <w:pPr>
        <w:spacing w:line="576" w:lineRule="exact"/>
        <w:ind w:firstLine="560"/>
        <w:rPr>
          <w:rFonts w:ascii="宋体" w:hAnsi="宋体" w:cs="宋体"/>
          <w:bCs/>
          <w:szCs w:val="28"/>
          <w:lang w:bidi="ar"/>
        </w:rPr>
      </w:pPr>
      <w:r>
        <w:rPr>
          <w:rFonts w:hint="eastAsia" w:ascii="宋体" w:hAnsi="宋体" w:cs="宋体"/>
          <w:bCs/>
          <w:szCs w:val="28"/>
          <w:lang w:bidi="ar"/>
        </w:rPr>
        <w:t>3.3.8柴油发电机组保护装置：具有过载保护、短路保护（包括单相、两相和三相短路）速断功能的输出断路器、低压超限和高压超限保护、低油压保护、高温保护、防雷、防静电保护等装置；</w:t>
      </w:r>
    </w:p>
    <w:p>
      <w:pPr>
        <w:spacing w:line="576" w:lineRule="exact"/>
        <w:ind w:firstLine="560"/>
        <w:rPr>
          <w:rFonts w:ascii="宋体" w:hAnsi="宋体" w:cs="宋体"/>
          <w:szCs w:val="28"/>
        </w:rPr>
      </w:pPr>
      <w:r>
        <w:rPr>
          <w:rFonts w:hint="eastAsia" w:ascii="宋体" w:hAnsi="宋体" w:cs="宋体"/>
          <w:bCs/>
          <w:szCs w:val="28"/>
          <w:lang w:bidi="ar"/>
        </w:rPr>
        <w:t>3.3.9柴油发电机组控制系统：可现实水温、油压、转速、频率、电压、电流、功率等均可实现一键智能化。</w:t>
      </w:r>
    </w:p>
    <w:p>
      <w:pPr>
        <w:spacing w:line="576" w:lineRule="exact"/>
        <w:ind w:firstLine="560"/>
        <w:rPr>
          <w:rFonts w:ascii="宋体" w:hAnsi="宋体" w:cs="宋体"/>
          <w:bCs/>
          <w:szCs w:val="28"/>
          <w:lang w:bidi="ar"/>
        </w:rPr>
      </w:pPr>
      <w:r>
        <w:rPr>
          <w:rFonts w:hint="eastAsia" w:ascii="宋体" w:hAnsi="宋体" w:cs="宋体"/>
          <w:bCs/>
          <w:szCs w:val="28"/>
          <w:lang w:bidi="ar"/>
        </w:rPr>
        <w:t>3.4操作控制系统应能清晰体现汽车发动机转速、发动机水温、燃油位、液压系统压力、油温、油位；各个控制按钮对应的功能应有明确标识，操作应简单方便。</w:t>
      </w:r>
    </w:p>
    <w:p>
      <w:pPr>
        <w:spacing w:line="576" w:lineRule="exact"/>
        <w:ind w:firstLine="560"/>
        <w:rPr>
          <w:rFonts w:ascii="宋体" w:hAnsi="宋体" w:cs="宋体"/>
          <w:bCs/>
          <w:szCs w:val="28"/>
          <w:lang w:bidi="ar"/>
        </w:rPr>
      </w:pPr>
      <w:r>
        <w:rPr>
          <w:rFonts w:hint="eastAsia" w:ascii="宋体" w:hAnsi="宋体" w:cs="宋体"/>
          <w:bCs/>
          <w:szCs w:val="28"/>
          <w:lang w:bidi="ar"/>
        </w:rPr>
        <w:t>3.5照明系统：</w:t>
      </w:r>
      <w:r>
        <w:rPr>
          <w:rFonts w:hint="eastAsia" w:ascii="宋体" w:hAnsi="宋体" w:cs="宋体"/>
          <w:bCs/>
          <w:szCs w:val="28"/>
          <w:lang w:val="zh-CN" w:bidi="ar"/>
        </w:rPr>
        <w:t>车辆顶部安装可升降应急照明灯具</w:t>
      </w:r>
      <w:r>
        <w:rPr>
          <w:rFonts w:hint="eastAsia" w:ascii="宋体" w:hAnsi="宋体" w:cs="宋体"/>
          <w:bCs/>
          <w:szCs w:val="28"/>
          <w:lang w:bidi="ar"/>
        </w:rPr>
        <w:t>，可通过无线和有线遥控两种方式控制，可水平旋转大于360</w:t>
      </w:r>
      <w:r>
        <w:rPr>
          <w:rFonts w:hint="eastAsia" w:ascii="方正仿宋_GBK" w:eastAsia="方正仿宋_GBK"/>
          <w:bCs/>
          <w:sz w:val="28"/>
          <w:szCs w:val="28"/>
          <w:lang w:bidi="ar"/>
        </w:rPr>
        <w:t>°</w:t>
      </w:r>
      <w:r>
        <w:rPr>
          <w:rFonts w:hint="eastAsia" w:ascii="宋体" w:hAnsi="宋体" w:cs="宋体"/>
          <w:bCs/>
          <w:szCs w:val="28"/>
          <w:lang w:bidi="ar"/>
        </w:rPr>
        <w:t>；垂直旋转大于180</w:t>
      </w:r>
      <w:r>
        <w:rPr>
          <w:rFonts w:hint="eastAsia" w:ascii="方正仿宋_GBK" w:eastAsia="方正仿宋_GBK"/>
          <w:bCs/>
          <w:sz w:val="28"/>
          <w:szCs w:val="28"/>
          <w:lang w:bidi="ar"/>
        </w:rPr>
        <w:t>°</w:t>
      </w:r>
      <w:r>
        <w:rPr>
          <w:rFonts w:hint="eastAsia" w:ascii="宋体" w:hAnsi="宋体" w:cs="宋体"/>
          <w:bCs/>
          <w:szCs w:val="28"/>
          <w:lang w:bidi="ar"/>
        </w:rPr>
        <w:t>。</w:t>
      </w:r>
    </w:p>
    <w:p>
      <w:pPr>
        <w:spacing w:line="576" w:lineRule="exact"/>
        <w:ind w:firstLine="560"/>
        <w:rPr>
          <w:rFonts w:ascii="宋体" w:hAnsi="宋体" w:cs="宋体"/>
          <w:bCs/>
          <w:szCs w:val="28"/>
          <w:lang w:bidi="ar"/>
        </w:rPr>
      </w:pPr>
      <w:r>
        <w:rPr>
          <w:rFonts w:hint="eastAsia" w:ascii="宋体" w:hAnsi="宋体" w:cs="宋体"/>
          <w:bCs/>
          <w:szCs w:val="28"/>
          <w:lang w:bidi="ar"/>
        </w:rPr>
        <w:t>3.6液压支撑系统：车辆安装支撑腿，保证整车平稳作业；可遥控操作，支腿上应设置频闪灯。</w:t>
      </w:r>
    </w:p>
    <w:p>
      <w:pPr>
        <w:spacing w:line="576" w:lineRule="exact"/>
        <w:ind w:firstLine="560"/>
        <w:rPr>
          <w:rFonts w:ascii="宋体" w:hAnsi="宋体" w:cs="宋体"/>
          <w:bCs/>
          <w:szCs w:val="28"/>
          <w:lang w:bidi="ar"/>
        </w:rPr>
      </w:pPr>
      <w:r>
        <w:rPr>
          <w:rFonts w:hint="eastAsia" w:ascii="宋体" w:hAnsi="宋体" w:cs="宋体"/>
          <w:bCs/>
          <w:szCs w:val="28"/>
          <w:lang w:bidi="ar"/>
        </w:rPr>
        <w:t>3.7厢体尾部设置液压升降尾板，最大举升重量：≥2t。</w:t>
      </w:r>
    </w:p>
    <w:p>
      <w:pPr>
        <w:spacing w:line="576" w:lineRule="exact"/>
        <w:ind w:firstLine="560"/>
        <w:rPr>
          <w:rFonts w:ascii="宋体" w:hAnsi="宋体" w:cs="宋体"/>
          <w:bCs/>
          <w:szCs w:val="28"/>
          <w:lang w:bidi="ar"/>
        </w:rPr>
      </w:pPr>
      <w:r>
        <w:rPr>
          <w:rFonts w:hint="eastAsia" w:ascii="宋体" w:hAnsi="宋体" w:cs="宋体"/>
          <w:bCs/>
          <w:szCs w:val="28"/>
          <w:lang w:bidi="ar"/>
        </w:rPr>
        <w:t>3.8翻板踏脚</w:t>
      </w:r>
    </w:p>
    <w:p>
      <w:pPr>
        <w:spacing w:line="576" w:lineRule="exact"/>
        <w:ind w:firstLine="560"/>
        <w:rPr>
          <w:rFonts w:ascii="宋体" w:hAnsi="宋体" w:cs="宋体"/>
          <w:bCs/>
          <w:szCs w:val="28"/>
          <w:lang w:bidi="ar"/>
        </w:rPr>
      </w:pPr>
      <w:r>
        <w:rPr>
          <w:rFonts w:hint="eastAsia" w:ascii="宋体" w:hAnsi="宋体" w:cs="宋体"/>
          <w:bCs/>
          <w:szCs w:val="28"/>
          <w:lang w:bidi="ar"/>
        </w:rPr>
        <w:t>3.8.1车身左右设翻转踏板，通过气动或液压弹簧助力；可承受≥150kg的重量；</w:t>
      </w:r>
    </w:p>
    <w:p>
      <w:pPr>
        <w:spacing w:line="576" w:lineRule="exact"/>
        <w:ind w:firstLine="560"/>
        <w:rPr>
          <w:rFonts w:ascii="宋体" w:hAnsi="宋体" w:cs="宋体"/>
          <w:bCs/>
          <w:szCs w:val="28"/>
          <w:lang w:bidi="ar"/>
        </w:rPr>
      </w:pPr>
      <w:r>
        <w:rPr>
          <w:rFonts w:hint="eastAsia" w:ascii="宋体" w:hAnsi="宋体" w:cs="宋体"/>
          <w:bCs/>
          <w:szCs w:val="28"/>
          <w:lang w:bidi="ar"/>
        </w:rPr>
        <w:t>3.8.2主骨架及连接件选用优质钢材及材料，面板具有防滑设计；</w:t>
      </w:r>
    </w:p>
    <w:p>
      <w:pPr>
        <w:spacing w:line="576" w:lineRule="exact"/>
        <w:ind w:firstLine="560"/>
        <w:rPr>
          <w:rFonts w:ascii="宋体" w:hAnsi="宋体" w:cs="宋体"/>
          <w:bCs/>
          <w:szCs w:val="28"/>
          <w:lang w:bidi="ar"/>
        </w:rPr>
      </w:pPr>
      <w:r>
        <w:rPr>
          <w:rFonts w:hint="eastAsia" w:ascii="宋体" w:hAnsi="宋体" w:cs="宋体"/>
          <w:bCs/>
          <w:szCs w:val="28"/>
          <w:lang w:bidi="ar"/>
        </w:rPr>
        <w:t>3.8.3踏板放下后外朝向消防车前和后方均设有黄色警告灯闪烁；</w:t>
      </w:r>
    </w:p>
    <w:p>
      <w:pPr>
        <w:spacing w:line="576" w:lineRule="exact"/>
        <w:ind w:firstLine="560"/>
        <w:rPr>
          <w:rFonts w:ascii="宋体" w:hAnsi="宋体" w:cs="宋体"/>
          <w:bCs/>
          <w:szCs w:val="28"/>
          <w:lang w:bidi="ar"/>
        </w:rPr>
      </w:pPr>
      <w:r>
        <w:rPr>
          <w:rFonts w:hint="eastAsia" w:ascii="宋体" w:hAnsi="宋体" w:cs="宋体"/>
          <w:bCs/>
          <w:szCs w:val="28"/>
          <w:lang w:bidi="ar"/>
        </w:rPr>
        <w:t>3.8.4踏板应设有锁止装置防止踏板受震动后自行翻转；</w:t>
      </w:r>
    </w:p>
    <w:p>
      <w:pPr>
        <w:spacing w:line="576" w:lineRule="exact"/>
        <w:ind w:firstLine="560"/>
        <w:rPr>
          <w:rFonts w:ascii="宋体" w:hAnsi="宋体" w:cs="宋体"/>
          <w:bCs/>
          <w:szCs w:val="28"/>
          <w:lang w:bidi="ar"/>
        </w:rPr>
      </w:pPr>
      <w:r>
        <w:rPr>
          <w:rFonts w:hint="eastAsia" w:ascii="宋体" w:hAnsi="宋体" w:cs="宋体"/>
          <w:bCs/>
          <w:szCs w:val="28"/>
          <w:lang w:bidi="ar"/>
        </w:rPr>
        <w:t>3.8.5车辆任何涉及人员登入的位置必须设置防滑处理。</w:t>
      </w:r>
    </w:p>
    <w:p>
      <w:pPr>
        <w:spacing w:line="576" w:lineRule="exact"/>
        <w:ind w:firstLine="560"/>
        <w:rPr>
          <w:rFonts w:ascii="宋体" w:hAnsi="宋体" w:cs="宋体"/>
          <w:bCs/>
          <w:szCs w:val="28"/>
          <w:lang w:bidi="ar"/>
        </w:rPr>
      </w:pPr>
      <w:r>
        <w:rPr>
          <w:rFonts w:hint="eastAsia" w:ascii="宋体" w:hAnsi="宋体" w:cs="宋体"/>
          <w:bCs/>
          <w:szCs w:val="28"/>
          <w:lang w:bidi="ar"/>
        </w:rPr>
        <w:t>3.9电气及警示系统</w:t>
      </w:r>
    </w:p>
    <w:p>
      <w:pPr>
        <w:spacing w:line="576" w:lineRule="exact"/>
        <w:ind w:firstLine="560"/>
        <w:rPr>
          <w:rFonts w:ascii="宋体" w:hAnsi="宋体" w:cs="宋体"/>
          <w:bCs/>
          <w:szCs w:val="28"/>
          <w:lang w:bidi="ar"/>
        </w:rPr>
      </w:pPr>
      <w:r>
        <w:rPr>
          <w:rFonts w:hint="eastAsia" w:ascii="宋体" w:hAnsi="宋体" w:cs="宋体"/>
          <w:bCs/>
          <w:szCs w:val="28"/>
          <w:lang w:bidi="ar"/>
        </w:rPr>
        <w:t>3.9.1车顶前部配置红色长排LED警灯，功率≥100W报警器、警灯控制器，乘员室、操纵仪表板等处须安装LED照明灯，驾驶室内安装警报器控制盒；</w:t>
      </w:r>
    </w:p>
    <w:p>
      <w:pPr>
        <w:spacing w:line="576" w:lineRule="exact"/>
        <w:ind w:firstLine="560"/>
        <w:rPr>
          <w:rFonts w:ascii="宋体" w:hAnsi="宋体" w:cs="宋体"/>
          <w:bCs/>
          <w:szCs w:val="28"/>
          <w:lang w:bidi="ar"/>
        </w:rPr>
      </w:pPr>
      <w:r>
        <w:rPr>
          <w:rFonts w:hint="eastAsia" w:ascii="宋体" w:hAnsi="宋体" w:cs="宋体"/>
          <w:bCs/>
          <w:szCs w:val="28"/>
          <w:lang w:bidi="ar"/>
        </w:rPr>
        <w:t>3.9.2车厢顶后部配置有全方位电控照明灯，2个红色爆闪灯；</w:t>
      </w:r>
    </w:p>
    <w:p>
      <w:pPr>
        <w:spacing w:line="576" w:lineRule="exact"/>
        <w:ind w:firstLine="560"/>
        <w:rPr>
          <w:rFonts w:ascii="宋体" w:hAnsi="宋体" w:cs="宋体"/>
          <w:bCs/>
          <w:szCs w:val="28"/>
          <w:lang w:bidi="ar"/>
        </w:rPr>
      </w:pPr>
      <w:r>
        <w:rPr>
          <w:rFonts w:hint="eastAsia" w:ascii="宋体" w:hAnsi="宋体" w:cs="宋体"/>
          <w:bCs/>
          <w:szCs w:val="28"/>
          <w:lang w:bidi="ar"/>
        </w:rPr>
        <w:t>3.9.3每个器材箱门两侧均安装有条形LED照明灯带；</w:t>
      </w:r>
    </w:p>
    <w:p>
      <w:pPr>
        <w:spacing w:line="576" w:lineRule="exact"/>
        <w:ind w:firstLine="560"/>
        <w:rPr>
          <w:rFonts w:ascii="宋体" w:hAnsi="宋体" w:cs="宋体"/>
          <w:bCs/>
          <w:szCs w:val="28"/>
          <w:lang w:bidi="ar"/>
        </w:rPr>
      </w:pPr>
      <w:r>
        <w:rPr>
          <w:rFonts w:hint="eastAsia" w:ascii="宋体" w:hAnsi="宋体" w:cs="宋体"/>
          <w:bCs/>
          <w:szCs w:val="28"/>
          <w:lang w:bidi="ar"/>
        </w:rPr>
        <w:t>3.9.4车厢两侧上部各配置2只独立控制爆闪灯,3只独立控制LED照明灯，车顶内侧设置LED照明灯带便于夜间车顶照明；</w:t>
      </w:r>
    </w:p>
    <w:p>
      <w:pPr>
        <w:spacing w:line="576" w:lineRule="exact"/>
        <w:ind w:firstLine="560"/>
        <w:rPr>
          <w:rFonts w:ascii="宋体" w:hAnsi="宋体" w:cs="宋体"/>
          <w:bCs/>
          <w:szCs w:val="28"/>
          <w:lang w:bidi="ar"/>
        </w:rPr>
      </w:pPr>
      <w:r>
        <w:rPr>
          <w:rFonts w:hint="eastAsia" w:ascii="宋体" w:hAnsi="宋体" w:cs="宋体"/>
          <w:bCs/>
          <w:szCs w:val="28"/>
          <w:lang w:bidi="ar"/>
        </w:rPr>
        <w:t>3.9.5车厢内LED照明灯，随卷帘门启闭自动开关，无死角，满足夜间照明需求；</w:t>
      </w:r>
    </w:p>
    <w:p>
      <w:pPr>
        <w:spacing w:line="576" w:lineRule="exact"/>
        <w:ind w:firstLine="560"/>
        <w:rPr>
          <w:rFonts w:ascii="宋体" w:hAnsi="宋体" w:cs="宋体"/>
          <w:bCs/>
          <w:szCs w:val="28"/>
          <w:lang w:bidi="ar"/>
        </w:rPr>
      </w:pPr>
      <w:r>
        <w:rPr>
          <w:rFonts w:hint="eastAsia" w:ascii="宋体" w:hAnsi="宋体" w:cs="宋体"/>
          <w:bCs/>
          <w:szCs w:val="28"/>
          <w:lang w:bidi="ar"/>
        </w:rPr>
        <w:t>3.9.6所有外置车灯、灯具均须加装防护罩，上装和消防系统的所有保险丝和继电器安装在一个保险盒中；</w:t>
      </w:r>
    </w:p>
    <w:p>
      <w:pPr>
        <w:spacing w:line="576" w:lineRule="exact"/>
        <w:ind w:firstLine="560"/>
        <w:rPr>
          <w:rFonts w:ascii="宋体" w:hAnsi="宋体" w:cs="宋体"/>
          <w:bCs/>
          <w:szCs w:val="28"/>
          <w:lang w:bidi="ar"/>
        </w:rPr>
      </w:pPr>
      <w:r>
        <w:rPr>
          <w:rFonts w:hint="eastAsia" w:ascii="宋体" w:hAnsi="宋体" w:cs="宋体"/>
          <w:bCs/>
          <w:szCs w:val="28"/>
          <w:lang w:bidi="ar"/>
        </w:rPr>
        <w:t>3.9.7所有说明牌和标牌都具有持久性和高附着性，受一般外力情况下不脱落或字迹模糊；</w:t>
      </w:r>
    </w:p>
    <w:p>
      <w:pPr>
        <w:spacing w:line="576" w:lineRule="exact"/>
        <w:ind w:firstLine="560"/>
        <w:rPr>
          <w:rFonts w:ascii="宋体" w:hAnsi="宋体" w:cs="宋体"/>
          <w:bCs/>
          <w:szCs w:val="28"/>
          <w:lang w:bidi="ar"/>
        </w:rPr>
      </w:pPr>
      <w:r>
        <w:rPr>
          <w:rFonts w:hint="eastAsia" w:ascii="宋体" w:hAnsi="宋体" w:cs="宋体"/>
          <w:bCs/>
          <w:szCs w:val="28"/>
          <w:lang w:bidi="ar"/>
        </w:rPr>
        <w:t>▲3.9.8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rPr>
          <w:rFonts w:ascii="宋体" w:hAnsi="宋体" w:cs="宋体"/>
          <w:bCs/>
          <w:szCs w:val="28"/>
          <w:lang w:bidi="ar"/>
        </w:rPr>
      </w:pPr>
      <w:r>
        <w:rPr>
          <w:rFonts w:hint="eastAsia" w:ascii="宋体" w:hAnsi="宋体" w:cs="宋体"/>
          <w:bCs/>
          <w:szCs w:val="28"/>
          <w:lang w:bidi="ar"/>
        </w:rPr>
        <w:t>3.10器材箱</w:t>
      </w:r>
    </w:p>
    <w:p>
      <w:pPr>
        <w:spacing w:line="576" w:lineRule="exact"/>
        <w:ind w:firstLine="560"/>
        <w:rPr>
          <w:rFonts w:ascii="宋体" w:hAnsi="宋体" w:cs="宋体"/>
          <w:bCs/>
          <w:szCs w:val="28"/>
          <w:lang w:bidi="ar"/>
        </w:rPr>
      </w:pPr>
      <w:r>
        <w:rPr>
          <w:rFonts w:hint="eastAsia" w:ascii="宋体" w:hAnsi="宋体" w:cs="宋体"/>
          <w:bCs/>
          <w:szCs w:val="28"/>
          <w:lang w:bidi="ar"/>
        </w:rPr>
        <w:t>3.10.1总体要求：左右两边各设置器材箱，能根据用户要求布置器材；箱体内储存的设备、器具均设防护设施；</w:t>
      </w:r>
    </w:p>
    <w:p>
      <w:pPr>
        <w:spacing w:line="576" w:lineRule="exact"/>
        <w:ind w:firstLine="560"/>
        <w:rPr>
          <w:rFonts w:ascii="宋体" w:hAnsi="宋体" w:cs="宋体"/>
          <w:bCs/>
          <w:szCs w:val="28"/>
          <w:lang w:bidi="ar"/>
        </w:rPr>
      </w:pPr>
      <w:r>
        <w:rPr>
          <w:rFonts w:hint="eastAsia" w:ascii="宋体" w:hAnsi="宋体" w:cs="宋体"/>
          <w:bCs/>
          <w:szCs w:val="28"/>
          <w:lang w:bidi="ar"/>
        </w:rPr>
        <w:t>3.10.2箱体材质：铝合金材质；</w:t>
      </w:r>
    </w:p>
    <w:p>
      <w:pPr>
        <w:spacing w:line="576" w:lineRule="exact"/>
        <w:ind w:firstLine="560"/>
        <w:rPr>
          <w:rFonts w:ascii="宋体" w:hAnsi="宋体" w:cs="宋体"/>
          <w:bCs/>
          <w:szCs w:val="28"/>
          <w:lang w:bidi="ar"/>
        </w:rPr>
      </w:pPr>
      <w:r>
        <w:rPr>
          <w:rFonts w:hint="eastAsia" w:ascii="宋体" w:hAnsi="宋体" w:cs="宋体"/>
          <w:bCs/>
          <w:szCs w:val="28"/>
          <w:lang w:bidi="ar"/>
        </w:rPr>
        <w:t>3.10.2器材箱门：采用铝合金卷帘门，设按钮式加拉杆条锁，所有卷帘门通用一把钥匙，各门带随门开关的LED照明灯，并于驾驶室内设置卷帘门打开状态警告灯（门未关时灯亮）；器材箱内部均设有照明，开关由单个器材门控制，器材门打开接通照明，器材门关闭切断照明。</w:t>
      </w:r>
    </w:p>
    <w:p>
      <w:pPr>
        <w:spacing w:line="576" w:lineRule="exact"/>
        <w:ind w:firstLine="560"/>
        <w:rPr>
          <w:rFonts w:ascii="宋体" w:hAnsi="宋体" w:cs="宋体"/>
          <w:szCs w:val="28"/>
          <w:lang w:bidi="ar"/>
        </w:rPr>
      </w:pPr>
      <w:r>
        <w:rPr>
          <w:rFonts w:hint="eastAsia" w:ascii="宋体" w:hAnsi="宋体" w:cs="宋体"/>
          <w:szCs w:val="28"/>
          <w:lang w:bidi="ar"/>
        </w:rPr>
        <w:t>4.随车器材</w:t>
      </w:r>
    </w:p>
    <w:tbl>
      <w:tblPr>
        <w:tblStyle w:val="14"/>
        <w:tblW w:w="54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2081"/>
        <w:gridCol w:w="794"/>
        <w:gridCol w:w="2011"/>
        <w:gridCol w:w="3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70"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序号</w:t>
            </w:r>
          </w:p>
        </w:tc>
        <w:tc>
          <w:tcPr>
            <w:tcW w:w="1127"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名称</w:t>
            </w:r>
          </w:p>
        </w:tc>
        <w:tc>
          <w:tcPr>
            <w:tcW w:w="430"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单位</w:t>
            </w:r>
          </w:p>
        </w:tc>
        <w:tc>
          <w:tcPr>
            <w:tcW w:w="1089"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数量</w:t>
            </w:r>
          </w:p>
        </w:tc>
        <w:tc>
          <w:tcPr>
            <w:tcW w:w="1881" w:type="pct"/>
            <w:vMerge w:val="restar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70"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1127"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430"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1089"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c>
          <w:tcPr>
            <w:tcW w:w="1881" w:type="pct"/>
            <w:vMerge w:val="continue"/>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70" w:type="pc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127" w:type="pc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消防水带</w:t>
            </w:r>
          </w:p>
        </w:tc>
        <w:tc>
          <w:tcPr>
            <w:tcW w:w="430" w:type="pct"/>
            <w:tcBorders>
              <w:top w:val="nil"/>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米</w:t>
            </w:r>
          </w:p>
        </w:tc>
        <w:tc>
          <w:tcPr>
            <w:tcW w:w="1089" w:type="pct"/>
            <w:tcBorders>
              <w:top w:val="single" w:color="auto" w:sz="4" w:space="0"/>
              <w:left w:val="single" w:color="auto" w:sz="4" w:space="0"/>
              <w:bottom w:val="single" w:color="auto" w:sz="4" w:space="0"/>
              <w:right w:val="single" w:color="auto" w:sz="4" w:space="0"/>
            </w:tcBorders>
            <w:tcMar>
              <w:left w:w="0" w:type="dxa"/>
              <w:right w:w="0" w:type="dxa"/>
            </w:tcMar>
            <w:vAlign w:val="center"/>
          </w:tcPr>
          <w:p>
            <w:pPr>
              <w:spacing w:line="576" w:lineRule="exact"/>
              <w:ind w:firstLine="0" w:firstLineChars="0"/>
              <w:jc w:val="center"/>
              <w:rPr>
                <w:rFonts w:ascii="宋体" w:hAnsi="宋体" w:cs="宋体"/>
                <w:bCs/>
                <w:szCs w:val="28"/>
              </w:rPr>
            </w:pPr>
            <w:r>
              <w:rPr>
                <w:rFonts w:hint="eastAsia" w:ascii="宋体" w:hAnsi="宋体" w:cs="宋体"/>
                <w:szCs w:val="28"/>
              </w:rPr>
              <w:t>≥240</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rPr>
              <w:t>DN200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干粉灭火器</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具</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8kg，ABC干粉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3</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接口扳手</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4</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4</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异径接口</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4</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bCs/>
                <w:szCs w:val="28"/>
              </w:rPr>
            </w:pPr>
            <w:r>
              <w:rPr>
                <w:rFonts w:hint="eastAsia" w:ascii="宋体" w:hAnsi="宋体" w:cs="宋体"/>
                <w:bCs/>
                <w:szCs w:val="28"/>
              </w:rPr>
              <w:t>根据采购人需求配备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5</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橡胶式水带护桥</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副</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6</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水带包布</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件</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不锈钢活动外套加软防护内衬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7</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水带挂钩</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件</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rPr>
                <w:rFonts w:ascii="宋体" w:hAnsi="宋体" w:cs="宋体"/>
                <w:bCs/>
                <w:szCs w:val="28"/>
              </w:rPr>
            </w:pPr>
            <w:r>
              <w:rPr>
                <w:rFonts w:hint="eastAsia" w:ascii="宋体" w:hAnsi="宋体" w:cs="宋体"/>
                <w:bCs/>
                <w:szCs w:val="28"/>
                <w:lang w:bidi="ar"/>
              </w:rPr>
              <w:t>不锈钢活动外套可卡在水带接口处进行固定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8</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防滑链</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套</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9</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滤水器</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只</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10</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破拆工具</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铁铤、丁字镐等；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11</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车辆制动垫块</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个</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2</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12</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随车工具</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随车底盘工具及专用工具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13</w:t>
            </w:r>
          </w:p>
        </w:tc>
        <w:tc>
          <w:tcPr>
            <w:tcW w:w="1127"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随车配件</w:t>
            </w:r>
          </w:p>
        </w:tc>
        <w:tc>
          <w:tcPr>
            <w:tcW w:w="430"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套</w:t>
            </w:r>
          </w:p>
        </w:tc>
        <w:tc>
          <w:tcPr>
            <w:tcW w:w="1089"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1</w:t>
            </w:r>
          </w:p>
        </w:tc>
        <w:tc>
          <w:tcPr>
            <w:tcW w:w="1881" w:type="pct"/>
            <w:tcBorders>
              <w:top w:val="single" w:color="auto" w:sz="4" w:space="0"/>
              <w:left w:val="single" w:color="auto" w:sz="4" w:space="0"/>
              <w:bottom w:val="single" w:color="auto" w:sz="4" w:space="0"/>
              <w:right w:val="single" w:color="auto" w:sz="4" w:space="0"/>
            </w:tcBorders>
            <w:vAlign w:val="center"/>
          </w:tcPr>
          <w:p>
            <w:pPr>
              <w:spacing w:line="576" w:lineRule="exact"/>
              <w:ind w:firstLine="0" w:firstLineChars="0"/>
              <w:jc w:val="center"/>
              <w:rPr>
                <w:rFonts w:ascii="宋体" w:hAnsi="宋体" w:cs="宋体"/>
                <w:bCs/>
                <w:szCs w:val="28"/>
              </w:rPr>
            </w:pPr>
            <w:r>
              <w:rPr>
                <w:rFonts w:hint="eastAsia" w:ascii="宋体" w:hAnsi="宋体" w:cs="宋体"/>
                <w:bCs/>
                <w:szCs w:val="28"/>
                <w:lang w:bidi="ar"/>
              </w:rPr>
              <w:t>电路保险丝等</w:t>
            </w:r>
          </w:p>
        </w:tc>
      </w:tr>
    </w:tbl>
    <w:p>
      <w:pPr>
        <w:spacing w:line="576" w:lineRule="exact"/>
        <w:ind w:firstLine="560"/>
        <w:rPr>
          <w:rFonts w:ascii="宋体" w:hAnsi="宋体" w:cs="宋体"/>
          <w:szCs w:val="28"/>
          <w:lang w:bidi="ar"/>
        </w:rPr>
      </w:pPr>
      <w:r>
        <w:rPr>
          <w:rFonts w:hint="eastAsia" w:ascii="宋体" w:hAnsi="宋体" w:cs="宋体"/>
          <w:szCs w:val="28"/>
          <w:lang w:bidi="ar"/>
        </w:rPr>
        <w:t>5.随车附件</w:t>
      </w:r>
    </w:p>
    <w:p>
      <w:pPr>
        <w:spacing w:line="576" w:lineRule="exact"/>
        <w:ind w:firstLine="560"/>
        <w:rPr>
          <w:rFonts w:ascii="宋体" w:hAnsi="宋体" w:cs="宋体"/>
          <w:bCs/>
          <w:szCs w:val="28"/>
          <w:lang w:bidi="ar"/>
        </w:rPr>
      </w:pPr>
      <w:r>
        <w:rPr>
          <w:rFonts w:hint="eastAsia" w:ascii="宋体" w:hAnsi="宋体" w:cs="宋体"/>
          <w:bCs/>
          <w:szCs w:val="28"/>
          <w:lang w:bidi="ar"/>
        </w:rPr>
        <w:t>5.1随车文件（中文）；</w:t>
      </w:r>
    </w:p>
    <w:p>
      <w:pPr>
        <w:spacing w:line="576" w:lineRule="exact"/>
        <w:ind w:firstLine="560"/>
        <w:rPr>
          <w:rFonts w:ascii="宋体" w:hAnsi="宋体" w:cs="宋体"/>
          <w:bCs/>
          <w:szCs w:val="28"/>
          <w:lang w:bidi="ar"/>
        </w:rPr>
      </w:pPr>
      <w:r>
        <w:rPr>
          <w:rFonts w:hint="eastAsia" w:ascii="宋体" w:hAnsi="宋体" w:cs="宋体"/>
          <w:bCs/>
          <w:szCs w:val="28"/>
          <w:lang w:bidi="ar"/>
        </w:rPr>
        <w:t>5.2底盘使用、维护说明书（3份）；</w:t>
      </w:r>
    </w:p>
    <w:p>
      <w:pPr>
        <w:spacing w:line="576" w:lineRule="exact"/>
        <w:ind w:firstLine="560"/>
        <w:rPr>
          <w:rFonts w:ascii="宋体" w:hAnsi="宋体" w:cs="宋体"/>
          <w:bCs/>
          <w:szCs w:val="28"/>
          <w:lang w:bidi="ar"/>
        </w:rPr>
      </w:pPr>
      <w:r>
        <w:rPr>
          <w:rFonts w:hint="eastAsia" w:ascii="宋体" w:hAnsi="宋体" w:cs="宋体"/>
          <w:bCs/>
          <w:szCs w:val="28"/>
          <w:lang w:bidi="ar"/>
        </w:rPr>
        <w:t>5.3底盘质量保修卡、合格证（1份）；</w:t>
      </w:r>
    </w:p>
    <w:p>
      <w:pPr>
        <w:spacing w:line="576" w:lineRule="exact"/>
        <w:ind w:firstLine="560"/>
        <w:rPr>
          <w:rFonts w:ascii="宋体" w:hAnsi="宋体" w:cs="宋体"/>
          <w:bCs/>
          <w:szCs w:val="28"/>
          <w:lang w:bidi="ar"/>
        </w:rPr>
      </w:pPr>
      <w:r>
        <w:rPr>
          <w:rFonts w:hint="eastAsia" w:ascii="宋体" w:hAnsi="宋体" w:cs="宋体"/>
          <w:bCs/>
          <w:szCs w:val="28"/>
          <w:lang w:bidi="ar"/>
        </w:rPr>
        <w:t>5.4底盘维修手册（1份）；</w:t>
      </w:r>
    </w:p>
    <w:p>
      <w:pPr>
        <w:spacing w:line="576" w:lineRule="exact"/>
        <w:ind w:firstLine="560"/>
        <w:rPr>
          <w:rFonts w:ascii="宋体" w:hAnsi="宋体" w:cs="宋体"/>
          <w:bCs/>
          <w:szCs w:val="28"/>
          <w:lang w:bidi="ar"/>
        </w:rPr>
      </w:pPr>
      <w:r>
        <w:rPr>
          <w:rFonts w:hint="eastAsia" w:ascii="宋体" w:hAnsi="宋体" w:cs="宋体"/>
          <w:bCs/>
          <w:szCs w:val="28"/>
          <w:lang w:bidi="ar"/>
        </w:rPr>
        <w:t>5.5底盘改装手册（1份）；</w:t>
      </w:r>
    </w:p>
    <w:p>
      <w:pPr>
        <w:spacing w:line="576" w:lineRule="exact"/>
        <w:ind w:firstLine="560"/>
        <w:rPr>
          <w:rFonts w:ascii="宋体" w:hAnsi="宋体" w:cs="宋体"/>
          <w:bCs/>
          <w:szCs w:val="28"/>
          <w:lang w:bidi="ar"/>
        </w:rPr>
      </w:pPr>
      <w:r>
        <w:rPr>
          <w:rFonts w:hint="eastAsia" w:ascii="宋体" w:hAnsi="宋体" w:cs="宋体"/>
          <w:bCs/>
          <w:szCs w:val="28"/>
          <w:lang w:bidi="ar"/>
        </w:rPr>
        <w:t>5.6底盘电气原理图（1份）；</w:t>
      </w:r>
    </w:p>
    <w:p>
      <w:pPr>
        <w:spacing w:line="576" w:lineRule="exact"/>
        <w:ind w:firstLine="560"/>
        <w:rPr>
          <w:rFonts w:ascii="宋体" w:hAnsi="宋体" w:cs="宋体"/>
          <w:bCs/>
          <w:szCs w:val="28"/>
          <w:lang w:bidi="ar"/>
        </w:rPr>
      </w:pPr>
      <w:r>
        <w:rPr>
          <w:rFonts w:hint="eastAsia" w:ascii="宋体" w:hAnsi="宋体" w:cs="宋体"/>
          <w:bCs/>
          <w:szCs w:val="28"/>
          <w:lang w:bidi="ar"/>
        </w:rPr>
        <w:t>5.7底盘零件目录图册（2份）；</w:t>
      </w:r>
    </w:p>
    <w:p>
      <w:pPr>
        <w:spacing w:line="576" w:lineRule="exact"/>
        <w:ind w:firstLine="560"/>
        <w:rPr>
          <w:rFonts w:ascii="宋体" w:hAnsi="宋体" w:cs="宋体"/>
          <w:bCs/>
          <w:szCs w:val="28"/>
          <w:lang w:bidi="ar"/>
        </w:rPr>
      </w:pPr>
      <w:r>
        <w:rPr>
          <w:rFonts w:hint="eastAsia" w:ascii="宋体" w:hAnsi="宋体" w:cs="宋体"/>
          <w:bCs/>
          <w:szCs w:val="28"/>
          <w:lang w:bidi="ar"/>
        </w:rPr>
        <w:t>5.8底盘厂家提供的底盘随车配件清单（1份）；</w:t>
      </w:r>
    </w:p>
    <w:p>
      <w:pPr>
        <w:spacing w:line="576" w:lineRule="exact"/>
        <w:ind w:firstLine="560"/>
        <w:rPr>
          <w:rFonts w:ascii="宋体" w:hAnsi="宋体" w:cs="宋体"/>
          <w:bCs/>
          <w:szCs w:val="28"/>
          <w:lang w:bidi="ar"/>
        </w:rPr>
      </w:pPr>
      <w:r>
        <w:rPr>
          <w:rFonts w:hint="eastAsia" w:ascii="宋体" w:hAnsi="宋体" w:cs="宋体"/>
          <w:bCs/>
          <w:szCs w:val="28"/>
          <w:lang w:bidi="ar"/>
        </w:rPr>
        <w:t>5.9车辆整车合格证（1份）；</w:t>
      </w:r>
    </w:p>
    <w:p>
      <w:pPr>
        <w:spacing w:line="576" w:lineRule="exact"/>
        <w:ind w:firstLine="560"/>
        <w:rPr>
          <w:rFonts w:ascii="宋体" w:hAnsi="宋体" w:cs="宋体"/>
          <w:bCs/>
          <w:szCs w:val="28"/>
          <w:lang w:bidi="ar"/>
        </w:rPr>
      </w:pPr>
      <w:r>
        <w:rPr>
          <w:rFonts w:hint="eastAsia" w:ascii="宋体" w:hAnsi="宋体" w:cs="宋体"/>
          <w:bCs/>
          <w:szCs w:val="28"/>
          <w:lang w:bidi="ar"/>
        </w:rPr>
        <w:t>5.10上装操作使用说明书（附零部件结构图和技术资料，生产厂商联系方式及地址），配操作演示示范光盘（3份、电子版1份）；</w:t>
      </w:r>
    </w:p>
    <w:p>
      <w:pPr>
        <w:spacing w:line="576" w:lineRule="exact"/>
        <w:ind w:firstLine="560"/>
        <w:rPr>
          <w:rFonts w:ascii="宋体" w:hAnsi="宋体" w:cs="宋体"/>
          <w:bCs/>
          <w:szCs w:val="28"/>
          <w:lang w:bidi="ar"/>
        </w:rPr>
      </w:pPr>
      <w:r>
        <w:rPr>
          <w:rFonts w:hint="eastAsia" w:ascii="宋体" w:hAnsi="宋体" w:cs="宋体"/>
          <w:bCs/>
          <w:szCs w:val="28"/>
          <w:lang w:bidi="ar"/>
        </w:rPr>
        <w:t>5.11上装维护保养说明书（附管路系统、气动系统、电路配线图）（3份、电子版1份），上装零配件目录图册（3份）；</w:t>
      </w:r>
    </w:p>
    <w:p>
      <w:pPr>
        <w:spacing w:line="576" w:lineRule="exact"/>
        <w:ind w:firstLine="560"/>
        <w:rPr>
          <w:rFonts w:ascii="宋体" w:hAnsi="宋体" w:cs="宋体"/>
          <w:bCs/>
          <w:szCs w:val="28"/>
          <w:lang w:bidi="ar"/>
        </w:rPr>
      </w:pPr>
      <w:r>
        <w:rPr>
          <w:rFonts w:hint="eastAsia" w:ascii="宋体" w:hAnsi="宋体" w:cs="宋体"/>
          <w:bCs/>
          <w:szCs w:val="28"/>
          <w:lang w:bidi="ar"/>
        </w:rPr>
        <w:t>5.12随车工具清单、器材清单（1份）；</w:t>
      </w:r>
    </w:p>
    <w:p>
      <w:pPr>
        <w:spacing w:line="576" w:lineRule="exact"/>
        <w:ind w:firstLine="560"/>
        <w:rPr>
          <w:rFonts w:ascii="宋体" w:hAnsi="宋体" w:cs="宋体"/>
          <w:bCs/>
          <w:szCs w:val="28"/>
          <w:lang w:bidi="ar"/>
        </w:rPr>
      </w:pPr>
      <w:r>
        <w:rPr>
          <w:rFonts w:hint="eastAsia" w:ascii="宋体" w:hAnsi="宋体" w:cs="宋体"/>
          <w:bCs/>
          <w:szCs w:val="28"/>
          <w:lang w:bidi="ar"/>
        </w:rPr>
        <w:t>5.13车架号、发动机号拓印件（2份）；</w:t>
      </w:r>
    </w:p>
    <w:p>
      <w:pPr>
        <w:spacing w:line="576" w:lineRule="exact"/>
        <w:ind w:firstLine="560"/>
        <w:rPr>
          <w:rFonts w:ascii="宋体" w:hAnsi="宋体" w:cs="宋体"/>
          <w:bCs/>
          <w:szCs w:val="28"/>
          <w:lang w:bidi="ar"/>
        </w:rPr>
      </w:pPr>
      <w:r>
        <w:rPr>
          <w:rFonts w:hint="eastAsia" w:ascii="宋体" w:hAnsi="宋体" w:cs="宋体"/>
          <w:bCs/>
          <w:szCs w:val="28"/>
          <w:lang w:bidi="ar"/>
        </w:rPr>
        <w:t>5.14跟踪服务卡（1份）；</w:t>
      </w:r>
    </w:p>
    <w:p>
      <w:pPr>
        <w:spacing w:line="576" w:lineRule="exact"/>
        <w:ind w:firstLine="560"/>
        <w:rPr>
          <w:rFonts w:ascii="宋体" w:hAnsi="宋体" w:cs="宋体"/>
          <w:bCs/>
          <w:szCs w:val="28"/>
          <w:lang w:bidi="ar"/>
        </w:rPr>
      </w:pPr>
      <w:r>
        <w:rPr>
          <w:rFonts w:hint="eastAsia" w:ascii="宋体" w:hAnsi="宋体" w:cs="宋体"/>
          <w:bCs/>
          <w:szCs w:val="28"/>
          <w:lang w:bidi="ar"/>
        </w:rPr>
        <w:t>5.15随车免费提供部分底盘和上装、随车设备使用、保养、维修用的配件、必备工具和易损备件（附清单）。</w:t>
      </w:r>
    </w:p>
    <w:p>
      <w:pPr>
        <w:spacing w:line="576" w:lineRule="exact"/>
        <w:ind w:firstLine="560"/>
        <w:rPr>
          <w:rFonts w:ascii="宋体" w:hAnsi="宋体" w:cs="宋体"/>
          <w:bCs/>
          <w:szCs w:val="28"/>
          <w:lang w:bidi="ar"/>
        </w:rPr>
      </w:pPr>
      <w:r>
        <w:rPr>
          <w:rFonts w:hint="eastAsia" w:ascii="宋体" w:hAnsi="宋体" w:cs="宋体"/>
          <w:bCs/>
          <w:szCs w:val="28"/>
          <w:lang w:bidi="ar"/>
        </w:rPr>
        <w:t>5.16所有操作开关、仪表、器材架及车辆均有规范的永久性中文铭牌标识；</w:t>
      </w:r>
    </w:p>
    <w:p>
      <w:pPr>
        <w:spacing w:line="576" w:lineRule="exact"/>
        <w:ind w:firstLine="560"/>
        <w:rPr>
          <w:rFonts w:ascii="宋体" w:hAnsi="宋体" w:cs="宋体"/>
          <w:bCs/>
          <w:szCs w:val="28"/>
          <w:lang w:bidi="ar"/>
        </w:rPr>
      </w:pPr>
      <w:r>
        <w:rPr>
          <w:rFonts w:hint="eastAsia" w:ascii="宋体" w:hAnsi="宋体" w:cs="宋体"/>
          <w:bCs/>
          <w:szCs w:val="28"/>
          <w:lang w:bidi="ar"/>
        </w:rPr>
        <w:t>▲5.17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br w:type="page"/>
      </w:r>
    </w:p>
    <w:p>
      <w:pPr>
        <w:pStyle w:val="4"/>
        <w:bidi w:val="0"/>
      </w:pPr>
      <w:bookmarkStart w:id="68" w:name="_Toc10005"/>
      <w:r>
        <w:rPr>
          <w:rFonts w:hint="eastAsia"/>
        </w:rPr>
        <w:t>包</w:t>
      </w:r>
      <w:r>
        <w:rPr>
          <w:rFonts w:hint="eastAsia"/>
          <w:lang w:val="en-US" w:eastAsia="zh-CN"/>
        </w:rPr>
        <w:t>25</w:t>
      </w:r>
      <w:r>
        <w:rPr>
          <w:rFonts w:hint="eastAsia"/>
        </w:rPr>
        <w:t xml:space="preserve">  </w:t>
      </w:r>
      <w:r>
        <w:rPr>
          <w:rFonts w:hint="eastAsia"/>
          <w:lang w:eastAsia="zh-CN"/>
        </w:rPr>
        <w:t>“</w:t>
      </w:r>
      <w:r>
        <w:rPr>
          <w:rFonts w:hint="eastAsia"/>
        </w:rPr>
        <w:t>泡沫输转消防车</w:t>
      </w:r>
      <w:r>
        <w:rPr>
          <w:rFonts w:hint="eastAsia"/>
          <w:lang w:eastAsia="zh-CN"/>
        </w:rPr>
        <w:t>”</w:t>
      </w:r>
      <w:bookmarkEnd w:id="68"/>
    </w:p>
    <w:p>
      <w:pPr>
        <w:spacing w:line="576" w:lineRule="exact"/>
        <w:ind w:firstLine="560"/>
        <w:rPr>
          <w:rFonts w:ascii="宋体" w:hAnsi="宋体" w:cs="宋体"/>
          <w:bCs/>
          <w:szCs w:val="28"/>
          <w:lang w:bidi="ar"/>
        </w:rPr>
      </w:pPr>
      <w:r>
        <w:rPr>
          <w:rFonts w:hint="eastAsia" w:ascii="宋体" w:hAnsi="宋体" w:cs="宋体"/>
          <w:bCs/>
          <w:szCs w:val="28"/>
          <w:lang w:bidi="ar"/>
        </w:rPr>
        <w:t>符合GB7956.1-2014《</w:t>
      </w:r>
      <w:r>
        <w:rPr>
          <w:rFonts w:hint="eastAsia" w:ascii="宋体" w:hAnsi="宋体" w:cs="宋体"/>
          <w:bCs/>
          <w:szCs w:val="28"/>
          <w:lang w:bidi="ar"/>
        </w:rPr>
        <w:fldChar w:fldCharType="begin"/>
      </w:r>
      <w:r>
        <w:rPr>
          <w:rFonts w:hint="eastAsia" w:ascii="宋体" w:hAnsi="宋体" w:cs="宋体"/>
          <w:bCs/>
          <w:szCs w:val="28"/>
          <w:lang w:bidi="ar"/>
        </w:rPr>
        <w:instrText xml:space="preserve"> HYPERLINK "http://10.2.192.2:8080/xiaof/standardList.php?type=c9" \l "#"</w:instrText>
      </w:r>
      <w:r>
        <w:rPr>
          <w:rFonts w:hint="eastAsia" w:ascii="宋体" w:hAnsi="宋体" w:cs="宋体"/>
          <w:bCs/>
          <w:szCs w:val="28"/>
          <w:lang w:bidi="ar"/>
        </w:rPr>
        <w:fldChar w:fldCharType="separate"/>
      </w:r>
      <w:r>
        <w:rPr>
          <w:rFonts w:hint="eastAsia" w:ascii="宋体" w:hAnsi="宋体" w:cs="宋体"/>
          <w:bCs/>
          <w:szCs w:val="28"/>
          <w:lang w:bidi="ar"/>
        </w:rPr>
        <w:t>消防车第1部分：通用技术条件</w:t>
      </w:r>
      <w:r>
        <w:rPr>
          <w:rFonts w:hint="eastAsia" w:ascii="宋体" w:hAnsi="宋体" w:cs="宋体"/>
          <w:bCs/>
          <w:szCs w:val="28"/>
          <w:lang w:bidi="ar"/>
        </w:rPr>
        <w:fldChar w:fldCharType="end"/>
      </w:r>
      <w:r>
        <w:rPr>
          <w:rFonts w:hint="eastAsia" w:ascii="宋体" w:hAnsi="宋体" w:cs="宋体"/>
          <w:bCs/>
          <w:szCs w:val="28"/>
          <w:lang w:bidi="ar"/>
        </w:rPr>
        <w:t>》、GB6245-2006《消防泵》符合GB1589-2016《汽车、挂车及汽车列车外廓尺寸、轴荷及质量限值》等国家标准。</w:t>
      </w:r>
    </w:p>
    <w:p>
      <w:pPr>
        <w:spacing w:line="576" w:lineRule="exact"/>
        <w:ind w:firstLine="560"/>
        <w:rPr>
          <w:rFonts w:ascii="宋体" w:hAnsi="宋体" w:cs="宋体"/>
          <w:bCs/>
          <w:szCs w:val="28"/>
          <w:lang w:bidi="ar"/>
        </w:rPr>
      </w:pPr>
      <w:r>
        <w:rPr>
          <w:rFonts w:hint="eastAsia" w:ascii="宋体" w:hAnsi="宋体" w:cs="宋体"/>
          <w:bCs/>
          <w:szCs w:val="28"/>
          <w:lang w:bidi="ar"/>
        </w:rPr>
        <w:t>1.整车综合要求</w:t>
      </w:r>
    </w:p>
    <w:p>
      <w:pPr>
        <w:spacing w:line="576" w:lineRule="exact"/>
        <w:ind w:firstLine="560"/>
        <w:rPr>
          <w:rFonts w:ascii="宋体" w:hAnsi="宋体" w:cs="宋体"/>
          <w:bCs/>
          <w:szCs w:val="28"/>
          <w:lang w:bidi="ar"/>
        </w:rPr>
      </w:pPr>
      <w:r>
        <w:rPr>
          <w:rFonts w:hint="eastAsia" w:ascii="宋体" w:hAnsi="宋体" w:cs="宋体"/>
          <w:bCs/>
          <w:szCs w:val="28"/>
          <w:lang w:bidi="ar"/>
        </w:rPr>
        <w:t>1.1外形尺寸:长≤12000m，宽≤2550mm，高≤4000mm；</w:t>
      </w:r>
    </w:p>
    <w:p>
      <w:pPr>
        <w:spacing w:line="576" w:lineRule="exact"/>
        <w:ind w:firstLine="560"/>
        <w:rPr>
          <w:rFonts w:ascii="宋体" w:hAnsi="宋体" w:cs="宋体"/>
          <w:bCs/>
          <w:szCs w:val="28"/>
          <w:lang w:bidi="ar"/>
        </w:rPr>
      </w:pPr>
      <w:r>
        <w:rPr>
          <w:rFonts w:hint="eastAsia" w:ascii="宋体" w:hAnsi="宋体" w:cs="宋体"/>
          <w:bCs/>
          <w:szCs w:val="28"/>
          <w:lang w:bidi="ar"/>
        </w:rPr>
        <w:t>1.2整车最大允许总质量：≥40000kg；</w:t>
      </w:r>
    </w:p>
    <w:p>
      <w:pPr>
        <w:spacing w:line="576" w:lineRule="exact"/>
        <w:ind w:firstLine="560"/>
        <w:rPr>
          <w:rFonts w:ascii="宋体" w:hAnsi="宋体" w:cs="宋体"/>
          <w:bCs/>
          <w:szCs w:val="28"/>
          <w:lang w:bidi="ar"/>
        </w:rPr>
      </w:pPr>
      <w:r>
        <w:rPr>
          <w:rFonts w:hint="eastAsia" w:ascii="宋体" w:hAnsi="宋体" w:cs="宋体"/>
          <w:bCs/>
          <w:szCs w:val="28"/>
          <w:lang w:bidi="ar"/>
        </w:rPr>
        <w:t>1.3驾乘室人员数量：≥2人；</w:t>
      </w:r>
    </w:p>
    <w:p>
      <w:pPr>
        <w:spacing w:line="576" w:lineRule="exact"/>
        <w:ind w:firstLine="560"/>
        <w:rPr>
          <w:rFonts w:ascii="宋体" w:hAnsi="宋体" w:cs="宋体"/>
          <w:bCs/>
          <w:szCs w:val="28"/>
          <w:lang w:bidi="ar"/>
        </w:rPr>
      </w:pPr>
      <w:r>
        <w:rPr>
          <w:rFonts w:hint="eastAsia" w:ascii="宋体" w:hAnsi="宋体" w:cs="宋体"/>
          <w:bCs/>
          <w:szCs w:val="28"/>
          <w:lang w:bidi="ar"/>
        </w:rPr>
        <w:t>1.4车身颜色和漆料：消防车车身的颜色应符合GB/T3181-2008中规定的R03大红色；外观应光滑、平整、色泽均匀，不应有缺漆等缺陷，车顶和车身涂装的工艺、颜色保持一致，不得自行增加饰条、饰带、饰物；</w:t>
      </w:r>
    </w:p>
    <w:p>
      <w:pPr>
        <w:spacing w:line="576" w:lineRule="exact"/>
        <w:ind w:firstLine="560"/>
        <w:rPr>
          <w:rFonts w:ascii="宋体" w:hAnsi="宋体" w:cs="宋体"/>
          <w:bCs/>
          <w:szCs w:val="28"/>
          <w:lang w:bidi="ar"/>
        </w:rPr>
      </w:pPr>
      <w:r>
        <w:rPr>
          <w:rFonts w:hint="eastAsia" w:ascii="宋体" w:hAnsi="宋体" w:cs="宋体"/>
          <w:bCs/>
          <w:szCs w:val="28"/>
          <w:lang w:bidi="ar"/>
        </w:rPr>
        <w:t>1.5外观标识：按照《消防救援局关于做好消防救援车辆外观制式涂装工作的通知》（应急消[2019]76号）要求涂装，车辆前后有预留牌照架（符合现行应急车牌尺寸，采用金属构件固定后结实耐用）；</w:t>
      </w:r>
    </w:p>
    <w:p>
      <w:pPr>
        <w:spacing w:line="576" w:lineRule="exact"/>
        <w:ind w:firstLine="560"/>
        <w:rPr>
          <w:rFonts w:ascii="宋体" w:hAnsi="宋体" w:cs="宋体"/>
          <w:bCs/>
          <w:szCs w:val="28"/>
          <w:lang w:bidi="ar"/>
        </w:rPr>
      </w:pPr>
      <w:r>
        <w:rPr>
          <w:rFonts w:hint="eastAsia" w:ascii="宋体" w:hAnsi="宋体" w:cs="宋体"/>
          <w:bCs/>
          <w:szCs w:val="28"/>
          <w:lang w:bidi="ar"/>
        </w:rPr>
        <w:t>★1.6载液量：≥20000kg。</w:t>
      </w:r>
    </w:p>
    <w:p>
      <w:pPr>
        <w:spacing w:line="576" w:lineRule="exact"/>
        <w:ind w:firstLine="560"/>
        <w:rPr>
          <w:rFonts w:ascii="宋体" w:hAnsi="宋体" w:cs="宋体"/>
          <w:bCs/>
          <w:szCs w:val="28"/>
          <w:lang w:bidi="ar"/>
        </w:rPr>
      </w:pPr>
      <w:r>
        <w:rPr>
          <w:rFonts w:hint="eastAsia" w:ascii="宋体" w:hAnsi="宋体" w:cs="宋体"/>
          <w:bCs/>
          <w:szCs w:val="28"/>
          <w:lang w:bidi="ar"/>
        </w:rPr>
        <w:t>2.底盘要求</w:t>
      </w:r>
    </w:p>
    <w:p>
      <w:pPr>
        <w:spacing w:line="576" w:lineRule="exact"/>
        <w:ind w:firstLine="560"/>
        <w:rPr>
          <w:rFonts w:ascii="宋体" w:hAnsi="宋体" w:cs="宋体"/>
          <w:bCs/>
          <w:szCs w:val="28"/>
          <w:lang w:bidi="ar"/>
        </w:rPr>
      </w:pPr>
      <w:r>
        <w:rPr>
          <w:rFonts w:hint="eastAsia" w:ascii="宋体" w:hAnsi="宋体" w:cs="宋体"/>
          <w:bCs/>
          <w:szCs w:val="28"/>
          <w:lang w:bidi="ar"/>
        </w:rPr>
        <w:t>2.1底盘</w:t>
      </w:r>
    </w:p>
    <w:p>
      <w:pPr>
        <w:spacing w:line="576" w:lineRule="exact"/>
        <w:ind w:firstLine="560"/>
        <w:rPr>
          <w:rFonts w:hint="eastAsia" w:ascii="宋体" w:hAnsi="宋体" w:cs="宋体"/>
          <w:bCs/>
          <w:szCs w:val="28"/>
          <w:lang w:bidi="ar"/>
        </w:rPr>
      </w:pPr>
      <w:r>
        <w:rPr>
          <w:rFonts w:hint="eastAsia" w:ascii="宋体" w:hAnsi="宋体" w:cs="宋体"/>
          <w:bCs/>
          <w:szCs w:val="28"/>
          <w:lang w:bidi="ar"/>
        </w:rPr>
        <w:t>▲2.1.1选用进口或国产</w:t>
      </w:r>
      <w:r>
        <w:rPr>
          <w:rFonts w:hint="eastAsia" w:ascii="宋体" w:hAnsi="宋体" w:cs="宋体"/>
          <w:bCs/>
          <w:szCs w:val="28"/>
        </w:rPr>
        <w:t>通用二类底盘</w:t>
      </w:r>
      <w:r>
        <w:rPr>
          <w:rFonts w:hint="eastAsia" w:ascii="宋体" w:hAnsi="宋体" w:cs="宋体"/>
          <w:bCs/>
          <w:szCs w:val="28"/>
          <w:lang w:bidi="ar"/>
        </w:rPr>
        <w:t>；</w:t>
      </w:r>
    </w:p>
    <w:p>
      <w:pPr>
        <w:spacing w:line="576" w:lineRule="exact"/>
        <w:ind w:firstLine="560"/>
        <w:rPr>
          <w:rFonts w:ascii="宋体" w:hAnsi="宋体" w:cs="宋体"/>
          <w:bCs/>
          <w:szCs w:val="28"/>
          <w:lang w:bidi="ar"/>
        </w:rPr>
      </w:pPr>
      <w:r>
        <w:rPr>
          <w:rFonts w:hint="eastAsia" w:ascii="宋体" w:hAnsi="宋体" w:cs="宋体"/>
          <w:bCs/>
          <w:szCs w:val="28"/>
          <w:lang w:bidi="ar"/>
        </w:rPr>
        <w:t>2.1.2燃料种类:柴油；</w:t>
      </w:r>
    </w:p>
    <w:p>
      <w:pPr>
        <w:spacing w:line="576" w:lineRule="exact"/>
        <w:ind w:firstLine="560"/>
        <w:rPr>
          <w:rFonts w:ascii="宋体" w:hAnsi="宋体" w:cs="宋体"/>
          <w:bCs/>
          <w:szCs w:val="28"/>
          <w:lang w:bidi="ar"/>
        </w:rPr>
      </w:pPr>
      <w:r>
        <w:rPr>
          <w:rFonts w:hint="eastAsia" w:ascii="宋体" w:hAnsi="宋体" w:cs="宋体"/>
          <w:bCs/>
          <w:szCs w:val="28"/>
          <w:lang w:bidi="ar"/>
        </w:rPr>
        <w:t>★2.1.3驱动形式：8×4；</w:t>
      </w:r>
    </w:p>
    <w:p>
      <w:pPr>
        <w:spacing w:line="576" w:lineRule="exact"/>
        <w:ind w:firstLine="560"/>
        <w:rPr>
          <w:rFonts w:ascii="宋体" w:hAnsi="宋体" w:cs="宋体"/>
          <w:bCs/>
          <w:szCs w:val="28"/>
          <w:lang w:bidi="ar"/>
        </w:rPr>
      </w:pPr>
      <w:r>
        <w:rPr>
          <w:rFonts w:hint="eastAsia" w:ascii="宋体" w:hAnsi="宋体" w:cs="宋体"/>
          <w:bCs/>
          <w:szCs w:val="28"/>
          <w:lang w:bidi="ar"/>
        </w:rPr>
        <w:t>★2.1.4排放标准：国六排放标准；</w:t>
      </w:r>
    </w:p>
    <w:p>
      <w:pPr>
        <w:spacing w:line="576" w:lineRule="exact"/>
        <w:ind w:firstLine="560"/>
        <w:rPr>
          <w:rFonts w:ascii="宋体" w:hAnsi="宋体" w:cs="宋体"/>
          <w:bCs/>
          <w:szCs w:val="28"/>
          <w:lang w:bidi="ar"/>
        </w:rPr>
      </w:pPr>
      <w:r>
        <w:rPr>
          <w:rFonts w:hint="eastAsia" w:ascii="宋体" w:hAnsi="宋体" w:cs="宋体"/>
          <w:bCs/>
          <w:szCs w:val="28"/>
          <w:lang w:bidi="ar"/>
        </w:rPr>
        <w:t>▲2.1.5发动机：最大输出功率≥400kW；</w:t>
      </w:r>
    </w:p>
    <w:p>
      <w:pPr>
        <w:spacing w:line="576" w:lineRule="exact"/>
        <w:ind w:firstLine="560"/>
        <w:rPr>
          <w:rFonts w:ascii="宋体" w:hAnsi="宋体" w:cs="宋体"/>
          <w:bCs/>
          <w:szCs w:val="28"/>
          <w:lang w:bidi="ar"/>
        </w:rPr>
      </w:pPr>
      <w:r>
        <w:rPr>
          <w:rFonts w:hint="eastAsia" w:ascii="宋体" w:hAnsi="宋体" w:cs="宋体"/>
          <w:bCs/>
          <w:szCs w:val="28"/>
          <w:lang w:bidi="ar"/>
        </w:rPr>
        <w:t>2.1.6变速器：手动或自动变速。</w:t>
      </w:r>
    </w:p>
    <w:p>
      <w:pPr>
        <w:spacing w:line="576" w:lineRule="exact"/>
        <w:ind w:firstLine="560"/>
        <w:rPr>
          <w:rFonts w:ascii="宋体" w:hAnsi="宋体" w:cs="宋体"/>
          <w:bCs/>
          <w:szCs w:val="28"/>
          <w:lang w:bidi="ar"/>
        </w:rPr>
      </w:pPr>
      <w:r>
        <w:rPr>
          <w:rFonts w:hint="eastAsia" w:ascii="宋体" w:hAnsi="宋体" w:cs="宋体"/>
          <w:bCs/>
          <w:szCs w:val="28"/>
          <w:lang w:bidi="ar"/>
        </w:rPr>
        <w:t>2.2驾乘室</w:t>
      </w:r>
    </w:p>
    <w:p>
      <w:pPr>
        <w:spacing w:line="576" w:lineRule="exact"/>
        <w:ind w:firstLine="560"/>
        <w:rPr>
          <w:rFonts w:ascii="宋体" w:hAnsi="宋体" w:cs="宋体"/>
          <w:bCs/>
          <w:szCs w:val="28"/>
          <w:lang w:bidi="ar"/>
        </w:rPr>
      </w:pPr>
      <w:r>
        <w:rPr>
          <w:rFonts w:hint="eastAsia" w:ascii="宋体" w:hAnsi="宋体" w:cs="宋体"/>
          <w:bCs/>
          <w:szCs w:val="28"/>
          <w:lang w:bidi="ar"/>
        </w:rPr>
        <w:t>2.2.1底盘厂原装标准驾乘室，驾驶室可电动翻转，带线控功能，密闭良好，</w:t>
      </w:r>
      <w:r>
        <w:rPr>
          <w:rFonts w:hint="eastAsia" w:ascii="宋体" w:hAnsi="宋体" w:cs="宋体"/>
          <w:bCs/>
          <w:szCs w:val="28"/>
        </w:rPr>
        <w:t>座椅全部安装三点式安全带，</w:t>
      </w:r>
      <w:r>
        <w:rPr>
          <w:rFonts w:hint="eastAsia" w:ascii="宋体" w:hAnsi="宋体" w:cs="宋体"/>
          <w:bCs/>
          <w:szCs w:val="28"/>
          <w:lang w:bidi="ar"/>
        </w:rPr>
        <w:t>车内应设置照明设施；</w:t>
      </w:r>
    </w:p>
    <w:p>
      <w:pPr>
        <w:spacing w:line="576" w:lineRule="exact"/>
        <w:ind w:firstLine="560"/>
        <w:rPr>
          <w:rFonts w:ascii="宋体" w:hAnsi="宋体" w:cs="宋体"/>
          <w:bCs/>
          <w:szCs w:val="28"/>
          <w:lang w:bidi="ar"/>
        </w:rPr>
      </w:pPr>
      <w:r>
        <w:rPr>
          <w:rFonts w:hint="eastAsia" w:ascii="宋体" w:hAnsi="宋体" w:cs="宋体"/>
          <w:bCs/>
          <w:szCs w:val="28"/>
          <w:lang w:bidi="ar"/>
        </w:rPr>
        <w:t>2.2.2设置行进途中器材箱门开启、车门开启声光报警装置；</w:t>
      </w:r>
    </w:p>
    <w:p>
      <w:pPr>
        <w:spacing w:line="576" w:lineRule="exact"/>
        <w:ind w:firstLine="560"/>
        <w:rPr>
          <w:rFonts w:ascii="宋体" w:hAnsi="宋体" w:cs="宋体"/>
          <w:bCs/>
          <w:szCs w:val="28"/>
          <w:lang w:bidi="ar"/>
        </w:rPr>
      </w:pPr>
      <w:r>
        <w:rPr>
          <w:rFonts w:hint="eastAsia" w:ascii="宋体" w:hAnsi="宋体" w:cs="宋体"/>
          <w:bCs/>
          <w:szCs w:val="28"/>
          <w:lang w:bidi="ar"/>
        </w:rPr>
        <w:t>2.2.3车内设置冷暖空调，收音机带USB接口；</w:t>
      </w:r>
    </w:p>
    <w:p>
      <w:pPr>
        <w:spacing w:line="576" w:lineRule="exact"/>
        <w:ind w:firstLine="560"/>
        <w:rPr>
          <w:rFonts w:ascii="宋体" w:hAnsi="宋体" w:cs="宋体"/>
          <w:bCs/>
          <w:szCs w:val="28"/>
          <w:lang w:bidi="ar"/>
        </w:rPr>
      </w:pPr>
      <w:r>
        <w:rPr>
          <w:rFonts w:hint="eastAsia" w:ascii="宋体" w:hAnsi="宋体" w:cs="宋体"/>
          <w:bCs/>
          <w:szCs w:val="28"/>
          <w:lang w:bidi="ar"/>
        </w:rPr>
        <w:t>▲2.2.4配备360°行车记录仪（内存≥128G）、倒车雷达、胎压监测系统、警灯警报控制器，预留220V逆变电源插口2个，USB插口4个，配备370MHz数字车载台（支持PDT数字集群并需接入山西省370MHz无线通信核心网）；</w:t>
      </w:r>
    </w:p>
    <w:p>
      <w:pPr>
        <w:spacing w:line="576" w:lineRule="exact"/>
        <w:ind w:firstLine="560"/>
        <w:rPr>
          <w:rFonts w:ascii="宋体" w:hAnsi="宋体" w:cs="宋体"/>
          <w:bCs/>
          <w:szCs w:val="28"/>
          <w:lang w:bidi="ar"/>
        </w:rPr>
      </w:pPr>
      <w:r>
        <w:rPr>
          <w:rFonts w:hint="eastAsia" w:ascii="宋体" w:hAnsi="宋体" w:cs="宋体"/>
          <w:bCs/>
          <w:szCs w:val="28"/>
          <w:lang w:bidi="ar"/>
        </w:rPr>
        <w:t>2.2.5驾驶室车门应采用电动升降玻璃；</w:t>
      </w:r>
    </w:p>
    <w:p>
      <w:pPr>
        <w:spacing w:line="576" w:lineRule="exact"/>
        <w:ind w:firstLine="560"/>
        <w:rPr>
          <w:rFonts w:ascii="宋体" w:hAnsi="宋体" w:cs="宋体"/>
          <w:bCs/>
          <w:szCs w:val="28"/>
          <w:lang w:bidi="ar"/>
        </w:rPr>
      </w:pPr>
      <w:r>
        <w:rPr>
          <w:rFonts w:hint="eastAsia" w:ascii="宋体" w:hAnsi="宋体" w:cs="宋体"/>
          <w:bCs/>
          <w:szCs w:val="28"/>
          <w:lang w:bidi="ar"/>
        </w:rPr>
        <w:t>2.2.6驾驶室踏板要求：驾驶室的上下车踏板间距≤270mm，除驾驶员侧外，深度≥100mm，踏板间应有水平照度≥5Lx的照明灯，踏板脚踏面应有防滑措施，与地面最近一级的离地距离≤500mm；</w:t>
      </w:r>
    </w:p>
    <w:p>
      <w:pPr>
        <w:spacing w:line="576" w:lineRule="exact"/>
        <w:ind w:firstLine="560"/>
        <w:rPr>
          <w:rFonts w:ascii="宋体" w:hAnsi="宋体" w:cs="宋体"/>
          <w:bCs/>
          <w:szCs w:val="28"/>
          <w:lang w:bidi="ar"/>
        </w:rPr>
      </w:pPr>
      <w:r>
        <w:rPr>
          <w:rFonts w:hint="eastAsia" w:ascii="宋体" w:hAnsi="宋体" w:cs="宋体"/>
          <w:bCs/>
          <w:szCs w:val="28"/>
          <w:lang w:bidi="ar"/>
        </w:rPr>
        <w:t>2.2.7</w:t>
      </w:r>
      <w:r>
        <w:rPr>
          <w:rFonts w:hint="eastAsia" w:ascii="宋体" w:hAnsi="宋体" w:cs="宋体"/>
          <w:szCs w:val="28"/>
        </w:rPr>
        <w:t>驾驶室后视镜安装要求：两侧电加热后视镜，电动可调节、两侧广角加热后视镜，副驾驶侧门配盲区照地镜和驾驶室前盲区镜并符合</w:t>
      </w:r>
      <w:r>
        <w:rPr>
          <w:rFonts w:hint="eastAsia" w:ascii="宋体" w:hAnsi="宋体" w:cs="宋体"/>
          <w:szCs w:val="28"/>
          <w:lang w:val="en-US" w:eastAsia="zh-CN"/>
        </w:rPr>
        <w:t>GB 15084-2022（20230701）《机动车辆间接视野装置性能和安装要求》</w:t>
      </w:r>
      <w:r>
        <w:rPr>
          <w:rFonts w:hint="eastAsia" w:ascii="宋体" w:hAnsi="宋体" w:cs="宋体"/>
          <w:szCs w:val="28"/>
        </w:rPr>
        <w:t>。</w:t>
      </w:r>
    </w:p>
    <w:p>
      <w:pPr>
        <w:spacing w:line="576" w:lineRule="exact"/>
        <w:ind w:firstLine="560"/>
        <w:rPr>
          <w:rFonts w:ascii="宋体" w:hAnsi="宋体" w:cs="宋体"/>
          <w:bCs/>
          <w:szCs w:val="28"/>
          <w:lang w:bidi="ar"/>
        </w:rPr>
      </w:pPr>
      <w:r>
        <w:rPr>
          <w:rFonts w:hint="eastAsia" w:ascii="宋体" w:hAnsi="宋体" w:cs="宋体"/>
          <w:bCs/>
          <w:szCs w:val="28"/>
          <w:lang w:bidi="ar"/>
        </w:rPr>
        <w:t>2.3取力器：底盘原装取力器，</w:t>
      </w:r>
      <w:r>
        <w:rPr>
          <w:rFonts w:hint="eastAsia" w:ascii="宋体" w:hAnsi="宋体" w:cs="宋体"/>
          <w:bCs/>
          <w:szCs w:val="28"/>
          <w:highlight w:val="none"/>
          <w:lang w:bidi="ar"/>
        </w:rPr>
        <w:t>配强制冷却器，</w:t>
      </w:r>
      <w:r>
        <w:rPr>
          <w:rFonts w:hint="eastAsia" w:ascii="宋体" w:hAnsi="宋体" w:cs="宋体"/>
          <w:bCs/>
          <w:szCs w:val="28"/>
          <w:lang w:bidi="ar"/>
        </w:rPr>
        <w:t>驾驶室内设置取力器开关和工作指示灯。</w:t>
      </w:r>
    </w:p>
    <w:p>
      <w:pPr>
        <w:spacing w:line="576" w:lineRule="exact"/>
        <w:ind w:firstLine="560"/>
        <w:rPr>
          <w:rFonts w:ascii="宋体" w:hAnsi="宋体" w:cs="宋体"/>
          <w:bCs/>
          <w:szCs w:val="28"/>
          <w:lang w:bidi="ar"/>
        </w:rPr>
      </w:pPr>
      <w:r>
        <w:rPr>
          <w:rFonts w:hint="eastAsia" w:ascii="宋体" w:hAnsi="宋体" w:cs="宋体"/>
          <w:bCs/>
          <w:szCs w:val="28"/>
          <w:lang w:bidi="ar"/>
        </w:rPr>
        <w:t>▲2.4轮胎：使用子午线真空钢丝胎（包括1个同规格、同型号、同品牌备胎）。</w:t>
      </w:r>
    </w:p>
    <w:p>
      <w:pPr>
        <w:spacing w:line="576" w:lineRule="exact"/>
        <w:ind w:firstLine="560"/>
        <w:rPr>
          <w:rFonts w:ascii="宋体" w:hAnsi="宋体" w:cs="宋体"/>
          <w:bCs/>
          <w:szCs w:val="28"/>
          <w:lang w:bidi="ar"/>
        </w:rPr>
      </w:pPr>
      <w:r>
        <w:rPr>
          <w:rFonts w:hint="eastAsia" w:ascii="宋体" w:hAnsi="宋体" w:cs="宋体"/>
          <w:bCs/>
          <w:szCs w:val="28"/>
          <w:lang w:bidi="ar"/>
        </w:rPr>
        <w:t>2.5制动系统</w:t>
      </w:r>
    </w:p>
    <w:p>
      <w:pPr>
        <w:spacing w:line="576" w:lineRule="exact"/>
        <w:ind w:firstLine="560"/>
        <w:rPr>
          <w:rFonts w:ascii="宋体" w:hAnsi="宋体" w:cs="宋体"/>
          <w:bCs/>
          <w:szCs w:val="28"/>
          <w:lang w:bidi="ar"/>
        </w:rPr>
      </w:pPr>
      <w:r>
        <w:rPr>
          <w:rFonts w:hint="eastAsia" w:ascii="宋体" w:hAnsi="宋体" w:cs="宋体"/>
          <w:bCs/>
          <w:szCs w:val="28"/>
          <w:lang w:bidi="ar"/>
        </w:rPr>
        <w:t>▲2.5.1前轮盘式制动器、安装ABS防抱死刹车系统或EBS(电控制动系统），发动机缸内制动或装配液力缓速器；</w:t>
      </w:r>
    </w:p>
    <w:p>
      <w:pPr>
        <w:spacing w:line="576" w:lineRule="exact"/>
        <w:ind w:firstLine="560"/>
        <w:rPr>
          <w:rFonts w:ascii="宋体" w:hAnsi="宋体" w:cs="宋体"/>
          <w:bCs/>
          <w:szCs w:val="28"/>
          <w:lang w:bidi="ar"/>
        </w:rPr>
      </w:pPr>
      <w:r>
        <w:rPr>
          <w:rFonts w:hint="eastAsia" w:ascii="宋体" w:hAnsi="宋体" w:cs="宋体"/>
          <w:bCs/>
          <w:szCs w:val="28"/>
          <w:lang w:bidi="ar"/>
        </w:rPr>
        <w:t>2.6油箱：容积≥200L，金属材质，加装滤网，油箱盖带锁，并具备防冻解冻功能，适合在严寒条件下正常使用。</w:t>
      </w:r>
    </w:p>
    <w:p>
      <w:pPr>
        <w:spacing w:line="576" w:lineRule="exact"/>
        <w:ind w:firstLine="560"/>
        <w:rPr>
          <w:rFonts w:ascii="宋体" w:hAnsi="宋体" w:cs="宋体"/>
          <w:bCs/>
          <w:szCs w:val="28"/>
          <w:lang w:bidi="ar"/>
        </w:rPr>
      </w:pPr>
      <w:r>
        <w:rPr>
          <w:rFonts w:hint="eastAsia" w:ascii="宋体" w:hAnsi="宋体" w:cs="宋体"/>
          <w:bCs/>
          <w:szCs w:val="28"/>
          <w:lang w:bidi="ar"/>
        </w:rPr>
        <w:t>3.上装</w:t>
      </w:r>
    </w:p>
    <w:p>
      <w:pPr>
        <w:spacing w:line="576" w:lineRule="exact"/>
        <w:ind w:firstLine="560"/>
        <w:rPr>
          <w:rFonts w:ascii="宋体" w:hAnsi="宋体" w:cs="宋体"/>
          <w:bCs/>
          <w:szCs w:val="28"/>
          <w:lang w:bidi="ar"/>
        </w:rPr>
      </w:pPr>
      <w:r>
        <w:rPr>
          <w:rFonts w:hint="eastAsia" w:ascii="宋体" w:hAnsi="宋体" w:cs="宋体"/>
          <w:bCs/>
          <w:szCs w:val="28"/>
          <w:lang w:bidi="ar"/>
        </w:rPr>
        <w:t>3.1总体要求</w:t>
      </w:r>
    </w:p>
    <w:p>
      <w:pPr>
        <w:spacing w:line="576" w:lineRule="exact"/>
        <w:ind w:firstLine="560"/>
        <w:rPr>
          <w:rFonts w:ascii="宋体" w:hAnsi="宋体" w:cs="宋体"/>
          <w:bCs/>
          <w:szCs w:val="28"/>
          <w:lang w:bidi="ar"/>
        </w:rPr>
      </w:pPr>
      <w:r>
        <w:rPr>
          <w:rFonts w:hint="eastAsia" w:ascii="宋体" w:hAnsi="宋体" w:cs="宋体"/>
          <w:bCs/>
          <w:szCs w:val="28"/>
          <w:lang w:bidi="ar"/>
        </w:rPr>
        <w:t>3.1.1车顶要做防滑处理，左右侧应设有雨槽用于雨水的疏流；车顶设有护栏；</w:t>
      </w:r>
    </w:p>
    <w:p>
      <w:pPr>
        <w:spacing w:line="576" w:lineRule="exact"/>
        <w:ind w:firstLine="560"/>
        <w:rPr>
          <w:rFonts w:ascii="宋体" w:hAnsi="宋体" w:cs="宋体"/>
          <w:bCs/>
          <w:szCs w:val="28"/>
          <w:lang w:bidi="ar"/>
        </w:rPr>
      </w:pPr>
      <w:r>
        <w:rPr>
          <w:rFonts w:hint="eastAsia" w:ascii="宋体" w:hAnsi="宋体" w:cs="宋体"/>
          <w:bCs/>
          <w:szCs w:val="28"/>
          <w:lang w:bidi="ar"/>
        </w:rPr>
        <w:t>3.1.2爬梯梯级应有防滑设计，顶部装有扶手。</w:t>
      </w:r>
    </w:p>
    <w:p>
      <w:pPr>
        <w:spacing w:line="576" w:lineRule="exact"/>
        <w:ind w:firstLine="560"/>
        <w:rPr>
          <w:rFonts w:ascii="宋体" w:hAnsi="宋体" w:cs="宋体"/>
          <w:bCs/>
          <w:szCs w:val="28"/>
          <w:lang w:bidi="ar"/>
        </w:rPr>
      </w:pPr>
      <w:r>
        <w:rPr>
          <w:rFonts w:hint="eastAsia" w:ascii="宋体" w:hAnsi="宋体" w:cs="宋体"/>
          <w:bCs/>
          <w:szCs w:val="28"/>
          <w:lang w:bidi="ar"/>
        </w:rPr>
        <w:t>3.2罐体</w:t>
      </w:r>
    </w:p>
    <w:p>
      <w:pPr>
        <w:spacing w:line="576" w:lineRule="exact"/>
        <w:ind w:firstLine="560"/>
        <w:rPr>
          <w:rFonts w:ascii="宋体" w:hAnsi="宋体" w:cs="宋体"/>
          <w:bCs/>
          <w:szCs w:val="28"/>
          <w:lang w:bidi="ar"/>
        </w:rPr>
      </w:pPr>
      <w:r>
        <w:rPr>
          <w:rFonts w:hint="eastAsia" w:ascii="宋体" w:hAnsi="宋体" w:cs="宋体"/>
          <w:bCs/>
          <w:szCs w:val="28"/>
          <w:lang w:bidi="ar"/>
        </w:rPr>
        <w:t>3.2.1罐体载液量：根据用户需求进行分配；</w:t>
      </w:r>
    </w:p>
    <w:p>
      <w:pPr>
        <w:spacing w:line="576" w:lineRule="exact"/>
        <w:ind w:firstLine="560"/>
        <w:rPr>
          <w:rFonts w:ascii="宋体" w:hAnsi="宋体" w:cs="宋体"/>
          <w:bCs/>
          <w:szCs w:val="28"/>
          <w:lang w:bidi="ar"/>
        </w:rPr>
      </w:pPr>
      <w:r>
        <w:rPr>
          <w:rFonts w:hint="eastAsia" w:ascii="宋体" w:hAnsi="宋体" w:cs="宋体"/>
          <w:bCs/>
          <w:szCs w:val="28"/>
          <w:lang w:bidi="ar"/>
        </w:rPr>
        <w:t>▲3.2.2材质：罐体采用316不锈钢（做防腐处理）或其他耐腐蚀复合材质，顶板厚≥3mm，侧板厚≥4mm，底板厚≥5mm；</w:t>
      </w:r>
    </w:p>
    <w:p>
      <w:pPr>
        <w:spacing w:line="576" w:lineRule="exact"/>
        <w:ind w:firstLine="560"/>
        <w:rPr>
          <w:rFonts w:ascii="宋体" w:hAnsi="宋体" w:cs="宋体"/>
          <w:bCs/>
          <w:szCs w:val="28"/>
          <w:lang w:bidi="ar"/>
        </w:rPr>
      </w:pPr>
      <w:r>
        <w:rPr>
          <w:rFonts w:hint="eastAsia" w:ascii="宋体" w:hAnsi="宋体" w:cs="宋体"/>
          <w:bCs/>
          <w:szCs w:val="28"/>
          <w:lang w:bidi="ar"/>
        </w:rPr>
        <w:t>3.2.3防荡板：液罐带纵横防荡板；</w:t>
      </w:r>
    </w:p>
    <w:p>
      <w:pPr>
        <w:spacing w:line="576" w:lineRule="exact"/>
        <w:ind w:firstLine="560"/>
        <w:rPr>
          <w:rFonts w:ascii="宋体" w:hAnsi="宋体" w:cs="宋体"/>
          <w:bCs/>
          <w:szCs w:val="28"/>
          <w:lang w:bidi="ar"/>
        </w:rPr>
      </w:pPr>
      <w:r>
        <w:rPr>
          <w:rFonts w:hint="eastAsia" w:ascii="宋体" w:hAnsi="宋体" w:cs="宋体"/>
          <w:bCs/>
          <w:szCs w:val="28"/>
          <w:lang w:bidi="ar"/>
        </w:rPr>
        <w:t>3.2.4人孔及人孔盖：罐顶设有人孔口，人孔直径≥φ450mm±10mm；</w:t>
      </w:r>
    </w:p>
    <w:p>
      <w:pPr>
        <w:spacing w:line="576" w:lineRule="exact"/>
        <w:ind w:firstLine="560"/>
        <w:rPr>
          <w:rFonts w:ascii="宋体" w:hAnsi="宋体" w:cs="宋体"/>
          <w:bCs/>
          <w:szCs w:val="28"/>
          <w:lang w:bidi="ar"/>
        </w:rPr>
      </w:pPr>
      <w:r>
        <w:rPr>
          <w:rFonts w:hint="eastAsia" w:ascii="宋体" w:hAnsi="宋体" w:cs="宋体"/>
          <w:bCs/>
          <w:szCs w:val="28"/>
          <w:lang w:bidi="ar"/>
        </w:rPr>
        <w:t>3.2.5排污口：泡沫罐底部设置排污口，配有手动球阀，排出的淤物不接触车身或底盘零部件；</w:t>
      </w:r>
    </w:p>
    <w:p>
      <w:pPr>
        <w:spacing w:line="576" w:lineRule="exact"/>
        <w:ind w:firstLine="560"/>
        <w:rPr>
          <w:rFonts w:ascii="宋体" w:hAnsi="宋体" w:cs="宋体"/>
          <w:bCs/>
          <w:szCs w:val="28"/>
          <w:lang w:bidi="ar"/>
        </w:rPr>
      </w:pPr>
      <w:r>
        <w:rPr>
          <w:rFonts w:hint="eastAsia" w:ascii="宋体" w:hAnsi="宋体" w:cs="宋体"/>
          <w:bCs/>
          <w:szCs w:val="28"/>
          <w:lang w:bidi="ar"/>
        </w:rPr>
        <w:t>3.2.6溢流装置：泡沫罐设有溢流管，并带溢流管帽，满足罐体溢流及通气要求。</w:t>
      </w:r>
    </w:p>
    <w:p>
      <w:pPr>
        <w:spacing w:line="576" w:lineRule="exact"/>
        <w:ind w:firstLine="560"/>
        <w:rPr>
          <w:rFonts w:ascii="宋体" w:hAnsi="宋体" w:cs="宋体"/>
          <w:bCs/>
          <w:szCs w:val="28"/>
          <w:lang w:bidi="ar"/>
        </w:rPr>
      </w:pPr>
      <w:r>
        <w:rPr>
          <w:rFonts w:hint="eastAsia" w:ascii="宋体" w:hAnsi="宋体" w:cs="宋体"/>
          <w:bCs/>
          <w:szCs w:val="28"/>
          <w:lang w:bidi="ar"/>
        </w:rPr>
        <w:t>3.3泡沫泵</w:t>
      </w:r>
    </w:p>
    <w:p>
      <w:pPr>
        <w:spacing w:line="576" w:lineRule="exact"/>
        <w:ind w:firstLine="560"/>
        <w:rPr>
          <w:rFonts w:ascii="宋体" w:hAnsi="宋体" w:cs="宋体"/>
          <w:bCs/>
          <w:szCs w:val="28"/>
          <w:lang w:bidi="ar"/>
        </w:rPr>
      </w:pPr>
      <w:r>
        <w:rPr>
          <w:rFonts w:hint="eastAsia" w:ascii="宋体" w:hAnsi="宋体" w:cs="宋体"/>
          <w:bCs/>
          <w:szCs w:val="28"/>
          <w:lang w:bidi="ar"/>
        </w:rPr>
        <w:t>▲3.3.1泡沫泵：选用进口泡沫泵</w:t>
      </w:r>
    </w:p>
    <w:p>
      <w:pPr>
        <w:spacing w:line="576" w:lineRule="exact"/>
        <w:ind w:firstLine="560"/>
        <w:rPr>
          <w:rFonts w:ascii="宋体" w:hAnsi="宋体" w:cs="宋体"/>
          <w:bCs/>
          <w:szCs w:val="28"/>
          <w:lang w:bidi="ar"/>
        </w:rPr>
      </w:pPr>
      <w:r>
        <w:rPr>
          <w:rFonts w:hint="eastAsia" w:ascii="宋体" w:hAnsi="宋体" w:cs="宋体"/>
          <w:bCs/>
          <w:szCs w:val="28"/>
          <w:lang w:bidi="ar"/>
        </w:rPr>
        <w:t>▲3.3.2泡沫泵系统：配备2套独立的泡沫泵系统；</w:t>
      </w:r>
    </w:p>
    <w:p>
      <w:pPr>
        <w:spacing w:line="576" w:lineRule="exact"/>
        <w:ind w:firstLine="560"/>
        <w:rPr>
          <w:rFonts w:ascii="宋体" w:hAnsi="宋体" w:cs="宋体"/>
          <w:bCs/>
          <w:szCs w:val="28"/>
          <w:lang w:bidi="ar"/>
        </w:rPr>
      </w:pPr>
      <w:r>
        <w:rPr>
          <w:rFonts w:hint="eastAsia" w:ascii="宋体" w:hAnsi="宋体" w:cs="宋体"/>
          <w:bCs/>
          <w:szCs w:val="28"/>
          <w:lang w:bidi="ar"/>
        </w:rPr>
        <w:t>▲3.3.3额定流量：单套泡沫泵系统流量≥30L/S；</w:t>
      </w:r>
    </w:p>
    <w:p>
      <w:pPr>
        <w:spacing w:line="576" w:lineRule="exact"/>
        <w:ind w:firstLine="560"/>
        <w:rPr>
          <w:rFonts w:ascii="宋体" w:hAnsi="宋体" w:cs="宋体"/>
          <w:bCs/>
          <w:szCs w:val="28"/>
          <w:lang w:bidi="ar"/>
        </w:rPr>
      </w:pPr>
      <w:r>
        <w:rPr>
          <w:rFonts w:hint="eastAsia" w:ascii="宋体" w:hAnsi="宋体" w:cs="宋体"/>
          <w:bCs/>
          <w:szCs w:val="28"/>
          <w:lang w:bidi="ar"/>
        </w:rPr>
        <w:t>3.3.4功能：可实现单吸、单供、一吸一供、同时外吸或同时外供泡沫液等工况。</w:t>
      </w:r>
    </w:p>
    <w:p>
      <w:pPr>
        <w:spacing w:line="576" w:lineRule="exact"/>
        <w:ind w:firstLine="560"/>
        <w:rPr>
          <w:rFonts w:ascii="宋体" w:hAnsi="宋体" w:cs="宋体"/>
          <w:bCs/>
          <w:szCs w:val="28"/>
          <w:lang w:bidi="ar"/>
        </w:rPr>
      </w:pPr>
      <w:r>
        <w:rPr>
          <w:rFonts w:hint="eastAsia" w:ascii="宋体" w:hAnsi="宋体" w:cs="宋体"/>
          <w:bCs/>
          <w:szCs w:val="28"/>
          <w:lang w:bidi="ar"/>
        </w:rPr>
        <w:t>3.4吸液臂</w:t>
      </w:r>
    </w:p>
    <w:p>
      <w:pPr>
        <w:spacing w:line="576" w:lineRule="exact"/>
        <w:ind w:firstLine="560"/>
        <w:rPr>
          <w:rFonts w:ascii="宋体" w:hAnsi="宋体" w:cs="宋体"/>
          <w:bCs/>
          <w:szCs w:val="28"/>
          <w:lang w:bidi="ar"/>
        </w:rPr>
      </w:pPr>
      <w:r>
        <w:rPr>
          <w:rFonts w:hint="eastAsia" w:ascii="宋体" w:hAnsi="宋体" w:cs="宋体"/>
          <w:bCs/>
          <w:szCs w:val="28"/>
          <w:lang w:bidi="ar"/>
        </w:rPr>
        <w:t>3.4.1安装形式：吸液臂安装在车辆顶部；</w:t>
      </w:r>
    </w:p>
    <w:p>
      <w:pPr>
        <w:spacing w:line="576" w:lineRule="exact"/>
        <w:ind w:firstLine="560"/>
        <w:rPr>
          <w:rFonts w:ascii="宋体" w:hAnsi="宋体" w:cs="宋体"/>
          <w:bCs/>
          <w:szCs w:val="28"/>
          <w:lang w:bidi="ar"/>
        </w:rPr>
      </w:pPr>
      <w:r>
        <w:rPr>
          <w:rFonts w:hint="eastAsia" w:ascii="宋体" w:hAnsi="宋体" w:cs="宋体"/>
          <w:bCs/>
          <w:szCs w:val="28"/>
          <w:lang w:bidi="ar"/>
        </w:rPr>
        <w:t>3.4.2驱动形式：液压驱动；</w:t>
      </w:r>
    </w:p>
    <w:p>
      <w:pPr>
        <w:spacing w:line="576" w:lineRule="exact"/>
        <w:ind w:firstLine="560"/>
        <w:rPr>
          <w:rFonts w:ascii="宋体" w:hAnsi="宋体" w:cs="宋体"/>
          <w:bCs/>
          <w:szCs w:val="28"/>
          <w:lang w:bidi="ar"/>
        </w:rPr>
      </w:pPr>
      <w:r>
        <w:rPr>
          <w:rFonts w:hint="eastAsia" w:ascii="宋体" w:hAnsi="宋体" w:cs="宋体"/>
          <w:bCs/>
          <w:szCs w:val="28"/>
          <w:lang w:bidi="ar"/>
        </w:rPr>
        <w:t>3.4.3控制方式：无线与有线遥控控制；</w:t>
      </w:r>
    </w:p>
    <w:p>
      <w:pPr>
        <w:spacing w:line="576" w:lineRule="exact"/>
        <w:ind w:firstLine="560"/>
        <w:rPr>
          <w:rFonts w:ascii="宋体" w:hAnsi="宋体" w:cs="宋体"/>
          <w:bCs/>
          <w:szCs w:val="28"/>
          <w:lang w:bidi="ar"/>
        </w:rPr>
      </w:pPr>
      <w:r>
        <w:rPr>
          <w:rFonts w:hint="eastAsia" w:ascii="宋体" w:hAnsi="宋体" w:cs="宋体"/>
          <w:bCs/>
          <w:szCs w:val="28"/>
          <w:lang w:bidi="ar"/>
        </w:rPr>
        <w:t>3.4.4吸液臂水平旋转角度：≥180°，最大仰角：≥15°；</w:t>
      </w:r>
    </w:p>
    <w:p>
      <w:pPr>
        <w:spacing w:line="576" w:lineRule="exact"/>
        <w:ind w:firstLine="560"/>
        <w:rPr>
          <w:rFonts w:ascii="宋体" w:hAnsi="宋体" w:cs="宋体"/>
          <w:bCs/>
          <w:szCs w:val="28"/>
          <w:lang w:bidi="ar"/>
        </w:rPr>
      </w:pPr>
      <w:r>
        <w:rPr>
          <w:rFonts w:hint="eastAsia" w:ascii="宋体" w:hAnsi="宋体" w:cs="宋体"/>
          <w:bCs/>
          <w:szCs w:val="28"/>
          <w:lang w:bidi="ar"/>
        </w:rPr>
        <w:t>3.4.5吸液臂长度：可伸缩，缩回长度≤8m，伸展后长度≥10m；</w:t>
      </w:r>
    </w:p>
    <w:p>
      <w:pPr>
        <w:spacing w:line="576" w:lineRule="exact"/>
        <w:ind w:firstLine="560"/>
        <w:rPr>
          <w:rFonts w:ascii="宋体" w:hAnsi="宋体" w:cs="宋体"/>
          <w:bCs/>
          <w:szCs w:val="28"/>
          <w:lang w:bidi="ar"/>
        </w:rPr>
      </w:pPr>
      <w:r>
        <w:rPr>
          <w:rFonts w:hint="eastAsia" w:ascii="宋体" w:hAnsi="宋体" w:cs="宋体"/>
          <w:bCs/>
          <w:szCs w:val="28"/>
          <w:lang w:bidi="ar"/>
        </w:rPr>
        <w:t>3.4.6吸液臂顶端加装LED工作照明灯，照明范围能够满足吸液现场的夜间照明；</w:t>
      </w:r>
    </w:p>
    <w:p>
      <w:pPr>
        <w:spacing w:line="576" w:lineRule="exact"/>
        <w:ind w:firstLine="560"/>
        <w:rPr>
          <w:rFonts w:ascii="宋体" w:hAnsi="宋体" w:cs="宋体"/>
          <w:szCs w:val="28"/>
        </w:rPr>
      </w:pPr>
      <w:r>
        <w:rPr>
          <w:rFonts w:hint="eastAsia" w:ascii="宋体" w:hAnsi="宋体" w:cs="宋体"/>
          <w:bCs/>
          <w:szCs w:val="28"/>
          <w:lang w:bidi="ar"/>
        </w:rPr>
        <w:t>3.4.7配备与吸液臂臂口径适配的吸液软管若干及与泡沫液桶适配的转换头若干。</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5</w:t>
      </w:r>
      <w:r>
        <w:rPr>
          <w:rFonts w:hint="eastAsia" w:ascii="宋体" w:hAnsi="宋体" w:cs="宋体"/>
          <w:bCs/>
          <w:szCs w:val="28"/>
          <w:lang w:bidi="ar"/>
        </w:rPr>
        <w:t>管路设置</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5</w:t>
      </w:r>
      <w:r>
        <w:rPr>
          <w:rFonts w:hint="eastAsia" w:ascii="宋体" w:hAnsi="宋体" w:cs="宋体"/>
          <w:bCs/>
          <w:szCs w:val="28"/>
          <w:lang w:bidi="ar"/>
        </w:rPr>
        <w:t>.1管路材质：所有管路及泵接头均采用防腐蚀性材料；</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5</w:t>
      </w:r>
      <w:r>
        <w:rPr>
          <w:rFonts w:hint="eastAsia" w:ascii="宋体" w:hAnsi="宋体" w:cs="宋体"/>
          <w:bCs/>
          <w:szCs w:val="28"/>
          <w:lang w:bidi="ar"/>
        </w:rPr>
        <w:t>.2吸液管路：2个DN100/DN125内扣式接口，配有阀门、滤网及闷盖；</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5</w:t>
      </w:r>
      <w:r>
        <w:rPr>
          <w:rFonts w:hint="eastAsia" w:ascii="宋体" w:hAnsi="宋体" w:cs="宋体"/>
          <w:bCs/>
          <w:szCs w:val="28"/>
          <w:lang w:bidi="ar"/>
        </w:rPr>
        <w:t>.3出液管路：≥2个DN65、≥2个DN80内扣式接口，配有阀门及闷盖；</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5</w:t>
      </w:r>
      <w:r>
        <w:rPr>
          <w:rFonts w:hint="eastAsia" w:ascii="宋体" w:hAnsi="宋体" w:cs="宋体"/>
          <w:bCs/>
          <w:szCs w:val="28"/>
          <w:lang w:bidi="ar"/>
        </w:rPr>
        <w:t>.4外注液管路：2个DN80内扣式接口，配有阀门及闷盖；</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6</w:t>
      </w:r>
      <w:r>
        <w:rPr>
          <w:rFonts w:hint="eastAsia" w:ascii="宋体" w:hAnsi="宋体" w:cs="宋体"/>
          <w:bCs/>
          <w:szCs w:val="28"/>
          <w:lang w:bidi="ar"/>
        </w:rPr>
        <w:t>翻板踏脚</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6</w:t>
      </w:r>
      <w:r>
        <w:rPr>
          <w:rFonts w:hint="eastAsia" w:ascii="宋体" w:hAnsi="宋体" w:cs="宋体"/>
          <w:bCs/>
          <w:szCs w:val="28"/>
          <w:lang w:bidi="ar"/>
        </w:rPr>
        <w:t>.1车身左右设翻转踏板，通过气动或液压弹簧助力；可承受≥150kg的重量；</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6</w:t>
      </w:r>
      <w:r>
        <w:rPr>
          <w:rFonts w:hint="eastAsia" w:ascii="宋体" w:hAnsi="宋体" w:cs="宋体"/>
          <w:bCs/>
          <w:szCs w:val="28"/>
          <w:lang w:bidi="ar"/>
        </w:rPr>
        <w:t>.2踏板具有防滑设计；</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6</w:t>
      </w:r>
      <w:r>
        <w:rPr>
          <w:rFonts w:hint="eastAsia" w:ascii="宋体" w:hAnsi="宋体" w:cs="宋体"/>
          <w:bCs/>
          <w:szCs w:val="28"/>
          <w:lang w:bidi="ar"/>
        </w:rPr>
        <w:t>.3翻转踏板设有警示灯，放下时自动点亮；</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6</w:t>
      </w:r>
      <w:r>
        <w:rPr>
          <w:rFonts w:hint="eastAsia" w:ascii="宋体" w:hAnsi="宋体" w:cs="宋体"/>
          <w:bCs/>
          <w:szCs w:val="28"/>
          <w:lang w:bidi="ar"/>
        </w:rPr>
        <w:t>.4踏板应设有锁止装置防止踏板受震动后自行翻转。</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电气及警示系统</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.1车顶前部配置红色LED警灯，驾驶室内安装警报器控制盒；</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.2车厢顶后部配置有全方位电控照明灯，2个红色爆闪灯；</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.3每个器材箱门两侧均安装有条形LED照明灯带；</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.4车厢两侧上部各配置2只独立控制爆闪灯,2只独立控制LED照明灯，车顶内侧设置LED照明灯带便于夜间车顶照明；</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.5车厢内LED照明灯，随卷帘门启闭自动开关，无死角，满足夜间照明需求；</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.6上装和消防系统的所有保险丝和继电器安装在一个保险盒中；</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.7所有说明牌和标牌都具有持久性和高附着性，受一般外力情况下不脱落或字迹模糊；</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7</w:t>
      </w:r>
      <w:r>
        <w:rPr>
          <w:rFonts w:hint="eastAsia" w:ascii="宋体" w:hAnsi="宋体" w:cs="宋体"/>
          <w:bCs/>
          <w:szCs w:val="28"/>
          <w:lang w:bidi="ar"/>
        </w:rPr>
        <w:t>.8自动充电充气系统：可对车辆蓄电池进行智能充电（额定电压≥DC24V，充电电流≥20A），气路系统进行智能充气，可自动分离，也可手动分离，具有设备故障声光报警功能；应装有使用220V市电对蓄电池充电的充电器，消防车侧面或后部应装有充电插座。不用时防水挡板应盖住插口，当消防车启动时能使充电插头自动脱落。</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8</w:t>
      </w:r>
      <w:r>
        <w:rPr>
          <w:rFonts w:hint="eastAsia" w:ascii="宋体" w:hAnsi="宋体" w:cs="宋体"/>
          <w:bCs/>
          <w:szCs w:val="28"/>
          <w:lang w:bidi="ar"/>
        </w:rPr>
        <w:t>控制系统</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8</w:t>
      </w:r>
      <w:r>
        <w:rPr>
          <w:rFonts w:hint="eastAsia" w:ascii="宋体" w:hAnsi="宋体" w:cs="宋体"/>
          <w:bCs/>
          <w:szCs w:val="28"/>
          <w:lang w:bidi="ar"/>
        </w:rPr>
        <w:t>.1控制系统：操作面板上仪表单位应采用国家标准单位；控制面板上主要有显示仪表、控制开关和状态指示灯；</w:t>
      </w:r>
    </w:p>
    <w:p>
      <w:pPr>
        <w:spacing w:line="576" w:lineRule="exact"/>
        <w:ind w:firstLine="560"/>
        <w:rPr>
          <w:rFonts w:ascii="宋体" w:hAnsi="宋体" w:cs="宋体"/>
          <w:bCs/>
          <w:szCs w:val="28"/>
          <w:lang w:bidi="ar"/>
        </w:rPr>
      </w:pPr>
      <w:r>
        <w:rPr>
          <w:rFonts w:hint="eastAsia" w:ascii="宋体" w:hAnsi="宋体" w:cs="宋体"/>
          <w:bCs/>
          <w:szCs w:val="28"/>
          <w:lang w:bidi="ar"/>
        </w:rPr>
        <w:t>显示仪表：转速值、真空值、压力值、液位值等；</w:t>
      </w:r>
    </w:p>
    <w:p>
      <w:pPr>
        <w:spacing w:line="576" w:lineRule="exact"/>
        <w:ind w:firstLine="560"/>
        <w:rPr>
          <w:rFonts w:ascii="宋体" w:hAnsi="宋体" w:cs="宋体"/>
          <w:bCs/>
          <w:szCs w:val="28"/>
          <w:lang w:bidi="ar"/>
        </w:rPr>
      </w:pPr>
      <w:r>
        <w:rPr>
          <w:rFonts w:hint="eastAsia" w:ascii="宋体" w:hAnsi="宋体" w:cs="宋体"/>
          <w:bCs/>
          <w:szCs w:val="28"/>
          <w:lang w:bidi="ar"/>
        </w:rPr>
        <w:t>控制开关：照明、油门加减、罐出液、罐注液、急停等；</w:t>
      </w:r>
    </w:p>
    <w:p>
      <w:pPr>
        <w:spacing w:line="576" w:lineRule="exact"/>
        <w:ind w:firstLine="560"/>
        <w:rPr>
          <w:rFonts w:ascii="宋体" w:hAnsi="宋体" w:cs="宋体"/>
          <w:bCs/>
          <w:szCs w:val="28"/>
          <w:lang w:bidi="ar"/>
        </w:rPr>
      </w:pPr>
      <w:r>
        <w:rPr>
          <w:rFonts w:hint="eastAsia" w:ascii="宋体" w:hAnsi="宋体" w:cs="宋体"/>
          <w:bCs/>
          <w:szCs w:val="28"/>
          <w:lang w:bidi="ar"/>
        </w:rPr>
        <w:t>状态指示：取力器指示灯、发电机未充电警示灯等；</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8</w:t>
      </w:r>
      <w:r>
        <w:rPr>
          <w:rFonts w:hint="eastAsia" w:ascii="宋体" w:hAnsi="宋体" w:cs="宋体"/>
          <w:bCs/>
          <w:szCs w:val="28"/>
          <w:lang w:bidi="ar"/>
        </w:rPr>
        <w:t>.2CAN总线控制系统：采用CAN总线集成控制，可实现消防灭火作业功能必须的仪表参数显示、设备控制及状态指示功能。</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9</w:t>
      </w:r>
      <w:r>
        <w:rPr>
          <w:rFonts w:hint="eastAsia" w:ascii="宋体" w:hAnsi="宋体" w:cs="宋体"/>
          <w:bCs/>
          <w:szCs w:val="28"/>
          <w:lang w:bidi="ar"/>
        </w:rPr>
        <w:t>器材箱</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9</w:t>
      </w:r>
      <w:r>
        <w:rPr>
          <w:rFonts w:hint="eastAsia" w:ascii="宋体" w:hAnsi="宋体" w:cs="宋体"/>
          <w:bCs/>
          <w:szCs w:val="28"/>
          <w:lang w:bidi="ar"/>
        </w:rPr>
        <w:t>.1总体要求：铝合金材质，能根据用户要求布置器材，箱体内储存的设备、器具均设固定保护设施；</w:t>
      </w:r>
    </w:p>
    <w:p>
      <w:pPr>
        <w:spacing w:line="576" w:lineRule="exact"/>
        <w:ind w:firstLine="560"/>
        <w:rPr>
          <w:rFonts w:ascii="宋体" w:hAnsi="宋体" w:cs="宋体"/>
          <w:bCs/>
          <w:szCs w:val="28"/>
          <w:lang w:bidi="ar"/>
        </w:rPr>
      </w:pPr>
      <w:r>
        <w:rPr>
          <w:rFonts w:hint="eastAsia" w:ascii="宋体" w:hAnsi="宋体" w:cs="宋体"/>
          <w:bCs/>
          <w:szCs w:val="28"/>
          <w:lang w:bidi="ar"/>
        </w:rPr>
        <w:t>3.</w:t>
      </w:r>
      <w:r>
        <w:rPr>
          <w:rFonts w:hint="eastAsia" w:ascii="宋体" w:hAnsi="宋体" w:cs="宋体"/>
          <w:bCs/>
          <w:szCs w:val="28"/>
          <w:lang w:val="en-US" w:eastAsia="zh-CN" w:bidi="ar"/>
        </w:rPr>
        <w:t>9</w:t>
      </w:r>
      <w:r>
        <w:rPr>
          <w:rFonts w:hint="eastAsia" w:ascii="宋体" w:hAnsi="宋体" w:cs="宋体"/>
          <w:bCs/>
          <w:szCs w:val="28"/>
          <w:lang w:bidi="ar"/>
        </w:rPr>
        <w:t>.2器材箱门：采用铝合金卷帘门，设按钮式加拉杆条锁，所有卷帘门通用一把钥匙，各门带随门开关的LED照明灯，并于驾驶室内设置卷帘门打开状态警告灯（门未关时灯亮）；器材箱内部均设有照明，开关由单个器材门控制，器材门打开接通照明，器材门关闭切断照明。</w:t>
      </w:r>
    </w:p>
    <w:p>
      <w:pPr>
        <w:spacing w:line="576" w:lineRule="exact"/>
        <w:ind w:firstLine="560"/>
        <w:rPr>
          <w:rFonts w:ascii="宋体" w:hAnsi="宋体" w:cs="宋体"/>
          <w:bCs/>
          <w:szCs w:val="28"/>
          <w:lang w:bidi="ar"/>
        </w:rPr>
      </w:pPr>
      <w:r>
        <w:rPr>
          <w:rFonts w:hint="eastAsia" w:ascii="宋体" w:hAnsi="宋体" w:cs="宋体"/>
          <w:bCs/>
          <w:szCs w:val="28"/>
          <w:lang w:bidi="ar"/>
        </w:rPr>
        <w:t>4.随车器材</w:t>
      </w:r>
    </w:p>
    <w:p>
      <w:pPr>
        <w:spacing w:line="576" w:lineRule="exact"/>
        <w:ind w:firstLine="560"/>
        <w:rPr>
          <w:rFonts w:ascii="宋体" w:hAnsi="宋体" w:cs="宋体"/>
          <w:bCs/>
          <w:szCs w:val="28"/>
          <w:lang w:bidi="ar"/>
        </w:rPr>
      </w:pPr>
      <w:r>
        <w:rPr>
          <w:rFonts w:hint="eastAsia" w:ascii="宋体" w:hAnsi="宋体" w:cs="宋体"/>
          <w:bCs/>
          <w:szCs w:val="28"/>
          <w:lang w:bidi="ar"/>
        </w:rPr>
        <w:t>器材名称，单位，数量，规格</w:t>
      </w:r>
    </w:p>
    <w:tbl>
      <w:tblPr>
        <w:tblStyle w:val="1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328"/>
        <w:gridCol w:w="1346"/>
        <w:gridCol w:w="4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序号</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器材名称</w:t>
            </w:r>
          </w:p>
        </w:tc>
        <w:tc>
          <w:tcPr>
            <w:tcW w:w="1346"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数量</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型号/规格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消防水带</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6盘</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16-65-20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2</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吸液、排液管</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12米</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根据用户需求定制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3</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吸液管扳手</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2把</w:t>
            </w:r>
          </w:p>
        </w:tc>
        <w:tc>
          <w:tcPr>
            <w:tcW w:w="4217" w:type="dxa"/>
            <w:noWrap/>
            <w:vAlign w:val="center"/>
          </w:tcPr>
          <w:p>
            <w:pPr>
              <w:spacing w:line="576" w:lineRule="exact"/>
              <w:ind w:firstLine="0" w:firstLineChars="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4</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集水器</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1件</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100/65×2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5</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异径接口</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10件/套</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根据用户需求定制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6</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橡皮锤</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1件</w:t>
            </w:r>
          </w:p>
        </w:tc>
        <w:tc>
          <w:tcPr>
            <w:tcW w:w="4217" w:type="dxa"/>
            <w:noWrap/>
            <w:vAlign w:val="center"/>
          </w:tcPr>
          <w:p>
            <w:pPr>
              <w:spacing w:line="576" w:lineRule="exact"/>
              <w:ind w:firstLine="0" w:firstLineChars="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7</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护带桥</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1副</w:t>
            </w:r>
          </w:p>
        </w:tc>
        <w:tc>
          <w:tcPr>
            <w:tcW w:w="4217" w:type="dxa"/>
            <w:noWrap/>
            <w:vAlign w:val="center"/>
          </w:tcPr>
          <w:p>
            <w:pPr>
              <w:spacing w:line="576" w:lineRule="exact"/>
              <w:ind w:firstLine="0" w:firstLineChars="0"/>
              <w:jc w:val="center"/>
              <w:rPr>
                <w:rFonts w:ascii="宋体" w:hAnsi="宋体" w:cs="宋体"/>
                <w:bCs/>
                <w:szCs w:val="2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8</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消防斧</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1件</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E630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9</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铁锹</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1件</w:t>
            </w:r>
          </w:p>
        </w:tc>
        <w:tc>
          <w:tcPr>
            <w:tcW w:w="4217" w:type="dxa"/>
            <w:noWrap/>
            <w:vAlign w:val="center"/>
          </w:tcPr>
          <w:p>
            <w:pPr>
              <w:spacing w:line="576" w:lineRule="exact"/>
              <w:ind w:firstLine="0" w:firstLineChars="0"/>
              <w:jc w:val="center"/>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10</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丁字镐</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1件</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P402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11</w:t>
            </w:r>
          </w:p>
        </w:tc>
        <w:tc>
          <w:tcPr>
            <w:tcW w:w="2328"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可充电式手提照明灯</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1件</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BHL410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16</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干粉灭火器</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1具</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12</w:t>
            </w:r>
          </w:p>
        </w:tc>
        <w:tc>
          <w:tcPr>
            <w:tcW w:w="2328" w:type="dxa"/>
            <w:noWrap/>
            <w:vAlign w:val="center"/>
          </w:tcPr>
          <w:p>
            <w:pPr>
              <w:spacing w:line="576" w:lineRule="exact"/>
              <w:ind w:firstLine="0" w:firstLineChars="0"/>
              <w:rPr>
                <w:rFonts w:ascii="宋体" w:hAnsi="宋体" w:cs="宋体"/>
                <w:bCs/>
                <w:szCs w:val="28"/>
                <w:lang w:bidi="ar"/>
              </w:rPr>
            </w:pPr>
            <w:r>
              <w:rPr>
                <w:rFonts w:hint="eastAsia" w:ascii="宋体" w:hAnsi="宋体" w:cs="宋体"/>
                <w:bCs/>
                <w:szCs w:val="28"/>
                <w:lang w:bidi="ar"/>
              </w:rPr>
              <w:t>泡沫比例发生器</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2个</w:t>
            </w:r>
          </w:p>
        </w:tc>
        <w:tc>
          <w:tcPr>
            <w:tcW w:w="4217"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高倍数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9"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13</w:t>
            </w:r>
          </w:p>
        </w:tc>
        <w:tc>
          <w:tcPr>
            <w:tcW w:w="2328"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泡沫钩管</w:t>
            </w:r>
          </w:p>
        </w:tc>
        <w:tc>
          <w:tcPr>
            <w:tcW w:w="1346" w:type="dxa"/>
            <w:noWrap/>
            <w:vAlign w:val="center"/>
          </w:tcPr>
          <w:p>
            <w:pPr>
              <w:spacing w:line="576" w:lineRule="exact"/>
              <w:ind w:firstLine="0" w:firstLineChars="0"/>
              <w:jc w:val="center"/>
              <w:rPr>
                <w:rFonts w:ascii="宋体" w:hAnsi="宋体" w:cs="宋体"/>
                <w:bCs/>
                <w:szCs w:val="28"/>
                <w:lang w:bidi="ar"/>
              </w:rPr>
            </w:pPr>
            <w:r>
              <w:rPr>
                <w:rFonts w:hint="eastAsia" w:ascii="宋体" w:hAnsi="宋体" w:cs="宋体"/>
                <w:bCs/>
                <w:szCs w:val="28"/>
                <w:lang w:bidi="ar"/>
              </w:rPr>
              <w:t>5个</w:t>
            </w:r>
          </w:p>
        </w:tc>
        <w:tc>
          <w:tcPr>
            <w:tcW w:w="4217" w:type="dxa"/>
            <w:noWrap/>
            <w:vAlign w:val="center"/>
          </w:tcPr>
          <w:p>
            <w:pPr>
              <w:spacing w:line="576" w:lineRule="exact"/>
              <w:ind w:firstLine="0" w:firstLineChars="0"/>
              <w:jc w:val="center"/>
              <w:rPr>
                <w:rFonts w:ascii="宋体" w:hAnsi="宋体" w:cs="宋体"/>
                <w:bCs/>
                <w:szCs w:val="28"/>
                <w:lang w:bidi="ar"/>
              </w:rPr>
            </w:pPr>
          </w:p>
        </w:tc>
      </w:tr>
    </w:tbl>
    <w:p>
      <w:pPr>
        <w:snapToGrid w:val="0"/>
        <w:spacing w:line="576" w:lineRule="exact"/>
        <w:ind w:firstLine="560"/>
        <w:rPr>
          <w:rFonts w:ascii="宋体" w:hAnsi="宋体" w:cs="宋体"/>
          <w:szCs w:val="28"/>
          <w:lang w:bidi="ar"/>
        </w:rPr>
      </w:pPr>
      <w:r>
        <w:rPr>
          <w:rFonts w:hint="eastAsia" w:ascii="宋体" w:hAnsi="宋体" w:cs="宋体"/>
          <w:szCs w:val="28"/>
          <w:lang w:bidi="ar"/>
        </w:rPr>
        <w:t>5.其他要求</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5.1随车附件</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5.1.1随车文件（中文）；</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5.1.2底盘使用、维护说明书（3份）；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5.1.3底盘质量保修卡、合格证（1份）；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5.1.4底盘维修手册（1份）；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5.1.5底盘改装手册（1份）；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5.1.6底盘电气原理图（1份）；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5.1.7底盘零件目录图册（2份）；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5.1.8底盘厂家提供的底盘随车配件清单（1份）；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5.1.9车辆整车合格证（1份）；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5.1.10上装操作使用说明书（附零部件结构图和技术资料，生产厂商联系方式及地址），配操作演示示范光盘（3份、电子版1份）；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5.1.11上装维护保养说明书（附管路系统、气动系统、电路配线图）（3份、电子版1份），上装零配件目录图册（3份）；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5.1.12随车工具清单、器材清单（1份）；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5.1.13车架号、发动机号拓印件（2份）；</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5.1.14跟踪服务卡（1份）；</w:t>
      </w:r>
    </w:p>
    <w:p>
      <w:pPr>
        <w:spacing w:line="576" w:lineRule="exact"/>
        <w:ind w:firstLine="560"/>
        <w:rPr>
          <w:rFonts w:ascii="宋体" w:hAnsi="宋体" w:cs="宋体"/>
          <w:bCs/>
          <w:szCs w:val="28"/>
        </w:rPr>
      </w:pPr>
      <w:r>
        <w:rPr>
          <w:rFonts w:hint="eastAsia" w:ascii="宋体" w:hAnsi="宋体" w:cs="宋体"/>
          <w:bCs/>
          <w:szCs w:val="28"/>
          <w:lang w:bidi="ar"/>
        </w:rPr>
        <w:t>5.1.15随车免费提供部分底盘和上装、随车设备使用、保养、维修用的配件、必备工具和易损备件。</w:t>
      </w:r>
    </w:p>
    <w:p>
      <w:pPr>
        <w:snapToGrid w:val="0"/>
        <w:spacing w:line="576" w:lineRule="exact"/>
        <w:ind w:firstLine="560"/>
        <w:rPr>
          <w:rFonts w:ascii="宋体" w:hAnsi="宋体" w:cs="宋体"/>
          <w:bCs/>
          <w:szCs w:val="28"/>
          <w:lang w:bidi="ar"/>
        </w:rPr>
      </w:pPr>
      <w:r>
        <w:rPr>
          <w:rFonts w:hint="eastAsia" w:ascii="宋体" w:hAnsi="宋体" w:cs="宋体"/>
          <w:bCs/>
          <w:szCs w:val="28"/>
          <w:lang w:bidi="ar"/>
        </w:rPr>
        <w:t>▲5.1.16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ind w:firstLine="560"/>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4"/>
        <w:bidi w:val="0"/>
        <w:rPr>
          <w:b/>
          <w:bCs/>
          <w:color w:val="000000" w:themeColor="text1"/>
          <w14:textFill>
            <w14:solidFill>
              <w14:schemeClr w14:val="tx1"/>
            </w14:solidFill>
          </w14:textFill>
        </w:rPr>
      </w:pPr>
      <w:bookmarkStart w:id="69" w:name="_Toc22815"/>
      <w:r>
        <w:rPr>
          <w:rFonts w:hint="eastAsia"/>
        </w:rPr>
        <w:t>包</w:t>
      </w:r>
      <w:r>
        <w:rPr>
          <w:rFonts w:hint="eastAsia"/>
          <w:lang w:val="en-US" w:eastAsia="zh-CN"/>
        </w:rPr>
        <w:t>26</w:t>
      </w:r>
      <w:r>
        <w:rPr>
          <w:rFonts w:hint="eastAsia"/>
        </w:rPr>
        <w:t xml:space="preserve">  </w:t>
      </w:r>
      <w:r>
        <w:rPr>
          <w:rFonts w:hint="eastAsia"/>
          <w:lang w:eastAsia="zh-CN"/>
        </w:rPr>
        <w:t>“</w:t>
      </w:r>
      <w:r>
        <w:rPr>
          <w:rFonts w:hint="eastAsia"/>
        </w:rPr>
        <w:t>前突皮卡车</w:t>
      </w:r>
      <w:bookmarkEnd w:id="69"/>
      <w:r>
        <w:rPr>
          <w:rFonts w:hint="eastAsia"/>
          <w:b/>
          <w:bCs/>
          <w:color w:val="000000" w:themeColor="text1"/>
          <w14:textFill>
            <w14:solidFill>
              <w14:schemeClr w14:val="tx1"/>
            </w14:solidFill>
          </w14:textFill>
        </w:rPr>
        <w:t>（含器材汽油版）</w:t>
      </w:r>
      <w:r>
        <w:rPr>
          <w:rFonts w:hint="eastAsia"/>
          <w:lang w:eastAsia="zh-CN"/>
        </w:rPr>
        <w:t>”</w:t>
      </w:r>
    </w:p>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1．底盘参数</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★1.1驱动形式≥4×4；</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▲1.2发动机：排量≥2.0T，排放标准：国Ⅵb；</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▲1.3最大扭矩≥360N·m；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▲1.4燃油及功率：汽油，额定功率≥140kW；</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1.5外形尺寸：长≤6000mm，宽≤2000mm，高≤2300mm；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▲1.6变速器形式：自动档；</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1.7后桥限滑方式：差速锁；</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▲1.8前悬挂形式：双叉臂式独立悬挂；后悬挂形式：整体桥式非独立悬挂；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1.9车身结构；非承载式。</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2．驾乘室</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2.1布局结构：四门双排，总驾乘人员≥5人；</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2.2安全设置：前后排均设置预紧安全带并具备未系安全带提醒功能、主、副驾驶员安全气囊、定速巡航、ABS+EBD、ESP车身稳定控制系统、上坡辅助、陡坡缓降等安全配置；</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2.3座椅：配置真皮独立座椅，主副驾驶位座椅具备折叠和电动调节功能；后排座椅可比例放倒；</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2.4车辆内饰：后舱装备区采用花纹铝板铺设，具备防水、防潮、耐磨性能；整车内饰支持采购人定制；</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2.5驾驶室设备：除原车设备外，加装警报器、警灯开关,设置原车自动冷暖空调，收音机、车载USB接口，预留电源接口（220V、12V、24V），360°全景影像（内存≥128G）、倒车雷达、胎压监测系统等；配备370MHz数字车载台（支持PDT数字集群并需接入山西省370MHz无线通信核心网）；</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2.6驾驶室顶部前端装配红色长排≥1.2米LED频闪消防车用警灯，上方设置保护架，与行李架配套使用，可装载固定拉梯或橡皮艇等装备，同时对警灯起到保护作用；警报器：DC12V,功率≥100W。</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3．车厢</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车身采用进口烤漆,颜色符合GB/T3181中规定的R03大红色，符合《国务院办公厅关于国家综合性消防救援车辆悬挂应急救援专用号牌有关事项的通知》（国办发〔2018〕114号）、《消防救援局关于做好消防救援车辆外观制式涂装工作的通知》（应急消〔2019〕76号）等要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3.2车内器材架：优先采用全铝型材内藏式连接结构，使用防锈蚀、防振动、防脱落、防划伤、旋转、推拉或抽拉式的专用夹具固定所有随车器材，器材布置合理；</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3.3舱体：采用金属骨架、铝蒙皮结构，外蒙皮与车身接合部铆接加密封胶密封，防腐防锈等处理；</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3.4车顶平台：平台承重≥180kg/㎡，应采用金属骨架,表面铺装花纹铝板，接缝处作密封处理，平台外蒙皮采用≥2mm厚花纹铝板，用于随车橡皮艇固定和运输；</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3.5上车踏板：铝制踏板，防滑，耐磨；</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3.6车厢各功能区采用模块化设计，器材放置设置永久铭牌标识，根据需求方便取放，器材分类整合，合理有效利用空间，固定牢靠，方便运输及取放；具体由采购人确定；</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3.7车底保护：车辆底部作防锈防腐等喷涂处理；</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3.8车窗贴膜：全车玻璃窗贴膜（前风挡除外），采用优质深色防爆膜，隔热率≥50%；</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3.9整车进行隔热、防火、防腐防锈、防辐射处理，车体顶部、底板及两侧内部贴吸音棉，底板外喷涂防石击阻尼胶；</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3.10装备区配备电源插头；</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▲3.11涉水喉：抬高发动机进气口位置，涉水深度≥700mm；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3.12配备尾部拖车钩和供电插头，具备牵引资质；</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3.13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4．供电系统</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4.1电路系统：电气设备符合国家相关标准；警灯、爆闪灯为红色；所有操作开关、仪表、器材架及车辆均有符合标准、规范的铭牌标志，显示值采用中国通用图标符号和计量标准，各类标牌牢固、清晰；</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4.2车内外综合布线：电源线、控制线、天馈线、接插件、线槽等进行分类布线；</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▲4.3配有≥4个前视探照灯，发光角度：聚光≥5°,光通量：≥1600lm；射程≥300米，功率≥100W；防水等级≥IP67,加装在车顶红色长排LED灯具前方合理位置。</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5.牵引绞盘</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5.1牵引绞盘安装于车身前部；</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5.2绞盘形式：电动绞盘；</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▲5.3最大拉力≥30kN；</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5.4钢丝绳直径≥11.5mm；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5.5钢丝绳长度≥30m；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5.6配备贴合紧密的保护罩。</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6.其他要求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6.1配备全部随车工具设备和附表器材，布置合理，固定牢靠；</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6.2交付使用单位时，燃油、尿素等添加液处于满液状态；</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6.3提供免费首次保养服务（含材料、人工、差旅等）。</w:t>
      </w:r>
    </w:p>
    <w:p>
      <w:pPr>
        <w:snapToGrid w:val="0"/>
        <w:spacing w:line="576" w:lineRule="exact"/>
        <w:ind w:firstLine="560"/>
        <w:jc w:val="both"/>
        <w:rPr>
          <w:rFonts w:ascii="宋体" w:hAnsi="宋体" w:cs="宋体"/>
          <w:bCs/>
          <w:szCs w:val="28"/>
          <w:lang w:bidi="ar"/>
        </w:rPr>
      </w:pPr>
      <w:r>
        <w:rPr>
          <w:rFonts w:hint="eastAsia" w:ascii="宋体" w:hAnsi="宋体" w:cs="宋体"/>
          <w:szCs w:val="28"/>
          <w:lang w:bidi="ar"/>
        </w:rPr>
        <w:t>7.随车文件（包括但不限于以下内容）</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7.1产品检验报告1份；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7.2产品自愿性认证证书1份；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7.3整车合格证1份；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7.4整车使用操作维修说明书1份；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7.5整车标准上牌照片1张；</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7.6随车附件、工具清单(含随车装备)1份；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7.7消防车跟踪服务卡1份；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7.8服务质保手册1份；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7.9底盘使用操作维修手册1份；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7.10底盘发动机号码拓印件2套；</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7.11底盘号码拓印件2套；</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7.12提供工信部公告；</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7.13以上提供的各种说明书应为中文。</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8.随车器材配备</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8.1电源线盘≥1套,线盘长度≥50米，电缆规格不低于≥3×2.5mm</w:t>
      </w:r>
      <w:r>
        <w:rPr>
          <w:rFonts w:hint="eastAsia" w:ascii="宋体" w:hAnsi="宋体" w:cs="宋体"/>
          <w:bCs/>
          <w:szCs w:val="28"/>
          <w:vertAlign w:val="superscript"/>
          <w:lang w:bidi="ar"/>
        </w:rPr>
        <w:t>2</w:t>
      </w:r>
      <w:r>
        <w:rPr>
          <w:rFonts w:hint="eastAsia" w:ascii="宋体" w:hAnsi="宋体" w:cs="宋体"/>
          <w:bCs/>
          <w:szCs w:val="28"/>
          <w:lang w:bidi="ar"/>
        </w:rPr>
        <w:t>；</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8.2配备≥2kg的灭火器≥1只；</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8.3工具箱，内装工具≥53件套。</w:t>
      </w:r>
    </w:p>
    <w:p>
      <w:pPr>
        <w:snapToGrid w:val="0"/>
        <w:spacing w:line="576" w:lineRule="exact"/>
        <w:ind w:firstLine="560"/>
        <w:jc w:val="both"/>
        <w:rPr>
          <w:rFonts w:ascii="宋体" w:hAnsi="宋体" w:cs="宋体"/>
          <w:szCs w:val="28"/>
        </w:rPr>
      </w:pPr>
      <w:r>
        <w:rPr>
          <w:rFonts w:hint="eastAsia" w:ascii="宋体" w:hAnsi="宋体" w:cs="宋体"/>
          <w:bCs/>
          <w:szCs w:val="28"/>
          <w:lang w:bidi="ar"/>
        </w:rPr>
        <w:t>9.模块</w:t>
      </w:r>
      <w:r>
        <w:rPr>
          <w:rFonts w:hint="eastAsia" w:ascii="宋体" w:hAnsi="宋体" w:cs="宋体"/>
          <w:szCs w:val="28"/>
        </w:rPr>
        <w:t>A</w:t>
      </w:r>
    </w:p>
    <w:p>
      <w:pPr>
        <w:pStyle w:val="8"/>
        <w:spacing w:line="600" w:lineRule="exact"/>
        <w:ind w:firstLine="560"/>
        <w:rPr>
          <w:rFonts w:hAnsi="宋体" w:cs="宋体"/>
          <w:szCs w:val="28"/>
        </w:rPr>
      </w:pPr>
      <w:r>
        <w:rPr>
          <w:rFonts w:hint="eastAsia" w:hAnsi="宋体" w:cs="宋体"/>
          <w:szCs w:val="28"/>
        </w:rPr>
        <w:t>9.1</w:t>
      </w:r>
      <w:r>
        <w:rPr>
          <w:rFonts w:hint="eastAsia" w:hAnsi="宋体" w:cs="宋体"/>
          <w:bCs/>
          <w:szCs w:val="28"/>
          <w:u w:val="single"/>
          <w:lang w:bidi="ar"/>
        </w:rPr>
        <w:t>★</w:t>
      </w:r>
      <w:r>
        <w:rPr>
          <w:rFonts w:hint="eastAsia" w:hAnsi="宋体" w:cs="宋体"/>
          <w:szCs w:val="28"/>
          <w:u w:val="single"/>
        </w:rPr>
        <w:t>激流救生衣套装15套</w:t>
      </w:r>
    </w:p>
    <w:p>
      <w:pPr>
        <w:pStyle w:val="8"/>
        <w:spacing w:line="600" w:lineRule="exact"/>
        <w:ind w:firstLine="560"/>
        <w:rPr>
          <w:rFonts w:hAnsi="宋体" w:cs="宋体"/>
          <w:szCs w:val="28"/>
        </w:rPr>
      </w:pPr>
      <w:r>
        <w:rPr>
          <w:rFonts w:hint="eastAsia" w:hAnsi="宋体" w:cs="宋体"/>
          <w:szCs w:val="28"/>
        </w:rPr>
        <w:t>9.1.1激流救生衣</w:t>
      </w:r>
    </w:p>
    <w:p>
      <w:pPr>
        <w:pStyle w:val="8"/>
        <w:spacing w:line="600" w:lineRule="exact"/>
        <w:ind w:firstLine="560"/>
        <w:rPr>
          <w:rFonts w:hAnsi="宋体" w:cs="宋体"/>
          <w:szCs w:val="28"/>
        </w:rPr>
      </w:pPr>
      <w:r>
        <w:rPr>
          <w:rFonts w:hint="eastAsia" w:hAnsi="宋体" w:cs="宋体"/>
          <w:szCs w:val="28"/>
        </w:rPr>
        <w:t>（1）浮力：≥150N，在淡水浸泡24h后，浮力损失：≤2%；</w:t>
      </w:r>
    </w:p>
    <w:p>
      <w:pPr>
        <w:pStyle w:val="8"/>
        <w:spacing w:line="600" w:lineRule="exact"/>
        <w:ind w:firstLine="560"/>
        <w:rPr>
          <w:rFonts w:hAnsi="宋体" w:cs="宋体"/>
          <w:szCs w:val="28"/>
        </w:rPr>
      </w:pPr>
      <w:r>
        <w:rPr>
          <w:rFonts w:hint="eastAsia" w:hAnsi="宋体" w:cs="宋体"/>
          <w:szCs w:val="28"/>
        </w:rPr>
        <w:t>（2）内衬应采用软质浮选泡沫或优于该材质，配置可拆卸胸式安全带，配备不锈钢O型环，可拆卸臀部/腿部绑带，防止救生衣脱离身体；</w:t>
      </w:r>
    </w:p>
    <w:p>
      <w:pPr>
        <w:pStyle w:val="8"/>
        <w:spacing w:line="600" w:lineRule="exact"/>
        <w:ind w:firstLine="560"/>
        <w:rPr>
          <w:rFonts w:hAnsi="宋体" w:cs="宋体"/>
          <w:szCs w:val="28"/>
        </w:rPr>
      </w:pPr>
      <w:r>
        <w:rPr>
          <w:rFonts w:hint="eastAsia" w:hAnsi="宋体" w:cs="宋体"/>
          <w:szCs w:val="28"/>
        </w:rPr>
        <w:t>（3）设置前开式单手快速脱扣，前置树脂材质拉链，后背配置牛尾绳（动力绳）与D型环，拉绳拉环破断力：≥10kN；</w:t>
      </w:r>
    </w:p>
    <w:p>
      <w:pPr>
        <w:pStyle w:val="8"/>
        <w:spacing w:line="600" w:lineRule="exact"/>
        <w:ind w:firstLine="560"/>
        <w:rPr>
          <w:rFonts w:hAnsi="宋体" w:cs="宋体"/>
          <w:szCs w:val="28"/>
        </w:rPr>
      </w:pPr>
      <w:r>
        <w:rPr>
          <w:rFonts w:hint="eastAsia" w:hAnsi="宋体" w:cs="宋体"/>
          <w:szCs w:val="28"/>
        </w:rPr>
        <w:t>（4）设置高亮反光带：≥8条；</w:t>
      </w:r>
    </w:p>
    <w:p>
      <w:pPr>
        <w:pStyle w:val="8"/>
        <w:spacing w:line="600" w:lineRule="exact"/>
        <w:ind w:firstLine="560"/>
        <w:rPr>
          <w:rFonts w:hAnsi="宋体" w:cs="宋体"/>
          <w:szCs w:val="28"/>
        </w:rPr>
      </w:pPr>
      <w:r>
        <w:rPr>
          <w:rFonts w:hint="eastAsia" w:hAnsi="宋体" w:cs="宋体"/>
          <w:szCs w:val="28"/>
        </w:rPr>
        <w:t>（5）救生衣前侧设置挂点：≥5个、后侧设置挂点：≥1个；</w:t>
      </w:r>
    </w:p>
    <w:p>
      <w:pPr>
        <w:pStyle w:val="8"/>
        <w:spacing w:line="600" w:lineRule="exact"/>
        <w:ind w:firstLine="560"/>
        <w:rPr>
          <w:rFonts w:hAnsi="宋体" w:cs="宋体"/>
          <w:szCs w:val="28"/>
        </w:rPr>
      </w:pPr>
      <w:r>
        <w:rPr>
          <w:rFonts w:hint="eastAsia" w:hAnsi="宋体" w:cs="宋体"/>
          <w:szCs w:val="28"/>
        </w:rPr>
        <w:t>（6）救生衣前侧设置可拆卸口袋：≥2个，整体设置反光标识带；</w:t>
      </w:r>
    </w:p>
    <w:p>
      <w:pPr>
        <w:pStyle w:val="8"/>
        <w:spacing w:line="600" w:lineRule="exact"/>
        <w:ind w:firstLine="560"/>
        <w:rPr>
          <w:rFonts w:hAnsi="宋体" w:cs="宋体"/>
          <w:szCs w:val="28"/>
        </w:rPr>
      </w:pPr>
      <w:r>
        <w:rPr>
          <w:rFonts w:hint="eastAsia" w:hAnsi="宋体" w:cs="宋体"/>
          <w:szCs w:val="28"/>
        </w:rPr>
        <w:t>（7）救生衣配置救生高音口哨（非滚珠类）：≥1只，音量：≥110dB，示位灯：≥1只，割绳刀：≥1把；</w:t>
      </w:r>
    </w:p>
    <w:p>
      <w:pPr>
        <w:pStyle w:val="8"/>
        <w:spacing w:line="600" w:lineRule="exact"/>
        <w:ind w:firstLine="560"/>
        <w:rPr>
          <w:rFonts w:hAnsi="宋体" w:cs="宋体"/>
          <w:szCs w:val="28"/>
        </w:rPr>
      </w:pPr>
      <w:r>
        <w:rPr>
          <w:rFonts w:hint="eastAsia" w:hAnsi="宋体" w:cs="宋体"/>
          <w:szCs w:val="28"/>
        </w:rPr>
        <w:t>（8）穿着救生衣以任意方式下水，救生衣能使人体处于立姿状态（5s内），且人嘴部位高出水面：≥120mm；</w:t>
      </w:r>
    </w:p>
    <w:p>
      <w:pPr>
        <w:pStyle w:val="8"/>
        <w:spacing w:line="600" w:lineRule="exact"/>
        <w:ind w:firstLine="560"/>
        <w:rPr>
          <w:rFonts w:hAnsi="宋体" w:cs="宋体"/>
          <w:szCs w:val="28"/>
        </w:rPr>
      </w:pPr>
      <w:r>
        <w:rPr>
          <w:rFonts w:hint="eastAsia" w:hAnsi="宋体" w:cs="宋体"/>
          <w:szCs w:val="28"/>
        </w:rPr>
        <w:t>（9）背面设置可拆卸式反光板魔术贴：≥2个，反光板内容为根据采购人需求印制；</w:t>
      </w:r>
    </w:p>
    <w:p>
      <w:pPr>
        <w:pStyle w:val="8"/>
        <w:spacing w:line="600" w:lineRule="exact"/>
        <w:ind w:firstLine="560"/>
        <w:rPr>
          <w:rFonts w:hAnsi="宋体" w:cs="宋体"/>
          <w:szCs w:val="28"/>
        </w:rPr>
      </w:pPr>
      <w:r>
        <w:rPr>
          <w:rFonts w:hint="eastAsia" w:hAnsi="宋体" w:cs="宋体"/>
          <w:szCs w:val="28"/>
        </w:rPr>
        <w:t>（10）设置永久性标志及产品数据标识。</w:t>
      </w:r>
    </w:p>
    <w:p>
      <w:pPr>
        <w:pStyle w:val="8"/>
        <w:spacing w:line="600" w:lineRule="exact"/>
        <w:ind w:firstLine="560"/>
        <w:rPr>
          <w:rFonts w:hAnsi="宋体" w:cs="宋体"/>
          <w:szCs w:val="28"/>
        </w:rPr>
      </w:pPr>
      <w:r>
        <w:rPr>
          <w:rFonts w:hint="eastAsia" w:hAnsi="宋体" w:cs="宋体"/>
          <w:szCs w:val="28"/>
        </w:rPr>
        <w:t>9.1.2救生圈</w:t>
      </w:r>
    </w:p>
    <w:p>
      <w:pPr>
        <w:pStyle w:val="8"/>
        <w:spacing w:line="600" w:lineRule="exact"/>
        <w:ind w:firstLine="560"/>
        <w:rPr>
          <w:rFonts w:hAnsi="宋体" w:cs="宋体"/>
          <w:szCs w:val="28"/>
        </w:rPr>
      </w:pPr>
      <w:r>
        <w:rPr>
          <w:rFonts w:hint="eastAsia" w:hAnsi="宋体" w:cs="宋体"/>
          <w:szCs w:val="28"/>
        </w:rPr>
        <w:t>（1）重量：≤12kg，外径：≥700mm、内径：≥400mm；</w:t>
      </w:r>
    </w:p>
    <w:p>
      <w:pPr>
        <w:pStyle w:val="8"/>
        <w:spacing w:line="600" w:lineRule="exact"/>
        <w:ind w:firstLine="560"/>
        <w:rPr>
          <w:rFonts w:hAnsi="宋体" w:cs="宋体"/>
          <w:szCs w:val="28"/>
        </w:rPr>
      </w:pPr>
      <w:r>
        <w:rPr>
          <w:rFonts w:hint="eastAsia" w:hAnsi="宋体" w:cs="宋体"/>
          <w:szCs w:val="28"/>
        </w:rPr>
        <w:t>（2）救生圈固有浮力：≥130N，</w:t>
      </w:r>
      <w:r>
        <w:rPr>
          <w:rFonts w:hint="eastAsia" w:hAnsi="宋体" w:cs="宋体"/>
          <w:szCs w:val="28"/>
          <w:lang w:eastAsia="zh-CN"/>
        </w:rPr>
        <w:t>聚乙烯复合塑料材质</w:t>
      </w:r>
      <w:r>
        <w:rPr>
          <w:rFonts w:hint="eastAsia" w:hAnsi="宋体" w:cs="宋体"/>
          <w:szCs w:val="28"/>
        </w:rPr>
        <w:t>；</w:t>
      </w:r>
    </w:p>
    <w:p>
      <w:pPr>
        <w:pStyle w:val="8"/>
        <w:spacing w:line="600" w:lineRule="exact"/>
        <w:ind w:firstLine="560"/>
        <w:rPr>
          <w:rFonts w:hAnsi="宋体" w:cs="宋体"/>
          <w:szCs w:val="28"/>
        </w:rPr>
      </w:pPr>
      <w:r>
        <w:rPr>
          <w:rFonts w:hint="eastAsia" w:hAnsi="宋体" w:cs="宋体"/>
          <w:szCs w:val="28"/>
        </w:rPr>
        <w:t>（3）设置永久性标志及产品数据标识。</w:t>
      </w:r>
    </w:p>
    <w:p>
      <w:pPr>
        <w:pStyle w:val="8"/>
        <w:spacing w:line="600" w:lineRule="exact"/>
        <w:ind w:firstLine="560"/>
        <w:rPr>
          <w:rFonts w:hAnsi="宋体" w:cs="宋体"/>
          <w:szCs w:val="28"/>
        </w:rPr>
      </w:pPr>
      <w:r>
        <w:rPr>
          <w:rFonts w:hint="eastAsia" w:hAnsi="宋体" w:cs="宋体"/>
          <w:szCs w:val="28"/>
        </w:rPr>
        <w:t>9.1.3救生短绳</w:t>
      </w:r>
    </w:p>
    <w:p>
      <w:pPr>
        <w:pStyle w:val="8"/>
        <w:spacing w:line="600" w:lineRule="exact"/>
        <w:ind w:firstLine="560"/>
        <w:rPr>
          <w:rFonts w:hAnsi="宋体" w:cs="宋体"/>
          <w:szCs w:val="28"/>
        </w:rPr>
      </w:pPr>
      <w:r>
        <w:rPr>
          <w:rFonts w:hint="eastAsia" w:hAnsi="宋体" w:cs="宋体"/>
          <w:szCs w:val="28"/>
        </w:rPr>
        <w:t>（1）包芯绳结构，主承受部分由连续纤维制成，具备发光功能；</w:t>
      </w:r>
    </w:p>
    <w:p>
      <w:pPr>
        <w:pStyle w:val="8"/>
        <w:spacing w:line="600" w:lineRule="exact"/>
        <w:ind w:firstLine="560"/>
        <w:rPr>
          <w:rFonts w:hAnsi="宋体" w:cs="宋体"/>
          <w:szCs w:val="28"/>
        </w:rPr>
      </w:pPr>
      <w:r>
        <w:rPr>
          <w:rFonts w:hint="eastAsia" w:hAnsi="宋体" w:cs="宋体"/>
          <w:szCs w:val="28"/>
        </w:rPr>
        <w:t>（2）最小破断强度：≥35kN，在水面漂浮≥48h，无明显下沉；</w:t>
      </w:r>
    </w:p>
    <w:p>
      <w:pPr>
        <w:pStyle w:val="8"/>
        <w:spacing w:line="600" w:lineRule="exact"/>
        <w:ind w:firstLine="560"/>
        <w:rPr>
          <w:rFonts w:hAnsi="宋体" w:cs="宋体"/>
          <w:szCs w:val="28"/>
        </w:rPr>
      </w:pPr>
      <w:r>
        <w:rPr>
          <w:rFonts w:hint="eastAsia" w:hAnsi="宋体" w:cs="宋体"/>
          <w:szCs w:val="28"/>
        </w:rPr>
        <w:t>（3）具备耐酸碱腐蚀、耐油性能，救生绳表面无机械损坏现象，整绳粗细均匀、结构一致，配备绳包；</w:t>
      </w:r>
    </w:p>
    <w:p>
      <w:pPr>
        <w:pStyle w:val="8"/>
        <w:spacing w:line="600" w:lineRule="exact"/>
        <w:ind w:firstLine="560"/>
        <w:rPr>
          <w:rFonts w:hAnsi="宋体" w:cs="宋体"/>
          <w:szCs w:val="28"/>
        </w:rPr>
      </w:pPr>
      <w:r>
        <w:rPr>
          <w:rFonts w:hint="eastAsia" w:hAnsi="宋体" w:cs="宋体"/>
          <w:szCs w:val="28"/>
        </w:rPr>
        <w:t>（4）设置永久性标志及产品数据标识。</w:t>
      </w:r>
    </w:p>
    <w:p>
      <w:pPr>
        <w:pStyle w:val="8"/>
        <w:spacing w:line="600" w:lineRule="exact"/>
        <w:ind w:firstLine="560"/>
        <w:rPr>
          <w:rFonts w:hAnsi="宋体" w:cs="宋体"/>
          <w:szCs w:val="28"/>
        </w:rPr>
      </w:pPr>
      <w:r>
        <w:rPr>
          <w:rFonts w:hint="eastAsia" w:hAnsi="宋体" w:cs="宋体"/>
          <w:szCs w:val="28"/>
        </w:rPr>
        <w:t>9.2</w:t>
      </w:r>
      <w:r>
        <w:rPr>
          <w:rFonts w:hint="eastAsia" w:hAnsi="宋体" w:cs="宋体"/>
          <w:szCs w:val="28"/>
          <w:u w:val="single"/>
        </w:rPr>
        <w:t>★干式水域救援服6套</w:t>
      </w:r>
    </w:p>
    <w:p>
      <w:pPr>
        <w:pStyle w:val="8"/>
        <w:spacing w:line="600" w:lineRule="exact"/>
        <w:ind w:firstLine="560"/>
        <w:rPr>
          <w:rFonts w:hAnsi="宋体" w:cs="宋体"/>
          <w:szCs w:val="28"/>
        </w:rPr>
      </w:pPr>
      <w:r>
        <w:rPr>
          <w:rFonts w:hint="eastAsia" w:hAnsi="宋体" w:cs="宋体"/>
          <w:szCs w:val="28"/>
        </w:rPr>
        <w:t>9.2.1采用防水透气面料，三层复合材质（防水层，透气层，耐磨层），外观采用黑、橙色立体拼接剪裁；</w:t>
      </w:r>
    </w:p>
    <w:p>
      <w:pPr>
        <w:pStyle w:val="8"/>
        <w:spacing w:line="600" w:lineRule="exact"/>
        <w:ind w:firstLine="560"/>
        <w:rPr>
          <w:rFonts w:hAnsi="宋体" w:cs="宋体"/>
          <w:szCs w:val="28"/>
        </w:rPr>
      </w:pPr>
      <w:r>
        <w:rPr>
          <w:rFonts w:hint="eastAsia" w:hAnsi="宋体" w:cs="宋体"/>
          <w:szCs w:val="28"/>
        </w:rPr>
        <w:t>9.2.2在经常磨损的区域例如臀部、肘部和膝部需做特殊加固处理；肘部和膝部带有氯丁橡胶垫；配乳胶袜套；</w:t>
      </w:r>
    </w:p>
    <w:p>
      <w:pPr>
        <w:pStyle w:val="8"/>
        <w:spacing w:line="600" w:lineRule="exact"/>
        <w:ind w:firstLine="560"/>
        <w:rPr>
          <w:rFonts w:hAnsi="宋体" w:cs="宋体"/>
          <w:szCs w:val="28"/>
        </w:rPr>
      </w:pPr>
      <w:r>
        <w:rPr>
          <w:rFonts w:hint="eastAsia" w:hAnsi="宋体" w:cs="宋体"/>
          <w:szCs w:val="28"/>
        </w:rPr>
        <w:t>9.2.3内置可拆卸背带，可调节，可实现在水中可以穿脱救援服的上半部分而下半部分不渗水；</w:t>
      </w:r>
    </w:p>
    <w:p>
      <w:pPr>
        <w:pStyle w:val="8"/>
        <w:spacing w:line="600" w:lineRule="exact"/>
        <w:ind w:firstLine="560"/>
        <w:rPr>
          <w:rFonts w:hAnsi="宋体" w:cs="宋体"/>
          <w:szCs w:val="28"/>
        </w:rPr>
      </w:pPr>
      <w:r>
        <w:rPr>
          <w:rFonts w:hint="eastAsia" w:hAnsi="宋体" w:cs="宋体"/>
          <w:szCs w:val="28"/>
        </w:rPr>
        <w:t>9.2.4大腿部有一个自干口袋，可以方便储存工具；前端斜入式的高强防水拉链确保密封不进水；</w:t>
      </w:r>
    </w:p>
    <w:p>
      <w:pPr>
        <w:pStyle w:val="8"/>
        <w:spacing w:line="600" w:lineRule="exact"/>
        <w:ind w:firstLine="560"/>
        <w:rPr>
          <w:rFonts w:hAnsi="宋体" w:cs="宋体"/>
          <w:szCs w:val="28"/>
        </w:rPr>
      </w:pPr>
      <w:r>
        <w:rPr>
          <w:rFonts w:hint="eastAsia" w:hAnsi="宋体" w:cs="宋体"/>
          <w:szCs w:val="28"/>
        </w:rPr>
        <w:t>9.2.5裆部有高强度防水拉链，如厕时不用脱下整件衣服；</w:t>
      </w:r>
    </w:p>
    <w:p>
      <w:pPr>
        <w:pStyle w:val="8"/>
        <w:spacing w:line="600" w:lineRule="exact"/>
        <w:ind w:firstLine="560"/>
        <w:rPr>
          <w:rFonts w:hAnsi="宋体" w:cs="宋体"/>
          <w:szCs w:val="28"/>
        </w:rPr>
      </w:pPr>
      <w:r>
        <w:rPr>
          <w:rFonts w:hint="eastAsia" w:hAnsi="宋体" w:cs="宋体"/>
          <w:szCs w:val="28"/>
        </w:rPr>
        <w:t>9.2.6颈部和袖口部分采用优质乳胶橡胶，可紧贴皮肤，确保不渗漏；</w:t>
      </w:r>
    </w:p>
    <w:p>
      <w:pPr>
        <w:pStyle w:val="8"/>
        <w:spacing w:line="600" w:lineRule="exact"/>
        <w:ind w:firstLine="560"/>
        <w:rPr>
          <w:rFonts w:hAnsi="宋体" w:cs="宋体"/>
          <w:szCs w:val="28"/>
        </w:rPr>
      </w:pPr>
      <w:r>
        <w:rPr>
          <w:rFonts w:hint="eastAsia" w:hAnsi="宋体" w:cs="宋体"/>
          <w:szCs w:val="28"/>
        </w:rPr>
        <w:t>9.2.7颈部、袖口、腰部、脚踝部分带有可调节魔术贴，调整至合适的大小，帮助束紧，穿着贴身，方便救援；</w:t>
      </w:r>
    </w:p>
    <w:p>
      <w:pPr>
        <w:pStyle w:val="8"/>
        <w:spacing w:line="600" w:lineRule="exact"/>
        <w:ind w:firstLine="560"/>
        <w:rPr>
          <w:rFonts w:hAnsi="宋体" w:cs="宋体"/>
          <w:szCs w:val="28"/>
        </w:rPr>
      </w:pPr>
      <w:r>
        <w:rPr>
          <w:rFonts w:hint="eastAsia" w:hAnsi="宋体" w:cs="宋体"/>
          <w:szCs w:val="28"/>
        </w:rPr>
        <w:t>9.2.8腰部有可调节织带，用于调节舒适度；</w:t>
      </w:r>
    </w:p>
    <w:p>
      <w:pPr>
        <w:pStyle w:val="8"/>
        <w:spacing w:line="600" w:lineRule="exact"/>
        <w:ind w:firstLine="560"/>
        <w:rPr>
          <w:rFonts w:hAnsi="宋体" w:cs="宋体"/>
          <w:szCs w:val="28"/>
        </w:rPr>
      </w:pPr>
      <w:r>
        <w:rPr>
          <w:rFonts w:hint="eastAsia" w:hAnsi="宋体" w:cs="宋体"/>
          <w:szCs w:val="28"/>
        </w:rPr>
        <w:t>9.2.9腕部和踝部具有视觉丽反光条确保在低可视条件下依然有较高的识别性；反光条为栅格条状切割设计，采用热合工艺压制于面料上，无针缝，柔软且无漏水可能；</w:t>
      </w:r>
    </w:p>
    <w:p>
      <w:pPr>
        <w:pStyle w:val="8"/>
        <w:spacing w:line="600" w:lineRule="exact"/>
        <w:ind w:firstLine="560"/>
        <w:rPr>
          <w:rFonts w:hAnsi="宋体" w:cs="宋体"/>
          <w:szCs w:val="28"/>
        </w:rPr>
      </w:pPr>
      <w:r>
        <w:rPr>
          <w:rFonts w:hint="eastAsia" w:hAnsi="宋体" w:cs="宋体"/>
          <w:szCs w:val="28"/>
        </w:rPr>
        <w:t>9.2.10防渗漏性能：经静水中持续≥1h的渗透性能试验，救援服的进水量≤0.25kg；</w:t>
      </w:r>
    </w:p>
    <w:p>
      <w:pPr>
        <w:pStyle w:val="8"/>
        <w:spacing w:line="600" w:lineRule="exact"/>
        <w:ind w:firstLine="560"/>
        <w:rPr>
          <w:rFonts w:hAnsi="宋体" w:cs="宋体"/>
          <w:szCs w:val="28"/>
        </w:rPr>
      </w:pPr>
      <w:r>
        <w:rPr>
          <w:rFonts w:hint="eastAsia" w:hAnsi="宋体" w:cs="宋体"/>
          <w:szCs w:val="28"/>
        </w:rPr>
        <w:t>9.2.11保温性能：经保温性能试验后，受试者的体表（手.脚和腰部皮肤表面）温度均未降至10℃以下，体温下降≤1.3℃；</w:t>
      </w:r>
    </w:p>
    <w:p>
      <w:pPr>
        <w:pStyle w:val="8"/>
        <w:spacing w:line="600" w:lineRule="exact"/>
        <w:ind w:firstLine="560"/>
        <w:rPr>
          <w:rFonts w:hAnsi="宋体" w:cs="宋体"/>
          <w:szCs w:val="28"/>
        </w:rPr>
      </w:pPr>
      <w:r>
        <w:rPr>
          <w:rFonts w:hint="eastAsia" w:hAnsi="宋体" w:cs="宋体"/>
          <w:szCs w:val="28"/>
        </w:rPr>
        <w:t>9.2.12适用性能：穿着消防专用救生衣无限制，水域救援防护服穿着时间≤30s，穿着者能行走、爬行、游泳并登上平台；</w:t>
      </w:r>
    </w:p>
    <w:p>
      <w:pPr>
        <w:pStyle w:val="8"/>
        <w:spacing w:line="600" w:lineRule="exact"/>
        <w:ind w:firstLine="560"/>
        <w:rPr>
          <w:rFonts w:hAnsi="宋体" w:cs="宋体"/>
          <w:szCs w:val="28"/>
        </w:rPr>
      </w:pPr>
      <w:r>
        <w:rPr>
          <w:rFonts w:hint="eastAsia" w:hAnsi="宋体" w:cs="宋体"/>
          <w:szCs w:val="28"/>
        </w:rPr>
        <w:t>9.2.13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rPr>
      </w:pPr>
      <w:r>
        <w:rPr>
          <w:rFonts w:hint="eastAsia" w:hAnsi="宋体" w:cs="宋体"/>
          <w:szCs w:val="28"/>
        </w:rPr>
        <w:t>9.2.14防护服质量：≤2100g。</w:t>
      </w:r>
    </w:p>
    <w:p>
      <w:pPr>
        <w:pStyle w:val="8"/>
        <w:spacing w:line="600" w:lineRule="exact"/>
        <w:ind w:firstLine="560"/>
        <w:rPr>
          <w:rFonts w:hAnsi="宋体" w:cs="宋体"/>
          <w:szCs w:val="28"/>
        </w:rPr>
      </w:pPr>
      <w:r>
        <w:rPr>
          <w:rFonts w:hint="eastAsia" w:hAnsi="宋体" w:cs="宋体"/>
          <w:szCs w:val="28"/>
        </w:rPr>
        <w:t>9.3</w:t>
      </w:r>
      <w:r>
        <w:rPr>
          <w:rFonts w:hint="eastAsia" w:hAnsi="宋体" w:cs="宋体"/>
          <w:szCs w:val="28"/>
          <w:u w:val="single"/>
        </w:rPr>
        <w:t>★湿式水域救援服6套</w:t>
      </w:r>
    </w:p>
    <w:p>
      <w:pPr>
        <w:pStyle w:val="8"/>
        <w:spacing w:line="600" w:lineRule="exact"/>
        <w:ind w:firstLine="560"/>
        <w:rPr>
          <w:rFonts w:hAnsi="宋体" w:cs="宋体"/>
          <w:szCs w:val="28"/>
        </w:rPr>
      </w:pPr>
      <w:r>
        <w:rPr>
          <w:rFonts w:hint="eastAsia" w:hAnsi="宋体" w:cs="宋体"/>
          <w:szCs w:val="28"/>
        </w:rPr>
        <w:t>9.3.1主要材质为不小于3mm带有钛涂层的氯丁橡胶材质，提供非常好的热反射性能，黑、橙色立体拼接剪裁，连体式结构；</w:t>
      </w:r>
    </w:p>
    <w:p>
      <w:pPr>
        <w:pStyle w:val="8"/>
        <w:spacing w:line="600" w:lineRule="exact"/>
        <w:ind w:firstLine="560"/>
        <w:rPr>
          <w:rFonts w:hAnsi="宋体" w:cs="宋体"/>
          <w:szCs w:val="28"/>
        </w:rPr>
      </w:pPr>
      <w:r>
        <w:rPr>
          <w:rFonts w:hint="eastAsia" w:hAnsi="宋体" w:cs="宋体"/>
          <w:szCs w:val="28"/>
        </w:rPr>
        <w:t>9.3.2在肩部、背部和手臂处都采用PowerSpan材质提高部位的灵活性，降低活动的束缚感；</w:t>
      </w:r>
    </w:p>
    <w:p>
      <w:pPr>
        <w:pStyle w:val="8"/>
        <w:spacing w:line="600" w:lineRule="exact"/>
        <w:ind w:firstLine="560"/>
        <w:rPr>
          <w:rFonts w:hAnsi="宋体" w:cs="宋体"/>
          <w:szCs w:val="28"/>
        </w:rPr>
      </w:pPr>
      <w:r>
        <w:rPr>
          <w:rFonts w:hint="eastAsia" w:hAnsi="宋体" w:cs="宋体"/>
          <w:szCs w:val="28"/>
        </w:rPr>
        <w:t>9.3.3双向的YKK前置拉链可以使救援者穿、脱装备都非常的迅速和便捷；</w:t>
      </w:r>
    </w:p>
    <w:p>
      <w:pPr>
        <w:pStyle w:val="8"/>
        <w:spacing w:line="600" w:lineRule="exact"/>
        <w:ind w:firstLine="560"/>
        <w:rPr>
          <w:rFonts w:hAnsi="宋体" w:cs="宋体"/>
          <w:szCs w:val="28"/>
        </w:rPr>
      </w:pPr>
      <w:r>
        <w:rPr>
          <w:rFonts w:hint="eastAsia" w:hAnsi="宋体" w:cs="宋体"/>
          <w:szCs w:val="28"/>
        </w:rPr>
        <w:t>9.3.4腕部和踝部的YKK拉链可以帮助将袖口和裤腿收紧；</w:t>
      </w:r>
    </w:p>
    <w:p>
      <w:pPr>
        <w:pStyle w:val="8"/>
        <w:spacing w:line="600" w:lineRule="exact"/>
        <w:ind w:firstLine="560"/>
        <w:rPr>
          <w:rFonts w:hAnsi="宋体" w:cs="宋体"/>
          <w:szCs w:val="28"/>
        </w:rPr>
      </w:pPr>
      <w:r>
        <w:rPr>
          <w:rFonts w:hint="eastAsia" w:hAnsi="宋体" w:cs="宋体"/>
          <w:szCs w:val="28"/>
        </w:rPr>
        <w:t>9.3.5所有的缝线处都是用暗针缝制，并且都做了加固压胶处理，提高保暖性和舒适感；在膝盖和小腿处都有聚氨酯涂层垫，可以提供额外的保护；</w:t>
      </w:r>
    </w:p>
    <w:p>
      <w:pPr>
        <w:pStyle w:val="8"/>
        <w:spacing w:line="600" w:lineRule="exact"/>
        <w:ind w:firstLine="560"/>
        <w:rPr>
          <w:rFonts w:hAnsi="宋体" w:cs="宋体"/>
          <w:szCs w:val="28"/>
        </w:rPr>
      </w:pPr>
      <w:r>
        <w:rPr>
          <w:rFonts w:hint="eastAsia" w:hAnsi="宋体" w:cs="宋体"/>
          <w:szCs w:val="28"/>
        </w:rPr>
        <w:t>9.3.6在躯干的两侧部位有大摩擦力区域用于搭配救生衣固定使用，防止冲脱；</w:t>
      </w:r>
    </w:p>
    <w:p>
      <w:pPr>
        <w:pStyle w:val="8"/>
        <w:spacing w:line="600" w:lineRule="exact"/>
        <w:ind w:firstLine="560"/>
        <w:rPr>
          <w:rFonts w:hAnsi="宋体" w:cs="宋体"/>
          <w:szCs w:val="28"/>
        </w:rPr>
      </w:pPr>
      <w:r>
        <w:rPr>
          <w:rFonts w:hint="eastAsia" w:hAnsi="宋体" w:cs="宋体"/>
          <w:szCs w:val="28"/>
        </w:rPr>
        <w:t>9.3.7主要性能：面料拉伸强度≥150N，持续10s经纬向均未出现断裂现象，接缝处能经受≥100N的力量荷载10s未发生断裂，耐磨性面临经6000次循环摩擦后，补强经过8000次循环摩擦未被磨穿；</w:t>
      </w:r>
    </w:p>
    <w:p>
      <w:pPr>
        <w:pStyle w:val="8"/>
        <w:spacing w:line="600" w:lineRule="exact"/>
        <w:ind w:firstLine="560"/>
        <w:rPr>
          <w:rFonts w:hAnsi="宋体" w:cs="宋体"/>
          <w:szCs w:val="28"/>
        </w:rPr>
      </w:pPr>
      <w:r>
        <w:rPr>
          <w:rFonts w:hint="eastAsia" w:hAnsi="宋体" w:cs="宋体"/>
          <w:szCs w:val="28"/>
        </w:rPr>
        <w:t>9.3.8耐静水压100kpa下5min后未出现水滴渗透；</w:t>
      </w:r>
    </w:p>
    <w:p>
      <w:pPr>
        <w:pStyle w:val="8"/>
        <w:spacing w:line="600" w:lineRule="exact"/>
        <w:ind w:firstLine="560"/>
        <w:rPr>
          <w:rFonts w:hAnsi="宋体" w:cs="宋体"/>
          <w:szCs w:val="28"/>
        </w:rPr>
      </w:pPr>
      <w:r>
        <w:rPr>
          <w:rFonts w:hint="eastAsia" w:hAnsi="宋体" w:cs="宋体"/>
          <w:szCs w:val="28"/>
        </w:rPr>
        <w:t>9.3.9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rPr>
      </w:pPr>
      <w:r>
        <w:rPr>
          <w:rFonts w:hint="eastAsia" w:hAnsi="宋体" w:cs="宋体"/>
          <w:szCs w:val="28"/>
        </w:rPr>
        <w:t>10.模块B</w:t>
      </w:r>
    </w:p>
    <w:p>
      <w:pPr>
        <w:pStyle w:val="8"/>
        <w:spacing w:line="600" w:lineRule="exact"/>
        <w:ind w:firstLine="560"/>
        <w:rPr>
          <w:rFonts w:hAnsi="宋体" w:cs="宋体"/>
          <w:szCs w:val="28"/>
        </w:rPr>
      </w:pPr>
      <w:r>
        <w:rPr>
          <w:rFonts w:hint="eastAsia" w:hAnsi="宋体" w:cs="宋体"/>
          <w:szCs w:val="28"/>
        </w:rPr>
        <w:t>10.1</w:t>
      </w:r>
      <w:r>
        <w:rPr>
          <w:rFonts w:hint="eastAsia" w:hAnsi="宋体" w:cs="宋体"/>
          <w:szCs w:val="28"/>
          <w:u w:val="single"/>
        </w:rPr>
        <w:t>★激流救生衣套装20套</w:t>
      </w:r>
    </w:p>
    <w:p>
      <w:pPr>
        <w:pStyle w:val="8"/>
        <w:spacing w:line="600" w:lineRule="exact"/>
        <w:ind w:firstLine="560"/>
        <w:rPr>
          <w:rFonts w:hAnsi="宋体" w:cs="宋体"/>
          <w:szCs w:val="28"/>
        </w:rPr>
      </w:pPr>
      <w:r>
        <w:rPr>
          <w:rFonts w:hint="eastAsia" w:hAnsi="宋体" w:cs="宋体"/>
          <w:szCs w:val="28"/>
        </w:rPr>
        <w:t>10.1.1激流救生衣</w:t>
      </w:r>
    </w:p>
    <w:p>
      <w:pPr>
        <w:pStyle w:val="8"/>
        <w:spacing w:line="600" w:lineRule="exact"/>
        <w:ind w:firstLine="560"/>
        <w:rPr>
          <w:rFonts w:hAnsi="宋体" w:cs="宋体"/>
          <w:szCs w:val="28"/>
        </w:rPr>
      </w:pPr>
      <w:r>
        <w:rPr>
          <w:rFonts w:hint="eastAsia" w:hAnsi="宋体" w:cs="宋体"/>
          <w:szCs w:val="28"/>
        </w:rPr>
        <w:t>（1）浮力：≥150N，在淡水浸泡≥24h后，浮力损失：≤2%；</w:t>
      </w:r>
    </w:p>
    <w:p>
      <w:pPr>
        <w:pStyle w:val="8"/>
        <w:spacing w:line="600" w:lineRule="exact"/>
        <w:ind w:firstLine="560"/>
        <w:rPr>
          <w:rFonts w:hAnsi="宋体" w:cs="宋体"/>
          <w:szCs w:val="28"/>
        </w:rPr>
      </w:pPr>
      <w:r>
        <w:rPr>
          <w:rFonts w:hint="eastAsia" w:hAnsi="宋体" w:cs="宋体"/>
          <w:szCs w:val="28"/>
        </w:rPr>
        <w:t>（2）内衬应采用软质浮选泡沫或优于该材质，配置可拆卸胸式安全带，配备不锈钢O型环，可拆卸臀部/腿部绑带，防止救生衣脱离身体；</w:t>
      </w:r>
    </w:p>
    <w:p>
      <w:pPr>
        <w:pStyle w:val="8"/>
        <w:spacing w:line="600" w:lineRule="exact"/>
        <w:ind w:firstLine="560"/>
        <w:rPr>
          <w:rFonts w:hAnsi="宋体" w:cs="宋体"/>
          <w:szCs w:val="28"/>
        </w:rPr>
      </w:pPr>
      <w:r>
        <w:rPr>
          <w:rFonts w:hint="eastAsia" w:hAnsi="宋体" w:cs="宋体"/>
          <w:szCs w:val="28"/>
        </w:rPr>
        <w:t>（3）设置前开式单手快速脱扣，前置树脂材质拉链，后背配置牛尾绳（动力绳）与D型环，拉绳拉环破断力：≥10kN；</w:t>
      </w:r>
    </w:p>
    <w:p>
      <w:pPr>
        <w:pStyle w:val="8"/>
        <w:spacing w:line="600" w:lineRule="exact"/>
        <w:ind w:firstLine="560"/>
        <w:rPr>
          <w:rFonts w:hAnsi="宋体" w:cs="宋体"/>
          <w:szCs w:val="28"/>
        </w:rPr>
      </w:pPr>
      <w:r>
        <w:rPr>
          <w:rFonts w:hint="eastAsia" w:hAnsi="宋体" w:cs="宋体"/>
          <w:szCs w:val="28"/>
        </w:rPr>
        <w:t>（4）设置高亮反光带：≥8条；</w:t>
      </w:r>
    </w:p>
    <w:p>
      <w:pPr>
        <w:pStyle w:val="8"/>
        <w:spacing w:line="600" w:lineRule="exact"/>
        <w:ind w:firstLine="560"/>
        <w:rPr>
          <w:rFonts w:hAnsi="宋体" w:cs="宋体"/>
          <w:szCs w:val="28"/>
        </w:rPr>
      </w:pPr>
      <w:r>
        <w:rPr>
          <w:rFonts w:hint="eastAsia" w:hAnsi="宋体" w:cs="宋体"/>
          <w:szCs w:val="28"/>
        </w:rPr>
        <w:t>（5）救生衣前侧设置挂点：≥5个、后侧设置挂点：≥1个；</w:t>
      </w:r>
    </w:p>
    <w:p>
      <w:pPr>
        <w:pStyle w:val="8"/>
        <w:spacing w:line="600" w:lineRule="exact"/>
        <w:ind w:firstLine="560"/>
        <w:rPr>
          <w:rFonts w:hAnsi="宋体" w:cs="宋体"/>
          <w:szCs w:val="28"/>
        </w:rPr>
      </w:pPr>
      <w:r>
        <w:rPr>
          <w:rFonts w:hint="eastAsia" w:hAnsi="宋体" w:cs="宋体"/>
          <w:szCs w:val="28"/>
        </w:rPr>
        <w:t>（6）救生衣前侧设置可拆卸口袋：≥2个，整体设置反光标识带；</w:t>
      </w:r>
    </w:p>
    <w:p>
      <w:pPr>
        <w:pStyle w:val="8"/>
        <w:spacing w:line="600" w:lineRule="exact"/>
        <w:ind w:firstLine="560"/>
        <w:rPr>
          <w:rFonts w:hAnsi="宋体" w:cs="宋体"/>
          <w:szCs w:val="28"/>
        </w:rPr>
      </w:pPr>
      <w:r>
        <w:rPr>
          <w:rFonts w:hint="eastAsia" w:hAnsi="宋体" w:cs="宋体"/>
          <w:szCs w:val="28"/>
        </w:rPr>
        <w:t>（7）救生衣配置救生高音口哨（非滚珠类）：≥1只，音量：≥110dB，示位灯：≥1只，割绳刀：≥1把；</w:t>
      </w:r>
    </w:p>
    <w:p>
      <w:pPr>
        <w:pStyle w:val="8"/>
        <w:spacing w:line="600" w:lineRule="exact"/>
        <w:ind w:firstLine="560"/>
        <w:rPr>
          <w:rFonts w:hAnsi="宋体" w:cs="宋体"/>
          <w:szCs w:val="28"/>
        </w:rPr>
      </w:pPr>
      <w:r>
        <w:rPr>
          <w:rFonts w:hint="eastAsia" w:hAnsi="宋体" w:cs="宋体"/>
          <w:szCs w:val="28"/>
        </w:rPr>
        <w:t>（8）穿着救生衣以任意方式下水，救生衣能使人体处于立姿状态（5s内），且人嘴部位高出水面：≥120mm；</w:t>
      </w:r>
    </w:p>
    <w:p>
      <w:pPr>
        <w:pStyle w:val="8"/>
        <w:spacing w:line="600" w:lineRule="exact"/>
        <w:ind w:firstLine="560"/>
        <w:rPr>
          <w:rFonts w:hAnsi="宋体" w:cs="宋体"/>
          <w:szCs w:val="28"/>
        </w:rPr>
      </w:pPr>
      <w:r>
        <w:rPr>
          <w:rFonts w:hint="eastAsia" w:hAnsi="宋体" w:cs="宋体"/>
          <w:szCs w:val="28"/>
        </w:rPr>
        <w:t>（9）背面设置可拆卸式反光板魔术贴：≥2个，反光板内容为根据采购人需求印制；</w:t>
      </w:r>
    </w:p>
    <w:p>
      <w:pPr>
        <w:pStyle w:val="8"/>
        <w:spacing w:line="600" w:lineRule="exact"/>
        <w:ind w:firstLine="560"/>
        <w:rPr>
          <w:rFonts w:hAnsi="宋体" w:cs="宋体"/>
          <w:szCs w:val="28"/>
        </w:rPr>
      </w:pPr>
      <w:r>
        <w:rPr>
          <w:rFonts w:hint="eastAsia" w:hAnsi="宋体" w:cs="宋体"/>
          <w:szCs w:val="28"/>
        </w:rPr>
        <w:t>（10）设置永久性标志及产品数据标识。</w:t>
      </w:r>
    </w:p>
    <w:p>
      <w:pPr>
        <w:pStyle w:val="8"/>
        <w:spacing w:line="600" w:lineRule="exact"/>
        <w:ind w:firstLine="560"/>
        <w:rPr>
          <w:rFonts w:hAnsi="宋体" w:cs="宋体"/>
          <w:szCs w:val="28"/>
        </w:rPr>
      </w:pPr>
      <w:r>
        <w:rPr>
          <w:rFonts w:hint="eastAsia" w:hAnsi="宋体" w:cs="宋体"/>
          <w:szCs w:val="28"/>
        </w:rPr>
        <w:t>10.1.2救生圈</w:t>
      </w:r>
    </w:p>
    <w:p>
      <w:pPr>
        <w:pStyle w:val="8"/>
        <w:spacing w:line="600" w:lineRule="exact"/>
        <w:ind w:firstLine="560"/>
        <w:rPr>
          <w:rFonts w:hAnsi="宋体" w:cs="宋体"/>
          <w:szCs w:val="28"/>
        </w:rPr>
      </w:pPr>
      <w:r>
        <w:rPr>
          <w:rFonts w:hint="eastAsia" w:hAnsi="宋体" w:cs="宋体"/>
          <w:szCs w:val="28"/>
        </w:rPr>
        <w:t>（1）重量：≤12kg，外径：≥700mm、内径：≥400mm；</w:t>
      </w:r>
    </w:p>
    <w:p>
      <w:pPr>
        <w:pStyle w:val="8"/>
        <w:spacing w:line="600" w:lineRule="exact"/>
        <w:ind w:firstLine="560"/>
        <w:rPr>
          <w:rFonts w:hAnsi="宋体" w:cs="宋体"/>
          <w:szCs w:val="28"/>
        </w:rPr>
      </w:pPr>
      <w:r>
        <w:rPr>
          <w:rFonts w:hint="eastAsia" w:hAnsi="宋体" w:cs="宋体"/>
          <w:szCs w:val="28"/>
        </w:rPr>
        <w:t>（2）救生圈固有浮力：≥130N，</w:t>
      </w:r>
      <w:r>
        <w:rPr>
          <w:rFonts w:hint="eastAsia" w:hAnsi="宋体" w:cs="宋体"/>
          <w:szCs w:val="28"/>
          <w:lang w:eastAsia="zh-CN"/>
        </w:rPr>
        <w:t>聚乙烯复合塑料材质</w:t>
      </w:r>
      <w:r>
        <w:rPr>
          <w:rFonts w:hint="eastAsia" w:hAnsi="宋体" w:cs="宋体"/>
          <w:szCs w:val="28"/>
        </w:rPr>
        <w:t>；</w:t>
      </w:r>
    </w:p>
    <w:p>
      <w:pPr>
        <w:pStyle w:val="8"/>
        <w:spacing w:line="600" w:lineRule="exact"/>
        <w:ind w:firstLine="560"/>
        <w:rPr>
          <w:rFonts w:hAnsi="宋体" w:cs="宋体"/>
          <w:szCs w:val="28"/>
        </w:rPr>
      </w:pPr>
      <w:r>
        <w:rPr>
          <w:rFonts w:hint="eastAsia" w:hAnsi="宋体" w:cs="宋体"/>
          <w:szCs w:val="28"/>
        </w:rPr>
        <w:t>（3）设置永久性标志及产品数据标识。</w:t>
      </w:r>
    </w:p>
    <w:p>
      <w:pPr>
        <w:pStyle w:val="8"/>
        <w:spacing w:line="600" w:lineRule="exact"/>
        <w:ind w:firstLine="560"/>
        <w:rPr>
          <w:rFonts w:hAnsi="宋体" w:cs="宋体"/>
          <w:szCs w:val="28"/>
        </w:rPr>
      </w:pPr>
      <w:r>
        <w:rPr>
          <w:rFonts w:hint="eastAsia" w:hAnsi="宋体" w:cs="宋体"/>
          <w:szCs w:val="28"/>
        </w:rPr>
        <w:t>10.1.3救生短绳</w:t>
      </w:r>
    </w:p>
    <w:p>
      <w:pPr>
        <w:pStyle w:val="8"/>
        <w:spacing w:line="600" w:lineRule="exact"/>
        <w:ind w:firstLine="560"/>
        <w:rPr>
          <w:rFonts w:hAnsi="宋体" w:cs="宋体"/>
          <w:szCs w:val="28"/>
        </w:rPr>
      </w:pPr>
      <w:r>
        <w:rPr>
          <w:rFonts w:hint="eastAsia" w:hAnsi="宋体" w:cs="宋体"/>
          <w:szCs w:val="28"/>
        </w:rPr>
        <w:t>（1）包芯绳结构，主承受部分由连续纤维制成，具备发光功能；</w:t>
      </w:r>
    </w:p>
    <w:p>
      <w:pPr>
        <w:pStyle w:val="8"/>
        <w:spacing w:line="600" w:lineRule="exact"/>
        <w:ind w:firstLine="560"/>
        <w:rPr>
          <w:rFonts w:hAnsi="宋体" w:cs="宋体"/>
          <w:szCs w:val="28"/>
        </w:rPr>
      </w:pPr>
      <w:r>
        <w:rPr>
          <w:rFonts w:hint="eastAsia" w:hAnsi="宋体" w:cs="宋体"/>
          <w:szCs w:val="28"/>
        </w:rPr>
        <w:t>（2）最小破断强度：≥35kN，在水面漂浮≥48h，无明显下沉；</w:t>
      </w:r>
    </w:p>
    <w:p>
      <w:pPr>
        <w:pStyle w:val="8"/>
        <w:spacing w:line="600" w:lineRule="exact"/>
        <w:ind w:firstLine="560"/>
        <w:rPr>
          <w:rFonts w:hAnsi="宋体" w:cs="宋体"/>
          <w:szCs w:val="28"/>
        </w:rPr>
      </w:pPr>
      <w:r>
        <w:rPr>
          <w:rFonts w:hint="eastAsia" w:hAnsi="宋体" w:cs="宋体"/>
          <w:szCs w:val="28"/>
        </w:rPr>
        <w:t>（3）具备耐酸碱腐蚀、耐油性能，救生绳表面无机械损坏现象，整绳粗细均匀、结构一致，配备绳包；</w:t>
      </w:r>
    </w:p>
    <w:p>
      <w:pPr>
        <w:pStyle w:val="8"/>
        <w:spacing w:line="600" w:lineRule="exact"/>
        <w:ind w:firstLine="560"/>
        <w:rPr>
          <w:rFonts w:hAnsi="宋体" w:cs="宋体"/>
          <w:szCs w:val="28"/>
        </w:rPr>
      </w:pPr>
      <w:r>
        <w:rPr>
          <w:rFonts w:hint="eastAsia" w:hAnsi="宋体" w:cs="宋体"/>
          <w:szCs w:val="28"/>
        </w:rPr>
        <w:t>（4）设置永久性标志及产品数据标识。</w:t>
      </w:r>
    </w:p>
    <w:p>
      <w:pPr>
        <w:pStyle w:val="8"/>
        <w:spacing w:line="600" w:lineRule="exact"/>
        <w:ind w:firstLine="560"/>
        <w:rPr>
          <w:rFonts w:hAnsi="宋体" w:cs="宋体"/>
          <w:szCs w:val="28"/>
        </w:rPr>
      </w:pPr>
      <w:r>
        <w:rPr>
          <w:rFonts w:hint="eastAsia" w:hAnsi="宋体" w:cs="宋体"/>
          <w:szCs w:val="28"/>
        </w:rPr>
        <w:t>10.2</w:t>
      </w:r>
      <w:r>
        <w:rPr>
          <w:rFonts w:hint="eastAsia" w:hAnsi="宋体" w:cs="宋体"/>
          <w:szCs w:val="28"/>
          <w:u w:val="single"/>
        </w:rPr>
        <w:t>★橡皮艇1个</w:t>
      </w:r>
    </w:p>
    <w:p>
      <w:pPr>
        <w:pStyle w:val="8"/>
        <w:spacing w:line="600" w:lineRule="exact"/>
        <w:ind w:firstLine="560"/>
        <w:rPr>
          <w:rFonts w:hAnsi="宋体" w:cs="宋体"/>
          <w:szCs w:val="28"/>
        </w:rPr>
      </w:pPr>
      <w:r>
        <w:rPr>
          <w:rFonts w:hint="eastAsia" w:hAnsi="宋体" w:cs="宋体"/>
          <w:szCs w:val="28"/>
        </w:rPr>
        <w:t>10.2.1总体要求</w:t>
      </w:r>
    </w:p>
    <w:p>
      <w:pPr>
        <w:pStyle w:val="8"/>
        <w:spacing w:line="600" w:lineRule="exact"/>
        <w:ind w:firstLine="560"/>
        <w:rPr>
          <w:rFonts w:hAnsi="宋体" w:cs="宋体"/>
          <w:szCs w:val="28"/>
        </w:rPr>
      </w:pPr>
      <w:r>
        <w:rPr>
          <w:rFonts w:hint="eastAsia" w:hAnsi="宋体" w:cs="宋体"/>
          <w:szCs w:val="28"/>
        </w:rPr>
        <w:t>用于水域救援；舟体为充气式，配马达；采用双尾椎充气船体结构，船底部有充气舷梁，高强度铝合金拼装甲板，具有排水阀门；</w:t>
      </w:r>
    </w:p>
    <w:p>
      <w:pPr>
        <w:pStyle w:val="8"/>
        <w:spacing w:line="600" w:lineRule="exact"/>
        <w:ind w:firstLine="560"/>
        <w:rPr>
          <w:rFonts w:hAnsi="宋体" w:cs="宋体"/>
          <w:szCs w:val="28"/>
        </w:rPr>
      </w:pPr>
      <w:r>
        <w:rPr>
          <w:rFonts w:hint="eastAsia" w:hAnsi="宋体" w:cs="宋体"/>
          <w:szCs w:val="28"/>
        </w:rPr>
        <w:t>10.2.2技术要求</w:t>
      </w:r>
    </w:p>
    <w:p>
      <w:pPr>
        <w:pStyle w:val="8"/>
        <w:spacing w:line="600" w:lineRule="exact"/>
        <w:ind w:firstLine="560"/>
        <w:rPr>
          <w:rFonts w:hAnsi="宋体" w:cs="宋体"/>
          <w:szCs w:val="28"/>
        </w:rPr>
      </w:pPr>
      <w:r>
        <w:rPr>
          <w:rFonts w:hint="eastAsia" w:hAnsi="宋体" w:cs="宋体"/>
          <w:szCs w:val="28"/>
        </w:rPr>
        <w:t>（1）额定乘员：≥8人；</w:t>
      </w:r>
    </w:p>
    <w:p>
      <w:pPr>
        <w:pStyle w:val="8"/>
        <w:spacing w:line="600" w:lineRule="exact"/>
        <w:ind w:firstLine="560"/>
        <w:rPr>
          <w:rFonts w:hAnsi="宋体" w:cs="宋体"/>
          <w:szCs w:val="28"/>
        </w:rPr>
      </w:pPr>
      <w:r>
        <w:rPr>
          <w:rFonts w:hint="eastAsia" w:hAnsi="宋体" w:cs="宋体"/>
          <w:szCs w:val="28"/>
        </w:rPr>
        <w:t>（2）尺寸：艇长400±20cm；宽170±20cm；舷直径45±5cm；</w:t>
      </w:r>
    </w:p>
    <w:p>
      <w:pPr>
        <w:pStyle w:val="8"/>
        <w:spacing w:line="600" w:lineRule="exact"/>
        <w:ind w:firstLine="560"/>
        <w:rPr>
          <w:rFonts w:hAnsi="宋体" w:cs="宋体"/>
          <w:szCs w:val="28"/>
        </w:rPr>
      </w:pPr>
      <w:r>
        <w:rPr>
          <w:rFonts w:hint="eastAsia" w:hAnsi="宋体" w:cs="宋体"/>
          <w:szCs w:val="28"/>
        </w:rPr>
        <w:t>（3）结构：船底充气拉丝底板，M型艇底，底部加装耐磨条；</w:t>
      </w:r>
    </w:p>
    <w:p>
      <w:pPr>
        <w:pStyle w:val="8"/>
        <w:spacing w:line="600" w:lineRule="exact"/>
        <w:ind w:firstLine="560"/>
        <w:rPr>
          <w:rFonts w:hAnsi="宋体" w:cs="宋体"/>
          <w:szCs w:val="28"/>
        </w:rPr>
      </w:pPr>
      <w:r>
        <w:rPr>
          <w:rFonts w:hint="eastAsia" w:hAnsi="宋体" w:cs="宋体"/>
          <w:szCs w:val="28"/>
        </w:rPr>
        <w:t>（4）材质：≥0.9mm聚氯乙烯高强度复合材料；</w:t>
      </w:r>
    </w:p>
    <w:p>
      <w:pPr>
        <w:pStyle w:val="8"/>
        <w:spacing w:line="600" w:lineRule="exact"/>
        <w:ind w:firstLine="560"/>
        <w:rPr>
          <w:rFonts w:hAnsi="宋体" w:cs="宋体"/>
          <w:szCs w:val="28"/>
        </w:rPr>
      </w:pPr>
      <w:r>
        <w:rPr>
          <w:rFonts w:hint="eastAsia" w:hAnsi="宋体" w:cs="宋体"/>
          <w:szCs w:val="28"/>
        </w:rPr>
        <w:t>（5）气室数量：4个（3个船体气囊+1个龙骨气囊）；</w:t>
      </w:r>
    </w:p>
    <w:p>
      <w:pPr>
        <w:pStyle w:val="8"/>
        <w:spacing w:line="600" w:lineRule="exact"/>
        <w:ind w:firstLine="560"/>
        <w:rPr>
          <w:rFonts w:hAnsi="宋体" w:cs="宋体"/>
          <w:szCs w:val="28"/>
        </w:rPr>
      </w:pPr>
      <w:r>
        <w:rPr>
          <w:rFonts w:hint="eastAsia" w:hAnsi="宋体" w:cs="宋体"/>
          <w:szCs w:val="28"/>
        </w:rPr>
        <w:t>（6）设计水面载重：≥800kg；</w:t>
      </w:r>
    </w:p>
    <w:p>
      <w:pPr>
        <w:pStyle w:val="8"/>
        <w:spacing w:line="600" w:lineRule="exact"/>
        <w:ind w:firstLine="560"/>
        <w:rPr>
          <w:rFonts w:hAnsi="宋体" w:cs="宋体"/>
          <w:szCs w:val="28"/>
        </w:rPr>
      </w:pPr>
      <w:r>
        <w:rPr>
          <w:rFonts w:hint="eastAsia" w:hAnsi="宋体" w:cs="宋体"/>
          <w:szCs w:val="28"/>
        </w:rPr>
        <w:t>（7）舟底接触地面位置覆加厚橡胶层；</w:t>
      </w:r>
    </w:p>
    <w:p>
      <w:pPr>
        <w:pStyle w:val="8"/>
        <w:spacing w:line="600" w:lineRule="exact"/>
        <w:ind w:firstLine="560"/>
        <w:rPr>
          <w:rFonts w:hAnsi="宋体" w:cs="宋体"/>
          <w:szCs w:val="28"/>
        </w:rPr>
      </w:pPr>
      <w:r>
        <w:rPr>
          <w:rFonts w:hint="eastAsia" w:hAnsi="宋体" w:cs="宋体"/>
          <w:szCs w:val="28"/>
        </w:rPr>
        <w:t>（8）浮筒外侧安装安全绳索，艇身加装安全把手用于固定抓握；</w:t>
      </w:r>
    </w:p>
    <w:p>
      <w:pPr>
        <w:pStyle w:val="8"/>
        <w:spacing w:line="600" w:lineRule="exact"/>
        <w:ind w:firstLine="560"/>
        <w:rPr>
          <w:rFonts w:hAnsi="宋体" w:cs="宋体"/>
          <w:szCs w:val="28"/>
        </w:rPr>
      </w:pPr>
      <w:r>
        <w:rPr>
          <w:rFonts w:hint="eastAsia" w:hAnsi="宋体" w:cs="宋体"/>
          <w:szCs w:val="28"/>
        </w:rPr>
        <w:t>（9）艉板与气囊连接处采用双向金属片夹固处理；</w:t>
      </w:r>
    </w:p>
    <w:p>
      <w:pPr>
        <w:pStyle w:val="8"/>
        <w:spacing w:line="600" w:lineRule="exact"/>
        <w:ind w:firstLine="560"/>
        <w:rPr>
          <w:rFonts w:hAnsi="宋体" w:cs="宋体"/>
          <w:szCs w:val="28"/>
        </w:rPr>
      </w:pPr>
      <w:r>
        <w:rPr>
          <w:rFonts w:hint="eastAsia" w:hAnsi="宋体" w:cs="宋体"/>
          <w:szCs w:val="28"/>
        </w:rPr>
        <w:t>（10）材料强度：提供检测报告；</w:t>
      </w:r>
    </w:p>
    <w:p>
      <w:pPr>
        <w:pStyle w:val="8"/>
        <w:spacing w:line="600" w:lineRule="exact"/>
        <w:ind w:firstLine="560"/>
        <w:rPr>
          <w:rFonts w:hAnsi="宋体" w:cs="宋体"/>
          <w:szCs w:val="28"/>
        </w:rPr>
      </w:pPr>
      <w:r>
        <w:rPr>
          <w:rFonts w:hint="eastAsia" w:hAnsi="宋体" w:cs="宋体"/>
          <w:szCs w:val="28"/>
        </w:rPr>
        <w:t>（11）依据GB/T2423.2-2008标准高温老化测试：材料在40℃环境内存放，1h后试样外观完好；</w:t>
      </w:r>
    </w:p>
    <w:p>
      <w:pPr>
        <w:pStyle w:val="8"/>
        <w:spacing w:line="600" w:lineRule="exact"/>
        <w:ind w:firstLine="560"/>
        <w:rPr>
          <w:rFonts w:hAnsi="宋体" w:cs="宋体"/>
          <w:szCs w:val="28"/>
        </w:rPr>
      </w:pPr>
      <w:r>
        <w:rPr>
          <w:rFonts w:hint="eastAsia" w:hAnsi="宋体" w:cs="宋体"/>
          <w:szCs w:val="28"/>
        </w:rPr>
        <w:t>（12）备用附件：每舟配备缆绳和修补工具，修补工具至少包含专用胶水1支，气阀扳手1个，维修材料3张、铝合金划桨2副、电动气泵1个；</w:t>
      </w:r>
    </w:p>
    <w:p>
      <w:pPr>
        <w:pStyle w:val="8"/>
        <w:spacing w:line="600" w:lineRule="exact"/>
        <w:ind w:firstLine="560"/>
        <w:rPr>
          <w:rFonts w:hAnsi="宋体" w:cs="宋体"/>
          <w:szCs w:val="28"/>
        </w:rPr>
      </w:pPr>
      <w:r>
        <w:rPr>
          <w:rFonts w:hint="eastAsia" w:hAnsi="宋体" w:cs="宋体"/>
          <w:szCs w:val="28"/>
        </w:rPr>
        <w:t>10.2.3舷外机</w:t>
      </w:r>
    </w:p>
    <w:p>
      <w:pPr>
        <w:pStyle w:val="8"/>
        <w:spacing w:line="600" w:lineRule="exact"/>
        <w:ind w:firstLine="560"/>
        <w:rPr>
          <w:rFonts w:hAnsi="宋体" w:cs="宋体"/>
          <w:szCs w:val="28"/>
        </w:rPr>
      </w:pPr>
      <w:r>
        <w:rPr>
          <w:rFonts w:hint="eastAsia" w:hAnsi="宋体" w:cs="宋体"/>
          <w:szCs w:val="28"/>
        </w:rPr>
        <w:t>（1）功率≥30匹马力；</w:t>
      </w:r>
    </w:p>
    <w:p>
      <w:pPr>
        <w:pStyle w:val="8"/>
        <w:spacing w:line="600" w:lineRule="exact"/>
        <w:ind w:firstLine="560"/>
        <w:rPr>
          <w:rFonts w:hAnsi="宋体" w:cs="宋体"/>
          <w:szCs w:val="28"/>
        </w:rPr>
      </w:pPr>
      <w:r>
        <w:rPr>
          <w:rFonts w:hint="eastAsia" w:hAnsi="宋体" w:cs="宋体"/>
          <w:szCs w:val="28"/>
        </w:rPr>
        <w:t>（2）随机油箱：≥20L；</w:t>
      </w:r>
    </w:p>
    <w:p>
      <w:pPr>
        <w:pStyle w:val="8"/>
        <w:spacing w:line="600" w:lineRule="exact"/>
        <w:ind w:firstLine="560"/>
        <w:rPr>
          <w:rFonts w:hAnsi="宋体" w:cs="宋体"/>
          <w:szCs w:val="28"/>
        </w:rPr>
      </w:pPr>
      <w:r>
        <w:rPr>
          <w:rFonts w:hint="eastAsia" w:hAnsi="宋体" w:cs="宋体"/>
          <w:szCs w:val="28"/>
        </w:rPr>
        <w:t>（3）启动系统：手启动和电启动一体；</w:t>
      </w:r>
    </w:p>
    <w:p>
      <w:pPr>
        <w:pStyle w:val="8"/>
        <w:spacing w:line="600" w:lineRule="exact"/>
        <w:ind w:firstLine="560"/>
        <w:rPr>
          <w:rFonts w:hAnsi="宋体" w:cs="宋体"/>
          <w:szCs w:val="28"/>
        </w:rPr>
      </w:pPr>
      <w:r>
        <w:rPr>
          <w:rFonts w:hint="eastAsia" w:hAnsi="宋体" w:cs="宋体"/>
          <w:szCs w:val="28"/>
        </w:rPr>
        <w:t>10.2.4其他要求</w:t>
      </w:r>
    </w:p>
    <w:p>
      <w:pPr>
        <w:pStyle w:val="8"/>
        <w:spacing w:line="600" w:lineRule="exact"/>
        <w:ind w:firstLine="560"/>
        <w:rPr>
          <w:rFonts w:hAnsi="宋体" w:cs="宋体"/>
          <w:szCs w:val="28"/>
        </w:rPr>
      </w:pPr>
      <w:r>
        <w:rPr>
          <w:rFonts w:hint="eastAsia" w:hAnsi="宋体" w:cs="宋体"/>
          <w:szCs w:val="28"/>
        </w:rPr>
        <w:t>（1）产品通过中国船级社（CCS）检测认证；提供中国船级社（CCS）出具的检验报告；</w:t>
      </w:r>
    </w:p>
    <w:p>
      <w:pPr>
        <w:pStyle w:val="8"/>
        <w:spacing w:line="600" w:lineRule="exact"/>
        <w:ind w:firstLine="560"/>
        <w:rPr>
          <w:rFonts w:hAnsi="宋体" w:cs="宋体"/>
          <w:szCs w:val="28"/>
        </w:rPr>
      </w:pPr>
      <w:r>
        <w:rPr>
          <w:rFonts w:hint="eastAsia" w:hAnsi="宋体" w:cs="宋体"/>
          <w:szCs w:val="28"/>
        </w:rPr>
        <w:t>（2）随艇配备螺旋桨保护罩、舷外机手拖车、救援艇围板折叠轮，便于单人搬运；</w:t>
      </w:r>
    </w:p>
    <w:p>
      <w:pPr>
        <w:pStyle w:val="8"/>
        <w:spacing w:line="600" w:lineRule="exact"/>
        <w:ind w:firstLine="560"/>
        <w:rPr>
          <w:rFonts w:hAnsi="宋体" w:cs="宋体"/>
          <w:szCs w:val="28"/>
        </w:rPr>
      </w:pPr>
      <w:r>
        <w:rPr>
          <w:rFonts w:hint="eastAsia" w:hAnsi="宋体" w:cs="宋体"/>
          <w:szCs w:val="28"/>
        </w:rPr>
        <w:t>（3）其他要求：供货时，须提供中文使用说明书、产品品牌、生产厂家详细地址、联络方式和售后服务联络方式；其它方面必须提供相应认证资料；</w:t>
      </w:r>
    </w:p>
    <w:p>
      <w:pPr>
        <w:pStyle w:val="8"/>
        <w:spacing w:line="600" w:lineRule="exact"/>
        <w:ind w:firstLine="560"/>
        <w:rPr>
          <w:rFonts w:hAnsi="宋体" w:cs="宋体"/>
          <w:szCs w:val="28"/>
        </w:rPr>
      </w:pPr>
      <w:r>
        <w:rPr>
          <w:rFonts w:hint="eastAsia" w:hAnsi="宋体" w:cs="宋体"/>
          <w:szCs w:val="28"/>
        </w:rPr>
        <w:t>（4）船身喷涂与采购单位沟通。</w:t>
      </w:r>
    </w:p>
    <w:p>
      <w:pPr>
        <w:pStyle w:val="8"/>
        <w:spacing w:line="600" w:lineRule="exact"/>
        <w:ind w:firstLine="560"/>
        <w:rPr>
          <w:rFonts w:hAnsi="宋体" w:cs="宋体"/>
          <w:szCs w:val="28"/>
        </w:rPr>
      </w:pPr>
      <w:r>
        <w:rPr>
          <w:rFonts w:hint="eastAsia" w:hAnsi="宋体" w:cs="宋体"/>
          <w:szCs w:val="28"/>
        </w:rPr>
        <w:t>11.模块C</w:t>
      </w:r>
    </w:p>
    <w:p>
      <w:pPr>
        <w:pStyle w:val="8"/>
        <w:spacing w:line="600" w:lineRule="exact"/>
        <w:ind w:firstLine="560"/>
        <w:rPr>
          <w:rFonts w:hAnsi="宋体" w:cs="宋体"/>
          <w:szCs w:val="28"/>
          <w:u w:val="single"/>
        </w:rPr>
      </w:pPr>
      <w:r>
        <w:rPr>
          <w:rFonts w:hint="eastAsia" w:hAnsi="宋体" w:cs="宋体"/>
          <w:szCs w:val="28"/>
        </w:rPr>
        <w:t>11.1</w:t>
      </w:r>
      <w:r>
        <w:rPr>
          <w:rFonts w:hint="eastAsia" w:hAnsi="宋体" w:cs="宋体"/>
          <w:szCs w:val="28"/>
          <w:u w:val="single"/>
        </w:rPr>
        <w:t>★激流救生衣套装5套</w:t>
      </w:r>
    </w:p>
    <w:p>
      <w:pPr>
        <w:pStyle w:val="8"/>
        <w:spacing w:line="600" w:lineRule="exact"/>
        <w:ind w:firstLine="560"/>
        <w:rPr>
          <w:rFonts w:hAnsi="宋体" w:cs="宋体"/>
          <w:szCs w:val="28"/>
        </w:rPr>
      </w:pPr>
      <w:r>
        <w:rPr>
          <w:rFonts w:hint="eastAsia" w:hAnsi="宋体" w:cs="宋体"/>
          <w:szCs w:val="28"/>
        </w:rPr>
        <w:t>11.1.1激流救生衣</w:t>
      </w:r>
    </w:p>
    <w:p>
      <w:pPr>
        <w:pStyle w:val="8"/>
        <w:spacing w:line="600" w:lineRule="exact"/>
        <w:ind w:firstLine="560"/>
        <w:rPr>
          <w:rFonts w:hAnsi="宋体" w:cs="宋体"/>
          <w:szCs w:val="28"/>
        </w:rPr>
      </w:pPr>
      <w:r>
        <w:rPr>
          <w:rFonts w:hint="eastAsia" w:hAnsi="宋体" w:cs="宋体"/>
          <w:szCs w:val="28"/>
        </w:rPr>
        <w:t>（1）浮力：≥150N，在淡水浸泡24h后，浮力损失：≤2%；</w:t>
      </w:r>
    </w:p>
    <w:p>
      <w:pPr>
        <w:pStyle w:val="8"/>
        <w:spacing w:line="600" w:lineRule="exact"/>
        <w:ind w:firstLine="560"/>
        <w:rPr>
          <w:rFonts w:hAnsi="宋体" w:cs="宋体"/>
          <w:szCs w:val="28"/>
        </w:rPr>
      </w:pPr>
      <w:r>
        <w:rPr>
          <w:rFonts w:hint="eastAsia" w:hAnsi="宋体" w:cs="宋体"/>
          <w:szCs w:val="28"/>
        </w:rPr>
        <w:t>（2）内衬应采用软质浮选泡沫或优于该材质，配置可拆卸胸式安全带，配备不锈钢O型环，可拆卸臀部/腿部绑带，防止救生衣脱离身体；</w:t>
      </w:r>
    </w:p>
    <w:p>
      <w:pPr>
        <w:pStyle w:val="8"/>
        <w:spacing w:line="600" w:lineRule="exact"/>
        <w:ind w:firstLine="560"/>
        <w:rPr>
          <w:rFonts w:hAnsi="宋体" w:cs="宋体"/>
          <w:szCs w:val="28"/>
        </w:rPr>
      </w:pPr>
      <w:r>
        <w:rPr>
          <w:rFonts w:hint="eastAsia" w:hAnsi="宋体" w:cs="宋体"/>
          <w:szCs w:val="28"/>
        </w:rPr>
        <w:t>（3）设置前开式单手快速脱扣，前置树脂材质拉链，后背配置牛尾绳（动力绳）与D型环，拉绳拉环破断力：≥10kN；</w:t>
      </w:r>
    </w:p>
    <w:p>
      <w:pPr>
        <w:pStyle w:val="8"/>
        <w:spacing w:line="600" w:lineRule="exact"/>
        <w:ind w:firstLine="560"/>
        <w:rPr>
          <w:rFonts w:hAnsi="宋体" w:cs="宋体"/>
          <w:szCs w:val="28"/>
        </w:rPr>
      </w:pPr>
      <w:r>
        <w:rPr>
          <w:rFonts w:hint="eastAsia" w:hAnsi="宋体" w:cs="宋体"/>
          <w:szCs w:val="28"/>
        </w:rPr>
        <w:t>（4）设置高亮反光带：≥8条；</w:t>
      </w:r>
    </w:p>
    <w:p>
      <w:pPr>
        <w:pStyle w:val="8"/>
        <w:spacing w:line="600" w:lineRule="exact"/>
        <w:ind w:firstLine="560"/>
        <w:rPr>
          <w:rFonts w:hAnsi="宋体" w:cs="宋体"/>
          <w:szCs w:val="28"/>
        </w:rPr>
      </w:pPr>
      <w:r>
        <w:rPr>
          <w:rFonts w:hint="eastAsia" w:hAnsi="宋体" w:cs="宋体"/>
          <w:szCs w:val="28"/>
        </w:rPr>
        <w:t>（5）救生衣前侧设置挂点：≥5个、后侧设置挂点：≥1个；</w:t>
      </w:r>
    </w:p>
    <w:p>
      <w:pPr>
        <w:pStyle w:val="8"/>
        <w:spacing w:line="600" w:lineRule="exact"/>
        <w:ind w:firstLine="560"/>
        <w:rPr>
          <w:rFonts w:hAnsi="宋体" w:cs="宋体"/>
          <w:szCs w:val="28"/>
        </w:rPr>
      </w:pPr>
      <w:r>
        <w:rPr>
          <w:rFonts w:hint="eastAsia" w:hAnsi="宋体" w:cs="宋体"/>
          <w:szCs w:val="28"/>
        </w:rPr>
        <w:t>（6）救生衣前侧设置可拆卸口袋：≥2个，整体设置反光标识带；</w:t>
      </w:r>
    </w:p>
    <w:p>
      <w:pPr>
        <w:pStyle w:val="8"/>
        <w:spacing w:line="600" w:lineRule="exact"/>
        <w:ind w:firstLine="560"/>
        <w:rPr>
          <w:rFonts w:hAnsi="宋体" w:cs="宋体"/>
          <w:szCs w:val="28"/>
        </w:rPr>
      </w:pPr>
      <w:r>
        <w:rPr>
          <w:rFonts w:hint="eastAsia" w:hAnsi="宋体" w:cs="宋体"/>
          <w:szCs w:val="28"/>
        </w:rPr>
        <w:t>（7）救生衣配置救生高音口哨（非滚珠类）：≥1只，音量：≥110dB，示位灯：≥1只，割绳刀：≥1把；</w:t>
      </w:r>
    </w:p>
    <w:p>
      <w:pPr>
        <w:pStyle w:val="8"/>
        <w:spacing w:line="600" w:lineRule="exact"/>
        <w:ind w:firstLine="560"/>
        <w:rPr>
          <w:rFonts w:hAnsi="宋体" w:cs="宋体"/>
          <w:szCs w:val="28"/>
        </w:rPr>
      </w:pPr>
      <w:r>
        <w:rPr>
          <w:rFonts w:hint="eastAsia" w:hAnsi="宋体" w:cs="宋体"/>
          <w:szCs w:val="28"/>
        </w:rPr>
        <w:t>（8）穿着救生衣以任意方式下水，救生衣能使人体处于立姿状态（5s内），且人嘴部位高出水面：≥120mm；</w:t>
      </w:r>
    </w:p>
    <w:p>
      <w:pPr>
        <w:pStyle w:val="8"/>
        <w:spacing w:line="600" w:lineRule="exact"/>
        <w:ind w:firstLine="560"/>
        <w:rPr>
          <w:rFonts w:hAnsi="宋体" w:cs="宋体"/>
          <w:szCs w:val="28"/>
        </w:rPr>
      </w:pPr>
      <w:r>
        <w:rPr>
          <w:rFonts w:hint="eastAsia" w:hAnsi="宋体" w:cs="宋体"/>
          <w:szCs w:val="28"/>
        </w:rPr>
        <w:t>（9）背面设置可拆卸式反光板魔术贴：≥2个，反光板内容为根据采购人需求印制；</w:t>
      </w:r>
    </w:p>
    <w:p>
      <w:pPr>
        <w:pStyle w:val="8"/>
        <w:spacing w:line="600" w:lineRule="exact"/>
        <w:ind w:firstLine="560"/>
        <w:rPr>
          <w:rFonts w:hAnsi="宋体" w:cs="宋体"/>
          <w:szCs w:val="28"/>
        </w:rPr>
      </w:pPr>
      <w:r>
        <w:rPr>
          <w:rFonts w:hint="eastAsia" w:hAnsi="宋体" w:cs="宋体"/>
          <w:szCs w:val="28"/>
        </w:rPr>
        <w:t>（10）设置永久性标志及产品数据标识。</w:t>
      </w:r>
    </w:p>
    <w:p>
      <w:pPr>
        <w:pStyle w:val="8"/>
        <w:spacing w:line="600" w:lineRule="exact"/>
        <w:ind w:firstLine="560"/>
        <w:rPr>
          <w:rFonts w:hAnsi="宋体" w:cs="宋体"/>
          <w:szCs w:val="28"/>
        </w:rPr>
      </w:pPr>
      <w:r>
        <w:rPr>
          <w:rFonts w:hint="eastAsia" w:hAnsi="宋体" w:cs="宋体"/>
          <w:szCs w:val="28"/>
        </w:rPr>
        <w:t>11.1.2救生圈</w:t>
      </w:r>
    </w:p>
    <w:p>
      <w:pPr>
        <w:pStyle w:val="8"/>
        <w:spacing w:line="600" w:lineRule="exact"/>
        <w:ind w:firstLine="560"/>
        <w:rPr>
          <w:rFonts w:hAnsi="宋体" w:cs="宋体"/>
          <w:szCs w:val="28"/>
        </w:rPr>
      </w:pPr>
      <w:r>
        <w:rPr>
          <w:rFonts w:hint="eastAsia" w:hAnsi="宋体" w:cs="宋体"/>
          <w:szCs w:val="28"/>
        </w:rPr>
        <w:t>（1）重量：≤12kg，外径：≥700mm、内径：≥400mm；</w:t>
      </w:r>
    </w:p>
    <w:p>
      <w:pPr>
        <w:pStyle w:val="8"/>
        <w:spacing w:line="600" w:lineRule="exact"/>
        <w:ind w:firstLine="560"/>
        <w:rPr>
          <w:rFonts w:hAnsi="宋体" w:cs="宋体"/>
          <w:szCs w:val="28"/>
        </w:rPr>
      </w:pPr>
      <w:r>
        <w:rPr>
          <w:rFonts w:hint="eastAsia" w:hAnsi="宋体" w:cs="宋体"/>
          <w:szCs w:val="28"/>
        </w:rPr>
        <w:t>（2）救生圈固有浮力：≥130N，</w:t>
      </w:r>
      <w:r>
        <w:rPr>
          <w:rFonts w:hint="eastAsia" w:hAnsi="宋体" w:cs="宋体"/>
          <w:szCs w:val="28"/>
          <w:lang w:eastAsia="zh-CN"/>
        </w:rPr>
        <w:t>聚乙烯复合塑料材质</w:t>
      </w:r>
      <w:r>
        <w:rPr>
          <w:rFonts w:hint="eastAsia" w:hAnsi="宋体" w:cs="宋体"/>
          <w:szCs w:val="28"/>
        </w:rPr>
        <w:t>；</w:t>
      </w:r>
    </w:p>
    <w:p>
      <w:pPr>
        <w:pStyle w:val="8"/>
        <w:spacing w:line="600" w:lineRule="exact"/>
        <w:ind w:firstLine="560"/>
        <w:rPr>
          <w:rFonts w:hAnsi="宋体" w:cs="宋体"/>
          <w:szCs w:val="28"/>
        </w:rPr>
      </w:pPr>
      <w:r>
        <w:rPr>
          <w:rFonts w:hint="eastAsia" w:hAnsi="宋体" w:cs="宋体"/>
          <w:szCs w:val="28"/>
        </w:rPr>
        <w:t>（3）设置永久性标志及产品数据标识。</w:t>
      </w:r>
    </w:p>
    <w:p>
      <w:pPr>
        <w:pStyle w:val="8"/>
        <w:spacing w:line="600" w:lineRule="exact"/>
        <w:ind w:firstLine="560"/>
        <w:rPr>
          <w:rFonts w:hAnsi="宋体" w:cs="宋体"/>
          <w:szCs w:val="28"/>
        </w:rPr>
      </w:pPr>
      <w:r>
        <w:rPr>
          <w:rFonts w:hint="eastAsia" w:hAnsi="宋体" w:cs="宋体"/>
          <w:szCs w:val="28"/>
        </w:rPr>
        <w:t>11.1.3救生短绳</w:t>
      </w:r>
    </w:p>
    <w:p>
      <w:pPr>
        <w:pStyle w:val="8"/>
        <w:spacing w:line="600" w:lineRule="exact"/>
        <w:ind w:firstLine="560"/>
        <w:rPr>
          <w:rFonts w:hAnsi="宋体" w:cs="宋体"/>
          <w:szCs w:val="28"/>
        </w:rPr>
      </w:pPr>
      <w:r>
        <w:rPr>
          <w:rFonts w:hint="eastAsia" w:hAnsi="宋体" w:cs="宋体"/>
          <w:szCs w:val="28"/>
        </w:rPr>
        <w:t>（1）包芯绳结构，主承受部分由连续纤维制成，具备发光功能；</w:t>
      </w:r>
    </w:p>
    <w:p>
      <w:pPr>
        <w:pStyle w:val="8"/>
        <w:spacing w:line="600" w:lineRule="exact"/>
        <w:ind w:firstLine="560"/>
        <w:rPr>
          <w:rFonts w:hAnsi="宋体" w:cs="宋体"/>
          <w:szCs w:val="28"/>
        </w:rPr>
      </w:pPr>
      <w:r>
        <w:rPr>
          <w:rFonts w:hint="eastAsia" w:hAnsi="宋体" w:cs="宋体"/>
          <w:szCs w:val="28"/>
        </w:rPr>
        <w:t>（2）最小破断强度：≥35kN，在水面漂浮48h，无明显下沉；</w:t>
      </w:r>
    </w:p>
    <w:p>
      <w:pPr>
        <w:pStyle w:val="8"/>
        <w:spacing w:line="600" w:lineRule="exact"/>
        <w:ind w:firstLine="560"/>
        <w:rPr>
          <w:rFonts w:hAnsi="宋体" w:cs="宋体"/>
          <w:szCs w:val="28"/>
        </w:rPr>
      </w:pPr>
      <w:r>
        <w:rPr>
          <w:rFonts w:hint="eastAsia" w:hAnsi="宋体" w:cs="宋体"/>
          <w:szCs w:val="28"/>
        </w:rPr>
        <w:t>（3）具备耐酸碱腐蚀、耐油性能，救生绳表面无机械损坏现象，整绳粗细均匀、结构一致，配备绳包；</w:t>
      </w:r>
    </w:p>
    <w:p>
      <w:pPr>
        <w:pStyle w:val="8"/>
        <w:spacing w:line="600" w:lineRule="exact"/>
        <w:ind w:firstLine="560"/>
        <w:rPr>
          <w:rFonts w:hAnsi="宋体" w:cs="宋体"/>
          <w:szCs w:val="28"/>
        </w:rPr>
      </w:pPr>
      <w:r>
        <w:rPr>
          <w:rFonts w:hint="eastAsia" w:hAnsi="宋体" w:cs="宋体"/>
          <w:szCs w:val="28"/>
        </w:rPr>
        <w:t>（4）设置永久性标志及产品数据标识。</w:t>
      </w:r>
    </w:p>
    <w:p>
      <w:pPr>
        <w:pStyle w:val="8"/>
        <w:spacing w:line="600" w:lineRule="exact"/>
        <w:ind w:firstLine="560"/>
        <w:rPr>
          <w:rFonts w:hAnsi="宋体" w:cs="宋体"/>
          <w:szCs w:val="28"/>
        </w:rPr>
      </w:pPr>
      <w:r>
        <w:rPr>
          <w:rFonts w:hint="eastAsia" w:hAnsi="宋体" w:cs="宋体"/>
          <w:szCs w:val="28"/>
        </w:rPr>
        <w:t>11.2</w:t>
      </w:r>
      <w:r>
        <w:rPr>
          <w:rFonts w:hint="eastAsia" w:hAnsi="宋体" w:cs="宋体"/>
          <w:szCs w:val="28"/>
          <w:u w:val="single"/>
        </w:rPr>
        <w:t>★橡皮艇1个</w:t>
      </w:r>
    </w:p>
    <w:p>
      <w:pPr>
        <w:pStyle w:val="8"/>
        <w:spacing w:line="600" w:lineRule="exact"/>
        <w:ind w:firstLine="560"/>
        <w:rPr>
          <w:rFonts w:hAnsi="宋体" w:cs="宋体"/>
          <w:szCs w:val="28"/>
        </w:rPr>
      </w:pPr>
      <w:r>
        <w:rPr>
          <w:rFonts w:hint="eastAsia" w:hAnsi="宋体" w:cs="宋体"/>
          <w:szCs w:val="28"/>
        </w:rPr>
        <w:t>11.2.1总体要求</w:t>
      </w:r>
    </w:p>
    <w:p>
      <w:pPr>
        <w:pStyle w:val="8"/>
        <w:spacing w:line="600" w:lineRule="exact"/>
        <w:ind w:firstLine="560"/>
        <w:rPr>
          <w:rFonts w:hAnsi="宋体" w:cs="宋体"/>
          <w:szCs w:val="28"/>
        </w:rPr>
      </w:pPr>
      <w:r>
        <w:rPr>
          <w:rFonts w:hint="eastAsia" w:hAnsi="宋体" w:cs="宋体"/>
          <w:szCs w:val="28"/>
        </w:rPr>
        <w:t>用于水域救援；舟体为充气式，配马达；采用双尾椎充气船体结构，船底部有充气舷梁，高强度铝合金拼装甲板，具有排水阀门；</w:t>
      </w:r>
    </w:p>
    <w:p>
      <w:pPr>
        <w:pStyle w:val="8"/>
        <w:spacing w:line="600" w:lineRule="exact"/>
        <w:ind w:firstLine="560"/>
        <w:rPr>
          <w:rFonts w:hAnsi="宋体" w:cs="宋体"/>
          <w:szCs w:val="28"/>
        </w:rPr>
      </w:pPr>
      <w:r>
        <w:rPr>
          <w:rFonts w:hint="eastAsia" w:hAnsi="宋体" w:cs="宋体"/>
          <w:szCs w:val="28"/>
        </w:rPr>
        <w:t>11.2.2技术要求</w:t>
      </w:r>
    </w:p>
    <w:p>
      <w:pPr>
        <w:pStyle w:val="8"/>
        <w:spacing w:line="600" w:lineRule="exact"/>
        <w:ind w:firstLine="560"/>
        <w:rPr>
          <w:rFonts w:hAnsi="宋体" w:cs="宋体"/>
          <w:szCs w:val="28"/>
        </w:rPr>
      </w:pPr>
      <w:r>
        <w:rPr>
          <w:rFonts w:hint="eastAsia" w:hAnsi="宋体" w:cs="宋体"/>
          <w:szCs w:val="28"/>
        </w:rPr>
        <w:t>（1）额定乘员：≥8人；</w:t>
      </w:r>
    </w:p>
    <w:p>
      <w:pPr>
        <w:pStyle w:val="8"/>
        <w:spacing w:line="600" w:lineRule="exact"/>
        <w:ind w:firstLine="560"/>
        <w:rPr>
          <w:rFonts w:hAnsi="宋体" w:cs="宋体"/>
          <w:szCs w:val="28"/>
        </w:rPr>
      </w:pPr>
      <w:r>
        <w:rPr>
          <w:rFonts w:hint="eastAsia" w:hAnsi="宋体" w:cs="宋体"/>
          <w:szCs w:val="28"/>
        </w:rPr>
        <w:t>（2）尺寸：艇长400±20cm；宽170±20cm；舷直径45±5cm；</w:t>
      </w:r>
    </w:p>
    <w:p>
      <w:pPr>
        <w:pStyle w:val="8"/>
        <w:spacing w:line="600" w:lineRule="exact"/>
        <w:ind w:firstLine="560"/>
        <w:rPr>
          <w:rFonts w:hAnsi="宋体" w:cs="宋体"/>
          <w:szCs w:val="28"/>
        </w:rPr>
      </w:pPr>
      <w:r>
        <w:rPr>
          <w:rFonts w:hint="eastAsia" w:hAnsi="宋体" w:cs="宋体"/>
          <w:szCs w:val="28"/>
        </w:rPr>
        <w:t>（3）结构：船底充气拉丝底板，M型艇底，底部加装耐磨条；</w:t>
      </w:r>
    </w:p>
    <w:p>
      <w:pPr>
        <w:pStyle w:val="8"/>
        <w:spacing w:line="600" w:lineRule="exact"/>
        <w:ind w:firstLine="560"/>
        <w:rPr>
          <w:rFonts w:hAnsi="宋体" w:cs="宋体"/>
          <w:szCs w:val="28"/>
        </w:rPr>
      </w:pPr>
      <w:r>
        <w:rPr>
          <w:rFonts w:hint="eastAsia" w:hAnsi="宋体" w:cs="宋体"/>
          <w:szCs w:val="28"/>
        </w:rPr>
        <w:t>（4）材质：≥0.9mm聚氯乙烯高强度复合材料；</w:t>
      </w:r>
    </w:p>
    <w:p>
      <w:pPr>
        <w:pStyle w:val="8"/>
        <w:spacing w:line="600" w:lineRule="exact"/>
        <w:ind w:firstLine="560"/>
        <w:rPr>
          <w:rFonts w:hAnsi="宋体" w:cs="宋体"/>
          <w:szCs w:val="28"/>
        </w:rPr>
      </w:pPr>
      <w:r>
        <w:rPr>
          <w:rFonts w:hint="eastAsia" w:hAnsi="宋体" w:cs="宋体"/>
          <w:szCs w:val="28"/>
        </w:rPr>
        <w:t>（5）气室数量：4个（3个船体气囊+1个龙骨气囊）；</w:t>
      </w:r>
    </w:p>
    <w:p>
      <w:pPr>
        <w:pStyle w:val="8"/>
        <w:spacing w:line="600" w:lineRule="exact"/>
        <w:ind w:firstLine="560"/>
        <w:rPr>
          <w:rFonts w:hAnsi="宋体" w:cs="宋体"/>
          <w:szCs w:val="28"/>
        </w:rPr>
      </w:pPr>
      <w:r>
        <w:rPr>
          <w:rFonts w:hint="eastAsia" w:hAnsi="宋体" w:cs="宋体"/>
          <w:szCs w:val="28"/>
        </w:rPr>
        <w:t>（6）设计水面载重：≥800kg；</w:t>
      </w:r>
    </w:p>
    <w:p>
      <w:pPr>
        <w:pStyle w:val="8"/>
        <w:spacing w:line="600" w:lineRule="exact"/>
        <w:ind w:firstLine="560"/>
        <w:rPr>
          <w:rFonts w:hAnsi="宋体" w:cs="宋体"/>
          <w:szCs w:val="28"/>
        </w:rPr>
      </w:pPr>
      <w:r>
        <w:rPr>
          <w:rFonts w:hint="eastAsia" w:hAnsi="宋体" w:cs="宋体"/>
          <w:szCs w:val="28"/>
        </w:rPr>
        <w:t>（7）舟底接触地面位置覆加厚橡胶层；</w:t>
      </w:r>
    </w:p>
    <w:p>
      <w:pPr>
        <w:pStyle w:val="8"/>
        <w:spacing w:line="600" w:lineRule="exact"/>
        <w:ind w:firstLine="560"/>
        <w:rPr>
          <w:rFonts w:hAnsi="宋体" w:cs="宋体"/>
          <w:szCs w:val="28"/>
        </w:rPr>
      </w:pPr>
      <w:r>
        <w:rPr>
          <w:rFonts w:hint="eastAsia" w:hAnsi="宋体" w:cs="宋体"/>
          <w:szCs w:val="28"/>
        </w:rPr>
        <w:t>（8）浮筒外侧安装安全绳索，艇身加装安全把手用于固定抓握；</w:t>
      </w:r>
    </w:p>
    <w:p>
      <w:pPr>
        <w:pStyle w:val="8"/>
        <w:spacing w:line="600" w:lineRule="exact"/>
        <w:ind w:firstLine="560"/>
        <w:rPr>
          <w:rFonts w:hAnsi="宋体" w:cs="宋体"/>
          <w:szCs w:val="28"/>
        </w:rPr>
      </w:pPr>
      <w:r>
        <w:rPr>
          <w:rFonts w:hint="eastAsia" w:hAnsi="宋体" w:cs="宋体"/>
          <w:szCs w:val="28"/>
        </w:rPr>
        <w:t>（9）艉板与气囊连接处采用双向金属片夹固处理；</w:t>
      </w:r>
    </w:p>
    <w:p>
      <w:pPr>
        <w:pStyle w:val="8"/>
        <w:spacing w:line="600" w:lineRule="exact"/>
        <w:ind w:firstLine="560"/>
        <w:rPr>
          <w:rFonts w:hAnsi="宋体" w:cs="宋体"/>
          <w:szCs w:val="28"/>
        </w:rPr>
      </w:pPr>
      <w:r>
        <w:rPr>
          <w:rFonts w:hint="eastAsia" w:hAnsi="宋体" w:cs="宋体"/>
          <w:szCs w:val="28"/>
        </w:rPr>
        <w:t>（10）材料强度：提供检测报告；</w:t>
      </w:r>
    </w:p>
    <w:p>
      <w:pPr>
        <w:pStyle w:val="8"/>
        <w:spacing w:line="600" w:lineRule="exact"/>
        <w:ind w:firstLine="560"/>
        <w:rPr>
          <w:rFonts w:hAnsi="宋体" w:cs="宋体"/>
          <w:szCs w:val="28"/>
        </w:rPr>
      </w:pPr>
      <w:r>
        <w:rPr>
          <w:rFonts w:hint="eastAsia" w:hAnsi="宋体" w:cs="宋体"/>
          <w:szCs w:val="28"/>
        </w:rPr>
        <w:t>（11）依据GB/T2423.2-2008标准高温老化测试：材料在40℃环境内存放，1h后试样外观完好；</w:t>
      </w:r>
    </w:p>
    <w:p>
      <w:pPr>
        <w:pStyle w:val="8"/>
        <w:spacing w:line="600" w:lineRule="exact"/>
        <w:ind w:firstLine="560"/>
        <w:rPr>
          <w:rFonts w:hAnsi="宋体" w:cs="宋体"/>
          <w:szCs w:val="28"/>
        </w:rPr>
      </w:pPr>
      <w:r>
        <w:rPr>
          <w:rFonts w:hint="eastAsia" w:hAnsi="宋体" w:cs="宋体"/>
          <w:szCs w:val="28"/>
        </w:rPr>
        <w:t>（12）备用附件：每舟配备缆绳和修补工具，修补工具至少包含专用胶水1支，气阀扳手1个，维修材料3张、铝合金划桨2副、电动气泵1个；</w:t>
      </w:r>
    </w:p>
    <w:p>
      <w:pPr>
        <w:pStyle w:val="8"/>
        <w:spacing w:line="600" w:lineRule="exact"/>
        <w:ind w:firstLine="560"/>
        <w:rPr>
          <w:rFonts w:hAnsi="宋体" w:cs="宋体"/>
          <w:szCs w:val="28"/>
        </w:rPr>
      </w:pPr>
      <w:r>
        <w:rPr>
          <w:rFonts w:hint="eastAsia" w:hAnsi="宋体" w:cs="宋体"/>
          <w:szCs w:val="28"/>
        </w:rPr>
        <w:t>11.2.3舷外机</w:t>
      </w:r>
    </w:p>
    <w:p>
      <w:pPr>
        <w:pStyle w:val="8"/>
        <w:spacing w:line="600" w:lineRule="exact"/>
        <w:ind w:firstLine="560"/>
        <w:rPr>
          <w:rFonts w:hAnsi="宋体" w:cs="宋体"/>
          <w:szCs w:val="28"/>
        </w:rPr>
      </w:pPr>
      <w:r>
        <w:rPr>
          <w:rFonts w:hint="eastAsia" w:hAnsi="宋体" w:cs="宋体"/>
          <w:szCs w:val="28"/>
        </w:rPr>
        <w:t>（1）功率≥30匹马力；</w:t>
      </w:r>
    </w:p>
    <w:p>
      <w:pPr>
        <w:pStyle w:val="8"/>
        <w:spacing w:line="600" w:lineRule="exact"/>
        <w:ind w:firstLine="560"/>
        <w:rPr>
          <w:rFonts w:hAnsi="宋体" w:cs="宋体"/>
          <w:szCs w:val="28"/>
        </w:rPr>
      </w:pPr>
      <w:r>
        <w:rPr>
          <w:rFonts w:hint="eastAsia" w:hAnsi="宋体" w:cs="宋体"/>
          <w:szCs w:val="28"/>
        </w:rPr>
        <w:t>（2）随机油箱：≥20L；</w:t>
      </w:r>
    </w:p>
    <w:p>
      <w:pPr>
        <w:pStyle w:val="8"/>
        <w:spacing w:line="600" w:lineRule="exact"/>
        <w:ind w:firstLine="560"/>
        <w:rPr>
          <w:rFonts w:hAnsi="宋体" w:cs="宋体"/>
          <w:szCs w:val="28"/>
        </w:rPr>
      </w:pPr>
      <w:r>
        <w:rPr>
          <w:rFonts w:hint="eastAsia" w:hAnsi="宋体" w:cs="宋体"/>
          <w:szCs w:val="28"/>
        </w:rPr>
        <w:t>（3）启动系统：手启动和电启动一体；</w:t>
      </w:r>
    </w:p>
    <w:p>
      <w:pPr>
        <w:pStyle w:val="8"/>
        <w:spacing w:line="600" w:lineRule="exact"/>
        <w:ind w:firstLine="560"/>
        <w:rPr>
          <w:rFonts w:hAnsi="宋体" w:cs="宋体"/>
          <w:szCs w:val="28"/>
        </w:rPr>
      </w:pPr>
      <w:r>
        <w:rPr>
          <w:rFonts w:hint="eastAsia" w:hAnsi="宋体" w:cs="宋体"/>
          <w:szCs w:val="28"/>
        </w:rPr>
        <w:t>11.2.4其他要求</w:t>
      </w:r>
    </w:p>
    <w:p>
      <w:pPr>
        <w:pStyle w:val="8"/>
        <w:spacing w:line="600" w:lineRule="exact"/>
        <w:ind w:firstLine="560"/>
        <w:rPr>
          <w:rFonts w:hAnsi="宋体" w:cs="宋体"/>
          <w:szCs w:val="28"/>
        </w:rPr>
      </w:pPr>
      <w:r>
        <w:rPr>
          <w:rFonts w:hint="eastAsia" w:hAnsi="宋体" w:cs="宋体"/>
          <w:szCs w:val="28"/>
        </w:rPr>
        <w:t>（1）产品通过中国船级社（CCS）检测认证；提供中国船级社（CCS）出具的检验报告；</w:t>
      </w:r>
    </w:p>
    <w:p>
      <w:pPr>
        <w:pStyle w:val="8"/>
        <w:spacing w:line="600" w:lineRule="exact"/>
        <w:ind w:firstLine="560"/>
        <w:rPr>
          <w:rFonts w:hAnsi="宋体" w:cs="宋体"/>
          <w:szCs w:val="28"/>
        </w:rPr>
      </w:pPr>
      <w:r>
        <w:rPr>
          <w:rFonts w:hint="eastAsia" w:hAnsi="宋体" w:cs="宋体"/>
          <w:szCs w:val="28"/>
        </w:rPr>
        <w:t>（2）随艇配备螺旋桨保护罩、舷外机手拖车、救援艇围板折叠轮，便于单人搬运；</w:t>
      </w:r>
    </w:p>
    <w:p>
      <w:pPr>
        <w:pStyle w:val="8"/>
        <w:spacing w:line="600" w:lineRule="exact"/>
        <w:ind w:firstLine="560"/>
        <w:rPr>
          <w:rFonts w:hAnsi="宋体" w:cs="宋体"/>
          <w:szCs w:val="28"/>
        </w:rPr>
      </w:pPr>
      <w:r>
        <w:rPr>
          <w:rFonts w:hint="eastAsia" w:hAnsi="宋体" w:cs="宋体"/>
          <w:szCs w:val="28"/>
        </w:rPr>
        <w:t>（3）其他要求：供货时，须提供中文使用说明书、产品品牌、生产厂家详细地址、联络方式和售后服务联络方式；其它方面必须提供相应认证资料；</w:t>
      </w:r>
    </w:p>
    <w:p>
      <w:pPr>
        <w:pStyle w:val="8"/>
        <w:spacing w:line="600" w:lineRule="exact"/>
        <w:ind w:firstLine="560"/>
        <w:rPr>
          <w:rFonts w:hAnsi="宋体" w:cs="宋体"/>
          <w:szCs w:val="28"/>
        </w:rPr>
      </w:pPr>
      <w:r>
        <w:rPr>
          <w:rFonts w:hint="eastAsia" w:hAnsi="宋体" w:cs="宋体"/>
          <w:szCs w:val="28"/>
        </w:rPr>
        <w:t>（4）船身喷涂与采购单位沟通。</w:t>
      </w:r>
    </w:p>
    <w:p>
      <w:pPr>
        <w:pStyle w:val="8"/>
        <w:spacing w:line="600" w:lineRule="exact"/>
        <w:ind w:firstLine="560"/>
        <w:rPr>
          <w:rFonts w:hAnsi="宋体" w:cs="宋体"/>
          <w:szCs w:val="28"/>
        </w:rPr>
      </w:pPr>
      <w:r>
        <w:rPr>
          <w:rFonts w:hint="eastAsia" w:hAnsi="宋体" w:cs="宋体"/>
          <w:szCs w:val="28"/>
        </w:rPr>
        <w:t>11.3</w:t>
      </w:r>
      <w:r>
        <w:rPr>
          <w:rFonts w:hint="eastAsia" w:hAnsi="宋体" w:cs="宋体"/>
          <w:szCs w:val="28"/>
          <w:u w:val="single"/>
        </w:rPr>
        <w:t>★干式水域救援服1套</w:t>
      </w:r>
    </w:p>
    <w:p>
      <w:pPr>
        <w:pStyle w:val="8"/>
        <w:spacing w:line="600" w:lineRule="exact"/>
        <w:ind w:firstLine="560"/>
        <w:rPr>
          <w:rFonts w:hAnsi="宋体" w:cs="宋体"/>
          <w:szCs w:val="28"/>
        </w:rPr>
      </w:pPr>
      <w:r>
        <w:rPr>
          <w:rFonts w:hint="eastAsia" w:hAnsi="宋体" w:cs="宋体"/>
          <w:szCs w:val="28"/>
        </w:rPr>
        <w:t>11.3.1采用防水透气面料，三层复合材质（防水层，透气层，耐磨层），外观采用黑、橙色立体拼接剪裁；</w:t>
      </w:r>
    </w:p>
    <w:p>
      <w:pPr>
        <w:pStyle w:val="8"/>
        <w:spacing w:line="600" w:lineRule="exact"/>
        <w:ind w:firstLine="560"/>
        <w:rPr>
          <w:rFonts w:hAnsi="宋体" w:cs="宋体"/>
          <w:szCs w:val="28"/>
        </w:rPr>
      </w:pPr>
      <w:r>
        <w:rPr>
          <w:rFonts w:hint="eastAsia" w:hAnsi="宋体" w:cs="宋体"/>
          <w:szCs w:val="28"/>
        </w:rPr>
        <w:t>11.3.2.在经常磨损的区域例如臀部、肘部和膝部需做特殊加固处理；肘部和膝部带有氯丁橡胶垫；配乳胶袜套；</w:t>
      </w:r>
    </w:p>
    <w:p>
      <w:pPr>
        <w:pStyle w:val="8"/>
        <w:spacing w:line="600" w:lineRule="exact"/>
        <w:ind w:firstLine="560"/>
        <w:rPr>
          <w:rFonts w:hAnsi="宋体" w:cs="宋体"/>
          <w:szCs w:val="28"/>
        </w:rPr>
      </w:pPr>
      <w:r>
        <w:rPr>
          <w:rFonts w:hint="eastAsia" w:hAnsi="宋体" w:cs="宋体"/>
          <w:szCs w:val="28"/>
        </w:rPr>
        <w:t>11.3.3.内置可拆卸背带，可调节，可实现在水中可以穿脱救援服的上半部分而下半部分不渗水；</w:t>
      </w:r>
    </w:p>
    <w:p>
      <w:pPr>
        <w:pStyle w:val="8"/>
        <w:spacing w:line="600" w:lineRule="exact"/>
        <w:ind w:firstLine="560"/>
        <w:rPr>
          <w:rFonts w:hAnsi="宋体" w:cs="宋体"/>
          <w:szCs w:val="28"/>
        </w:rPr>
      </w:pPr>
      <w:r>
        <w:rPr>
          <w:rFonts w:hint="eastAsia" w:hAnsi="宋体" w:cs="宋体"/>
          <w:szCs w:val="28"/>
        </w:rPr>
        <w:t>11.3.4.大腿部有一个自干口袋，可以方便储存工具；前端斜入式的高强防水拉链确保密封不进水；</w:t>
      </w:r>
    </w:p>
    <w:p>
      <w:pPr>
        <w:pStyle w:val="8"/>
        <w:spacing w:line="600" w:lineRule="exact"/>
        <w:ind w:firstLine="560"/>
        <w:rPr>
          <w:rFonts w:hAnsi="宋体" w:cs="宋体"/>
          <w:szCs w:val="28"/>
        </w:rPr>
      </w:pPr>
      <w:r>
        <w:rPr>
          <w:rFonts w:hint="eastAsia" w:hAnsi="宋体" w:cs="宋体"/>
          <w:szCs w:val="28"/>
        </w:rPr>
        <w:t>11.3.5.裆部有高强度防水拉链，如厕时不用脱下整件衣服；</w:t>
      </w:r>
    </w:p>
    <w:p>
      <w:pPr>
        <w:pStyle w:val="8"/>
        <w:spacing w:line="600" w:lineRule="exact"/>
        <w:ind w:firstLine="560"/>
        <w:rPr>
          <w:rFonts w:hAnsi="宋体" w:cs="宋体"/>
          <w:szCs w:val="28"/>
        </w:rPr>
      </w:pPr>
      <w:r>
        <w:rPr>
          <w:rFonts w:hint="eastAsia" w:hAnsi="宋体" w:cs="宋体"/>
          <w:szCs w:val="28"/>
        </w:rPr>
        <w:t>11.3.6.颈部和袖口部分采用优质乳胶橡胶，可紧贴皮肤，确保不渗漏；</w:t>
      </w:r>
    </w:p>
    <w:p>
      <w:pPr>
        <w:pStyle w:val="8"/>
        <w:spacing w:line="600" w:lineRule="exact"/>
        <w:ind w:firstLine="560"/>
        <w:rPr>
          <w:rFonts w:hAnsi="宋体" w:cs="宋体"/>
          <w:szCs w:val="28"/>
        </w:rPr>
      </w:pPr>
      <w:r>
        <w:rPr>
          <w:rFonts w:hint="eastAsia" w:hAnsi="宋体" w:cs="宋体"/>
          <w:szCs w:val="28"/>
        </w:rPr>
        <w:t>11.3.7.颈部、袖口、腰部、脚踝部分带有可调节魔术贴，调整至合适的大小，帮助束紧，穿着贴身，方便救援；</w:t>
      </w:r>
    </w:p>
    <w:p>
      <w:pPr>
        <w:pStyle w:val="8"/>
        <w:spacing w:line="600" w:lineRule="exact"/>
        <w:ind w:firstLine="560"/>
        <w:rPr>
          <w:rFonts w:hAnsi="宋体" w:cs="宋体"/>
          <w:szCs w:val="28"/>
        </w:rPr>
      </w:pPr>
      <w:r>
        <w:rPr>
          <w:rFonts w:hint="eastAsia" w:hAnsi="宋体" w:cs="宋体"/>
          <w:szCs w:val="28"/>
        </w:rPr>
        <w:t>11.3.8.腰部有可调节织带，用于调节舒适度；</w:t>
      </w:r>
    </w:p>
    <w:p>
      <w:pPr>
        <w:pStyle w:val="8"/>
        <w:spacing w:line="600" w:lineRule="exact"/>
        <w:ind w:firstLine="560"/>
        <w:rPr>
          <w:rFonts w:hAnsi="宋体" w:cs="宋体"/>
          <w:szCs w:val="28"/>
        </w:rPr>
      </w:pPr>
      <w:r>
        <w:rPr>
          <w:rFonts w:hint="eastAsia" w:hAnsi="宋体" w:cs="宋体"/>
          <w:szCs w:val="28"/>
        </w:rPr>
        <w:t>11.3.9.腕部和踝部具有视觉丽反光条确保在低可视条件下依然有较高的识别性；反光条为栅格条状切割设计，采用热合工艺压制于面料上，无针缝，柔软且无漏水可能；</w:t>
      </w:r>
    </w:p>
    <w:p>
      <w:pPr>
        <w:pStyle w:val="8"/>
        <w:spacing w:line="600" w:lineRule="exact"/>
        <w:ind w:firstLine="560"/>
        <w:rPr>
          <w:rFonts w:hAnsi="宋体" w:cs="宋体"/>
          <w:szCs w:val="28"/>
        </w:rPr>
      </w:pPr>
      <w:r>
        <w:rPr>
          <w:rFonts w:hint="eastAsia" w:hAnsi="宋体" w:cs="宋体"/>
          <w:szCs w:val="28"/>
        </w:rPr>
        <w:t>11.3.10.防渗漏性能：经静水中持续1h的渗透性能试验，救援服的进水量≤0.25kg；</w:t>
      </w:r>
    </w:p>
    <w:p>
      <w:pPr>
        <w:pStyle w:val="8"/>
        <w:spacing w:line="600" w:lineRule="exact"/>
        <w:ind w:firstLine="560"/>
        <w:rPr>
          <w:rFonts w:hAnsi="宋体" w:cs="宋体"/>
          <w:szCs w:val="28"/>
        </w:rPr>
      </w:pPr>
      <w:r>
        <w:rPr>
          <w:rFonts w:hint="eastAsia" w:hAnsi="宋体" w:cs="宋体"/>
          <w:szCs w:val="28"/>
        </w:rPr>
        <w:t>11.3.11.保温性能：经保温性能试验后，受试者的体表（手.脚和腰部皮肤表面）温度均未降至10℃以下，体温下降≤1.3℃；</w:t>
      </w:r>
    </w:p>
    <w:p>
      <w:pPr>
        <w:pStyle w:val="8"/>
        <w:spacing w:line="600" w:lineRule="exact"/>
        <w:ind w:firstLine="560"/>
        <w:rPr>
          <w:rFonts w:hAnsi="宋体" w:cs="宋体"/>
          <w:szCs w:val="28"/>
        </w:rPr>
      </w:pPr>
      <w:r>
        <w:rPr>
          <w:rFonts w:hint="eastAsia" w:hAnsi="宋体" w:cs="宋体"/>
          <w:szCs w:val="28"/>
        </w:rPr>
        <w:t>11.3.12.适用性能：穿着消防专用救生衣无限制，水域救援防护服穿着时间≤30s，穿着者能行走、爬行、游泳并登上平台；</w:t>
      </w:r>
    </w:p>
    <w:p>
      <w:pPr>
        <w:pStyle w:val="8"/>
        <w:spacing w:line="600" w:lineRule="exact"/>
        <w:ind w:firstLine="560"/>
        <w:rPr>
          <w:rFonts w:hAnsi="宋体" w:cs="宋体"/>
          <w:szCs w:val="28"/>
        </w:rPr>
      </w:pPr>
      <w:r>
        <w:rPr>
          <w:rFonts w:hint="eastAsia" w:hAnsi="宋体" w:cs="宋体"/>
          <w:szCs w:val="28"/>
        </w:rPr>
        <w:t>11.3.13.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rPr>
      </w:pPr>
      <w:r>
        <w:rPr>
          <w:rFonts w:hint="eastAsia" w:hAnsi="宋体" w:cs="宋体"/>
          <w:szCs w:val="28"/>
        </w:rPr>
        <w:t>11.3.14.防护服质量：≤2100g。</w:t>
      </w:r>
    </w:p>
    <w:p>
      <w:pPr>
        <w:pStyle w:val="8"/>
        <w:spacing w:line="600" w:lineRule="exact"/>
        <w:ind w:firstLine="560"/>
        <w:rPr>
          <w:rFonts w:hAnsi="宋体" w:cs="宋体"/>
          <w:szCs w:val="28"/>
        </w:rPr>
      </w:pPr>
      <w:r>
        <w:rPr>
          <w:rFonts w:hint="eastAsia" w:hAnsi="宋体" w:cs="宋体"/>
          <w:szCs w:val="28"/>
        </w:rPr>
        <w:t>11.4</w:t>
      </w:r>
      <w:r>
        <w:rPr>
          <w:rFonts w:hint="eastAsia" w:hAnsi="宋体" w:cs="宋体"/>
          <w:szCs w:val="28"/>
          <w:u w:val="single"/>
        </w:rPr>
        <w:t>★湿式水域救援服1套</w:t>
      </w:r>
    </w:p>
    <w:p>
      <w:pPr>
        <w:pStyle w:val="8"/>
        <w:spacing w:line="600" w:lineRule="exact"/>
        <w:ind w:firstLine="560"/>
        <w:rPr>
          <w:rFonts w:hAnsi="宋体" w:cs="宋体"/>
          <w:szCs w:val="28"/>
        </w:rPr>
      </w:pPr>
      <w:r>
        <w:rPr>
          <w:rFonts w:hint="eastAsia" w:hAnsi="宋体" w:cs="宋体"/>
          <w:szCs w:val="28"/>
        </w:rPr>
        <w:t>11.4.1.主要材质为不小于3mm带有钛涂层的氯丁橡胶材质，提供非常好的热反射性能，黑、橙色立体拼接剪裁，连体式结构；</w:t>
      </w:r>
    </w:p>
    <w:p>
      <w:pPr>
        <w:pStyle w:val="8"/>
        <w:spacing w:line="600" w:lineRule="exact"/>
        <w:ind w:firstLine="560"/>
        <w:rPr>
          <w:rFonts w:hAnsi="宋体" w:cs="宋体"/>
          <w:szCs w:val="28"/>
        </w:rPr>
      </w:pPr>
      <w:r>
        <w:rPr>
          <w:rFonts w:hint="eastAsia" w:hAnsi="宋体" w:cs="宋体"/>
          <w:szCs w:val="28"/>
        </w:rPr>
        <w:t>11.4.2.在肩部、背部和手臂处都采用PowerSpan材质提高部位的灵活性，降低活动的束缚感；</w:t>
      </w:r>
    </w:p>
    <w:p>
      <w:pPr>
        <w:pStyle w:val="8"/>
        <w:spacing w:line="600" w:lineRule="exact"/>
        <w:ind w:firstLine="560"/>
        <w:rPr>
          <w:rFonts w:hAnsi="宋体" w:cs="宋体"/>
          <w:szCs w:val="28"/>
        </w:rPr>
      </w:pPr>
      <w:r>
        <w:rPr>
          <w:rFonts w:hint="eastAsia" w:hAnsi="宋体" w:cs="宋体"/>
          <w:szCs w:val="28"/>
        </w:rPr>
        <w:t>11.4.3.双向的YKK前置拉链可以使救援者穿、脱装备都非常的迅速和便捷；</w:t>
      </w:r>
    </w:p>
    <w:p>
      <w:pPr>
        <w:pStyle w:val="8"/>
        <w:spacing w:line="600" w:lineRule="exact"/>
        <w:ind w:firstLine="560"/>
        <w:rPr>
          <w:rFonts w:hAnsi="宋体" w:cs="宋体"/>
          <w:szCs w:val="28"/>
        </w:rPr>
      </w:pPr>
      <w:r>
        <w:rPr>
          <w:rFonts w:hint="eastAsia" w:hAnsi="宋体" w:cs="宋体"/>
          <w:szCs w:val="28"/>
        </w:rPr>
        <w:t>11.4.4.腕部和踝部的YKK拉链可以帮助将袖口和裤腿收紧；</w:t>
      </w:r>
    </w:p>
    <w:p>
      <w:pPr>
        <w:pStyle w:val="8"/>
        <w:spacing w:line="600" w:lineRule="exact"/>
        <w:ind w:firstLine="560"/>
        <w:rPr>
          <w:rFonts w:hAnsi="宋体" w:cs="宋体"/>
          <w:szCs w:val="28"/>
        </w:rPr>
      </w:pPr>
      <w:r>
        <w:rPr>
          <w:rFonts w:hint="eastAsia" w:hAnsi="宋体" w:cs="宋体"/>
          <w:szCs w:val="28"/>
        </w:rPr>
        <w:t>11.4.5.所有的缝线处都是用暗针缝制，并且都做了加固压胶处理，提高保暖性和舒适感；在膝盖和小腿处都有聚氨酯涂层垫，可以提供额外的保护；</w:t>
      </w:r>
    </w:p>
    <w:p>
      <w:pPr>
        <w:pStyle w:val="8"/>
        <w:spacing w:line="600" w:lineRule="exact"/>
        <w:ind w:firstLine="560"/>
        <w:rPr>
          <w:rFonts w:hAnsi="宋体" w:cs="宋体"/>
          <w:szCs w:val="28"/>
        </w:rPr>
      </w:pPr>
      <w:r>
        <w:rPr>
          <w:rFonts w:hint="eastAsia" w:hAnsi="宋体" w:cs="宋体"/>
          <w:szCs w:val="28"/>
        </w:rPr>
        <w:t>11.4.6.在躯干的两侧部位有大摩擦力区域用于搭配救生衣固定使用，防止冲脱；</w:t>
      </w:r>
    </w:p>
    <w:p>
      <w:pPr>
        <w:pStyle w:val="8"/>
        <w:spacing w:line="600" w:lineRule="exact"/>
        <w:ind w:firstLine="560"/>
        <w:rPr>
          <w:rFonts w:hAnsi="宋体" w:cs="宋体"/>
          <w:szCs w:val="28"/>
        </w:rPr>
      </w:pPr>
      <w:r>
        <w:rPr>
          <w:rFonts w:hint="eastAsia" w:hAnsi="宋体" w:cs="宋体"/>
          <w:szCs w:val="28"/>
        </w:rPr>
        <w:t>11.4.7.主要性能：面料拉伸强度≥150N，持续10s经纬向均未出现断裂现象，接缝处能经受≥100N的力量荷载10s未发生断裂，耐磨性面临经≥6000次循环摩擦后，补强经过≥8000次循环摩擦未被磨穿；</w:t>
      </w:r>
    </w:p>
    <w:p>
      <w:pPr>
        <w:pStyle w:val="8"/>
        <w:spacing w:line="600" w:lineRule="exact"/>
        <w:ind w:firstLine="560"/>
        <w:rPr>
          <w:rFonts w:hAnsi="宋体" w:cs="宋体"/>
          <w:szCs w:val="28"/>
        </w:rPr>
      </w:pPr>
      <w:r>
        <w:rPr>
          <w:rFonts w:hint="eastAsia" w:hAnsi="宋体" w:cs="宋体"/>
          <w:szCs w:val="28"/>
        </w:rPr>
        <w:t>11.4.8.耐静水压100kpa下5min后未出现水滴渗透；</w:t>
      </w:r>
    </w:p>
    <w:p>
      <w:pPr>
        <w:pStyle w:val="8"/>
        <w:spacing w:line="600" w:lineRule="exact"/>
        <w:ind w:firstLine="560"/>
        <w:rPr>
          <w:rFonts w:hAnsi="宋体" w:cs="宋体"/>
          <w:szCs w:val="28"/>
        </w:rPr>
      </w:pPr>
      <w:r>
        <w:rPr>
          <w:rFonts w:hint="eastAsia" w:hAnsi="宋体" w:cs="宋体"/>
          <w:szCs w:val="28"/>
        </w:rPr>
        <w:t>11.4.9.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u w:val="single"/>
        </w:rPr>
      </w:pPr>
      <w:r>
        <w:rPr>
          <w:rFonts w:hint="eastAsia" w:hAnsi="宋体" w:cs="宋体"/>
          <w:szCs w:val="28"/>
        </w:rPr>
        <w:t>11.5</w:t>
      </w:r>
      <w:r>
        <w:rPr>
          <w:rFonts w:hint="eastAsia" w:hAnsi="宋体" w:cs="宋体"/>
          <w:szCs w:val="28"/>
          <w:u w:val="single"/>
        </w:rPr>
        <w:t>★移动发电机1台</w:t>
      </w:r>
    </w:p>
    <w:p>
      <w:pPr>
        <w:pStyle w:val="8"/>
        <w:spacing w:line="600" w:lineRule="exact"/>
        <w:ind w:firstLine="560"/>
        <w:rPr>
          <w:rFonts w:hAnsi="宋体" w:cs="宋体"/>
          <w:szCs w:val="28"/>
        </w:rPr>
      </w:pPr>
      <w:r>
        <w:rPr>
          <w:rFonts w:hint="eastAsia" w:hAnsi="宋体" w:cs="宋体"/>
          <w:szCs w:val="28"/>
        </w:rPr>
        <w:t>11.5.1.发电机组配置无刷稀土永磁发电机，变频模块，静音降噪外壳等；</w:t>
      </w:r>
    </w:p>
    <w:p>
      <w:pPr>
        <w:pStyle w:val="8"/>
        <w:spacing w:line="600" w:lineRule="exact"/>
        <w:ind w:firstLine="560"/>
        <w:rPr>
          <w:rFonts w:hAnsi="宋体" w:cs="宋体"/>
          <w:szCs w:val="28"/>
        </w:rPr>
      </w:pPr>
      <w:r>
        <w:rPr>
          <w:rFonts w:hint="eastAsia" w:hAnsi="宋体" w:cs="宋体"/>
          <w:szCs w:val="28"/>
        </w:rPr>
        <w:t>11.5.2.发动机型式：单缸、风冷、四冲程；</w:t>
      </w:r>
    </w:p>
    <w:p>
      <w:pPr>
        <w:pStyle w:val="8"/>
        <w:spacing w:line="600" w:lineRule="exact"/>
        <w:ind w:firstLine="560"/>
        <w:rPr>
          <w:rFonts w:hAnsi="宋体" w:cs="宋体"/>
          <w:szCs w:val="28"/>
        </w:rPr>
      </w:pPr>
      <w:r>
        <w:rPr>
          <w:rFonts w:hint="eastAsia" w:hAnsi="宋体" w:cs="宋体"/>
          <w:szCs w:val="28"/>
        </w:rPr>
        <w:t>11.5.3.燃油：汽油；</w:t>
      </w:r>
    </w:p>
    <w:p>
      <w:pPr>
        <w:pStyle w:val="8"/>
        <w:spacing w:line="600" w:lineRule="exact"/>
        <w:ind w:firstLine="560"/>
        <w:rPr>
          <w:rFonts w:hAnsi="宋体" w:cs="宋体"/>
          <w:szCs w:val="28"/>
        </w:rPr>
      </w:pPr>
      <w:r>
        <w:rPr>
          <w:rFonts w:hint="eastAsia" w:hAnsi="宋体" w:cs="宋体"/>
          <w:szCs w:val="28"/>
        </w:rPr>
        <w:t>11.5.4.发电机组油箱容积：≥5L；</w:t>
      </w:r>
    </w:p>
    <w:p>
      <w:pPr>
        <w:pStyle w:val="8"/>
        <w:spacing w:line="600" w:lineRule="exact"/>
        <w:ind w:firstLine="560"/>
        <w:rPr>
          <w:rFonts w:hAnsi="宋体" w:cs="宋体"/>
          <w:szCs w:val="28"/>
        </w:rPr>
      </w:pPr>
      <w:r>
        <w:rPr>
          <w:rFonts w:hint="eastAsia" w:hAnsi="宋体" w:cs="宋体"/>
          <w:szCs w:val="28"/>
        </w:rPr>
        <w:t>11.5.5.启动系统：设置手拉启动；</w:t>
      </w:r>
    </w:p>
    <w:p>
      <w:pPr>
        <w:pStyle w:val="8"/>
        <w:spacing w:line="600" w:lineRule="exact"/>
        <w:ind w:firstLine="560"/>
        <w:rPr>
          <w:rFonts w:hAnsi="宋体" w:cs="宋体"/>
          <w:szCs w:val="28"/>
        </w:rPr>
      </w:pPr>
      <w:r>
        <w:rPr>
          <w:rFonts w:hint="eastAsia" w:hAnsi="宋体" w:cs="宋体"/>
          <w:szCs w:val="28"/>
        </w:rPr>
        <w:t>11.5.6.额定功率≥3.0kW；</w:t>
      </w:r>
    </w:p>
    <w:p>
      <w:pPr>
        <w:pStyle w:val="8"/>
        <w:spacing w:line="600" w:lineRule="exact"/>
        <w:ind w:firstLine="560"/>
        <w:rPr>
          <w:rFonts w:hAnsi="宋体" w:cs="宋体"/>
          <w:szCs w:val="28"/>
        </w:rPr>
      </w:pPr>
      <w:r>
        <w:rPr>
          <w:rFonts w:hint="eastAsia" w:hAnsi="宋体" w:cs="宋体"/>
          <w:szCs w:val="28"/>
        </w:rPr>
        <w:t>11.5.7.相数：单相；</w:t>
      </w:r>
    </w:p>
    <w:p>
      <w:pPr>
        <w:pStyle w:val="8"/>
        <w:spacing w:line="600" w:lineRule="exact"/>
        <w:ind w:firstLine="560"/>
        <w:rPr>
          <w:rFonts w:hAnsi="宋体" w:cs="宋体"/>
          <w:szCs w:val="28"/>
        </w:rPr>
      </w:pPr>
      <w:r>
        <w:rPr>
          <w:rFonts w:hint="eastAsia" w:hAnsi="宋体" w:cs="宋体"/>
          <w:szCs w:val="28"/>
        </w:rPr>
        <w:t>11.5.8.单相额定电压：≥220V；</w:t>
      </w:r>
    </w:p>
    <w:p>
      <w:pPr>
        <w:pStyle w:val="8"/>
        <w:spacing w:line="600" w:lineRule="exact"/>
        <w:ind w:firstLine="560"/>
        <w:rPr>
          <w:rFonts w:hAnsi="宋体" w:cs="宋体"/>
          <w:szCs w:val="28"/>
        </w:rPr>
      </w:pPr>
      <w:r>
        <w:rPr>
          <w:rFonts w:hint="eastAsia" w:hAnsi="宋体" w:cs="宋体"/>
          <w:szCs w:val="28"/>
        </w:rPr>
        <w:t>11.5.9.单相额定电流：≥21A；</w:t>
      </w:r>
    </w:p>
    <w:p>
      <w:pPr>
        <w:pStyle w:val="8"/>
        <w:spacing w:line="600" w:lineRule="exact"/>
        <w:ind w:firstLine="560"/>
        <w:rPr>
          <w:rFonts w:hAnsi="宋体" w:cs="宋体"/>
          <w:szCs w:val="28"/>
        </w:rPr>
      </w:pPr>
      <w:r>
        <w:rPr>
          <w:rFonts w:hint="eastAsia" w:hAnsi="宋体" w:cs="宋体"/>
          <w:szCs w:val="28"/>
        </w:rPr>
        <w:t>11.5.10.频率50Hz；</w:t>
      </w:r>
    </w:p>
    <w:p>
      <w:pPr>
        <w:pStyle w:val="8"/>
        <w:spacing w:line="600" w:lineRule="exact"/>
        <w:ind w:firstLine="560"/>
        <w:rPr>
          <w:rFonts w:hAnsi="宋体" w:cs="宋体"/>
          <w:szCs w:val="28"/>
        </w:rPr>
      </w:pPr>
      <w:r>
        <w:rPr>
          <w:rFonts w:hint="eastAsia" w:hAnsi="宋体" w:cs="宋体"/>
          <w:szCs w:val="28"/>
        </w:rPr>
        <w:t>11.5.11.噪音（7m）≤60dB；</w:t>
      </w:r>
    </w:p>
    <w:p>
      <w:pPr>
        <w:pStyle w:val="8"/>
        <w:spacing w:line="600" w:lineRule="exact"/>
        <w:ind w:firstLine="560"/>
        <w:rPr>
          <w:rFonts w:hAnsi="宋体" w:cs="宋体"/>
          <w:szCs w:val="28"/>
        </w:rPr>
      </w:pPr>
      <w:r>
        <w:rPr>
          <w:rFonts w:hint="eastAsia" w:hAnsi="宋体" w:cs="宋体"/>
          <w:szCs w:val="28"/>
        </w:rPr>
        <w:t>11.5.12.设置直流12V电压输出和USB输出接口；</w:t>
      </w:r>
    </w:p>
    <w:p>
      <w:pPr>
        <w:pStyle w:val="8"/>
        <w:spacing w:line="600" w:lineRule="exact"/>
        <w:ind w:firstLine="560"/>
        <w:rPr>
          <w:rFonts w:hAnsi="宋体" w:cs="宋体"/>
          <w:szCs w:val="28"/>
        </w:rPr>
      </w:pPr>
      <w:r>
        <w:rPr>
          <w:rFonts w:hint="eastAsia" w:hAnsi="宋体" w:cs="宋体"/>
          <w:szCs w:val="28"/>
        </w:rPr>
        <w:t>11.5.13.设置机油过低保护功能，带有报警指示灯；</w:t>
      </w:r>
    </w:p>
    <w:p>
      <w:pPr>
        <w:pStyle w:val="8"/>
        <w:spacing w:line="600" w:lineRule="exact"/>
        <w:ind w:firstLine="560"/>
        <w:rPr>
          <w:rFonts w:hAnsi="宋体" w:cs="宋体"/>
          <w:szCs w:val="28"/>
        </w:rPr>
      </w:pPr>
      <w:r>
        <w:rPr>
          <w:rFonts w:hint="eastAsia" w:hAnsi="宋体" w:cs="宋体"/>
          <w:szCs w:val="28"/>
        </w:rPr>
        <w:t>11.5.14.性能等级≥G3，频率降≤3%；稳态电压偏差≤±1%；电压稳定时间＜1s；</w:t>
      </w:r>
    </w:p>
    <w:p>
      <w:pPr>
        <w:pStyle w:val="8"/>
        <w:spacing w:line="600" w:lineRule="exact"/>
        <w:ind w:firstLine="560"/>
        <w:rPr>
          <w:rFonts w:hAnsi="宋体" w:cs="宋体"/>
          <w:szCs w:val="28"/>
        </w:rPr>
      </w:pPr>
      <w:r>
        <w:rPr>
          <w:rFonts w:hint="eastAsia" w:hAnsi="宋体" w:cs="宋体"/>
          <w:szCs w:val="28"/>
        </w:rPr>
        <w:t>11.5.15.配备移动脚轮、手推杆；</w:t>
      </w:r>
    </w:p>
    <w:p>
      <w:pPr>
        <w:pStyle w:val="8"/>
        <w:spacing w:line="600" w:lineRule="exact"/>
        <w:ind w:firstLine="560"/>
        <w:rPr>
          <w:rFonts w:hAnsi="宋体" w:cs="宋体"/>
          <w:szCs w:val="28"/>
        </w:rPr>
      </w:pPr>
      <w:r>
        <w:rPr>
          <w:rFonts w:hint="eastAsia" w:hAnsi="宋体" w:cs="宋体"/>
          <w:szCs w:val="28"/>
        </w:rPr>
        <w:t>11.5.16.尺寸≤600cm×400cm×550cm；</w:t>
      </w:r>
    </w:p>
    <w:p>
      <w:pPr>
        <w:pStyle w:val="8"/>
        <w:spacing w:line="600" w:lineRule="exact"/>
        <w:ind w:firstLine="560"/>
        <w:rPr>
          <w:rFonts w:hAnsi="宋体" w:cs="宋体"/>
          <w:szCs w:val="28"/>
        </w:rPr>
      </w:pPr>
      <w:r>
        <w:rPr>
          <w:rFonts w:hint="eastAsia" w:hAnsi="宋体" w:cs="宋体"/>
          <w:szCs w:val="28"/>
        </w:rPr>
        <w:t>11.5.17.净重≤25kg；</w:t>
      </w:r>
    </w:p>
    <w:p>
      <w:pPr>
        <w:pStyle w:val="8"/>
        <w:spacing w:line="600" w:lineRule="exact"/>
        <w:ind w:firstLine="560"/>
        <w:rPr>
          <w:rFonts w:hAnsi="宋体" w:cs="宋体"/>
          <w:szCs w:val="28"/>
        </w:rPr>
      </w:pPr>
      <w:r>
        <w:rPr>
          <w:rFonts w:hint="eastAsia" w:hAnsi="宋体" w:cs="宋体"/>
          <w:szCs w:val="28"/>
        </w:rPr>
        <w:t>11.5.18.设置永久性标志及产品数据标识。</w:t>
      </w:r>
    </w:p>
    <w:p>
      <w:pPr>
        <w:pStyle w:val="8"/>
        <w:spacing w:line="600" w:lineRule="exact"/>
        <w:ind w:firstLine="560"/>
        <w:rPr>
          <w:rFonts w:hAnsi="宋体" w:cs="宋体"/>
          <w:szCs w:val="28"/>
        </w:rPr>
      </w:pPr>
      <w:r>
        <w:rPr>
          <w:rFonts w:hint="eastAsia" w:hAnsi="宋体" w:cs="宋体"/>
          <w:szCs w:val="28"/>
        </w:rPr>
        <w:t>11.6</w:t>
      </w:r>
      <w:r>
        <w:rPr>
          <w:rFonts w:hint="eastAsia" w:hAnsi="宋体" w:cs="宋体"/>
          <w:szCs w:val="28"/>
          <w:u w:val="single"/>
        </w:rPr>
        <w:t>★机动链锯1个</w:t>
      </w:r>
    </w:p>
    <w:p>
      <w:pPr>
        <w:pStyle w:val="8"/>
        <w:spacing w:line="600" w:lineRule="exact"/>
        <w:ind w:firstLine="560"/>
        <w:rPr>
          <w:rFonts w:hAnsi="宋体" w:cs="宋体"/>
          <w:szCs w:val="28"/>
        </w:rPr>
      </w:pPr>
      <w:r>
        <w:rPr>
          <w:rFonts w:hint="eastAsia" w:hAnsi="宋体" w:cs="宋体"/>
          <w:szCs w:val="28"/>
        </w:rPr>
        <w:t>11.6.1.主要用于救援现场破拆木质构件的切割；</w:t>
      </w:r>
    </w:p>
    <w:p>
      <w:pPr>
        <w:pStyle w:val="8"/>
        <w:spacing w:line="600" w:lineRule="exact"/>
        <w:ind w:firstLine="560"/>
        <w:rPr>
          <w:rFonts w:hAnsi="宋体" w:cs="宋体"/>
          <w:szCs w:val="28"/>
        </w:rPr>
      </w:pPr>
      <w:r>
        <w:rPr>
          <w:rFonts w:hint="eastAsia" w:hAnsi="宋体" w:cs="宋体"/>
          <w:szCs w:val="28"/>
        </w:rPr>
        <w:t>11.6.2.功率：≥2.2kW、重量：（不含燃油）≤5.2㎏、导板长度≥40cm；</w:t>
      </w:r>
    </w:p>
    <w:p>
      <w:pPr>
        <w:pStyle w:val="8"/>
        <w:spacing w:line="600" w:lineRule="exact"/>
        <w:ind w:firstLine="560"/>
        <w:rPr>
          <w:rFonts w:hAnsi="宋体" w:cs="宋体"/>
          <w:szCs w:val="28"/>
        </w:rPr>
      </w:pPr>
      <w:r>
        <w:rPr>
          <w:rFonts w:hint="eastAsia" w:hAnsi="宋体" w:cs="宋体"/>
          <w:szCs w:val="28"/>
        </w:rPr>
        <w:t>11.6.3.机油润滑性能良好，最佳的保护发动机免受磨损，链条润滑油具有优异的防磨损性能，保证链条在导板中运行畅通无阻；</w:t>
      </w:r>
    </w:p>
    <w:p>
      <w:pPr>
        <w:pStyle w:val="8"/>
        <w:spacing w:line="600" w:lineRule="exact"/>
        <w:ind w:firstLine="560"/>
        <w:rPr>
          <w:rFonts w:hAnsi="宋体" w:cs="宋体"/>
          <w:szCs w:val="28"/>
        </w:rPr>
      </w:pPr>
      <w:r>
        <w:rPr>
          <w:rFonts w:hint="eastAsia" w:hAnsi="宋体" w:cs="宋体"/>
          <w:szCs w:val="28"/>
        </w:rPr>
        <w:t>11.6.4.导板端部带有导轮，保证链条在导板端部减少阻力和减少功率消耗；</w:t>
      </w:r>
    </w:p>
    <w:p>
      <w:pPr>
        <w:pStyle w:val="8"/>
        <w:spacing w:line="600" w:lineRule="exact"/>
        <w:ind w:firstLine="560"/>
        <w:rPr>
          <w:rFonts w:hAnsi="宋体" w:cs="宋体"/>
          <w:szCs w:val="28"/>
        </w:rPr>
      </w:pPr>
      <w:r>
        <w:rPr>
          <w:rFonts w:hint="eastAsia" w:hAnsi="宋体" w:cs="宋体"/>
          <w:szCs w:val="28"/>
        </w:rPr>
        <w:t>11.6.5.电子点火装置保证起动可靠和发动机的正常运转；</w:t>
      </w:r>
    </w:p>
    <w:p>
      <w:pPr>
        <w:pStyle w:val="8"/>
        <w:spacing w:line="600" w:lineRule="exact"/>
        <w:ind w:firstLine="560"/>
        <w:rPr>
          <w:rFonts w:hAnsi="宋体" w:cs="宋体"/>
          <w:szCs w:val="28"/>
        </w:rPr>
      </w:pPr>
      <w:r>
        <w:rPr>
          <w:rFonts w:hint="eastAsia" w:hAnsi="宋体" w:cs="宋体"/>
          <w:szCs w:val="28"/>
        </w:rPr>
        <w:t>11.6.6.点火系统全封闭，对湿度和脏污不敏感；</w:t>
      </w:r>
    </w:p>
    <w:p>
      <w:pPr>
        <w:pStyle w:val="8"/>
        <w:spacing w:line="600" w:lineRule="exact"/>
        <w:ind w:firstLine="560"/>
        <w:rPr>
          <w:rFonts w:hAnsi="宋体" w:cs="宋体"/>
          <w:szCs w:val="28"/>
        </w:rPr>
      </w:pPr>
      <w:r>
        <w:rPr>
          <w:rFonts w:hint="eastAsia" w:hAnsi="宋体" w:cs="宋体"/>
          <w:szCs w:val="28"/>
        </w:rPr>
        <w:t>11.6.7.配件：火花塞扳手1个、两用螺丝刀1个；除本身自带可使机器正常工作的零部件以外，另需配备备用链条及原装火花塞不少于2条（个）；原厂机油1桶（≥2L）。</w:t>
      </w:r>
    </w:p>
    <w:p>
      <w:pPr>
        <w:pStyle w:val="8"/>
        <w:spacing w:line="600" w:lineRule="exact"/>
        <w:ind w:firstLine="560"/>
        <w:rPr>
          <w:rFonts w:hAnsi="宋体" w:cs="宋体"/>
          <w:szCs w:val="28"/>
          <w:u w:val="single"/>
        </w:rPr>
      </w:pPr>
      <w:r>
        <w:rPr>
          <w:rFonts w:hint="eastAsia" w:hAnsi="宋体" w:cs="宋体"/>
          <w:szCs w:val="28"/>
        </w:rPr>
        <w:t>11.7</w:t>
      </w:r>
      <w:r>
        <w:rPr>
          <w:rFonts w:hint="eastAsia" w:hAnsi="宋体" w:cs="宋体"/>
          <w:szCs w:val="28"/>
          <w:u w:val="single"/>
        </w:rPr>
        <w:t>★救生圈5个</w:t>
      </w:r>
    </w:p>
    <w:p>
      <w:pPr>
        <w:pStyle w:val="8"/>
        <w:spacing w:line="600" w:lineRule="exact"/>
        <w:ind w:firstLine="560"/>
        <w:rPr>
          <w:rFonts w:hAnsi="宋体" w:cs="宋体"/>
          <w:szCs w:val="28"/>
        </w:rPr>
      </w:pPr>
      <w:r>
        <w:rPr>
          <w:rFonts w:hint="eastAsia" w:hAnsi="宋体" w:cs="宋体"/>
          <w:szCs w:val="28"/>
        </w:rPr>
        <w:t>11.7.1.重量：≤12kg，外径：≥700mm、内径：≥400mm；</w:t>
      </w:r>
    </w:p>
    <w:p>
      <w:pPr>
        <w:pStyle w:val="8"/>
        <w:spacing w:line="600" w:lineRule="exact"/>
        <w:ind w:firstLine="560"/>
        <w:rPr>
          <w:rFonts w:hAnsi="宋体" w:cs="宋体"/>
          <w:szCs w:val="28"/>
        </w:rPr>
      </w:pPr>
      <w:r>
        <w:rPr>
          <w:rFonts w:hint="eastAsia" w:hAnsi="宋体" w:cs="宋体"/>
          <w:szCs w:val="28"/>
        </w:rPr>
        <w:t>11.7.2.救生圈固有浮力：≥130N，</w:t>
      </w:r>
      <w:r>
        <w:rPr>
          <w:rFonts w:hint="eastAsia" w:hAnsi="宋体" w:cs="宋体"/>
          <w:szCs w:val="28"/>
          <w:lang w:eastAsia="zh-CN"/>
        </w:rPr>
        <w:t>聚乙烯复合塑料材质</w:t>
      </w:r>
      <w:r>
        <w:rPr>
          <w:rFonts w:hint="eastAsia" w:hAnsi="宋体" w:cs="宋体"/>
          <w:szCs w:val="28"/>
        </w:rPr>
        <w:t>；</w:t>
      </w:r>
    </w:p>
    <w:p>
      <w:pPr>
        <w:pStyle w:val="8"/>
        <w:spacing w:line="600" w:lineRule="exact"/>
        <w:ind w:firstLine="560"/>
        <w:rPr>
          <w:rFonts w:hAnsi="宋体" w:cs="宋体"/>
          <w:szCs w:val="28"/>
        </w:rPr>
      </w:pPr>
      <w:r>
        <w:rPr>
          <w:rFonts w:hint="eastAsia" w:hAnsi="宋体" w:cs="宋体"/>
          <w:szCs w:val="28"/>
        </w:rPr>
        <w:t>11.7.3.设置永久性标志及产品数据标识。</w:t>
      </w:r>
    </w:p>
    <w:p>
      <w:pPr>
        <w:pStyle w:val="8"/>
        <w:spacing w:line="600" w:lineRule="exact"/>
        <w:ind w:firstLine="560"/>
        <w:rPr>
          <w:rFonts w:hAnsi="宋体" w:cs="宋体"/>
          <w:szCs w:val="28"/>
        </w:rPr>
      </w:pPr>
      <w:r>
        <w:rPr>
          <w:rFonts w:hint="eastAsia" w:hAnsi="宋体" w:cs="宋体"/>
          <w:szCs w:val="28"/>
        </w:rPr>
        <w:t>11.8</w:t>
      </w:r>
      <w:r>
        <w:rPr>
          <w:rFonts w:hint="eastAsia" w:hAnsi="宋体" w:cs="宋体"/>
          <w:szCs w:val="28"/>
          <w:u w:val="single"/>
        </w:rPr>
        <w:t>★手提式强光照明灯2个</w:t>
      </w:r>
    </w:p>
    <w:p>
      <w:pPr>
        <w:pStyle w:val="8"/>
        <w:spacing w:line="600" w:lineRule="exact"/>
        <w:ind w:firstLine="560"/>
        <w:rPr>
          <w:rFonts w:hAnsi="宋体" w:cs="宋体"/>
          <w:szCs w:val="28"/>
        </w:rPr>
      </w:pPr>
      <w:r>
        <w:rPr>
          <w:rFonts w:hint="eastAsia" w:hAnsi="宋体" w:cs="宋体"/>
          <w:szCs w:val="28"/>
        </w:rPr>
        <w:t>11.8.1.满足GB30734-2014消防员照明灯具标准，符合GB/T3836.1-2021，GB/T3836.2-2021,GB/T3836.4-2021，GB/T4208-2017标准要求，防护等级符合IP66/IP68（潜水深度：2m/1h）；</w:t>
      </w:r>
    </w:p>
    <w:p>
      <w:pPr>
        <w:pStyle w:val="8"/>
        <w:spacing w:line="600" w:lineRule="exact"/>
        <w:ind w:firstLine="560"/>
        <w:rPr>
          <w:rFonts w:hAnsi="宋体" w:cs="宋体"/>
          <w:szCs w:val="28"/>
        </w:rPr>
      </w:pPr>
      <w:r>
        <w:rPr>
          <w:rFonts w:hint="eastAsia" w:hAnsi="宋体" w:cs="宋体"/>
          <w:szCs w:val="28"/>
        </w:rPr>
        <w:t>11.8.2.光源类型：LED，功率≥24W，具有强光、工作光、频闪光、红蓝警示光、激光等多种工作模式；</w:t>
      </w:r>
    </w:p>
    <w:p>
      <w:pPr>
        <w:pStyle w:val="8"/>
        <w:spacing w:line="600" w:lineRule="exact"/>
        <w:ind w:firstLine="560"/>
        <w:rPr>
          <w:rFonts w:hAnsi="宋体" w:cs="宋体"/>
          <w:szCs w:val="28"/>
        </w:rPr>
      </w:pPr>
      <w:r>
        <w:rPr>
          <w:rFonts w:hint="eastAsia" w:hAnsi="宋体" w:cs="宋体"/>
          <w:szCs w:val="28"/>
        </w:rPr>
        <w:t>11.8.3.照度：5m处强光照度平均值≥3000lx，弱光照度平均值&gt;2300lx；</w:t>
      </w:r>
    </w:p>
    <w:p>
      <w:pPr>
        <w:pStyle w:val="8"/>
        <w:spacing w:line="600" w:lineRule="exact"/>
        <w:ind w:firstLine="560"/>
        <w:rPr>
          <w:rFonts w:hAnsi="宋体" w:cs="宋体"/>
          <w:szCs w:val="28"/>
        </w:rPr>
      </w:pPr>
      <w:r>
        <w:rPr>
          <w:rFonts w:hint="eastAsia" w:hAnsi="宋体" w:cs="宋体"/>
          <w:szCs w:val="28"/>
        </w:rPr>
        <w:t>11.8.4.采用Type-C充电接口，Type-C接口支持快充，快充充电时间≤3h；带有电子指南针，尾部具有红色方位灯；</w:t>
      </w:r>
    </w:p>
    <w:p>
      <w:pPr>
        <w:pStyle w:val="8"/>
        <w:spacing w:line="600" w:lineRule="exact"/>
        <w:ind w:firstLine="560"/>
        <w:rPr>
          <w:rFonts w:hAnsi="宋体" w:cs="宋体"/>
          <w:szCs w:val="28"/>
        </w:rPr>
      </w:pPr>
      <w:r>
        <w:rPr>
          <w:rFonts w:hint="eastAsia" w:hAnsi="宋体" w:cs="宋体"/>
          <w:szCs w:val="28"/>
        </w:rPr>
        <w:t>11.8.5.连续放电时间：聚光强光：≥5h，聚光工作光：≥10h；泛光强光：≥8h（单侧）/≥4h（双侧），泛光工作光：≥16h（单侧）/≥8h（双侧），红蓝闪：≥24h；设计有激光，激光功率≥100mW；</w:t>
      </w:r>
    </w:p>
    <w:p>
      <w:pPr>
        <w:pStyle w:val="8"/>
        <w:spacing w:line="600" w:lineRule="exact"/>
        <w:ind w:firstLine="560"/>
        <w:rPr>
          <w:rFonts w:hAnsi="宋体" w:cs="宋体"/>
          <w:szCs w:val="28"/>
        </w:rPr>
      </w:pPr>
      <w:r>
        <w:rPr>
          <w:rFonts w:hint="eastAsia" w:hAnsi="宋体" w:cs="宋体"/>
          <w:szCs w:val="28"/>
        </w:rPr>
        <w:t>11.8.6.灯体采用OLED智能数显屏，可显示灯具的工作模式、剩余电量、剩余时间。</w:t>
      </w:r>
    </w:p>
    <w:p>
      <w:pPr>
        <w:ind w:firstLine="840" w:firstLineChars="300"/>
        <w:rPr>
          <w:color w:val="000000" w:themeColor="text1"/>
          <w14:textFill>
            <w14:solidFill>
              <w14:schemeClr w14:val="tx1"/>
            </w14:solidFill>
          </w14:textFill>
        </w:rPr>
      </w:pPr>
    </w:p>
    <w:p>
      <w:pPr>
        <w:rPr>
          <w:color w:val="000000" w:themeColor="text1"/>
          <w14:textFill>
            <w14:solidFill>
              <w14:schemeClr w14:val="tx1"/>
            </w14:solidFill>
          </w14:textFill>
        </w:rPr>
      </w:pPr>
    </w:p>
    <w:p>
      <w:pPr>
        <w:ind w:firstLine="560"/>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4"/>
        <w:bidi w:val="0"/>
        <w:rPr>
          <w:color w:val="000000" w:themeColor="text1"/>
          <w14:textFill>
            <w14:solidFill>
              <w14:schemeClr w14:val="tx1"/>
            </w14:solidFill>
          </w14:textFill>
        </w:rPr>
      </w:pPr>
      <w:bookmarkStart w:id="70" w:name="_Toc11584"/>
      <w:r>
        <w:rPr>
          <w:rFonts w:hint="eastAsia"/>
        </w:rPr>
        <w:t>包</w:t>
      </w:r>
      <w:r>
        <w:rPr>
          <w:rFonts w:hint="eastAsia"/>
          <w:lang w:val="en-US" w:eastAsia="zh-CN"/>
        </w:rPr>
        <w:t>27“</w:t>
      </w:r>
      <w:r>
        <w:rPr>
          <w:rFonts w:hint="eastAsia"/>
        </w:rPr>
        <w:t xml:space="preserve"> 前突皮卡车</w:t>
      </w:r>
      <w:bookmarkEnd w:id="70"/>
      <w:r>
        <w:rPr>
          <w:rFonts w:hint="eastAsia"/>
          <w:b/>
          <w:bCs/>
          <w:color w:val="000000" w:themeColor="text1"/>
          <w14:textFill>
            <w14:solidFill>
              <w14:schemeClr w14:val="tx1"/>
            </w14:solidFill>
          </w14:textFill>
        </w:rPr>
        <w:t>（含器材柴油版）</w:t>
      </w:r>
      <w:r>
        <w:rPr>
          <w:rFonts w:hint="eastAsia"/>
          <w:lang w:val="en-US" w:eastAsia="zh-CN"/>
        </w:rPr>
        <w:t>”</w:t>
      </w:r>
    </w:p>
    <w:p>
      <w:pPr>
        <w:ind w:firstLine="840" w:firstLineChars="300"/>
        <w:rPr>
          <w:color w:val="000000" w:themeColor="text1"/>
          <w14:textFill>
            <w14:solidFill>
              <w14:schemeClr w14:val="tx1"/>
            </w14:solidFill>
          </w14:textFill>
        </w:rPr>
      </w:pP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1．底盘参数</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★1.1驱动形式≥4×4；</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▲1.2发动机：排量≥2.0T，排放标准：国Ⅵb；</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▲1.3最大扭矩≥360N·m；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▲1.4燃油及功率：柴油，额定功率≥120kW；</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1.5外形尺寸：长≤6000mm，宽≤2000mm，高≤2300mm；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▲1.6变速器形式：自动档；</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1.7后桥限滑方式：差速锁；</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▲1.8前悬挂形式：双叉臂式独立悬挂；后悬挂形式：整体桥式非独立悬挂；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1.9车身结构；非承载式。</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2．驾乘室</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2.1布局结构：四门双排，总驾乘人员≥5人；</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2.2安全设置：前后排均设置预紧安全带并具备未系安全带提醒功能、主、副驾驶员安全气囊、定速巡航、ABS+EBD、ESP车身稳定控制系统、上坡辅助、陡坡缓降等安全配置；</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2.3座椅：配置真皮独立座椅，主副驾驶位座椅具备折叠和电动调节功能；后排座椅可比例放倒；</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2.4车辆内饰：后舱装备区采用花纹铝板铺设，具备防水、防潮、耐磨性能；整车内饰支持采购人定制；</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2.5驾驶室设备：除原车设备外，加装警报器、警灯开关,设置原车自动冷暖空调，收音机、车载USB接口，预留电源接口（220V、12V、24V），360°全景影像（内存≥128G）、倒车雷达、胎压监测系统等；配备370MHz数字车载台（支持PDT数字集群并需接入山西省370MHz无线通信核心网）；</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2.6驾驶室顶部前端装配红色长排≥1.2米LED频闪消防车用警灯，上方设置保护架，与行李架配套使用，可装载固定拉梯或橡皮艇等装备，同时对警灯起到保护作用；警报器：DC12V,功率≥100W。</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3．车厢</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车身采用进口烤漆,颜色符合GB/T3181中规定的R03大红色，符合《国务院办公厅关于国家综合性消防救援车辆悬挂应急救援专用号牌有关事项的通知》（国办发〔2018〕114号）、《消防救援局关于做好消防救援车辆外观制式涂装工作的通知》（应急消〔2019〕76号）等要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3.2车内器材架：优先采用全铝型材内藏式连接结构，使用防锈蚀、防振动、防脱落、防划伤、旋转、推拉或抽拉式的专用夹具固定所有随车器材，器材布置合理；</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3.3舱体：采用金属骨架、铝蒙皮结构，外蒙皮与车身接合部铆接加密封胶密封，防腐防锈等处理；</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3.4车顶平台：平台承重≥180kg/㎡，应采用金属骨架,表面铺装花纹铝板，接缝处作密封处理，平台外蒙皮采用≥2mm厚花纹铝板，用于随车橡皮艇固定和运输；</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3.5上车踏板：铝制踏板，防滑，耐磨；</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3.6车厢各功能区采用模块化设计，器材放置设置永久铭牌标识，根据需求方便取放，器材分类整合，合理有效利用空间，固定牢靠，方便运输及取放；具体由采购人确定；</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3.7车底保护：车辆底部作防锈防腐等喷涂处理；</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3.8车窗贴膜：全车玻璃窗贴膜（前风挡除外），采用优质深色防爆膜，隔热率≥50%；</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3.9整车进行隔热、防火、防腐防锈、防辐射处理，车体顶部、底板及两侧内部贴吸音棉，底板外喷涂防石击阻尼胶；</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3.10装备区配备电源插头；</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▲3.11涉水喉：抬高发动机进气口位置，涉水深度≥700mm；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3.12配备尾部拖车钩和供电插头，具备牵引资质；</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3.13投标人需在交货前自行登录装备基础信息采集子系统，按照系统内各类交货装备信息维护要求及赋码标准，录入相关装备信息,生成装备的专属二维码和RFID码;交货时须将生成的二维码标签和RFID码标签制作成永久性标签固定安装在每台（套）装备上，实现单台（套）装备的扫码登记功能。</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4．供电系统</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4.1电路系统：电气设备符合国家相关标准；警灯、爆闪灯为红色；所有操作开关、仪表、器材架及车辆均有符合标准、规范的铭牌标志，显示值采用中国通用图标符号和计量标准，各类标牌牢固、清晰；</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4.2车内外综合布线：电源线、控制线、天馈线、接插件、线槽等进行分类布线；</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▲4.3配有≥4个前视探照灯，发光角度：聚光≥5°,光通量：≥1600lm；射程≥300米，功率≥100W；防水等级≥IP67,加装在车顶红色长排LED灯具前方合理位置。</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5.牵引绞盘</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5.1牵引绞盘安装于车身前部；</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5.2绞盘形式：电动绞盘；</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▲5.3最大拉力≥30kN；</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5.4钢丝绳直径≥11.5mm；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5.5钢丝绳长度≥30m；</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5.6配备贴合紧密的保护罩。</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6.其他要求</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6.1配备全部随车工具设备和附表器材，布置合理，固定牢靠；</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6.2交付使用单位时，燃油、尿素等添加液处于满液状态；</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6.3提供免费首次保养服务（含材料、人工、差旅等）。</w:t>
      </w:r>
    </w:p>
    <w:p>
      <w:pPr>
        <w:snapToGrid w:val="0"/>
        <w:spacing w:line="576" w:lineRule="exact"/>
        <w:ind w:firstLine="560"/>
        <w:jc w:val="both"/>
        <w:rPr>
          <w:rFonts w:ascii="宋体" w:hAnsi="宋体" w:cs="宋体"/>
          <w:bCs/>
          <w:szCs w:val="28"/>
          <w:lang w:bidi="ar"/>
        </w:rPr>
      </w:pPr>
      <w:r>
        <w:rPr>
          <w:rFonts w:hint="eastAsia" w:ascii="宋体" w:hAnsi="宋体" w:cs="宋体"/>
          <w:szCs w:val="28"/>
          <w:lang w:bidi="ar"/>
        </w:rPr>
        <w:t>7.随车文件（包括但不限于以下内容）</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7.1产品检验报告1份；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7.2产品自愿性认证证书1份；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7.3整车合格证1份；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7.4整车使用操作维修说明书1份；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7.5整车标准上牌照片1张；</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7.6随车附件、工具清单(含随车装备)1份；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7.7消防车跟踪服务卡1份；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7.8服务质保手册1份；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7.9底盘使用操作维修手册1份；</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7.10底盘发动机号码拓印件2套；</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7.11底盘号码拓印件2套；</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7.12提供工信部公告；</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7.13以上提供的各种说明书应为中文。</w:t>
      </w:r>
    </w:p>
    <w:p>
      <w:pPr>
        <w:snapToGrid w:val="0"/>
        <w:spacing w:line="576" w:lineRule="exact"/>
        <w:ind w:firstLine="560"/>
        <w:jc w:val="both"/>
        <w:rPr>
          <w:rFonts w:ascii="宋体" w:hAnsi="宋体" w:cs="宋体"/>
          <w:szCs w:val="28"/>
          <w:lang w:bidi="ar"/>
        </w:rPr>
      </w:pPr>
      <w:r>
        <w:rPr>
          <w:rFonts w:hint="eastAsia" w:ascii="宋体" w:hAnsi="宋体" w:cs="宋体"/>
          <w:szCs w:val="28"/>
          <w:lang w:bidi="ar"/>
        </w:rPr>
        <w:t>8.随车器材配备</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8.1电源线盘≥1套,线盘长度≥50米，电缆规格不低于≥3×2.5mm</w:t>
      </w:r>
      <w:r>
        <w:rPr>
          <w:rFonts w:hint="eastAsia" w:ascii="宋体" w:hAnsi="宋体" w:cs="宋体"/>
          <w:bCs/>
          <w:szCs w:val="28"/>
          <w:vertAlign w:val="superscript"/>
          <w:lang w:bidi="ar"/>
        </w:rPr>
        <w:t>2</w:t>
      </w:r>
      <w:r>
        <w:rPr>
          <w:rFonts w:hint="eastAsia" w:ascii="宋体" w:hAnsi="宋体" w:cs="宋体"/>
          <w:bCs/>
          <w:szCs w:val="28"/>
          <w:lang w:bidi="ar"/>
        </w:rPr>
        <w:t>；</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8.2配备≥2KG的灭火器≥1只；</w:t>
      </w:r>
    </w:p>
    <w:p>
      <w:pPr>
        <w:snapToGrid w:val="0"/>
        <w:spacing w:line="576" w:lineRule="exact"/>
        <w:ind w:firstLine="560"/>
        <w:jc w:val="both"/>
        <w:rPr>
          <w:rFonts w:ascii="宋体" w:hAnsi="宋体" w:cs="宋体"/>
          <w:bCs/>
          <w:szCs w:val="28"/>
          <w:lang w:bidi="ar"/>
        </w:rPr>
      </w:pPr>
      <w:r>
        <w:rPr>
          <w:rFonts w:hint="eastAsia" w:ascii="宋体" w:hAnsi="宋体" w:cs="宋体"/>
          <w:bCs/>
          <w:szCs w:val="28"/>
          <w:lang w:bidi="ar"/>
        </w:rPr>
        <w:t>8.3工具箱，内装工具≥53件套。</w:t>
      </w:r>
    </w:p>
    <w:p>
      <w:pPr>
        <w:snapToGrid w:val="0"/>
        <w:spacing w:line="576" w:lineRule="exact"/>
        <w:ind w:firstLine="560"/>
        <w:jc w:val="both"/>
        <w:rPr>
          <w:rFonts w:ascii="宋体" w:hAnsi="宋体" w:cs="宋体"/>
          <w:szCs w:val="28"/>
        </w:rPr>
      </w:pPr>
      <w:r>
        <w:rPr>
          <w:rFonts w:hint="eastAsia" w:ascii="宋体" w:hAnsi="宋体" w:cs="宋体"/>
          <w:bCs/>
          <w:szCs w:val="28"/>
          <w:lang w:bidi="ar"/>
        </w:rPr>
        <w:t>9.模块</w:t>
      </w:r>
      <w:r>
        <w:rPr>
          <w:rFonts w:hint="eastAsia" w:ascii="宋体" w:hAnsi="宋体" w:cs="宋体"/>
          <w:szCs w:val="28"/>
        </w:rPr>
        <w:t>A</w:t>
      </w:r>
    </w:p>
    <w:p>
      <w:pPr>
        <w:pStyle w:val="8"/>
        <w:spacing w:line="600" w:lineRule="exact"/>
        <w:ind w:firstLine="560"/>
        <w:rPr>
          <w:rFonts w:hAnsi="宋体" w:cs="宋体"/>
          <w:szCs w:val="28"/>
        </w:rPr>
      </w:pPr>
      <w:r>
        <w:rPr>
          <w:rFonts w:hint="eastAsia" w:hAnsi="宋体" w:cs="宋体"/>
          <w:szCs w:val="28"/>
        </w:rPr>
        <w:t>9.1</w:t>
      </w:r>
      <w:r>
        <w:rPr>
          <w:rFonts w:hint="eastAsia" w:hAnsi="宋体" w:cs="宋体"/>
          <w:bCs/>
          <w:szCs w:val="28"/>
          <w:u w:val="single"/>
          <w:lang w:bidi="ar"/>
        </w:rPr>
        <w:t>★</w:t>
      </w:r>
      <w:r>
        <w:rPr>
          <w:rFonts w:hint="eastAsia" w:hAnsi="宋体" w:cs="宋体"/>
          <w:szCs w:val="28"/>
          <w:u w:val="single"/>
        </w:rPr>
        <w:t>激流救生衣套装15套</w:t>
      </w:r>
    </w:p>
    <w:p>
      <w:pPr>
        <w:pStyle w:val="8"/>
        <w:spacing w:line="600" w:lineRule="exact"/>
        <w:ind w:firstLine="560"/>
        <w:rPr>
          <w:rFonts w:hAnsi="宋体" w:cs="宋体"/>
          <w:szCs w:val="28"/>
        </w:rPr>
      </w:pPr>
      <w:r>
        <w:rPr>
          <w:rFonts w:hint="eastAsia" w:hAnsi="宋体" w:cs="宋体"/>
          <w:szCs w:val="28"/>
        </w:rPr>
        <w:t>9.1.1激流救生衣</w:t>
      </w:r>
    </w:p>
    <w:p>
      <w:pPr>
        <w:pStyle w:val="8"/>
        <w:spacing w:line="600" w:lineRule="exact"/>
        <w:ind w:firstLine="560"/>
        <w:rPr>
          <w:rFonts w:hAnsi="宋体" w:cs="宋体"/>
          <w:szCs w:val="28"/>
        </w:rPr>
      </w:pPr>
      <w:r>
        <w:rPr>
          <w:rFonts w:hint="eastAsia" w:hAnsi="宋体" w:cs="宋体"/>
          <w:szCs w:val="28"/>
        </w:rPr>
        <w:t>（1）浮力：≥150N，在淡水浸泡24h后，浮力损失：≤2%；</w:t>
      </w:r>
    </w:p>
    <w:p>
      <w:pPr>
        <w:pStyle w:val="8"/>
        <w:spacing w:line="600" w:lineRule="exact"/>
        <w:ind w:firstLine="560"/>
        <w:rPr>
          <w:rFonts w:hAnsi="宋体" w:cs="宋体"/>
          <w:szCs w:val="28"/>
        </w:rPr>
      </w:pPr>
      <w:r>
        <w:rPr>
          <w:rFonts w:hint="eastAsia" w:hAnsi="宋体" w:cs="宋体"/>
          <w:szCs w:val="28"/>
        </w:rPr>
        <w:t>（2）内衬应采用软质浮选泡沫或优于该材质，配置可拆卸胸式安全带，配备不锈钢O型环，可拆卸臀部/腿部绑带，防止救生衣脱离身体；</w:t>
      </w:r>
    </w:p>
    <w:p>
      <w:pPr>
        <w:pStyle w:val="8"/>
        <w:spacing w:line="600" w:lineRule="exact"/>
        <w:ind w:firstLine="560"/>
        <w:rPr>
          <w:rFonts w:hAnsi="宋体" w:cs="宋体"/>
          <w:szCs w:val="28"/>
        </w:rPr>
      </w:pPr>
      <w:r>
        <w:rPr>
          <w:rFonts w:hint="eastAsia" w:hAnsi="宋体" w:cs="宋体"/>
          <w:szCs w:val="28"/>
        </w:rPr>
        <w:t>（3）设置前开式单手快速脱扣，前置树脂材质拉链，后背配置牛尾绳（动力绳）与D型环，拉绳拉环破断力：≥10kN；</w:t>
      </w:r>
    </w:p>
    <w:p>
      <w:pPr>
        <w:pStyle w:val="8"/>
        <w:spacing w:line="600" w:lineRule="exact"/>
        <w:ind w:firstLine="560"/>
        <w:rPr>
          <w:rFonts w:hAnsi="宋体" w:cs="宋体"/>
          <w:szCs w:val="28"/>
        </w:rPr>
      </w:pPr>
      <w:r>
        <w:rPr>
          <w:rFonts w:hint="eastAsia" w:hAnsi="宋体" w:cs="宋体"/>
          <w:szCs w:val="28"/>
        </w:rPr>
        <w:t>（4）设置高亮反光带：≥8条；</w:t>
      </w:r>
    </w:p>
    <w:p>
      <w:pPr>
        <w:pStyle w:val="8"/>
        <w:spacing w:line="600" w:lineRule="exact"/>
        <w:ind w:firstLine="560"/>
        <w:rPr>
          <w:rFonts w:hAnsi="宋体" w:cs="宋体"/>
          <w:szCs w:val="28"/>
        </w:rPr>
      </w:pPr>
      <w:r>
        <w:rPr>
          <w:rFonts w:hint="eastAsia" w:hAnsi="宋体" w:cs="宋体"/>
          <w:szCs w:val="28"/>
        </w:rPr>
        <w:t>（5）救生衣前侧设置挂点：≥5个、后侧设置挂点：≥1个；</w:t>
      </w:r>
    </w:p>
    <w:p>
      <w:pPr>
        <w:pStyle w:val="8"/>
        <w:spacing w:line="600" w:lineRule="exact"/>
        <w:ind w:firstLine="560"/>
        <w:rPr>
          <w:rFonts w:hAnsi="宋体" w:cs="宋体"/>
          <w:szCs w:val="28"/>
        </w:rPr>
      </w:pPr>
      <w:r>
        <w:rPr>
          <w:rFonts w:hint="eastAsia" w:hAnsi="宋体" w:cs="宋体"/>
          <w:szCs w:val="28"/>
        </w:rPr>
        <w:t>（6）救生衣前侧设置可拆卸口袋：≥2个，整体设置反光标识带；</w:t>
      </w:r>
    </w:p>
    <w:p>
      <w:pPr>
        <w:pStyle w:val="8"/>
        <w:spacing w:line="600" w:lineRule="exact"/>
        <w:ind w:firstLine="560"/>
        <w:rPr>
          <w:rFonts w:hAnsi="宋体" w:cs="宋体"/>
          <w:szCs w:val="28"/>
        </w:rPr>
      </w:pPr>
      <w:r>
        <w:rPr>
          <w:rFonts w:hint="eastAsia" w:hAnsi="宋体" w:cs="宋体"/>
          <w:szCs w:val="28"/>
        </w:rPr>
        <w:t>（7）救生衣配置救生高音口哨（非滚珠类）：≥1只，音量：≥110dB，示位灯：≥1只，割绳刀：≥1把；</w:t>
      </w:r>
    </w:p>
    <w:p>
      <w:pPr>
        <w:pStyle w:val="8"/>
        <w:spacing w:line="600" w:lineRule="exact"/>
        <w:ind w:firstLine="560"/>
        <w:rPr>
          <w:rFonts w:hAnsi="宋体" w:cs="宋体"/>
          <w:szCs w:val="28"/>
        </w:rPr>
      </w:pPr>
      <w:r>
        <w:rPr>
          <w:rFonts w:hint="eastAsia" w:hAnsi="宋体" w:cs="宋体"/>
          <w:szCs w:val="28"/>
        </w:rPr>
        <w:t>（8）穿着救生衣以任意方式下水，救生衣能使人体处于立姿状态（5s内），且人嘴部位高出水面：≥120mm；</w:t>
      </w:r>
    </w:p>
    <w:p>
      <w:pPr>
        <w:pStyle w:val="8"/>
        <w:spacing w:line="600" w:lineRule="exact"/>
        <w:ind w:firstLine="560"/>
        <w:rPr>
          <w:rFonts w:hAnsi="宋体" w:cs="宋体"/>
          <w:szCs w:val="28"/>
        </w:rPr>
      </w:pPr>
      <w:r>
        <w:rPr>
          <w:rFonts w:hint="eastAsia" w:hAnsi="宋体" w:cs="宋体"/>
          <w:szCs w:val="28"/>
        </w:rPr>
        <w:t>（9）背面设置可拆卸式反光板魔术贴：≥2个，反光板内容为根据采购人需求印制；</w:t>
      </w:r>
    </w:p>
    <w:p>
      <w:pPr>
        <w:pStyle w:val="8"/>
        <w:spacing w:line="600" w:lineRule="exact"/>
        <w:ind w:firstLine="560"/>
        <w:rPr>
          <w:rFonts w:hAnsi="宋体" w:cs="宋体"/>
          <w:szCs w:val="28"/>
        </w:rPr>
      </w:pPr>
      <w:r>
        <w:rPr>
          <w:rFonts w:hint="eastAsia" w:hAnsi="宋体" w:cs="宋体"/>
          <w:szCs w:val="28"/>
        </w:rPr>
        <w:t>（10）设置永久性标志及产品数据标识。</w:t>
      </w:r>
    </w:p>
    <w:p>
      <w:pPr>
        <w:pStyle w:val="8"/>
        <w:spacing w:line="600" w:lineRule="exact"/>
        <w:ind w:firstLine="560"/>
        <w:rPr>
          <w:rFonts w:hAnsi="宋体" w:cs="宋体"/>
          <w:szCs w:val="28"/>
        </w:rPr>
      </w:pPr>
      <w:r>
        <w:rPr>
          <w:rFonts w:hint="eastAsia" w:hAnsi="宋体" w:cs="宋体"/>
          <w:szCs w:val="28"/>
        </w:rPr>
        <w:t>9.1.2救生圈</w:t>
      </w:r>
    </w:p>
    <w:p>
      <w:pPr>
        <w:pStyle w:val="8"/>
        <w:spacing w:line="600" w:lineRule="exact"/>
        <w:ind w:firstLine="560"/>
        <w:rPr>
          <w:rFonts w:hAnsi="宋体" w:cs="宋体"/>
          <w:szCs w:val="28"/>
        </w:rPr>
      </w:pPr>
      <w:r>
        <w:rPr>
          <w:rFonts w:hint="eastAsia" w:hAnsi="宋体" w:cs="宋体"/>
          <w:szCs w:val="28"/>
        </w:rPr>
        <w:t>（1）重量：≤12kg，外径：≥700mm、内径：≥400mm；</w:t>
      </w:r>
    </w:p>
    <w:p>
      <w:pPr>
        <w:pStyle w:val="8"/>
        <w:spacing w:line="600" w:lineRule="exact"/>
        <w:ind w:firstLine="560"/>
        <w:rPr>
          <w:rFonts w:hAnsi="宋体" w:cs="宋体"/>
          <w:szCs w:val="28"/>
        </w:rPr>
      </w:pPr>
      <w:r>
        <w:rPr>
          <w:rFonts w:hint="eastAsia" w:hAnsi="宋体" w:cs="宋体"/>
          <w:szCs w:val="28"/>
        </w:rPr>
        <w:t>（2）救生圈固有浮力：≥130N，</w:t>
      </w:r>
      <w:r>
        <w:rPr>
          <w:rFonts w:hint="eastAsia" w:hAnsi="宋体" w:cs="宋体"/>
          <w:szCs w:val="28"/>
          <w:lang w:eastAsia="zh-CN"/>
        </w:rPr>
        <w:t>聚乙烯复合塑料材质</w:t>
      </w:r>
      <w:r>
        <w:rPr>
          <w:rFonts w:hint="eastAsia" w:hAnsi="宋体" w:cs="宋体"/>
          <w:szCs w:val="28"/>
        </w:rPr>
        <w:t>；</w:t>
      </w:r>
    </w:p>
    <w:p>
      <w:pPr>
        <w:pStyle w:val="8"/>
        <w:spacing w:line="600" w:lineRule="exact"/>
        <w:ind w:firstLine="560"/>
        <w:rPr>
          <w:rFonts w:hAnsi="宋体" w:cs="宋体"/>
          <w:szCs w:val="28"/>
        </w:rPr>
      </w:pPr>
      <w:r>
        <w:rPr>
          <w:rFonts w:hint="eastAsia" w:hAnsi="宋体" w:cs="宋体"/>
          <w:szCs w:val="28"/>
        </w:rPr>
        <w:t>（3）设置永久性标志及产品数据标识。</w:t>
      </w:r>
    </w:p>
    <w:p>
      <w:pPr>
        <w:pStyle w:val="8"/>
        <w:spacing w:line="600" w:lineRule="exact"/>
        <w:ind w:firstLine="560"/>
        <w:rPr>
          <w:rFonts w:hAnsi="宋体" w:cs="宋体"/>
          <w:szCs w:val="28"/>
        </w:rPr>
      </w:pPr>
      <w:r>
        <w:rPr>
          <w:rFonts w:hint="eastAsia" w:hAnsi="宋体" w:cs="宋体"/>
          <w:szCs w:val="28"/>
        </w:rPr>
        <w:t>9.1.3救生短绳</w:t>
      </w:r>
    </w:p>
    <w:p>
      <w:pPr>
        <w:pStyle w:val="8"/>
        <w:spacing w:line="600" w:lineRule="exact"/>
        <w:ind w:firstLine="560"/>
        <w:rPr>
          <w:rFonts w:hAnsi="宋体" w:cs="宋体"/>
          <w:szCs w:val="28"/>
        </w:rPr>
      </w:pPr>
      <w:r>
        <w:rPr>
          <w:rFonts w:hint="eastAsia" w:hAnsi="宋体" w:cs="宋体"/>
          <w:szCs w:val="28"/>
        </w:rPr>
        <w:t>（1）包芯绳结构，主承受部分由连续纤维制成，具备发光功能；</w:t>
      </w:r>
    </w:p>
    <w:p>
      <w:pPr>
        <w:pStyle w:val="8"/>
        <w:spacing w:line="600" w:lineRule="exact"/>
        <w:ind w:firstLine="560"/>
        <w:rPr>
          <w:rFonts w:hAnsi="宋体" w:cs="宋体"/>
          <w:szCs w:val="28"/>
        </w:rPr>
      </w:pPr>
      <w:r>
        <w:rPr>
          <w:rFonts w:hint="eastAsia" w:hAnsi="宋体" w:cs="宋体"/>
          <w:szCs w:val="28"/>
        </w:rPr>
        <w:t>（2）最小破断强度：≥35kN，在水面漂浮≥48h，无明显下沉；</w:t>
      </w:r>
    </w:p>
    <w:p>
      <w:pPr>
        <w:pStyle w:val="8"/>
        <w:spacing w:line="600" w:lineRule="exact"/>
        <w:ind w:firstLine="560"/>
        <w:rPr>
          <w:rFonts w:hAnsi="宋体" w:cs="宋体"/>
          <w:szCs w:val="28"/>
        </w:rPr>
      </w:pPr>
      <w:r>
        <w:rPr>
          <w:rFonts w:hint="eastAsia" w:hAnsi="宋体" w:cs="宋体"/>
          <w:szCs w:val="28"/>
        </w:rPr>
        <w:t>（3）具备耐酸碱腐蚀、耐油性能，救生绳表面无机械损坏现象，整绳粗细均匀、结构一致，配备绳包；</w:t>
      </w:r>
    </w:p>
    <w:p>
      <w:pPr>
        <w:pStyle w:val="8"/>
        <w:spacing w:line="600" w:lineRule="exact"/>
        <w:ind w:firstLine="560"/>
        <w:rPr>
          <w:rFonts w:hAnsi="宋体" w:cs="宋体"/>
          <w:szCs w:val="28"/>
        </w:rPr>
      </w:pPr>
      <w:r>
        <w:rPr>
          <w:rFonts w:hint="eastAsia" w:hAnsi="宋体" w:cs="宋体"/>
          <w:szCs w:val="28"/>
        </w:rPr>
        <w:t>（4）设置永久性标志及产品数据标识。</w:t>
      </w:r>
    </w:p>
    <w:p>
      <w:pPr>
        <w:pStyle w:val="8"/>
        <w:spacing w:line="600" w:lineRule="exact"/>
        <w:ind w:firstLine="560"/>
        <w:rPr>
          <w:rFonts w:hAnsi="宋体" w:cs="宋体"/>
          <w:szCs w:val="28"/>
        </w:rPr>
      </w:pPr>
      <w:r>
        <w:rPr>
          <w:rFonts w:hint="eastAsia" w:hAnsi="宋体" w:cs="宋体"/>
          <w:szCs w:val="28"/>
        </w:rPr>
        <w:t>9.2</w:t>
      </w:r>
      <w:r>
        <w:rPr>
          <w:rFonts w:hint="eastAsia" w:hAnsi="宋体" w:cs="宋体"/>
          <w:szCs w:val="28"/>
          <w:u w:val="single"/>
        </w:rPr>
        <w:t>★干式水域救援服6套</w:t>
      </w:r>
    </w:p>
    <w:p>
      <w:pPr>
        <w:pStyle w:val="8"/>
        <w:spacing w:line="600" w:lineRule="exact"/>
        <w:ind w:firstLine="560"/>
        <w:rPr>
          <w:rFonts w:hAnsi="宋体" w:cs="宋体"/>
          <w:szCs w:val="28"/>
        </w:rPr>
      </w:pPr>
      <w:r>
        <w:rPr>
          <w:rFonts w:hint="eastAsia" w:hAnsi="宋体" w:cs="宋体"/>
          <w:szCs w:val="28"/>
        </w:rPr>
        <w:t>9.2.1采用防水透气面料，三层复合材质（防水层，透气层，耐磨层），外观采用黑、橙色立体拼接剪裁；</w:t>
      </w:r>
    </w:p>
    <w:p>
      <w:pPr>
        <w:pStyle w:val="8"/>
        <w:spacing w:line="600" w:lineRule="exact"/>
        <w:ind w:firstLine="560"/>
        <w:rPr>
          <w:rFonts w:hAnsi="宋体" w:cs="宋体"/>
          <w:szCs w:val="28"/>
        </w:rPr>
      </w:pPr>
      <w:r>
        <w:rPr>
          <w:rFonts w:hint="eastAsia" w:hAnsi="宋体" w:cs="宋体"/>
          <w:szCs w:val="28"/>
        </w:rPr>
        <w:t>9.2.2在经常磨损的区域例如臀部、肘部和膝部需做特殊加固处理；肘部和膝部带有氯丁橡胶垫；配乳胶袜套；</w:t>
      </w:r>
    </w:p>
    <w:p>
      <w:pPr>
        <w:pStyle w:val="8"/>
        <w:spacing w:line="600" w:lineRule="exact"/>
        <w:ind w:firstLine="560"/>
        <w:rPr>
          <w:rFonts w:hAnsi="宋体" w:cs="宋体"/>
          <w:szCs w:val="28"/>
        </w:rPr>
      </w:pPr>
      <w:r>
        <w:rPr>
          <w:rFonts w:hint="eastAsia" w:hAnsi="宋体" w:cs="宋体"/>
          <w:szCs w:val="28"/>
        </w:rPr>
        <w:t>9.2.3内置可拆卸背带，可调节，可实现在水中可以穿脱救援服的上半部分而下半部分不渗水；</w:t>
      </w:r>
    </w:p>
    <w:p>
      <w:pPr>
        <w:pStyle w:val="8"/>
        <w:spacing w:line="600" w:lineRule="exact"/>
        <w:ind w:firstLine="560"/>
        <w:rPr>
          <w:rFonts w:hAnsi="宋体" w:cs="宋体"/>
          <w:szCs w:val="28"/>
        </w:rPr>
      </w:pPr>
      <w:r>
        <w:rPr>
          <w:rFonts w:hint="eastAsia" w:hAnsi="宋体" w:cs="宋体"/>
          <w:szCs w:val="28"/>
        </w:rPr>
        <w:t>9.2.4大腿部有一个自干口袋，可以方便储存工具；前端斜入式的高强防水拉链确保密封不进水；</w:t>
      </w:r>
    </w:p>
    <w:p>
      <w:pPr>
        <w:pStyle w:val="8"/>
        <w:spacing w:line="600" w:lineRule="exact"/>
        <w:ind w:firstLine="560"/>
        <w:rPr>
          <w:rFonts w:hAnsi="宋体" w:cs="宋体"/>
          <w:szCs w:val="28"/>
        </w:rPr>
      </w:pPr>
      <w:r>
        <w:rPr>
          <w:rFonts w:hint="eastAsia" w:hAnsi="宋体" w:cs="宋体"/>
          <w:szCs w:val="28"/>
        </w:rPr>
        <w:t>9.2.5裆部有高强度防水拉链，如厕时不用脱下整件衣服；</w:t>
      </w:r>
    </w:p>
    <w:p>
      <w:pPr>
        <w:pStyle w:val="8"/>
        <w:spacing w:line="600" w:lineRule="exact"/>
        <w:ind w:firstLine="560"/>
        <w:rPr>
          <w:rFonts w:hAnsi="宋体" w:cs="宋体"/>
          <w:szCs w:val="28"/>
        </w:rPr>
      </w:pPr>
      <w:r>
        <w:rPr>
          <w:rFonts w:hint="eastAsia" w:hAnsi="宋体" w:cs="宋体"/>
          <w:szCs w:val="28"/>
        </w:rPr>
        <w:t>9.2.6颈部和袖口部分采用优质乳胶橡胶，可紧贴皮肤，确保不渗漏；</w:t>
      </w:r>
    </w:p>
    <w:p>
      <w:pPr>
        <w:pStyle w:val="8"/>
        <w:spacing w:line="600" w:lineRule="exact"/>
        <w:ind w:firstLine="560"/>
        <w:rPr>
          <w:rFonts w:hAnsi="宋体" w:cs="宋体"/>
          <w:szCs w:val="28"/>
        </w:rPr>
      </w:pPr>
      <w:r>
        <w:rPr>
          <w:rFonts w:hint="eastAsia" w:hAnsi="宋体" w:cs="宋体"/>
          <w:szCs w:val="28"/>
        </w:rPr>
        <w:t>9.2.7颈部、袖口、腰部、脚踝部分带有可调节魔术贴，调整至合适的大小，帮助束紧，穿着贴身，方便救援；</w:t>
      </w:r>
    </w:p>
    <w:p>
      <w:pPr>
        <w:pStyle w:val="8"/>
        <w:spacing w:line="600" w:lineRule="exact"/>
        <w:ind w:firstLine="560"/>
        <w:rPr>
          <w:rFonts w:hAnsi="宋体" w:cs="宋体"/>
          <w:szCs w:val="28"/>
        </w:rPr>
      </w:pPr>
      <w:r>
        <w:rPr>
          <w:rFonts w:hint="eastAsia" w:hAnsi="宋体" w:cs="宋体"/>
          <w:szCs w:val="28"/>
        </w:rPr>
        <w:t>9.2.8腰部有可调节织带，用于调节舒适度；</w:t>
      </w:r>
    </w:p>
    <w:p>
      <w:pPr>
        <w:pStyle w:val="8"/>
        <w:spacing w:line="600" w:lineRule="exact"/>
        <w:ind w:firstLine="560"/>
        <w:rPr>
          <w:rFonts w:hAnsi="宋体" w:cs="宋体"/>
          <w:szCs w:val="28"/>
        </w:rPr>
      </w:pPr>
      <w:r>
        <w:rPr>
          <w:rFonts w:hint="eastAsia" w:hAnsi="宋体" w:cs="宋体"/>
          <w:szCs w:val="28"/>
        </w:rPr>
        <w:t>9.2.9腕部和踝部具有视觉丽反光条确保在低可视条件下依然有较高的识别性；反光条为栅格条状切割设计，采用热合工艺压制于面料上，无针缝，柔软且无漏水可能；</w:t>
      </w:r>
    </w:p>
    <w:p>
      <w:pPr>
        <w:pStyle w:val="8"/>
        <w:spacing w:line="600" w:lineRule="exact"/>
        <w:ind w:firstLine="560"/>
        <w:rPr>
          <w:rFonts w:hAnsi="宋体" w:cs="宋体"/>
          <w:szCs w:val="28"/>
        </w:rPr>
      </w:pPr>
      <w:r>
        <w:rPr>
          <w:rFonts w:hint="eastAsia" w:hAnsi="宋体" w:cs="宋体"/>
          <w:szCs w:val="28"/>
        </w:rPr>
        <w:t>9.2.10防渗漏性能：经静水中持续≥1h的渗透性能试验，救援服的进水量≤0.25kg；</w:t>
      </w:r>
    </w:p>
    <w:p>
      <w:pPr>
        <w:pStyle w:val="8"/>
        <w:spacing w:line="600" w:lineRule="exact"/>
        <w:ind w:firstLine="560"/>
        <w:rPr>
          <w:rFonts w:hAnsi="宋体" w:cs="宋体"/>
          <w:szCs w:val="28"/>
        </w:rPr>
      </w:pPr>
      <w:r>
        <w:rPr>
          <w:rFonts w:hint="eastAsia" w:hAnsi="宋体" w:cs="宋体"/>
          <w:szCs w:val="28"/>
        </w:rPr>
        <w:t>9.2.11保温性能：经保温性能试验后，受试者的体表（手.脚和腰部皮肤表面）温度均未降至10℃以下，体温下降≤1.3℃；</w:t>
      </w:r>
    </w:p>
    <w:p>
      <w:pPr>
        <w:pStyle w:val="8"/>
        <w:spacing w:line="600" w:lineRule="exact"/>
        <w:ind w:firstLine="560"/>
        <w:rPr>
          <w:rFonts w:hAnsi="宋体" w:cs="宋体"/>
          <w:szCs w:val="28"/>
        </w:rPr>
      </w:pPr>
      <w:r>
        <w:rPr>
          <w:rFonts w:hint="eastAsia" w:hAnsi="宋体" w:cs="宋体"/>
          <w:szCs w:val="28"/>
        </w:rPr>
        <w:t>9.2.12适用性能：穿着消防专用救生衣无限制，水域救援防护服穿着时间≤30s，穿着者能行走、爬行、游泳并登上平台；</w:t>
      </w:r>
    </w:p>
    <w:p>
      <w:pPr>
        <w:pStyle w:val="8"/>
        <w:spacing w:line="600" w:lineRule="exact"/>
        <w:ind w:firstLine="560"/>
        <w:rPr>
          <w:rFonts w:hAnsi="宋体" w:cs="宋体"/>
          <w:szCs w:val="28"/>
        </w:rPr>
      </w:pPr>
      <w:r>
        <w:rPr>
          <w:rFonts w:hint="eastAsia" w:hAnsi="宋体" w:cs="宋体"/>
          <w:szCs w:val="28"/>
        </w:rPr>
        <w:t>9.2.13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rPr>
      </w:pPr>
      <w:r>
        <w:rPr>
          <w:rFonts w:hint="eastAsia" w:hAnsi="宋体" w:cs="宋体"/>
          <w:szCs w:val="28"/>
        </w:rPr>
        <w:t>9.2.14防护服质量：≤2100g。</w:t>
      </w:r>
    </w:p>
    <w:p>
      <w:pPr>
        <w:pStyle w:val="8"/>
        <w:spacing w:line="600" w:lineRule="exact"/>
        <w:ind w:firstLine="560"/>
        <w:rPr>
          <w:rFonts w:hAnsi="宋体" w:cs="宋体"/>
          <w:szCs w:val="28"/>
        </w:rPr>
      </w:pPr>
      <w:r>
        <w:rPr>
          <w:rFonts w:hint="eastAsia" w:hAnsi="宋体" w:cs="宋体"/>
          <w:szCs w:val="28"/>
        </w:rPr>
        <w:t>9.3</w:t>
      </w:r>
      <w:r>
        <w:rPr>
          <w:rFonts w:hint="eastAsia" w:hAnsi="宋体" w:cs="宋体"/>
          <w:szCs w:val="28"/>
          <w:u w:val="single"/>
        </w:rPr>
        <w:t>★湿式水域救援服6套</w:t>
      </w:r>
    </w:p>
    <w:p>
      <w:pPr>
        <w:pStyle w:val="8"/>
        <w:spacing w:line="600" w:lineRule="exact"/>
        <w:ind w:firstLine="560"/>
        <w:rPr>
          <w:rFonts w:hAnsi="宋体" w:cs="宋体"/>
          <w:szCs w:val="28"/>
        </w:rPr>
      </w:pPr>
      <w:r>
        <w:rPr>
          <w:rFonts w:hint="eastAsia" w:hAnsi="宋体" w:cs="宋体"/>
          <w:szCs w:val="28"/>
        </w:rPr>
        <w:t>9.3.1主要材质为不小于3mm带有钛涂层的氯丁橡胶材质，提供非常好的热反射性能，黑、橙色立体拼接剪裁，连体式结构；</w:t>
      </w:r>
    </w:p>
    <w:p>
      <w:pPr>
        <w:pStyle w:val="8"/>
        <w:spacing w:line="600" w:lineRule="exact"/>
        <w:ind w:firstLine="560"/>
        <w:rPr>
          <w:rFonts w:hAnsi="宋体" w:cs="宋体"/>
          <w:szCs w:val="28"/>
        </w:rPr>
      </w:pPr>
      <w:r>
        <w:rPr>
          <w:rFonts w:hint="eastAsia" w:hAnsi="宋体" w:cs="宋体"/>
          <w:szCs w:val="28"/>
        </w:rPr>
        <w:t>9.3.2在肩部、背部和手臂处都采用PowerSpan材质提高部位的灵活性，降低活动的束缚感；</w:t>
      </w:r>
    </w:p>
    <w:p>
      <w:pPr>
        <w:pStyle w:val="8"/>
        <w:spacing w:line="600" w:lineRule="exact"/>
        <w:ind w:firstLine="560"/>
        <w:rPr>
          <w:rFonts w:hAnsi="宋体" w:cs="宋体"/>
          <w:szCs w:val="28"/>
        </w:rPr>
      </w:pPr>
      <w:r>
        <w:rPr>
          <w:rFonts w:hint="eastAsia" w:hAnsi="宋体" w:cs="宋体"/>
          <w:szCs w:val="28"/>
        </w:rPr>
        <w:t>9.3.3双向的YKK前置拉链可以使救援者穿、脱装备都非常的迅速和便捷；</w:t>
      </w:r>
    </w:p>
    <w:p>
      <w:pPr>
        <w:pStyle w:val="8"/>
        <w:spacing w:line="600" w:lineRule="exact"/>
        <w:ind w:firstLine="560"/>
        <w:rPr>
          <w:rFonts w:hAnsi="宋体" w:cs="宋体"/>
          <w:szCs w:val="28"/>
        </w:rPr>
      </w:pPr>
      <w:r>
        <w:rPr>
          <w:rFonts w:hint="eastAsia" w:hAnsi="宋体" w:cs="宋体"/>
          <w:szCs w:val="28"/>
        </w:rPr>
        <w:t>9.3.4腕部和踝部的YKK拉链可以帮助将袖口和裤腿收紧；</w:t>
      </w:r>
    </w:p>
    <w:p>
      <w:pPr>
        <w:pStyle w:val="8"/>
        <w:spacing w:line="600" w:lineRule="exact"/>
        <w:ind w:firstLine="560"/>
        <w:rPr>
          <w:rFonts w:hAnsi="宋体" w:cs="宋体"/>
          <w:szCs w:val="28"/>
        </w:rPr>
      </w:pPr>
      <w:r>
        <w:rPr>
          <w:rFonts w:hint="eastAsia" w:hAnsi="宋体" w:cs="宋体"/>
          <w:szCs w:val="28"/>
        </w:rPr>
        <w:t>9.3.5所有的缝线处都是用暗针缝制，并且都做了加固压胶处理，提高保暖性和舒适感；在膝盖和小腿处都有聚氨酯涂层垫，可以提供额外的保护；</w:t>
      </w:r>
    </w:p>
    <w:p>
      <w:pPr>
        <w:pStyle w:val="8"/>
        <w:spacing w:line="600" w:lineRule="exact"/>
        <w:ind w:firstLine="560"/>
        <w:rPr>
          <w:rFonts w:hAnsi="宋体" w:cs="宋体"/>
          <w:szCs w:val="28"/>
        </w:rPr>
      </w:pPr>
      <w:r>
        <w:rPr>
          <w:rFonts w:hint="eastAsia" w:hAnsi="宋体" w:cs="宋体"/>
          <w:szCs w:val="28"/>
        </w:rPr>
        <w:t>9.3.6在躯干的两侧部位有大摩擦力区域用于搭配救生衣固定使用，防止冲脱；</w:t>
      </w:r>
    </w:p>
    <w:p>
      <w:pPr>
        <w:pStyle w:val="8"/>
        <w:spacing w:line="600" w:lineRule="exact"/>
        <w:ind w:firstLine="560"/>
        <w:rPr>
          <w:rFonts w:hAnsi="宋体" w:cs="宋体"/>
          <w:szCs w:val="28"/>
        </w:rPr>
      </w:pPr>
      <w:r>
        <w:rPr>
          <w:rFonts w:hint="eastAsia" w:hAnsi="宋体" w:cs="宋体"/>
          <w:szCs w:val="28"/>
        </w:rPr>
        <w:t>9.3.7主要性能：面料拉伸强度≥150N，持续10s经纬向均未出现断裂现象，接缝处能经受≥100N的力量荷载10s未发生断裂，耐磨性面临经6000次循环摩擦后，补强经过8000次循环摩擦未被磨穿；</w:t>
      </w:r>
    </w:p>
    <w:p>
      <w:pPr>
        <w:pStyle w:val="8"/>
        <w:spacing w:line="600" w:lineRule="exact"/>
        <w:ind w:firstLine="560"/>
        <w:rPr>
          <w:rFonts w:hAnsi="宋体" w:cs="宋体"/>
          <w:szCs w:val="28"/>
        </w:rPr>
      </w:pPr>
      <w:r>
        <w:rPr>
          <w:rFonts w:hint="eastAsia" w:hAnsi="宋体" w:cs="宋体"/>
          <w:szCs w:val="28"/>
        </w:rPr>
        <w:t>9.3.8耐静水压100kpa下5min后未出现水滴渗透；</w:t>
      </w:r>
    </w:p>
    <w:p>
      <w:pPr>
        <w:pStyle w:val="8"/>
        <w:spacing w:line="600" w:lineRule="exact"/>
        <w:ind w:firstLine="560"/>
        <w:rPr>
          <w:rFonts w:hAnsi="宋体" w:cs="宋体"/>
          <w:szCs w:val="28"/>
        </w:rPr>
      </w:pPr>
      <w:r>
        <w:rPr>
          <w:rFonts w:hint="eastAsia" w:hAnsi="宋体" w:cs="宋体"/>
          <w:szCs w:val="28"/>
        </w:rPr>
        <w:t>9.3.9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rPr>
      </w:pPr>
      <w:r>
        <w:rPr>
          <w:rFonts w:hint="eastAsia" w:hAnsi="宋体" w:cs="宋体"/>
          <w:szCs w:val="28"/>
        </w:rPr>
        <w:t>10.模块C</w:t>
      </w:r>
    </w:p>
    <w:p>
      <w:pPr>
        <w:pStyle w:val="8"/>
        <w:spacing w:line="600" w:lineRule="exact"/>
        <w:ind w:firstLine="560"/>
        <w:rPr>
          <w:rFonts w:hAnsi="宋体" w:cs="宋体"/>
          <w:szCs w:val="28"/>
        </w:rPr>
      </w:pPr>
      <w:r>
        <w:rPr>
          <w:rFonts w:hint="eastAsia" w:hAnsi="宋体" w:cs="宋体"/>
          <w:szCs w:val="28"/>
        </w:rPr>
        <w:t>10.1</w:t>
      </w:r>
      <w:r>
        <w:rPr>
          <w:rFonts w:hint="eastAsia" w:hAnsi="宋体" w:cs="宋体"/>
          <w:szCs w:val="28"/>
          <w:u w:val="single"/>
        </w:rPr>
        <w:t>★激流救生衣套装5套</w:t>
      </w:r>
    </w:p>
    <w:p>
      <w:pPr>
        <w:pStyle w:val="8"/>
        <w:spacing w:line="600" w:lineRule="exact"/>
        <w:ind w:firstLine="560"/>
        <w:rPr>
          <w:rFonts w:hAnsi="宋体" w:cs="宋体"/>
          <w:szCs w:val="28"/>
        </w:rPr>
      </w:pPr>
      <w:r>
        <w:rPr>
          <w:rFonts w:hint="eastAsia" w:hAnsi="宋体" w:cs="宋体"/>
          <w:szCs w:val="28"/>
        </w:rPr>
        <w:t>10.1.1激流救生衣</w:t>
      </w:r>
    </w:p>
    <w:p>
      <w:pPr>
        <w:pStyle w:val="8"/>
        <w:spacing w:line="600" w:lineRule="exact"/>
        <w:ind w:firstLine="560"/>
        <w:rPr>
          <w:rFonts w:hAnsi="宋体" w:cs="宋体"/>
          <w:szCs w:val="28"/>
        </w:rPr>
      </w:pPr>
      <w:r>
        <w:rPr>
          <w:rFonts w:hint="eastAsia" w:hAnsi="宋体" w:cs="宋体"/>
          <w:szCs w:val="28"/>
        </w:rPr>
        <w:t>（1）浮力：≥150N，在淡水浸泡24h后，浮力损失：≤2%；</w:t>
      </w:r>
    </w:p>
    <w:p>
      <w:pPr>
        <w:pStyle w:val="8"/>
        <w:spacing w:line="600" w:lineRule="exact"/>
        <w:ind w:firstLine="560"/>
        <w:rPr>
          <w:rFonts w:hAnsi="宋体" w:cs="宋体"/>
          <w:szCs w:val="28"/>
        </w:rPr>
      </w:pPr>
      <w:r>
        <w:rPr>
          <w:rFonts w:hint="eastAsia" w:hAnsi="宋体" w:cs="宋体"/>
          <w:szCs w:val="28"/>
        </w:rPr>
        <w:t>（2）内衬应采用软质浮选泡沫或优于该材质，配置可拆卸胸式安全带，配备不锈钢O型环，可拆卸臀部/腿部绑带，防止救生衣脱离身体；</w:t>
      </w:r>
    </w:p>
    <w:p>
      <w:pPr>
        <w:pStyle w:val="8"/>
        <w:spacing w:line="600" w:lineRule="exact"/>
        <w:ind w:firstLine="560"/>
        <w:rPr>
          <w:rFonts w:hAnsi="宋体" w:cs="宋体"/>
          <w:szCs w:val="28"/>
        </w:rPr>
      </w:pPr>
      <w:r>
        <w:rPr>
          <w:rFonts w:hint="eastAsia" w:hAnsi="宋体" w:cs="宋体"/>
          <w:szCs w:val="28"/>
        </w:rPr>
        <w:t>（3）设置前开式单手快速脱扣，前置树脂材质拉链，后背配置牛尾绳（动力绳）与D型环，拉绳拉环破断力：≥10kN；</w:t>
      </w:r>
    </w:p>
    <w:p>
      <w:pPr>
        <w:pStyle w:val="8"/>
        <w:spacing w:line="600" w:lineRule="exact"/>
        <w:ind w:firstLine="560"/>
        <w:rPr>
          <w:rFonts w:hAnsi="宋体" w:cs="宋体"/>
          <w:szCs w:val="28"/>
        </w:rPr>
      </w:pPr>
      <w:r>
        <w:rPr>
          <w:rFonts w:hint="eastAsia" w:hAnsi="宋体" w:cs="宋体"/>
          <w:szCs w:val="28"/>
        </w:rPr>
        <w:t>（4）设置高亮反光带：≥8条；</w:t>
      </w:r>
    </w:p>
    <w:p>
      <w:pPr>
        <w:pStyle w:val="8"/>
        <w:spacing w:line="600" w:lineRule="exact"/>
        <w:ind w:firstLine="560"/>
        <w:rPr>
          <w:rFonts w:hAnsi="宋体" w:cs="宋体"/>
          <w:szCs w:val="28"/>
        </w:rPr>
      </w:pPr>
      <w:r>
        <w:rPr>
          <w:rFonts w:hint="eastAsia" w:hAnsi="宋体" w:cs="宋体"/>
          <w:szCs w:val="28"/>
        </w:rPr>
        <w:t>（5）救生衣前侧设置挂点：≥5个、后侧设置挂点：≥1个；</w:t>
      </w:r>
    </w:p>
    <w:p>
      <w:pPr>
        <w:pStyle w:val="8"/>
        <w:spacing w:line="600" w:lineRule="exact"/>
        <w:ind w:firstLine="560"/>
        <w:rPr>
          <w:rFonts w:hAnsi="宋体" w:cs="宋体"/>
          <w:szCs w:val="28"/>
        </w:rPr>
      </w:pPr>
      <w:r>
        <w:rPr>
          <w:rFonts w:hint="eastAsia" w:hAnsi="宋体" w:cs="宋体"/>
          <w:szCs w:val="28"/>
        </w:rPr>
        <w:t>（6）救生衣前侧设置可拆卸口袋：≥2个，整体设置反光标识带；</w:t>
      </w:r>
    </w:p>
    <w:p>
      <w:pPr>
        <w:pStyle w:val="8"/>
        <w:spacing w:line="600" w:lineRule="exact"/>
        <w:ind w:firstLine="560"/>
        <w:rPr>
          <w:rFonts w:hAnsi="宋体" w:cs="宋体"/>
          <w:szCs w:val="28"/>
        </w:rPr>
      </w:pPr>
      <w:r>
        <w:rPr>
          <w:rFonts w:hint="eastAsia" w:hAnsi="宋体" w:cs="宋体"/>
          <w:szCs w:val="28"/>
        </w:rPr>
        <w:t>（7）救生衣配置救生高音口哨（非滚珠类）：≥1只，音量：≥110dB，示位灯：≥1只，割绳刀：≥1把；</w:t>
      </w:r>
    </w:p>
    <w:p>
      <w:pPr>
        <w:pStyle w:val="8"/>
        <w:spacing w:line="600" w:lineRule="exact"/>
        <w:ind w:firstLine="560"/>
        <w:rPr>
          <w:rFonts w:hAnsi="宋体" w:cs="宋体"/>
          <w:szCs w:val="28"/>
        </w:rPr>
      </w:pPr>
      <w:r>
        <w:rPr>
          <w:rFonts w:hint="eastAsia" w:hAnsi="宋体" w:cs="宋体"/>
          <w:szCs w:val="28"/>
        </w:rPr>
        <w:t>（8）穿着救生衣以任意方式下水，救生衣能使人体处于立姿状态（5s内），且人嘴部位高出水面：≥120mm；</w:t>
      </w:r>
    </w:p>
    <w:p>
      <w:pPr>
        <w:pStyle w:val="8"/>
        <w:spacing w:line="600" w:lineRule="exact"/>
        <w:ind w:firstLine="560"/>
        <w:rPr>
          <w:rFonts w:hAnsi="宋体" w:cs="宋体"/>
          <w:szCs w:val="28"/>
        </w:rPr>
      </w:pPr>
      <w:r>
        <w:rPr>
          <w:rFonts w:hint="eastAsia" w:hAnsi="宋体" w:cs="宋体"/>
          <w:szCs w:val="28"/>
        </w:rPr>
        <w:t>（9）背面设置可拆卸式反光板魔术贴：≥2个，反光板内容为根据采购人需求印制；</w:t>
      </w:r>
    </w:p>
    <w:p>
      <w:pPr>
        <w:pStyle w:val="8"/>
        <w:spacing w:line="600" w:lineRule="exact"/>
        <w:ind w:firstLine="560"/>
        <w:rPr>
          <w:rFonts w:hAnsi="宋体" w:cs="宋体"/>
          <w:szCs w:val="28"/>
        </w:rPr>
      </w:pPr>
      <w:r>
        <w:rPr>
          <w:rFonts w:hint="eastAsia" w:hAnsi="宋体" w:cs="宋体"/>
          <w:szCs w:val="28"/>
        </w:rPr>
        <w:t>（10）设置永久性标志及产品数据标识。</w:t>
      </w:r>
    </w:p>
    <w:p>
      <w:pPr>
        <w:pStyle w:val="8"/>
        <w:spacing w:line="600" w:lineRule="exact"/>
        <w:ind w:firstLine="560"/>
        <w:rPr>
          <w:rFonts w:hAnsi="宋体" w:cs="宋体"/>
          <w:szCs w:val="28"/>
        </w:rPr>
      </w:pPr>
      <w:r>
        <w:rPr>
          <w:rFonts w:hint="eastAsia" w:hAnsi="宋体" w:cs="宋体"/>
          <w:szCs w:val="28"/>
        </w:rPr>
        <w:t>10.1.2救生圈</w:t>
      </w:r>
    </w:p>
    <w:p>
      <w:pPr>
        <w:pStyle w:val="8"/>
        <w:spacing w:line="600" w:lineRule="exact"/>
        <w:ind w:firstLine="560"/>
        <w:rPr>
          <w:rFonts w:hAnsi="宋体" w:cs="宋体"/>
          <w:szCs w:val="28"/>
        </w:rPr>
      </w:pPr>
      <w:r>
        <w:rPr>
          <w:rFonts w:hint="eastAsia" w:hAnsi="宋体" w:cs="宋体"/>
          <w:szCs w:val="28"/>
        </w:rPr>
        <w:t>（1）重量：≤12kg，外径：≥700mm、内径：≥400mm；</w:t>
      </w:r>
    </w:p>
    <w:p>
      <w:pPr>
        <w:pStyle w:val="8"/>
        <w:spacing w:line="600" w:lineRule="exact"/>
        <w:ind w:firstLine="560"/>
        <w:rPr>
          <w:rFonts w:hAnsi="宋体" w:cs="宋体"/>
          <w:szCs w:val="28"/>
        </w:rPr>
      </w:pPr>
      <w:r>
        <w:rPr>
          <w:rFonts w:hint="eastAsia" w:hAnsi="宋体" w:cs="宋体"/>
          <w:szCs w:val="28"/>
        </w:rPr>
        <w:t>（2）救生圈固有浮力：≥130N，</w:t>
      </w:r>
      <w:r>
        <w:rPr>
          <w:rFonts w:hint="eastAsia" w:hAnsi="宋体" w:cs="宋体"/>
          <w:szCs w:val="28"/>
          <w:lang w:eastAsia="zh-CN"/>
        </w:rPr>
        <w:t>聚乙烯复合塑料材质</w:t>
      </w:r>
      <w:r>
        <w:rPr>
          <w:rFonts w:hint="eastAsia" w:hAnsi="宋体" w:cs="宋体"/>
          <w:szCs w:val="28"/>
        </w:rPr>
        <w:t>；</w:t>
      </w:r>
    </w:p>
    <w:p>
      <w:pPr>
        <w:pStyle w:val="8"/>
        <w:spacing w:line="600" w:lineRule="exact"/>
        <w:ind w:firstLine="560"/>
        <w:rPr>
          <w:rFonts w:hAnsi="宋体" w:cs="宋体"/>
          <w:szCs w:val="28"/>
        </w:rPr>
      </w:pPr>
      <w:r>
        <w:rPr>
          <w:rFonts w:hint="eastAsia" w:hAnsi="宋体" w:cs="宋体"/>
          <w:szCs w:val="28"/>
        </w:rPr>
        <w:t>（3）设置永久性标志及产品数据标识。</w:t>
      </w:r>
    </w:p>
    <w:p>
      <w:pPr>
        <w:pStyle w:val="8"/>
        <w:spacing w:line="600" w:lineRule="exact"/>
        <w:ind w:firstLine="560"/>
        <w:rPr>
          <w:rFonts w:hAnsi="宋体" w:cs="宋体"/>
          <w:szCs w:val="28"/>
        </w:rPr>
      </w:pPr>
      <w:r>
        <w:rPr>
          <w:rFonts w:hint="eastAsia" w:hAnsi="宋体" w:cs="宋体"/>
          <w:szCs w:val="28"/>
        </w:rPr>
        <w:t>10.1.3救生短绳</w:t>
      </w:r>
    </w:p>
    <w:p>
      <w:pPr>
        <w:pStyle w:val="8"/>
        <w:spacing w:line="600" w:lineRule="exact"/>
        <w:ind w:firstLine="560"/>
        <w:rPr>
          <w:rFonts w:hAnsi="宋体" w:cs="宋体"/>
          <w:szCs w:val="28"/>
        </w:rPr>
      </w:pPr>
      <w:r>
        <w:rPr>
          <w:rFonts w:hint="eastAsia" w:hAnsi="宋体" w:cs="宋体"/>
          <w:szCs w:val="28"/>
        </w:rPr>
        <w:t>（1）包芯绳结构，主承受部分由连续纤维制成，具备发光功能；</w:t>
      </w:r>
    </w:p>
    <w:p>
      <w:pPr>
        <w:pStyle w:val="8"/>
        <w:spacing w:line="600" w:lineRule="exact"/>
        <w:ind w:firstLine="560"/>
        <w:rPr>
          <w:rFonts w:hAnsi="宋体" w:cs="宋体"/>
          <w:szCs w:val="28"/>
        </w:rPr>
      </w:pPr>
      <w:r>
        <w:rPr>
          <w:rFonts w:hint="eastAsia" w:hAnsi="宋体" w:cs="宋体"/>
          <w:szCs w:val="28"/>
        </w:rPr>
        <w:t>（2）最小破断强度：≥35kN，在水面漂浮48h，无明显下沉；</w:t>
      </w:r>
    </w:p>
    <w:p>
      <w:pPr>
        <w:pStyle w:val="8"/>
        <w:spacing w:line="600" w:lineRule="exact"/>
        <w:ind w:firstLine="560"/>
        <w:rPr>
          <w:rFonts w:hAnsi="宋体" w:cs="宋体"/>
          <w:szCs w:val="28"/>
        </w:rPr>
      </w:pPr>
      <w:r>
        <w:rPr>
          <w:rFonts w:hint="eastAsia" w:hAnsi="宋体" w:cs="宋体"/>
          <w:szCs w:val="28"/>
        </w:rPr>
        <w:t>（3）具备耐酸碱腐蚀、耐油性能，救生绳表面无机械损坏现象，整绳粗细均匀、结构一致，配备绳包；</w:t>
      </w:r>
    </w:p>
    <w:p>
      <w:pPr>
        <w:pStyle w:val="8"/>
        <w:spacing w:line="600" w:lineRule="exact"/>
        <w:ind w:firstLine="560"/>
        <w:rPr>
          <w:rFonts w:hAnsi="宋体" w:cs="宋体"/>
          <w:szCs w:val="28"/>
        </w:rPr>
      </w:pPr>
      <w:r>
        <w:rPr>
          <w:rFonts w:hint="eastAsia" w:hAnsi="宋体" w:cs="宋体"/>
          <w:szCs w:val="28"/>
        </w:rPr>
        <w:t>（4）设置永久性标志及产品数据标识。</w:t>
      </w:r>
    </w:p>
    <w:p>
      <w:pPr>
        <w:pStyle w:val="8"/>
        <w:spacing w:line="600" w:lineRule="exact"/>
        <w:ind w:firstLine="560"/>
        <w:rPr>
          <w:rFonts w:hAnsi="宋体" w:cs="宋体"/>
          <w:szCs w:val="28"/>
        </w:rPr>
      </w:pPr>
      <w:r>
        <w:rPr>
          <w:rFonts w:hint="eastAsia" w:hAnsi="宋体" w:cs="宋体"/>
          <w:szCs w:val="28"/>
        </w:rPr>
        <w:t>10.2</w:t>
      </w:r>
      <w:r>
        <w:rPr>
          <w:rFonts w:hint="eastAsia" w:hAnsi="宋体" w:cs="宋体"/>
          <w:szCs w:val="28"/>
          <w:u w:val="single"/>
        </w:rPr>
        <w:t>★橡皮艇1个</w:t>
      </w:r>
    </w:p>
    <w:p>
      <w:pPr>
        <w:pStyle w:val="8"/>
        <w:spacing w:line="600" w:lineRule="exact"/>
        <w:ind w:firstLine="560"/>
        <w:rPr>
          <w:rFonts w:hAnsi="宋体" w:cs="宋体"/>
          <w:szCs w:val="28"/>
        </w:rPr>
      </w:pPr>
      <w:r>
        <w:rPr>
          <w:rFonts w:hint="eastAsia" w:hAnsi="宋体" w:cs="宋体"/>
          <w:szCs w:val="28"/>
        </w:rPr>
        <w:t>10.2.1总体要求</w:t>
      </w:r>
    </w:p>
    <w:p>
      <w:pPr>
        <w:pStyle w:val="8"/>
        <w:spacing w:line="600" w:lineRule="exact"/>
        <w:ind w:firstLine="560"/>
        <w:rPr>
          <w:rFonts w:hAnsi="宋体" w:cs="宋体"/>
          <w:szCs w:val="28"/>
        </w:rPr>
      </w:pPr>
      <w:r>
        <w:rPr>
          <w:rFonts w:hint="eastAsia" w:hAnsi="宋体" w:cs="宋体"/>
          <w:szCs w:val="28"/>
        </w:rPr>
        <w:t>用于水域救援；舟体为充气式，配马达；采用双尾椎充气船体结构，船底部有充气舷梁，高强度铝合金拼装甲板，具有排水阀门；</w:t>
      </w:r>
    </w:p>
    <w:p>
      <w:pPr>
        <w:pStyle w:val="8"/>
        <w:spacing w:line="600" w:lineRule="exact"/>
        <w:ind w:firstLine="560"/>
        <w:rPr>
          <w:rFonts w:hAnsi="宋体" w:cs="宋体"/>
          <w:szCs w:val="28"/>
        </w:rPr>
      </w:pPr>
      <w:r>
        <w:rPr>
          <w:rFonts w:hint="eastAsia" w:hAnsi="宋体" w:cs="宋体"/>
          <w:szCs w:val="28"/>
        </w:rPr>
        <w:t>10.2.2技术要求</w:t>
      </w:r>
    </w:p>
    <w:p>
      <w:pPr>
        <w:pStyle w:val="8"/>
        <w:spacing w:line="600" w:lineRule="exact"/>
        <w:ind w:firstLine="560"/>
        <w:rPr>
          <w:rFonts w:hAnsi="宋体" w:cs="宋体"/>
          <w:szCs w:val="28"/>
        </w:rPr>
      </w:pPr>
      <w:r>
        <w:rPr>
          <w:rFonts w:hint="eastAsia" w:hAnsi="宋体" w:cs="宋体"/>
          <w:szCs w:val="28"/>
        </w:rPr>
        <w:t>（1）额定乘员：≥8人；</w:t>
      </w:r>
    </w:p>
    <w:p>
      <w:pPr>
        <w:pStyle w:val="8"/>
        <w:spacing w:line="600" w:lineRule="exact"/>
        <w:ind w:firstLine="560"/>
        <w:rPr>
          <w:rFonts w:hAnsi="宋体" w:cs="宋体"/>
          <w:szCs w:val="28"/>
        </w:rPr>
      </w:pPr>
      <w:r>
        <w:rPr>
          <w:rFonts w:hint="eastAsia" w:hAnsi="宋体" w:cs="宋体"/>
          <w:szCs w:val="28"/>
        </w:rPr>
        <w:t>（2）尺寸：艇长400±20cm；宽170±20cm；舷直径45±5cm；</w:t>
      </w:r>
    </w:p>
    <w:p>
      <w:pPr>
        <w:pStyle w:val="8"/>
        <w:spacing w:line="600" w:lineRule="exact"/>
        <w:ind w:firstLine="560"/>
        <w:rPr>
          <w:rFonts w:hAnsi="宋体" w:cs="宋体"/>
          <w:szCs w:val="28"/>
        </w:rPr>
      </w:pPr>
      <w:r>
        <w:rPr>
          <w:rFonts w:hint="eastAsia" w:hAnsi="宋体" w:cs="宋体"/>
          <w:szCs w:val="28"/>
        </w:rPr>
        <w:t>（3）结构：船底充气拉丝底板，M型艇底，底部加装耐磨条；</w:t>
      </w:r>
    </w:p>
    <w:p>
      <w:pPr>
        <w:pStyle w:val="8"/>
        <w:spacing w:line="600" w:lineRule="exact"/>
        <w:ind w:firstLine="560"/>
        <w:rPr>
          <w:rFonts w:hAnsi="宋体" w:cs="宋体"/>
          <w:szCs w:val="28"/>
        </w:rPr>
      </w:pPr>
      <w:r>
        <w:rPr>
          <w:rFonts w:hint="eastAsia" w:hAnsi="宋体" w:cs="宋体"/>
          <w:szCs w:val="28"/>
        </w:rPr>
        <w:t>（4）材质：≥0.9mm聚氯乙烯高强度复合材料；</w:t>
      </w:r>
    </w:p>
    <w:p>
      <w:pPr>
        <w:pStyle w:val="8"/>
        <w:spacing w:line="600" w:lineRule="exact"/>
        <w:ind w:firstLine="560"/>
        <w:rPr>
          <w:rFonts w:hAnsi="宋体" w:cs="宋体"/>
          <w:szCs w:val="28"/>
        </w:rPr>
      </w:pPr>
      <w:r>
        <w:rPr>
          <w:rFonts w:hint="eastAsia" w:hAnsi="宋体" w:cs="宋体"/>
          <w:szCs w:val="28"/>
        </w:rPr>
        <w:t>（5）气室数量：4个（3个船体气囊+1个龙骨气囊）；</w:t>
      </w:r>
    </w:p>
    <w:p>
      <w:pPr>
        <w:pStyle w:val="8"/>
        <w:spacing w:line="600" w:lineRule="exact"/>
        <w:ind w:firstLine="560"/>
        <w:rPr>
          <w:rFonts w:hAnsi="宋体" w:cs="宋体"/>
          <w:szCs w:val="28"/>
        </w:rPr>
      </w:pPr>
      <w:r>
        <w:rPr>
          <w:rFonts w:hint="eastAsia" w:hAnsi="宋体" w:cs="宋体"/>
          <w:szCs w:val="28"/>
        </w:rPr>
        <w:t>（6）设计水面载重：≥800kg；</w:t>
      </w:r>
    </w:p>
    <w:p>
      <w:pPr>
        <w:pStyle w:val="8"/>
        <w:spacing w:line="600" w:lineRule="exact"/>
        <w:ind w:firstLine="560"/>
        <w:rPr>
          <w:rFonts w:hAnsi="宋体" w:cs="宋体"/>
          <w:szCs w:val="28"/>
        </w:rPr>
      </w:pPr>
      <w:r>
        <w:rPr>
          <w:rFonts w:hint="eastAsia" w:hAnsi="宋体" w:cs="宋体"/>
          <w:szCs w:val="28"/>
        </w:rPr>
        <w:t>（7）舟底接触地面位置覆加厚橡胶层；</w:t>
      </w:r>
    </w:p>
    <w:p>
      <w:pPr>
        <w:pStyle w:val="8"/>
        <w:spacing w:line="600" w:lineRule="exact"/>
        <w:ind w:firstLine="560"/>
        <w:rPr>
          <w:rFonts w:hAnsi="宋体" w:cs="宋体"/>
          <w:szCs w:val="28"/>
        </w:rPr>
      </w:pPr>
      <w:r>
        <w:rPr>
          <w:rFonts w:hint="eastAsia" w:hAnsi="宋体" w:cs="宋体"/>
          <w:szCs w:val="28"/>
        </w:rPr>
        <w:t>（8）浮筒外侧安装安全绳索，艇身加装安全把手用于固定抓握；</w:t>
      </w:r>
    </w:p>
    <w:p>
      <w:pPr>
        <w:pStyle w:val="8"/>
        <w:spacing w:line="600" w:lineRule="exact"/>
        <w:ind w:firstLine="560"/>
        <w:rPr>
          <w:rFonts w:hAnsi="宋体" w:cs="宋体"/>
          <w:szCs w:val="28"/>
        </w:rPr>
      </w:pPr>
      <w:r>
        <w:rPr>
          <w:rFonts w:hint="eastAsia" w:hAnsi="宋体" w:cs="宋体"/>
          <w:szCs w:val="28"/>
        </w:rPr>
        <w:t>（9）艉板与气囊连接处采用双向金属片夹固处理；</w:t>
      </w:r>
    </w:p>
    <w:p>
      <w:pPr>
        <w:pStyle w:val="8"/>
        <w:spacing w:line="600" w:lineRule="exact"/>
        <w:ind w:firstLine="560"/>
        <w:rPr>
          <w:rFonts w:hAnsi="宋体" w:cs="宋体"/>
          <w:szCs w:val="28"/>
        </w:rPr>
      </w:pPr>
      <w:r>
        <w:rPr>
          <w:rFonts w:hint="eastAsia" w:hAnsi="宋体" w:cs="宋体"/>
          <w:szCs w:val="28"/>
        </w:rPr>
        <w:t>（10）材料强度：提供检测报告；</w:t>
      </w:r>
    </w:p>
    <w:p>
      <w:pPr>
        <w:pStyle w:val="8"/>
        <w:spacing w:line="600" w:lineRule="exact"/>
        <w:ind w:firstLine="560"/>
        <w:rPr>
          <w:rFonts w:hAnsi="宋体" w:cs="宋体"/>
          <w:szCs w:val="28"/>
        </w:rPr>
      </w:pPr>
      <w:r>
        <w:rPr>
          <w:rFonts w:hint="eastAsia" w:hAnsi="宋体" w:cs="宋体"/>
          <w:szCs w:val="28"/>
        </w:rPr>
        <w:t>（11）依据GB/T2423.2-2008标准高温老化测试：材料在40℃环境内存放，1h后试样外观完好；</w:t>
      </w:r>
    </w:p>
    <w:p>
      <w:pPr>
        <w:pStyle w:val="8"/>
        <w:spacing w:line="600" w:lineRule="exact"/>
        <w:ind w:firstLine="560"/>
        <w:rPr>
          <w:rFonts w:hAnsi="宋体" w:cs="宋体"/>
          <w:szCs w:val="28"/>
        </w:rPr>
      </w:pPr>
      <w:r>
        <w:rPr>
          <w:rFonts w:hint="eastAsia" w:hAnsi="宋体" w:cs="宋体"/>
          <w:szCs w:val="28"/>
        </w:rPr>
        <w:t>（12）备用附件：每舟配备缆绳和修补工具，修补工具至少包含专用胶水1支，气阀扳手1个，维修材料3张、铝合金划桨2副、电动气泵1个；</w:t>
      </w:r>
    </w:p>
    <w:p>
      <w:pPr>
        <w:pStyle w:val="8"/>
        <w:spacing w:line="600" w:lineRule="exact"/>
        <w:ind w:firstLine="560"/>
        <w:rPr>
          <w:rFonts w:hAnsi="宋体" w:cs="宋体"/>
          <w:szCs w:val="28"/>
        </w:rPr>
      </w:pPr>
      <w:r>
        <w:rPr>
          <w:rFonts w:hint="eastAsia" w:hAnsi="宋体" w:cs="宋体"/>
          <w:szCs w:val="28"/>
        </w:rPr>
        <w:t>10.2.3舷外机</w:t>
      </w:r>
    </w:p>
    <w:p>
      <w:pPr>
        <w:pStyle w:val="8"/>
        <w:spacing w:line="600" w:lineRule="exact"/>
        <w:ind w:firstLine="560"/>
        <w:rPr>
          <w:rFonts w:hAnsi="宋体" w:cs="宋体"/>
          <w:szCs w:val="28"/>
        </w:rPr>
      </w:pPr>
      <w:r>
        <w:rPr>
          <w:rFonts w:hint="eastAsia" w:hAnsi="宋体" w:cs="宋体"/>
          <w:szCs w:val="28"/>
        </w:rPr>
        <w:t>（1）功率≥30匹马力；</w:t>
      </w:r>
    </w:p>
    <w:p>
      <w:pPr>
        <w:pStyle w:val="8"/>
        <w:spacing w:line="600" w:lineRule="exact"/>
        <w:ind w:firstLine="560"/>
        <w:rPr>
          <w:rFonts w:hAnsi="宋体" w:cs="宋体"/>
          <w:szCs w:val="28"/>
        </w:rPr>
      </w:pPr>
      <w:r>
        <w:rPr>
          <w:rFonts w:hint="eastAsia" w:hAnsi="宋体" w:cs="宋体"/>
          <w:szCs w:val="28"/>
        </w:rPr>
        <w:t>（2）随机油箱：≥20L；</w:t>
      </w:r>
    </w:p>
    <w:p>
      <w:pPr>
        <w:pStyle w:val="8"/>
        <w:spacing w:line="600" w:lineRule="exact"/>
        <w:ind w:firstLine="560"/>
        <w:rPr>
          <w:rFonts w:hAnsi="宋体" w:cs="宋体"/>
          <w:szCs w:val="28"/>
        </w:rPr>
      </w:pPr>
      <w:r>
        <w:rPr>
          <w:rFonts w:hint="eastAsia" w:hAnsi="宋体" w:cs="宋体"/>
          <w:szCs w:val="28"/>
        </w:rPr>
        <w:t>（3）启动系统：手启动和电启动一体；</w:t>
      </w:r>
    </w:p>
    <w:p>
      <w:pPr>
        <w:pStyle w:val="8"/>
        <w:spacing w:line="600" w:lineRule="exact"/>
        <w:ind w:firstLine="560"/>
        <w:rPr>
          <w:rFonts w:hAnsi="宋体" w:cs="宋体"/>
          <w:szCs w:val="28"/>
        </w:rPr>
      </w:pPr>
      <w:r>
        <w:rPr>
          <w:rFonts w:hint="eastAsia" w:hAnsi="宋体" w:cs="宋体"/>
          <w:szCs w:val="28"/>
        </w:rPr>
        <w:t>10.2.4其他要求</w:t>
      </w:r>
    </w:p>
    <w:p>
      <w:pPr>
        <w:pStyle w:val="8"/>
        <w:spacing w:line="600" w:lineRule="exact"/>
        <w:ind w:firstLine="560"/>
        <w:rPr>
          <w:rFonts w:hAnsi="宋体" w:cs="宋体"/>
          <w:szCs w:val="28"/>
        </w:rPr>
      </w:pPr>
      <w:r>
        <w:rPr>
          <w:rFonts w:hint="eastAsia" w:hAnsi="宋体" w:cs="宋体"/>
          <w:szCs w:val="28"/>
        </w:rPr>
        <w:t>（1）产品通过中国船级社（CCS）检测认证；提供中国船级社（CCS）出具的检验报告；</w:t>
      </w:r>
    </w:p>
    <w:p>
      <w:pPr>
        <w:pStyle w:val="8"/>
        <w:spacing w:line="600" w:lineRule="exact"/>
        <w:ind w:firstLine="560"/>
        <w:rPr>
          <w:rFonts w:hAnsi="宋体" w:cs="宋体"/>
          <w:szCs w:val="28"/>
        </w:rPr>
      </w:pPr>
      <w:r>
        <w:rPr>
          <w:rFonts w:hint="eastAsia" w:hAnsi="宋体" w:cs="宋体"/>
          <w:szCs w:val="28"/>
        </w:rPr>
        <w:t>（2）随艇配备螺旋桨保护罩、舷外机手拖车、救援艇围板折叠轮，便于单人搬运；</w:t>
      </w:r>
    </w:p>
    <w:p>
      <w:pPr>
        <w:pStyle w:val="8"/>
        <w:spacing w:line="600" w:lineRule="exact"/>
        <w:ind w:firstLine="560"/>
        <w:rPr>
          <w:rFonts w:hAnsi="宋体" w:cs="宋体"/>
          <w:szCs w:val="28"/>
        </w:rPr>
      </w:pPr>
      <w:r>
        <w:rPr>
          <w:rFonts w:hint="eastAsia" w:hAnsi="宋体" w:cs="宋体"/>
          <w:szCs w:val="28"/>
        </w:rPr>
        <w:t>（3）其他要求：供货时，须提供中文使用说明书、产品品牌、生产厂家详细地址、联络方式和售后服务联络方式；其它方面必须提供相应认证资料；</w:t>
      </w:r>
    </w:p>
    <w:p>
      <w:pPr>
        <w:pStyle w:val="8"/>
        <w:spacing w:line="600" w:lineRule="exact"/>
        <w:ind w:firstLine="560"/>
        <w:rPr>
          <w:rFonts w:hAnsi="宋体" w:cs="宋体"/>
          <w:szCs w:val="28"/>
        </w:rPr>
      </w:pPr>
      <w:r>
        <w:rPr>
          <w:rFonts w:hint="eastAsia" w:hAnsi="宋体" w:cs="宋体"/>
          <w:szCs w:val="28"/>
        </w:rPr>
        <w:t>（4）船身喷涂与采购单位沟通。</w:t>
      </w:r>
    </w:p>
    <w:p>
      <w:pPr>
        <w:pStyle w:val="8"/>
        <w:spacing w:line="600" w:lineRule="exact"/>
        <w:ind w:firstLine="560"/>
        <w:rPr>
          <w:rFonts w:hAnsi="宋体" w:cs="宋体"/>
          <w:szCs w:val="28"/>
        </w:rPr>
      </w:pPr>
      <w:r>
        <w:rPr>
          <w:rFonts w:hint="eastAsia" w:hAnsi="宋体" w:cs="宋体"/>
          <w:szCs w:val="28"/>
        </w:rPr>
        <w:t>10.3</w:t>
      </w:r>
      <w:r>
        <w:rPr>
          <w:rFonts w:hint="eastAsia" w:hAnsi="宋体" w:cs="宋体"/>
          <w:szCs w:val="28"/>
          <w:u w:val="single"/>
        </w:rPr>
        <w:t>★干式水域救援服1套</w:t>
      </w:r>
    </w:p>
    <w:p>
      <w:pPr>
        <w:pStyle w:val="8"/>
        <w:spacing w:line="600" w:lineRule="exact"/>
        <w:ind w:firstLine="560"/>
        <w:rPr>
          <w:rFonts w:hAnsi="宋体" w:cs="宋体"/>
          <w:szCs w:val="28"/>
        </w:rPr>
      </w:pPr>
      <w:r>
        <w:rPr>
          <w:rFonts w:hint="eastAsia" w:hAnsi="宋体" w:cs="宋体"/>
          <w:szCs w:val="28"/>
        </w:rPr>
        <w:t>10.3.1采用防水透气面料，三层复合材质（防水层，透气层，耐磨层），外观采用黑、橙色立体拼接剪裁；</w:t>
      </w:r>
    </w:p>
    <w:p>
      <w:pPr>
        <w:pStyle w:val="8"/>
        <w:spacing w:line="600" w:lineRule="exact"/>
        <w:ind w:firstLine="560"/>
        <w:rPr>
          <w:rFonts w:hAnsi="宋体" w:cs="宋体"/>
          <w:szCs w:val="28"/>
        </w:rPr>
      </w:pPr>
      <w:r>
        <w:rPr>
          <w:rFonts w:hint="eastAsia" w:hAnsi="宋体" w:cs="宋体"/>
          <w:szCs w:val="28"/>
        </w:rPr>
        <w:t>10.3.2.在经常磨损的区域例如臀部、肘部和膝部需做特殊加固处理；肘部和膝部带有氯丁橡胶垫；配乳胶袜套；</w:t>
      </w:r>
    </w:p>
    <w:p>
      <w:pPr>
        <w:pStyle w:val="8"/>
        <w:spacing w:line="600" w:lineRule="exact"/>
        <w:ind w:firstLine="560"/>
        <w:rPr>
          <w:rFonts w:hAnsi="宋体" w:cs="宋体"/>
          <w:szCs w:val="28"/>
        </w:rPr>
      </w:pPr>
      <w:r>
        <w:rPr>
          <w:rFonts w:hint="eastAsia" w:hAnsi="宋体" w:cs="宋体"/>
          <w:szCs w:val="28"/>
        </w:rPr>
        <w:t>10.3.3.内置可拆卸背带，可调节，可实现在水中可以穿脱救援服的上半部分而下半部分不渗水；</w:t>
      </w:r>
    </w:p>
    <w:p>
      <w:pPr>
        <w:pStyle w:val="8"/>
        <w:spacing w:line="600" w:lineRule="exact"/>
        <w:ind w:firstLine="560"/>
        <w:rPr>
          <w:rFonts w:hAnsi="宋体" w:cs="宋体"/>
          <w:szCs w:val="28"/>
        </w:rPr>
      </w:pPr>
      <w:r>
        <w:rPr>
          <w:rFonts w:hint="eastAsia" w:hAnsi="宋体" w:cs="宋体"/>
          <w:szCs w:val="28"/>
        </w:rPr>
        <w:t>10.3.4.大腿部有一个自干口袋，可以方便储存工具；前端斜入式的高强防水拉链确保密封不进水；</w:t>
      </w:r>
    </w:p>
    <w:p>
      <w:pPr>
        <w:pStyle w:val="8"/>
        <w:spacing w:line="600" w:lineRule="exact"/>
        <w:ind w:firstLine="560"/>
        <w:rPr>
          <w:rFonts w:hAnsi="宋体" w:cs="宋体"/>
          <w:szCs w:val="28"/>
        </w:rPr>
      </w:pPr>
      <w:r>
        <w:rPr>
          <w:rFonts w:hint="eastAsia" w:hAnsi="宋体" w:cs="宋体"/>
          <w:szCs w:val="28"/>
        </w:rPr>
        <w:t>10.3.5.裆部有高强度防水拉链，如厕时不用脱下整件衣服；</w:t>
      </w:r>
    </w:p>
    <w:p>
      <w:pPr>
        <w:pStyle w:val="8"/>
        <w:spacing w:line="600" w:lineRule="exact"/>
        <w:ind w:firstLine="560"/>
        <w:rPr>
          <w:rFonts w:hAnsi="宋体" w:cs="宋体"/>
          <w:szCs w:val="28"/>
        </w:rPr>
      </w:pPr>
      <w:r>
        <w:rPr>
          <w:rFonts w:hint="eastAsia" w:hAnsi="宋体" w:cs="宋体"/>
          <w:szCs w:val="28"/>
        </w:rPr>
        <w:t>10.3.6.颈部和袖口部分采用优质乳胶橡胶，可紧贴皮肤，确保不渗漏；</w:t>
      </w:r>
    </w:p>
    <w:p>
      <w:pPr>
        <w:pStyle w:val="8"/>
        <w:spacing w:line="600" w:lineRule="exact"/>
        <w:ind w:firstLine="560"/>
        <w:rPr>
          <w:rFonts w:hAnsi="宋体" w:cs="宋体"/>
          <w:szCs w:val="28"/>
        </w:rPr>
      </w:pPr>
      <w:r>
        <w:rPr>
          <w:rFonts w:hint="eastAsia" w:hAnsi="宋体" w:cs="宋体"/>
          <w:szCs w:val="28"/>
        </w:rPr>
        <w:t>10.3.7.颈部、袖口、腰部、脚踝部分带有可调节魔术贴，调整至合适的大小，帮助束紧，穿着贴身，方便救援；</w:t>
      </w:r>
    </w:p>
    <w:p>
      <w:pPr>
        <w:pStyle w:val="8"/>
        <w:spacing w:line="600" w:lineRule="exact"/>
        <w:ind w:firstLine="560"/>
        <w:rPr>
          <w:rFonts w:hAnsi="宋体" w:cs="宋体"/>
          <w:szCs w:val="28"/>
        </w:rPr>
      </w:pPr>
      <w:r>
        <w:rPr>
          <w:rFonts w:hint="eastAsia" w:hAnsi="宋体" w:cs="宋体"/>
          <w:szCs w:val="28"/>
        </w:rPr>
        <w:t>10.3.8.腰部有可调节织带，用于调节舒适度；</w:t>
      </w:r>
    </w:p>
    <w:p>
      <w:pPr>
        <w:pStyle w:val="8"/>
        <w:spacing w:line="600" w:lineRule="exact"/>
        <w:ind w:firstLine="560"/>
        <w:rPr>
          <w:rFonts w:hAnsi="宋体" w:cs="宋体"/>
          <w:szCs w:val="28"/>
        </w:rPr>
      </w:pPr>
      <w:r>
        <w:rPr>
          <w:rFonts w:hint="eastAsia" w:hAnsi="宋体" w:cs="宋体"/>
          <w:szCs w:val="28"/>
        </w:rPr>
        <w:t>10.3.9.腕部和踝部具有视觉丽反光条确保在低可视条件下依然有较高的识别性；反光条为栅格条状切割设计，采用热合工艺压制于面料上，无针缝，柔软且无漏水可能；</w:t>
      </w:r>
    </w:p>
    <w:p>
      <w:pPr>
        <w:pStyle w:val="8"/>
        <w:spacing w:line="600" w:lineRule="exact"/>
        <w:ind w:firstLine="560"/>
        <w:rPr>
          <w:rFonts w:hAnsi="宋体" w:cs="宋体"/>
          <w:szCs w:val="28"/>
        </w:rPr>
      </w:pPr>
      <w:r>
        <w:rPr>
          <w:rFonts w:hint="eastAsia" w:hAnsi="宋体" w:cs="宋体"/>
          <w:szCs w:val="28"/>
        </w:rPr>
        <w:t>10.3.10.防渗漏性能：经静水中持续1h的渗透性能试验，救援服的进水量≤0.25kg；</w:t>
      </w:r>
    </w:p>
    <w:p>
      <w:pPr>
        <w:pStyle w:val="8"/>
        <w:spacing w:line="600" w:lineRule="exact"/>
        <w:ind w:firstLine="560"/>
        <w:rPr>
          <w:rFonts w:hAnsi="宋体" w:cs="宋体"/>
          <w:szCs w:val="28"/>
        </w:rPr>
      </w:pPr>
      <w:r>
        <w:rPr>
          <w:rFonts w:hint="eastAsia" w:hAnsi="宋体" w:cs="宋体"/>
          <w:szCs w:val="28"/>
        </w:rPr>
        <w:t>10.3.11.保温性能：经保温性能试验后，受试者的体表（手.脚和腰部皮肤表面）温度均未降至10℃以下，体温下降≤1.3℃；</w:t>
      </w:r>
    </w:p>
    <w:p>
      <w:pPr>
        <w:pStyle w:val="8"/>
        <w:spacing w:line="600" w:lineRule="exact"/>
        <w:ind w:firstLine="560"/>
        <w:rPr>
          <w:rFonts w:hAnsi="宋体" w:cs="宋体"/>
          <w:szCs w:val="28"/>
        </w:rPr>
      </w:pPr>
      <w:r>
        <w:rPr>
          <w:rFonts w:hint="eastAsia" w:hAnsi="宋体" w:cs="宋体"/>
          <w:szCs w:val="28"/>
        </w:rPr>
        <w:t>10.3.12.适用性能：穿着消防专用救生衣无限制，水域救援防护服穿着时间≤30s，穿着者能行走、爬行、游泳并登上平台；</w:t>
      </w:r>
    </w:p>
    <w:p>
      <w:pPr>
        <w:pStyle w:val="8"/>
        <w:spacing w:line="600" w:lineRule="exact"/>
        <w:ind w:firstLine="560"/>
        <w:rPr>
          <w:rFonts w:hAnsi="宋体" w:cs="宋体"/>
          <w:szCs w:val="28"/>
        </w:rPr>
      </w:pPr>
      <w:r>
        <w:rPr>
          <w:rFonts w:hint="eastAsia" w:hAnsi="宋体" w:cs="宋体"/>
          <w:szCs w:val="28"/>
        </w:rPr>
        <w:t>10.3.13.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rPr>
      </w:pPr>
      <w:r>
        <w:rPr>
          <w:rFonts w:hint="eastAsia" w:hAnsi="宋体" w:cs="宋体"/>
          <w:szCs w:val="28"/>
        </w:rPr>
        <w:t>10.3.14.防护服质量：≤2100g。</w:t>
      </w:r>
    </w:p>
    <w:p>
      <w:pPr>
        <w:pStyle w:val="8"/>
        <w:spacing w:line="600" w:lineRule="exact"/>
        <w:ind w:firstLine="560"/>
        <w:rPr>
          <w:rFonts w:hAnsi="宋体" w:cs="宋体"/>
          <w:szCs w:val="28"/>
          <w:u w:val="single"/>
        </w:rPr>
      </w:pPr>
      <w:r>
        <w:rPr>
          <w:rFonts w:hint="eastAsia" w:hAnsi="宋体" w:cs="宋体"/>
          <w:szCs w:val="28"/>
        </w:rPr>
        <w:t>10.4</w:t>
      </w:r>
      <w:r>
        <w:rPr>
          <w:rFonts w:hint="eastAsia" w:hAnsi="宋体" w:cs="宋体"/>
          <w:szCs w:val="28"/>
          <w:u w:val="single"/>
        </w:rPr>
        <w:t>★湿式水域救援服1套</w:t>
      </w:r>
    </w:p>
    <w:p>
      <w:pPr>
        <w:pStyle w:val="8"/>
        <w:spacing w:line="600" w:lineRule="exact"/>
        <w:ind w:firstLine="560"/>
        <w:rPr>
          <w:rFonts w:hAnsi="宋体" w:cs="宋体"/>
          <w:szCs w:val="28"/>
        </w:rPr>
      </w:pPr>
      <w:r>
        <w:rPr>
          <w:rFonts w:hint="eastAsia" w:hAnsi="宋体" w:cs="宋体"/>
          <w:szCs w:val="28"/>
        </w:rPr>
        <w:t>10.4.1.主要材质为不小于3mm带有钛涂层的氯丁橡胶材质，提供非常好的热反射性能，黑、橙色立体拼接剪裁，连体式结构；</w:t>
      </w:r>
    </w:p>
    <w:p>
      <w:pPr>
        <w:pStyle w:val="8"/>
        <w:spacing w:line="600" w:lineRule="exact"/>
        <w:ind w:firstLine="560"/>
        <w:rPr>
          <w:rFonts w:hAnsi="宋体" w:cs="宋体"/>
          <w:szCs w:val="28"/>
        </w:rPr>
      </w:pPr>
      <w:r>
        <w:rPr>
          <w:rFonts w:hint="eastAsia" w:hAnsi="宋体" w:cs="宋体"/>
          <w:szCs w:val="28"/>
        </w:rPr>
        <w:t>10.4.2.在肩部、背部和手臂处都采用PowerSpan材质提高部位的灵活性，降低活动的束缚感；</w:t>
      </w:r>
    </w:p>
    <w:p>
      <w:pPr>
        <w:pStyle w:val="8"/>
        <w:spacing w:line="600" w:lineRule="exact"/>
        <w:ind w:firstLine="560"/>
        <w:rPr>
          <w:rFonts w:hAnsi="宋体" w:cs="宋体"/>
          <w:szCs w:val="28"/>
        </w:rPr>
      </w:pPr>
      <w:r>
        <w:rPr>
          <w:rFonts w:hint="eastAsia" w:hAnsi="宋体" w:cs="宋体"/>
          <w:szCs w:val="28"/>
        </w:rPr>
        <w:t>10.4.3.双向的YKK前置拉链可以使救援者穿、脱装备都非常的迅速和便捷；</w:t>
      </w:r>
    </w:p>
    <w:p>
      <w:pPr>
        <w:pStyle w:val="8"/>
        <w:spacing w:line="600" w:lineRule="exact"/>
        <w:ind w:firstLine="560"/>
        <w:rPr>
          <w:rFonts w:hAnsi="宋体" w:cs="宋体"/>
          <w:szCs w:val="28"/>
        </w:rPr>
      </w:pPr>
      <w:r>
        <w:rPr>
          <w:rFonts w:hint="eastAsia" w:hAnsi="宋体" w:cs="宋体"/>
          <w:szCs w:val="28"/>
        </w:rPr>
        <w:t>10.4.4.腕部和踝部的YKK拉链可以帮助将袖口和裤腿收紧；</w:t>
      </w:r>
    </w:p>
    <w:p>
      <w:pPr>
        <w:pStyle w:val="8"/>
        <w:spacing w:line="600" w:lineRule="exact"/>
        <w:ind w:firstLine="560"/>
        <w:rPr>
          <w:rFonts w:hAnsi="宋体" w:cs="宋体"/>
          <w:szCs w:val="28"/>
        </w:rPr>
      </w:pPr>
      <w:r>
        <w:rPr>
          <w:rFonts w:hint="eastAsia" w:hAnsi="宋体" w:cs="宋体"/>
          <w:szCs w:val="28"/>
        </w:rPr>
        <w:t>10.4.5.所有的缝线处都是用暗针缝制，并且都做了加固压胶处理，提高保暖性和舒适感；在膝盖和小腿处都有聚氨酯涂层垫，可以提供额外的保护；</w:t>
      </w:r>
    </w:p>
    <w:p>
      <w:pPr>
        <w:pStyle w:val="8"/>
        <w:spacing w:line="600" w:lineRule="exact"/>
        <w:ind w:firstLine="560"/>
        <w:rPr>
          <w:rFonts w:hAnsi="宋体" w:cs="宋体"/>
          <w:szCs w:val="28"/>
        </w:rPr>
      </w:pPr>
      <w:r>
        <w:rPr>
          <w:rFonts w:hint="eastAsia" w:hAnsi="宋体" w:cs="宋体"/>
          <w:szCs w:val="28"/>
        </w:rPr>
        <w:t>10.4.6.在躯干的两侧部位有大摩擦力区域用于搭配救生衣固定使用，防止冲脱；</w:t>
      </w:r>
    </w:p>
    <w:p>
      <w:pPr>
        <w:pStyle w:val="8"/>
        <w:spacing w:line="600" w:lineRule="exact"/>
        <w:ind w:firstLine="560"/>
        <w:rPr>
          <w:rFonts w:hAnsi="宋体" w:cs="宋体"/>
          <w:szCs w:val="28"/>
        </w:rPr>
      </w:pPr>
      <w:r>
        <w:rPr>
          <w:rFonts w:hint="eastAsia" w:hAnsi="宋体" w:cs="宋体"/>
          <w:szCs w:val="28"/>
        </w:rPr>
        <w:t>10.4.7.主要性能：面料拉伸强度≥150N，持续10s经纬向均未出现断裂现象，接缝处能经受≥100N的力量荷载10s未发生断裂，耐磨性面临经≥6000次循环摩擦后，补强经过≥8000次循环摩擦未被磨穿；</w:t>
      </w:r>
    </w:p>
    <w:p>
      <w:pPr>
        <w:pStyle w:val="8"/>
        <w:spacing w:line="600" w:lineRule="exact"/>
        <w:ind w:firstLine="560"/>
        <w:rPr>
          <w:rFonts w:hAnsi="宋体" w:cs="宋体"/>
          <w:szCs w:val="28"/>
        </w:rPr>
      </w:pPr>
      <w:r>
        <w:rPr>
          <w:rFonts w:hint="eastAsia" w:hAnsi="宋体" w:cs="宋体"/>
          <w:szCs w:val="28"/>
        </w:rPr>
        <w:t>10.4.8.耐静水压100kpa下5min后未出现水滴渗透；</w:t>
      </w:r>
    </w:p>
    <w:p>
      <w:pPr>
        <w:pStyle w:val="8"/>
        <w:spacing w:line="600" w:lineRule="exact"/>
        <w:ind w:firstLine="560"/>
        <w:rPr>
          <w:rFonts w:hAnsi="宋体" w:cs="宋体"/>
          <w:szCs w:val="28"/>
        </w:rPr>
      </w:pPr>
      <w:r>
        <w:rPr>
          <w:rFonts w:hint="eastAsia" w:hAnsi="宋体" w:cs="宋体"/>
          <w:szCs w:val="28"/>
        </w:rPr>
        <w:t>10.4.9.中标人应按采购人要求在服装背面印制单位标识，标识字体按照应急消[2020]357号《20式消防员抢险救援服款式标识统型要求》印制，服装规格、尺寸大小，中标投标人必须主动咨询用户单位并且完全满足各级用户单位对尺寸、规格的需求。</w:t>
      </w:r>
    </w:p>
    <w:p>
      <w:pPr>
        <w:pStyle w:val="8"/>
        <w:spacing w:line="600" w:lineRule="exact"/>
        <w:ind w:firstLine="560"/>
        <w:rPr>
          <w:rFonts w:hAnsi="宋体" w:cs="宋体"/>
          <w:szCs w:val="28"/>
        </w:rPr>
      </w:pPr>
      <w:r>
        <w:rPr>
          <w:rFonts w:hint="eastAsia" w:hAnsi="宋体" w:cs="宋体"/>
          <w:szCs w:val="28"/>
        </w:rPr>
        <w:t>10.5</w:t>
      </w:r>
      <w:r>
        <w:rPr>
          <w:rFonts w:hint="eastAsia" w:hAnsi="宋体" w:cs="宋体"/>
          <w:szCs w:val="28"/>
          <w:u w:val="single"/>
        </w:rPr>
        <w:t>★移动发电机1台</w:t>
      </w:r>
    </w:p>
    <w:p>
      <w:pPr>
        <w:pStyle w:val="8"/>
        <w:spacing w:line="600" w:lineRule="exact"/>
        <w:ind w:firstLine="560"/>
        <w:rPr>
          <w:rFonts w:hAnsi="宋体" w:cs="宋体"/>
          <w:szCs w:val="28"/>
        </w:rPr>
      </w:pPr>
      <w:r>
        <w:rPr>
          <w:rFonts w:hint="eastAsia" w:hAnsi="宋体" w:cs="宋体"/>
          <w:szCs w:val="28"/>
        </w:rPr>
        <w:t>10.5.1.发电机组配置无刷稀土永磁发电机，变频模块，静音降噪外壳等；</w:t>
      </w:r>
    </w:p>
    <w:p>
      <w:pPr>
        <w:pStyle w:val="8"/>
        <w:spacing w:line="600" w:lineRule="exact"/>
        <w:ind w:firstLine="560"/>
        <w:rPr>
          <w:rFonts w:hAnsi="宋体" w:cs="宋体"/>
          <w:szCs w:val="28"/>
        </w:rPr>
      </w:pPr>
      <w:r>
        <w:rPr>
          <w:rFonts w:hint="eastAsia" w:hAnsi="宋体" w:cs="宋体"/>
          <w:szCs w:val="28"/>
        </w:rPr>
        <w:t>10.5.2.发动机型式：单缸、风冷、四冲程；</w:t>
      </w:r>
    </w:p>
    <w:p>
      <w:pPr>
        <w:pStyle w:val="8"/>
        <w:spacing w:line="600" w:lineRule="exact"/>
        <w:ind w:firstLine="560"/>
        <w:rPr>
          <w:rFonts w:hAnsi="宋体" w:cs="宋体"/>
          <w:szCs w:val="28"/>
        </w:rPr>
      </w:pPr>
      <w:r>
        <w:rPr>
          <w:rFonts w:hint="eastAsia" w:hAnsi="宋体" w:cs="宋体"/>
          <w:szCs w:val="28"/>
        </w:rPr>
        <w:t>10.5.3.燃油：汽油；</w:t>
      </w:r>
    </w:p>
    <w:p>
      <w:pPr>
        <w:pStyle w:val="8"/>
        <w:spacing w:line="600" w:lineRule="exact"/>
        <w:ind w:firstLine="560"/>
        <w:rPr>
          <w:rFonts w:hAnsi="宋体" w:cs="宋体"/>
          <w:szCs w:val="28"/>
        </w:rPr>
      </w:pPr>
      <w:r>
        <w:rPr>
          <w:rFonts w:hint="eastAsia" w:hAnsi="宋体" w:cs="宋体"/>
          <w:szCs w:val="28"/>
        </w:rPr>
        <w:t>10.5.4.发电机组油箱容积：≥5L；</w:t>
      </w:r>
    </w:p>
    <w:p>
      <w:pPr>
        <w:pStyle w:val="8"/>
        <w:spacing w:line="600" w:lineRule="exact"/>
        <w:ind w:firstLine="560"/>
        <w:rPr>
          <w:rFonts w:hAnsi="宋体" w:cs="宋体"/>
          <w:szCs w:val="28"/>
        </w:rPr>
      </w:pPr>
      <w:r>
        <w:rPr>
          <w:rFonts w:hint="eastAsia" w:hAnsi="宋体" w:cs="宋体"/>
          <w:szCs w:val="28"/>
        </w:rPr>
        <w:t>10.5.5.启动系统：设置手拉启动；</w:t>
      </w:r>
    </w:p>
    <w:p>
      <w:pPr>
        <w:pStyle w:val="8"/>
        <w:spacing w:line="600" w:lineRule="exact"/>
        <w:ind w:firstLine="560"/>
        <w:rPr>
          <w:rFonts w:hAnsi="宋体" w:cs="宋体"/>
          <w:szCs w:val="28"/>
        </w:rPr>
      </w:pPr>
      <w:r>
        <w:rPr>
          <w:rFonts w:hint="eastAsia" w:hAnsi="宋体" w:cs="宋体"/>
          <w:szCs w:val="28"/>
        </w:rPr>
        <w:t>10.5.6.额定功率≥3.0kW；</w:t>
      </w:r>
    </w:p>
    <w:p>
      <w:pPr>
        <w:pStyle w:val="8"/>
        <w:spacing w:line="600" w:lineRule="exact"/>
        <w:ind w:firstLine="560"/>
        <w:rPr>
          <w:rFonts w:hAnsi="宋体" w:cs="宋体"/>
          <w:szCs w:val="28"/>
        </w:rPr>
      </w:pPr>
      <w:r>
        <w:rPr>
          <w:rFonts w:hint="eastAsia" w:hAnsi="宋体" w:cs="宋体"/>
          <w:szCs w:val="28"/>
        </w:rPr>
        <w:t>10.5.7.相数：单相；</w:t>
      </w:r>
    </w:p>
    <w:p>
      <w:pPr>
        <w:pStyle w:val="8"/>
        <w:spacing w:line="600" w:lineRule="exact"/>
        <w:ind w:firstLine="560"/>
        <w:rPr>
          <w:rFonts w:hAnsi="宋体" w:cs="宋体"/>
          <w:szCs w:val="28"/>
        </w:rPr>
      </w:pPr>
      <w:r>
        <w:rPr>
          <w:rFonts w:hint="eastAsia" w:hAnsi="宋体" w:cs="宋体"/>
          <w:szCs w:val="28"/>
        </w:rPr>
        <w:t>10.5.8.单相额定电压：≥220V；</w:t>
      </w:r>
    </w:p>
    <w:p>
      <w:pPr>
        <w:pStyle w:val="8"/>
        <w:spacing w:line="600" w:lineRule="exact"/>
        <w:ind w:firstLine="560"/>
        <w:rPr>
          <w:rFonts w:hAnsi="宋体" w:cs="宋体"/>
          <w:szCs w:val="28"/>
        </w:rPr>
      </w:pPr>
      <w:r>
        <w:rPr>
          <w:rFonts w:hint="eastAsia" w:hAnsi="宋体" w:cs="宋体"/>
          <w:szCs w:val="28"/>
        </w:rPr>
        <w:t>10.5.9.单相额定电流：≥21A；</w:t>
      </w:r>
    </w:p>
    <w:p>
      <w:pPr>
        <w:pStyle w:val="8"/>
        <w:spacing w:line="600" w:lineRule="exact"/>
        <w:ind w:firstLine="560"/>
        <w:rPr>
          <w:rFonts w:hAnsi="宋体" w:cs="宋体"/>
          <w:szCs w:val="28"/>
        </w:rPr>
      </w:pPr>
      <w:r>
        <w:rPr>
          <w:rFonts w:hint="eastAsia" w:hAnsi="宋体" w:cs="宋体"/>
          <w:szCs w:val="28"/>
        </w:rPr>
        <w:t>10.5.10.频率50Hz；</w:t>
      </w:r>
    </w:p>
    <w:p>
      <w:pPr>
        <w:pStyle w:val="8"/>
        <w:spacing w:line="600" w:lineRule="exact"/>
        <w:ind w:firstLine="560"/>
        <w:rPr>
          <w:rFonts w:hAnsi="宋体" w:cs="宋体"/>
          <w:szCs w:val="28"/>
        </w:rPr>
      </w:pPr>
      <w:r>
        <w:rPr>
          <w:rFonts w:hint="eastAsia" w:hAnsi="宋体" w:cs="宋体"/>
          <w:szCs w:val="28"/>
        </w:rPr>
        <w:t>10.5.11.噪音（7m）≤60dB；</w:t>
      </w:r>
    </w:p>
    <w:p>
      <w:pPr>
        <w:pStyle w:val="8"/>
        <w:spacing w:line="600" w:lineRule="exact"/>
        <w:ind w:firstLine="560"/>
        <w:rPr>
          <w:rFonts w:hAnsi="宋体" w:cs="宋体"/>
          <w:szCs w:val="28"/>
        </w:rPr>
      </w:pPr>
      <w:r>
        <w:rPr>
          <w:rFonts w:hint="eastAsia" w:hAnsi="宋体" w:cs="宋体"/>
          <w:szCs w:val="28"/>
        </w:rPr>
        <w:t>10.5.12.设置直流12V电压输出和USB输出接口；</w:t>
      </w:r>
    </w:p>
    <w:p>
      <w:pPr>
        <w:pStyle w:val="8"/>
        <w:spacing w:line="600" w:lineRule="exact"/>
        <w:ind w:firstLine="560"/>
        <w:rPr>
          <w:rFonts w:hAnsi="宋体" w:cs="宋体"/>
          <w:szCs w:val="28"/>
        </w:rPr>
      </w:pPr>
      <w:r>
        <w:rPr>
          <w:rFonts w:hint="eastAsia" w:hAnsi="宋体" w:cs="宋体"/>
          <w:szCs w:val="28"/>
        </w:rPr>
        <w:t>10.5.13.设置机油过低保护功能，带有报警指示灯；</w:t>
      </w:r>
    </w:p>
    <w:p>
      <w:pPr>
        <w:pStyle w:val="8"/>
        <w:spacing w:line="600" w:lineRule="exact"/>
        <w:ind w:firstLine="560"/>
        <w:rPr>
          <w:rFonts w:hAnsi="宋体" w:cs="宋体"/>
          <w:szCs w:val="28"/>
        </w:rPr>
      </w:pPr>
      <w:r>
        <w:rPr>
          <w:rFonts w:hint="eastAsia" w:hAnsi="宋体" w:cs="宋体"/>
          <w:szCs w:val="28"/>
        </w:rPr>
        <w:t>10.5.14.性能等级≥G3，频率降≤3%；稳态电压偏差≤±1%；电压稳定时间＜1s；</w:t>
      </w:r>
    </w:p>
    <w:p>
      <w:pPr>
        <w:pStyle w:val="8"/>
        <w:spacing w:line="600" w:lineRule="exact"/>
        <w:ind w:firstLine="560"/>
        <w:rPr>
          <w:rFonts w:hAnsi="宋体" w:cs="宋体"/>
          <w:szCs w:val="28"/>
        </w:rPr>
      </w:pPr>
      <w:r>
        <w:rPr>
          <w:rFonts w:hint="eastAsia" w:hAnsi="宋体" w:cs="宋体"/>
          <w:szCs w:val="28"/>
        </w:rPr>
        <w:t>10.5.15.配备移动脚轮、手推杆；</w:t>
      </w:r>
    </w:p>
    <w:p>
      <w:pPr>
        <w:pStyle w:val="8"/>
        <w:spacing w:line="600" w:lineRule="exact"/>
        <w:ind w:firstLine="560"/>
        <w:rPr>
          <w:rFonts w:hAnsi="宋体" w:cs="宋体"/>
          <w:szCs w:val="28"/>
        </w:rPr>
      </w:pPr>
      <w:r>
        <w:rPr>
          <w:rFonts w:hint="eastAsia" w:hAnsi="宋体" w:cs="宋体"/>
          <w:szCs w:val="28"/>
        </w:rPr>
        <w:t>10.5.16.尺寸≤600cm×400cm×550cm；</w:t>
      </w:r>
    </w:p>
    <w:p>
      <w:pPr>
        <w:pStyle w:val="8"/>
        <w:spacing w:line="600" w:lineRule="exact"/>
        <w:ind w:firstLine="560"/>
        <w:rPr>
          <w:rFonts w:hAnsi="宋体" w:cs="宋体"/>
          <w:szCs w:val="28"/>
        </w:rPr>
      </w:pPr>
      <w:r>
        <w:rPr>
          <w:rFonts w:hint="eastAsia" w:hAnsi="宋体" w:cs="宋体"/>
          <w:szCs w:val="28"/>
        </w:rPr>
        <w:t>10.5.17.净重≤25kg；</w:t>
      </w:r>
    </w:p>
    <w:p>
      <w:pPr>
        <w:pStyle w:val="8"/>
        <w:spacing w:line="600" w:lineRule="exact"/>
        <w:ind w:firstLine="560"/>
        <w:rPr>
          <w:rFonts w:hAnsi="宋体" w:cs="宋体"/>
          <w:szCs w:val="28"/>
        </w:rPr>
      </w:pPr>
      <w:r>
        <w:rPr>
          <w:rFonts w:hint="eastAsia" w:hAnsi="宋体" w:cs="宋体"/>
          <w:szCs w:val="28"/>
        </w:rPr>
        <w:t>10.5.18.设置永久性标志及产品数据标识。</w:t>
      </w:r>
    </w:p>
    <w:p>
      <w:pPr>
        <w:pStyle w:val="8"/>
        <w:spacing w:line="600" w:lineRule="exact"/>
        <w:ind w:firstLine="560"/>
        <w:rPr>
          <w:rFonts w:hAnsi="宋体" w:cs="宋体"/>
          <w:szCs w:val="28"/>
          <w:u w:val="single"/>
        </w:rPr>
      </w:pPr>
      <w:r>
        <w:rPr>
          <w:rFonts w:hint="eastAsia" w:hAnsi="宋体" w:cs="宋体"/>
          <w:szCs w:val="28"/>
        </w:rPr>
        <w:t>10.6</w:t>
      </w:r>
      <w:r>
        <w:rPr>
          <w:rFonts w:hint="eastAsia" w:hAnsi="宋体" w:cs="宋体"/>
          <w:szCs w:val="28"/>
          <w:u w:val="single"/>
        </w:rPr>
        <w:t>★机动链锯1个</w:t>
      </w:r>
    </w:p>
    <w:p>
      <w:pPr>
        <w:pStyle w:val="8"/>
        <w:spacing w:line="600" w:lineRule="exact"/>
        <w:ind w:firstLine="560"/>
        <w:rPr>
          <w:rFonts w:hAnsi="宋体" w:cs="宋体"/>
          <w:szCs w:val="28"/>
        </w:rPr>
      </w:pPr>
      <w:r>
        <w:rPr>
          <w:rFonts w:hint="eastAsia" w:hAnsi="宋体" w:cs="宋体"/>
          <w:szCs w:val="28"/>
        </w:rPr>
        <w:t>10.6.1.主要用于救援现场破拆木质构件的切割；</w:t>
      </w:r>
    </w:p>
    <w:p>
      <w:pPr>
        <w:pStyle w:val="8"/>
        <w:spacing w:line="600" w:lineRule="exact"/>
        <w:ind w:firstLine="560"/>
        <w:rPr>
          <w:rFonts w:hAnsi="宋体" w:cs="宋体"/>
          <w:szCs w:val="28"/>
        </w:rPr>
      </w:pPr>
      <w:r>
        <w:rPr>
          <w:rFonts w:hint="eastAsia" w:hAnsi="宋体" w:cs="宋体"/>
          <w:szCs w:val="28"/>
        </w:rPr>
        <w:t>10.6.2.功率：≥2.2kW、重量：（不含燃油）≤5.2㎏、导板长度≥40cm；</w:t>
      </w:r>
    </w:p>
    <w:p>
      <w:pPr>
        <w:pStyle w:val="8"/>
        <w:spacing w:line="600" w:lineRule="exact"/>
        <w:ind w:firstLine="560"/>
        <w:rPr>
          <w:rFonts w:hAnsi="宋体" w:cs="宋体"/>
          <w:szCs w:val="28"/>
        </w:rPr>
      </w:pPr>
      <w:r>
        <w:rPr>
          <w:rFonts w:hint="eastAsia" w:hAnsi="宋体" w:cs="宋体"/>
          <w:szCs w:val="28"/>
        </w:rPr>
        <w:t>10.6.3.机油润滑性能良好，最佳的保护发动机免受磨损，链条润滑油具有优异的防磨损性能，保证链条在导板中运行畅通无阻；</w:t>
      </w:r>
    </w:p>
    <w:p>
      <w:pPr>
        <w:pStyle w:val="8"/>
        <w:spacing w:line="600" w:lineRule="exact"/>
        <w:ind w:firstLine="560"/>
        <w:rPr>
          <w:rFonts w:hAnsi="宋体" w:cs="宋体"/>
          <w:szCs w:val="28"/>
        </w:rPr>
      </w:pPr>
      <w:r>
        <w:rPr>
          <w:rFonts w:hint="eastAsia" w:hAnsi="宋体" w:cs="宋体"/>
          <w:szCs w:val="28"/>
        </w:rPr>
        <w:t>10.6.4.导板端部带有导轮，保证链条在导板端部减少阻力和减少功率消耗；</w:t>
      </w:r>
    </w:p>
    <w:p>
      <w:pPr>
        <w:pStyle w:val="8"/>
        <w:spacing w:line="600" w:lineRule="exact"/>
        <w:ind w:firstLine="560"/>
        <w:rPr>
          <w:rFonts w:hAnsi="宋体" w:cs="宋体"/>
          <w:szCs w:val="28"/>
        </w:rPr>
      </w:pPr>
      <w:r>
        <w:rPr>
          <w:rFonts w:hint="eastAsia" w:hAnsi="宋体" w:cs="宋体"/>
          <w:szCs w:val="28"/>
        </w:rPr>
        <w:t>10.6.5.电子点火装置保证起动可靠和发动机的正常运转；</w:t>
      </w:r>
    </w:p>
    <w:p>
      <w:pPr>
        <w:pStyle w:val="8"/>
        <w:spacing w:line="600" w:lineRule="exact"/>
        <w:ind w:firstLine="560"/>
        <w:rPr>
          <w:rFonts w:hAnsi="宋体" w:cs="宋体"/>
          <w:szCs w:val="28"/>
        </w:rPr>
      </w:pPr>
      <w:r>
        <w:rPr>
          <w:rFonts w:hint="eastAsia" w:hAnsi="宋体" w:cs="宋体"/>
          <w:szCs w:val="28"/>
        </w:rPr>
        <w:t>10.6.6.点火系统全封闭，对湿度和脏污不敏感；</w:t>
      </w:r>
    </w:p>
    <w:p>
      <w:pPr>
        <w:pStyle w:val="8"/>
        <w:spacing w:line="600" w:lineRule="exact"/>
        <w:ind w:firstLine="560"/>
        <w:rPr>
          <w:rFonts w:hAnsi="宋体" w:cs="宋体"/>
          <w:szCs w:val="28"/>
        </w:rPr>
      </w:pPr>
      <w:r>
        <w:rPr>
          <w:rFonts w:hint="eastAsia" w:hAnsi="宋体" w:cs="宋体"/>
          <w:szCs w:val="28"/>
        </w:rPr>
        <w:t>10.6.7.配件：火花塞扳手1个、两用螺丝刀1个；除本身自带可使机器正常工作的零部件以外，另需配备备用链条及原装火花塞不少于2条（个）；原厂机油1桶（≥2L）。</w:t>
      </w:r>
    </w:p>
    <w:p>
      <w:pPr>
        <w:pStyle w:val="8"/>
        <w:spacing w:line="600" w:lineRule="exact"/>
        <w:ind w:firstLine="560"/>
        <w:rPr>
          <w:rFonts w:hAnsi="宋体" w:cs="宋体"/>
          <w:szCs w:val="28"/>
        </w:rPr>
      </w:pPr>
      <w:r>
        <w:rPr>
          <w:rFonts w:hint="eastAsia" w:hAnsi="宋体" w:cs="宋体"/>
          <w:szCs w:val="28"/>
        </w:rPr>
        <w:t>10.7</w:t>
      </w:r>
      <w:r>
        <w:rPr>
          <w:rFonts w:hint="eastAsia" w:hAnsi="宋体" w:cs="宋体"/>
          <w:szCs w:val="28"/>
          <w:u w:val="single"/>
        </w:rPr>
        <w:t>★救生圈5个</w:t>
      </w:r>
    </w:p>
    <w:p>
      <w:pPr>
        <w:pStyle w:val="8"/>
        <w:spacing w:line="600" w:lineRule="exact"/>
        <w:ind w:firstLine="560"/>
        <w:rPr>
          <w:rFonts w:hAnsi="宋体" w:cs="宋体"/>
          <w:szCs w:val="28"/>
        </w:rPr>
      </w:pPr>
      <w:r>
        <w:rPr>
          <w:rFonts w:hint="eastAsia" w:hAnsi="宋体" w:cs="宋体"/>
          <w:szCs w:val="28"/>
        </w:rPr>
        <w:t>10.7.1.重量：≤12kg，外径：≥700mm、内径：≥400mm；</w:t>
      </w:r>
    </w:p>
    <w:p>
      <w:pPr>
        <w:pStyle w:val="8"/>
        <w:spacing w:line="600" w:lineRule="exact"/>
        <w:ind w:firstLine="560"/>
        <w:rPr>
          <w:rFonts w:hAnsi="宋体" w:cs="宋体"/>
          <w:szCs w:val="28"/>
        </w:rPr>
      </w:pPr>
      <w:r>
        <w:rPr>
          <w:rFonts w:hint="eastAsia" w:hAnsi="宋体" w:cs="宋体"/>
          <w:szCs w:val="28"/>
        </w:rPr>
        <w:t>10.7.2.救生圈固有浮力：≥130N，</w:t>
      </w:r>
      <w:r>
        <w:rPr>
          <w:rFonts w:hint="eastAsia" w:hAnsi="宋体" w:cs="宋体"/>
          <w:szCs w:val="28"/>
          <w:lang w:eastAsia="zh-CN"/>
        </w:rPr>
        <w:t>聚乙烯复合塑料材质</w:t>
      </w:r>
      <w:r>
        <w:rPr>
          <w:rFonts w:hint="eastAsia" w:hAnsi="宋体" w:cs="宋体"/>
          <w:szCs w:val="28"/>
        </w:rPr>
        <w:t>；</w:t>
      </w:r>
    </w:p>
    <w:p>
      <w:pPr>
        <w:pStyle w:val="8"/>
        <w:spacing w:line="600" w:lineRule="exact"/>
        <w:ind w:firstLine="560"/>
        <w:rPr>
          <w:rFonts w:hAnsi="宋体" w:cs="宋体"/>
          <w:szCs w:val="28"/>
        </w:rPr>
      </w:pPr>
      <w:r>
        <w:rPr>
          <w:rFonts w:hint="eastAsia" w:hAnsi="宋体" w:cs="宋体"/>
          <w:szCs w:val="28"/>
        </w:rPr>
        <w:t>10.7.3.设置永久性标志及产品数据标识。</w:t>
      </w:r>
    </w:p>
    <w:p>
      <w:pPr>
        <w:pStyle w:val="8"/>
        <w:spacing w:line="600" w:lineRule="exact"/>
        <w:ind w:firstLine="560"/>
        <w:rPr>
          <w:rFonts w:hAnsi="宋体" w:cs="宋体"/>
          <w:szCs w:val="28"/>
          <w:u w:val="single"/>
        </w:rPr>
      </w:pPr>
      <w:r>
        <w:rPr>
          <w:rFonts w:hint="eastAsia" w:hAnsi="宋体" w:cs="宋体"/>
          <w:szCs w:val="28"/>
        </w:rPr>
        <w:t>10.8</w:t>
      </w:r>
      <w:r>
        <w:rPr>
          <w:rFonts w:hint="eastAsia" w:hAnsi="宋体" w:cs="宋体"/>
          <w:szCs w:val="28"/>
          <w:u w:val="single"/>
        </w:rPr>
        <w:t>★手提式强光照明灯2个</w:t>
      </w:r>
    </w:p>
    <w:p>
      <w:pPr>
        <w:pStyle w:val="8"/>
        <w:spacing w:line="600" w:lineRule="exact"/>
        <w:ind w:firstLine="560"/>
        <w:rPr>
          <w:rFonts w:hAnsi="宋体" w:cs="宋体"/>
          <w:szCs w:val="28"/>
        </w:rPr>
      </w:pPr>
      <w:r>
        <w:rPr>
          <w:rFonts w:hint="eastAsia" w:hAnsi="宋体" w:cs="宋体"/>
          <w:szCs w:val="28"/>
        </w:rPr>
        <w:t>10.8.1.满足GB30734-2014消防员照明灯具标准，符合GB/T3836.1-2021，GB/T3836.2-2021,GB/T3836.4-2021，GB/T4208-2017标准要求，防护等级符合IP66/IP68（潜水深度：2m/1h）；</w:t>
      </w:r>
    </w:p>
    <w:p>
      <w:pPr>
        <w:pStyle w:val="8"/>
        <w:spacing w:line="600" w:lineRule="exact"/>
        <w:ind w:firstLine="560"/>
        <w:rPr>
          <w:rFonts w:hAnsi="宋体" w:cs="宋体"/>
          <w:szCs w:val="28"/>
        </w:rPr>
      </w:pPr>
      <w:r>
        <w:rPr>
          <w:rFonts w:hint="eastAsia" w:hAnsi="宋体" w:cs="宋体"/>
          <w:szCs w:val="28"/>
        </w:rPr>
        <w:t>10.8.2.光源类型：LED，功率≥24W，具有强光、工作光、频闪光、红蓝警示光、激光等多种工作模式；</w:t>
      </w:r>
    </w:p>
    <w:p>
      <w:pPr>
        <w:pStyle w:val="8"/>
        <w:spacing w:line="600" w:lineRule="exact"/>
        <w:ind w:firstLine="560"/>
        <w:rPr>
          <w:rFonts w:hAnsi="宋体" w:cs="宋体"/>
          <w:szCs w:val="28"/>
        </w:rPr>
      </w:pPr>
      <w:r>
        <w:rPr>
          <w:rFonts w:hint="eastAsia" w:hAnsi="宋体" w:cs="宋体"/>
          <w:szCs w:val="28"/>
        </w:rPr>
        <w:t>10.8.3.照度：5m处强光照度平均值≥3000lx，弱光照度平均值&gt;2300lx；</w:t>
      </w:r>
    </w:p>
    <w:p>
      <w:pPr>
        <w:pStyle w:val="8"/>
        <w:spacing w:line="600" w:lineRule="exact"/>
        <w:ind w:firstLine="560"/>
        <w:rPr>
          <w:rFonts w:hAnsi="宋体" w:cs="宋体"/>
          <w:szCs w:val="28"/>
        </w:rPr>
      </w:pPr>
      <w:r>
        <w:rPr>
          <w:rFonts w:hint="eastAsia" w:hAnsi="宋体" w:cs="宋体"/>
          <w:szCs w:val="28"/>
        </w:rPr>
        <w:t>10.8.4.采用Type-C充电接口，Type-C接口支持快充，快充充电时间≤3h；带有电子指南针，尾部具有红色方位灯；</w:t>
      </w:r>
    </w:p>
    <w:p>
      <w:pPr>
        <w:pStyle w:val="8"/>
        <w:spacing w:line="600" w:lineRule="exact"/>
        <w:ind w:firstLine="560"/>
        <w:rPr>
          <w:rFonts w:hAnsi="宋体" w:cs="宋体"/>
          <w:szCs w:val="28"/>
        </w:rPr>
      </w:pPr>
      <w:r>
        <w:rPr>
          <w:rFonts w:hint="eastAsia" w:hAnsi="宋体" w:cs="宋体"/>
          <w:szCs w:val="28"/>
        </w:rPr>
        <w:t>10.8.5.连续放电时间：聚光强光：≥5h，聚光工作光：≥10h；泛光强光：≥8h（单侧）/≥4h（双侧），泛光工作光：≥16h（单侧）/≥8h（双侧），红蓝闪：≥24h；设计有激光，激光功率≥100mW；</w:t>
      </w:r>
    </w:p>
    <w:p>
      <w:pPr>
        <w:pStyle w:val="8"/>
        <w:spacing w:line="600" w:lineRule="exact"/>
        <w:ind w:firstLine="560"/>
        <w:rPr>
          <w:rFonts w:hAnsi="宋体" w:cs="宋体"/>
          <w:szCs w:val="28"/>
        </w:rPr>
      </w:pPr>
      <w:r>
        <w:rPr>
          <w:rFonts w:hint="eastAsia" w:hAnsi="宋体" w:cs="宋体"/>
          <w:szCs w:val="28"/>
        </w:rPr>
        <w:t>10.8.6.灯体采用OLED智能数显屏，可显示灯具的工作模式、剩余电量、剩余时间。</w:t>
      </w:r>
    </w:p>
    <w:p>
      <w:pPr>
        <w:ind w:firstLine="560"/>
      </w:pPr>
    </w:p>
    <w:p>
      <w:pPr>
        <w:rPr>
          <w:color w:val="000000" w:themeColor="text1"/>
          <w14:textFill>
            <w14:solidFill>
              <w14:schemeClr w14:val="tx1"/>
            </w14:solidFill>
          </w14:textFill>
        </w:rPr>
      </w:pPr>
    </w:p>
    <w:p>
      <w:pPr>
        <w:pStyle w:val="3"/>
        <w:bidi w:val="0"/>
      </w:pPr>
      <w:bookmarkStart w:id="71" w:name="_Toc2447"/>
      <w:r>
        <w:t xml:space="preserve">第五部分 </w:t>
      </w:r>
      <w:r>
        <w:rPr>
          <w:rFonts w:hint="eastAsia"/>
          <w:lang w:val="en-US" w:eastAsia="zh-CN"/>
        </w:rPr>
        <w:t xml:space="preserve"> </w:t>
      </w:r>
      <w:r>
        <w:t>合同原则</w:t>
      </w:r>
      <w:bookmarkEnd w:id="59"/>
      <w:bookmarkEnd w:id="60"/>
      <w:bookmarkEnd w:id="71"/>
      <w:bookmarkStart w:id="72" w:name="_Toc175644061"/>
    </w:p>
    <w:p>
      <w:pPr>
        <w:ind w:firstLine="0" w:firstLineChars="0"/>
        <w:jc w:val="center"/>
        <w:rPr>
          <w:b/>
          <w:bCs/>
          <w:color w:val="000000" w:themeColor="text1"/>
          <w:sz w:val="52"/>
          <w:szCs w:val="52"/>
          <w14:textFill>
            <w14:solidFill>
              <w14:schemeClr w14:val="tx1"/>
            </w14:solidFill>
          </w14:textFill>
        </w:rPr>
      </w:pPr>
    </w:p>
    <w:p>
      <w:pPr>
        <w:widowControl/>
        <w:kinsoku w:val="0"/>
        <w:autoSpaceDE w:val="0"/>
        <w:autoSpaceDN w:val="0"/>
        <w:adjustRightInd w:val="0"/>
        <w:snapToGrid w:val="0"/>
        <w:spacing w:line="360" w:lineRule="auto"/>
        <w:ind w:firstLine="0" w:firstLineChars="0"/>
        <w:jc w:val="center"/>
        <w:rPr>
          <w:snapToGrid w:val="0"/>
          <w:color w:val="000000"/>
          <w:kern w:val="0"/>
          <w:sz w:val="48"/>
          <w:szCs w:val="48"/>
          <w:lang w:bidi="ar"/>
        </w:rPr>
      </w:pPr>
      <w:r>
        <w:rPr>
          <w:snapToGrid w:val="0"/>
          <w:color w:val="000000"/>
          <w:kern w:val="0"/>
          <w:sz w:val="48"/>
          <w:szCs w:val="48"/>
          <w:lang w:bidi="ar"/>
        </w:rPr>
        <w:t>山西省消防救援总队</w:t>
      </w:r>
    </w:p>
    <w:p>
      <w:pPr>
        <w:widowControl/>
        <w:kinsoku w:val="0"/>
        <w:autoSpaceDE w:val="0"/>
        <w:autoSpaceDN w:val="0"/>
        <w:adjustRightInd w:val="0"/>
        <w:snapToGrid w:val="0"/>
        <w:spacing w:line="360" w:lineRule="auto"/>
        <w:ind w:firstLine="0" w:firstLineChars="0"/>
        <w:jc w:val="center"/>
        <w:rPr>
          <w:snapToGrid w:val="0"/>
          <w:color w:val="000000"/>
          <w:kern w:val="0"/>
          <w:sz w:val="48"/>
          <w:szCs w:val="48"/>
          <w:lang w:bidi="ar"/>
        </w:rPr>
      </w:pPr>
      <w:bookmarkStart w:id="73" w:name="_Toc27181"/>
      <w:r>
        <w:rPr>
          <w:rFonts w:hint="eastAsia"/>
          <w:snapToGrid w:val="0"/>
          <w:color w:val="000000"/>
          <w:kern w:val="0"/>
          <w:sz w:val="48"/>
          <w:szCs w:val="48"/>
          <w:lang w:bidi="ar"/>
        </w:rPr>
        <w:t>部门集中</w:t>
      </w:r>
      <w:r>
        <w:rPr>
          <w:snapToGrid w:val="0"/>
          <w:color w:val="000000"/>
          <w:kern w:val="0"/>
          <w:sz w:val="48"/>
          <w:szCs w:val="48"/>
          <w:lang w:bidi="ar"/>
        </w:rPr>
        <w:t>采购项目框架协议书</w:t>
      </w:r>
      <w:bookmarkEnd w:id="73"/>
    </w:p>
    <w:p>
      <w:pPr>
        <w:ind w:firstLine="560"/>
        <w:rPr>
          <w:color w:val="000000" w:themeColor="text1"/>
          <w:szCs w:val="28"/>
          <w14:textFill>
            <w14:solidFill>
              <w14:schemeClr w14:val="tx1"/>
            </w14:solidFill>
          </w14:textFill>
        </w:rPr>
      </w:pPr>
    </w:p>
    <w:p>
      <w:pPr>
        <w:ind w:firstLine="560"/>
        <w:rPr>
          <w:color w:val="000000" w:themeColor="text1"/>
          <w:szCs w:val="28"/>
          <w14:textFill>
            <w14:solidFill>
              <w14:schemeClr w14:val="tx1"/>
            </w14:solidFill>
          </w14:textFill>
        </w:rPr>
      </w:pPr>
    </w:p>
    <w:p>
      <w:pPr>
        <w:ind w:firstLine="560"/>
        <w:rPr>
          <w:color w:val="000000" w:themeColor="text1"/>
          <w:szCs w:val="28"/>
          <w14:textFill>
            <w14:solidFill>
              <w14:schemeClr w14:val="tx1"/>
            </w14:solidFill>
          </w14:textFill>
        </w:rPr>
      </w:pPr>
    </w:p>
    <w:p>
      <w:pPr>
        <w:ind w:firstLine="560"/>
        <w:rPr>
          <w:color w:val="000000" w:themeColor="text1"/>
          <w:szCs w:val="28"/>
          <w14:textFill>
            <w14:solidFill>
              <w14:schemeClr w14:val="tx1"/>
            </w14:solidFill>
          </w14:textFill>
        </w:rPr>
      </w:pPr>
    </w:p>
    <w:p>
      <w:pPr>
        <w:ind w:firstLine="560"/>
        <w:rPr>
          <w:color w:val="000000" w:themeColor="text1"/>
          <w:szCs w:val="28"/>
          <w14:textFill>
            <w14:solidFill>
              <w14:schemeClr w14:val="tx1"/>
            </w14:solidFill>
          </w14:textFill>
        </w:rPr>
      </w:pPr>
    </w:p>
    <w:p>
      <w:pPr>
        <w:ind w:firstLine="560"/>
        <w:rPr>
          <w:color w:val="000000" w:themeColor="text1"/>
          <w:szCs w:val="28"/>
          <w14:textFill>
            <w14:solidFill>
              <w14:schemeClr w14:val="tx1"/>
            </w14:solidFill>
          </w14:textFill>
        </w:rPr>
      </w:pPr>
    </w:p>
    <w:p>
      <w:pPr>
        <w:ind w:firstLine="1212" w:firstLineChars="433"/>
        <w:rPr>
          <w:color w:val="000000" w:themeColor="text1"/>
          <w:szCs w:val="28"/>
          <w:u w:val="single"/>
          <w14:textFill>
            <w14:solidFill>
              <w14:schemeClr w14:val="tx1"/>
            </w14:solidFill>
          </w14:textFill>
        </w:rPr>
      </w:pPr>
      <w:r>
        <w:rPr>
          <w:color w:val="000000" w:themeColor="text1"/>
          <w:szCs w:val="28"/>
          <w14:textFill>
            <w14:solidFill>
              <w14:schemeClr w14:val="tx1"/>
            </w14:solidFill>
          </w14:textFill>
        </w:rPr>
        <w:t>协议编号：</w:t>
      </w:r>
    </w:p>
    <w:p>
      <w:pPr>
        <w:ind w:firstLine="1212" w:firstLineChars="433"/>
        <w:rPr>
          <w:color w:val="000000" w:themeColor="text1"/>
          <w:szCs w:val="28"/>
          <w:u w:val="single"/>
          <w14:textFill>
            <w14:solidFill>
              <w14:schemeClr w14:val="tx1"/>
            </w14:solidFill>
          </w14:textFill>
        </w:rPr>
      </w:pPr>
      <w:r>
        <w:rPr>
          <w:color w:val="000000" w:themeColor="text1"/>
          <w:szCs w:val="28"/>
          <w14:textFill>
            <w14:solidFill>
              <w14:schemeClr w14:val="tx1"/>
            </w14:solidFill>
          </w14:textFill>
        </w:rPr>
        <w:t>项目名称：</w:t>
      </w:r>
    </w:p>
    <w:p>
      <w:pPr>
        <w:ind w:firstLine="1212" w:firstLineChars="433"/>
        <w:rPr>
          <w:color w:val="000000" w:themeColor="text1"/>
          <w:szCs w:val="28"/>
          <w:u w:val="single"/>
          <w14:textFill>
            <w14:solidFill>
              <w14:schemeClr w14:val="tx1"/>
            </w14:solidFill>
          </w14:textFill>
        </w:rPr>
      </w:pPr>
      <w:r>
        <w:rPr>
          <w:color w:val="000000" w:themeColor="text1"/>
          <w:szCs w:val="28"/>
          <w14:textFill>
            <w14:solidFill>
              <w14:schemeClr w14:val="tx1"/>
            </w14:solidFill>
          </w14:textFill>
        </w:rPr>
        <w:t>包    号：</w:t>
      </w:r>
    </w:p>
    <w:p>
      <w:pPr>
        <w:ind w:firstLine="1212" w:firstLineChars="433"/>
        <w:rPr>
          <w:color w:val="000000" w:themeColor="text1"/>
          <w:szCs w:val="28"/>
          <w14:textFill>
            <w14:solidFill>
              <w14:schemeClr w14:val="tx1"/>
            </w14:solidFill>
          </w14:textFill>
        </w:rPr>
      </w:pPr>
      <w:r>
        <w:rPr>
          <w:color w:val="000000" w:themeColor="text1"/>
          <w:szCs w:val="28"/>
          <w14:textFill>
            <w14:solidFill>
              <w14:schemeClr w14:val="tx1"/>
            </w14:solidFill>
          </w14:textFill>
        </w:rPr>
        <w:t>设备名称：</w:t>
      </w:r>
    </w:p>
    <w:p>
      <w:pPr>
        <w:ind w:firstLine="1212" w:firstLineChars="433"/>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p>
    <w:p>
      <w:pPr>
        <w:snapToGrid w:val="0"/>
        <w:ind w:firstLine="0" w:firstLineChars="0"/>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协议签订日期：    年   月  日</w:t>
      </w:r>
    </w:p>
    <w:p>
      <w:pPr>
        <w:rPr>
          <w:b/>
          <w:color w:val="000000" w:themeColor="text1"/>
          <w:szCs w:val="28"/>
          <w14:textFill>
            <w14:solidFill>
              <w14:schemeClr w14:val="tx1"/>
            </w14:solidFill>
          </w14:textFill>
        </w:rPr>
      </w:pPr>
      <w:r>
        <w:rPr>
          <w:b/>
          <w:color w:val="000000" w:themeColor="text1"/>
          <w:szCs w:val="28"/>
          <w14:textFill>
            <w14:solidFill>
              <w14:schemeClr w14:val="tx1"/>
            </w14:solidFill>
          </w14:textFill>
        </w:rPr>
        <w:br w:type="page"/>
      </w:r>
    </w:p>
    <w:p>
      <w:pPr>
        <w:snapToGrid w:val="0"/>
        <w:spacing w:line="360" w:lineRule="auto"/>
        <w:ind w:firstLine="0" w:firstLineChars="0"/>
        <w:jc w:val="center"/>
        <w:rPr>
          <w:b/>
          <w:color w:val="000000" w:themeColor="text1"/>
          <w:szCs w:val="28"/>
          <w14:textFill>
            <w14:solidFill>
              <w14:schemeClr w14:val="tx1"/>
            </w14:solidFill>
          </w14:textFill>
        </w:rPr>
      </w:pPr>
      <w:r>
        <w:rPr>
          <w:b/>
          <w:color w:val="000000" w:themeColor="text1"/>
          <w:szCs w:val="28"/>
          <w14:textFill>
            <w14:solidFill>
              <w14:schemeClr w14:val="tx1"/>
            </w14:solidFill>
          </w14:textFill>
        </w:rPr>
        <w:t>山西省消防救援总队</w:t>
      </w:r>
      <w:r>
        <w:rPr>
          <w:rFonts w:hint="eastAsia"/>
          <w:b/>
          <w:color w:val="000000" w:themeColor="text1"/>
          <w:szCs w:val="28"/>
          <w14:textFill>
            <w14:solidFill>
              <w14:schemeClr w14:val="tx1"/>
            </w14:solidFill>
          </w14:textFill>
        </w:rPr>
        <w:t>部门集中</w:t>
      </w:r>
      <w:r>
        <w:rPr>
          <w:b/>
          <w:color w:val="000000" w:themeColor="text1"/>
          <w:szCs w:val="28"/>
          <w14:textFill>
            <w14:solidFill>
              <w14:schemeClr w14:val="tx1"/>
            </w14:solidFill>
          </w14:textFill>
        </w:rPr>
        <w:t>采购项目框架协议书</w:t>
      </w:r>
    </w:p>
    <w:p>
      <w:pPr>
        <w:snapToGrid w:val="0"/>
        <w:spacing w:line="360" w:lineRule="auto"/>
        <w:ind w:firstLine="562"/>
        <w:jc w:val="center"/>
        <w:rPr>
          <w:b/>
          <w:color w:val="000000" w:themeColor="text1"/>
          <w:szCs w:val="28"/>
          <w14:textFill>
            <w14:solidFill>
              <w14:schemeClr w14:val="tx1"/>
            </w14:solidFill>
          </w14:textFill>
        </w:rPr>
      </w:pPr>
    </w:p>
    <w:p>
      <w:p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甲方：山西省消防救援总队</w:t>
      </w:r>
    </w:p>
    <w:p>
      <w:p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乙方（中标（成交）人）：</w:t>
      </w:r>
    </w:p>
    <w:p>
      <w:pPr>
        <w:snapToGrid w:val="0"/>
        <w:spacing w:line="360" w:lineRule="auto"/>
        <w:ind w:firstLine="460" w:firstLineChars="192"/>
        <w:rPr>
          <w:color w:val="000000" w:themeColor="text1"/>
          <w:sz w:val="24"/>
          <w14:textFill>
            <w14:solidFill>
              <w14:schemeClr w14:val="tx1"/>
            </w14:solidFill>
          </w14:textFill>
        </w:rPr>
      </w:pPr>
      <w:r>
        <w:rPr>
          <w:color w:val="000000" w:themeColor="text1"/>
          <w:sz w:val="24"/>
          <w14:textFill>
            <w14:solidFill>
              <w14:schemeClr w14:val="tx1"/>
            </w14:solidFill>
          </w14:textFill>
        </w:rPr>
        <w:t>根据现行有效法律法规、依照财政部关于</w:t>
      </w:r>
      <w:r>
        <w:rPr>
          <w:rFonts w:hint="eastAsia"/>
          <w:color w:val="000000" w:themeColor="text1"/>
          <w:sz w:val="24"/>
          <w14:textFill>
            <w14:solidFill>
              <w14:schemeClr w14:val="tx1"/>
            </w14:solidFill>
          </w14:textFill>
        </w:rPr>
        <w:t>部门集中</w:t>
      </w:r>
      <w:r>
        <w:rPr>
          <w:color w:val="000000" w:themeColor="text1"/>
          <w:sz w:val="24"/>
          <w14:textFill>
            <w14:solidFill>
              <w14:schemeClr w14:val="tx1"/>
            </w14:solidFill>
          </w14:textFill>
        </w:rPr>
        <w:t>采购的有关规定，乙方参与了</w:t>
      </w:r>
      <w:r>
        <w:rPr>
          <w:color w:val="000000" w:themeColor="text1"/>
          <w:sz w:val="24"/>
          <w:u w:val="single"/>
          <w14:textFill>
            <w14:solidFill>
              <w14:schemeClr w14:val="tx1"/>
            </w14:solidFill>
          </w14:textFill>
        </w:rPr>
        <w:t>（项目名称,以下称：批采项目）(项目编号：)</w:t>
      </w:r>
      <w:r>
        <w:rPr>
          <w:color w:val="000000" w:themeColor="text1"/>
          <w:sz w:val="24"/>
          <w14:textFill>
            <w14:solidFill>
              <w14:schemeClr w14:val="tx1"/>
            </w14:solidFill>
          </w14:textFill>
        </w:rPr>
        <w:t>采购项目，乙方依法成为中标人。为依法完成采购项目，甲方与乙方就采购项目相关事项，签署以下框架协议：</w:t>
      </w:r>
    </w:p>
    <w:p>
      <w:pPr>
        <w:snapToGrid w:val="0"/>
        <w:spacing w:line="360" w:lineRule="auto"/>
        <w:ind w:firstLine="482"/>
        <w:rPr>
          <w:rFonts w:hint="eastAsia"/>
          <w:b/>
          <w:color w:val="000000" w:themeColor="text1"/>
          <w:sz w:val="24"/>
          <w:lang w:val="en-US" w:eastAsia="zh-CN"/>
          <w14:textFill>
            <w14:solidFill>
              <w14:schemeClr w14:val="tx1"/>
            </w14:solidFill>
          </w14:textFill>
        </w:rPr>
      </w:pPr>
      <w:r>
        <w:rPr>
          <w:b/>
          <w:color w:val="000000" w:themeColor="text1"/>
          <w:sz w:val="24"/>
          <w14:textFill>
            <w14:solidFill>
              <w14:schemeClr w14:val="tx1"/>
            </w14:solidFill>
          </w14:textFill>
        </w:rPr>
        <w:t>一、</w:t>
      </w:r>
      <w:r>
        <w:rPr>
          <w:rFonts w:hint="eastAsia"/>
          <w:b/>
          <w:color w:val="000000" w:themeColor="text1"/>
          <w:sz w:val="24"/>
          <w:lang w:val="en-US" w:eastAsia="zh-CN"/>
          <w14:textFill>
            <w14:solidFill>
              <w14:schemeClr w14:val="tx1"/>
            </w14:solidFill>
          </w14:textFill>
        </w:rPr>
        <w:t>本框架协议作为山西省各消防救援支队（以下称：使用单位）与中标（成交）人签订批采项目“政府采购货物买卖合同”（下称采购合同）的组成部分，使用单位与中标（成交）人签订的批采项目采购合同实质内容应与招标文件、投标文件及本框架协议的内容一致。如与本协议不一致，以本协议为准。</w:t>
      </w:r>
    </w:p>
    <w:p>
      <w:pPr>
        <w:snapToGrid w:val="0"/>
        <w:spacing w:line="360" w:lineRule="auto"/>
        <w:ind w:firstLine="482"/>
        <w:rPr>
          <w:b/>
          <w:color w:val="000000" w:themeColor="text1"/>
          <w:sz w:val="24"/>
          <w14:textFill>
            <w14:solidFill>
              <w14:schemeClr w14:val="tx1"/>
            </w14:solidFill>
          </w14:textFill>
        </w:rPr>
      </w:pPr>
    </w:p>
    <w:p>
      <w:pPr>
        <w:snapToGrid w:val="0"/>
        <w:spacing w:line="360" w:lineRule="auto"/>
        <w:ind w:firstLine="463" w:firstLineChars="192"/>
        <w:rPr>
          <w:b/>
          <w:bCs/>
          <w:color w:val="000000" w:themeColor="text1"/>
          <w:sz w:val="24"/>
          <w14:textFill>
            <w14:solidFill>
              <w14:schemeClr w14:val="tx1"/>
            </w14:solidFill>
          </w14:textFill>
        </w:rPr>
      </w:pPr>
      <w:bookmarkStart w:id="74" w:name="_Toc260217325"/>
      <w:bookmarkStart w:id="75" w:name="_Toc199574623"/>
      <w:r>
        <w:rPr>
          <w:b/>
          <w:bCs/>
          <w:color w:val="000000" w:themeColor="text1"/>
          <w:sz w:val="24"/>
          <w14:textFill>
            <w14:solidFill>
              <w14:schemeClr w14:val="tx1"/>
            </w14:solidFill>
          </w14:textFill>
        </w:rPr>
        <w:t>二、合同标的</w:t>
      </w:r>
    </w:p>
    <w:p>
      <w:pPr>
        <w:snapToGrid w:val="0"/>
        <w:spacing w:line="360" w:lineRule="auto"/>
        <w:ind w:firstLine="460" w:firstLineChars="192"/>
        <w:rPr>
          <w:color w:val="000000" w:themeColor="text1"/>
          <w:sz w:val="24"/>
          <w14:textFill>
            <w14:solidFill>
              <w14:schemeClr w14:val="tx1"/>
            </w14:solidFill>
          </w14:textFill>
        </w:rPr>
      </w:pPr>
      <w:r>
        <w:rPr>
          <w:color w:val="000000" w:themeColor="text1"/>
          <w:sz w:val="24"/>
          <w14:textFill>
            <w14:solidFill>
              <w14:schemeClr w14:val="tx1"/>
            </w14:solidFill>
          </w14:textFill>
        </w:rPr>
        <w:t>1、乙方与各使用单位签订合同的各产品品名、品牌、型号、生产厂家、单价、数量、金额必须与投标文件完全一致。</w:t>
      </w:r>
    </w:p>
    <w:p>
      <w:pPr>
        <w:snapToGrid w:val="0"/>
        <w:spacing w:line="360" w:lineRule="auto"/>
        <w:ind w:firstLine="460" w:firstLineChars="192"/>
        <w:rPr>
          <w:color w:val="000000" w:themeColor="text1"/>
          <w:sz w:val="24"/>
          <w14:textFill>
            <w14:solidFill>
              <w14:schemeClr w14:val="tx1"/>
            </w14:solidFill>
          </w14:textFill>
        </w:rPr>
      </w:pPr>
      <w:r>
        <w:rPr>
          <w:color w:val="000000" w:themeColor="text1"/>
          <w:sz w:val="24"/>
          <w14:textFill>
            <w14:solidFill>
              <w14:schemeClr w14:val="tx1"/>
            </w14:solidFill>
          </w14:textFill>
        </w:rPr>
        <w:t>2、质量标准及要求：全新设备，符合国家规定的合格产品标准，符合国家验收规范合格标准，与投标文件的技术指标一致，并附有产品质量检验合格标志等合格产品应具备的全部要件。</w:t>
      </w:r>
    </w:p>
    <w:p>
      <w:pPr>
        <w:snapToGrid w:val="0"/>
        <w:spacing w:line="360" w:lineRule="auto"/>
        <w:ind w:firstLine="460" w:firstLineChars="192"/>
        <w:rPr>
          <w:color w:val="000000" w:themeColor="text1"/>
          <w:sz w:val="24"/>
          <w14:textFill>
            <w14:solidFill>
              <w14:schemeClr w14:val="tx1"/>
            </w14:solidFill>
          </w14:textFill>
        </w:rPr>
      </w:pPr>
      <w:r>
        <w:rPr>
          <w:color w:val="000000" w:themeColor="text1"/>
          <w:sz w:val="24"/>
          <w14:textFill>
            <w14:solidFill>
              <w14:schemeClr w14:val="tx1"/>
            </w14:solidFill>
          </w14:textFill>
        </w:rPr>
        <w:t>3、交付车辆及车辆设备应包括在投标或响应时承诺配备的保证设备运行正常的相关零配件、备品备件、易损件和随机工具等，并提供生产厂家完整的随机资料，包括完整的使用和维修手册、产品说明书和相关图纸资料等，且每台设备上均应钉有铭牌（内容包括：制造商、设备名称、型号规格、出厂日期等）。</w:t>
      </w:r>
    </w:p>
    <w:p>
      <w:pPr>
        <w:snapToGrid w:val="0"/>
        <w:spacing w:line="360" w:lineRule="auto"/>
        <w:ind w:firstLine="460" w:firstLineChars="191"/>
        <w:rPr>
          <w:b/>
          <w:color w:val="000000" w:themeColor="text1"/>
          <w:sz w:val="24"/>
          <w14:textFill>
            <w14:solidFill>
              <w14:schemeClr w14:val="tx1"/>
            </w14:solidFill>
          </w14:textFill>
        </w:rPr>
      </w:pPr>
      <w:r>
        <w:rPr>
          <w:b/>
          <w:color w:val="000000" w:themeColor="text1"/>
          <w:sz w:val="24"/>
          <w14:textFill>
            <w14:solidFill>
              <w14:schemeClr w14:val="tx1"/>
            </w14:solidFill>
          </w14:textFill>
        </w:rPr>
        <w:t>三、甲方的权利和义务：</w:t>
      </w:r>
      <w:bookmarkEnd w:id="74"/>
      <w:bookmarkEnd w:id="75"/>
    </w:p>
    <w:p>
      <w:pPr>
        <w:numPr>
          <w:ilvl w:val="0"/>
          <w:numId w:val="40"/>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甲方应当加强对批采项目的执行管理，向乙方提供与本采购合同有关的使用单位联系方式，督促使用单位与乙方在规定时间内签订采购合同。</w:t>
      </w:r>
    </w:p>
    <w:p>
      <w:pPr>
        <w:numPr>
          <w:ilvl w:val="0"/>
          <w:numId w:val="40"/>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招标文件中要求中标人提交履约保证金的，履约保证金的数额应当与招标文件一致。</w:t>
      </w:r>
    </w:p>
    <w:p>
      <w:pPr>
        <w:numPr>
          <w:ilvl w:val="0"/>
          <w:numId w:val="40"/>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甲方协调处理合同签订、产品送达、产品验收及款项支付等履约过程中出现的问题，提请政府采购监督管理部门对相关各方的违法违规问题进行处理。</w:t>
      </w:r>
    </w:p>
    <w:p>
      <w:pPr>
        <w:numPr>
          <w:ilvl w:val="0"/>
          <w:numId w:val="40"/>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甲方应当督促使用单位按照采购合同要求及时支付采购资金，对于使用单位因迟延付款应承担的法律责任，乙方应当直接向使用单位主张和追索，甲方不承担任何责任。政府采购项目资金支付程序，按照国家有关财政资金支付管理的规定执行。</w:t>
      </w:r>
    </w:p>
    <w:p>
      <w:pPr>
        <w:numPr>
          <w:ilvl w:val="0"/>
          <w:numId w:val="40"/>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乙方在中标（成交）公告之日起</w:t>
      </w:r>
      <w:r>
        <w:rPr>
          <w:color w:val="000000" w:themeColor="text1"/>
          <w:sz w:val="24"/>
          <w:u w:val="single"/>
          <w14:textFill>
            <w14:solidFill>
              <w14:schemeClr w14:val="tx1"/>
            </w14:solidFill>
          </w14:textFill>
        </w:rPr>
        <w:t xml:space="preserve">    </w:t>
      </w:r>
      <w:r>
        <w:rPr>
          <w:color w:val="000000" w:themeColor="text1"/>
          <w:sz w:val="24"/>
          <w14:textFill>
            <w14:solidFill>
              <w14:schemeClr w14:val="tx1"/>
            </w14:solidFill>
          </w14:textFill>
        </w:rPr>
        <w:t>个工作日内无正当理由拒不签订本框架协议书的，甲方有权按照排序依次确定中标候选人签订本框架协议书或重新组织采购活动，同时将有关情况报政府采购监督管理部门处理。</w:t>
      </w:r>
    </w:p>
    <w:p>
      <w:pPr>
        <w:numPr>
          <w:ilvl w:val="0"/>
          <w:numId w:val="40"/>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甲方有权根据项目情况对中标（成交）产品的质量进行监督检查，或指定第三方检测机构对中标（成交）产品进行抽检，对发现或使用单位反映的问题进行调查。检测合格的，第三方检测费用应由甲方与乙方事先协商确定；检测不合格的，甲方不承担检测费用及相关责任。</w:t>
      </w:r>
    </w:p>
    <w:p>
      <w:pPr>
        <w:numPr>
          <w:ilvl w:val="0"/>
          <w:numId w:val="40"/>
        </w:numPr>
        <w:snapToGrid w:val="0"/>
        <w:spacing w:line="360" w:lineRule="auto"/>
        <w:ind w:left="0" w:firstLine="480"/>
        <w:rPr>
          <w:color w:val="000000" w:themeColor="text1"/>
          <w:sz w:val="24"/>
          <w14:textFill>
            <w14:solidFill>
              <w14:schemeClr w14:val="tx1"/>
            </w14:solidFill>
          </w14:textFill>
        </w:rPr>
      </w:pPr>
      <w:bookmarkStart w:id="76" w:name="_Toc260217326"/>
      <w:bookmarkStart w:id="77" w:name="_Toc199574624"/>
      <w:r>
        <w:rPr>
          <w:color w:val="000000" w:themeColor="text1"/>
          <w:sz w:val="24"/>
          <w14:textFill>
            <w14:solidFill>
              <w14:schemeClr w14:val="tx1"/>
            </w14:solidFill>
          </w14:textFill>
        </w:rPr>
        <w:t>因乙方违反协议约定的，甲方、使用单位有权要求乙方承担违约责任。由于乙方违约给甲方、使用单位造成损失的，甲方、使用单位有权要求乙方做出相应赔偿。</w:t>
      </w:r>
    </w:p>
    <w:p>
      <w:pPr>
        <w:numPr>
          <w:ilvl w:val="0"/>
          <w:numId w:val="40"/>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按照法律法规规定，甲方应有的其他权利和义务。</w:t>
      </w:r>
    </w:p>
    <w:p>
      <w:pPr>
        <w:snapToGrid w:val="0"/>
        <w:spacing w:line="360" w:lineRule="auto"/>
        <w:ind w:firstLine="460" w:firstLineChars="191"/>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四</w:t>
      </w:r>
      <w:r>
        <w:rPr>
          <w:b/>
          <w:color w:val="000000" w:themeColor="text1"/>
          <w:sz w:val="24"/>
          <w14:textFill>
            <w14:solidFill>
              <w14:schemeClr w14:val="tx1"/>
            </w14:solidFill>
          </w14:textFill>
        </w:rPr>
        <w:t>、乙方的权利和义务：</w:t>
      </w:r>
      <w:bookmarkEnd w:id="76"/>
      <w:bookmarkEnd w:id="77"/>
    </w:p>
    <w:p>
      <w:pPr>
        <w:numPr>
          <w:ilvl w:val="0"/>
          <w:numId w:val="41"/>
        </w:num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乙方参加</w:t>
      </w:r>
      <w:r>
        <w:rPr>
          <w:rFonts w:hint="eastAsia"/>
          <w:color w:val="000000" w:themeColor="text1"/>
          <w:sz w:val="24"/>
          <w14:textFill>
            <w14:solidFill>
              <w14:schemeClr w14:val="tx1"/>
            </w14:solidFill>
          </w14:textFill>
        </w:rPr>
        <w:t>部门集中</w:t>
      </w:r>
      <w:r>
        <w:rPr>
          <w:color w:val="000000" w:themeColor="text1"/>
          <w:sz w:val="24"/>
          <w14:textFill>
            <w14:solidFill>
              <w14:schemeClr w14:val="tx1"/>
            </w14:solidFill>
          </w14:textFill>
        </w:rPr>
        <w:t>采购活动应遵循国家有关法律规定。</w:t>
      </w:r>
    </w:p>
    <w:p>
      <w:pPr>
        <w:numPr>
          <w:ilvl w:val="0"/>
          <w:numId w:val="41"/>
        </w:num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乙方应当在</w:t>
      </w:r>
      <w:r>
        <w:rPr>
          <w:rFonts w:hint="eastAsia"/>
          <w:color w:val="000000" w:themeColor="text1"/>
          <w:sz w:val="24"/>
          <w14:textFill>
            <w14:solidFill>
              <w14:schemeClr w14:val="tx1"/>
            </w14:solidFill>
          </w14:textFill>
        </w:rPr>
        <w:t>采购合同签订后，十五个工作日内，按照甲方的要求</w:t>
      </w:r>
      <w:r>
        <w:rPr>
          <w:color w:val="000000" w:themeColor="text1"/>
          <w:sz w:val="24"/>
          <w14:textFill>
            <w14:solidFill>
              <w14:schemeClr w14:val="tx1"/>
            </w14:solidFill>
          </w14:textFill>
        </w:rPr>
        <w:t>以支票、汇票、本票或者金融机构、担保机构出具的保函等非现金形式提交合同总金额的5%作为履约保证金。</w:t>
      </w:r>
    </w:p>
    <w:p>
      <w:pPr>
        <w:numPr>
          <w:ilvl w:val="0"/>
          <w:numId w:val="41"/>
        </w:num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乙方应按与使用单位签订的采购合同规定的供货要求和履约期限完成供货，并按招标文件的售后服务要求及响应文件的售后服务承诺进行售后服务与管理。</w:t>
      </w:r>
    </w:p>
    <w:p>
      <w:pPr>
        <w:numPr>
          <w:ilvl w:val="0"/>
          <w:numId w:val="41"/>
        </w:num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乙方有权按照采购合同的约定，向使用单位收取货款。</w:t>
      </w:r>
    </w:p>
    <w:p>
      <w:pPr>
        <w:numPr>
          <w:ilvl w:val="0"/>
          <w:numId w:val="41"/>
        </w:num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乙方应配合甲方指定的或使用单位指定的第三方检测机构对中标（成交）产品进行检测，对检测不合格的，乙方应承担检测费用及相关责任。</w:t>
      </w:r>
    </w:p>
    <w:p>
      <w:pPr>
        <w:numPr>
          <w:ilvl w:val="0"/>
          <w:numId w:val="41"/>
        </w:numPr>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乙方应指定专人负责中标（成交）后签订合同、供货及相关服务事宜，联系方式应当24小时保持畅通。</w:t>
      </w:r>
    </w:p>
    <w:p>
      <w:pPr>
        <w:numPr>
          <w:ilvl w:val="0"/>
          <w:numId w:val="41"/>
        </w:numPr>
        <w:tabs>
          <w:tab w:val="left" w:pos="851"/>
        </w:tabs>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乙方应对甲方和使用单位的相关信息承担保密义务，并承担由乙方泄密产生的一切后果。</w:t>
      </w:r>
    </w:p>
    <w:p>
      <w:pPr>
        <w:numPr>
          <w:ilvl w:val="0"/>
          <w:numId w:val="41"/>
        </w:numPr>
        <w:tabs>
          <w:tab w:val="left" w:pos="851"/>
        </w:tabs>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乙方不得向甲方或使用单位或其有关工作人员行贿或提供其它不正当利益，对甲方或使用单位的违法违规行为，乙方有权向相关部门投诉举报。</w:t>
      </w:r>
    </w:p>
    <w:p>
      <w:pPr>
        <w:numPr>
          <w:ilvl w:val="0"/>
          <w:numId w:val="41"/>
        </w:numPr>
        <w:tabs>
          <w:tab w:val="left" w:pos="851"/>
        </w:tabs>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按照法律法规规定，乙方应有的其他权利和义务。</w:t>
      </w:r>
    </w:p>
    <w:p>
      <w:pPr>
        <w:snapToGrid w:val="0"/>
        <w:spacing w:line="360" w:lineRule="auto"/>
        <w:ind w:firstLine="460" w:firstLineChars="191"/>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五</w:t>
      </w:r>
      <w:r>
        <w:rPr>
          <w:b/>
          <w:color w:val="000000" w:themeColor="text1"/>
          <w:sz w:val="24"/>
          <w14:textFill>
            <w14:solidFill>
              <w14:schemeClr w14:val="tx1"/>
            </w14:solidFill>
          </w14:textFill>
        </w:rPr>
        <w:t>、违约责任和救济措施：</w:t>
      </w:r>
    </w:p>
    <w:p>
      <w:pPr>
        <w:numPr>
          <w:ilvl w:val="0"/>
          <w:numId w:val="42"/>
        </w:numPr>
        <w:tabs>
          <w:tab w:val="left" w:pos="851"/>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因乙方原因未在规定期限内与使用单位签订采购合同的，甲方接到使用单位提交的书面催告文件后有权进行协调处理，经协调后乙方仍拒不签约的，视为乙方放弃中标，甲方有权按照排序依次确定中标候选人签订协议书或重新组织采购活动并追究乙方相关责任。</w:t>
      </w:r>
    </w:p>
    <w:p>
      <w:pPr>
        <w:numPr>
          <w:ilvl w:val="0"/>
          <w:numId w:val="42"/>
        </w:numPr>
        <w:tabs>
          <w:tab w:val="left" w:pos="851"/>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因使用单位原因未在规定期限内与乙方签订采购合同的，乙方应当在3个工作日内将书面催告文件提交甲方协调处理，如乙方未尽催告义务，视为乙方拒不签订合同。经协调后使用单位仍拒不签约的，乙方有权不再与其签订采购合同。</w:t>
      </w:r>
    </w:p>
    <w:p>
      <w:pPr>
        <w:numPr>
          <w:ilvl w:val="0"/>
          <w:numId w:val="42"/>
        </w:numPr>
        <w:tabs>
          <w:tab w:val="left" w:pos="851"/>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采购合同签订后，若乙方不履行合同义务或履行义务不符合约定的，使用单位有权依照法律规定及合同约定追究乙方的违约责任、直至行使合同解除权；若使用单位不履行合同义务或履行义务不符合约定的，乙方有权依照法律规定及合同约定追究使用单位的违约责任，直至行使合同解除权。乙方应同时将相关情况书面反馈给甲方。</w:t>
      </w:r>
    </w:p>
    <w:p>
      <w:pPr>
        <w:numPr>
          <w:ilvl w:val="0"/>
          <w:numId w:val="42"/>
        </w:numPr>
        <w:tabs>
          <w:tab w:val="left" w:pos="851"/>
        </w:tabs>
        <w:snapToGrid w:val="0"/>
        <w:spacing w:line="360" w:lineRule="auto"/>
        <w:ind w:left="0"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乙方出现下列情形之一的，甲方有权单方解除本框架协议，追究乙方的违约责任，并上报有关部门处理。乙方在收到甲方解除通知书之日起三十日内不提起诉讼或仲裁，则丧失诉讼权利。若乙方行为给使用单位或甲方造成损失的，乙方还应对损失部分予以赔偿，如果采购合同约定乙方应支付违约金的，乙方还应支付相应的违约金。</w:t>
      </w:r>
    </w:p>
    <w:p>
      <w:pPr>
        <w:numPr>
          <w:ilvl w:val="0"/>
          <w:numId w:val="43"/>
        </w:numPr>
        <w:tabs>
          <w:tab w:val="left" w:pos="1134"/>
          <w:tab w:val="left" w:pos="1260"/>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在规定时间内，经重新验收后，交付的产品或提供的服务达不到承诺的质量标准；</w:t>
      </w:r>
    </w:p>
    <w:p>
      <w:pPr>
        <w:numPr>
          <w:ilvl w:val="0"/>
          <w:numId w:val="43"/>
        </w:numPr>
        <w:tabs>
          <w:tab w:val="left" w:pos="1134"/>
          <w:tab w:val="left" w:pos="1260"/>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为使用单位虚开发票或者向使用单位或其相关工作人员提供各种不正当利益；</w:t>
      </w:r>
    </w:p>
    <w:p>
      <w:pPr>
        <w:numPr>
          <w:ilvl w:val="0"/>
          <w:numId w:val="43"/>
        </w:numPr>
        <w:tabs>
          <w:tab w:val="left" w:pos="1134"/>
          <w:tab w:val="left" w:pos="1260"/>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未按规定签订采购合同或者擅自提高中标（成交）产品或售后服务价格；</w:t>
      </w:r>
    </w:p>
    <w:p>
      <w:pPr>
        <w:numPr>
          <w:ilvl w:val="0"/>
          <w:numId w:val="43"/>
        </w:numPr>
        <w:tabs>
          <w:tab w:val="left" w:pos="1134"/>
          <w:tab w:val="left" w:pos="1260"/>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因乙方原因出现重大责任事故；</w:t>
      </w:r>
    </w:p>
    <w:p>
      <w:pPr>
        <w:numPr>
          <w:ilvl w:val="0"/>
          <w:numId w:val="43"/>
        </w:numPr>
        <w:tabs>
          <w:tab w:val="left" w:pos="1134"/>
          <w:tab w:val="left" w:pos="1260"/>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被有关机关责令关闭、撤销登记、吊销营业执照或者被行业主管部门取消行业经营资格；</w:t>
      </w:r>
    </w:p>
    <w:p>
      <w:pPr>
        <w:numPr>
          <w:ilvl w:val="0"/>
          <w:numId w:val="43"/>
        </w:numPr>
        <w:tabs>
          <w:tab w:val="left" w:pos="1134"/>
          <w:tab w:val="left" w:pos="1260"/>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中标（成交）后，乙方向他人转包或分包；</w:t>
      </w:r>
    </w:p>
    <w:p>
      <w:pPr>
        <w:numPr>
          <w:ilvl w:val="0"/>
          <w:numId w:val="43"/>
        </w:numPr>
        <w:tabs>
          <w:tab w:val="left" w:pos="1134"/>
          <w:tab w:val="left" w:pos="1260"/>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乙方其他违反相关规定的行为。</w:t>
      </w:r>
    </w:p>
    <w:p>
      <w:pPr>
        <w:numPr>
          <w:ilvl w:val="0"/>
          <w:numId w:val="42"/>
        </w:numPr>
        <w:tabs>
          <w:tab w:val="left" w:pos="851"/>
        </w:tabs>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乙方不依法签订采购合同、拒绝履行本框架协议或者采购合同义务的，甲方将提请政府采购监督管理部门依据《中华人民共和国政府采购法》、《中华人民共和国政府采购法实施条例》等相关法律法规、部门规章的规定，将乙方列入不良行为记录名单，在一至三年内禁止其参加政府采购活动，并予以通报。</w:t>
      </w:r>
    </w:p>
    <w:p>
      <w:pPr>
        <w:snapToGrid w:val="0"/>
        <w:spacing w:line="360" w:lineRule="auto"/>
        <w:ind w:firstLine="460" w:firstLineChars="191"/>
        <w:rPr>
          <w:rFonts w:hint="eastAsia"/>
          <w:b/>
          <w:color w:val="000000" w:themeColor="text1"/>
          <w:sz w:val="24"/>
          <w14:textFill>
            <w14:solidFill>
              <w14:schemeClr w14:val="tx1"/>
            </w14:solidFill>
          </w14:textFill>
        </w:rPr>
      </w:pPr>
      <w:bookmarkStart w:id="78" w:name="_Toc260217329"/>
      <w:bookmarkStart w:id="79" w:name="_Toc199574627"/>
      <w:r>
        <w:rPr>
          <w:rFonts w:hint="eastAsia"/>
          <w:b/>
          <w:color w:val="000000" w:themeColor="text1"/>
          <w:sz w:val="24"/>
          <w:lang w:val="en-US" w:eastAsia="zh-CN"/>
          <w14:textFill>
            <w14:solidFill>
              <w14:schemeClr w14:val="tx1"/>
            </w14:solidFill>
          </w14:textFill>
        </w:rPr>
        <w:t>六</w:t>
      </w:r>
      <w:r>
        <w:rPr>
          <w:rFonts w:hint="eastAsia"/>
          <w:b/>
          <w:color w:val="000000" w:themeColor="text1"/>
          <w:sz w:val="24"/>
          <w14:textFill>
            <w14:solidFill>
              <w14:schemeClr w14:val="tx1"/>
            </w14:solidFill>
          </w14:textFill>
        </w:rPr>
        <w:t>、不可抗力</w:t>
      </w:r>
    </w:p>
    <w:p>
      <w:pPr>
        <w:numPr>
          <w:ilvl w:val="0"/>
          <w:numId w:val="0"/>
        </w:numPr>
        <w:tabs>
          <w:tab w:val="left" w:pos="851"/>
        </w:tabs>
        <w:snapToGrid w:val="0"/>
        <w:spacing w:line="360" w:lineRule="auto"/>
        <w:ind w:left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1、不可抗力是指合同双方不能预见、不能避免且不能克服的客观情况。</w:t>
      </w:r>
    </w:p>
    <w:p>
      <w:pPr>
        <w:numPr>
          <w:ilvl w:val="0"/>
          <w:numId w:val="0"/>
        </w:numPr>
        <w:tabs>
          <w:tab w:val="left" w:pos="851"/>
        </w:tabs>
        <w:snapToGrid w:val="0"/>
        <w:spacing w:line="360" w:lineRule="auto"/>
        <w:ind w:leftChars="200"/>
        <w:rPr>
          <w:rFonts w:hint="eastAsia"/>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任何一方对由于不可抗力造成的部分或全部不能履行合同不承担违约责</w:t>
      </w:r>
    </w:p>
    <w:p>
      <w:pPr>
        <w:numPr>
          <w:ilvl w:val="0"/>
          <w:numId w:val="0"/>
        </w:numPr>
        <w:tabs>
          <w:tab w:val="left" w:pos="851"/>
        </w:tabs>
        <w:snapToGrid w:val="0"/>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任。但迟延履行后发生不可抗力的，不能免除责任。</w:t>
      </w:r>
    </w:p>
    <w:p>
      <w:pPr>
        <w:numPr>
          <w:ilvl w:val="0"/>
          <w:numId w:val="0"/>
        </w:numPr>
        <w:tabs>
          <w:tab w:val="left" w:pos="851"/>
        </w:tabs>
        <w:snapToGrid w:val="0"/>
        <w:spacing w:line="360" w:lineRule="auto"/>
        <w:ind w:left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3、遇有不可抗力的一方，应7个工作日内将事件的情况以书面形式通知另</w:t>
      </w:r>
    </w:p>
    <w:p>
      <w:pPr>
        <w:numPr>
          <w:ilvl w:val="0"/>
          <w:numId w:val="0"/>
        </w:numPr>
        <w:tabs>
          <w:tab w:val="left" w:pos="851"/>
        </w:tabs>
        <w:snapToGrid w:val="0"/>
        <w:spacing w:line="360" w:lineRule="auto"/>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一方，并在事件发生后向另一方提交合同不能履行或部分不能履行或需要延期履行理由的报告及证明不可抗力发生及其持续时间的证据。</w:t>
      </w:r>
    </w:p>
    <w:p>
      <w:pPr>
        <w:snapToGrid w:val="0"/>
        <w:spacing w:line="360" w:lineRule="auto"/>
        <w:ind w:firstLine="460" w:firstLineChars="191"/>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七</w:t>
      </w:r>
      <w:r>
        <w:rPr>
          <w:b/>
          <w:color w:val="000000" w:themeColor="text1"/>
          <w:sz w:val="24"/>
          <w14:textFill>
            <w14:solidFill>
              <w14:schemeClr w14:val="tx1"/>
            </w14:solidFill>
          </w14:textFill>
        </w:rPr>
        <w:t>、其它规定</w:t>
      </w:r>
      <w:bookmarkEnd w:id="78"/>
      <w:bookmarkEnd w:id="79"/>
    </w:p>
    <w:p>
      <w:pPr>
        <w:numPr>
          <w:ilvl w:val="0"/>
          <w:numId w:val="44"/>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对于本协议未尽事宜，如果财政部现行有效的</w:t>
      </w:r>
      <w:r>
        <w:rPr>
          <w:rFonts w:hint="eastAsia"/>
          <w:color w:val="000000" w:themeColor="text1"/>
          <w:sz w:val="24"/>
          <w14:textFill>
            <w14:solidFill>
              <w14:schemeClr w14:val="tx1"/>
            </w14:solidFill>
          </w14:textFill>
        </w:rPr>
        <w:t>部门集中</w:t>
      </w:r>
      <w:r>
        <w:rPr>
          <w:color w:val="000000" w:themeColor="text1"/>
          <w:sz w:val="24"/>
          <w14:textFill>
            <w14:solidFill>
              <w14:schemeClr w14:val="tx1"/>
            </w14:solidFill>
          </w14:textFill>
        </w:rPr>
        <w:t>采购相关规章、规范性文件中有强制性规定的，甲乙双方同意按照财政部相关规定执行。</w:t>
      </w:r>
    </w:p>
    <w:p>
      <w:pPr>
        <w:numPr>
          <w:ilvl w:val="0"/>
          <w:numId w:val="44"/>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由于本框架协议属于招标文件组成部分，如乙方的投标文件中对本框架协议书条款提出任何修改要求，将被视为非实质性响应招标文件，从而导致其投标文件被按照无效处理。</w:t>
      </w:r>
    </w:p>
    <w:p>
      <w:pPr>
        <w:numPr>
          <w:ilvl w:val="0"/>
          <w:numId w:val="44"/>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如因本框架协议产生争议，甲乙双方应当自觉遵守本框架协议约定，本着协商的态度处理。对无法协商解决的事宜，可向框架协议签订地或采购项目履行地有管辖权的人民法院起诉。</w:t>
      </w:r>
    </w:p>
    <w:p>
      <w:pPr>
        <w:numPr>
          <w:ilvl w:val="0"/>
          <w:numId w:val="44"/>
        </w:numPr>
        <w:snapToGrid w:val="0"/>
        <w:spacing w:line="360" w:lineRule="auto"/>
        <w:ind w:left="0"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本框架协议一式两份，经甲乙双方法定代表人或其授权代表人签字、盖公章后生效。</w:t>
      </w:r>
    </w:p>
    <w:p>
      <w:pPr>
        <w:snapToGrid w:val="0"/>
        <w:spacing w:line="360" w:lineRule="auto"/>
        <w:ind w:firstLine="482"/>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（以下无正文）</w:t>
      </w:r>
    </w:p>
    <w:p>
      <w:pPr>
        <w:snapToGrid w:val="0"/>
        <w:spacing w:line="360" w:lineRule="auto"/>
        <w:ind w:left="-188" w:leftChars="-67" w:firstLine="482"/>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（签署页）</w:t>
      </w:r>
    </w:p>
    <w:p>
      <w:pPr>
        <w:snapToGrid w:val="0"/>
        <w:spacing w:line="360" w:lineRule="auto"/>
        <w:ind w:left="-188" w:leftChars="-67" w:firstLine="482"/>
        <w:jc w:val="center"/>
        <w:rPr>
          <w:b/>
          <w:color w:val="000000" w:themeColor="text1"/>
          <w:sz w:val="24"/>
          <w14:textFill>
            <w14:solidFill>
              <w14:schemeClr w14:val="tx1"/>
            </w14:solidFill>
          </w14:textFill>
        </w:rPr>
      </w:pPr>
    </w:p>
    <w:p>
      <w:pPr>
        <w:snapToGrid w:val="0"/>
        <w:spacing w:line="360" w:lineRule="auto"/>
        <w:ind w:left="-188" w:leftChars="-67" w:firstLine="480"/>
        <w:rPr>
          <w:color w:val="000000" w:themeColor="text1"/>
          <w:sz w:val="24"/>
          <w14:textFill>
            <w14:solidFill>
              <w14:schemeClr w14:val="tx1"/>
            </w14:solidFill>
          </w14:textFill>
        </w:rPr>
      </w:pPr>
    </w:p>
    <w:p>
      <w:pPr>
        <w:snapToGrid w:val="0"/>
        <w:spacing w:line="36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甲方单位：（盖公章）                乙方单位：（盖公章）</w:t>
      </w:r>
    </w:p>
    <w:p>
      <w:pPr>
        <w:snapToGrid w:val="0"/>
        <w:spacing w:line="360" w:lineRule="auto"/>
        <w:ind w:right="-675" w:rightChars="-241"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法定代表人或授权代表人：（签字）    法定代表人或授权代表人：（签字）</w:t>
      </w:r>
    </w:p>
    <w:p>
      <w:pPr>
        <w:snapToGrid w:val="0"/>
        <w:spacing w:line="36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单位地址：                         </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单位地址：</w:t>
      </w:r>
    </w:p>
    <w:p>
      <w:pPr>
        <w:snapToGrid w:val="0"/>
        <w:spacing w:line="36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邮编：                             </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邮编：</w:t>
      </w:r>
    </w:p>
    <w:p>
      <w:pPr>
        <w:snapToGrid w:val="0"/>
        <w:spacing w:line="36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电话：                             </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电话：</w:t>
      </w:r>
    </w:p>
    <w:p>
      <w:pPr>
        <w:snapToGrid w:val="0"/>
        <w:spacing w:line="360" w:lineRule="auto"/>
        <w:ind w:firstLine="0" w:firstLineChars="0"/>
        <w:rPr>
          <w:color w:val="000000" w:themeColor="text1"/>
          <w:sz w:val="24"/>
          <w14:textFill>
            <w14:solidFill>
              <w14:schemeClr w14:val="tx1"/>
            </w14:solidFill>
          </w14:textFill>
        </w:rPr>
      </w:pPr>
    </w:p>
    <w:p>
      <w:pPr>
        <w:snapToGrid w:val="0"/>
        <w:spacing w:line="360" w:lineRule="auto"/>
        <w:ind w:firstLine="0" w:firstLineChars="0"/>
        <w:rPr>
          <w:color w:val="000000" w:themeColor="text1"/>
          <w:sz w:val="24"/>
          <w14:textFill>
            <w14:solidFill>
              <w14:schemeClr w14:val="tx1"/>
            </w14:solidFill>
          </w14:textFill>
        </w:rPr>
      </w:pPr>
      <w:r>
        <w:rPr>
          <w:color w:val="000000" w:themeColor="text1"/>
          <w:sz w:val="24"/>
          <w14:textFill>
            <w14:solidFill>
              <w14:schemeClr w14:val="tx1"/>
            </w14:solidFill>
          </w14:textFill>
        </w:rPr>
        <w:t>本协议签订地：</w:t>
      </w:r>
    </w:p>
    <w:p>
      <w:pPr>
        <w:snapToGrid w:val="0"/>
        <w:spacing w:line="360" w:lineRule="auto"/>
        <w:ind w:firstLine="0" w:firstLineChars="0"/>
        <w:rPr>
          <w:color w:val="000000" w:themeColor="text1"/>
          <w:sz w:val="24"/>
          <w14:textFill>
            <w14:solidFill>
              <w14:schemeClr w14:val="tx1"/>
            </w14:solidFill>
          </w14:textFill>
        </w:rPr>
      </w:pPr>
    </w:p>
    <w:p>
      <w:pPr>
        <w:snapToGrid w:val="0"/>
        <w:spacing w:line="360" w:lineRule="auto"/>
        <w:ind w:firstLine="0" w:firstLineChars="0"/>
        <w:rPr>
          <w:color w:val="000000" w:themeColor="text1"/>
          <w:szCs w:val="28"/>
          <w14:textFill>
            <w14:solidFill>
              <w14:schemeClr w14:val="tx1"/>
            </w14:solidFill>
          </w14:textFill>
        </w:rPr>
      </w:pPr>
    </w:p>
    <w:p>
      <w:r>
        <w:br w:type="page"/>
      </w: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jc w:val="center"/>
        <w:rPr>
          <w:sz w:val="48"/>
          <w:szCs w:val="48"/>
        </w:rPr>
      </w:pPr>
      <w:r>
        <w:rPr>
          <w:sz w:val="48"/>
          <w:szCs w:val="48"/>
        </w:rPr>
        <w:t>政府采购货物买卖合同</w:t>
      </w: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pStyle w:val="13"/>
        <w:widowControl/>
        <w:kinsoku w:val="0"/>
        <w:autoSpaceDE w:val="0"/>
        <w:autoSpaceDN w:val="0"/>
        <w:adjustRightInd w:val="0"/>
        <w:snapToGrid w:val="0"/>
        <w:spacing w:line="360" w:lineRule="auto"/>
        <w:ind w:firstLine="480"/>
      </w:pPr>
    </w:p>
    <w:p>
      <w:pPr>
        <w:widowControl/>
        <w:kinsoku w:val="0"/>
        <w:autoSpaceDE w:val="0"/>
        <w:autoSpaceDN w:val="0"/>
        <w:adjustRightInd w:val="0"/>
        <w:snapToGrid w:val="0"/>
        <w:spacing w:line="360" w:lineRule="auto"/>
        <w:ind w:left="446" w:firstLine="648"/>
        <w:rPr>
          <w:color w:val="000000"/>
          <w:spacing w:val="7"/>
          <w:kern w:val="0"/>
          <w:sz w:val="31"/>
          <w:szCs w:val="31"/>
          <w:lang w:bidi="ar"/>
        </w:rPr>
      </w:pPr>
    </w:p>
    <w:p>
      <w:pPr>
        <w:widowControl/>
        <w:kinsoku w:val="0"/>
        <w:autoSpaceDE w:val="0"/>
        <w:autoSpaceDN w:val="0"/>
        <w:adjustRightInd w:val="0"/>
        <w:snapToGrid w:val="0"/>
        <w:spacing w:line="360" w:lineRule="auto"/>
        <w:ind w:left="446" w:firstLine="648"/>
        <w:rPr>
          <w:color w:val="000000"/>
          <w:spacing w:val="7"/>
          <w:kern w:val="0"/>
          <w:sz w:val="31"/>
          <w:szCs w:val="31"/>
          <w:lang w:bidi="ar"/>
        </w:rPr>
      </w:pPr>
      <w:r>
        <w:rPr>
          <w:color w:val="000000"/>
          <w:spacing w:val="7"/>
          <w:kern w:val="0"/>
          <w:sz w:val="31"/>
          <w:szCs w:val="31"/>
          <w:lang w:bidi="ar"/>
        </w:rPr>
        <w:t>项目名称：</w:t>
      </w:r>
    </w:p>
    <w:p>
      <w:pPr>
        <w:widowControl/>
        <w:kinsoku w:val="0"/>
        <w:autoSpaceDE w:val="0"/>
        <w:autoSpaceDN w:val="0"/>
        <w:adjustRightInd w:val="0"/>
        <w:snapToGrid w:val="0"/>
        <w:spacing w:line="360" w:lineRule="auto"/>
        <w:ind w:left="446" w:firstLine="648"/>
        <w:rPr>
          <w:color w:val="000000"/>
          <w:spacing w:val="7"/>
          <w:kern w:val="0"/>
          <w:sz w:val="31"/>
          <w:szCs w:val="31"/>
          <w:lang w:bidi="ar"/>
        </w:rPr>
      </w:pPr>
      <w:r>
        <w:rPr>
          <w:color w:val="000000"/>
          <w:spacing w:val="7"/>
          <w:kern w:val="0"/>
          <w:sz w:val="31"/>
          <w:szCs w:val="31"/>
          <w:lang w:bidi="ar"/>
        </w:rPr>
        <w:t>包    号：</w:t>
      </w:r>
    </w:p>
    <w:p>
      <w:pPr>
        <w:widowControl/>
        <w:kinsoku w:val="0"/>
        <w:autoSpaceDE w:val="0"/>
        <w:autoSpaceDN w:val="0"/>
        <w:adjustRightInd w:val="0"/>
        <w:snapToGrid w:val="0"/>
        <w:spacing w:line="360" w:lineRule="auto"/>
        <w:ind w:left="446" w:firstLine="648"/>
        <w:rPr>
          <w:color w:val="000000"/>
          <w:spacing w:val="7"/>
          <w:kern w:val="0"/>
          <w:sz w:val="31"/>
          <w:szCs w:val="31"/>
          <w:lang w:bidi="ar"/>
        </w:rPr>
      </w:pPr>
      <w:r>
        <w:rPr>
          <w:color w:val="000000"/>
          <w:spacing w:val="7"/>
          <w:kern w:val="0"/>
          <w:sz w:val="31"/>
          <w:szCs w:val="31"/>
          <w:lang w:bidi="ar"/>
        </w:rPr>
        <w:t>合同编号：</w:t>
      </w:r>
    </w:p>
    <w:p>
      <w:pPr>
        <w:widowControl/>
        <w:kinsoku w:val="0"/>
        <w:autoSpaceDE w:val="0"/>
        <w:autoSpaceDN w:val="0"/>
        <w:adjustRightInd w:val="0"/>
        <w:snapToGrid w:val="0"/>
        <w:spacing w:line="360" w:lineRule="auto"/>
        <w:ind w:left="446" w:firstLine="648"/>
        <w:rPr>
          <w:color w:val="000000"/>
          <w:spacing w:val="7"/>
          <w:kern w:val="0"/>
          <w:sz w:val="31"/>
          <w:szCs w:val="31"/>
          <w:lang w:bidi="ar"/>
        </w:rPr>
      </w:pPr>
      <w:r>
        <w:rPr>
          <w:color w:val="000000"/>
          <w:spacing w:val="7"/>
          <w:kern w:val="0"/>
          <w:sz w:val="31"/>
          <w:szCs w:val="31"/>
          <w:lang w:bidi="ar"/>
        </w:rPr>
        <w:t>甲    方：</w:t>
      </w:r>
    </w:p>
    <w:p>
      <w:pPr>
        <w:widowControl/>
        <w:kinsoku w:val="0"/>
        <w:autoSpaceDE w:val="0"/>
        <w:autoSpaceDN w:val="0"/>
        <w:adjustRightInd w:val="0"/>
        <w:snapToGrid w:val="0"/>
        <w:spacing w:line="360" w:lineRule="auto"/>
        <w:ind w:left="446" w:firstLine="648"/>
        <w:rPr>
          <w:color w:val="000000"/>
          <w:spacing w:val="7"/>
          <w:kern w:val="0"/>
          <w:sz w:val="31"/>
          <w:szCs w:val="31"/>
          <w:lang w:bidi="ar"/>
        </w:rPr>
      </w:pPr>
      <w:r>
        <w:rPr>
          <w:color w:val="000000"/>
          <w:spacing w:val="7"/>
          <w:kern w:val="0"/>
          <w:sz w:val="31"/>
          <w:szCs w:val="31"/>
          <w:lang w:bidi="ar"/>
        </w:rPr>
        <w:t>乙    方：</w:t>
      </w:r>
    </w:p>
    <w:p>
      <w:pPr>
        <w:widowControl/>
        <w:kinsoku w:val="0"/>
        <w:autoSpaceDE w:val="0"/>
        <w:autoSpaceDN w:val="0"/>
        <w:adjustRightInd w:val="0"/>
        <w:snapToGrid w:val="0"/>
        <w:spacing w:line="360" w:lineRule="auto"/>
        <w:ind w:left="446" w:firstLine="648"/>
        <w:rPr>
          <w:color w:val="000000"/>
          <w:spacing w:val="7"/>
          <w:kern w:val="0"/>
          <w:sz w:val="31"/>
          <w:szCs w:val="31"/>
          <w:lang w:bidi="ar"/>
        </w:rPr>
      </w:pPr>
      <w:r>
        <w:rPr>
          <w:color w:val="000000"/>
          <w:spacing w:val="7"/>
          <w:kern w:val="0"/>
          <w:sz w:val="31"/>
          <w:szCs w:val="31"/>
          <w:lang w:bidi="ar"/>
        </w:rPr>
        <w:t>签订时间：</w:t>
      </w:r>
    </w:p>
    <w:p>
      <w:pPr>
        <w:pStyle w:val="13"/>
        <w:widowControl/>
        <w:kinsoku w:val="0"/>
        <w:autoSpaceDE w:val="0"/>
        <w:autoSpaceDN w:val="0"/>
        <w:adjustRightInd w:val="0"/>
        <w:snapToGrid w:val="0"/>
        <w:spacing w:line="242" w:lineRule="auto"/>
        <w:ind w:firstLine="480"/>
      </w:pPr>
    </w:p>
    <w:p>
      <w:pPr>
        <w:widowControl/>
        <w:kinsoku w:val="0"/>
        <w:autoSpaceDE w:val="0"/>
        <w:autoSpaceDN w:val="0"/>
        <w:adjustRightInd w:val="0"/>
        <w:snapToGrid w:val="0"/>
        <w:spacing w:before="91" w:line="206" w:lineRule="auto"/>
        <w:ind w:left="2428" w:firstLine="636"/>
        <w:rPr>
          <w:spacing w:val="-1"/>
          <w:sz w:val="32"/>
          <w:szCs w:val="32"/>
        </w:rPr>
      </w:pPr>
    </w:p>
    <w:p>
      <w:pPr>
        <w:widowControl/>
        <w:kinsoku w:val="0"/>
        <w:autoSpaceDE w:val="0"/>
        <w:autoSpaceDN w:val="0"/>
        <w:adjustRightInd w:val="0"/>
        <w:snapToGrid w:val="0"/>
        <w:spacing w:before="91" w:line="206" w:lineRule="auto"/>
        <w:ind w:left="2428" w:firstLine="636"/>
        <w:rPr>
          <w:spacing w:val="-1"/>
          <w:sz w:val="32"/>
          <w:szCs w:val="32"/>
        </w:rPr>
      </w:pPr>
    </w:p>
    <w:p>
      <w:pPr>
        <w:widowControl/>
        <w:kinsoku w:val="0"/>
        <w:autoSpaceDE w:val="0"/>
        <w:autoSpaceDN w:val="0"/>
        <w:adjustRightInd w:val="0"/>
        <w:snapToGrid w:val="0"/>
        <w:spacing w:before="91" w:line="206" w:lineRule="auto"/>
        <w:ind w:left="2428" w:firstLine="636"/>
        <w:rPr>
          <w:spacing w:val="-1"/>
          <w:sz w:val="32"/>
          <w:szCs w:val="32"/>
        </w:rPr>
      </w:pPr>
    </w:p>
    <w:p>
      <w:pPr>
        <w:widowControl/>
        <w:kinsoku w:val="0"/>
        <w:autoSpaceDE w:val="0"/>
        <w:autoSpaceDN w:val="0"/>
        <w:adjustRightInd w:val="0"/>
        <w:snapToGrid w:val="0"/>
        <w:spacing w:before="91" w:line="206" w:lineRule="auto"/>
        <w:ind w:left="2428" w:firstLine="636"/>
        <w:rPr>
          <w:spacing w:val="-1"/>
          <w:sz w:val="32"/>
          <w:szCs w:val="32"/>
        </w:rPr>
      </w:pPr>
    </w:p>
    <w:p>
      <w:pPr>
        <w:widowControl/>
        <w:kinsoku w:val="0"/>
        <w:autoSpaceDE w:val="0"/>
        <w:autoSpaceDN w:val="0"/>
        <w:adjustRightInd w:val="0"/>
        <w:snapToGrid w:val="0"/>
        <w:spacing w:before="91" w:line="206" w:lineRule="auto"/>
        <w:ind w:left="2428" w:firstLine="636"/>
        <w:rPr>
          <w:spacing w:val="-1"/>
          <w:sz w:val="32"/>
          <w:szCs w:val="32"/>
        </w:rPr>
      </w:pPr>
    </w:p>
    <w:p>
      <w:pPr>
        <w:widowControl/>
        <w:kinsoku w:val="0"/>
        <w:autoSpaceDE w:val="0"/>
        <w:autoSpaceDN w:val="0"/>
        <w:adjustRightInd w:val="0"/>
        <w:snapToGrid w:val="0"/>
        <w:spacing w:before="91" w:line="206" w:lineRule="auto"/>
        <w:ind w:left="2428" w:firstLine="636"/>
        <w:rPr>
          <w:spacing w:val="-1"/>
          <w:sz w:val="32"/>
          <w:szCs w:val="32"/>
        </w:rPr>
      </w:pPr>
    </w:p>
    <w:p>
      <w:pPr>
        <w:ind w:firstLine="476"/>
        <w:rPr>
          <w:color w:val="000000"/>
          <w:spacing w:val="-1"/>
          <w:kern w:val="0"/>
          <w:sz w:val="24"/>
          <w:lang w:bidi="ar"/>
        </w:rPr>
      </w:pPr>
      <w:r>
        <w:rPr>
          <w:color w:val="000000"/>
          <w:spacing w:val="-1"/>
          <w:kern w:val="0"/>
          <w:sz w:val="24"/>
          <w:lang w:bidi="ar"/>
        </w:rPr>
        <w:br w:type="page"/>
      </w:r>
    </w:p>
    <w:p>
      <w:pPr>
        <w:widowControl/>
        <w:kinsoku w:val="0"/>
        <w:autoSpaceDE w:val="0"/>
        <w:autoSpaceDN w:val="0"/>
        <w:adjustRightInd w:val="0"/>
        <w:snapToGrid w:val="0"/>
        <w:spacing w:line="360" w:lineRule="auto"/>
        <w:ind w:firstLine="0" w:firstLineChars="0"/>
        <w:jc w:val="center"/>
        <w:rPr>
          <w:color w:val="000000"/>
          <w:spacing w:val="-1"/>
          <w:kern w:val="0"/>
          <w:szCs w:val="28"/>
          <w:lang w:bidi="ar"/>
        </w:rPr>
      </w:pPr>
      <w:r>
        <w:rPr>
          <w:color w:val="000000"/>
          <w:spacing w:val="-1"/>
          <w:kern w:val="0"/>
          <w:szCs w:val="28"/>
          <w:lang w:bidi="ar"/>
        </w:rPr>
        <w:t>第一节 政府采购合同协议书</w:t>
      </w:r>
    </w:p>
    <w:p>
      <w:pPr>
        <w:pStyle w:val="13"/>
        <w:widowControl/>
        <w:kinsoku w:val="0"/>
        <w:autoSpaceDE w:val="0"/>
        <w:autoSpaceDN w:val="0"/>
        <w:adjustRightInd w:val="0"/>
        <w:snapToGrid w:val="0"/>
        <w:spacing w:line="360" w:lineRule="auto"/>
        <w:ind w:firstLine="480"/>
      </w:pPr>
    </w:p>
    <w:p>
      <w:pPr>
        <w:widowControl/>
        <w:kinsoku w:val="0"/>
        <w:autoSpaceDE w:val="0"/>
        <w:autoSpaceDN w:val="0"/>
        <w:adjustRightInd w:val="0"/>
        <w:snapToGrid w:val="0"/>
        <w:spacing w:line="360" w:lineRule="auto"/>
        <w:ind w:firstLine="480"/>
        <w:rPr>
          <w:kern w:val="0"/>
          <w:sz w:val="24"/>
          <w:lang w:bidi="ar"/>
        </w:rPr>
      </w:pPr>
      <w:r>
        <w:rPr>
          <w:kern w:val="0"/>
          <w:sz w:val="24"/>
          <w:lang w:bidi="ar"/>
        </w:rPr>
        <w:t>甲方（全称）：</w:t>
      </w:r>
      <w:r>
        <w:rPr>
          <w:kern w:val="0"/>
          <w:sz w:val="24"/>
          <w:u w:val="single"/>
          <w:lang w:bidi="ar"/>
        </w:rPr>
        <w:t xml:space="preserve">              </w:t>
      </w:r>
      <w:r>
        <w:rPr>
          <w:kern w:val="0"/>
          <w:sz w:val="24"/>
          <w:lang w:bidi="ar"/>
        </w:rPr>
        <w:t>（采购人或采购文件约定的合同甲方）</w:t>
      </w:r>
    </w:p>
    <w:p>
      <w:pPr>
        <w:widowControl/>
        <w:kinsoku w:val="0"/>
        <w:autoSpaceDE w:val="0"/>
        <w:autoSpaceDN w:val="0"/>
        <w:adjustRightInd w:val="0"/>
        <w:snapToGrid w:val="0"/>
        <w:spacing w:line="360" w:lineRule="auto"/>
        <w:ind w:firstLine="480"/>
        <w:rPr>
          <w:kern w:val="0"/>
          <w:sz w:val="24"/>
          <w:lang w:bidi="ar"/>
        </w:rPr>
      </w:pPr>
      <w:r>
        <w:rPr>
          <w:kern w:val="0"/>
          <w:sz w:val="24"/>
          <w:lang w:bidi="ar"/>
        </w:rPr>
        <w:t>乙方（全称）：</w:t>
      </w:r>
      <w:r>
        <w:rPr>
          <w:kern w:val="0"/>
          <w:sz w:val="24"/>
          <w:u w:val="single"/>
          <w:lang w:bidi="ar"/>
        </w:rPr>
        <w:t xml:space="preserve">              </w:t>
      </w:r>
      <w:r>
        <w:rPr>
          <w:kern w:val="0"/>
          <w:sz w:val="24"/>
          <w:lang w:bidi="ar"/>
        </w:rPr>
        <w:t>（供应商）</w:t>
      </w:r>
    </w:p>
    <w:p>
      <w:pPr>
        <w:widowControl/>
        <w:kinsoku w:val="0"/>
        <w:autoSpaceDE w:val="0"/>
        <w:autoSpaceDN w:val="0"/>
        <w:adjustRightInd w:val="0"/>
        <w:snapToGrid w:val="0"/>
        <w:spacing w:line="360" w:lineRule="auto"/>
        <w:ind w:firstLine="480"/>
        <w:rPr>
          <w:kern w:val="0"/>
          <w:sz w:val="24"/>
          <w:lang w:bidi="ar"/>
        </w:rPr>
      </w:pPr>
    </w:p>
    <w:p>
      <w:pPr>
        <w:widowControl/>
        <w:kinsoku w:val="0"/>
        <w:autoSpaceDE w:val="0"/>
        <w:autoSpaceDN w:val="0"/>
        <w:adjustRightInd w:val="0"/>
        <w:snapToGrid w:val="0"/>
        <w:spacing w:line="360" w:lineRule="auto"/>
        <w:ind w:firstLine="480"/>
        <w:rPr>
          <w:kern w:val="0"/>
          <w:sz w:val="24"/>
          <w:lang w:bidi="ar"/>
        </w:rPr>
      </w:pPr>
      <w:r>
        <w:rPr>
          <w:kern w:val="0"/>
          <w:sz w:val="24"/>
          <w:lang w:bidi="ar"/>
        </w:rPr>
        <w:t>依据《中华人民共和国民法典》、《中华人民共和国政府采购法》等有关的法律法规，以及</w:t>
      </w:r>
      <w:r>
        <w:rPr>
          <w:kern w:val="0"/>
          <w:sz w:val="24"/>
          <w:u w:val="single"/>
          <w:lang w:bidi="ar"/>
        </w:rPr>
        <w:t>山西省消防救援总队“自然灾害应急能力提升工程”消防装备项目（</w:t>
      </w:r>
      <w:r>
        <w:rPr>
          <w:rFonts w:hint="eastAsia"/>
          <w:kern w:val="0"/>
          <w:sz w:val="24"/>
          <w:u w:val="single"/>
          <w:lang w:bidi="ar"/>
        </w:rPr>
        <w:t>第三批次</w:t>
      </w:r>
      <w:r>
        <w:rPr>
          <w:kern w:val="0"/>
          <w:sz w:val="24"/>
          <w:u w:val="single"/>
          <w:lang w:bidi="ar"/>
        </w:rPr>
        <w:t>）</w:t>
      </w:r>
      <w:r>
        <w:rPr>
          <w:kern w:val="0"/>
          <w:sz w:val="24"/>
          <w:lang w:bidi="ar"/>
        </w:rPr>
        <w:t>的《采购文件》、乙方的《投标（响应）文件》及《中标（成交）通知书》，甲乙双方同意签订本合同。具体情况及要求如下：</w:t>
      </w:r>
    </w:p>
    <w:p>
      <w:pPr>
        <w:widowControl/>
        <w:kinsoku w:val="0"/>
        <w:autoSpaceDE w:val="0"/>
        <w:autoSpaceDN w:val="0"/>
        <w:adjustRightInd w:val="0"/>
        <w:snapToGrid w:val="0"/>
        <w:spacing w:line="360" w:lineRule="auto"/>
        <w:ind w:firstLine="480"/>
        <w:rPr>
          <w:kern w:val="0"/>
          <w:sz w:val="24"/>
          <w:lang w:bidi="ar"/>
        </w:rPr>
      </w:pPr>
      <w:r>
        <w:rPr>
          <w:kern w:val="0"/>
          <w:sz w:val="24"/>
          <w:lang w:bidi="ar"/>
        </w:rPr>
        <w:t>1.项目信息</w:t>
      </w:r>
    </w:p>
    <w:p>
      <w:pPr>
        <w:widowControl/>
        <w:kinsoku w:val="0"/>
        <w:autoSpaceDE w:val="0"/>
        <w:autoSpaceDN w:val="0"/>
        <w:adjustRightInd w:val="0"/>
        <w:snapToGrid w:val="0"/>
        <w:spacing w:line="360" w:lineRule="auto"/>
        <w:ind w:firstLine="480"/>
        <w:rPr>
          <w:kern w:val="0"/>
          <w:sz w:val="24"/>
          <w:lang w:bidi="ar"/>
        </w:rPr>
      </w:pPr>
      <w:r>
        <w:rPr>
          <w:kern w:val="0"/>
          <w:sz w:val="24"/>
          <w:lang w:bidi="ar"/>
        </w:rPr>
        <w:t>（1）采购项目名称：山西省消防救援总队“自然灾害应急能力提升工程”消防装备项目（</w:t>
      </w:r>
      <w:r>
        <w:rPr>
          <w:rFonts w:hint="eastAsia"/>
          <w:kern w:val="0"/>
          <w:sz w:val="24"/>
          <w:lang w:bidi="ar"/>
        </w:rPr>
        <w:t>第三批次</w:t>
      </w:r>
      <w:r>
        <w:rPr>
          <w:kern w:val="0"/>
          <w:sz w:val="24"/>
          <w:lang w:bidi="ar"/>
        </w:rPr>
        <w:t>）</w:t>
      </w:r>
    </w:p>
    <w:p>
      <w:pPr>
        <w:widowControl/>
        <w:kinsoku w:val="0"/>
        <w:autoSpaceDE w:val="0"/>
        <w:autoSpaceDN w:val="0"/>
        <w:adjustRightInd w:val="0"/>
        <w:snapToGrid w:val="0"/>
        <w:spacing w:line="360" w:lineRule="auto"/>
        <w:ind w:firstLine="480"/>
        <w:rPr>
          <w:kern w:val="0"/>
          <w:sz w:val="24"/>
          <w:lang w:bidi="ar"/>
        </w:rPr>
      </w:pPr>
      <w:r>
        <w:rPr>
          <w:kern w:val="0"/>
          <w:sz w:val="24"/>
          <w:lang w:bidi="ar"/>
        </w:rPr>
        <w:t>（2）采购计划编号：</w:t>
      </w:r>
    </w:p>
    <w:p>
      <w:pPr>
        <w:widowControl/>
        <w:kinsoku w:val="0"/>
        <w:autoSpaceDE w:val="0"/>
        <w:autoSpaceDN w:val="0"/>
        <w:adjustRightInd w:val="0"/>
        <w:snapToGrid w:val="0"/>
        <w:spacing w:line="360" w:lineRule="auto"/>
        <w:ind w:firstLine="480"/>
        <w:rPr>
          <w:kern w:val="0"/>
          <w:sz w:val="24"/>
          <w:lang w:bidi="ar"/>
        </w:rPr>
      </w:pPr>
      <w:r>
        <w:rPr>
          <w:kern w:val="0"/>
          <w:sz w:val="24"/>
          <w:lang w:bidi="ar"/>
        </w:rPr>
        <w:t>（3）项目内容：</w:t>
      </w:r>
    </w:p>
    <w:p>
      <w:pPr>
        <w:widowControl/>
        <w:kinsoku w:val="0"/>
        <w:autoSpaceDE w:val="0"/>
        <w:autoSpaceDN w:val="0"/>
        <w:adjustRightInd w:val="0"/>
        <w:snapToGrid w:val="0"/>
        <w:spacing w:line="360" w:lineRule="auto"/>
        <w:ind w:firstLine="480"/>
        <w:rPr>
          <w:kern w:val="0"/>
          <w:sz w:val="24"/>
          <w:lang w:bidi="ar"/>
        </w:rPr>
      </w:pPr>
      <w:r>
        <w:rPr>
          <w:kern w:val="0"/>
          <w:sz w:val="24"/>
          <w:lang w:bidi="ar"/>
        </w:rPr>
        <w:t>采购标的</w:t>
      </w:r>
      <w:r>
        <w:rPr>
          <w:rFonts w:hint="eastAsia"/>
          <w:kern w:val="0"/>
          <w:sz w:val="24"/>
          <w:lang w:bidi="ar"/>
        </w:rPr>
        <w:t>:</w:t>
      </w:r>
      <w:r>
        <w:rPr>
          <w:kern w:val="0"/>
          <w:sz w:val="24"/>
          <w:lang w:bidi="ar"/>
        </w:rPr>
        <w:t>（包号+内容）（包号+内容）（包号+内容）（包号+内容）</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数量（台/套/个/架/组等）：</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技术要求：</w:t>
      </w:r>
    </w:p>
    <w:p>
      <w:pPr>
        <w:widowControl/>
        <w:kinsoku w:val="0"/>
        <w:autoSpaceDE w:val="0"/>
        <w:autoSpaceDN w:val="0"/>
        <w:adjustRightInd w:val="0"/>
        <w:snapToGrid w:val="0"/>
        <w:spacing w:line="360" w:lineRule="auto"/>
        <w:ind w:firstLine="480"/>
        <w:rPr>
          <w:kern w:val="0"/>
          <w:sz w:val="24"/>
          <w:lang w:bidi="ar"/>
        </w:rPr>
      </w:pPr>
    </w:p>
    <w:p>
      <w:pPr>
        <w:widowControl/>
        <w:kinsoku w:val="0"/>
        <w:autoSpaceDE w:val="0"/>
        <w:autoSpaceDN w:val="0"/>
        <w:adjustRightInd w:val="0"/>
        <w:snapToGrid w:val="0"/>
        <w:spacing w:line="360" w:lineRule="auto"/>
        <w:ind w:firstLine="480"/>
        <w:rPr>
          <w:kern w:val="0"/>
          <w:sz w:val="24"/>
          <w:lang w:bidi="ar"/>
        </w:rPr>
      </w:pPr>
      <w:r>
        <w:rPr>
          <w:kern w:val="0"/>
          <w:sz w:val="24"/>
          <w:lang w:bidi="ar"/>
        </w:rPr>
        <w:t>商务要求：</w:t>
      </w:r>
    </w:p>
    <w:p>
      <w:pPr>
        <w:widowControl/>
        <w:kinsoku w:val="0"/>
        <w:autoSpaceDE w:val="0"/>
        <w:autoSpaceDN w:val="0"/>
        <w:adjustRightInd w:val="0"/>
        <w:snapToGrid w:val="0"/>
        <w:spacing w:line="360" w:lineRule="auto"/>
        <w:ind w:firstLine="480"/>
        <w:rPr>
          <w:kern w:val="0"/>
          <w:sz w:val="24"/>
          <w:lang w:bidi="ar"/>
        </w:rPr>
      </w:pPr>
    </w:p>
    <w:p>
      <w:pPr>
        <w:widowControl/>
        <w:kinsoku w:val="0"/>
        <w:autoSpaceDE w:val="0"/>
        <w:autoSpaceDN w:val="0"/>
        <w:adjustRightInd w:val="0"/>
        <w:snapToGrid w:val="0"/>
        <w:spacing w:line="360" w:lineRule="auto"/>
        <w:ind w:firstLine="480"/>
        <w:rPr>
          <w:kern w:val="0"/>
          <w:sz w:val="24"/>
          <w:lang w:bidi="ar"/>
        </w:rPr>
      </w:pPr>
      <w:r>
        <w:rPr>
          <w:kern w:val="0"/>
          <w:sz w:val="24"/>
          <w:lang w:bidi="ar"/>
        </w:rPr>
        <w:t>（4）中标（成交）供应商是否为</w:t>
      </w:r>
      <w:r>
        <w:rPr>
          <w:rFonts w:hint="eastAsia"/>
          <w:kern w:val="0"/>
          <w:sz w:val="24"/>
          <w:lang w:bidi="ar"/>
        </w:rPr>
        <w:t>小微</w:t>
      </w:r>
      <w:r>
        <w:rPr>
          <w:kern w:val="0"/>
          <w:sz w:val="24"/>
          <w:lang w:bidi="ar"/>
        </w:rPr>
        <w:t>企业：是      否</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是否为专门面向</w:t>
      </w:r>
      <w:r>
        <w:rPr>
          <w:rFonts w:hint="eastAsia"/>
          <w:kern w:val="0"/>
          <w:sz w:val="24"/>
          <w:lang w:bidi="ar"/>
        </w:rPr>
        <w:t>小微</w:t>
      </w:r>
      <w:r>
        <w:rPr>
          <w:kern w:val="0"/>
          <w:sz w:val="24"/>
          <w:lang w:bidi="ar"/>
        </w:rPr>
        <w:t>企业的采购合同：是      否</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是否非专门面向</w:t>
      </w:r>
      <w:r>
        <w:rPr>
          <w:rFonts w:hint="eastAsia"/>
          <w:kern w:val="0"/>
          <w:sz w:val="24"/>
          <w:lang w:bidi="ar"/>
        </w:rPr>
        <w:t>小微</w:t>
      </w:r>
      <w:r>
        <w:rPr>
          <w:kern w:val="0"/>
          <w:sz w:val="24"/>
          <w:lang w:bidi="ar"/>
        </w:rPr>
        <w:t>企业的采购项目，给予小微企业评审优惠：是 否</w:t>
      </w:r>
    </w:p>
    <w:p>
      <w:pPr>
        <w:widowControl/>
        <w:kinsoku w:val="0"/>
        <w:autoSpaceDE w:val="0"/>
        <w:autoSpaceDN w:val="0"/>
        <w:adjustRightInd w:val="0"/>
        <w:snapToGrid w:val="0"/>
        <w:spacing w:line="360" w:lineRule="auto"/>
        <w:ind w:firstLine="480"/>
        <w:rPr>
          <w:kern w:val="0"/>
          <w:sz w:val="24"/>
          <w:lang w:bidi="ar"/>
        </w:rPr>
      </w:pPr>
      <w:r>
        <w:rPr>
          <w:kern w:val="0"/>
          <w:sz w:val="24"/>
          <w:lang w:bidi="ar"/>
        </w:rPr>
        <w:t>（5）合同是否分包：是      否</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分包供应商名称：</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分包供应商类型：</w:t>
      </w:r>
      <w:r>
        <w:rPr>
          <w:rFonts w:hint="eastAsia"/>
          <w:kern w:val="0"/>
          <w:sz w:val="24"/>
          <w:lang w:bidi="ar"/>
        </w:rPr>
        <w:t>大</w:t>
      </w:r>
      <w:r>
        <w:rPr>
          <w:kern w:val="0"/>
          <w:sz w:val="24"/>
          <w:lang w:bidi="ar"/>
        </w:rPr>
        <w:t>型企业    中型企业   小微型企业    其他</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分包主要内容：</w:t>
      </w:r>
    </w:p>
    <w:p>
      <w:pPr>
        <w:widowControl/>
        <w:kinsoku w:val="0"/>
        <w:autoSpaceDE w:val="0"/>
        <w:autoSpaceDN w:val="0"/>
        <w:adjustRightInd w:val="0"/>
        <w:snapToGrid w:val="0"/>
        <w:spacing w:line="360" w:lineRule="auto"/>
        <w:ind w:firstLine="480"/>
        <w:rPr>
          <w:kern w:val="0"/>
          <w:sz w:val="24"/>
          <w:lang w:bidi="ar"/>
        </w:rPr>
      </w:pPr>
      <w:r>
        <w:rPr>
          <w:kern w:val="0"/>
          <w:sz w:val="24"/>
          <w:lang w:bidi="ar"/>
        </w:rPr>
        <w:t>（6）是否涉及进口产品：</w:t>
      </w:r>
    </w:p>
    <w:p>
      <w:pPr>
        <w:widowControl/>
        <w:kinsoku w:val="0"/>
        <w:autoSpaceDE w:val="0"/>
        <w:autoSpaceDN w:val="0"/>
        <w:adjustRightInd w:val="0"/>
        <w:snapToGrid w:val="0"/>
        <w:spacing w:line="360" w:lineRule="auto"/>
        <w:ind w:firstLine="480"/>
        <w:rPr>
          <w:kern w:val="0"/>
          <w:sz w:val="24"/>
          <w:lang w:bidi="ar"/>
        </w:rPr>
      </w:pPr>
      <w:r>
        <w:rPr>
          <w:kern w:val="0"/>
          <w:sz w:val="24"/>
          <w:lang w:bidi="ar"/>
        </w:rPr>
        <w:t xml:space="preserve">是，产品国别：          品牌：          规格型号：         </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否</w:t>
      </w:r>
    </w:p>
    <w:p>
      <w:pPr>
        <w:widowControl/>
        <w:kinsoku w:val="0"/>
        <w:autoSpaceDE w:val="0"/>
        <w:autoSpaceDN w:val="0"/>
        <w:adjustRightInd w:val="0"/>
        <w:snapToGrid w:val="0"/>
        <w:spacing w:line="360" w:lineRule="auto"/>
        <w:ind w:firstLine="480"/>
        <w:rPr>
          <w:kern w:val="0"/>
          <w:sz w:val="24"/>
          <w:lang w:bidi="ar"/>
        </w:rPr>
      </w:pPr>
      <w:r>
        <w:rPr>
          <w:kern w:val="0"/>
          <w:sz w:val="24"/>
          <w:lang w:bidi="ar"/>
        </w:rPr>
        <w:t>（7）是否涉及节能环保产品：</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是，产品类别：                ，强制采购    优先采购</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否</w:t>
      </w:r>
    </w:p>
    <w:p>
      <w:pPr>
        <w:widowControl/>
        <w:kinsoku w:val="0"/>
        <w:autoSpaceDE w:val="0"/>
        <w:autoSpaceDN w:val="0"/>
        <w:adjustRightInd w:val="0"/>
        <w:snapToGrid w:val="0"/>
        <w:spacing w:line="360" w:lineRule="auto"/>
        <w:ind w:firstLine="480"/>
        <w:rPr>
          <w:kern w:val="0"/>
          <w:sz w:val="24"/>
          <w:lang w:bidi="ar"/>
        </w:rPr>
      </w:pPr>
      <w:r>
        <w:rPr>
          <w:kern w:val="0"/>
          <w:sz w:val="24"/>
          <w:lang w:bidi="ar"/>
        </w:rPr>
        <w:t>（8）涉及商品包装和快递包装的，是否参考《商品包装政府采购需求标准（试行）》、《快递包装政府采购需求标准（试行）》明确产品及相关快递服务的具体包装要求：</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是       否       不涉及</w:t>
      </w:r>
    </w:p>
    <w:p>
      <w:pPr>
        <w:widowControl/>
        <w:kinsoku w:val="0"/>
        <w:autoSpaceDE w:val="0"/>
        <w:autoSpaceDN w:val="0"/>
        <w:adjustRightInd w:val="0"/>
        <w:snapToGrid w:val="0"/>
        <w:spacing w:line="360" w:lineRule="auto"/>
        <w:ind w:firstLine="480"/>
        <w:rPr>
          <w:kern w:val="0"/>
          <w:sz w:val="24"/>
          <w:lang w:bidi="ar"/>
        </w:rPr>
      </w:pPr>
      <w:r>
        <w:rPr>
          <w:kern w:val="0"/>
          <w:sz w:val="24"/>
          <w:lang w:bidi="ar"/>
        </w:rPr>
        <w:t>2.合同金额</w:t>
      </w:r>
    </w:p>
    <w:p>
      <w:pPr>
        <w:widowControl/>
        <w:kinsoku w:val="0"/>
        <w:autoSpaceDE w:val="0"/>
        <w:autoSpaceDN w:val="0"/>
        <w:adjustRightInd w:val="0"/>
        <w:snapToGrid w:val="0"/>
        <w:spacing w:line="360" w:lineRule="auto"/>
        <w:ind w:firstLine="480"/>
        <w:rPr>
          <w:kern w:val="0"/>
          <w:sz w:val="24"/>
          <w:lang w:bidi="ar"/>
        </w:rPr>
      </w:pPr>
      <w:r>
        <w:rPr>
          <w:kern w:val="0"/>
          <w:sz w:val="24"/>
          <w:lang w:bidi="ar"/>
        </w:rPr>
        <w:t>（1）合同金额小写：</w:t>
      </w:r>
    </w:p>
    <w:p>
      <w:pPr>
        <w:widowControl/>
        <w:kinsoku w:val="0"/>
        <w:autoSpaceDE w:val="0"/>
        <w:autoSpaceDN w:val="0"/>
        <w:adjustRightInd w:val="0"/>
        <w:snapToGrid w:val="0"/>
        <w:spacing w:line="360" w:lineRule="auto"/>
        <w:ind w:firstLine="1920" w:firstLineChars="800"/>
        <w:rPr>
          <w:kern w:val="0"/>
          <w:sz w:val="24"/>
          <w:lang w:bidi="ar"/>
        </w:rPr>
      </w:pPr>
      <w:r>
        <w:rPr>
          <w:kern w:val="0"/>
          <w:sz w:val="24"/>
          <w:lang w:bidi="ar"/>
        </w:rPr>
        <w:t>大写：</w:t>
      </w:r>
    </w:p>
    <w:p>
      <w:pPr>
        <w:widowControl/>
        <w:kinsoku w:val="0"/>
        <w:autoSpaceDE w:val="0"/>
        <w:autoSpaceDN w:val="0"/>
        <w:adjustRightInd w:val="0"/>
        <w:snapToGrid w:val="0"/>
        <w:spacing w:line="360" w:lineRule="auto"/>
        <w:ind w:firstLine="480"/>
        <w:rPr>
          <w:kern w:val="0"/>
          <w:sz w:val="24"/>
          <w:lang w:bidi="ar"/>
        </w:rPr>
      </w:pPr>
      <w:r>
        <w:rPr>
          <w:kern w:val="0"/>
          <w:sz w:val="24"/>
          <w:lang w:bidi="ar"/>
        </w:rPr>
        <w:t>（2）具体标的见附件。</w:t>
      </w:r>
    </w:p>
    <w:p>
      <w:pPr>
        <w:widowControl/>
        <w:kinsoku w:val="0"/>
        <w:autoSpaceDE w:val="0"/>
        <w:autoSpaceDN w:val="0"/>
        <w:adjustRightInd w:val="0"/>
        <w:snapToGrid w:val="0"/>
        <w:spacing w:line="360" w:lineRule="auto"/>
        <w:ind w:firstLine="480"/>
        <w:rPr>
          <w:kern w:val="0"/>
          <w:sz w:val="24"/>
          <w:lang w:bidi="ar"/>
        </w:rPr>
      </w:pPr>
      <w:r>
        <w:rPr>
          <w:kern w:val="0"/>
          <w:sz w:val="24"/>
          <w:lang w:bidi="ar"/>
        </w:rPr>
        <w:t>（3）合同定价方式：固定总价 固定单价 成本补偿 绩效激励</w:t>
      </w:r>
    </w:p>
    <w:p>
      <w:pPr>
        <w:widowControl/>
        <w:kinsoku w:val="0"/>
        <w:autoSpaceDE w:val="0"/>
        <w:autoSpaceDN w:val="0"/>
        <w:adjustRightInd w:val="0"/>
        <w:snapToGrid w:val="0"/>
        <w:spacing w:line="360" w:lineRule="auto"/>
        <w:ind w:firstLine="480"/>
        <w:rPr>
          <w:kern w:val="0"/>
          <w:sz w:val="24"/>
          <w:lang w:bidi="ar"/>
        </w:rPr>
      </w:pPr>
      <w:r>
        <w:rPr>
          <w:kern w:val="0"/>
          <w:sz w:val="24"/>
          <w:lang w:bidi="ar"/>
        </w:rPr>
        <w:t>（4）付款方式（按项目实际勾选填写）：</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全额付款：</w:t>
      </w:r>
      <w:r>
        <w:rPr>
          <w:kern w:val="0"/>
          <w:sz w:val="24"/>
          <w:u w:val="single"/>
          <w:lang w:bidi="ar"/>
        </w:rPr>
        <w:t>（应一次性支付全部合同款项）</w:t>
      </w:r>
    </w:p>
    <w:p>
      <w:pPr>
        <w:widowControl/>
        <w:kinsoku w:val="0"/>
        <w:autoSpaceDE w:val="0"/>
        <w:autoSpaceDN w:val="0"/>
        <w:adjustRightInd w:val="0"/>
        <w:snapToGrid w:val="0"/>
        <w:spacing w:line="360" w:lineRule="auto"/>
        <w:ind w:firstLine="480"/>
        <w:rPr>
          <w:kern w:val="0"/>
          <w:sz w:val="24"/>
          <w:lang w:bidi="ar"/>
        </w:rPr>
      </w:pPr>
      <w:r>
        <w:rPr>
          <w:kern w:val="0"/>
          <w:sz w:val="24"/>
          <w:lang w:bidi="ar"/>
        </w:rPr>
        <w:t>预付款：</w:t>
      </w:r>
      <w:r>
        <w:rPr>
          <w:rFonts w:hint="eastAsia"/>
          <w:kern w:val="0"/>
          <w:sz w:val="24"/>
          <w:u w:val="single"/>
          <w:lang w:bidi="ar"/>
        </w:rPr>
        <w:t>采购合同签订后，凭乙方等额有效收据，支付合同金额的30%作为预付款；</w:t>
      </w:r>
    </w:p>
    <w:p>
      <w:pPr>
        <w:widowControl/>
        <w:kinsoku w:val="0"/>
        <w:autoSpaceDE w:val="0"/>
        <w:autoSpaceDN w:val="0"/>
        <w:adjustRightInd w:val="0"/>
        <w:snapToGrid w:val="0"/>
        <w:spacing w:line="360" w:lineRule="auto"/>
        <w:ind w:firstLine="480"/>
        <w:rPr>
          <w:kern w:val="0"/>
          <w:sz w:val="24"/>
          <w:u w:val="single"/>
          <w:lang w:bidi="ar"/>
        </w:rPr>
      </w:pPr>
      <w:r>
        <w:rPr>
          <w:kern w:val="0"/>
          <w:sz w:val="24"/>
          <w:lang w:bidi="ar"/>
        </w:rPr>
        <w:t>分期付款：</w:t>
      </w:r>
      <w:r>
        <w:rPr>
          <w:rFonts w:hint="eastAsia"/>
          <w:kern w:val="0"/>
          <w:sz w:val="24"/>
          <w:u w:val="single"/>
          <w:lang w:bidi="ar"/>
        </w:rPr>
        <w:t>项目交付后，凭乙方等额有效收据，支付合同金额的40%；验收合格并经结算审计后，凭乙方合同全额发票，支付至审计后总金额的100%。</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成本补偿：</w:t>
      </w:r>
      <w:r>
        <w:rPr>
          <w:kern w:val="0"/>
          <w:sz w:val="24"/>
          <w:u w:val="single"/>
          <w:lang w:bidi="ar"/>
        </w:rPr>
        <w:t>（应明确按照成本补偿方式的支付方式和支付条件）</w:t>
      </w:r>
    </w:p>
    <w:p>
      <w:pPr>
        <w:widowControl/>
        <w:kinsoku w:val="0"/>
        <w:autoSpaceDE w:val="0"/>
        <w:autoSpaceDN w:val="0"/>
        <w:adjustRightInd w:val="0"/>
        <w:snapToGrid w:val="0"/>
        <w:spacing w:line="360" w:lineRule="auto"/>
        <w:ind w:firstLine="480"/>
        <w:rPr>
          <w:kern w:val="0"/>
          <w:sz w:val="24"/>
          <w:lang w:bidi="ar"/>
        </w:rPr>
      </w:pPr>
      <w:r>
        <w:rPr>
          <w:kern w:val="0"/>
          <w:sz w:val="24"/>
          <w:lang w:bidi="ar"/>
        </w:rPr>
        <w:t>绩效激励：</w:t>
      </w:r>
      <w:r>
        <w:rPr>
          <w:kern w:val="0"/>
          <w:sz w:val="24"/>
          <w:u w:val="single"/>
          <w:lang w:bidi="ar"/>
        </w:rPr>
        <w:t>（应明确按照绩效激励方式的支付方式和支付条件）</w:t>
      </w:r>
    </w:p>
    <w:p>
      <w:pPr>
        <w:widowControl/>
        <w:kinsoku w:val="0"/>
        <w:autoSpaceDE w:val="0"/>
        <w:autoSpaceDN w:val="0"/>
        <w:adjustRightInd w:val="0"/>
        <w:snapToGrid w:val="0"/>
        <w:spacing w:line="360" w:lineRule="auto"/>
        <w:ind w:firstLine="480"/>
        <w:rPr>
          <w:kern w:val="0"/>
          <w:sz w:val="24"/>
          <w:lang w:bidi="ar"/>
        </w:rPr>
      </w:pPr>
      <w:r>
        <w:rPr>
          <w:kern w:val="0"/>
          <w:sz w:val="24"/>
          <w:lang w:bidi="ar"/>
        </w:rPr>
        <w:t>3.合同履行</w:t>
      </w:r>
    </w:p>
    <w:p>
      <w:pPr>
        <w:widowControl/>
        <w:kinsoku w:val="0"/>
        <w:autoSpaceDE w:val="0"/>
        <w:autoSpaceDN w:val="0"/>
        <w:adjustRightInd w:val="0"/>
        <w:snapToGrid w:val="0"/>
        <w:spacing w:line="360" w:lineRule="auto"/>
        <w:ind w:firstLine="480"/>
        <w:rPr>
          <w:kern w:val="0"/>
          <w:sz w:val="24"/>
          <w:lang w:bidi="ar"/>
        </w:rPr>
      </w:pPr>
      <w:r>
        <w:rPr>
          <w:kern w:val="0"/>
          <w:sz w:val="24"/>
          <w:lang w:bidi="ar"/>
        </w:rPr>
        <w:t>（1）起始日期：</w:t>
      </w:r>
      <w:r>
        <w:rPr>
          <w:kern w:val="0"/>
          <w:sz w:val="24"/>
          <w:u w:val="single"/>
          <w:lang w:bidi="ar"/>
        </w:rPr>
        <w:t xml:space="preserve">    </w:t>
      </w:r>
      <w:r>
        <w:rPr>
          <w:kern w:val="0"/>
          <w:sz w:val="24"/>
          <w:lang w:bidi="ar"/>
        </w:rPr>
        <w:t>年</w:t>
      </w:r>
      <w:r>
        <w:rPr>
          <w:kern w:val="0"/>
          <w:sz w:val="24"/>
          <w:u w:val="single"/>
          <w:lang w:bidi="ar"/>
        </w:rPr>
        <w:t xml:space="preserve">   </w:t>
      </w:r>
      <w:r>
        <w:rPr>
          <w:kern w:val="0"/>
          <w:sz w:val="24"/>
          <w:lang w:bidi="ar"/>
        </w:rPr>
        <w:t>月</w:t>
      </w:r>
      <w:r>
        <w:rPr>
          <w:kern w:val="0"/>
          <w:sz w:val="24"/>
          <w:u w:val="single"/>
          <w:lang w:bidi="ar"/>
        </w:rPr>
        <w:t xml:space="preserve">    </w:t>
      </w:r>
      <w:r>
        <w:rPr>
          <w:kern w:val="0"/>
          <w:sz w:val="24"/>
          <w:lang w:bidi="ar"/>
        </w:rPr>
        <w:t>日，完成日期：</w:t>
      </w:r>
      <w:r>
        <w:rPr>
          <w:kern w:val="0"/>
          <w:sz w:val="24"/>
          <w:u w:val="single"/>
          <w:lang w:bidi="ar"/>
        </w:rPr>
        <w:t xml:space="preserve">      </w:t>
      </w:r>
      <w:r>
        <w:rPr>
          <w:kern w:val="0"/>
          <w:sz w:val="24"/>
          <w:lang w:bidi="ar"/>
        </w:rPr>
        <w:t>年</w:t>
      </w:r>
      <w:r>
        <w:rPr>
          <w:kern w:val="0"/>
          <w:sz w:val="24"/>
          <w:u w:val="single"/>
          <w:lang w:bidi="ar"/>
        </w:rPr>
        <w:t xml:space="preserve">     </w:t>
      </w:r>
      <w:r>
        <w:rPr>
          <w:kern w:val="0"/>
          <w:sz w:val="24"/>
          <w:lang w:bidi="ar"/>
        </w:rPr>
        <w:t>月</w:t>
      </w:r>
      <w:r>
        <w:rPr>
          <w:kern w:val="0"/>
          <w:sz w:val="24"/>
          <w:u w:val="single"/>
          <w:lang w:bidi="ar"/>
        </w:rPr>
        <w:t xml:space="preserve">    </w:t>
      </w:r>
      <w:r>
        <w:rPr>
          <w:kern w:val="0"/>
          <w:sz w:val="24"/>
          <w:lang w:bidi="ar"/>
        </w:rPr>
        <w:t>日总日历天数：</w:t>
      </w:r>
      <w:r>
        <w:rPr>
          <w:rFonts w:hint="eastAsia"/>
          <w:kern w:val="0"/>
          <w:sz w:val="24"/>
          <w:lang w:bidi="ar"/>
        </w:rPr>
        <w:t>150</w:t>
      </w:r>
      <w:r>
        <w:rPr>
          <w:kern w:val="0"/>
          <w:sz w:val="24"/>
          <w:lang w:bidi="ar"/>
        </w:rPr>
        <w:t>天。</w:t>
      </w:r>
    </w:p>
    <w:p>
      <w:pPr>
        <w:widowControl/>
        <w:kinsoku w:val="0"/>
        <w:autoSpaceDE w:val="0"/>
        <w:autoSpaceDN w:val="0"/>
        <w:adjustRightInd w:val="0"/>
        <w:snapToGrid w:val="0"/>
        <w:spacing w:line="360" w:lineRule="auto"/>
        <w:ind w:firstLine="480"/>
        <w:rPr>
          <w:kern w:val="0"/>
          <w:sz w:val="24"/>
          <w:lang w:bidi="ar"/>
        </w:rPr>
      </w:pPr>
      <w:r>
        <w:rPr>
          <w:kern w:val="0"/>
          <w:sz w:val="24"/>
          <w:lang w:bidi="ar"/>
        </w:rPr>
        <w:t>（2）地点：</w:t>
      </w:r>
      <w:r>
        <w:rPr>
          <w:kern w:val="0"/>
          <w:sz w:val="24"/>
          <w:u w:val="single"/>
          <w:lang w:bidi="ar"/>
        </w:rPr>
        <w:t>山西省消防救援总队训练与战勤保障支队</w:t>
      </w:r>
    </w:p>
    <w:p>
      <w:pPr>
        <w:widowControl/>
        <w:kinsoku w:val="0"/>
        <w:autoSpaceDE w:val="0"/>
        <w:autoSpaceDN w:val="0"/>
        <w:adjustRightInd w:val="0"/>
        <w:snapToGrid w:val="0"/>
        <w:spacing w:line="360" w:lineRule="auto"/>
        <w:ind w:firstLine="480"/>
        <w:rPr>
          <w:kern w:val="0"/>
          <w:sz w:val="24"/>
          <w:lang w:bidi="ar"/>
        </w:rPr>
      </w:pPr>
      <w:r>
        <w:rPr>
          <w:kern w:val="0"/>
          <w:sz w:val="24"/>
          <w:lang w:bidi="ar"/>
        </w:rPr>
        <w:t>（3）履约担保：</w:t>
      </w:r>
      <w:r>
        <w:rPr>
          <w:kern w:val="0"/>
          <w:sz w:val="24"/>
          <w:u w:val="single"/>
          <w:lang w:bidi="ar"/>
        </w:rPr>
        <w:t>采购合同签订后，十五个工作日内，</w:t>
      </w:r>
      <w:r>
        <w:rPr>
          <w:rFonts w:hint="eastAsia"/>
          <w:kern w:val="0"/>
          <w:sz w:val="24"/>
          <w:u w:val="single"/>
          <w:lang w:bidi="ar"/>
        </w:rPr>
        <w:t>乙方应当按照甲方的要求以支票、汇票、本票或者金融机构</w:t>
      </w:r>
      <w:r>
        <w:rPr>
          <w:kern w:val="0"/>
          <w:sz w:val="24"/>
          <w:u w:val="single"/>
          <w:lang w:bidi="ar"/>
        </w:rPr>
        <w:t>、担保机构出具的保函等非现金形式提交合同总金额的5%作为履约保证金。</w:t>
      </w:r>
    </w:p>
    <w:p>
      <w:pPr>
        <w:widowControl/>
        <w:kinsoku w:val="0"/>
        <w:autoSpaceDE w:val="0"/>
        <w:autoSpaceDN w:val="0"/>
        <w:adjustRightInd w:val="0"/>
        <w:snapToGrid w:val="0"/>
        <w:spacing w:line="360" w:lineRule="auto"/>
        <w:ind w:firstLine="480"/>
        <w:rPr>
          <w:kern w:val="0"/>
          <w:sz w:val="24"/>
          <w:lang w:bidi="ar"/>
        </w:rPr>
      </w:pPr>
      <w:r>
        <w:rPr>
          <w:kern w:val="0"/>
          <w:sz w:val="24"/>
          <w:lang w:bidi="ar"/>
        </w:rPr>
        <w:t>（4）分期履行要求：</w:t>
      </w:r>
    </w:p>
    <w:p>
      <w:pPr>
        <w:widowControl/>
        <w:kinsoku w:val="0"/>
        <w:autoSpaceDE w:val="0"/>
        <w:autoSpaceDN w:val="0"/>
        <w:adjustRightInd w:val="0"/>
        <w:snapToGrid w:val="0"/>
        <w:spacing w:line="360" w:lineRule="auto"/>
        <w:ind w:firstLine="480"/>
        <w:rPr>
          <w:kern w:val="0"/>
          <w:sz w:val="24"/>
          <w:lang w:bidi="ar"/>
        </w:rPr>
      </w:pPr>
      <w:r>
        <w:rPr>
          <w:kern w:val="0"/>
          <w:sz w:val="24"/>
          <w:lang w:bidi="ar"/>
        </w:rPr>
        <w:t>（5）成本补偿和风险分担的约定（如涉及）：</w:t>
      </w:r>
    </w:p>
    <w:p>
      <w:pPr>
        <w:widowControl/>
        <w:kinsoku w:val="0"/>
        <w:autoSpaceDE w:val="0"/>
        <w:autoSpaceDN w:val="0"/>
        <w:adjustRightInd w:val="0"/>
        <w:snapToGrid w:val="0"/>
        <w:spacing w:line="360" w:lineRule="auto"/>
        <w:ind w:firstLine="480"/>
        <w:rPr>
          <w:kern w:val="0"/>
          <w:sz w:val="24"/>
          <w:lang w:bidi="ar"/>
        </w:rPr>
      </w:pPr>
      <w:r>
        <w:rPr>
          <w:kern w:val="0"/>
          <w:sz w:val="24"/>
          <w:lang w:bidi="ar"/>
        </w:rPr>
        <w:t>4.合同验收</w:t>
      </w:r>
    </w:p>
    <w:p>
      <w:pPr>
        <w:widowControl/>
        <w:kinsoku w:val="0"/>
        <w:autoSpaceDE w:val="0"/>
        <w:autoSpaceDN w:val="0"/>
        <w:adjustRightInd w:val="0"/>
        <w:snapToGrid w:val="0"/>
        <w:spacing w:line="360" w:lineRule="auto"/>
        <w:ind w:firstLine="482"/>
        <w:rPr>
          <w:b/>
          <w:bCs/>
          <w:kern w:val="0"/>
          <w:sz w:val="24"/>
          <w:lang w:bidi="ar"/>
        </w:rPr>
      </w:pPr>
      <w:r>
        <w:rPr>
          <w:rFonts w:hint="eastAsia"/>
          <w:b/>
          <w:bCs/>
          <w:kern w:val="0"/>
          <w:sz w:val="24"/>
          <w:lang w:bidi="ar"/>
        </w:rPr>
        <w:t>见本合同附件1：山西省消防救援总队灭火救援装备验收工作规程（试行）</w:t>
      </w:r>
    </w:p>
    <w:p>
      <w:pPr>
        <w:widowControl/>
        <w:kinsoku w:val="0"/>
        <w:autoSpaceDE w:val="0"/>
        <w:autoSpaceDN w:val="0"/>
        <w:adjustRightInd w:val="0"/>
        <w:snapToGrid w:val="0"/>
        <w:spacing w:line="360" w:lineRule="auto"/>
        <w:ind w:firstLine="480"/>
        <w:rPr>
          <w:kern w:val="0"/>
          <w:sz w:val="24"/>
          <w:lang w:bidi="ar"/>
        </w:rPr>
      </w:pPr>
      <w:r>
        <w:rPr>
          <w:kern w:val="0"/>
          <w:sz w:val="24"/>
          <w:lang w:bidi="ar"/>
        </w:rPr>
        <w:t>5.组成合同的文件</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本协议书与下列文件一起构成合同文件，如下述文件之间有任何抵触、矛盾或歧义，应按以下顺序解释：</w:t>
      </w:r>
    </w:p>
    <w:p>
      <w:pPr>
        <w:widowControl/>
        <w:kinsoku w:val="0"/>
        <w:autoSpaceDE w:val="0"/>
        <w:autoSpaceDN w:val="0"/>
        <w:adjustRightInd w:val="0"/>
        <w:snapToGrid w:val="0"/>
        <w:spacing w:line="360" w:lineRule="auto"/>
        <w:ind w:firstLine="480"/>
        <w:rPr>
          <w:kern w:val="0"/>
          <w:sz w:val="24"/>
          <w:lang w:bidi="ar"/>
        </w:rPr>
      </w:pPr>
      <w:r>
        <w:rPr>
          <w:kern w:val="0"/>
          <w:sz w:val="24"/>
          <w:lang w:bidi="ar"/>
        </w:rPr>
        <w:t>（1）本合同协议书及其变更、补充协议</w:t>
      </w:r>
    </w:p>
    <w:p>
      <w:pPr>
        <w:widowControl/>
        <w:kinsoku w:val="0"/>
        <w:autoSpaceDE w:val="0"/>
        <w:autoSpaceDN w:val="0"/>
        <w:adjustRightInd w:val="0"/>
        <w:snapToGrid w:val="0"/>
        <w:spacing w:line="360" w:lineRule="auto"/>
        <w:ind w:firstLine="480"/>
        <w:rPr>
          <w:kern w:val="0"/>
          <w:sz w:val="24"/>
          <w:lang w:bidi="ar"/>
        </w:rPr>
      </w:pPr>
      <w:r>
        <w:rPr>
          <w:kern w:val="0"/>
          <w:sz w:val="24"/>
          <w:lang w:bidi="ar"/>
        </w:rPr>
        <w:t>（2）中标通知书</w:t>
      </w:r>
    </w:p>
    <w:p>
      <w:pPr>
        <w:widowControl/>
        <w:kinsoku w:val="0"/>
        <w:autoSpaceDE w:val="0"/>
        <w:autoSpaceDN w:val="0"/>
        <w:adjustRightInd w:val="0"/>
        <w:snapToGrid w:val="0"/>
        <w:spacing w:line="360" w:lineRule="auto"/>
        <w:ind w:firstLine="480"/>
        <w:rPr>
          <w:kern w:val="0"/>
          <w:sz w:val="24"/>
          <w:lang w:bidi="ar"/>
        </w:rPr>
      </w:pPr>
      <w:r>
        <w:rPr>
          <w:kern w:val="0"/>
          <w:sz w:val="24"/>
          <w:lang w:bidi="ar"/>
        </w:rPr>
        <w:t>（3）投标（响应）文件</w:t>
      </w:r>
    </w:p>
    <w:p>
      <w:pPr>
        <w:widowControl/>
        <w:kinsoku w:val="0"/>
        <w:autoSpaceDE w:val="0"/>
        <w:autoSpaceDN w:val="0"/>
        <w:adjustRightInd w:val="0"/>
        <w:snapToGrid w:val="0"/>
        <w:spacing w:line="360" w:lineRule="auto"/>
        <w:ind w:firstLine="480"/>
        <w:rPr>
          <w:kern w:val="0"/>
          <w:sz w:val="24"/>
          <w:lang w:bidi="ar"/>
        </w:rPr>
      </w:pPr>
      <w:r>
        <w:rPr>
          <w:kern w:val="0"/>
          <w:sz w:val="24"/>
          <w:lang w:bidi="ar"/>
        </w:rPr>
        <w:t>（4）政府采购合同专用条款</w:t>
      </w:r>
    </w:p>
    <w:p>
      <w:pPr>
        <w:widowControl/>
        <w:kinsoku w:val="0"/>
        <w:autoSpaceDE w:val="0"/>
        <w:autoSpaceDN w:val="0"/>
        <w:adjustRightInd w:val="0"/>
        <w:snapToGrid w:val="0"/>
        <w:spacing w:line="360" w:lineRule="auto"/>
        <w:ind w:firstLine="480"/>
        <w:rPr>
          <w:kern w:val="0"/>
          <w:sz w:val="24"/>
          <w:lang w:bidi="ar"/>
        </w:rPr>
      </w:pPr>
      <w:r>
        <w:rPr>
          <w:kern w:val="0"/>
          <w:sz w:val="24"/>
          <w:lang w:bidi="ar"/>
        </w:rPr>
        <w:t>（5）政府采购合同通用条款</w:t>
      </w:r>
    </w:p>
    <w:p>
      <w:pPr>
        <w:widowControl/>
        <w:kinsoku w:val="0"/>
        <w:autoSpaceDE w:val="0"/>
        <w:autoSpaceDN w:val="0"/>
        <w:adjustRightInd w:val="0"/>
        <w:snapToGrid w:val="0"/>
        <w:spacing w:line="360" w:lineRule="auto"/>
        <w:ind w:firstLine="480"/>
        <w:rPr>
          <w:kern w:val="0"/>
          <w:sz w:val="24"/>
          <w:lang w:bidi="ar"/>
        </w:rPr>
      </w:pPr>
      <w:r>
        <w:rPr>
          <w:kern w:val="0"/>
          <w:sz w:val="24"/>
          <w:lang w:bidi="ar"/>
        </w:rPr>
        <w:t>（6）采购文件</w:t>
      </w:r>
    </w:p>
    <w:p>
      <w:pPr>
        <w:widowControl/>
        <w:kinsoku w:val="0"/>
        <w:autoSpaceDE w:val="0"/>
        <w:autoSpaceDN w:val="0"/>
        <w:adjustRightInd w:val="0"/>
        <w:snapToGrid w:val="0"/>
        <w:spacing w:line="360" w:lineRule="auto"/>
        <w:ind w:firstLine="480"/>
        <w:rPr>
          <w:kern w:val="0"/>
          <w:sz w:val="24"/>
          <w:lang w:bidi="ar"/>
        </w:rPr>
      </w:pPr>
      <w:r>
        <w:rPr>
          <w:kern w:val="0"/>
          <w:sz w:val="24"/>
          <w:lang w:bidi="ar"/>
        </w:rPr>
        <w:t>（7）标准、规范及有关技术文件，图纸</w:t>
      </w:r>
    </w:p>
    <w:p>
      <w:pPr>
        <w:widowControl/>
        <w:kinsoku w:val="0"/>
        <w:autoSpaceDE w:val="0"/>
        <w:autoSpaceDN w:val="0"/>
        <w:adjustRightInd w:val="0"/>
        <w:snapToGrid w:val="0"/>
        <w:spacing w:line="360" w:lineRule="auto"/>
        <w:ind w:firstLine="480"/>
        <w:rPr>
          <w:kern w:val="0"/>
          <w:sz w:val="24"/>
          <w:lang w:bidi="ar"/>
        </w:rPr>
      </w:pPr>
      <w:r>
        <w:rPr>
          <w:kern w:val="0"/>
          <w:sz w:val="24"/>
          <w:lang w:bidi="ar"/>
        </w:rPr>
        <w:t>（8）其他合同文件</w:t>
      </w:r>
    </w:p>
    <w:p>
      <w:pPr>
        <w:widowControl/>
        <w:kinsoku w:val="0"/>
        <w:autoSpaceDE w:val="0"/>
        <w:autoSpaceDN w:val="0"/>
        <w:adjustRightInd w:val="0"/>
        <w:snapToGrid w:val="0"/>
        <w:spacing w:line="360" w:lineRule="auto"/>
        <w:ind w:firstLine="480"/>
        <w:rPr>
          <w:kern w:val="0"/>
          <w:sz w:val="24"/>
          <w:lang w:bidi="ar"/>
        </w:rPr>
      </w:pPr>
      <w:r>
        <w:rPr>
          <w:kern w:val="0"/>
          <w:sz w:val="24"/>
          <w:lang w:bidi="ar"/>
        </w:rPr>
        <w:t>6.合同生效</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本合同自</w:t>
      </w:r>
      <w:r>
        <w:rPr>
          <w:kern w:val="0"/>
          <w:sz w:val="24"/>
          <w:u w:val="single"/>
          <w:lang w:bidi="ar"/>
        </w:rPr>
        <w:t xml:space="preserve">   </w:t>
      </w:r>
      <w:r>
        <w:rPr>
          <w:rFonts w:hint="eastAsia"/>
          <w:kern w:val="0"/>
          <w:sz w:val="24"/>
          <w:u w:val="single"/>
          <w:lang w:bidi="ar"/>
        </w:rPr>
        <w:t>签字盖章之日起</w:t>
      </w:r>
      <w:r>
        <w:rPr>
          <w:kern w:val="0"/>
          <w:sz w:val="24"/>
          <w:u w:val="single"/>
          <w:lang w:bidi="ar"/>
        </w:rPr>
        <w:t xml:space="preserve">   </w:t>
      </w:r>
      <w:r>
        <w:rPr>
          <w:kern w:val="0"/>
          <w:sz w:val="24"/>
          <w:lang w:bidi="ar"/>
        </w:rPr>
        <w:t>生效。</w:t>
      </w:r>
    </w:p>
    <w:p>
      <w:pPr>
        <w:widowControl/>
        <w:kinsoku w:val="0"/>
        <w:autoSpaceDE w:val="0"/>
        <w:autoSpaceDN w:val="0"/>
        <w:adjustRightInd w:val="0"/>
        <w:snapToGrid w:val="0"/>
        <w:spacing w:line="360" w:lineRule="auto"/>
        <w:ind w:firstLine="480"/>
        <w:rPr>
          <w:kern w:val="0"/>
          <w:sz w:val="24"/>
          <w:lang w:bidi="ar"/>
        </w:rPr>
      </w:pPr>
      <w:r>
        <w:rPr>
          <w:kern w:val="0"/>
          <w:sz w:val="24"/>
          <w:lang w:bidi="ar"/>
        </w:rPr>
        <w:t>7.合同份数</w:t>
      </w:r>
    </w:p>
    <w:p>
      <w:pPr>
        <w:widowControl/>
        <w:kinsoku w:val="0"/>
        <w:autoSpaceDE w:val="0"/>
        <w:autoSpaceDN w:val="0"/>
        <w:adjustRightInd w:val="0"/>
        <w:snapToGrid w:val="0"/>
        <w:spacing w:line="360" w:lineRule="auto"/>
        <w:ind w:firstLine="480"/>
        <w:rPr>
          <w:kern w:val="0"/>
          <w:sz w:val="24"/>
          <w:lang w:bidi="ar"/>
        </w:rPr>
      </w:pPr>
      <w:r>
        <w:rPr>
          <w:kern w:val="0"/>
          <w:sz w:val="24"/>
          <w:lang w:bidi="ar"/>
        </w:rPr>
        <w:t>本合同一式</w:t>
      </w:r>
      <w:r>
        <w:rPr>
          <w:kern w:val="0"/>
          <w:sz w:val="24"/>
          <w:u w:val="single"/>
          <w:lang w:bidi="ar"/>
        </w:rPr>
        <w:t xml:space="preserve"> </w:t>
      </w:r>
      <w:r>
        <w:rPr>
          <w:rFonts w:hint="eastAsia"/>
          <w:kern w:val="0"/>
          <w:sz w:val="24"/>
          <w:u w:val="single"/>
          <w:lang w:bidi="ar"/>
        </w:rPr>
        <w:t>陆</w:t>
      </w:r>
      <w:r>
        <w:rPr>
          <w:kern w:val="0"/>
          <w:sz w:val="24"/>
          <w:u w:val="single"/>
          <w:lang w:bidi="ar"/>
        </w:rPr>
        <w:t xml:space="preserve"> </w:t>
      </w:r>
      <w:r>
        <w:rPr>
          <w:kern w:val="0"/>
          <w:sz w:val="24"/>
          <w:lang w:bidi="ar"/>
        </w:rPr>
        <w:t>份，采购人执</w:t>
      </w:r>
      <w:r>
        <w:rPr>
          <w:kern w:val="0"/>
          <w:sz w:val="24"/>
          <w:u w:val="single"/>
          <w:lang w:bidi="ar"/>
        </w:rPr>
        <w:t xml:space="preserve"> </w:t>
      </w:r>
      <w:r>
        <w:rPr>
          <w:rFonts w:hint="eastAsia"/>
          <w:kern w:val="0"/>
          <w:sz w:val="24"/>
          <w:u w:val="single"/>
          <w:lang w:bidi="ar"/>
        </w:rPr>
        <w:t>肆</w:t>
      </w:r>
      <w:r>
        <w:rPr>
          <w:kern w:val="0"/>
          <w:sz w:val="24"/>
          <w:u w:val="single"/>
          <w:lang w:bidi="ar"/>
        </w:rPr>
        <w:t xml:space="preserve"> </w:t>
      </w:r>
      <w:r>
        <w:rPr>
          <w:kern w:val="0"/>
          <w:sz w:val="24"/>
          <w:lang w:bidi="ar"/>
        </w:rPr>
        <w:t>份，供应商执</w:t>
      </w:r>
      <w:r>
        <w:rPr>
          <w:kern w:val="0"/>
          <w:sz w:val="24"/>
          <w:u w:val="single"/>
          <w:lang w:bidi="ar"/>
        </w:rPr>
        <w:t xml:space="preserve"> </w:t>
      </w:r>
      <w:r>
        <w:rPr>
          <w:rFonts w:hint="eastAsia"/>
          <w:kern w:val="0"/>
          <w:sz w:val="24"/>
          <w:u w:val="single"/>
          <w:lang w:bidi="ar"/>
        </w:rPr>
        <w:t>贰</w:t>
      </w:r>
      <w:r>
        <w:rPr>
          <w:kern w:val="0"/>
          <w:sz w:val="24"/>
          <w:u w:val="single"/>
          <w:lang w:bidi="ar"/>
        </w:rPr>
        <w:t xml:space="preserve"> </w:t>
      </w:r>
      <w:r>
        <w:rPr>
          <w:kern w:val="0"/>
          <w:sz w:val="24"/>
          <w:lang w:bidi="ar"/>
        </w:rPr>
        <w:t>份，均具有同等法律效力。</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合同订立时间：</w:t>
      </w:r>
      <w:r>
        <w:rPr>
          <w:kern w:val="0"/>
          <w:sz w:val="24"/>
          <w:u w:val="single"/>
          <w:lang w:bidi="ar"/>
        </w:rPr>
        <w:t xml:space="preserve">          </w:t>
      </w:r>
      <w:r>
        <w:rPr>
          <w:kern w:val="0"/>
          <w:sz w:val="24"/>
          <w:lang w:bidi="ar"/>
        </w:rPr>
        <w:t>年</w:t>
      </w:r>
      <w:r>
        <w:rPr>
          <w:kern w:val="0"/>
          <w:sz w:val="24"/>
          <w:u w:val="single"/>
          <w:lang w:bidi="ar"/>
        </w:rPr>
        <w:t xml:space="preserve">        </w:t>
      </w:r>
      <w:r>
        <w:rPr>
          <w:kern w:val="0"/>
          <w:sz w:val="24"/>
          <w:lang w:bidi="ar"/>
        </w:rPr>
        <w:t>月</w:t>
      </w:r>
      <w:r>
        <w:rPr>
          <w:kern w:val="0"/>
          <w:sz w:val="24"/>
          <w:u w:val="single"/>
          <w:lang w:bidi="ar"/>
        </w:rPr>
        <w:t xml:space="preserve">        </w:t>
      </w:r>
      <w:r>
        <w:rPr>
          <w:kern w:val="0"/>
          <w:sz w:val="24"/>
          <w:lang w:bidi="ar"/>
        </w:rPr>
        <w:t>日</w:t>
      </w:r>
    </w:p>
    <w:p>
      <w:pPr>
        <w:widowControl/>
        <w:kinsoku w:val="0"/>
        <w:autoSpaceDE w:val="0"/>
        <w:autoSpaceDN w:val="0"/>
        <w:adjustRightInd w:val="0"/>
        <w:snapToGrid w:val="0"/>
        <w:spacing w:line="360" w:lineRule="auto"/>
        <w:ind w:firstLine="480"/>
        <w:rPr>
          <w:kern w:val="0"/>
          <w:sz w:val="24"/>
          <w:lang w:bidi="ar"/>
        </w:rPr>
      </w:pPr>
      <w:r>
        <w:rPr>
          <w:kern w:val="0"/>
          <w:sz w:val="24"/>
          <w:lang w:bidi="ar"/>
        </w:rPr>
        <w:t>合同订立地点：</w:t>
      </w:r>
      <w:r>
        <w:rPr>
          <w:kern w:val="0"/>
          <w:sz w:val="24"/>
          <w:u w:val="single"/>
          <w:lang w:bidi="ar"/>
        </w:rPr>
        <w:t xml:space="preserve">                             </w:t>
      </w:r>
    </w:p>
    <w:p>
      <w:pPr>
        <w:widowControl/>
        <w:kinsoku w:val="0"/>
        <w:autoSpaceDE w:val="0"/>
        <w:autoSpaceDN w:val="0"/>
        <w:adjustRightInd w:val="0"/>
        <w:snapToGrid w:val="0"/>
        <w:spacing w:line="360" w:lineRule="auto"/>
        <w:ind w:firstLine="480"/>
        <w:rPr>
          <w:kern w:val="0"/>
          <w:sz w:val="24"/>
          <w:lang w:bidi="ar"/>
        </w:rPr>
      </w:pPr>
      <w:r>
        <w:rPr>
          <w:kern w:val="0"/>
          <w:sz w:val="24"/>
          <w:lang w:bidi="ar"/>
        </w:rPr>
        <w:t>附件：具体标的明细、其他售后承诺、质量保证书等。</w:t>
      </w:r>
    </w:p>
    <w:p>
      <w:pPr>
        <w:widowControl/>
        <w:kinsoku w:val="0"/>
        <w:autoSpaceDE w:val="0"/>
        <w:autoSpaceDN w:val="0"/>
        <w:adjustRightInd w:val="0"/>
        <w:snapToGrid w:val="0"/>
        <w:spacing w:line="360" w:lineRule="auto"/>
        <w:ind w:left="458" w:firstLine="512"/>
        <w:rPr>
          <w:color w:val="000000"/>
          <w:spacing w:val="8"/>
          <w:kern w:val="0"/>
          <w:sz w:val="24"/>
          <w:lang w:bidi="ar"/>
        </w:rPr>
      </w:pPr>
    </w:p>
    <w:p>
      <w:r>
        <w:br w:type="page"/>
      </w:r>
    </w:p>
    <w:tbl>
      <w:tblPr>
        <w:tblStyle w:val="23"/>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96"/>
        <w:gridCol w:w="2411"/>
        <w:gridCol w:w="1978"/>
        <w:gridCol w:w="21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jc w:val="center"/>
        </w:trPr>
        <w:tc>
          <w:tcPr>
            <w:tcW w:w="4307"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rPr>
            </w:pPr>
            <w:r>
              <w:rPr>
                <w:rFonts w:hint="default" w:ascii="Times New Roman" w:hAnsi="Times New Roman" w:cs="Arial"/>
                <w:spacing w:val="7"/>
              </w:rPr>
              <w:t>甲方（采购人或采购文件约定的合同甲方）</w:t>
            </w:r>
          </w:p>
        </w:tc>
        <w:tc>
          <w:tcPr>
            <w:tcW w:w="4097" w:type="dxa"/>
            <w:gridSpan w:val="2"/>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rPr>
            </w:pPr>
            <w:r>
              <w:rPr>
                <w:rFonts w:hint="default" w:ascii="Times New Roman" w:hAnsi="Times New Roman" w:cs="Arial"/>
                <w:spacing w:val="4"/>
              </w:rPr>
              <w:t>乙方（供应商）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单位名称（公章）</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单位名称（公章）</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jc w:val="center"/>
        </w:trPr>
        <w:tc>
          <w:tcPr>
            <w:tcW w:w="1896"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法定代表人</w:t>
            </w:r>
          </w:p>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或其委托代理人</w:t>
            </w:r>
          </w:p>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（签章）</w:t>
            </w:r>
          </w:p>
        </w:tc>
        <w:tc>
          <w:tcPr>
            <w:tcW w:w="2411" w:type="dxa"/>
            <w:vMerge w:val="restart"/>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法定代表人</w:t>
            </w:r>
          </w:p>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或其委托代理人</w:t>
            </w:r>
          </w:p>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（签章）</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2411" w:type="dxa"/>
            <w:vMerge w:val="continue"/>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拥有者性别</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联 系 人</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联 系 人</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联系电话</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联系电话</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通讯地址</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通讯地址</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邮政编码</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邮政编码</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电子邮箱</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电子邮箱</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统一社会信用代码</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统一社会信用代码</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付款单位</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开户名称</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开户银行</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开户银行</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jc w:val="center"/>
        </w:trPr>
        <w:tc>
          <w:tcPr>
            <w:tcW w:w="1896"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银行账号</w:t>
            </w:r>
          </w:p>
        </w:tc>
        <w:tc>
          <w:tcPr>
            <w:tcW w:w="2411"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c>
          <w:tcPr>
            <w:tcW w:w="1978"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银行账号</w:t>
            </w:r>
          </w:p>
        </w:tc>
        <w:tc>
          <w:tcPr>
            <w:tcW w:w="2119" w:type="dxa"/>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 w:hRule="atLeast"/>
          <w:jc w:val="center"/>
        </w:trPr>
        <w:tc>
          <w:tcPr>
            <w:tcW w:w="8404" w:type="dxa"/>
            <w:gridSpan w:val="4"/>
            <w:tcBorders>
              <w:top w:val="single" w:color="000000" w:sz="2" w:space="0"/>
              <w:left w:val="single" w:color="000000" w:sz="2" w:space="0"/>
              <w:bottom w:val="single" w:color="000000" w:sz="2" w:space="0"/>
              <w:right w:val="single" w:color="000000" w:sz="2" w:space="0"/>
            </w:tcBorders>
            <w:shd w:val="clear" w:color="auto" w:fill="auto"/>
            <w:vAlign w:val="center"/>
          </w:tcPr>
          <w:p>
            <w:pPr>
              <w:pStyle w:val="20"/>
              <w:spacing w:line="240" w:lineRule="auto"/>
              <w:ind w:firstLine="0" w:firstLineChars="0"/>
              <w:jc w:val="center"/>
              <w:rPr>
                <w:rFonts w:hint="default" w:ascii="Times New Roman" w:hAnsi="Times New Roman" w:cs="Arial"/>
                <w:spacing w:val="7"/>
              </w:rPr>
            </w:pPr>
            <w:r>
              <w:rPr>
                <w:rFonts w:hint="default" w:ascii="Times New Roman" w:hAnsi="Times New Roman" w:cs="Arial"/>
                <w:spacing w:val="7"/>
              </w:rPr>
              <w:t>注：涉及联合体或其他合同主体的信息应按上表格式加列。</w:t>
            </w:r>
          </w:p>
        </w:tc>
      </w:tr>
    </w:tbl>
    <w:p>
      <w:pPr>
        <w:pStyle w:val="13"/>
        <w:widowControl/>
        <w:kinsoku w:val="0"/>
        <w:autoSpaceDE w:val="0"/>
        <w:autoSpaceDN w:val="0"/>
        <w:adjustRightInd w:val="0"/>
        <w:snapToGrid w:val="0"/>
        <w:ind w:firstLine="480"/>
      </w:pPr>
    </w:p>
    <w:p>
      <w:pPr>
        <w:rPr>
          <w:color w:val="000000"/>
          <w:spacing w:val="-1"/>
          <w:kern w:val="0"/>
          <w:szCs w:val="28"/>
          <w:lang w:bidi="ar"/>
        </w:rPr>
      </w:pPr>
      <w:r>
        <w:rPr>
          <w:color w:val="000000"/>
          <w:spacing w:val="-1"/>
          <w:kern w:val="0"/>
          <w:szCs w:val="28"/>
          <w:lang w:bidi="ar"/>
        </w:rPr>
        <w:br w:type="page"/>
      </w:r>
    </w:p>
    <w:p>
      <w:pPr>
        <w:widowControl/>
        <w:kinsoku w:val="0"/>
        <w:autoSpaceDE w:val="0"/>
        <w:autoSpaceDN w:val="0"/>
        <w:adjustRightInd w:val="0"/>
        <w:snapToGrid w:val="0"/>
        <w:spacing w:line="360" w:lineRule="auto"/>
        <w:ind w:firstLine="0" w:firstLineChars="0"/>
        <w:jc w:val="center"/>
        <w:rPr>
          <w:color w:val="000000"/>
          <w:spacing w:val="-1"/>
          <w:kern w:val="0"/>
          <w:szCs w:val="28"/>
          <w:lang w:bidi="ar"/>
        </w:rPr>
      </w:pPr>
      <w:r>
        <w:rPr>
          <w:color w:val="000000"/>
          <w:spacing w:val="-1"/>
          <w:kern w:val="0"/>
          <w:szCs w:val="28"/>
          <w:lang w:bidi="ar"/>
        </w:rPr>
        <w:t>第二节 政府采购合同通用条款</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1.定义</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1.1合同当事人</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（1）采购人（以下称甲方）是指使用财政性资金，通过政府采购方式向供应商购买货物及其相关服务的国家机关、事业单位、团体组织。</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（2）供应商（以下称乙方）是指参加政府采购活动并且中标（成交），向采购人提供合同约定的货物及其相关服务的法人、非法人组织或者自然人。</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（3）其他合同主体是指除采购人和供应商以外，依法参与合同缔结或履行，享有权利、承担义务的合同当事人。</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1.2 本合同下列术语应解释为：</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合同”系指合同当事人意思表示达成一致的任何协议，包括签署的合同协议书、中标（成交）通知书、投标书及附件、本合同专用条款、通用条款、附件、附录和上述文件所提到的构成合同的所有文件，以及国家法律、行政法规和规章制度规定的属于合同组成部分的其他文件。</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（3）“合同价款”系指根据本合同规定乙方在全面履行合同义务后甲方应支付给乙方的价款。</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（4）“货物”系指乙方根据本合同规定须向甲方提供的各种形态和种类的物品，包括原材料、设备、产品（包括软件）及相关的其备品备件、工具、手册及其它技术资料和材料等。</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相关服务”系指根据合同规定，乙方应提供的与货物有关的技术、管理和其它服务，包括但不限于：管理和质量保证、运输、保险、检验、现场准备、安装、集成、调试、培训、维修、技术支持等以及合同中规定乙方应承担的其它义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（6）“分包”系指中标、成交供应商按采购文件、投标（响应）文件的规定，根据分 包意向协议，将中标、成交项目中的部分履约内容，再分给具有相应资质条件的供应商履行合同的行为。“分包人”系指承接上述分包部分的供应商。</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采购人承担连带责任。联合体具体要求见【政府采购合同专用条款】。</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（8）其他术语解释，见【政府采购合同专用条款】。</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2.合同标的及金额</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2.1合同标的及金额应与中标（成交）结果一致。乙方为履行本合同而发生的所有费用均应包含在合同金额中，甲方不再另行支付其它任何费用。</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3.履行合同的时间、地点和方式</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3.1乙方应当在约定的时间、地点，按照约定方式履行合同，具体的履行时间、地点和方式见【政府采购合同专用条款】。</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4.甲方的权利和义务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4.1甲方确定项目负责人（或项目联系人），负责与本合同有关的事务。甲方有权对合同规定范围内乙方的履约行为进行检查，并及时确认乙方提交的事项。甲方应当配合乙方完成相关项目实施工作。</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4.2甲方有权要求乙方按时提交各阶段有关安排计划，并有权定期核对乙方提供货物数量、规格、质量等内容。甲方有权督促乙方工作并要求乙方更换不符合要求的货物。</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4.3甲方有权要求乙方对缺陷部分予以修复，并按合同约定享有货物保修及其他合同约定的权利。</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4.4甲方应当根据合同约定按时向乙方支付应付的费用。</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4.5国家法律法规所规定由甲方承担的其他义务和责任。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5.乙方的权利和义务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5.1签署合同后，乙方确定项目负责人（或项目联系人），负责与本合同有关的事务。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5.2乙方应按照合同要求履约，充分合理安排，确保提供的货物、服务符合合同技术要求。接受项目行业管理部门及政府有关部门的指导，配合甲方的履约检查，并负责项目实施过程中的所有协调工作。</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5.3乙方有权根据合同约定向甲方收取相关费用。</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5.4国家法律法规所规定由乙方承担的其他义务和责任。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6.合同履行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6.1甲乙双方应当按照合同约定顺序履行合同义务；如果没有先后顺序的，应当同时履行。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6.2甲乙双方按照合同约定顺序履行合同义务时，应当先履行一方未履行的，后履行一方有权拒绝其履行请求。先履行一方履行不符合约定的，后履行一方有权拒绝其相应的履行请求。</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7.货物包装、运输和保险要求</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7.1本合同涉及商品包装和快递包装的，除【政府采购合同专用条款】另有规定，包装应适应于远距离运输、防潮、防震、防锈和防野蛮装卸等要求，以确保货物安全无损地运抵指定现场。</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7.2除【政府采购合同专用条款】另有规定，乙方负责办理将货物运抵本合同规定的交货地点的一切运输事项，相关费用应包括在合同总价中。</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7.3货物保险要求按【政府采购合同专用条款】规定执行。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7.4除采购活动对商品包装和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7.5乙方在运输到达之前提前通知采购人，并提示货物运输装卸的注意事项。</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7.6如因包装、运输问题导致货物损毁、丢失或者品质下降，采购人有权要求降价、换货、拒收部分或整批货物， 由此造成采购人的费用和损失，均由供应商承担。</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8.质量标准和保证</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8.1质量标准</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（1）本合同下交付的货物应符合合同约定的品牌、规格型号、技术性能、配置、质量、数量等要求。如果没有提及适用标准，则应符合中华人民共和国有关机构发布的最新版本的标准。</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（2）采用中华人民共和国法定计量单位。</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（3）乙方所出售的货物应符合国家有关安全、环保、卫生之规定。</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（4）乙方应向甲方提交所提供货物的技术文件，包括相应的中文技术文件，如：产品目录、图纸、操作手册、使用说明、维护手册或服务指南。这些文件应包装好随同货物一起发运。</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8.2保证</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（1）乙方应保证完全符合合同规定的质量、规格和性能的要求。乙方应保证其货物在 正确安装、正常使用和保养条件下，在其使用寿命期内应具有合同约定的性能，或者没有因乙方的行为或疏忽而产生的缺陷。存在质量保证期的，货物最终交付验收后在【政府采购合同专用条款】规定或乙方承诺（两者以较长的为准）的质量保证期内，本保证保持有效。</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（2）在质量保证期内所发现的缺陷，甲方应尽快以书面形式通知乙方。</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（3）乙方收到通知后应在【政府采购合同专用条款】规定的响应时间内以合理的速度免费维修或更换有缺陷的货物或部件。</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（4）在质量保证期内，如果货物的质量或规格与合同不符，或证实货物是有缺陷的，包括潜在的缺陷或使用不符合要求的材料等，甲方可以根据本合同第15.1条规定以书面形式追究乙方的违约责任。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（5）乙方在约定的时间内未能弥补缺陷，甲方可采取必要的补救措施，但其风险和费用将由乙方承担，甲方根据合同规定对乙方行使的其他权利不受影响。</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9.权利瑕疵担保</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9.1乙方保证对其出售的货物享有合法的权利。</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9.2乙方保证在交付的货物上不存在抵押权等担保物权。</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9.3如甲方使用上述货物构成对第三人侵权的，则由乙方承担全部责任。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10.知识产权保护</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10.2甲方委托乙方开发的产品，按照【政府采购合同专用条款】的规定确定知识产权归属。</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11.保密义务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11.1甲、乙双方在采购和履行合同过程中所获悉的对方商业秘密或者其他应当保密的信息，双方均有保密义务。泄露、不正当地使用该商业秘密或者信息，造成对方损失的，应当承担赔偿责任。其他应当保密的信息由双方在【政府采购合同专用条款】中约定。</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12.合同价款支付</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12.1按照国库集中支付的有关规定执行。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12.2具体合同价款支付方式和条件在【政府采购合同专用条款】中另有规定。</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12.3对于满足合同约定支付条件的，甲方原则上应当自收到发票后10个工作日内将资金支付到合同约定的供应商账户，不得以机构变动、人员更替、政策调整等为由延迟付款，不得将采购文件和合同中未规定的义务作为向乙方付款的条件。</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13.履约保证金</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13.1乙方应当以支票、汇票、本票或者金融机构、担保机构出具的保函等非现金形式提交。履约保证金的数额按照采购文件的要求，由双方在【政府采购合同专用条款】中约定，并不得超过国家有关规定。</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13.2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13.3甲方在项目通过验收后按照【政府采购合同专用条款】规定的时间内将履约保证金退还乙方；逾期退还的，乙方可要求甲方支付违约金，违约金按照【政府采购合同专用条款】规定支付。</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14.售后服务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14.1除项目不涉及或采购活动中明确约定无须承担外，乙方还应提供下列服务：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（1）货物的现场移动、安装、调试、启动监督及技术支持；</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（2）提供货物组装和维修所需的专用工具和辅助材料；</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（3）在合同各方商定的一定期限内对所有的货物实施运行监督、维修，但前提条件是该服务并不能免除乙方在质量保证期内所承担的义务；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（4）在制造商或项目现场就货物的安装、启动、运营、维护对甲方操作人员进行培训,项目现场按照【政府采购合同专用条款】约定；</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（5）依照法律、行政法规的规定或者按照【政府采购合同专用条款】约定，货物在有</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效使用年限届满后应予回收的，乙方负有自行或者委托第三人对货物予以回收的义务；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（6）【政府采购合同专用条款】规定由乙方提供的其他服务。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14.2乙方提供的服务的费用已包含在合同价款中， 甲方不再另行支付。</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15.违约责任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15.1质量瑕疵的违约责任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乙方提供的产品不符合质量标准或存在产品质量缺陷，甲方有权要求乙方及时修理、重作、更换，并承担由此给甲方造成的损失。</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15.2迟延交货的违约责任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延长交货时间或延期提供服务。</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（2）如果乙方没有按照合同规定的时间交货和提供服务，甲方有权从货款中扣除误期赔偿费而不影响合同项下的其他补救方法，赔偿费按【政府采购合同专用条款】规定执行。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如果涉及公共利益，且赔偿金额无法弥补公共利益损失，可要求继续履行或者代履行。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15.3延迟支付的违约责任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约定采取履行进度结算、定期结算等结算方式的，付款期限应当自双方确认结算金额之日起算。合同明确需检验或验收的，应明确检验或验收期间，约定交付后经检验或者验收合格作为支付条件的，付款期限应当自检验或者验收合格之日起算；甲方拖延检验或者验收的，付款期限自约定的检验或者验收期限届满之日起算。甲方存在迟延支付乙方合同款项的，应当承担【政府采购合同专用条款】规定的付款逾期利息。</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15.4其他违约责任根据项目实际需要按【政府采购合同专用条款】规定执行。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16.合同变更</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16.1在合同履行过程中，甲、乙双方可就合同非实质性内容协商进行变更。协商一致后，双方应签订书面的补充协议。</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16.2在不改变合同其他条款的前提下，甲方可以在合同价款10%的范围内追加与合同标的相同的货物，并就此与乙方协商一致后签订补充协议。</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16.3合同继续履行将损害国家利益和社会公共利益的，双方当事人应当变更合同。涉及实质性内容变更的，双方当事人应当对变更后的内容严格履行审慎义务。有过错的一方应当承担赔偿责任，双方都有过错的，各自承担相应的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17.合同中止与终止</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17.1合同的中止</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（1）合同履行过程中因供应商就采购文件、采购过程或结果提起投诉的， 甲方认为有必要或财政部门责令中止的，应当中止合同的履行。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（2）合同履行过程中，如果乙方出现以下情形之一的：1．经营状况严重恶化；2．转移财产、抽逃资金，以逃避债务；3．丧失商业信誉；4．有丧失或者可能丧失履约能力的其 他情形，应该及时告知甲方。甲方有权以书面形式通知乙方中止合同并要求乙方在合理期限内消除相关情形或者提供适当担保。乙方提供适当担保的，合同恢复履行；乙方在合理期限 内未恢复履约能力且未提供适当担保的，视为拒绝继续履约，甲方有权解除合同并要求乙方承担由此给甲方造成的损失。</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（3）乙方分立、合并或者变更住所的，应当及时以书面形式告知甲方。乙方没有通知甲方，致使合同履行发生困难的，甲方可以中止合同履行。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（4）甲方不得以行政区划调整、政府换届、机构或者职能调整以及相关责任人更替为由中止合同。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（5）政府采购合同继续履行将损害国家利益和社会公共利益的，双方当事人应当变更、中止合同。有过错的一方应当承担赔偿责任，双方都有过错的，各自承担相应的责任。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17.2合同的终止</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（1）合同因有效期限届满而终止；</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（2）乙方未能依照本合同约定条件履行合同， 已构成根本性违约的， 甲方有权终止合同，并追究乙方的违约责任。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（3）政府采购合同继续履行将损害国家利益和社会公共利益的，双方当事人应当终止合同。有过错的一方应当承担赔偿责任，双方都有过错的，各自承担相应的责任。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18.合同分包</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18.1乙方不得将合同转包给其他供应商。涉及合同分包的，乙方应根据采购文件和投标（响应）文件规定进行合同分包。</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18.2乙方执行政府采购政策向中小企业依法分包的。乙方应当按采购文件、投标（响应）文件签订分包意向协议，分包意向协议属于本合同组成部分。</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19.不可抗力</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19.1不可抗力是指合同双方不能预见、不能避免且不能克服的客观情况。</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19.2任何一方对由于不可抗力造成的部分或全部不能履行合同不承担违约责任。但迟延履行后发生不可抗力的，不能免除责任。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19.3遇有不可抗力的一方，应</w:t>
      </w:r>
      <w:r>
        <w:rPr>
          <w:rFonts w:hint="eastAsia"/>
          <w:color w:val="000000"/>
          <w:spacing w:val="-4"/>
          <w:kern w:val="0"/>
          <w:sz w:val="24"/>
          <w:lang w:bidi="ar"/>
        </w:rPr>
        <w:t>7个工作日内</w:t>
      </w:r>
      <w:r>
        <w:rPr>
          <w:color w:val="000000"/>
          <w:spacing w:val="-4"/>
          <w:kern w:val="0"/>
          <w:sz w:val="24"/>
          <w:lang w:bidi="ar"/>
        </w:rPr>
        <w:t>将事件的情况以书面形式通知另一方，并在事件发生后向另一方提交合同不能履行或部分不能履行或需要延期履行理由的报告及证明不可抗力发生及其持续时间的证据。</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20.解决争议的方法</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20.1因本合同及合同有关事项发生的争议，由合同各方友好协商解决。协商不成时，可以向第三方权威机构申请调解。合同一方或各方不愿调解或调解不成的，各方可以通过仲裁或诉讼的方式解决争议。</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20.2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20.3如合同方有争议的事项不影响合同其他部分的履行，则在争议解决期间，除正在通过协调、调解、仲裁或诉讼解决的争议部分以外，合同的其他应当继续履行的部分应继续履行。</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21.政府采购政策</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21.1本合同应当按照规定执行政府采购政策。</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21.2本合同依法执行政府采购政策的方式和内容，属于合同履约验收的范围。合同未按规定要求执行政府采购政策造成损失的，有过错的一方应当承担赔偿责任，双方都有过错的，各自承担相应的责任。</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21.3对于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22.法律适用</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22.1本合同的订立、生效、解释、履行及与本合同有关的争议解决，均适用法律、行政法规。</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22.2本合同条款与法律、行政法规的强制性规定不一致的，双方当事人应按照法律、行政法规的强制性规定修改本合同的相关条款。</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22.3双方可在【政府采购合同专用条款】中进一步约定合同所适用的法律法规或其他规范性文件。</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22.4当事人未有约定的，适用《政府采购法》《民法典》合同编或者其他法律有关规定。</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23.通知</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23.1本合同任何一方向对方发出的通知、信件、数据电文等，应当发送至本合同第一部分《政府采购合同协议书》所约定的通讯地址、联系人、联系电话或电子邮箱。</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23.2一方当事人变更名称、地址、联系人、联系电话或电子邮箱的，应当在变更后3日内及时书面通知对方，对方实际收到变更通知前的送达仍为有效送达。</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23.3本合同一方给另一方的通知均应采用书面形式，传真或快递送到本合同中规定的对方的地址和办理签收手续。</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23.4通知以送达之日或通知书中规定的生效之日起生效，两者中以较迟之日为准。</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24.合同未尽事项</w:t>
      </w:r>
    </w:p>
    <w:p>
      <w:pPr>
        <w:widowControl/>
        <w:kinsoku w:val="0"/>
        <w:autoSpaceDE w:val="0"/>
        <w:autoSpaceDN w:val="0"/>
        <w:adjustRightInd w:val="0"/>
        <w:snapToGrid w:val="0"/>
        <w:spacing w:line="360" w:lineRule="auto"/>
        <w:ind w:left="41" w:firstLine="464"/>
        <w:rPr>
          <w:color w:val="000000"/>
          <w:spacing w:val="-4"/>
          <w:kern w:val="0"/>
          <w:sz w:val="24"/>
          <w:lang w:bidi="ar"/>
        </w:rPr>
      </w:pPr>
      <w:r>
        <w:rPr>
          <w:color w:val="000000"/>
          <w:spacing w:val="-4"/>
          <w:kern w:val="0"/>
          <w:sz w:val="24"/>
          <w:lang w:bidi="ar"/>
        </w:rPr>
        <w:t>24.1合同未尽事项见【政府采购合同专用条款】。</w:t>
      </w:r>
    </w:p>
    <w:p>
      <w:pPr>
        <w:rPr>
          <w:color w:val="000000"/>
          <w:spacing w:val="-4"/>
          <w:kern w:val="0"/>
          <w:sz w:val="24"/>
          <w:lang w:bidi="ar"/>
        </w:rPr>
      </w:pPr>
      <w:r>
        <w:rPr>
          <w:color w:val="000000"/>
          <w:spacing w:val="-4"/>
          <w:kern w:val="0"/>
          <w:sz w:val="24"/>
          <w:lang w:bidi="ar"/>
        </w:rPr>
        <w:br w:type="page"/>
      </w:r>
    </w:p>
    <w:p>
      <w:pPr>
        <w:widowControl/>
        <w:kinsoku w:val="0"/>
        <w:autoSpaceDE w:val="0"/>
        <w:autoSpaceDN w:val="0"/>
        <w:adjustRightInd w:val="0"/>
        <w:snapToGrid w:val="0"/>
        <w:spacing w:line="360" w:lineRule="auto"/>
        <w:ind w:left="41" w:firstLine="464"/>
        <w:jc w:val="center"/>
        <w:rPr>
          <w:szCs w:val="28"/>
        </w:rPr>
      </w:pPr>
      <w:r>
        <w:rPr>
          <w:color w:val="000000"/>
          <w:spacing w:val="-1"/>
          <w:kern w:val="0"/>
          <w:szCs w:val="28"/>
          <w:lang w:bidi="ar"/>
        </w:rPr>
        <w:t>第三节 政府采购合同专用条款</w:t>
      </w:r>
    </w:p>
    <w:tbl>
      <w:tblPr>
        <w:tblStyle w:val="23"/>
        <w:tblW w:w="876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1475"/>
        <w:gridCol w:w="1847"/>
        <w:gridCol w:w="5440"/>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68" w:hRule="atLeast"/>
          <w:jc w:val="center"/>
        </w:trPr>
        <w:tc>
          <w:tcPr>
            <w:tcW w:w="1475" w:type="dxa"/>
            <w:tcBorders>
              <w:top w:val="single" w:color="000000" w:sz="2"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rPr>
            </w:pPr>
            <w:r>
              <w:rPr>
                <w:rFonts w:ascii="Arial" w:hAnsi="Arial" w:cs="Arial"/>
                <w:color w:val="000000"/>
                <w:kern w:val="0"/>
                <w:sz w:val="21"/>
                <w:szCs w:val="21"/>
                <w:lang w:bidi="ar"/>
              </w:rPr>
              <w:t>第1.2（7）项</w:t>
            </w:r>
          </w:p>
        </w:tc>
        <w:tc>
          <w:tcPr>
            <w:tcW w:w="1847" w:type="dxa"/>
            <w:tcBorders>
              <w:top w:val="single" w:color="000000" w:sz="2"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rPr>
            </w:pPr>
            <w:r>
              <w:rPr>
                <w:rFonts w:ascii="Arial" w:hAnsi="Arial" w:cs="Arial"/>
                <w:color w:val="000000"/>
                <w:kern w:val="0"/>
                <w:sz w:val="21"/>
                <w:szCs w:val="21"/>
                <w:lang w:bidi="ar"/>
              </w:rPr>
              <w:t>联合体具体要求</w:t>
            </w:r>
          </w:p>
        </w:tc>
        <w:tc>
          <w:tcPr>
            <w:tcW w:w="5440" w:type="dxa"/>
            <w:tcBorders>
              <w:top w:val="single" w:color="000000" w:sz="2"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第1.2（8）项</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其他术语解释</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10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第3.1款</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履行合同的时</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间、地点及方式</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交货时间：</w:t>
            </w:r>
            <w:r>
              <w:rPr>
                <w:rFonts w:hint="eastAsia" w:ascii="Arial" w:hAnsi="Arial" w:cs="Arial"/>
                <w:color w:val="000000"/>
                <w:kern w:val="0"/>
                <w:sz w:val="21"/>
                <w:szCs w:val="21"/>
                <w:lang w:bidi="ar"/>
              </w:rPr>
              <w:t>合同签订之日起150日历天交货（如遇特殊情况，不能如期交货，</w:t>
            </w:r>
            <w:r>
              <w:rPr>
                <w:rFonts w:hint="eastAsia" w:ascii="Arial" w:hAnsi="Arial" w:cs="Arial"/>
                <w:color w:val="000000"/>
                <w:kern w:val="0"/>
                <w:sz w:val="21"/>
                <w:szCs w:val="21"/>
                <w:lang w:val="en-US" w:eastAsia="zh-CN" w:bidi="ar"/>
              </w:rPr>
              <w:t>乙</w:t>
            </w:r>
            <w:r>
              <w:rPr>
                <w:rFonts w:hint="eastAsia" w:ascii="Arial" w:hAnsi="Arial" w:cs="Arial"/>
                <w:color w:val="000000"/>
                <w:kern w:val="0"/>
                <w:sz w:val="21"/>
                <w:szCs w:val="21"/>
                <w:lang w:bidi="ar"/>
              </w:rPr>
              <w:t>方提前书面说明情况，经</w:t>
            </w:r>
            <w:r>
              <w:rPr>
                <w:rFonts w:hint="eastAsia" w:ascii="Arial" w:hAnsi="Arial" w:cs="Arial"/>
                <w:color w:val="000000"/>
                <w:kern w:val="0"/>
                <w:sz w:val="21"/>
                <w:szCs w:val="21"/>
                <w:lang w:val="en-US" w:eastAsia="zh-CN" w:bidi="ar"/>
              </w:rPr>
              <w:t>甲方</w:t>
            </w:r>
            <w:r>
              <w:rPr>
                <w:rFonts w:hint="eastAsia" w:ascii="Arial" w:hAnsi="Arial" w:cs="Arial"/>
                <w:color w:val="000000"/>
                <w:kern w:val="0"/>
                <w:sz w:val="21"/>
                <w:szCs w:val="21"/>
                <w:lang w:bidi="ar"/>
              </w:rPr>
              <w:t>同意后，双方另行约定交货日期）</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交货地点：山西省消防救援总队训练与战勤保障支队</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交货方式：/</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257"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第7.1、7.2、</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7.3款</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包装、运输和保险</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包装：交付产品应包括在投标或响应时承诺配备的保证产品运行正常的相关零配件、备品备件、易损件和随机工具等，并提供生产厂家完整的随机资料，包括完整的使用和维修手册、产品说明书和相关图纸资料等，且每台产品上均应钉有铭牌（内容包括：制造商、产品名称、型号规格、出厂日期等）。</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运输：（1）由乙方承担器材装备运输发货，并在发货前2日历天书面告知甲方具体的承运单位和运输方式等信息，以便甲方安排处理接货。（2）运输风险由乙方承担。</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保险：/</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第8.2（1）项</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质量保证期</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1、质保期：</w:t>
            </w:r>
            <w:r>
              <w:rPr>
                <w:rFonts w:hint="eastAsia" w:ascii="Arial" w:hAnsi="Arial" w:cs="Arial"/>
                <w:color w:val="000000"/>
                <w:kern w:val="0"/>
                <w:sz w:val="21"/>
                <w:szCs w:val="21"/>
                <w:lang w:bidi="ar"/>
              </w:rPr>
              <w:t>上装质保期为验收合格后五年（具体配件按具体参数执行），底盘质保期执行原厂质保期，质保期内提供免费服务。</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2、在质保期内，为甲方提供规定的免费维保和其他服务项目。</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在此期间出现的产品自身质量问题，均须提供免费保修的售后服务（保修内容包括硬件维修和软件升级等，在保修期内备品备件免费；在保修期满后以最优惠价向</w:t>
            </w:r>
            <w:r>
              <w:rPr>
                <w:rFonts w:hint="eastAsia" w:ascii="Arial" w:hAnsi="Arial" w:cs="Arial"/>
                <w:color w:val="000000"/>
                <w:kern w:val="0"/>
                <w:sz w:val="21"/>
                <w:szCs w:val="21"/>
                <w:lang w:bidi="ar"/>
              </w:rPr>
              <w:t>甲方</w:t>
            </w:r>
            <w:r>
              <w:rPr>
                <w:rFonts w:ascii="Arial" w:hAnsi="Arial" w:cs="Arial"/>
                <w:color w:val="000000"/>
                <w:kern w:val="0"/>
                <w:sz w:val="21"/>
                <w:szCs w:val="21"/>
                <w:lang w:bidi="ar"/>
              </w:rPr>
              <w:t>提供备品、配件）；免除保修义务：对于下列原因导致的系列产品故障、工作异常或损坏，乙方虽不承担免费保修义务，但应提供良好的有偿服务（有偿服务价格不可高于实时市场价格）：（1）甲方擅自拆、改、扩、配硬件，连接使用不当的外设所造成产品的损坏。（2）由于火灾、洪水、雷电、地震或其它不可抗拒事件引起的产品损坏和在非产品规定的工作环境下使用引起的产品损坏。（3）由于甲方保养不当造成的重大产品故障。</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3、其他售后承诺：</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在质保期内，为甲方提供规定的免费维保和其他服务项目。</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在此期间出现的产品自身质量问题，均须提供免费保修的售后服务（保修内容包括硬件维修和软件升级等，在保修期内备品备件免费；在保修期满后以最优惠价向业主提供备品、配件）；免除保修义务：对于下列原因导致的系列产品故障、工作异常或损坏，乙方虽不承担免费保修义务，但应提供良好的有偿服务（有偿服务价格不可高于实时市场价格）：（1）甲方擅自拆、改、扩、配硬件，连接使用不当的外设所造成产品的损坏。（2）由于火灾、洪水、雷电、地震或其它不可抗拒事件引起的产品损坏和在非产品规定的工作环境下使用引起的产品损坏。（3）由于甲方保养不当造成的重大产品故障。</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3、其他售后承诺：</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第8.2（3）项</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响应时间</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乙方必须提供7*24小时电话服务热线，保证在接到甲方故障报告电话后24小时内到达现场维修。遇不可抗力，不能按规定到达维修地点的，应及时通知甲方并说明原因。</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第10.2款</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知识产权归属</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1、乙方应保证，甲方在中华人民共和国境内使用货物、资料、技术、服务或其任何一部分时，享有不受限制的无偿使用权，且免受第三方提出的包括但不限于因侵犯其专利权、商标权或工业设计权等知识产权而引起的法律或经济纠纷。如因甲方使用而遭受第三方主张权利的，乙方应承担全部赔偿责任，包括但不限于甲方、采购代理机构的责任。</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2、如乙方不拥有货物、资料、技术、服务等的知识产权，则报价中已包含甲方使用该知识的一切相关费用；否则，由此造成的一切损失由乙方承担。</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3、乙方如欲在项目实施过程中采用自有知识成果，应在响应文件中声明，并提供相关知识产权证明文件。使用该知识成果后，乙方应提供开发接口和开发手册等技术文档。</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4、系统软件、通用软件应当是具有在中国境内的合法使用权或版权的正版软件，涉及到第三方提出侵权或知识产权的起诉及支付版税等费用由乙方承担所有责任及费用。</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5、在产品调试安装过程中对自身工作人员的人身、财产安全负责。安装调试过程中，乙方造成自身、甲方、第三方人身、财产损失的，由乙方承担全部责任，甲方因此遭受他人索赔的，有权向乙方追偿。</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第11.1款</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其他应当保密的信息</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1、未事先得到甲方书面同意，乙方不得将涉及货物的任何保密资料透露或以其他方式提供给合同以外的其他方或乙方内部与本合同无关的任何人员，乙方不得对保密信息进行拷贝或抄写。</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2、乙方在合同履行期间知悉的甲方秘密（包括业务信息、技术资料、工作信息和政府数据等），同样负有保密责任。</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3、乙方的保密责任不因合同的终止而终止，保密期限：永久（除非甲方将有关信息向社会公开）。</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4、如乙方未能履行保密义务造成泄密的，甲方可依据有关规定追究乙方的责任。因乙方的泄密行为导致甲方被追究法律责任的，甲方承担责任后有权向乙方追偿所产生的一切经济损失及法律责任，同时乙方须向甲方支付合同总金额 30%的违约金。</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2"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第12.2款</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合同价款支付方式和条件</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hint="eastAsia" w:ascii="Arial" w:hAnsi="Arial" w:cs="Arial"/>
                <w:color w:val="000000"/>
                <w:kern w:val="0"/>
                <w:sz w:val="21"/>
                <w:szCs w:val="21"/>
                <w:lang w:bidi="ar"/>
              </w:rPr>
              <w:t>采购合同签订后，凭乙方等额有效收据，支付合同金额的30% 作为预付款；项目交付后，凭乙方等额有效收据，支付合同金额的40%；验收合格并经结算审计后，凭乙方合同全额发票，支付至审计后总金额的100%。</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2"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第13.1款</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履约保证金数额</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采购合同签订后，十五个工作日内，</w:t>
            </w:r>
            <w:r>
              <w:rPr>
                <w:rFonts w:hint="eastAsia" w:ascii="Arial" w:hAnsi="Arial" w:cs="Arial"/>
                <w:color w:val="000000"/>
                <w:kern w:val="0"/>
                <w:sz w:val="21"/>
                <w:szCs w:val="21"/>
                <w:lang w:bidi="ar"/>
              </w:rPr>
              <w:t>乙方应当按照甲方的要求以支票、汇票、本票或者金融机构</w:t>
            </w:r>
            <w:r>
              <w:rPr>
                <w:rFonts w:ascii="Arial" w:hAnsi="Arial" w:cs="Arial"/>
                <w:color w:val="000000"/>
                <w:kern w:val="0"/>
                <w:sz w:val="21"/>
                <w:szCs w:val="21"/>
                <w:lang w:bidi="ar"/>
              </w:rPr>
              <w:t>、担保机构出具的保函等非现金形式提交合同总金额的5%作为履约保证金。</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22"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第13.3款</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履约保证金退还时间及逾期退还的违约金</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项目交付并验收合格</w:t>
            </w:r>
            <w:r>
              <w:rPr>
                <w:rFonts w:hint="eastAsia" w:ascii="Arial" w:hAnsi="Arial" w:cs="Arial"/>
                <w:color w:val="000000"/>
                <w:kern w:val="0"/>
                <w:sz w:val="21"/>
                <w:szCs w:val="21"/>
                <w:lang w:bidi="ar"/>
              </w:rPr>
              <w:t>之</w:t>
            </w:r>
            <w:r>
              <w:rPr>
                <w:rFonts w:ascii="Arial" w:hAnsi="Arial" w:cs="Arial"/>
                <w:color w:val="000000"/>
                <w:kern w:val="0"/>
                <w:sz w:val="21"/>
                <w:szCs w:val="21"/>
                <w:lang w:bidi="ar"/>
              </w:rPr>
              <w:t>后，办理履约保证金返还手续（不计利息）。</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第14.1（4）项</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项目现场</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山西省消防救援总队训练与战勤保障支队</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06"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第14.1（5）项</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应予回收的约定</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第14.1（6）项</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乙方提供的其他服务</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1、按照本合同的相关要求按时完成标的的交货以及安装、调试和培训。</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2、保证所供产品均为投标文件承诺产品，具有该产品的出厂标准或国家鉴定证书，符合相关质量检测标准。</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3、保证设备的售后服务，严格依据投标文件及相关承诺，对软硬件进行保修、维护等服务。</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4、承担擅自修改或终止合同而造成的经济损失及法律责任。</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5、乙方所供货物在质保期内出现问题的，应及时维修，无法维修的，应更换产品，因此所产生的相关费用由乙方承担。</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6、乙方应保证，甲方在中华人民共和国境内使用货物、资料、技术、服务或其任何一部分时，享有不受限制的无偿使用权，且免受第三方提出的包括但不限于因侵犯其专利权、商标权或工业设计权等知识产权而引起的法律或经济纠纷。如因甲方使用而遭受第三方主张权利的，乙方应承担全部赔偿责任，包括但不限于甲方、采购代理机构的责任。</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7、如乙方不拥有货物、资料、技术、服务等的知识产权，则报价中已包含甲方使用该知识的一切相关费用；否则，由此造成的一切损失由乙方承担。</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8、乙方如欲在项目实施过程中采用自有知识成果，应在响应文件中声明，并提供相关知识产权证明文件。使用该知识成果后，乙方应提供开发接口和开发手册等技术文档。</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9、系统软件、通用软件应当是具有在中国境内的合法使用权或版权的正版软件，涉及到第三方提出侵权或知识产权的起诉及支付版税等费用由乙方承担所有责任及费用。</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10、在产品调试安装过程中对自身工作人员的人身、财产安全负责。安装调试过程中，乙方造成自身、甲方、第三方人身、财产损失的，由乙方承担全部责任，甲方因此遭受他人索赔的，有权向乙方追偿。</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41" w:hRule="atLeast"/>
          <w:jc w:val="center"/>
        </w:trPr>
        <w:tc>
          <w:tcPr>
            <w:tcW w:w="1475" w:type="dxa"/>
            <w:tcBorders>
              <w:top w:val="single" w:color="000000" w:sz="4" w:space="0"/>
              <w:left w:val="single" w:color="000000" w:sz="2"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第15.2（2）项</w:t>
            </w:r>
          </w:p>
        </w:tc>
        <w:tc>
          <w:tcPr>
            <w:tcW w:w="1847" w:type="dxa"/>
            <w:tcBorders>
              <w:top w:val="single" w:color="000000" w:sz="4" w:space="0"/>
              <w:left w:val="single" w:color="000000" w:sz="4" w:space="0"/>
              <w:bottom w:val="single" w:color="000000" w:sz="4"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延迟交货赔偿费</w:t>
            </w:r>
          </w:p>
        </w:tc>
        <w:tc>
          <w:tcPr>
            <w:tcW w:w="5440" w:type="dxa"/>
            <w:tcBorders>
              <w:top w:val="single" w:color="000000" w:sz="4" w:space="0"/>
              <w:left w:val="single" w:color="000000" w:sz="4" w:space="0"/>
              <w:bottom w:val="single" w:color="000000" w:sz="4"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乙方未能在交货期内交货，逾期不超过60日（含本数）的，以每逾期1日向甲方偿付未交付货物总价万分之五的标准计算违约金；乙方超过本合同约定的交货期60日（不含本数）仍未交货的，甲方有权视情况选择接受乙方交付的货物或选择解除合同，甲方选择接受乙方交付的货物的，乙方按前述标准向甲方支付违约金，违约金上限为未交付货物总价的</w:t>
            </w:r>
            <w:r>
              <w:rPr>
                <w:rFonts w:hint="eastAsia" w:ascii="Arial" w:hAnsi="Arial" w:cs="Arial"/>
                <w:color w:val="000000"/>
                <w:kern w:val="0"/>
                <w:sz w:val="21"/>
                <w:szCs w:val="21"/>
                <w:lang w:bidi="ar"/>
              </w:rPr>
              <w:t>15</w:t>
            </w:r>
            <w:r>
              <w:rPr>
                <w:rFonts w:ascii="Arial" w:hAnsi="Arial" w:cs="Arial"/>
                <w:color w:val="000000"/>
                <w:kern w:val="0"/>
                <w:sz w:val="21"/>
                <w:szCs w:val="21"/>
                <w:lang w:bidi="ar"/>
              </w:rPr>
              <w:t>％；甲方选择解除合同的，乙方须在接到甲方解除合同通知（通知方式包括不限于书面、电话、微信、短信、邮件等）之日起10日内退回预付款，并支付合同未交付货物总价20%的违约金。逾期未付（包括退回款项及支付违约金）的，应承担利息（以LPR一年期利率的四倍计算）。如果上述赔偿金额仍不足以补偿甲方因乙方违约造成的损失，甲方有权进一步向乙方提出索赔。</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475" w:type="dxa"/>
            <w:tcBorders>
              <w:top w:val="single" w:color="000000" w:sz="4" w:space="0"/>
              <w:left w:val="single" w:color="000000" w:sz="2" w:space="0"/>
              <w:bottom w:val="single" w:color="000000" w:sz="2"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第15.3款</w:t>
            </w:r>
          </w:p>
        </w:tc>
        <w:tc>
          <w:tcPr>
            <w:tcW w:w="1847" w:type="dxa"/>
            <w:tcBorders>
              <w:top w:val="single" w:color="000000" w:sz="4" w:space="0"/>
              <w:left w:val="single" w:color="000000" w:sz="4" w:space="0"/>
              <w:bottom w:val="single" w:color="000000" w:sz="2" w:space="0"/>
              <w:right w:val="single" w:color="000000" w:sz="4" w:space="0"/>
            </w:tcBorders>
            <w:shd w:val="clear" w:color="auto" w:fill="auto"/>
            <w:tcMar>
              <w:top w:w="0" w:type="dxa"/>
              <w:left w:w="0" w:type="dxa"/>
              <w:bottom w:w="0" w:type="dxa"/>
              <w:right w:w="0" w:type="dxa"/>
            </w:tcMar>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付款逾期利息</w:t>
            </w:r>
          </w:p>
        </w:tc>
        <w:tc>
          <w:tcPr>
            <w:tcW w:w="5440" w:type="dxa"/>
            <w:tcBorders>
              <w:top w:val="single" w:color="000000" w:sz="4" w:space="0"/>
              <w:left w:val="single" w:color="000000" w:sz="4" w:space="0"/>
              <w:bottom w:val="single" w:color="000000" w:sz="2" w:space="0"/>
              <w:right w:val="single" w:color="000000" w:sz="2" w:space="0"/>
            </w:tcBorders>
            <w:shd w:val="clear" w:color="auto" w:fill="auto"/>
            <w:tcMar>
              <w:top w:w="0" w:type="dxa"/>
              <w:left w:w="0" w:type="dxa"/>
              <w:bottom w:w="0" w:type="dxa"/>
              <w:right w:w="0"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jc w:val="center"/>
        </w:trPr>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第15.4款</w:t>
            </w:r>
          </w:p>
        </w:tc>
        <w:tc>
          <w:tcPr>
            <w:tcW w:w="1847" w:type="dxa"/>
            <w:tcBorders>
              <w:top w:val="single" w:color="000000" w:sz="2" w:space="0"/>
              <w:left w:val="single" w:color="000000" w:sz="2" w:space="0"/>
              <w:bottom w:val="single" w:color="000000" w:sz="2" w:space="0"/>
              <w:right w:val="single" w:color="000000" w:sz="2"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其他违约责任</w:t>
            </w:r>
          </w:p>
        </w:tc>
        <w:tc>
          <w:tcPr>
            <w:tcW w:w="5440" w:type="dxa"/>
            <w:tcBorders>
              <w:top w:val="single" w:color="000000" w:sz="2" w:space="0"/>
              <w:left w:val="single" w:color="000000" w:sz="2" w:space="0"/>
              <w:bottom w:val="single" w:color="000000" w:sz="2" w:space="0"/>
              <w:right w:val="single" w:color="000000" w:sz="2" w:space="0"/>
            </w:tcBorders>
            <w:shd w:val="clear" w:color="auto" w:fill="auto"/>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1、乙方所交付货物的品种、型号、规格、技术参数、质量不符合招标文件和合同规定的，甲方有权利要求乙方更换货物，如乙方在30个工作日内经更换后仍不符合要求，甲方有权拒收该货物，并要求乙方退还费用；乙方拒绝更换货物的，甲方可单方面解除合同，甲方解除合同的，乙方应当退还甲方已经支付的费用，并承担合同金额</w:t>
            </w:r>
            <w:r>
              <w:rPr>
                <w:rFonts w:hint="eastAsia" w:ascii="Arial" w:hAnsi="Arial" w:cs="Arial"/>
                <w:color w:val="000000"/>
                <w:kern w:val="0"/>
                <w:sz w:val="21"/>
                <w:szCs w:val="21"/>
                <w:lang w:bidi="ar"/>
              </w:rPr>
              <w:t>20</w:t>
            </w:r>
            <w:r>
              <w:rPr>
                <w:rFonts w:ascii="Arial" w:hAnsi="Arial" w:cs="Arial"/>
                <w:color w:val="000000"/>
                <w:kern w:val="0"/>
                <w:sz w:val="21"/>
                <w:szCs w:val="21"/>
                <w:lang w:bidi="ar"/>
              </w:rPr>
              <w:t>％的违约金。</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2、在质保期内，乙方所供产品出现质量问题，乙方未按合同要求提供售后服务的，乙方须向甲方承担合同金额5％的违约责任，违约金额不足以弥补甲方损失的，由乙方负责补足。</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3、因乙方产品质量问题导致甲方或第三方人身财产损失的，由乙方负责赔偿，第三方向甲方索赔的，甲方有权向乙方追偿。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 w:hRule="atLeast"/>
          <w:jc w:val="center"/>
        </w:trPr>
        <w:tc>
          <w:tcPr>
            <w:tcW w:w="1475" w:type="dxa"/>
            <w:tcBorders>
              <w:top w:val="single" w:color="000000" w:sz="2" w:space="0"/>
              <w:left w:val="single" w:color="000000" w:sz="2" w:space="0"/>
              <w:bottom w:val="single" w:color="000000" w:sz="4" w:space="0"/>
              <w:right w:val="single" w:color="000000" w:sz="2"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第20.2款</w:t>
            </w:r>
          </w:p>
        </w:tc>
        <w:tc>
          <w:tcPr>
            <w:tcW w:w="1847" w:type="dxa"/>
            <w:tcBorders>
              <w:top w:val="single" w:color="000000" w:sz="2" w:space="0"/>
              <w:left w:val="single" w:color="000000" w:sz="2" w:space="0"/>
              <w:bottom w:val="single" w:color="000000" w:sz="4" w:space="0"/>
              <w:right w:val="single" w:color="000000" w:sz="2"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解决争议的方法</w:t>
            </w:r>
          </w:p>
        </w:tc>
        <w:tc>
          <w:tcPr>
            <w:tcW w:w="5440" w:type="dxa"/>
            <w:tcBorders>
              <w:top w:val="single" w:color="000000" w:sz="2" w:space="0"/>
              <w:left w:val="single" w:color="000000" w:sz="2" w:space="0"/>
              <w:bottom w:val="single" w:color="000000" w:sz="4" w:space="0"/>
              <w:right w:val="single" w:color="000000" w:sz="2" w:space="0"/>
            </w:tcBorders>
            <w:shd w:val="clear" w:color="auto" w:fill="auto"/>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因本合同及合同有关事项发生的争议，向 甲方所在地 仲裁委员会申请仲裁，或向 甲方所在地 人民法院起诉。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75" w:type="dxa"/>
            <w:tcBorders>
              <w:top w:val="single" w:color="000000" w:sz="4" w:space="0"/>
              <w:left w:val="single" w:color="000000" w:sz="2" w:space="0"/>
              <w:bottom w:val="single" w:color="000000" w:sz="4" w:space="0"/>
              <w:right w:val="single" w:color="000000" w:sz="2"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第22.3款</w:t>
            </w:r>
          </w:p>
        </w:tc>
        <w:tc>
          <w:tcPr>
            <w:tcW w:w="1847" w:type="dxa"/>
            <w:tcBorders>
              <w:top w:val="single" w:color="000000" w:sz="4" w:space="0"/>
              <w:left w:val="single" w:color="000000" w:sz="2" w:space="0"/>
              <w:bottom w:val="single" w:color="000000" w:sz="4" w:space="0"/>
              <w:right w:val="single" w:color="000000" w:sz="2"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法律适用</w:t>
            </w:r>
          </w:p>
        </w:tc>
        <w:tc>
          <w:tcPr>
            <w:tcW w:w="5440" w:type="dxa"/>
            <w:tcBorders>
              <w:top w:val="single" w:color="000000" w:sz="4" w:space="0"/>
              <w:left w:val="single" w:color="000000" w:sz="2" w:space="0"/>
              <w:bottom w:val="single" w:color="000000" w:sz="2" w:space="0"/>
              <w:right w:val="single" w:color="000000" w:sz="2" w:space="0"/>
            </w:tcBorders>
            <w:shd w:val="clear" w:color="auto" w:fill="auto"/>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本合同适用的法律法规或其他规范性文件如下：</w:t>
            </w:r>
          </w:p>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《中华人民共和国民法典》、《中华人民共和国政府采购法》、《中华人民共和国政府采购法实施条例》、《政府采购货物和服务招标投标管理办法》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jc w:val="center"/>
        </w:trPr>
        <w:tc>
          <w:tcPr>
            <w:tcW w:w="1475" w:type="dxa"/>
            <w:tcBorders>
              <w:top w:val="single" w:color="000000" w:sz="4" w:space="0"/>
              <w:left w:val="single" w:color="000000" w:sz="2" w:space="0"/>
              <w:bottom w:val="single" w:color="000000" w:sz="2" w:space="0"/>
              <w:right w:val="single" w:color="000000" w:sz="4"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第二节</w:t>
            </w:r>
          </w:p>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第24.1款</w:t>
            </w:r>
          </w:p>
        </w:tc>
        <w:tc>
          <w:tcPr>
            <w:tcW w:w="1847" w:type="dxa"/>
            <w:tcBorders>
              <w:top w:val="single" w:color="000000" w:sz="4" w:space="0"/>
              <w:left w:val="single" w:color="000000" w:sz="4" w:space="0"/>
              <w:bottom w:val="single" w:color="000000" w:sz="2" w:space="0"/>
              <w:right w:val="single" w:color="000000" w:sz="4" w:space="0"/>
            </w:tcBorders>
            <w:shd w:val="clear" w:color="auto" w:fill="auto"/>
            <w:vAlign w:val="center"/>
          </w:tcPr>
          <w:p>
            <w:pPr>
              <w:widowControl/>
              <w:kinsoku w:val="0"/>
              <w:autoSpaceDE w:val="0"/>
              <w:autoSpaceDN w:val="0"/>
              <w:adjustRightInd w:val="0"/>
              <w:snapToGrid w:val="0"/>
              <w:spacing w:line="420" w:lineRule="exact"/>
              <w:ind w:firstLine="0" w:firstLineChars="0"/>
              <w:jc w:val="center"/>
              <w:rPr>
                <w:rFonts w:ascii="Arial" w:hAnsi="Arial" w:cs="Arial"/>
                <w:color w:val="000000"/>
                <w:kern w:val="0"/>
                <w:sz w:val="21"/>
                <w:szCs w:val="21"/>
                <w:lang w:bidi="ar"/>
              </w:rPr>
            </w:pPr>
            <w:r>
              <w:rPr>
                <w:rFonts w:ascii="Arial" w:hAnsi="Arial" w:cs="Arial"/>
                <w:color w:val="000000"/>
                <w:kern w:val="0"/>
                <w:sz w:val="21"/>
                <w:szCs w:val="21"/>
                <w:lang w:bidi="ar"/>
              </w:rPr>
              <w:t>补充条款</w:t>
            </w:r>
          </w:p>
        </w:tc>
        <w:tc>
          <w:tcPr>
            <w:tcW w:w="5440" w:type="dxa"/>
            <w:tcBorders>
              <w:top w:val="single" w:color="000000" w:sz="4" w:space="0"/>
              <w:left w:val="single" w:color="000000" w:sz="4" w:space="0"/>
              <w:bottom w:val="single" w:color="000000" w:sz="2" w:space="0"/>
              <w:right w:val="single" w:color="000000" w:sz="2" w:space="0"/>
            </w:tcBorders>
            <w:shd w:val="clear" w:color="auto" w:fill="auto"/>
            <w:vAlign w:val="center"/>
          </w:tcPr>
          <w:p>
            <w:pPr>
              <w:keepNext w:val="0"/>
              <w:keepLines w:val="0"/>
              <w:pageBreakBefore w:val="0"/>
              <w:widowControl/>
              <w:kinsoku w:val="0"/>
              <w:wordWrap/>
              <w:overflowPunct/>
              <w:topLinePunct w:val="0"/>
              <w:autoSpaceDE w:val="0"/>
              <w:autoSpaceDN w:val="0"/>
              <w:bidi w:val="0"/>
              <w:adjustRightInd w:val="0"/>
              <w:snapToGrid w:val="0"/>
              <w:spacing w:line="420" w:lineRule="exact"/>
              <w:ind w:left="280" w:leftChars="100" w:right="202" w:rightChars="72" w:firstLine="0" w:firstLineChars="0"/>
              <w:jc w:val="both"/>
              <w:textAlignment w:val="auto"/>
              <w:rPr>
                <w:rFonts w:ascii="Arial" w:hAnsi="Arial" w:cs="Arial"/>
                <w:color w:val="000000"/>
                <w:kern w:val="0"/>
                <w:sz w:val="21"/>
                <w:szCs w:val="21"/>
                <w:lang w:bidi="ar"/>
              </w:rPr>
            </w:pPr>
            <w:r>
              <w:rPr>
                <w:rFonts w:ascii="Arial" w:hAnsi="Arial" w:cs="Arial"/>
                <w:color w:val="000000"/>
                <w:kern w:val="0"/>
                <w:sz w:val="21"/>
                <w:szCs w:val="21"/>
                <w:lang w:bidi="ar"/>
              </w:rPr>
              <w:t>/</w:t>
            </w:r>
          </w:p>
        </w:tc>
      </w:tr>
    </w:tbl>
    <w:p>
      <w:pPr>
        <w:ind w:firstLine="0" w:firstLineChars="0"/>
      </w:pPr>
      <w:bookmarkStart w:id="80" w:name="_Toc23560"/>
      <w:bookmarkStart w:id="81" w:name="_Toc24794"/>
    </w:p>
    <w:p>
      <w:pPr>
        <w:rPr>
          <w:b/>
          <w:bCs/>
          <w:color w:val="000000"/>
          <w:sz w:val="24"/>
        </w:rPr>
      </w:pPr>
      <w:r>
        <w:rPr>
          <w:b/>
          <w:bCs/>
          <w:color w:val="000000"/>
          <w:sz w:val="24"/>
        </w:rPr>
        <w:br w:type="page"/>
      </w:r>
    </w:p>
    <w:p>
      <w:pPr>
        <w:adjustRightInd w:val="0"/>
        <w:snapToGrid w:val="0"/>
        <w:spacing w:line="360" w:lineRule="auto"/>
        <w:ind w:firstLine="0" w:firstLineChars="0"/>
        <w:rPr>
          <w:b/>
          <w:bCs/>
          <w:color w:val="000000"/>
          <w:sz w:val="24"/>
        </w:rPr>
      </w:pPr>
      <w:r>
        <w:rPr>
          <w:b/>
          <w:bCs/>
          <w:color w:val="000000"/>
          <w:sz w:val="24"/>
        </w:rPr>
        <w:t>附件1：</w:t>
      </w:r>
    </w:p>
    <w:p>
      <w:pPr>
        <w:adjustRightInd w:val="0"/>
        <w:snapToGrid w:val="0"/>
        <w:spacing w:line="360" w:lineRule="auto"/>
        <w:ind w:firstLine="0" w:firstLineChars="0"/>
        <w:jc w:val="center"/>
        <w:rPr>
          <w:b/>
          <w:bCs/>
          <w:color w:val="000000"/>
          <w:sz w:val="32"/>
          <w:szCs w:val="32"/>
        </w:rPr>
      </w:pPr>
      <w:r>
        <w:rPr>
          <w:b/>
          <w:bCs/>
          <w:color w:val="000000"/>
          <w:sz w:val="32"/>
          <w:szCs w:val="32"/>
        </w:rPr>
        <w:t>山西省消防救援总队灭火救援装备验收规程</w:t>
      </w:r>
    </w:p>
    <w:p>
      <w:pPr>
        <w:adjustRightInd w:val="0"/>
        <w:snapToGrid w:val="0"/>
        <w:spacing w:line="360" w:lineRule="auto"/>
        <w:ind w:firstLine="0" w:firstLineChars="0"/>
        <w:jc w:val="center"/>
        <w:rPr>
          <w:b/>
          <w:bCs/>
          <w:color w:val="000000"/>
          <w:sz w:val="24"/>
        </w:rPr>
      </w:pPr>
      <w:r>
        <w:rPr>
          <w:b/>
          <w:bCs/>
          <w:color w:val="000000"/>
          <w:sz w:val="24"/>
        </w:rPr>
        <w:t>(试行)</w:t>
      </w:r>
    </w:p>
    <w:p>
      <w:pPr>
        <w:adjustRightInd w:val="0"/>
        <w:snapToGrid w:val="0"/>
        <w:spacing w:line="360" w:lineRule="auto"/>
        <w:ind w:firstLine="0" w:firstLineChars="0"/>
        <w:jc w:val="center"/>
        <w:rPr>
          <w:b/>
          <w:bCs/>
          <w:color w:val="000000"/>
          <w:sz w:val="24"/>
        </w:rPr>
      </w:pPr>
      <w:r>
        <w:rPr>
          <w:b/>
          <w:bCs/>
          <w:color w:val="000000"/>
          <w:sz w:val="24"/>
        </w:rPr>
        <w:t>第一章　总 则</w:t>
      </w:r>
    </w:p>
    <w:p>
      <w:pPr>
        <w:adjustRightInd w:val="0"/>
        <w:snapToGrid w:val="0"/>
        <w:spacing w:line="360" w:lineRule="auto"/>
        <w:ind w:firstLine="482"/>
        <w:rPr>
          <w:color w:val="000000"/>
          <w:sz w:val="24"/>
        </w:rPr>
      </w:pPr>
      <w:r>
        <w:rPr>
          <w:b/>
          <w:bCs/>
          <w:color w:val="000000"/>
          <w:sz w:val="24"/>
        </w:rPr>
        <w:t>第一条</w:t>
      </w:r>
      <w:r>
        <w:rPr>
          <w:color w:val="000000"/>
          <w:sz w:val="24"/>
        </w:rPr>
        <w:t xml:space="preserve">  为规范全省消防救援队伍灭火救援装备采购工作中的验收环节，确保装备采购质量，按照《消防救援局关于加强灭火救援装备采购管理工作的通知》《消防救援队伍政府采购管理暂行办法》《政府采购需求管理办法》《消防救援队伍消防装备器材采购管理监督八项措施》等要求，结合我省消防救援队伍实际，制定本规程。</w:t>
      </w:r>
    </w:p>
    <w:p>
      <w:pPr>
        <w:adjustRightInd w:val="0"/>
        <w:snapToGrid w:val="0"/>
        <w:spacing w:line="360" w:lineRule="auto"/>
        <w:ind w:firstLine="482"/>
        <w:rPr>
          <w:color w:val="000000"/>
          <w:sz w:val="24"/>
        </w:rPr>
      </w:pPr>
      <w:r>
        <w:rPr>
          <w:b/>
          <w:bCs/>
          <w:color w:val="000000"/>
          <w:sz w:val="24"/>
        </w:rPr>
        <w:t>第二条</w:t>
      </w:r>
      <w:r>
        <w:rPr>
          <w:color w:val="000000"/>
          <w:sz w:val="24"/>
        </w:rPr>
        <w:t xml:space="preserve">  本规程所称灭火救援装备（以下简称装备）,是指消防救援队伍用于执勤训练、灭火救援、战勤保障等任务的消防车辆、消防船艇、消防飞行器、消防员防护装备、灭火救援器材、通信器材、药剂及其它专用装备与附属设施、设备。</w:t>
      </w:r>
    </w:p>
    <w:p>
      <w:pPr>
        <w:adjustRightInd w:val="0"/>
        <w:snapToGrid w:val="0"/>
        <w:spacing w:line="360" w:lineRule="auto"/>
        <w:ind w:firstLine="482"/>
        <w:rPr>
          <w:color w:val="000000"/>
          <w:sz w:val="24"/>
        </w:rPr>
      </w:pPr>
      <w:r>
        <w:rPr>
          <w:b/>
          <w:bCs/>
          <w:color w:val="000000"/>
          <w:sz w:val="24"/>
        </w:rPr>
        <w:t>第三条</w:t>
      </w:r>
      <w:r>
        <w:rPr>
          <w:color w:val="000000"/>
          <w:sz w:val="24"/>
        </w:rPr>
        <w:t xml:space="preserve">  装备验收是指采购人依据采购档案（含招标文件、投标文件、采购合同、封样样品、投标人所做的其他承诺等，下同）对交付的装备数量、规格型号、检测报告或产品认证、质量性能等进行检验、核实和评估，以确认其提供的装备是否符合采购合同约定的标准和要求。</w:t>
      </w:r>
    </w:p>
    <w:p>
      <w:pPr>
        <w:adjustRightInd w:val="0"/>
        <w:snapToGrid w:val="0"/>
        <w:spacing w:line="360" w:lineRule="auto"/>
        <w:ind w:firstLine="482"/>
        <w:rPr>
          <w:color w:val="000000"/>
          <w:sz w:val="24"/>
        </w:rPr>
      </w:pPr>
      <w:r>
        <w:rPr>
          <w:b/>
          <w:bCs/>
          <w:color w:val="000000"/>
          <w:sz w:val="24"/>
        </w:rPr>
        <w:t>第四条</w:t>
      </w:r>
      <w:r>
        <w:rPr>
          <w:color w:val="000000"/>
          <w:sz w:val="24"/>
        </w:rPr>
        <w:t xml:space="preserve">  装备验收工作应当遵循“集采集验、客观公正”的原则，严格执行相关法律、法规和合同条款，切实维护保障队伍合法权益。</w:t>
      </w:r>
    </w:p>
    <w:p>
      <w:pPr>
        <w:adjustRightInd w:val="0"/>
        <w:snapToGrid w:val="0"/>
        <w:spacing w:line="360" w:lineRule="auto"/>
        <w:ind w:firstLine="482"/>
        <w:rPr>
          <w:color w:val="000000"/>
          <w:sz w:val="24"/>
        </w:rPr>
      </w:pPr>
      <w:r>
        <w:rPr>
          <w:b/>
          <w:bCs/>
          <w:color w:val="000000"/>
          <w:sz w:val="24"/>
        </w:rPr>
        <w:t>第五条</w:t>
      </w:r>
      <w:r>
        <w:rPr>
          <w:color w:val="000000"/>
          <w:sz w:val="24"/>
        </w:rPr>
        <w:t xml:space="preserve"> 集采装备验收工作在总队灭火救援装备集中采购工作领导小组领导下工作，由总队后勤装备处牵头，会同作战训练处、信息通信处、采购办、训练与战勤保障支队及相关部门和各需求单位共同组织实施。自采装备验收工作由各支队参考本规程自行组织实施。技术复杂、专业性强的装备采购项目（品类），经采购领导小组审批后可委托国家认可的质量检测机构或专业技术人员进行验收。</w:t>
      </w:r>
    </w:p>
    <w:p>
      <w:pPr>
        <w:adjustRightInd w:val="0"/>
        <w:snapToGrid w:val="0"/>
        <w:spacing w:line="360" w:lineRule="auto"/>
        <w:ind w:firstLine="482"/>
        <w:rPr>
          <w:color w:val="000000"/>
          <w:sz w:val="24"/>
        </w:rPr>
      </w:pPr>
      <w:r>
        <w:rPr>
          <w:b/>
          <w:bCs/>
          <w:color w:val="000000"/>
          <w:sz w:val="24"/>
        </w:rPr>
        <w:t>第六条</w:t>
      </w:r>
      <w:r>
        <w:rPr>
          <w:color w:val="000000"/>
          <w:sz w:val="24"/>
        </w:rPr>
        <w:t xml:space="preserve"> 装备验收组（第三方机构除外）由战训、信通、装备管理干部、执勤消防站指战员、装备质检员、装备维护员（特种消防车驾驶员）或相关专家等5人以上单数（含5人，至少有1名装备质检员，可按照项目规模酌情增加人数和比例）组成，宜有熟悉采购需求和技术要求的人员参加，可结合验收品目分成多个小组。采购人代表、评审专家以及政府采购回避制度规定的与供应商有利害关系的人员，不得作为验收组组成人员参与验收。</w:t>
      </w:r>
    </w:p>
    <w:p>
      <w:pPr>
        <w:adjustRightInd w:val="0"/>
        <w:snapToGrid w:val="0"/>
        <w:spacing w:line="360" w:lineRule="auto"/>
        <w:ind w:firstLine="482"/>
        <w:rPr>
          <w:color w:val="000000"/>
          <w:sz w:val="24"/>
        </w:rPr>
      </w:pPr>
      <w:r>
        <w:rPr>
          <w:b/>
          <w:bCs/>
          <w:color w:val="000000"/>
          <w:sz w:val="24"/>
        </w:rPr>
        <w:t>第七条</w:t>
      </w:r>
      <w:r>
        <w:rPr>
          <w:color w:val="000000"/>
          <w:sz w:val="24"/>
        </w:rPr>
        <w:t xml:space="preserve"> 职责分工</w:t>
      </w:r>
    </w:p>
    <w:p>
      <w:pPr>
        <w:adjustRightInd w:val="0"/>
        <w:snapToGrid w:val="0"/>
        <w:spacing w:line="360" w:lineRule="auto"/>
        <w:ind w:firstLine="480"/>
        <w:rPr>
          <w:color w:val="000000"/>
          <w:sz w:val="24"/>
        </w:rPr>
      </w:pPr>
      <w:r>
        <w:rPr>
          <w:color w:val="000000"/>
          <w:sz w:val="24"/>
        </w:rPr>
        <w:t>（一）装备验收工作组职责</w:t>
      </w:r>
    </w:p>
    <w:p>
      <w:pPr>
        <w:adjustRightInd w:val="0"/>
        <w:snapToGrid w:val="0"/>
        <w:spacing w:line="360" w:lineRule="auto"/>
        <w:ind w:firstLine="480"/>
        <w:rPr>
          <w:color w:val="000000"/>
          <w:sz w:val="24"/>
        </w:rPr>
      </w:pPr>
      <w:r>
        <w:rPr>
          <w:color w:val="000000"/>
          <w:sz w:val="24"/>
        </w:rPr>
        <w:t>1．拟定装备验收方案，组织验收前业务培训；</w:t>
      </w:r>
    </w:p>
    <w:p>
      <w:pPr>
        <w:adjustRightInd w:val="0"/>
        <w:snapToGrid w:val="0"/>
        <w:spacing w:line="360" w:lineRule="auto"/>
        <w:ind w:firstLine="480"/>
        <w:rPr>
          <w:color w:val="000000"/>
          <w:sz w:val="24"/>
        </w:rPr>
      </w:pPr>
      <w:r>
        <w:rPr>
          <w:color w:val="000000"/>
          <w:sz w:val="24"/>
        </w:rPr>
        <w:t>2．组织督促验收组成员认真履行职责，严格按照规定开展验收工作；</w:t>
      </w:r>
    </w:p>
    <w:p>
      <w:pPr>
        <w:adjustRightInd w:val="0"/>
        <w:snapToGrid w:val="0"/>
        <w:spacing w:line="360" w:lineRule="auto"/>
        <w:ind w:firstLine="480"/>
        <w:rPr>
          <w:color w:val="000000"/>
          <w:sz w:val="24"/>
        </w:rPr>
      </w:pPr>
      <w:r>
        <w:rPr>
          <w:color w:val="000000"/>
          <w:sz w:val="24"/>
        </w:rPr>
        <w:t>3．监督供应厂商履约进度，及时按照节点开展验收工作；</w:t>
      </w:r>
    </w:p>
    <w:p>
      <w:pPr>
        <w:adjustRightInd w:val="0"/>
        <w:snapToGrid w:val="0"/>
        <w:spacing w:line="360" w:lineRule="auto"/>
        <w:ind w:firstLine="480"/>
        <w:rPr>
          <w:color w:val="000000"/>
          <w:sz w:val="24"/>
        </w:rPr>
      </w:pPr>
      <w:r>
        <w:rPr>
          <w:color w:val="000000"/>
          <w:sz w:val="24"/>
        </w:rPr>
        <w:t>4．督促供应商做好灭火救援装备接装培训；</w:t>
      </w:r>
    </w:p>
    <w:p>
      <w:pPr>
        <w:adjustRightInd w:val="0"/>
        <w:snapToGrid w:val="0"/>
        <w:spacing w:line="360" w:lineRule="auto"/>
        <w:ind w:firstLine="480"/>
        <w:rPr>
          <w:color w:val="000000"/>
          <w:sz w:val="24"/>
        </w:rPr>
      </w:pPr>
      <w:r>
        <w:rPr>
          <w:color w:val="000000"/>
          <w:sz w:val="24"/>
        </w:rPr>
        <w:t>5．填报汇总验收资料，反馈验收情况；</w:t>
      </w:r>
    </w:p>
    <w:p>
      <w:pPr>
        <w:adjustRightInd w:val="0"/>
        <w:snapToGrid w:val="0"/>
        <w:spacing w:line="360" w:lineRule="auto"/>
        <w:ind w:firstLine="480"/>
        <w:rPr>
          <w:color w:val="000000"/>
          <w:sz w:val="24"/>
        </w:rPr>
      </w:pPr>
      <w:r>
        <w:rPr>
          <w:color w:val="000000"/>
          <w:sz w:val="24"/>
        </w:rPr>
        <w:t>6．后勤装备处负责人为第一责任人。</w:t>
      </w:r>
    </w:p>
    <w:p>
      <w:pPr>
        <w:adjustRightInd w:val="0"/>
        <w:snapToGrid w:val="0"/>
        <w:spacing w:line="360" w:lineRule="auto"/>
        <w:ind w:firstLine="480"/>
        <w:rPr>
          <w:color w:val="000000"/>
          <w:sz w:val="24"/>
        </w:rPr>
      </w:pPr>
      <w:r>
        <w:rPr>
          <w:color w:val="000000"/>
          <w:sz w:val="24"/>
        </w:rPr>
        <w:t>（二）装备验收组成员职责</w:t>
      </w:r>
    </w:p>
    <w:p>
      <w:pPr>
        <w:adjustRightInd w:val="0"/>
        <w:snapToGrid w:val="0"/>
        <w:spacing w:line="360" w:lineRule="auto"/>
        <w:ind w:firstLine="480"/>
        <w:rPr>
          <w:color w:val="000000"/>
          <w:sz w:val="24"/>
        </w:rPr>
      </w:pPr>
      <w:r>
        <w:rPr>
          <w:color w:val="000000"/>
          <w:sz w:val="24"/>
        </w:rPr>
        <w:t>1．根据采购档案结合实战需求，与各采购单位或使用单位共同对灭火救援车辆技术方案（样车）的主要部件、乘员室空间、器材厢设置以及灭火救援装备及其它装备物资样品的外观、结构组成、功能设置等提出优化或整改建议；</w:t>
      </w:r>
    </w:p>
    <w:p>
      <w:pPr>
        <w:adjustRightInd w:val="0"/>
        <w:snapToGrid w:val="0"/>
        <w:spacing w:line="360" w:lineRule="auto"/>
        <w:ind w:firstLine="480"/>
        <w:rPr>
          <w:color w:val="000000"/>
          <w:sz w:val="24"/>
        </w:rPr>
      </w:pPr>
      <w:r>
        <w:rPr>
          <w:color w:val="000000"/>
          <w:sz w:val="24"/>
        </w:rPr>
        <w:t>2．根据采购合同，对车辆整车型号、底盘规格及泵炮、吊臂、绞盘等核心部件进行核对，对车辆检测报告、工信部公告、中文技术档案、中文操作说明、培训视频等技术资料进行核对，对随车器材、维修配件的数量、规格、质保期等进行核对；</w:t>
      </w:r>
    </w:p>
    <w:p>
      <w:pPr>
        <w:adjustRightInd w:val="0"/>
        <w:snapToGrid w:val="0"/>
        <w:spacing w:line="360" w:lineRule="auto"/>
        <w:ind w:firstLine="480"/>
        <w:rPr>
          <w:color w:val="000000"/>
          <w:sz w:val="24"/>
        </w:rPr>
      </w:pPr>
      <w:r>
        <w:rPr>
          <w:color w:val="000000"/>
          <w:sz w:val="24"/>
        </w:rPr>
        <w:t>3．根据采购合同，对防护装备、灭火救援器材及其它装备物资的品牌、型号、产地、数量、质保期、技术资料及相关配件等进行核对；</w:t>
      </w:r>
    </w:p>
    <w:p>
      <w:pPr>
        <w:adjustRightInd w:val="0"/>
        <w:snapToGrid w:val="0"/>
        <w:spacing w:line="360" w:lineRule="auto"/>
        <w:ind w:firstLine="480"/>
        <w:rPr>
          <w:color w:val="000000"/>
          <w:sz w:val="24"/>
        </w:rPr>
      </w:pPr>
      <w:r>
        <w:rPr>
          <w:color w:val="000000"/>
          <w:sz w:val="24"/>
        </w:rPr>
        <w:t>4．与各采购单位或使用单位共同对灭火救援装备的主要性能、功能进行实装测试；</w:t>
      </w:r>
    </w:p>
    <w:p>
      <w:pPr>
        <w:adjustRightInd w:val="0"/>
        <w:snapToGrid w:val="0"/>
        <w:spacing w:line="360" w:lineRule="auto"/>
        <w:ind w:firstLine="480"/>
        <w:rPr>
          <w:color w:val="000000"/>
          <w:sz w:val="24"/>
        </w:rPr>
      </w:pPr>
      <w:r>
        <w:rPr>
          <w:color w:val="000000"/>
          <w:sz w:val="24"/>
        </w:rPr>
        <w:t>5．涉及信通类装备由后勤装备处牵头，信息通信处及相关单位具体组织验收，方法步骤按照本规程执行；</w:t>
      </w:r>
    </w:p>
    <w:p>
      <w:pPr>
        <w:adjustRightInd w:val="0"/>
        <w:snapToGrid w:val="0"/>
        <w:spacing w:line="360" w:lineRule="auto"/>
        <w:ind w:firstLine="480"/>
        <w:rPr>
          <w:color w:val="000000"/>
          <w:sz w:val="24"/>
        </w:rPr>
      </w:pPr>
      <w:r>
        <w:rPr>
          <w:color w:val="000000"/>
          <w:sz w:val="24"/>
        </w:rPr>
        <w:t>6．各组长为本验收组第一责任人。</w:t>
      </w:r>
    </w:p>
    <w:p>
      <w:pPr>
        <w:adjustRightInd w:val="0"/>
        <w:snapToGrid w:val="0"/>
        <w:spacing w:line="360" w:lineRule="auto"/>
        <w:ind w:firstLine="480"/>
        <w:rPr>
          <w:color w:val="000000"/>
          <w:sz w:val="24"/>
        </w:rPr>
      </w:pPr>
      <w:r>
        <w:rPr>
          <w:color w:val="000000"/>
          <w:sz w:val="24"/>
        </w:rPr>
        <w:t>（三）采购办职责：</w:t>
      </w:r>
    </w:p>
    <w:p>
      <w:pPr>
        <w:adjustRightInd w:val="0"/>
        <w:snapToGrid w:val="0"/>
        <w:spacing w:line="360" w:lineRule="auto"/>
        <w:ind w:firstLine="480"/>
        <w:rPr>
          <w:color w:val="000000"/>
          <w:sz w:val="24"/>
        </w:rPr>
      </w:pPr>
      <w:r>
        <w:rPr>
          <w:color w:val="000000"/>
          <w:sz w:val="24"/>
        </w:rPr>
        <w:t>1．负责提供中标供应商投标文件、合同、中标通知书等验收所需采购档案、资料；</w:t>
      </w:r>
    </w:p>
    <w:p>
      <w:pPr>
        <w:adjustRightInd w:val="0"/>
        <w:snapToGrid w:val="0"/>
        <w:spacing w:line="360" w:lineRule="auto"/>
        <w:ind w:firstLine="480"/>
        <w:rPr>
          <w:color w:val="000000"/>
          <w:sz w:val="24"/>
        </w:rPr>
      </w:pPr>
      <w:r>
        <w:rPr>
          <w:color w:val="000000"/>
          <w:sz w:val="24"/>
        </w:rPr>
        <w:t>2．配合做好灭火救援装备验收工作；</w:t>
      </w:r>
    </w:p>
    <w:p>
      <w:pPr>
        <w:adjustRightInd w:val="0"/>
        <w:snapToGrid w:val="0"/>
        <w:spacing w:line="360" w:lineRule="auto"/>
        <w:ind w:firstLine="480"/>
        <w:rPr>
          <w:color w:val="000000"/>
          <w:sz w:val="24"/>
        </w:rPr>
      </w:pPr>
      <w:r>
        <w:rPr>
          <w:color w:val="000000"/>
          <w:sz w:val="24"/>
        </w:rPr>
        <w:t>3．采购办负责人为第一责任人。</w:t>
      </w:r>
    </w:p>
    <w:p>
      <w:pPr>
        <w:adjustRightInd w:val="0"/>
        <w:snapToGrid w:val="0"/>
        <w:spacing w:line="360" w:lineRule="auto"/>
        <w:ind w:firstLine="480"/>
        <w:rPr>
          <w:color w:val="000000"/>
          <w:sz w:val="24"/>
        </w:rPr>
      </w:pPr>
      <w:r>
        <w:rPr>
          <w:color w:val="000000"/>
          <w:sz w:val="24"/>
        </w:rPr>
        <w:t>（四）训练与战勤保障支队人员职责：</w:t>
      </w:r>
    </w:p>
    <w:p>
      <w:pPr>
        <w:adjustRightInd w:val="0"/>
        <w:snapToGrid w:val="0"/>
        <w:spacing w:line="360" w:lineRule="auto"/>
        <w:ind w:firstLine="480"/>
        <w:rPr>
          <w:color w:val="000000"/>
          <w:sz w:val="24"/>
        </w:rPr>
      </w:pPr>
      <w:r>
        <w:rPr>
          <w:color w:val="000000"/>
          <w:sz w:val="24"/>
        </w:rPr>
        <w:t>1．负责封存保管防护装备和其它灭火救援器材物资样品；</w:t>
      </w:r>
    </w:p>
    <w:p>
      <w:pPr>
        <w:adjustRightInd w:val="0"/>
        <w:snapToGrid w:val="0"/>
        <w:spacing w:line="360" w:lineRule="auto"/>
        <w:ind w:firstLine="480"/>
        <w:rPr>
          <w:color w:val="000000"/>
          <w:sz w:val="24"/>
        </w:rPr>
      </w:pPr>
      <w:r>
        <w:rPr>
          <w:color w:val="000000"/>
          <w:sz w:val="24"/>
        </w:rPr>
        <w:t>2．负责接收、清点、保管、核对新购灭火救援装备，每周五向后勤装备处反馈一次集采装备到货情况；</w:t>
      </w:r>
    </w:p>
    <w:p>
      <w:pPr>
        <w:adjustRightInd w:val="0"/>
        <w:snapToGrid w:val="0"/>
        <w:spacing w:line="360" w:lineRule="auto"/>
        <w:ind w:firstLine="480"/>
        <w:rPr>
          <w:color w:val="000000"/>
          <w:sz w:val="24"/>
        </w:rPr>
      </w:pPr>
      <w:r>
        <w:rPr>
          <w:color w:val="000000"/>
          <w:sz w:val="24"/>
        </w:rPr>
        <w:t>3．负责按照有关通知要求对新购含有水力系统消防车辆开展水力性能测试，并将测试结果及时反馈装备验收组；</w:t>
      </w:r>
    </w:p>
    <w:p>
      <w:pPr>
        <w:adjustRightInd w:val="0"/>
        <w:snapToGrid w:val="0"/>
        <w:spacing w:line="360" w:lineRule="auto"/>
        <w:ind w:firstLine="480"/>
        <w:rPr>
          <w:color w:val="000000"/>
          <w:sz w:val="24"/>
        </w:rPr>
      </w:pPr>
      <w:r>
        <w:rPr>
          <w:color w:val="000000"/>
          <w:sz w:val="24"/>
        </w:rPr>
        <w:t>4．按照验收工作组通知，及时发放验收合格装备，填报确认验收单据；</w:t>
      </w:r>
    </w:p>
    <w:p>
      <w:pPr>
        <w:adjustRightInd w:val="0"/>
        <w:snapToGrid w:val="0"/>
        <w:spacing w:line="360" w:lineRule="auto"/>
        <w:ind w:firstLine="480"/>
        <w:rPr>
          <w:color w:val="000000"/>
          <w:sz w:val="24"/>
        </w:rPr>
      </w:pPr>
      <w:r>
        <w:rPr>
          <w:color w:val="000000"/>
          <w:sz w:val="24"/>
        </w:rPr>
        <w:t>5．支队主官为第一责任人。</w:t>
      </w:r>
    </w:p>
    <w:p>
      <w:pPr>
        <w:adjustRightInd w:val="0"/>
        <w:snapToGrid w:val="0"/>
        <w:spacing w:line="360" w:lineRule="auto"/>
        <w:ind w:firstLine="480"/>
        <w:rPr>
          <w:color w:val="000000"/>
          <w:sz w:val="24"/>
        </w:rPr>
      </w:pPr>
      <w:r>
        <w:rPr>
          <w:color w:val="000000"/>
          <w:sz w:val="24"/>
        </w:rPr>
        <w:t>（五）需求单位职责：</w:t>
      </w:r>
    </w:p>
    <w:p>
      <w:pPr>
        <w:adjustRightInd w:val="0"/>
        <w:snapToGrid w:val="0"/>
        <w:spacing w:line="360" w:lineRule="auto"/>
        <w:ind w:firstLine="480"/>
        <w:rPr>
          <w:color w:val="000000"/>
          <w:sz w:val="24"/>
        </w:rPr>
      </w:pPr>
      <w:r>
        <w:rPr>
          <w:color w:val="000000"/>
          <w:sz w:val="24"/>
        </w:rPr>
        <w:t>1．按照验收方案，调派战训、信通、装备管理干部，执勤消防站指战员，装备质量检验员，装备维护员（特种消防车驾驶员）等人员参加验收工作；</w:t>
      </w:r>
    </w:p>
    <w:p>
      <w:pPr>
        <w:adjustRightInd w:val="0"/>
        <w:snapToGrid w:val="0"/>
        <w:spacing w:line="360" w:lineRule="auto"/>
        <w:ind w:firstLine="480"/>
        <w:rPr>
          <w:color w:val="000000"/>
          <w:sz w:val="24"/>
        </w:rPr>
      </w:pPr>
      <w:r>
        <w:rPr>
          <w:color w:val="000000"/>
          <w:sz w:val="24"/>
        </w:rPr>
        <w:t>2．根据一线灭火救援任务需求，对新购灭火救援装备提出合理的整（修）改意见和建议；</w:t>
      </w:r>
    </w:p>
    <w:p>
      <w:pPr>
        <w:adjustRightInd w:val="0"/>
        <w:snapToGrid w:val="0"/>
        <w:spacing w:line="360" w:lineRule="auto"/>
        <w:ind w:firstLine="480"/>
        <w:rPr>
          <w:color w:val="000000"/>
          <w:sz w:val="24"/>
        </w:rPr>
      </w:pPr>
      <w:r>
        <w:rPr>
          <w:color w:val="000000"/>
          <w:sz w:val="24"/>
        </w:rPr>
        <w:t>3．合理安排人员参加消防车水力性能测试和灭火救援装备接装培训，及时完成验收合格装备的货款支付；</w:t>
      </w:r>
    </w:p>
    <w:p>
      <w:pPr>
        <w:adjustRightInd w:val="0"/>
        <w:snapToGrid w:val="0"/>
        <w:spacing w:line="360" w:lineRule="auto"/>
        <w:ind w:firstLine="480"/>
        <w:rPr>
          <w:color w:val="000000"/>
          <w:sz w:val="24"/>
        </w:rPr>
      </w:pPr>
      <w:r>
        <w:rPr>
          <w:color w:val="000000"/>
          <w:sz w:val="24"/>
        </w:rPr>
        <w:t>4．各支队主官为第一责任人。</w:t>
      </w:r>
    </w:p>
    <w:p>
      <w:pPr>
        <w:adjustRightInd w:val="0"/>
        <w:snapToGrid w:val="0"/>
        <w:spacing w:line="360" w:lineRule="auto"/>
        <w:ind w:firstLine="480"/>
        <w:rPr>
          <w:color w:val="000000"/>
          <w:sz w:val="24"/>
        </w:rPr>
      </w:pPr>
      <w:r>
        <w:rPr>
          <w:color w:val="000000"/>
          <w:sz w:val="24"/>
        </w:rPr>
        <w:t>（六）供应商职责</w:t>
      </w:r>
    </w:p>
    <w:p>
      <w:pPr>
        <w:adjustRightInd w:val="0"/>
        <w:snapToGrid w:val="0"/>
        <w:spacing w:line="360" w:lineRule="auto"/>
        <w:ind w:firstLine="480"/>
        <w:rPr>
          <w:color w:val="000000"/>
          <w:sz w:val="24"/>
        </w:rPr>
      </w:pPr>
      <w:r>
        <w:rPr>
          <w:color w:val="000000"/>
          <w:sz w:val="24"/>
        </w:rPr>
        <w:t>中标供应商应当严格按合同约定，积极配合采购人做好装备验收工作，提供与验收相关的生产、技术、服务、数量、质量、安全等资料，根据实际需要做好技术说明、测试演示或场景应用情况分析等工作。对履约情况争议问题，有义务提供相应证据证明材料。</w:t>
      </w:r>
    </w:p>
    <w:p>
      <w:pPr>
        <w:adjustRightInd w:val="0"/>
        <w:snapToGrid w:val="0"/>
        <w:spacing w:line="360" w:lineRule="auto"/>
        <w:ind w:firstLine="0" w:firstLineChars="0"/>
        <w:jc w:val="center"/>
        <w:rPr>
          <w:b/>
          <w:bCs/>
          <w:color w:val="000000"/>
          <w:sz w:val="24"/>
        </w:rPr>
      </w:pPr>
      <w:r>
        <w:rPr>
          <w:b/>
          <w:bCs/>
          <w:color w:val="000000"/>
          <w:sz w:val="24"/>
        </w:rPr>
        <w:t>第二章 验收程序</w:t>
      </w:r>
    </w:p>
    <w:p>
      <w:pPr>
        <w:adjustRightInd w:val="0"/>
        <w:snapToGrid w:val="0"/>
        <w:spacing w:line="360" w:lineRule="auto"/>
        <w:ind w:firstLine="482"/>
        <w:rPr>
          <w:color w:val="000000"/>
          <w:sz w:val="24"/>
        </w:rPr>
      </w:pPr>
      <w:r>
        <w:rPr>
          <w:b/>
          <w:bCs/>
          <w:color w:val="000000"/>
          <w:sz w:val="24"/>
        </w:rPr>
        <w:t>第八条</w:t>
      </w:r>
      <w:r>
        <w:rPr>
          <w:color w:val="000000"/>
          <w:sz w:val="24"/>
        </w:rPr>
        <w:t xml:space="preserve"> 验收工作按照验收准备、预备会、现场验收、结论评审、结果反馈等程序进行。</w:t>
      </w:r>
    </w:p>
    <w:p>
      <w:pPr>
        <w:adjustRightInd w:val="0"/>
        <w:snapToGrid w:val="0"/>
        <w:spacing w:line="360" w:lineRule="auto"/>
        <w:ind w:firstLine="480"/>
        <w:rPr>
          <w:color w:val="000000"/>
          <w:sz w:val="24"/>
        </w:rPr>
      </w:pPr>
      <w:r>
        <w:rPr>
          <w:color w:val="000000"/>
          <w:sz w:val="24"/>
        </w:rPr>
        <w:t>一、验收准备</w:t>
      </w:r>
    </w:p>
    <w:p>
      <w:pPr>
        <w:adjustRightInd w:val="0"/>
        <w:snapToGrid w:val="0"/>
        <w:spacing w:line="360" w:lineRule="auto"/>
        <w:ind w:firstLine="480"/>
        <w:rPr>
          <w:color w:val="000000"/>
          <w:sz w:val="24"/>
        </w:rPr>
      </w:pPr>
      <w:r>
        <w:rPr>
          <w:color w:val="000000"/>
          <w:sz w:val="24"/>
        </w:rPr>
        <w:t>根据采购项目节点要求或供应厂商验收申请，由后勤装备处从相关人才库中随机抽取验收人员，制定相应的验收工作方案，明确验收的时间、方式、程序、人员抽调等内容，并报分管后勤的副总队长审批。</w:t>
      </w:r>
    </w:p>
    <w:p>
      <w:pPr>
        <w:adjustRightInd w:val="0"/>
        <w:snapToGrid w:val="0"/>
        <w:spacing w:line="360" w:lineRule="auto"/>
        <w:ind w:firstLine="480"/>
        <w:rPr>
          <w:color w:val="000000"/>
          <w:sz w:val="24"/>
        </w:rPr>
      </w:pPr>
      <w:r>
        <w:rPr>
          <w:color w:val="000000"/>
          <w:sz w:val="24"/>
        </w:rPr>
        <w:t>二、预备会</w:t>
      </w:r>
    </w:p>
    <w:p>
      <w:pPr>
        <w:adjustRightInd w:val="0"/>
        <w:snapToGrid w:val="0"/>
        <w:spacing w:line="360" w:lineRule="auto"/>
        <w:ind w:firstLine="480"/>
        <w:rPr>
          <w:color w:val="000000"/>
          <w:sz w:val="24"/>
        </w:rPr>
      </w:pPr>
      <w:r>
        <w:rPr>
          <w:color w:val="000000"/>
          <w:sz w:val="24"/>
        </w:rPr>
        <w:t>验收工作方案批准后，由后勤装备处负责人组织召开预备会，对验收组人员进行分组，推选验收小组组长，明确责任分工、验收方式方法、验收装备数量或种类。</w:t>
      </w:r>
    </w:p>
    <w:p>
      <w:pPr>
        <w:adjustRightInd w:val="0"/>
        <w:snapToGrid w:val="0"/>
        <w:spacing w:line="360" w:lineRule="auto"/>
        <w:ind w:firstLine="480"/>
        <w:rPr>
          <w:color w:val="000000"/>
          <w:sz w:val="24"/>
        </w:rPr>
      </w:pPr>
      <w:r>
        <w:rPr>
          <w:color w:val="000000"/>
          <w:sz w:val="24"/>
        </w:rPr>
        <w:t>三、实施验收</w:t>
      </w:r>
    </w:p>
    <w:p>
      <w:pPr>
        <w:adjustRightInd w:val="0"/>
        <w:snapToGrid w:val="0"/>
        <w:spacing w:line="360" w:lineRule="auto"/>
        <w:ind w:firstLine="480"/>
        <w:rPr>
          <w:color w:val="000000"/>
          <w:sz w:val="24"/>
        </w:rPr>
      </w:pPr>
      <w:r>
        <w:rPr>
          <w:color w:val="000000"/>
          <w:sz w:val="24"/>
        </w:rPr>
        <w:t>验收组按照验收方案和各自责任分工，对中标装备的技术方案或样品、生产过程、到货实物等进行复核、监督、查验和测试，验收过程全程录像。验收实行“单项内容初验、复验，组长核验”工作机制，初验、复验人员分别进行验收并签署意见。</w:t>
      </w:r>
    </w:p>
    <w:p>
      <w:pPr>
        <w:adjustRightInd w:val="0"/>
        <w:snapToGrid w:val="0"/>
        <w:spacing w:line="360" w:lineRule="auto"/>
        <w:ind w:firstLine="480"/>
        <w:rPr>
          <w:color w:val="000000"/>
          <w:sz w:val="24"/>
        </w:rPr>
      </w:pPr>
      <w:r>
        <w:rPr>
          <w:color w:val="000000"/>
          <w:sz w:val="24"/>
        </w:rPr>
        <w:t>四、出具验收意见</w:t>
      </w:r>
    </w:p>
    <w:p>
      <w:pPr>
        <w:adjustRightInd w:val="0"/>
        <w:snapToGrid w:val="0"/>
        <w:spacing w:line="360" w:lineRule="auto"/>
        <w:ind w:firstLine="480"/>
        <w:rPr>
          <w:color w:val="000000"/>
          <w:sz w:val="24"/>
        </w:rPr>
      </w:pPr>
      <w:r>
        <w:rPr>
          <w:color w:val="000000"/>
          <w:sz w:val="24"/>
        </w:rPr>
        <w:t>验收结束后，由各验收组组长组织结论评审。验收小组成员应当分别发表验收意见，共同依据验收情况对装备整体性能进行综合判定，以书面形式作出结论性意见，列明各项标准的验收情况及项目总体评价，形成验收意见报告并以会议纪要的形式记录在案。验收小组成员对需要共同认定的事项存在争议的，应当按照少数服从多数的原则作出结论。验收合格后提交审计部门开展结算审计，坚持集中、批量原则实施。经总队审计部门审计后的项目支队不再复审。</w:t>
      </w:r>
    </w:p>
    <w:p>
      <w:pPr>
        <w:adjustRightInd w:val="0"/>
        <w:snapToGrid w:val="0"/>
        <w:spacing w:line="360" w:lineRule="auto"/>
        <w:ind w:firstLine="480"/>
        <w:rPr>
          <w:color w:val="000000"/>
          <w:sz w:val="24"/>
        </w:rPr>
      </w:pPr>
      <w:r>
        <w:rPr>
          <w:color w:val="000000"/>
          <w:sz w:val="24"/>
        </w:rPr>
        <w:t>五、结果反馈</w:t>
      </w:r>
    </w:p>
    <w:p>
      <w:pPr>
        <w:adjustRightInd w:val="0"/>
        <w:snapToGrid w:val="0"/>
        <w:spacing w:line="360" w:lineRule="auto"/>
        <w:ind w:firstLine="480"/>
        <w:rPr>
          <w:color w:val="000000"/>
          <w:sz w:val="24"/>
        </w:rPr>
      </w:pPr>
      <w:r>
        <w:rPr>
          <w:color w:val="000000"/>
          <w:sz w:val="24"/>
        </w:rPr>
        <w:t>验收结论由验收工作组组长按照验收批次或时间节点汇总后，及时向集中采购工作领导小组书面报告并反馈供应厂商，同时督促供应商按照合同及验收结论履行相关责任、义务。</w:t>
      </w:r>
    </w:p>
    <w:p>
      <w:pPr>
        <w:adjustRightInd w:val="0"/>
        <w:snapToGrid w:val="0"/>
        <w:spacing w:line="360" w:lineRule="auto"/>
        <w:ind w:firstLine="480"/>
        <w:rPr>
          <w:color w:val="000000"/>
          <w:sz w:val="24"/>
        </w:rPr>
      </w:pPr>
      <w:r>
        <w:rPr>
          <w:color w:val="000000"/>
          <w:sz w:val="24"/>
        </w:rPr>
        <w:t>一个项目（批次）装备验收工作（含整改重新验收）完结后，验收工作组要及时进行总结，并在采购单位办公会上（适时）通报。</w:t>
      </w:r>
    </w:p>
    <w:p>
      <w:pPr>
        <w:adjustRightInd w:val="0"/>
        <w:snapToGrid w:val="0"/>
        <w:spacing w:line="360" w:lineRule="auto"/>
        <w:ind w:firstLine="0" w:firstLineChars="0"/>
        <w:jc w:val="center"/>
        <w:rPr>
          <w:b/>
          <w:bCs/>
          <w:color w:val="000000"/>
          <w:sz w:val="24"/>
        </w:rPr>
      </w:pPr>
      <w:r>
        <w:rPr>
          <w:b/>
          <w:bCs/>
          <w:color w:val="000000"/>
          <w:sz w:val="24"/>
        </w:rPr>
        <w:t>第三章 验收方式及内容</w:t>
      </w:r>
    </w:p>
    <w:p>
      <w:pPr>
        <w:adjustRightInd w:val="0"/>
        <w:snapToGrid w:val="0"/>
        <w:spacing w:line="360" w:lineRule="auto"/>
        <w:ind w:firstLine="482"/>
        <w:jc w:val="both"/>
        <w:rPr>
          <w:color w:val="000000"/>
          <w:sz w:val="24"/>
        </w:rPr>
      </w:pPr>
      <w:r>
        <w:rPr>
          <w:b/>
          <w:bCs/>
          <w:color w:val="000000"/>
          <w:sz w:val="24"/>
        </w:rPr>
        <w:t>第九条</w:t>
      </w:r>
      <w:r>
        <w:rPr>
          <w:color w:val="000000"/>
          <w:sz w:val="24"/>
        </w:rPr>
        <w:t xml:space="preserve"> 为实现对灭火救援装备的全链条、全流程的质量管控，装备验收工作将贯穿装备生产的始终，对中标装备采取技术方案或样品会审验收、生产过程检查或驻厂验收、到货实物验收等三种验收方式。</w:t>
      </w:r>
    </w:p>
    <w:p>
      <w:pPr>
        <w:adjustRightInd w:val="0"/>
        <w:snapToGrid w:val="0"/>
        <w:spacing w:line="360" w:lineRule="auto"/>
        <w:ind w:firstLine="480"/>
        <w:rPr>
          <w:color w:val="000000"/>
          <w:sz w:val="24"/>
        </w:rPr>
      </w:pPr>
      <w:r>
        <w:rPr>
          <w:color w:val="000000"/>
          <w:sz w:val="24"/>
        </w:rPr>
        <w:t>（一）技术方案会审或样品验收。主要对中标车辆（船艇、飞行器、机器人）的技术方案或样车和防护装备及其它灭火救援器材物资的样品及验证材料的真伪进行复核。</w:t>
      </w:r>
    </w:p>
    <w:p>
      <w:pPr>
        <w:adjustRightInd w:val="0"/>
        <w:snapToGrid w:val="0"/>
        <w:spacing w:line="360" w:lineRule="auto"/>
        <w:ind w:firstLine="480"/>
        <w:rPr>
          <w:color w:val="000000"/>
          <w:sz w:val="24"/>
        </w:rPr>
      </w:pPr>
      <w:r>
        <w:rPr>
          <w:color w:val="000000"/>
          <w:sz w:val="24"/>
        </w:rPr>
        <w:t>在中标通知书发出后，签订采购合同前完成，会审或验收意见书面报告装备集中采购工作领导小组，为签订合同提供参考意见。《新购消防装备(车辆)技术确认备忘录》由中标厂商、后勤装备部门和需求单位（部门）各自留存，总队集采的防护装备和其它灭火救援器材样品由训练与战勤保障支队封存，一并作为到货实物验收的重要依据和验收档案的组成部分。</w:t>
      </w:r>
    </w:p>
    <w:p>
      <w:pPr>
        <w:adjustRightInd w:val="0"/>
        <w:snapToGrid w:val="0"/>
        <w:spacing w:line="360" w:lineRule="auto"/>
        <w:ind w:firstLine="480"/>
        <w:rPr>
          <w:color w:val="000000"/>
          <w:sz w:val="24"/>
        </w:rPr>
      </w:pPr>
      <w:r>
        <w:rPr>
          <w:color w:val="000000"/>
          <w:sz w:val="24"/>
        </w:rPr>
        <w:t>（二）生产过程检查或驻厂验收。批量采购的装备可根据需要组织生产过程检查、驻厂验收（出厂检验）。在生产过程中出现或检查中发现有合同未明确项目，需要进行技术确认时，由驻厂验收组协商厂家予以解决，并形成《新购消防装备（车辆）驻厂验收备忘录》，由中标厂商、后勤装备部门和需求单位（部门）各自留存，作为到货验实物收的重要依据和验收档案的组成部分。</w:t>
      </w:r>
    </w:p>
    <w:p>
      <w:pPr>
        <w:adjustRightInd w:val="0"/>
        <w:snapToGrid w:val="0"/>
        <w:spacing w:line="360" w:lineRule="auto"/>
        <w:ind w:firstLine="480"/>
        <w:rPr>
          <w:color w:val="000000"/>
          <w:sz w:val="24"/>
        </w:rPr>
      </w:pPr>
      <w:r>
        <w:rPr>
          <w:color w:val="000000"/>
          <w:sz w:val="24"/>
        </w:rPr>
        <w:t>（三）到货实物验收。由验收工作组根据中标厂商申请，结合装备到货情况，在10个工作日内组织验收。应急采购装备，即到即验。特殊情况以实际通知时间为准。</w:t>
      </w:r>
    </w:p>
    <w:p>
      <w:pPr>
        <w:adjustRightInd w:val="0"/>
        <w:snapToGrid w:val="0"/>
        <w:spacing w:line="360" w:lineRule="auto"/>
        <w:ind w:firstLine="480"/>
        <w:rPr>
          <w:color w:val="000000"/>
          <w:sz w:val="24"/>
        </w:rPr>
      </w:pPr>
      <w:r>
        <w:rPr>
          <w:color w:val="000000"/>
          <w:sz w:val="24"/>
        </w:rPr>
        <w:t>到货验收采用一致性查验和装备质量性能测试的验收方法。防护装备和其它灭火救援器材可进行抽样送检，由国家检测机构进行检测，其结果可作为该送检装备的验收结论。有封存样品的防护装备和其它灭火救援器材，验收组还须将交付装备与封存样品进行核对，交付装备质量应不低于封存样品。</w:t>
      </w:r>
    </w:p>
    <w:p>
      <w:pPr>
        <w:adjustRightInd w:val="0"/>
        <w:snapToGrid w:val="0"/>
        <w:spacing w:line="360" w:lineRule="auto"/>
        <w:ind w:firstLine="482"/>
        <w:jc w:val="both"/>
        <w:rPr>
          <w:color w:val="000000"/>
          <w:sz w:val="24"/>
        </w:rPr>
      </w:pPr>
      <w:r>
        <w:rPr>
          <w:b/>
          <w:bCs/>
          <w:color w:val="000000"/>
          <w:sz w:val="24"/>
        </w:rPr>
        <w:t>第十条</w:t>
      </w:r>
      <w:r>
        <w:rPr>
          <w:color w:val="000000"/>
          <w:sz w:val="24"/>
        </w:rPr>
        <w:t xml:space="preserve">  一致性查验。验收组对照合同、补充协议和封样样品等，按照验收方案对装备供应厂商提供的技术资料、证明材料原件等资料进行查验，重点核查装备数量、规格型号、外观、主要零（部）件、附件、配件、资料、各类总成的品牌、型号等是否与合同（样品）一致。</w:t>
      </w:r>
    </w:p>
    <w:p>
      <w:pPr>
        <w:adjustRightInd w:val="0"/>
        <w:snapToGrid w:val="0"/>
        <w:spacing w:line="360" w:lineRule="auto"/>
        <w:ind w:firstLine="480"/>
        <w:jc w:val="both"/>
        <w:rPr>
          <w:color w:val="000000"/>
          <w:sz w:val="24"/>
        </w:rPr>
      </w:pPr>
      <w:r>
        <w:rPr>
          <w:color w:val="000000"/>
          <w:sz w:val="24"/>
        </w:rPr>
        <w:t>车辆一致性查验时，须对其《机动车整车出厂合格证》进行国家综合性消防救援车辆牌证信息管理系统查询，查询结果与合格证内容一致，方可进行后续查验。</w:t>
      </w:r>
    </w:p>
    <w:p>
      <w:pPr>
        <w:adjustRightInd w:val="0"/>
        <w:snapToGrid w:val="0"/>
        <w:spacing w:line="360" w:lineRule="auto"/>
        <w:ind w:firstLine="482"/>
        <w:jc w:val="both"/>
        <w:rPr>
          <w:color w:val="000000"/>
          <w:sz w:val="24"/>
        </w:rPr>
      </w:pPr>
      <w:r>
        <w:rPr>
          <w:b/>
          <w:bCs/>
          <w:color w:val="000000"/>
          <w:sz w:val="24"/>
        </w:rPr>
        <w:t>第十一条</w:t>
      </w:r>
      <w:r>
        <w:rPr>
          <w:color w:val="000000"/>
          <w:sz w:val="24"/>
        </w:rPr>
        <w:t xml:space="preserve"> 装备质量性能测试。验收组采用必要的检测设施（备）、用具或依托专门的检测机构，对照合同、补充协议和封样样品等，按照验收方案进行装备性能测试。</w:t>
      </w:r>
    </w:p>
    <w:p>
      <w:pPr>
        <w:adjustRightInd w:val="0"/>
        <w:snapToGrid w:val="0"/>
        <w:spacing w:line="360" w:lineRule="auto"/>
        <w:ind w:firstLine="480"/>
        <w:jc w:val="both"/>
        <w:rPr>
          <w:color w:val="000000"/>
          <w:sz w:val="24"/>
        </w:rPr>
      </w:pPr>
      <w:r>
        <w:rPr>
          <w:color w:val="000000"/>
          <w:sz w:val="24"/>
        </w:rPr>
        <w:t>含有水力系统消防车辆须在水力性能测试合格后进行质量性能测试。</w:t>
      </w:r>
    </w:p>
    <w:p>
      <w:pPr>
        <w:adjustRightInd w:val="0"/>
        <w:snapToGrid w:val="0"/>
        <w:spacing w:line="360" w:lineRule="auto"/>
        <w:ind w:firstLine="482"/>
        <w:jc w:val="both"/>
        <w:rPr>
          <w:color w:val="000000"/>
          <w:sz w:val="24"/>
        </w:rPr>
      </w:pPr>
      <w:r>
        <w:rPr>
          <w:b/>
          <w:bCs/>
          <w:color w:val="000000"/>
          <w:sz w:val="24"/>
        </w:rPr>
        <w:t>第十二条</w:t>
      </w:r>
      <w:r>
        <w:rPr>
          <w:color w:val="000000"/>
          <w:sz w:val="24"/>
        </w:rPr>
        <w:t xml:space="preserve">  严格随装资料查验，各类装备必须配有中文说明书，进口装备必须配有原文说明书及与相对应的中文说明书，性能复杂、操作难度较大的装备还应有音视频资料。交付车辆按照《消防救援车辆牌证核发与管理暂行规定》提供牌证申领资料。</w:t>
      </w:r>
    </w:p>
    <w:p>
      <w:pPr>
        <w:adjustRightInd w:val="0"/>
        <w:snapToGrid w:val="0"/>
        <w:spacing w:line="360" w:lineRule="auto"/>
        <w:ind w:firstLine="482"/>
        <w:rPr>
          <w:color w:val="000000"/>
          <w:sz w:val="24"/>
        </w:rPr>
      </w:pPr>
      <w:r>
        <w:rPr>
          <w:b/>
          <w:bCs/>
          <w:color w:val="000000"/>
          <w:sz w:val="24"/>
        </w:rPr>
        <w:t>第十三条</w:t>
      </w:r>
      <w:r>
        <w:rPr>
          <w:color w:val="000000"/>
          <w:sz w:val="24"/>
        </w:rPr>
        <w:t xml:space="preserve"> 验收结果与采购合同约定的内容不完全符合，但经验收小组确认，供应商所提供装备比合同约定内容提高了使用功能、标准或者属于技术更新换代产品的，在不影响、不降低整个采购项目的运行质量和功能以及合同金额不提高的前提下，可以验收通过。</w:t>
      </w:r>
    </w:p>
    <w:p>
      <w:pPr>
        <w:adjustRightInd w:val="0"/>
        <w:snapToGrid w:val="0"/>
        <w:spacing w:line="360" w:lineRule="auto"/>
        <w:ind w:firstLine="482"/>
        <w:jc w:val="both"/>
        <w:rPr>
          <w:color w:val="000000"/>
          <w:sz w:val="24"/>
        </w:rPr>
      </w:pPr>
      <w:r>
        <w:rPr>
          <w:b/>
          <w:bCs/>
          <w:color w:val="000000"/>
          <w:sz w:val="24"/>
        </w:rPr>
        <w:t>第十四条</w:t>
      </w:r>
      <w:r>
        <w:rPr>
          <w:color w:val="000000"/>
          <w:sz w:val="24"/>
        </w:rPr>
        <w:t xml:space="preserve"> 新购装备信息要及时按照时间节点录入装备管理系统和装备采购信息网。新购车辆还应当及时申领应急救援专用牌证。</w:t>
      </w:r>
    </w:p>
    <w:p>
      <w:pPr>
        <w:adjustRightInd w:val="0"/>
        <w:snapToGrid w:val="0"/>
        <w:spacing w:line="360" w:lineRule="auto"/>
        <w:ind w:firstLine="482"/>
        <w:jc w:val="both"/>
        <w:rPr>
          <w:color w:val="000000"/>
          <w:sz w:val="24"/>
        </w:rPr>
      </w:pPr>
      <w:r>
        <w:rPr>
          <w:b/>
          <w:bCs/>
          <w:color w:val="000000"/>
          <w:sz w:val="24"/>
        </w:rPr>
        <w:t>第十五条</w:t>
      </w:r>
      <w:r>
        <w:rPr>
          <w:color w:val="000000"/>
          <w:sz w:val="24"/>
        </w:rPr>
        <w:t xml:space="preserve"> 质量保证期。灭火救援装备质量保证期自验收合格报告双方签字确认之日算起。</w:t>
      </w:r>
    </w:p>
    <w:p>
      <w:pPr>
        <w:adjustRightInd w:val="0"/>
        <w:snapToGrid w:val="0"/>
        <w:spacing w:line="360" w:lineRule="auto"/>
        <w:ind w:firstLine="0" w:firstLineChars="0"/>
        <w:jc w:val="center"/>
        <w:rPr>
          <w:b/>
          <w:bCs/>
          <w:color w:val="000000"/>
          <w:sz w:val="24"/>
        </w:rPr>
      </w:pPr>
      <w:r>
        <w:rPr>
          <w:b/>
          <w:bCs/>
          <w:color w:val="000000"/>
          <w:sz w:val="24"/>
        </w:rPr>
        <w:t>第四章  验收不合格情况的处理</w:t>
      </w:r>
    </w:p>
    <w:p>
      <w:pPr>
        <w:adjustRightInd w:val="0"/>
        <w:snapToGrid w:val="0"/>
        <w:spacing w:line="360" w:lineRule="auto"/>
        <w:ind w:firstLine="482"/>
        <w:jc w:val="both"/>
        <w:rPr>
          <w:color w:val="000000"/>
          <w:sz w:val="24"/>
        </w:rPr>
      </w:pPr>
      <w:r>
        <w:rPr>
          <w:b/>
          <w:bCs/>
          <w:color w:val="000000"/>
          <w:sz w:val="24"/>
        </w:rPr>
        <w:t>第十六条</w:t>
      </w:r>
      <w:r>
        <w:rPr>
          <w:color w:val="000000"/>
          <w:sz w:val="24"/>
        </w:rPr>
        <w:t xml:space="preserve">  装备一致性查验、质量性能验收不合格或经验收组综合评审需进行整改的，验收组填写《消防装备验收整改意见书》，由供应商签字确认，经分管后勤的副总队长批准后，通知供应厂商限期整改。整改期限一般不超过30个工作日，特殊情况按照合同约定的争议解决另行协商，在规定期限内完成整改的，验收组重新组织验收；整改一次后仍验收不合格的，由后勤装备处提请装备集中采购工作领导小组按合同约定的违约责任处理，有封存样品的不予退还。</w:t>
      </w:r>
    </w:p>
    <w:p>
      <w:pPr>
        <w:adjustRightInd w:val="0"/>
        <w:snapToGrid w:val="0"/>
        <w:spacing w:line="360" w:lineRule="auto"/>
        <w:ind w:firstLine="482"/>
        <w:rPr>
          <w:color w:val="000000"/>
          <w:sz w:val="24"/>
        </w:rPr>
      </w:pPr>
      <w:r>
        <w:rPr>
          <w:b/>
          <w:bCs/>
          <w:color w:val="000000"/>
          <w:sz w:val="24"/>
        </w:rPr>
        <w:t>第十七条</w:t>
      </w:r>
      <w:r>
        <w:rPr>
          <w:color w:val="000000"/>
          <w:sz w:val="24"/>
        </w:rPr>
        <w:t xml:space="preserve"> 供应厂商交付装备应当为全新的合格产品。如交付或掺杂修复、变造、假冒、伪劣产品的，按照合同条款进行处理并建议将不合格产品及生产厂家、供应商列入山西省消防救援队伍采购“黑名单”，涉及违法的按照法律程序进行处理。</w:t>
      </w:r>
    </w:p>
    <w:p>
      <w:pPr>
        <w:adjustRightInd w:val="0"/>
        <w:snapToGrid w:val="0"/>
        <w:spacing w:line="360" w:lineRule="auto"/>
        <w:ind w:firstLine="0" w:firstLineChars="0"/>
        <w:jc w:val="center"/>
        <w:rPr>
          <w:b/>
          <w:bCs/>
          <w:color w:val="000000"/>
          <w:sz w:val="24"/>
        </w:rPr>
      </w:pPr>
      <w:r>
        <w:rPr>
          <w:b/>
          <w:bCs/>
          <w:color w:val="000000"/>
          <w:sz w:val="24"/>
        </w:rPr>
        <w:t>第五章 售后服务管理</w:t>
      </w:r>
    </w:p>
    <w:p>
      <w:pPr>
        <w:adjustRightInd w:val="0"/>
        <w:snapToGrid w:val="0"/>
        <w:spacing w:line="360" w:lineRule="auto"/>
        <w:ind w:firstLine="482"/>
        <w:jc w:val="both"/>
        <w:rPr>
          <w:color w:val="000000"/>
          <w:sz w:val="24"/>
        </w:rPr>
      </w:pPr>
      <w:r>
        <w:rPr>
          <w:b/>
          <w:bCs/>
          <w:color w:val="000000"/>
          <w:sz w:val="24"/>
        </w:rPr>
        <w:t>第十八条</w:t>
      </w:r>
      <w:r>
        <w:rPr>
          <w:color w:val="000000"/>
          <w:sz w:val="24"/>
        </w:rPr>
        <w:t xml:space="preserve"> 售后服务管理是对合同约定在装备后续使用过程中提供配套服务进行的检验，也是装备全寿命管理和合同履约的重要环节。供应厂商的质量承诺、售后响应、培训、巡检（回访）以及建立联勤联动机制等落实情况，由总队、支队装备管理部门负责监督。未按照合同约定提供服务的，由后勤装备处提请总队装备集中采购工作领导小组将该供应厂商列入山西省消防救援队伍采购“黑名单”。</w:t>
      </w:r>
    </w:p>
    <w:p>
      <w:pPr>
        <w:adjustRightInd w:val="0"/>
        <w:snapToGrid w:val="0"/>
        <w:spacing w:line="360" w:lineRule="auto"/>
        <w:ind w:firstLine="482"/>
        <w:jc w:val="both"/>
        <w:rPr>
          <w:color w:val="000000"/>
          <w:sz w:val="24"/>
        </w:rPr>
      </w:pPr>
      <w:r>
        <w:rPr>
          <w:b/>
          <w:bCs/>
          <w:color w:val="000000"/>
          <w:sz w:val="24"/>
        </w:rPr>
        <w:t>第十九条</w:t>
      </w:r>
      <w:r>
        <w:rPr>
          <w:color w:val="000000"/>
          <w:sz w:val="24"/>
        </w:rPr>
        <w:t xml:space="preserve"> 供应厂商在装备交付时需对指战员进行接装培训，确保参训指战员学懂弄通并熟练操作。各单位推荐参加培训的人员，工作岗位应相对固定，杜绝“训而不用、训后换岗”现象的发生。组织接装培训的供应厂商，须在实物验收合格30天内将培训方案、参训人员签到表、结业考核成绩单或结业证书以及培训影像资料等移交至后勤装备处存档备查，未按期移交，视为未组织培训。</w:t>
      </w:r>
    </w:p>
    <w:p>
      <w:pPr>
        <w:adjustRightInd w:val="0"/>
        <w:snapToGrid w:val="0"/>
        <w:spacing w:line="360" w:lineRule="auto"/>
        <w:ind w:firstLine="0" w:firstLineChars="0"/>
        <w:jc w:val="center"/>
        <w:rPr>
          <w:b/>
          <w:bCs/>
          <w:color w:val="000000"/>
          <w:sz w:val="24"/>
        </w:rPr>
      </w:pPr>
      <w:r>
        <w:rPr>
          <w:b/>
          <w:bCs/>
          <w:color w:val="000000"/>
          <w:sz w:val="24"/>
        </w:rPr>
        <w:t>第六章附则</w:t>
      </w:r>
    </w:p>
    <w:p>
      <w:pPr>
        <w:adjustRightInd w:val="0"/>
        <w:snapToGrid w:val="0"/>
        <w:spacing w:line="360" w:lineRule="auto"/>
        <w:ind w:firstLine="482"/>
        <w:jc w:val="both"/>
        <w:rPr>
          <w:color w:val="000000"/>
          <w:sz w:val="24"/>
        </w:rPr>
      </w:pPr>
      <w:r>
        <w:rPr>
          <w:b/>
          <w:bCs/>
          <w:color w:val="000000"/>
          <w:sz w:val="24"/>
        </w:rPr>
        <w:t>第二十条</w:t>
      </w:r>
      <w:r>
        <w:rPr>
          <w:color w:val="000000"/>
          <w:sz w:val="24"/>
        </w:rPr>
        <w:t xml:space="preserve"> 装备验收人员须严格遵守廉洁自律相关规定，在验收过程中如出现“吃、拿、卡、要”，弄虚作假等违反廉洁规定的，取消其验收资格，并报请本级纪检部门，按相关规定进行处理，涉及违法的追究其相应的法律责任。</w:t>
      </w:r>
    </w:p>
    <w:p>
      <w:pPr>
        <w:snapToGrid w:val="0"/>
        <w:spacing w:line="360" w:lineRule="auto"/>
        <w:ind w:firstLine="482"/>
        <w:rPr>
          <w:color w:val="000000"/>
          <w:sz w:val="24"/>
        </w:rPr>
      </w:pPr>
      <w:r>
        <w:rPr>
          <w:b/>
          <w:bCs/>
          <w:color w:val="000000"/>
          <w:sz w:val="24"/>
        </w:rPr>
        <w:t>第二十一条</w:t>
      </w:r>
      <w:r>
        <w:rPr>
          <w:color w:val="000000"/>
          <w:sz w:val="24"/>
        </w:rPr>
        <w:t xml:space="preserve"> 装备验收人员对履约验收过程中获悉的国家秘密、商业秘密和个人隐私等均负有保密义务。</w:t>
      </w:r>
    </w:p>
    <w:p>
      <w:pPr>
        <w:snapToGrid w:val="0"/>
        <w:spacing w:line="360" w:lineRule="auto"/>
        <w:ind w:firstLine="482"/>
        <w:rPr>
          <w:color w:val="000000"/>
          <w:sz w:val="24"/>
        </w:rPr>
      </w:pPr>
      <w:r>
        <w:rPr>
          <w:b/>
          <w:bCs/>
          <w:color w:val="000000"/>
          <w:sz w:val="24"/>
        </w:rPr>
        <w:t>第二十二条</w:t>
      </w:r>
      <w:r>
        <w:rPr>
          <w:color w:val="000000"/>
          <w:sz w:val="24"/>
        </w:rPr>
        <w:t xml:space="preserve"> 项目验收完成后，验收档案归入采购项目档案妥善保管，保存期限与采购项目档案一致。</w:t>
      </w:r>
    </w:p>
    <w:p>
      <w:pPr>
        <w:adjustRightInd w:val="0"/>
        <w:snapToGrid w:val="0"/>
        <w:spacing w:line="360" w:lineRule="auto"/>
        <w:ind w:firstLine="482"/>
        <w:jc w:val="both"/>
        <w:rPr>
          <w:color w:val="000000" w:themeColor="text1"/>
          <w:szCs w:val="28"/>
          <w14:textFill>
            <w14:solidFill>
              <w14:schemeClr w14:val="tx1"/>
            </w14:solidFill>
          </w14:textFill>
        </w:rPr>
        <w:sectPr>
          <w:footerReference r:id="rId14" w:type="default"/>
          <w:pgSz w:w="11905" w:h="16838"/>
          <w:pgMar w:top="1440" w:right="1803" w:bottom="1440" w:left="1803" w:header="850" w:footer="624" w:gutter="0"/>
          <w:cols w:space="0" w:num="1"/>
          <w:docGrid w:linePitch="312" w:charSpace="0"/>
        </w:sectPr>
      </w:pPr>
      <w:r>
        <w:rPr>
          <w:b/>
          <w:bCs/>
          <w:color w:val="000000"/>
          <w:sz w:val="24"/>
        </w:rPr>
        <w:t>第二十三条</w:t>
      </w:r>
      <w:r>
        <w:rPr>
          <w:color w:val="000000"/>
          <w:sz w:val="24"/>
        </w:rPr>
        <w:t xml:space="preserve"> 本规程自公布之日起实施，原有《山西省消防救援总队灭火救援装备验收工作规程》即行废止，由总队后勤装备处负责解释。</w:t>
      </w:r>
    </w:p>
    <w:p>
      <w:pPr>
        <w:pStyle w:val="3"/>
        <w:bidi w:val="0"/>
      </w:pPr>
      <w:bookmarkStart w:id="82" w:name="_Toc25659"/>
      <w:r>
        <w:t xml:space="preserve">第六部分  </w:t>
      </w:r>
      <w:bookmarkStart w:id="83" w:name="_Toc86202632"/>
      <w:r>
        <w:t>投标文件格式</w:t>
      </w:r>
      <w:bookmarkEnd w:id="72"/>
      <w:bookmarkEnd w:id="80"/>
      <w:bookmarkEnd w:id="81"/>
      <w:bookmarkEnd w:id="82"/>
      <w:bookmarkEnd w:id="83"/>
    </w:p>
    <w:p>
      <w:pPr>
        <w:kinsoku w:val="0"/>
        <w:overflowPunct w:val="0"/>
        <w:autoSpaceDE w:val="0"/>
        <w:autoSpaceDN w:val="0"/>
        <w:snapToGrid w:val="0"/>
        <w:spacing w:line="360" w:lineRule="auto"/>
        <w:ind w:firstLine="560"/>
        <w:jc w:val="both"/>
        <w:rPr>
          <w:color w:val="000000" w:themeColor="text1"/>
          <w:kern w:val="0"/>
          <w:szCs w:val="28"/>
          <w14:textFill>
            <w14:solidFill>
              <w14:schemeClr w14:val="tx1"/>
            </w14:solidFill>
          </w14:textFill>
        </w:rPr>
      </w:pPr>
    </w:p>
    <w:p>
      <w:pPr>
        <w:tabs>
          <w:tab w:val="left" w:pos="-737"/>
        </w:tabs>
        <w:kinsoku w:val="0"/>
        <w:overflowPunct w:val="0"/>
        <w:autoSpaceDE w:val="0"/>
        <w:autoSpaceDN w:val="0"/>
        <w:snapToGrid w:val="0"/>
        <w:spacing w:line="360" w:lineRule="auto"/>
        <w:ind w:firstLine="0" w:firstLineChars="0"/>
        <w:jc w:val="center"/>
        <w:rPr>
          <w:color w:val="000000" w:themeColor="text1"/>
          <w:kern w:val="0"/>
          <w:szCs w:val="28"/>
          <w14:textFill>
            <w14:solidFill>
              <w14:schemeClr w14:val="tx1"/>
            </w14:solidFill>
          </w14:textFill>
        </w:rPr>
      </w:pPr>
      <w:bookmarkStart w:id="84" w:name="_Toc175644062"/>
      <w:bookmarkStart w:id="85" w:name="_Toc86202633"/>
      <w:r>
        <w:rPr>
          <w:b/>
          <w:bCs/>
          <w:color w:val="000000" w:themeColor="text1"/>
          <w:kern w:val="0"/>
          <w:szCs w:val="28"/>
          <w14:textFill>
            <w14:solidFill>
              <w14:schemeClr w14:val="tx1"/>
            </w14:solidFill>
          </w14:textFill>
        </w:rPr>
        <w:t>投标人提交文件须知</w:t>
      </w:r>
      <w:bookmarkEnd w:id="84"/>
      <w:bookmarkEnd w:id="85"/>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1.投标人应严格按照以下顺序填写和提交下述规定的全部格式文件以及其他有关资料，混乱的编排导致投标文件被误读或查找不到，后果由投标人承担。</w:t>
      </w:r>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2.所附表格中要求回答的全部问题和信息都必须正面回答。</w:t>
      </w:r>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3.本资格声明的签字人应保证全部声明和问题的回答是真实的和准确的。</w:t>
      </w:r>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4.评标委员会将应用投标人提交的资料并根据自己的判断，决定投标人履行合同的合格性及能力。</w:t>
      </w:r>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5.投标人提交的材料将被妥善保存，但不退还。</w:t>
      </w:r>
    </w:p>
    <w:p>
      <w:pPr>
        <w:tabs>
          <w:tab w:val="left" w:pos="0"/>
        </w:tabs>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6.全部文件应按投标人须知中规定的语言和份数提交。</w:t>
      </w:r>
    </w:p>
    <w:p>
      <w:pPr>
        <w:kinsoku w:val="0"/>
        <w:overflowPunct w:val="0"/>
        <w:autoSpaceDE w:val="0"/>
        <w:autoSpaceDN w:val="0"/>
        <w:snapToGrid w:val="0"/>
        <w:spacing w:line="360" w:lineRule="auto"/>
        <w:ind w:firstLine="560"/>
        <w:jc w:val="center"/>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br w:type="page"/>
      </w:r>
    </w:p>
    <w:p>
      <w:pPr>
        <w:kinsoku w:val="0"/>
        <w:overflowPunct w:val="0"/>
        <w:autoSpaceDE w:val="0"/>
        <w:autoSpaceDN w:val="0"/>
        <w:adjustRightInd w:val="0"/>
        <w:snapToGrid w:val="0"/>
        <w:spacing w:line="360" w:lineRule="auto"/>
        <w:ind w:firstLine="0" w:firstLineChars="0"/>
        <w:textAlignment w:val="baseline"/>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（格式）</w:t>
      </w:r>
    </w:p>
    <w:p>
      <w:pPr>
        <w:kinsoku w:val="0"/>
        <w:overflowPunct w:val="0"/>
        <w:autoSpaceDE w:val="0"/>
        <w:autoSpaceDN w:val="0"/>
        <w:snapToGrid w:val="0"/>
        <w:spacing w:line="360" w:lineRule="auto"/>
        <w:ind w:firstLine="0" w:firstLineChars="0"/>
        <w:jc w:val="right"/>
        <w:rPr>
          <w:color w:val="000000" w:themeColor="text1"/>
          <w:kern w:val="0"/>
          <w:sz w:val="40"/>
          <w:szCs w:val="40"/>
          <w14:textFill>
            <w14:solidFill>
              <w14:schemeClr w14:val="tx1"/>
            </w14:solidFill>
          </w14:textFill>
        </w:rPr>
      </w:pPr>
      <w:r>
        <w:rPr>
          <w:b/>
          <w:color w:val="000000" w:themeColor="text1"/>
          <w:kern w:val="0"/>
          <w:sz w:val="40"/>
          <w:szCs w:val="40"/>
          <w14:textFill>
            <w14:solidFill>
              <w14:schemeClr w14:val="tx1"/>
            </w14:solidFill>
          </w14:textFill>
        </w:rPr>
        <w:t>（正/副）本</w:t>
      </w:r>
    </w:p>
    <w:p>
      <w:pPr>
        <w:ind w:firstLine="0" w:firstLineChars="0"/>
        <w:jc w:val="center"/>
        <w:rPr>
          <w:b/>
          <w:color w:val="000000" w:themeColor="text1"/>
          <w:sz w:val="50"/>
          <w:szCs w:val="50"/>
          <w14:textFill>
            <w14:solidFill>
              <w14:schemeClr w14:val="tx1"/>
            </w14:solidFill>
          </w14:textFill>
        </w:rPr>
      </w:pPr>
      <w:r>
        <w:rPr>
          <w:b/>
          <w:color w:val="000000" w:themeColor="text1"/>
          <w:sz w:val="50"/>
          <w:szCs w:val="50"/>
          <w14:textFill>
            <w14:solidFill>
              <w14:schemeClr w14:val="tx1"/>
            </w14:solidFill>
          </w14:textFill>
        </w:rPr>
        <w:t>山西省消防救援总队</w:t>
      </w:r>
    </w:p>
    <w:p>
      <w:pPr>
        <w:ind w:firstLine="0" w:firstLineChars="0"/>
        <w:jc w:val="center"/>
        <w:rPr>
          <w:b/>
          <w:color w:val="000000" w:themeColor="text1"/>
          <w:sz w:val="50"/>
          <w:szCs w:val="50"/>
          <w14:textFill>
            <w14:solidFill>
              <w14:schemeClr w14:val="tx1"/>
            </w14:solidFill>
          </w14:textFill>
        </w:rPr>
      </w:pPr>
      <w:r>
        <w:rPr>
          <w:b/>
          <w:color w:val="000000" w:themeColor="text1"/>
          <w:sz w:val="50"/>
          <w:szCs w:val="50"/>
          <w14:textFill>
            <w14:solidFill>
              <w14:schemeClr w14:val="tx1"/>
            </w14:solidFill>
          </w14:textFill>
        </w:rPr>
        <w:t>“自然灾害应急能力提升工程”</w:t>
      </w:r>
    </w:p>
    <w:p>
      <w:pPr>
        <w:ind w:firstLine="0" w:firstLineChars="0"/>
        <w:jc w:val="center"/>
        <w:rPr>
          <w:b/>
          <w:color w:val="000000" w:themeColor="text1"/>
          <w:sz w:val="50"/>
          <w:szCs w:val="50"/>
          <w14:textFill>
            <w14:solidFill>
              <w14:schemeClr w14:val="tx1"/>
            </w14:solidFill>
          </w14:textFill>
        </w:rPr>
      </w:pPr>
      <w:r>
        <w:rPr>
          <w:b/>
          <w:color w:val="000000" w:themeColor="text1"/>
          <w:sz w:val="50"/>
          <w:szCs w:val="50"/>
          <w14:textFill>
            <w14:solidFill>
              <w14:schemeClr w14:val="tx1"/>
            </w14:solidFill>
          </w14:textFill>
        </w:rPr>
        <w:t>消防装备项目（</w:t>
      </w:r>
      <w:r>
        <w:rPr>
          <w:rFonts w:hint="eastAsia"/>
          <w:b/>
          <w:color w:val="000000" w:themeColor="text1"/>
          <w:sz w:val="50"/>
          <w:szCs w:val="50"/>
          <w14:textFill>
            <w14:solidFill>
              <w14:schemeClr w14:val="tx1"/>
            </w14:solidFill>
          </w14:textFill>
        </w:rPr>
        <w:t>第三批次</w:t>
      </w:r>
      <w:r>
        <w:rPr>
          <w:b/>
          <w:color w:val="000000" w:themeColor="text1"/>
          <w:sz w:val="50"/>
          <w:szCs w:val="50"/>
          <w14:textFill>
            <w14:solidFill>
              <w14:schemeClr w14:val="tx1"/>
            </w14:solidFill>
          </w14:textFill>
        </w:rPr>
        <w:t>）</w:t>
      </w:r>
    </w:p>
    <w:p>
      <w:pPr>
        <w:kinsoku w:val="0"/>
        <w:overflowPunct w:val="0"/>
        <w:autoSpaceDE w:val="0"/>
        <w:autoSpaceDN w:val="0"/>
        <w:snapToGrid w:val="0"/>
        <w:spacing w:line="360" w:lineRule="auto"/>
        <w:ind w:firstLine="0" w:firstLineChars="0"/>
        <w:rPr>
          <w:color w:val="000000" w:themeColor="text1"/>
          <w:kern w:val="0"/>
          <w:sz w:val="36"/>
          <w:szCs w:val="36"/>
          <w14:textFill>
            <w14:solidFill>
              <w14:schemeClr w14:val="tx1"/>
            </w14:solidFill>
          </w14:textFill>
        </w:rPr>
      </w:pPr>
    </w:p>
    <w:p>
      <w:pPr>
        <w:kinsoku w:val="0"/>
        <w:overflowPunct w:val="0"/>
        <w:autoSpaceDE w:val="0"/>
        <w:autoSpaceDN w:val="0"/>
        <w:snapToGrid w:val="0"/>
        <w:spacing w:line="360" w:lineRule="auto"/>
        <w:ind w:firstLine="0" w:firstLineChars="0"/>
        <w:rPr>
          <w:color w:val="000000" w:themeColor="text1"/>
          <w:kern w:val="0"/>
          <w:sz w:val="36"/>
          <w:szCs w:val="36"/>
          <w14:textFill>
            <w14:solidFill>
              <w14:schemeClr w14:val="tx1"/>
            </w14:solidFill>
          </w14:textFill>
        </w:rPr>
      </w:pPr>
      <w:r>
        <w:rPr>
          <w:color w:val="000000" w:themeColor="text1"/>
          <w:kern w:val="0"/>
          <w:sz w:val="36"/>
          <w:szCs w:val="36"/>
          <w14:textFill>
            <w14:solidFill>
              <w14:schemeClr w14:val="tx1"/>
            </w14:solidFill>
          </w14:textFill>
        </w:rPr>
        <w:t>项目编号：</w:t>
      </w:r>
    </w:p>
    <w:p>
      <w:pPr>
        <w:snapToGrid w:val="0"/>
        <w:spacing w:line="360" w:lineRule="auto"/>
        <w:ind w:firstLine="0" w:firstLineChars="0"/>
        <w:rPr>
          <w:color w:val="000000" w:themeColor="text1"/>
          <w:kern w:val="0"/>
          <w:sz w:val="84"/>
          <w:szCs w:val="84"/>
          <w14:textFill>
            <w14:solidFill>
              <w14:schemeClr w14:val="tx1"/>
            </w14:solidFill>
          </w14:textFill>
        </w:rPr>
      </w:pPr>
      <w:r>
        <w:rPr>
          <w:color w:val="000000" w:themeColor="text1"/>
          <w:kern w:val="0"/>
          <w:sz w:val="36"/>
          <w:szCs w:val="36"/>
          <w14:textFill>
            <w14:solidFill>
              <w14:schemeClr w14:val="tx1"/>
            </w14:solidFill>
          </w14:textFill>
        </w:rPr>
        <w:t>包    号</w:t>
      </w:r>
      <w:r>
        <w:rPr>
          <w:color w:val="000000" w:themeColor="text1"/>
          <w:sz w:val="36"/>
          <w:szCs w:val="36"/>
          <w14:textFill>
            <w14:solidFill>
              <w14:schemeClr w14:val="tx1"/>
            </w14:solidFill>
          </w14:textFill>
        </w:rPr>
        <w:t>：</w:t>
      </w:r>
    </w:p>
    <w:p>
      <w:pPr>
        <w:kinsoku w:val="0"/>
        <w:overflowPunct w:val="0"/>
        <w:autoSpaceDE w:val="0"/>
        <w:autoSpaceDN w:val="0"/>
        <w:snapToGrid w:val="0"/>
        <w:spacing w:line="360" w:lineRule="auto"/>
        <w:ind w:firstLine="0" w:firstLineChars="0"/>
        <w:jc w:val="center"/>
        <w:rPr>
          <w:color w:val="000000" w:themeColor="text1"/>
          <w:kern w:val="0"/>
          <w:sz w:val="84"/>
          <w:szCs w:val="84"/>
          <w14:textFill>
            <w14:solidFill>
              <w14:schemeClr w14:val="tx1"/>
            </w14:solidFill>
          </w14:textFill>
        </w:rPr>
      </w:pPr>
      <w:r>
        <w:rPr>
          <w:b/>
          <w:color w:val="000000" w:themeColor="text1"/>
          <w:kern w:val="0"/>
          <w:sz w:val="84"/>
          <w:szCs w:val="84"/>
          <w14:textFill>
            <w14:solidFill>
              <w14:schemeClr w14:val="tx1"/>
            </w14:solidFill>
          </w14:textFill>
        </w:rPr>
        <w:t>投</w:t>
      </w:r>
    </w:p>
    <w:p>
      <w:pPr>
        <w:kinsoku w:val="0"/>
        <w:overflowPunct w:val="0"/>
        <w:autoSpaceDE w:val="0"/>
        <w:autoSpaceDN w:val="0"/>
        <w:snapToGrid w:val="0"/>
        <w:spacing w:line="360" w:lineRule="auto"/>
        <w:ind w:firstLine="0" w:firstLineChars="0"/>
        <w:jc w:val="center"/>
        <w:rPr>
          <w:color w:val="000000" w:themeColor="text1"/>
          <w:kern w:val="0"/>
          <w:sz w:val="84"/>
          <w:szCs w:val="84"/>
          <w14:textFill>
            <w14:solidFill>
              <w14:schemeClr w14:val="tx1"/>
            </w14:solidFill>
          </w14:textFill>
        </w:rPr>
      </w:pPr>
      <w:r>
        <w:rPr>
          <w:b/>
          <w:color w:val="000000" w:themeColor="text1"/>
          <w:kern w:val="0"/>
          <w:sz w:val="84"/>
          <w:szCs w:val="84"/>
          <w14:textFill>
            <w14:solidFill>
              <w14:schemeClr w14:val="tx1"/>
            </w14:solidFill>
          </w14:textFill>
        </w:rPr>
        <w:t>标</w:t>
      </w:r>
    </w:p>
    <w:p>
      <w:pPr>
        <w:kinsoku w:val="0"/>
        <w:overflowPunct w:val="0"/>
        <w:autoSpaceDE w:val="0"/>
        <w:autoSpaceDN w:val="0"/>
        <w:snapToGrid w:val="0"/>
        <w:spacing w:line="360" w:lineRule="auto"/>
        <w:ind w:firstLine="0" w:firstLineChars="0"/>
        <w:jc w:val="center"/>
        <w:rPr>
          <w:color w:val="000000" w:themeColor="text1"/>
          <w:kern w:val="0"/>
          <w:sz w:val="84"/>
          <w:szCs w:val="84"/>
          <w14:textFill>
            <w14:solidFill>
              <w14:schemeClr w14:val="tx1"/>
            </w14:solidFill>
          </w14:textFill>
        </w:rPr>
      </w:pPr>
      <w:r>
        <w:rPr>
          <w:b/>
          <w:color w:val="000000" w:themeColor="text1"/>
          <w:kern w:val="0"/>
          <w:sz w:val="84"/>
          <w:szCs w:val="84"/>
          <w14:textFill>
            <w14:solidFill>
              <w14:schemeClr w14:val="tx1"/>
            </w14:solidFill>
          </w14:textFill>
        </w:rPr>
        <w:t>文</w:t>
      </w:r>
    </w:p>
    <w:p>
      <w:pPr>
        <w:kinsoku w:val="0"/>
        <w:overflowPunct w:val="0"/>
        <w:autoSpaceDE w:val="0"/>
        <w:autoSpaceDN w:val="0"/>
        <w:snapToGrid w:val="0"/>
        <w:spacing w:line="360" w:lineRule="auto"/>
        <w:ind w:firstLine="0" w:firstLineChars="0"/>
        <w:jc w:val="center"/>
        <w:rPr>
          <w:b/>
          <w:color w:val="000000" w:themeColor="text1"/>
          <w:kern w:val="0"/>
          <w:sz w:val="52"/>
          <w:szCs w:val="52"/>
          <w14:textFill>
            <w14:solidFill>
              <w14:schemeClr w14:val="tx1"/>
            </w14:solidFill>
          </w14:textFill>
        </w:rPr>
      </w:pPr>
      <w:r>
        <w:rPr>
          <w:b/>
          <w:color w:val="000000" w:themeColor="text1"/>
          <w:kern w:val="0"/>
          <w:sz w:val="84"/>
          <w:szCs w:val="84"/>
          <w14:textFill>
            <w14:solidFill>
              <w14:schemeClr w14:val="tx1"/>
            </w14:solidFill>
          </w14:textFill>
        </w:rPr>
        <w:t>件</w:t>
      </w:r>
    </w:p>
    <w:p>
      <w:pPr>
        <w:kinsoku w:val="0"/>
        <w:overflowPunct w:val="0"/>
        <w:autoSpaceDE w:val="0"/>
        <w:autoSpaceDN w:val="0"/>
        <w:snapToGrid w:val="0"/>
        <w:spacing w:line="360" w:lineRule="auto"/>
        <w:ind w:firstLine="560"/>
        <w:rPr>
          <w:color w:val="000000" w:themeColor="text1"/>
          <w:kern w:val="0"/>
          <w:szCs w:val="28"/>
          <w:u w:val="single"/>
          <w14:textFill>
            <w14:solidFill>
              <w14:schemeClr w14:val="tx1"/>
            </w14:solidFill>
          </w14:textFill>
        </w:rPr>
      </w:pPr>
      <w:r>
        <w:rPr>
          <w:color w:val="000000" w:themeColor="text1"/>
          <w:kern w:val="0"/>
          <w:szCs w:val="28"/>
          <w14:textFill>
            <w14:solidFill>
              <w14:schemeClr w14:val="tx1"/>
            </w14:solidFill>
          </w14:textFill>
        </w:rPr>
        <w:t>投标人单位全称：</w:t>
      </w:r>
      <w:r>
        <w:rPr>
          <w:color w:val="000000" w:themeColor="text1"/>
          <w:kern w:val="0"/>
          <w:szCs w:val="28"/>
          <w:u w:val="single"/>
          <w14:textFill>
            <w14:solidFill>
              <w14:schemeClr w14:val="tx1"/>
            </w14:solidFill>
          </w14:textFill>
        </w:rPr>
        <w:t xml:space="preserve">                     </w:t>
      </w:r>
      <w:r>
        <w:rPr>
          <w:color w:val="000000" w:themeColor="text1"/>
          <w:kern w:val="0"/>
          <w:szCs w:val="28"/>
          <w14:textFill>
            <w14:solidFill>
              <w14:schemeClr w14:val="tx1"/>
            </w14:solidFill>
          </w14:textFill>
        </w:rPr>
        <w:t>（加盖单位公章）</w:t>
      </w:r>
    </w:p>
    <w:p>
      <w:pPr>
        <w:kinsoku w:val="0"/>
        <w:overflowPunct w:val="0"/>
        <w:autoSpaceDE w:val="0"/>
        <w:autoSpaceDN w:val="0"/>
        <w:snapToGrid w:val="0"/>
        <w:spacing w:line="360" w:lineRule="auto"/>
        <w:ind w:firstLine="560"/>
        <w:rPr>
          <w:color w:val="000000" w:themeColor="text1"/>
          <w:kern w:val="0"/>
          <w:szCs w:val="28"/>
          <w:u w:val="single"/>
          <w14:textFill>
            <w14:solidFill>
              <w14:schemeClr w14:val="tx1"/>
            </w14:solidFill>
          </w14:textFill>
        </w:rPr>
      </w:pPr>
      <w:r>
        <w:rPr>
          <w:color w:val="000000" w:themeColor="text1"/>
          <w:kern w:val="0"/>
          <w:szCs w:val="28"/>
          <w14:textFill>
            <w14:solidFill>
              <w14:schemeClr w14:val="tx1"/>
            </w14:solidFill>
          </w14:textFill>
        </w:rPr>
        <w:t>法定代表人或授权代表签字或盖章：</w:t>
      </w:r>
    </w:p>
    <w:p>
      <w:pPr>
        <w:kinsoku w:val="0"/>
        <w:overflowPunct w:val="0"/>
        <w:autoSpaceDE w:val="0"/>
        <w:autoSpaceDN w:val="0"/>
        <w:snapToGrid w:val="0"/>
        <w:spacing w:line="360" w:lineRule="auto"/>
        <w:ind w:firstLine="2240" w:firstLineChars="800"/>
        <w:rPr>
          <w:b/>
          <w:bCs/>
          <w:color w:val="000000" w:themeColor="text1"/>
          <w:szCs w:val="28"/>
          <w14:textFill>
            <w14:solidFill>
              <w14:schemeClr w14:val="tx1"/>
            </w14:solidFill>
          </w14:textFill>
        </w:rPr>
      </w:pPr>
      <w:r>
        <w:rPr>
          <w:color w:val="000000" w:themeColor="text1"/>
          <w:kern w:val="0"/>
          <w:szCs w:val="28"/>
          <w14:textFill>
            <w14:solidFill>
              <w14:schemeClr w14:val="tx1"/>
            </w14:solidFill>
          </w14:textFill>
        </w:rPr>
        <w:t>二〇二四  年  月   日</w:t>
      </w:r>
    </w:p>
    <w:p>
      <w:pPr>
        <w:tabs>
          <w:tab w:val="left" w:pos="567"/>
        </w:tabs>
        <w:kinsoku w:val="0"/>
        <w:overflowPunct w:val="0"/>
        <w:autoSpaceDE w:val="0"/>
        <w:autoSpaceDN w:val="0"/>
        <w:snapToGrid w:val="0"/>
        <w:spacing w:line="360" w:lineRule="auto"/>
        <w:ind w:firstLine="0" w:firstLineChars="0"/>
        <w:jc w:val="center"/>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资格证明部分</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*有效的营业执照</w:t>
      </w:r>
      <w:r>
        <w:rPr>
          <w:rFonts w:hint="eastAsia"/>
          <w:color w:val="000000" w:themeColor="text1"/>
          <w:kern w:val="0"/>
          <w:szCs w:val="28"/>
          <w14:textFill>
            <w14:solidFill>
              <w14:schemeClr w14:val="tx1"/>
            </w14:solidFill>
          </w14:textFill>
        </w:rPr>
        <w:t>/</w:t>
      </w:r>
      <w:r>
        <w:rPr>
          <w:color w:val="000000" w:themeColor="text1"/>
          <w:kern w:val="0"/>
          <w:szCs w:val="28"/>
          <w14:textFill>
            <w14:solidFill>
              <w14:schemeClr w14:val="tx1"/>
            </w14:solidFill>
          </w14:textFill>
        </w:rPr>
        <w:t>事业单位法人证书</w:t>
      </w:r>
      <w:r>
        <w:rPr>
          <w:rFonts w:hint="eastAsia"/>
          <w:color w:val="000000" w:themeColor="text1"/>
          <w:kern w:val="0"/>
          <w:szCs w:val="28"/>
          <w14:textFill>
            <w14:solidFill>
              <w14:schemeClr w14:val="tx1"/>
            </w14:solidFill>
          </w14:textFill>
        </w:rPr>
        <w:t>/</w:t>
      </w:r>
      <w:r>
        <w:rPr>
          <w:color w:val="000000" w:themeColor="text1"/>
          <w:kern w:val="0"/>
          <w:szCs w:val="28"/>
          <w14:textFill>
            <w14:solidFill>
              <w14:schemeClr w14:val="tx1"/>
            </w14:solidFill>
          </w14:textFill>
        </w:rPr>
        <w:t>自然人身份证明或其他非企业组织证明独立承担民事责任能力的文件（复印件须加盖投标人公章）</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*供应商信用承诺书（见‘投标文件格式’）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adjustRightInd w:val="0"/>
        <w:snapToGrid w:val="0"/>
        <w:spacing w:line="360" w:lineRule="auto"/>
        <w:ind w:firstLine="560"/>
        <w:rPr>
          <w:color w:val="000000" w:themeColor="text1"/>
          <w:kern w:val="0"/>
          <w:szCs w:val="28"/>
          <w14:textFill>
            <w14:solidFill>
              <w14:schemeClr w14:val="tx1"/>
            </w14:solidFill>
          </w14:textFill>
        </w:rPr>
      </w:pPr>
      <w:r>
        <w:rPr>
          <w:snapToGrid w:val="0"/>
          <w:color w:val="000000" w:themeColor="text1"/>
          <w:szCs w:val="28"/>
          <w14:textFill>
            <w14:solidFill>
              <w14:schemeClr w14:val="tx1"/>
            </w14:solidFill>
          </w14:textFill>
        </w:rPr>
        <w:t>*投标人未被列入“信用中国”网站（www.creditchina.gov.cn）“失信被执行人”名单、“重大税收违法失信主体或政府采购严重违法失信行为”记录名单；不处于中国政府采购网(www.ccgp.gov.cn)“政府采购严重违法失信行为信息记录”中的禁止参加政府采购活动期间（此项无需投标人提供，以采购代理机构于投标截止日在上述网站查询结果为准，如查询结果未显示存在失信记录，视为评审时未发现不良信用记录）</w:t>
      </w:r>
      <w:r>
        <w:rPr>
          <w:rFonts w:hint="eastAsia"/>
          <w:snapToGrid w:val="0"/>
          <w:color w:val="000000" w:themeColor="text1"/>
          <w:szCs w:val="28"/>
          <w14:textFill>
            <w14:solidFill>
              <w14:schemeClr w14:val="tx1"/>
            </w14:solidFill>
          </w14:textFill>
        </w:rPr>
        <w:t>。</w:t>
      </w:r>
    </w:p>
    <w:p>
      <w:pPr>
        <w:widowControl/>
        <w:spacing w:line="360" w:lineRule="auto"/>
        <w:ind w:firstLine="560"/>
        <w:textAlignment w:val="baseline"/>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w:t>
      </w:r>
      <w:r>
        <w:rPr>
          <w:rFonts w:hint="eastAsia"/>
          <w:color w:val="000000" w:themeColor="text1"/>
          <w:kern w:val="0"/>
          <w:szCs w:val="28"/>
          <w14:textFill>
            <w14:solidFill>
              <w14:schemeClr w14:val="tx1"/>
            </w14:solidFill>
          </w14:textFill>
        </w:rPr>
        <w:t>投标保证金凭证、银行开户许可证或基本存款账户信息（复印件须加盖投标人公章）。</w:t>
      </w:r>
    </w:p>
    <w:p>
      <w:pPr>
        <w:widowControl/>
        <w:spacing w:line="360" w:lineRule="auto"/>
        <w:ind w:firstLine="560"/>
        <w:textAlignment w:val="baseline"/>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w:t>
      </w:r>
      <w:r>
        <w:rPr>
          <w:rFonts w:hint="eastAsia"/>
          <w:color w:val="000000" w:themeColor="text1"/>
          <w:kern w:val="0"/>
          <w:szCs w:val="28"/>
          <w14:textFill>
            <w14:solidFill>
              <w14:schemeClr w14:val="tx1"/>
            </w14:solidFill>
          </w14:textFill>
        </w:rPr>
        <w:t>承诺书</w:t>
      </w:r>
      <w:r>
        <w:rPr>
          <w:color w:val="000000" w:themeColor="text1"/>
          <w:kern w:val="0"/>
          <w:szCs w:val="28"/>
          <w14:textFill>
            <w14:solidFill>
              <w14:schemeClr w14:val="tx1"/>
            </w14:solidFill>
          </w14:textFill>
        </w:rPr>
        <w:t>（见‘投标文件格式’）</w:t>
      </w:r>
      <w:r>
        <w:rPr>
          <w:rFonts w:hint="eastAsia"/>
          <w:color w:val="000000" w:themeColor="text1"/>
          <w:kern w:val="0"/>
          <w:szCs w:val="28"/>
          <w14:textFill>
            <w14:solidFill>
              <w14:schemeClr w14:val="tx1"/>
            </w14:solidFill>
          </w14:textFill>
        </w:rPr>
        <w:t>。</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t>投标人认为需要提供的其他资格证明文件。</w:t>
      </w:r>
    </w:p>
    <w:p>
      <w:pPr>
        <w:widowControl/>
        <w:spacing w:line="360" w:lineRule="auto"/>
        <w:ind w:firstLine="560"/>
        <w:textAlignment w:val="baseline"/>
        <w:rPr>
          <w:color w:val="000000" w:themeColor="text1"/>
          <w:kern w:val="0"/>
          <w:szCs w:val="28"/>
          <w14:textFill>
            <w14:solidFill>
              <w14:schemeClr w14:val="tx1"/>
            </w14:solidFill>
          </w14:textFill>
        </w:rPr>
      </w:pPr>
    </w:p>
    <w:p>
      <w:pPr>
        <w:widowControl/>
        <w:spacing w:line="360" w:lineRule="auto"/>
        <w:ind w:firstLine="560"/>
        <w:textAlignment w:val="baseline"/>
        <w:rPr>
          <w:color w:val="000000" w:themeColor="text1"/>
          <w:kern w:val="0"/>
          <w:szCs w:val="28"/>
          <w14:textFill>
            <w14:solidFill>
              <w14:schemeClr w14:val="tx1"/>
            </w14:solidFill>
          </w14:textFill>
        </w:rPr>
      </w:pPr>
    </w:p>
    <w:p>
      <w:pPr>
        <w:ind w:firstLine="602"/>
        <w:rPr>
          <w:b/>
          <w:color w:val="000000" w:themeColor="text1"/>
          <w:spacing w:val="10"/>
          <w:kern w:val="0"/>
          <w:szCs w:val="28"/>
          <w14:textFill>
            <w14:solidFill>
              <w14:schemeClr w14:val="tx1"/>
            </w14:solidFill>
          </w14:textFill>
        </w:rPr>
      </w:pPr>
      <w:r>
        <w:rPr>
          <w:b/>
          <w:color w:val="000000" w:themeColor="text1"/>
          <w:spacing w:val="10"/>
          <w:kern w:val="0"/>
          <w:szCs w:val="28"/>
          <w14:textFill>
            <w14:solidFill>
              <w14:schemeClr w14:val="tx1"/>
            </w14:solidFill>
          </w14:textFill>
        </w:rPr>
        <w:br w:type="page"/>
      </w:r>
    </w:p>
    <w:p>
      <w:pPr>
        <w:widowControl/>
        <w:snapToGrid w:val="0"/>
        <w:spacing w:line="360" w:lineRule="auto"/>
        <w:ind w:firstLine="0" w:firstLineChars="0"/>
        <w:jc w:val="center"/>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有效的营业执照</w:t>
      </w:r>
      <w:r>
        <w:rPr>
          <w:rFonts w:hint="eastAsia"/>
          <w:b/>
          <w:bCs/>
          <w:color w:val="000000" w:themeColor="text1"/>
          <w:kern w:val="0"/>
          <w:szCs w:val="28"/>
          <w:highlight w:val="none"/>
          <w14:textFill>
            <w14:solidFill>
              <w14:schemeClr w14:val="tx1"/>
            </w14:solidFill>
          </w14:textFill>
        </w:rPr>
        <w:t>/</w:t>
      </w:r>
      <w:r>
        <w:rPr>
          <w:b/>
          <w:bCs/>
          <w:color w:val="000000" w:themeColor="text1"/>
          <w:kern w:val="0"/>
          <w:szCs w:val="28"/>
          <w:highlight w:val="none"/>
          <w14:textFill>
            <w14:solidFill>
              <w14:schemeClr w14:val="tx1"/>
            </w14:solidFill>
          </w14:textFill>
        </w:rPr>
        <w:t>事业单位法人证书</w:t>
      </w:r>
      <w:r>
        <w:rPr>
          <w:rFonts w:hint="eastAsia"/>
          <w:b/>
          <w:bCs/>
          <w:color w:val="000000" w:themeColor="text1"/>
          <w:kern w:val="0"/>
          <w:szCs w:val="28"/>
          <w:highlight w:val="none"/>
          <w14:textFill>
            <w14:solidFill>
              <w14:schemeClr w14:val="tx1"/>
            </w14:solidFill>
          </w14:textFill>
        </w:rPr>
        <w:t>/</w:t>
      </w:r>
      <w:r>
        <w:rPr>
          <w:b/>
          <w:bCs/>
          <w:color w:val="000000" w:themeColor="text1"/>
          <w:kern w:val="0"/>
          <w:szCs w:val="28"/>
          <w:highlight w:val="none"/>
          <w14:textFill>
            <w14:solidFill>
              <w14:schemeClr w14:val="tx1"/>
            </w14:solidFill>
          </w14:textFill>
        </w:rPr>
        <w:t>自然人身份证明或其他非企业组织证明独立承担民事责任能力的文件</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b/>
          <w:color w:val="000000"/>
          <w:sz w:val="24"/>
        </w:rPr>
      </w:pPr>
    </w:p>
    <w:p>
      <w:pPr>
        <w:ind w:left="0" w:leftChars="0" w:firstLine="2891" w:firstLineChars="1200"/>
        <w:rPr>
          <w:rFonts w:hint="eastAsia" w:eastAsia="宋体"/>
          <w:b/>
          <w:color w:val="000000"/>
          <w:sz w:val="24"/>
          <w:lang w:eastAsia="zh-CN"/>
        </w:rPr>
      </w:pPr>
      <w:r>
        <w:rPr>
          <w:b/>
          <w:color w:val="000000"/>
          <w:sz w:val="24"/>
        </w:rPr>
        <w:t>供应商信用承诺书</w:t>
      </w:r>
      <w:r>
        <w:rPr>
          <w:rFonts w:hint="eastAsia"/>
          <w:b/>
          <w:color w:val="000000"/>
          <w:sz w:val="24"/>
          <w:lang w:eastAsia="zh-CN"/>
        </w:rPr>
        <w:t>（</w:t>
      </w:r>
      <w:r>
        <w:rPr>
          <w:rFonts w:hint="eastAsia"/>
          <w:b/>
          <w:color w:val="000000"/>
          <w:sz w:val="24"/>
          <w:lang w:val="en-US" w:eastAsia="zh-CN"/>
        </w:rPr>
        <w:t>格式</w:t>
      </w:r>
      <w:r>
        <w:rPr>
          <w:rFonts w:hint="eastAsia"/>
          <w:b/>
          <w:color w:val="000000"/>
          <w:sz w:val="24"/>
          <w:lang w:eastAsia="zh-CN"/>
        </w:rPr>
        <w:t>）</w:t>
      </w:r>
    </w:p>
    <w:p>
      <w:pPr>
        <w:snapToGrid w:val="0"/>
        <w:spacing w:line="360" w:lineRule="auto"/>
        <w:ind w:firstLine="560"/>
        <w:rPr>
          <w:color w:val="000000"/>
          <w:szCs w:val="21"/>
        </w:rPr>
      </w:pPr>
    </w:p>
    <w:p>
      <w:pPr>
        <w:snapToGrid w:val="0"/>
        <w:spacing w:line="360" w:lineRule="auto"/>
        <w:ind w:firstLine="0" w:firstLineChars="0"/>
        <w:rPr>
          <w:color w:val="000000"/>
          <w:sz w:val="24"/>
        </w:rPr>
      </w:pPr>
      <w:r>
        <w:rPr>
          <w:rFonts w:hint="eastAsia"/>
          <w:color w:val="000000"/>
          <w:sz w:val="24"/>
        </w:rPr>
        <w:t>山西中兴财项目管理有限公司</w:t>
      </w:r>
      <w:r>
        <w:rPr>
          <w:color w:val="000000"/>
          <w:sz w:val="24"/>
        </w:rPr>
        <w:t>：</w:t>
      </w:r>
    </w:p>
    <w:p>
      <w:pPr>
        <w:snapToGrid w:val="0"/>
        <w:spacing w:line="360" w:lineRule="auto"/>
        <w:ind w:firstLine="480"/>
        <w:rPr>
          <w:color w:val="000000"/>
          <w:sz w:val="24"/>
        </w:rPr>
      </w:pPr>
      <w:r>
        <w:rPr>
          <w:color w:val="000000"/>
          <w:sz w:val="24"/>
        </w:rPr>
        <w:t>本</w:t>
      </w:r>
      <w:r>
        <w:rPr>
          <w:rFonts w:hint="eastAsia"/>
          <w:color w:val="000000"/>
          <w:sz w:val="24"/>
        </w:rPr>
        <w:t>公司</w:t>
      </w:r>
      <w:r>
        <w:rPr>
          <w:color w:val="000000"/>
          <w:sz w:val="24"/>
        </w:rPr>
        <w:t>参与</w:t>
      </w:r>
      <w:r>
        <w:rPr>
          <w:color w:val="000000"/>
          <w:sz w:val="24"/>
          <w:u w:val="single"/>
        </w:rPr>
        <w:t xml:space="preserve">                      </w:t>
      </w:r>
      <w:r>
        <w:rPr>
          <w:color w:val="000000"/>
          <w:sz w:val="24"/>
        </w:rPr>
        <w:t>（项目编号：</w:t>
      </w:r>
      <w:r>
        <w:rPr>
          <w:color w:val="000000"/>
          <w:sz w:val="24"/>
          <w:u w:val="single"/>
        </w:rPr>
        <w:t xml:space="preserve">             </w:t>
      </w:r>
      <w:r>
        <w:rPr>
          <w:color w:val="000000"/>
          <w:sz w:val="24"/>
        </w:rPr>
        <w:t>）的采购活动</w:t>
      </w:r>
      <w:r>
        <w:rPr>
          <w:rFonts w:hint="eastAsia"/>
          <w:color w:val="000000"/>
          <w:sz w:val="24"/>
        </w:rPr>
        <w:t>。针对本次采购项目，</w:t>
      </w:r>
      <w:r>
        <w:rPr>
          <w:color w:val="000000"/>
          <w:sz w:val="24"/>
        </w:rPr>
        <w:t>我公司作出如下承诺：</w:t>
      </w:r>
    </w:p>
    <w:p>
      <w:pPr>
        <w:snapToGrid w:val="0"/>
        <w:spacing w:line="360" w:lineRule="auto"/>
        <w:ind w:firstLine="480"/>
        <w:rPr>
          <w:color w:val="000000"/>
          <w:sz w:val="24"/>
        </w:rPr>
      </w:pPr>
      <w:r>
        <w:rPr>
          <w:color w:val="000000"/>
          <w:sz w:val="24"/>
        </w:rPr>
        <w:t>我公司</w:t>
      </w:r>
      <w:r>
        <w:rPr>
          <w:rFonts w:hint="eastAsia"/>
          <w:color w:val="000000"/>
          <w:sz w:val="24"/>
        </w:rPr>
        <w:t>满足</w:t>
      </w:r>
      <w:r>
        <w:rPr>
          <w:color w:val="000000"/>
          <w:sz w:val="24"/>
        </w:rPr>
        <w:t>《中华人民共和国政府采购法》第二十二条规定</w:t>
      </w:r>
    </w:p>
    <w:p>
      <w:pPr>
        <w:snapToGrid w:val="0"/>
        <w:spacing w:line="360" w:lineRule="auto"/>
        <w:ind w:firstLine="480"/>
        <w:rPr>
          <w:color w:val="000000"/>
          <w:sz w:val="24"/>
        </w:rPr>
      </w:pPr>
      <w:r>
        <w:rPr>
          <w:color w:val="000000"/>
          <w:sz w:val="24"/>
        </w:rPr>
        <w:t>1</w:t>
      </w:r>
      <w:r>
        <w:rPr>
          <w:rFonts w:hint="eastAsia"/>
          <w:color w:val="000000"/>
          <w:sz w:val="24"/>
        </w:rPr>
        <w:t>.</w:t>
      </w:r>
      <w:r>
        <w:rPr>
          <w:color w:val="000000"/>
          <w:sz w:val="24"/>
        </w:rPr>
        <w:t>具有独立承担民事责任的能力；</w:t>
      </w:r>
    </w:p>
    <w:p>
      <w:pPr>
        <w:snapToGrid w:val="0"/>
        <w:spacing w:line="360" w:lineRule="auto"/>
        <w:ind w:firstLine="480"/>
        <w:rPr>
          <w:color w:val="000000"/>
          <w:sz w:val="24"/>
        </w:rPr>
      </w:pPr>
      <w:r>
        <w:rPr>
          <w:color w:val="000000"/>
          <w:sz w:val="24"/>
        </w:rPr>
        <w:t>2</w:t>
      </w:r>
      <w:r>
        <w:rPr>
          <w:rFonts w:hint="eastAsia"/>
          <w:color w:val="000000"/>
          <w:sz w:val="24"/>
        </w:rPr>
        <w:t>.</w:t>
      </w:r>
      <w:r>
        <w:rPr>
          <w:color w:val="000000"/>
          <w:sz w:val="24"/>
        </w:rPr>
        <w:t>具有良好的商业信誉和健全的财务会计制度；</w:t>
      </w:r>
    </w:p>
    <w:p>
      <w:pPr>
        <w:snapToGrid w:val="0"/>
        <w:spacing w:line="360" w:lineRule="auto"/>
        <w:ind w:firstLine="480"/>
        <w:rPr>
          <w:color w:val="000000"/>
          <w:sz w:val="24"/>
        </w:rPr>
      </w:pPr>
      <w:r>
        <w:rPr>
          <w:color w:val="000000"/>
          <w:sz w:val="24"/>
        </w:rPr>
        <w:t>3</w:t>
      </w:r>
      <w:r>
        <w:rPr>
          <w:rFonts w:hint="eastAsia"/>
          <w:color w:val="000000"/>
          <w:sz w:val="24"/>
        </w:rPr>
        <w:t>.</w:t>
      </w:r>
      <w:r>
        <w:rPr>
          <w:color w:val="000000"/>
          <w:sz w:val="24"/>
        </w:rPr>
        <w:t>具有履行合同所必需的设备和专业技术能力；</w:t>
      </w:r>
    </w:p>
    <w:p>
      <w:pPr>
        <w:snapToGrid w:val="0"/>
        <w:spacing w:line="360" w:lineRule="auto"/>
        <w:ind w:firstLine="480"/>
        <w:rPr>
          <w:color w:val="000000"/>
          <w:sz w:val="24"/>
        </w:rPr>
      </w:pPr>
      <w:r>
        <w:rPr>
          <w:color w:val="000000"/>
          <w:sz w:val="24"/>
        </w:rPr>
        <w:t>4</w:t>
      </w:r>
      <w:r>
        <w:rPr>
          <w:rFonts w:hint="eastAsia"/>
          <w:color w:val="000000"/>
          <w:sz w:val="24"/>
        </w:rPr>
        <w:t>.</w:t>
      </w:r>
      <w:r>
        <w:rPr>
          <w:color w:val="000000"/>
          <w:sz w:val="24"/>
        </w:rPr>
        <w:t>有依法缴纳税收和社会保障资金的良好记录；</w:t>
      </w:r>
    </w:p>
    <w:p>
      <w:pPr>
        <w:snapToGrid w:val="0"/>
        <w:spacing w:line="360" w:lineRule="auto"/>
        <w:ind w:firstLine="480"/>
        <w:rPr>
          <w:color w:val="000000"/>
          <w:sz w:val="24"/>
        </w:rPr>
      </w:pPr>
      <w:r>
        <w:rPr>
          <w:color w:val="000000"/>
          <w:sz w:val="24"/>
        </w:rPr>
        <w:t>5</w:t>
      </w:r>
      <w:r>
        <w:rPr>
          <w:rFonts w:hint="eastAsia"/>
          <w:color w:val="000000"/>
          <w:sz w:val="24"/>
        </w:rPr>
        <w:t>.</w:t>
      </w:r>
      <w:r>
        <w:rPr>
          <w:color w:val="000000"/>
          <w:sz w:val="24"/>
        </w:rPr>
        <w:t>参加政府采购活动前三年内，在经营活动中没有重大违法记录；</w:t>
      </w:r>
    </w:p>
    <w:p>
      <w:pPr>
        <w:snapToGrid w:val="0"/>
        <w:spacing w:line="360" w:lineRule="auto"/>
        <w:ind w:firstLine="480"/>
        <w:rPr>
          <w:color w:val="000000"/>
          <w:sz w:val="24"/>
        </w:rPr>
      </w:pPr>
      <w:r>
        <w:rPr>
          <w:color w:val="000000"/>
          <w:sz w:val="24"/>
        </w:rPr>
        <w:t>6</w:t>
      </w:r>
      <w:r>
        <w:rPr>
          <w:rFonts w:hint="eastAsia"/>
          <w:color w:val="000000"/>
          <w:sz w:val="24"/>
        </w:rPr>
        <w:t>.</w:t>
      </w:r>
      <w:r>
        <w:rPr>
          <w:color w:val="000000"/>
          <w:sz w:val="24"/>
        </w:rPr>
        <w:t>法律、行政法规规定的其他条件。</w:t>
      </w:r>
    </w:p>
    <w:p>
      <w:pPr>
        <w:snapToGrid w:val="0"/>
        <w:spacing w:line="360" w:lineRule="auto"/>
        <w:ind w:firstLine="480"/>
        <w:rPr>
          <w:color w:val="000000"/>
          <w:sz w:val="24"/>
        </w:rPr>
      </w:pPr>
      <w:r>
        <w:rPr>
          <w:color w:val="000000"/>
          <w:sz w:val="24"/>
        </w:rPr>
        <w:t>如上述承诺不真实，愿意按照政府采购有关法律法规的规定接受处罚。</w:t>
      </w:r>
    </w:p>
    <w:p>
      <w:pPr>
        <w:snapToGrid w:val="0"/>
        <w:spacing w:line="360" w:lineRule="auto"/>
        <w:ind w:firstLine="480"/>
        <w:rPr>
          <w:color w:val="000000"/>
          <w:sz w:val="24"/>
        </w:rPr>
      </w:pPr>
      <w:r>
        <w:rPr>
          <w:color w:val="000000"/>
          <w:sz w:val="24"/>
        </w:rPr>
        <w:t>特此声明</w:t>
      </w:r>
    </w:p>
    <w:p>
      <w:pPr>
        <w:snapToGrid w:val="0"/>
        <w:spacing w:line="360" w:lineRule="auto"/>
        <w:ind w:firstLine="480"/>
        <w:rPr>
          <w:color w:val="000000"/>
          <w:sz w:val="24"/>
        </w:rPr>
      </w:pPr>
    </w:p>
    <w:p>
      <w:pPr>
        <w:tabs>
          <w:tab w:val="left" w:pos="4000"/>
        </w:tabs>
        <w:kinsoku w:val="0"/>
        <w:overflowPunct w:val="0"/>
        <w:autoSpaceDE w:val="0"/>
        <w:autoSpaceDN w:val="0"/>
        <w:snapToGrid w:val="0"/>
        <w:spacing w:line="360" w:lineRule="auto"/>
        <w:ind w:firstLine="4478" w:firstLineChars="186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投标人(公章)：</w:t>
      </w:r>
    </w:p>
    <w:p>
      <w:pPr>
        <w:tabs>
          <w:tab w:val="left" w:pos="4000"/>
        </w:tabs>
        <w:kinsoku w:val="0"/>
        <w:overflowPunct w:val="0"/>
        <w:autoSpaceDE w:val="0"/>
        <w:autoSpaceDN w:val="0"/>
        <w:snapToGrid w:val="0"/>
        <w:spacing w:line="360" w:lineRule="auto"/>
        <w:ind w:firstLine="4478" w:firstLineChars="186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日期：</w:t>
      </w:r>
    </w:p>
    <w:p>
      <w:pPr>
        <w:ind w:firstLine="560"/>
      </w:pPr>
    </w:p>
    <w:p>
      <w:pPr>
        <w:ind w:firstLine="562"/>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rFonts w:hint="eastAsia"/>
          <w:b/>
          <w:bCs/>
          <w:color w:val="000000" w:themeColor="text1"/>
          <w:kern w:val="0"/>
          <w:szCs w:val="28"/>
          <w:highlight w:val="none"/>
          <w14:textFill>
            <w14:solidFill>
              <w14:schemeClr w14:val="tx1"/>
            </w14:solidFill>
          </w14:textFill>
        </w:rPr>
      </w:pPr>
      <w:r>
        <w:rPr>
          <w:rFonts w:hint="eastAsia"/>
          <w:b/>
          <w:bCs/>
          <w:color w:val="000000" w:themeColor="text1"/>
          <w:kern w:val="0"/>
          <w:szCs w:val="28"/>
          <w:highlight w:val="none"/>
          <w14:textFill>
            <w14:solidFill>
              <w14:schemeClr w14:val="tx1"/>
            </w14:solidFill>
          </w14:textFill>
        </w:rPr>
        <w:t>投标保证金凭证、银行开户许可证或基本存款账户信息</w:t>
      </w: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b/>
          <w:bCs/>
          <w:color w:val="000000" w:themeColor="text1"/>
          <w:kern w:val="0"/>
          <w:szCs w:val="28"/>
          <w14:textFill>
            <w14:solidFill>
              <w14:schemeClr w14:val="tx1"/>
            </w14:solidFill>
          </w14:textFill>
        </w:rPr>
      </w:pPr>
    </w:p>
    <w:p>
      <w:pPr>
        <w:widowControl/>
        <w:spacing w:line="360" w:lineRule="auto"/>
        <w:ind w:firstLine="0" w:firstLineChars="0"/>
        <w:jc w:val="center"/>
        <w:textAlignment w:val="baseline"/>
        <w:rPr>
          <w:rFonts w:hint="eastAsia" w:eastAsia="宋体"/>
          <w:b/>
          <w:bCs/>
          <w:color w:val="000000" w:themeColor="text1"/>
          <w:kern w:val="0"/>
          <w:szCs w:val="28"/>
          <w:lang w:val="en-US" w:eastAsia="zh-CN"/>
          <w14:textFill>
            <w14:solidFill>
              <w14:schemeClr w14:val="tx1"/>
            </w14:solidFill>
          </w14:textFill>
        </w:rPr>
      </w:pPr>
      <w:r>
        <w:rPr>
          <w:b/>
          <w:bCs/>
          <w:color w:val="000000" w:themeColor="text1"/>
          <w:kern w:val="0"/>
          <w:szCs w:val="28"/>
          <w14:textFill>
            <w14:solidFill>
              <w14:schemeClr w14:val="tx1"/>
            </w14:solidFill>
          </w14:textFill>
        </w:rPr>
        <w:t>承</w:t>
      </w:r>
      <w:r>
        <w:rPr>
          <w:rFonts w:hint="eastAsia"/>
          <w:b/>
          <w:bCs/>
          <w:color w:val="000000" w:themeColor="text1"/>
          <w:kern w:val="0"/>
          <w:szCs w:val="28"/>
          <w14:textFill>
            <w14:solidFill>
              <w14:schemeClr w14:val="tx1"/>
            </w14:solidFill>
          </w14:textFill>
        </w:rPr>
        <w:t xml:space="preserve"> </w:t>
      </w:r>
      <w:r>
        <w:rPr>
          <w:b/>
          <w:bCs/>
          <w:color w:val="000000" w:themeColor="text1"/>
          <w:kern w:val="0"/>
          <w:szCs w:val="28"/>
          <w14:textFill>
            <w14:solidFill>
              <w14:schemeClr w14:val="tx1"/>
            </w14:solidFill>
          </w14:textFill>
        </w:rPr>
        <w:t>诺</w:t>
      </w:r>
      <w:r>
        <w:rPr>
          <w:rFonts w:hint="eastAsia"/>
          <w:b/>
          <w:bCs/>
          <w:color w:val="000000" w:themeColor="text1"/>
          <w:kern w:val="0"/>
          <w:szCs w:val="28"/>
          <w14:textFill>
            <w14:solidFill>
              <w14:schemeClr w14:val="tx1"/>
            </w14:solidFill>
          </w14:textFill>
        </w:rPr>
        <w:t xml:space="preserve"> 书</w:t>
      </w:r>
      <w:r>
        <w:rPr>
          <w:rFonts w:hint="eastAsia"/>
          <w:b/>
          <w:bCs/>
          <w:color w:val="000000" w:themeColor="text1"/>
          <w:kern w:val="0"/>
          <w:szCs w:val="28"/>
          <w:lang w:eastAsia="zh-CN"/>
          <w14:textFill>
            <w14:solidFill>
              <w14:schemeClr w14:val="tx1"/>
            </w14:solidFill>
          </w14:textFill>
        </w:rPr>
        <w:t>（</w:t>
      </w:r>
      <w:r>
        <w:rPr>
          <w:rFonts w:hint="eastAsia"/>
          <w:b/>
          <w:bCs/>
          <w:color w:val="000000" w:themeColor="text1"/>
          <w:kern w:val="0"/>
          <w:szCs w:val="28"/>
          <w:lang w:val="en-US" w:eastAsia="zh-CN"/>
          <w14:textFill>
            <w14:solidFill>
              <w14:schemeClr w14:val="tx1"/>
            </w14:solidFill>
          </w14:textFill>
        </w:rPr>
        <w:t>格式</w:t>
      </w:r>
      <w:r>
        <w:rPr>
          <w:rFonts w:hint="eastAsia"/>
          <w:b/>
          <w:bCs/>
          <w:color w:val="000000" w:themeColor="text1"/>
          <w:kern w:val="0"/>
          <w:szCs w:val="28"/>
          <w:lang w:eastAsia="zh-CN"/>
          <w14:textFill>
            <w14:solidFill>
              <w14:schemeClr w14:val="tx1"/>
            </w14:solidFill>
          </w14:textFill>
        </w:rPr>
        <w:t>）</w:t>
      </w:r>
    </w:p>
    <w:p>
      <w:pPr>
        <w:snapToGrid w:val="0"/>
        <w:spacing w:line="360" w:lineRule="auto"/>
        <w:ind w:firstLine="0" w:firstLineChars="0"/>
        <w:rPr>
          <w:color w:val="000000"/>
          <w:sz w:val="24"/>
        </w:rPr>
      </w:pPr>
      <w:r>
        <w:rPr>
          <w:rFonts w:hint="eastAsia"/>
          <w:color w:val="000000"/>
          <w:sz w:val="24"/>
        </w:rPr>
        <w:t>山西中兴财项目管理有限公司</w:t>
      </w:r>
      <w:r>
        <w:rPr>
          <w:color w:val="000000"/>
          <w:sz w:val="24"/>
        </w:rPr>
        <w:t>：</w:t>
      </w:r>
    </w:p>
    <w:p>
      <w:pPr>
        <w:snapToGrid w:val="0"/>
        <w:spacing w:line="360" w:lineRule="auto"/>
        <w:ind w:firstLine="480"/>
        <w:rPr>
          <w:color w:val="000000"/>
          <w:sz w:val="24"/>
        </w:rPr>
      </w:pPr>
    </w:p>
    <w:p>
      <w:pPr>
        <w:snapToGrid w:val="0"/>
        <w:spacing w:line="360" w:lineRule="auto"/>
        <w:ind w:firstLine="480"/>
        <w:rPr>
          <w:color w:val="000000"/>
          <w:sz w:val="24"/>
        </w:rPr>
      </w:pPr>
      <w:r>
        <w:rPr>
          <w:color w:val="000000"/>
          <w:sz w:val="24"/>
        </w:rPr>
        <w:t>本</w:t>
      </w:r>
      <w:r>
        <w:rPr>
          <w:rFonts w:hint="eastAsia"/>
          <w:color w:val="000000"/>
          <w:sz w:val="24"/>
        </w:rPr>
        <w:t>公司</w:t>
      </w:r>
      <w:r>
        <w:rPr>
          <w:color w:val="000000"/>
          <w:sz w:val="24"/>
        </w:rPr>
        <w:t>参与</w:t>
      </w:r>
      <w:r>
        <w:rPr>
          <w:color w:val="000000"/>
          <w:sz w:val="24"/>
          <w:u w:val="single"/>
        </w:rPr>
        <w:t xml:space="preserve">                      </w:t>
      </w:r>
      <w:r>
        <w:rPr>
          <w:color w:val="000000"/>
          <w:sz w:val="24"/>
        </w:rPr>
        <w:t>（项目编号：</w:t>
      </w:r>
      <w:r>
        <w:rPr>
          <w:color w:val="000000"/>
          <w:sz w:val="24"/>
          <w:u w:val="single"/>
        </w:rPr>
        <w:t xml:space="preserve">             </w:t>
      </w:r>
      <w:r>
        <w:rPr>
          <w:color w:val="000000"/>
          <w:sz w:val="24"/>
        </w:rPr>
        <w:t>）的采购活动。</w:t>
      </w:r>
      <w:r>
        <w:rPr>
          <w:rFonts w:hint="eastAsia"/>
          <w:color w:val="000000"/>
          <w:sz w:val="24"/>
        </w:rPr>
        <w:t>本次投标，</w:t>
      </w:r>
      <w:r>
        <w:rPr>
          <w:color w:val="000000"/>
          <w:sz w:val="24"/>
        </w:rPr>
        <w:t>我公司</w:t>
      </w:r>
      <w:r>
        <w:rPr>
          <w:rFonts w:hint="eastAsia"/>
          <w:color w:val="000000"/>
          <w:sz w:val="24"/>
        </w:rPr>
        <w:t>不存在如下情形：</w:t>
      </w:r>
    </w:p>
    <w:p>
      <w:pPr>
        <w:snapToGrid w:val="0"/>
        <w:spacing w:line="360" w:lineRule="auto"/>
        <w:ind w:firstLine="480"/>
        <w:rPr>
          <w:color w:val="000000"/>
          <w:sz w:val="24"/>
        </w:rPr>
      </w:pPr>
      <w:r>
        <w:rPr>
          <w:rFonts w:hint="eastAsia"/>
          <w:color w:val="000000"/>
          <w:sz w:val="24"/>
        </w:rPr>
        <w:t>1</w:t>
      </w:r>
      <w:r>
        <w:rPr>
          <w:color w:val="000000"/>
          <w:sz w:val="24"/>
        </w:rPr>
        <w:t>.单位负责人为同一人或者存在直接控股、管理关系的不同供应商，不得同时参加本采购项目中同一合同项下的政府采购活动。</w:t>
      </w:r>
    </w:p>
    <w:p>
      <w:pPr>
        <w:snapToGrid w:val="0"/>
        <w:spacing w:line="360" w:lineRule="auto"/>
        <w:ind w:firstLine="480"/>
        <w:rPr>
          <w:color w:val="000000"/>
          <w:sz w:val="24"/>
        </w:rPr>
      </w:pPr>
      <w:r>
        <w:rPr>
          <w:rFonts w:hint="eastAsia"/>
          <w:color w:val="000000"/>
          <w:sz w:val="24"/>
        </w:rPr>
        <w:t>2</w:t>
      </w:r>
      <w:r>
        <w:rPr>
          <w:color w:val="000000"/>
          <w:sz w:val="24"/>
        </w:rPr>
        <w:t>.为本项目提供整体设计、规范编制或者项目管理、监理、检测等服务的供应商，不得再参与本项目投标。</w:t>
      </w:r>
    </w:p>
    <w:p>
      <w:pPr>
        <w:snapToGrid w:val="0"/>
        <w:spacing w:line="360" w:lineRule="auto"/>
        <w:ind w:firstLine="480"/>
        <w:rPr>
          <w:color w:val="000000"/>
          <w:sz w:val="24"/>
        </w:rPr>
      </w:pPr>
      <w:r>
        <w:rPr>
          <w:color w:val="000000"/>
          <w:sz w:val="24"/>
        </w:rPr>
        <w:t>特此</w:t>
      </w:r>
      <w:r>
        <w:rPr>
          <w:rFonts w:hint="eastAsia"/>
          <w:color w:val="000000"/>
          <w:sz w:val="24"/>
        </w:rPr>
        <w:t>说明</w:t>
      </w:r>
    </w:p>
    <w:p>
      <w:pPr>
        <w:snapToGrid w:val="0"/>
        <w:spacing w:line="360" w:lineRule="auto"/>
        <w:ind w:firstLine="566" w:firstLineChars="236"/>
        <w:rPr>
          <w:color w:val="000000"/>
          <w:sz w:val="24"/>
        </w:rPr>
      </w:pPr>
    </w:p>
    <w:p>
      <w:pPr>
        <w:snapToGrid w:val="0"/>
        <w:spacing w:line="360" w:lineRule="auto"/>
        <w:ind w:firstLine="480"/>
        <w:rPr>
          <w:color w:val="000000"/>
          <w:sz w:val="24"/>
        </w:rPr>
      </w:pPr>
    </w:p>
    <w:p>
      <w:pPr>
        <w:tabs>
          <w:tab w:val="left" w:pos="4000"/>
        </w:tabs>
        <w:kinsoku w:val="0"/>
        <w:overflowPunct w:val="0"/>
        <w:autoSpaceDE w:val="0"/>
        <w:autoSpaceDN w:val="0"/>
        <w:snapToGrid w:val="0"/>
        <w:spacing w:line="360" w:lineRule="auto"/>
        <w:ind w:firstLine="4478" w:firstLineChars="186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投标人(公章)：</w:t>
      </w:r>
    </w:p>
    <w:p>
      <w:pPr>
        <w:tabs>
          <w:tab w:val="left" w:pos="4000"/>
        </w:tabs>
        <w:kinsoku w:val="0"/>
        <w:overflowPunct w:val="0"/>
        <w:autoSpaceDE w:val="0"/>
        <w:autoSpaceDN w:val="0"/>
        <w:snapToGrid w:val="0"/>
        <w:spacing w:line="360" w:lineRule="auto"/>
        <w:ind w:firstLine="4478" w:firstLineChars="186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日期：</w:t>
      </w:r>
    </w:p>
    <w:p>
      <w:pPr>
        <w:kinsoku w:val="0"/>
        <w:overflowPunct w:val="0"/>
        <w:autoSpaceDE w:val="0"/>
        <w:autoSpaceDN w:val="0"/>
        <w:snapToGrid w:val="0"/>
        <w:spacing w:line="360" w:lineRule="auto"/>
        <w:ind w:firstLine="0" w:firstLineChars="0"/>
        <w:jc w:val="center"/>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jc w:val="center"/>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jc w:val="center"/>
        <w:rPr>
          <w:color w:val="000000" w:themeColor="text1"/>
          <w:kern w:val="0"/>
          <w:szCs w:val="28"/>
          <w14:textFill>
            <w14:solidFill>
              <w14:schemeClr w14:val="tx1"/>
            </w14:solidFill>
          </w14:textFill>
        </w:rPr>
      </w:pPr>
    </w:p>
    <w:p>
      <w:pPr>
        <w:ind w:firstLine="560"/>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jc w:val="center"/>
        <w:rPr>
          <w:b/>
          <w:bCs/>
          <w:color w:val="000000" w:themeColor="text1"/>
          <w:kern w:val="0"/>
          <w:szCs w:val="28"/>
          <w:highlight w:val="none"/>
          <w14:textFill>
            <w14:solidFill>
              <w14:schemeClr w14:val="tx1"/>
            </w14:solidFill>
          </w14:textFill>
        </w:rPr>
      </w:pPr>
      <w:r>
        <w:rPr>
          <w:b/>
          <w:bCs/>
          <w:color w:val="000000" w:themeColor="text1"/>
          <w:kern w:val="0"/>
          <w:szCs w:val="28"/>
          <w:highlight w:val="none"/>
          <w14:textFill>
            <w14:solidFill>
              <w14:schemeClr w14:val="tx1"/>
            </w14:solidFill>
          </w14:textFill>
        </w:rPr>
        <w:t>投标人认为需要提供的其他资格证明文件</w:t>
      </w:r>
    </w:p>
    <w:p>
      <w:pPr>
        <w:widowControl/>
        <w:snapToGrid w:val="0"/>
        <w:spacing w:line="360" w:lineRule="auto"/>
        <w:ind w:firstLine="0" w:firstLineChars="0"/>
        <w:jc w:val="center"/>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pStyle w:val="2"/>
        <w:rPr>
          <w:b/>
          <w:color w:val="000000" w:themeColor="text1"/>
          <w:spacing w:val="10"/>
          <w:kern w:val="0"/>
          <w:szCs w:val="28"/>
          <w14:textFill>
            <w14:solidFill>
              <w14:schemeClr w14:val="tx1"/>
            </w14:solidFill>
          </w14:textFill>
        </w:rPr>
      </w:pPr>
    </w:p>
    <w:p>
      <w:pPr>
        <w:widowControl/>
        <w:snapToGrid w:val="0"/>
        <w:spacing w:line="360" w:lineRule="auto"/>
        <w:ind w:firstLine="0" w:firstLineChars="0"/>
        <w:jc w:val="center"/>
        <w:rPr>
          <w:b/>
          <w:color w:val="000000" w:themeColor="text1"/>
          <w:spacing w:val="10"/>
          <w:kern w:val="0"/>
          <w:szCs w:val="28"/>
          <w14:textFill>
            <w14:solidFill>
              <w14:schemeClr w14:val="tx1"/>
            </w14:solidFill>
          </w14:textFill>
        </w:rPr>
      </w:pPr>
    </w:p>
    <w:p>
      <w:pPr>
        <w:widowControl/>
        <w:snapToGrid w:val="0"/>
        <w:spacing w:line="360" w:lineRule="auto"/>
        <w:ind w:firstLine="0" w:firstLineChars="0"/>
        <w:jc w:val="center"/>
        <w:rPr>
          <w:rFonts w:hint="eastAsia" w:eastAsia="宋体"/>
          <w:b/>
          <w:color w:val="000000" w:themeColor="text1"/>
          <w:spacing w:val="10"/>
          <w:kern w:val="0"/>
          <w:szCs w:val="28"/>
          <w:lang w:eastAsia="zh-CN"/>
          <w14:textFill>
            <w14:solidFill>
              <w14:schemeClr w14:val="tx1"/>
            </w14:solidFill>
          </w14:textFill>
        </w:rPr>
      </w:pPr>
      <w:r>
        <w:rPr>
          <w:b/>
          <w:color w:val="000000" w:themeColor="text1"/>
          <w:spacing w:val="10"/>
          <w:kern w:val="0"/>
          <w:szCs w:val="28"/>
          <w14:textFill>
            <w14:solidFill>
              <w14:schemeClr w14:val="tx1"/>
            </w14:solidFill>
          </w14:textFill>
        </w:rPr>
        <w:t>中小企业声明函（货物）</w:t>
      </w:r>
      <w:r>
        <w:rPr>
          <w:rFonts w:hint="eastAsia"/>
          <w:b/>
          <w:color w:val="000000" w:themeColor="text1"/>
          <w:spacing w:val="10"/>
          <w:kern w:val="0"/>
          <w:szCs w:val="28"/>
          <w:lang w:eastAsia="zh-CN"/>
          <w14:textFill>
            <w14:solidFill>
              <w14:schemeClr w14:val="tx1"/>
            </w14:solidFill>
          </w14:textFill>
        </w:rPr>
        <w:t>（</w:t>
      </w:r>
      <w:r>
        <w:rPr>
          <w:rFonts w:hint="eastAsia"/>
          <w:b/>
          <w:color w:val="000000" w:themeColor="text1"/>
          <w:spacing w:val="10"/>
          <w:kern w:val="0"/>
          <w:szCs w:val="28"/>
          <w:lang w:val="en-US" w:eastAsia="zh-CN"/>
          <w14:textFill>
            <w14:solidFill>
              <w14:schemeClr w14:val="tx1"/>
            </w14:solidFill>
          </w14:textFill>
        </w:rPr>
        <w:t>格式</w:t>
      </w:r>
      <w:r>
        <w:rPr>
          <w:rFonts w:hint="eastAsia"/>
          <w:b/>
          <w:color w:val="000000" w:themeColor="text1"/>
          <w:spacing w:val="10"/>
          <w:kern w:val="0"/>
          <w:szCs w:val="28"/>
          <w:lang w:eastAsia="zh-CN"/>
          <w14:textFill>
            <w14:solidFill>
              <w14:schemeClr w14:val="tx1"/>
            </w14:solidFill>
          </w14:textFill>
        </w:rPr>
        <w:t>）</w:t>
      </w:r>
    </w:p>
    <w:p>
      <w:pPr>
        <w:adjustRightInd w:val="0"/>
        <w:snapToGrid w:val="0"/>
        <w:spacing w:line="360" w:lineRule="auto"/>
        <w:ind w:firstLine="482"/>
        <w:jc w:val="center"/>
        <w:textAlignment w:val="baseline"/>
        <w:rPr>
          <w:b/>
          <w:bCs/>
          <w:snapToGrid w:val="0"/>
          <w:color w:val="000000" w:themeColor="text1"/>
          <w:kern w:val="0"/>
          <w:sz w:val="24"/>
          <w14:textFill>
            <w14:solidFill>
              <w14:schemeClr w14:val="tx1"/>
            </w14:solidFill>
          </w14:textFill>
        </w:rPr>
      </w:pPr>
    </w:p>
    <w:p>
      <w:pPr>
        <w:adjustRightInd w:val="0"/>
        <w:snapToGrid w:val="0"/>
        <w:spacing w:line="360" w:lineRule="auto"/>
        <w:ind w:firstLine="480"/>
        <w:textAlignment w:val="baseline"/>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本公司（联合体）郑重声明，根据《政府采购促进中小企业发展管理办法》（财库﹝2020﹞46号）的规定，本公司（联合体）参加</w:t>
      </w:r>
      <w:r>
        <w:rPr>
          <w:snapToGrid w:val="0"/>
          <w:color w:val="000000" w:themeColor="text1"/>
          <w:kern w:val="0"/>
          <w:sz w:val="24"/>
          <w:u w:val="single"/>
          <w14:textFill>
            <w14:solidFill>
              <w14:schemeClr w14:val="tx1"/>
            </w14:solidFill>
          </w14:textFill>
        </w:rPr>
        <w:t>（单位名称）</w:t>
      </w:r>
      <w:r>
        <w:rPr>
          <w:snapToGrid w:val="0"/>
          <w:color w:val="000000" w:themeColor="text1"/>
          <w:kern w:val="0"/>
          <w:sz w:val="24"/>
          <w14:textFill>
            <w14:solidFill>
              <w14:schemeClr w14:val="tx1"/>
            </w14:solidFill>
          </w14:textFill>
        </w:rPr>
        <w:t>的</w:t>
      </w:r>
      <w:r>
        <w:rPr>
          <w:snapToGrid w:val="0"/>
          <w:color w:val="000000" w:themeColor="text1"/>
          <w:kern w:val="0"/>
          <w:sz w:val="24"/>
          <w:u w:val="single"/>
          <w14:textFill>
            <w14:solidFill>
              <w14:schemeClr w14:val="tx1"/>
            </w14:solidFill>
          </w14:textFill>
        </w:rPr>
        <w:t>（项目名称）</w:t>
      </w:r>
      <w:r>
        <w:rPr>
          <w:snapToGrid w:val="0"/>
          <w:color w:val="000000" w:themeColor="text1"/>
          <w:kern w:val="0"/>
          <w:sz w:val="24"/>
          <w14:textFill>
            <w14:solidFill>
              <w14:schemeClr w14:val="tx1"/>
            </w14:solidFill>
          </w14:textFill>
        </w:rPr>
        <w:t>采购活动，提供的货物全部由符合政策要求的中小企业制造。相关企业（含联合体中的中小企业、签订分包意向协议的中小企业）的具体情况如下：</w:t>
      </w:r>
    </w:p>
    <w:p>
      <w:pPr>
        <w:numPr>
          <w:ilvl w:val="0"/>
          <w:numId w:val="45"/>
        </w:numPr>
        <w:adjustRightInd w:val="0"/>
        <w:snapToGrid w:val="0"/>
        <w:spacing w:line="360" w:lineRule="auto"/>
        <w:ind w:firstLine="480"/>
        <w:textAlignment w:val="baseline"/>
        <w:rPr>
          <w:snapToGrid w:val="0"/>
          <w:color w:val="000000" w:themeColor="text1"/>
          <w:kern w:val="0"/>
          <w:sz w:val="24"/>
          <w:u w:val="single"/>
          <w14:textFill>
            <w14:solidFill>
              <w14:schemeClr w14:val="tx1"/>
            </w14:solidFill>
          </w14:textFill>
        </w:rPr>
      </w:pPr>
      <w:r>
        <w:rPr>
          <w:snapToGrid w:val="0"/>
          <w:color w:val="000000" w:themeColor="text1"/>
          <w:kern w:val="0"/>
          <w:sz w:val="24"/>
          <w:u w:val="single"/>
          <w14:textFill>
            <w14:solidFill>
              <w14:schemeClr w14:val="tx1"/>
            </w14:solidFill>
          </w14:textFill>
        </w:rPr>
        <w:t>（标的名称）</w:t>
      </w:r>
      <w:r>
        <w:rPr>
          <w:snapToGrid w:val="0"/>
          <w:color w:val="000000" w:themeColor="text1"/>
          <w:kern w:val="0"/>
          <w:sz w:val="24"/>
          <w14:textFill>
            <w14:solidFill>
              <w14:schemeClr w14:val="tx1"/>
            </w14:solidFill>
          </w14:textFill>
        </w:rPr>
        <w:t>，属于</w:t>
      </w:r>
      <w:r>
        <w:rPr>
          <w:snapToGrid w:val="0"/>
          <w:color w:val="000000" w:themeColor="text1"/>
          <w:kern w:val="0"/>
          <w:sz w:val="24"/>
          <w:u w:val="single"/>
          <w14:textFill>
            <w14:solidFill>
              <w14:schemeClr w14:val="tx1"/>
            </w14:solidFill>
          </w14:textFill>
        </w:rPr>
        <w:t>（采购文件中明确的所属行业）</w:t>
      </w:r>
      <w:r>
        <w:rPr>
          <w:snapToGrid w:val="0"/>
          <w:color w:val="000000" w:themeColor="text1"/>
          <w:kern w:val="0"/>
          <w:sz w:val="24"/>
          <w14:textFill>
            <w14:solidFill>
              <w14:schemeClr w14:val="tx1"/>
            </w14:solidFill>
          </w14:textFill>
        </w:rPr>
        <w:t>；制造商为</w:t>
      </w:r>
      <w:r>
        <w:rPr>
          <w:snapToGrid w:val="0"/>
          <w:color w:val="000000" w:themeColor="text1"/>
          <w:kern w:val="0"/>
          <w:sz w:val="24"/>
          <w:u w:val="single"/>
          <w14:textFill>
            <w14:solidFill>
              <w14:schemeClr w14:val="tx1"/>
            </w14:solidFill>
          </w14:textFill>
        </w:rPr>
        <w:t>（企业名称）</w:t>
      </w:r>
      <w:r>
        <w:rPr>
          <w:snapToGrid w:val="0"/>
          <w:color w:val="000000" w:themeColor="text1"/>
          <w:kern w:val="0"/>
          <w:sz w:val="24"/>
          <w14:textFill>
            <w14:solidFill>
              <w14:schemeClr w14:val="tx1"/>
            </w14:solidFill>
          </w14:textFill>
        </w:rPr>
        <w:t>，从业人员</w:t>
      </w:r>
      <w:r>
        <w:rPr>
          <w:snapToGrid w:val="0"/>
          <w:color w:val="000000" w:themeColor="text1"/>
          <w:kern w:val="0"/>
          <w:sz w:val="24"/>
          <w:u w:val="single"/>
          <w14:textFill>
            <w14:solidFill>
              <w14:schemeClr w14:val="tx1"/>
            </w14:solidFill>
          </w14:textFill>
        </w:rPr>
        <w:t xml:space="preserve">    </w:t>
      </w:r>
      <w:r>
        <w:rPr>
          <w:snapToGrid w:val="0"/>
          <w:color w:val="000000" w:themeColor="text1"/>
          <w:kern w:val="0"/>
          <w:sz w:val="24"/>
          <w14:textFill>
            <w14:solidFill>
              <w14:schemeClr w14:val="tx1"/>
            </w14:solidFill>
          </w14:textFill>
        </w:rPr>
        <w:t>人，营业收入为</w:t>
      </w:r>
      <w:r>
        <w:rPr>
          <w:snapToGrid w:val="0"/>
          <w:color w:val="000000" w:themeColor="text1"/>
          <w:kern w:val="0"/>
          <w:sz w:val="24"/>
          <w:u w:val="single"/>
          <w14:textFill>
            <w14:solidFill>
              <w14:schemeClr w14:val="tx1"/>
            </w14:solidFill>
          </w14:textFill>
        </w:rPr>
        <w:t xml:space="preserve">    </w:t>
      </w:r>
      <w:r>
        <w:rPr>
          <w:snapToGrid w:val="0"/>
          <w:color w:val="000000" w:themeColor="text1"/>
          <w:kern w:val="0"/>
          <w:sz w:val="24"/>
          <w14:textFill>
            <w14:solidFill>
              <w14:schemeClr w14:val="tx1"/>
            </w14:solidFill>
          </w14:textFill>
        </w:rPr>
        <w:t>万元，资产总额为</w:t>
      </w:r>
      <w:r>
        <w:rPr>
          <w:snapToGrid w:val="0"/>
          <w:color w:val="000000" w:themeColor="text1"/>
          <w:kern w:val="0"/>
          <w:sz w:val="24"/>
          <w:u w:val="single"/>
          <w14:textFill>
            <w14:solidFill>
              <w14:schemeClr w14:val="tx1"/>
            </w14:solidFill>
          </w14:textFill>
        </w:rPr>
        <w:t xml:space="preserve">    </w:t>
      </w:r>
      <w:r>
        <w:rPr>
          <w:snapToGrid w:val="0"/>
          <w:color w:val="000000" w:themeColor="text1"/>
          <w:kern w:val="0"/>
          <w:sz w:val="24"/>
          <w14:textFill>
            <w14:solidFill>
              <w14:schemeClr w14:val="tx1"/>
            </w14:solidFill>
          </w14:textFill>
        </w:rPr>
        <w:t>万元，属于</w:t>
      </w:r>
      <w:r>
        <w:rPr>
          <w:snapToGrid w:val="0"/>
          <w:color w:val="000000" w:themeColor="text1"/>
          <w:kern w:val="0"/>
          <w:sz w:val="24"/>
          <w:u w:val="single"/>
          <w14:textFill>
            <w14:solidFill>
              <w14:schemeClr w14:val="tx1"/>
            </w14:solidFill>
          </w14:textFill>
        </w:rPr>
        <w:t>（中型企业、小型企业、微型企业）</w:t>
      </w:r>
      <w:r>
        <w:rPr>
          <w:snapToGrid w:val="0"/>
          <w:color w:val="000000" w:themeColor="text1"/>
          <w:kern w:val="0"/>
          <w:sz w:val="24"/>
          <w14:textFill>
            <w14:solidFill>
              <w14:schemeClr w14:val="tx1"/>
            </w14:solidFill>
          </w14:textFill>
        </w:rPr>
        <w:t>；</w:t>
      </w:r>
    </w:p>
    <w:p>
      <w:pPr>
        <w:numPr>
          <w:ilvl w:val="0"/>
          <w:numId w:val="45"/>
        </w:numPr>
        <w:adjustRightInd w:val="0"/>
        <w:snapToGrid w:val="0"/>
        <w:spacing w:line="360" w:lineRule="auto"/>
        <w:ind w:firstLine="480"/>
        <w:textAlignment w:val="baseline"/>
        <w:rPr>
          <w:snapToGrid w:val="0"/>
          <w:color w:val="000000" w:themeColor="text1"/>
          <w:kern w:val="0"/>
          <w:sz w:val="24"/>
          <w:u w:val="single"/>
          <w14:textFill>
            <w14:solidFill>
              <w14:schemeClr w14:val="tx1"/>
            </w14:solidFill>
          </w14:textFill>
        </w:rPr>
      </w:pPr>
      <w:r>
        <w:rPr>
          <w:snapToGrid w:val="0"/>
          <w:color w:val="000000" w:themeColor="text1"/>
          <w:kern w:val="0"/>
          <w:sz w:val="24"/>
          <w:u w:val="single"/>
          <w14:textFill>
            <w14:solidFill>
              <w14:schemeClr w14:val="tx1"/>
            </w14:solidFill>
          </w14:textFill>
        </w:rPr>
        <w:t>（标的名称）</w:t>
      </w:r>
      <w:r>
        <w:rPr>
          <w:snapToGrid w:val="0"/>
          <w:color w:val="000000" w:themeColor="text1"/>
          <w:kern w:val="0"/>
          <w:sz w:val="24"/>
          <w14:textFill>
            <w14:solidFill>
              <w14:schemeClr w14:val="tx1"/>
            </w14:solidFill>
          </w14:textFill>
        </w:rPr>
        <w:t>，属于</w:t>
      </w:r>
      <w:r>
        <w:rPr>
          <w:snapToGrid w:val="0"/>
          <w:color w:val="000000" w:themeColor="text1"/>
          <w:kern w:val="0"/>
          <w:sz w:val="24"/>
          <w:u w:val="single"/>
          <w14:textFill>
            <w14:solidFill>
              <w14:schemeClr w14:val="tx1"/>
            </w14:solidFill>
          </w14:textFill>
        </w:rPr>
        <w:t>（采购文件中明确的所属行业）</w:t>
      </w:r>
      <w:r>
        <w:rPr>
          <w:snapToGrid w:val="0"/>
          <w:color w:val="000000" w:themeColor="text1"/>
          <w:kern w:val="0"/>
          <w:sz w:val="24"/>
          <w14:textFill>
            <w14:solidFill>
              <w14:schemeClr w14:val="tx1"/>
            </w14:solidFill>
          </w14:textFill>
        </w:rPr>
        <w:t>；制造商为</w:t>
      </w:r>
      <w:r>
        <w:rPr>
          <w:snapToGrid w:val="0"/>
          <w:color w:val="000000" w:themeColor="text1"/>
          <w:kern w:val="0"/>
          <w:sz w:val="24"/>
          <w:u w:val="single"/>
          <w14:textFill>
            <w14:solidFill>
              <w14:schemeClr w14:val="tx1"/>
            </w14:solidFill>
          </w14:textFill>
        </w:rPr>
        <w:t>（企业名称）</w:t>
      </w:r>
      <w:r>
        <w:rPr>
          <w:snapToGrid w:val="0"/>
          <w:color w:val="000000" w:themeColor="text1"/>
          <w:kern w:val="0"/>
          <w:sz w:val="24"/>
          <w14:textFill>
            <w14:solidFill>
              <w14:schemeClr w14:val="tx1"/>
            </w14:solidFill>
          </w14:textFill>
        </w:rPr>
        <w:t>，从业人员</w:t>
      </w:r>
      <w:r>
        <w:rPr>
          <w:snapToGrid w:val="0"/>
          <w:color w:val="000000" w:themeColor="text1"/>
          <w:kern w:val="0"/>
          <w:sz w:val="24"/>
          <w:u w:val="single"/>
          <w14:textFill>
            <w14:solidFill>
              <w14:schemeClr w14:val="tx1"/>
            </w14:solidFill>
          </w14:textFill>
        </w:rPr>
        <w:t xml:space="preserve">    </w:t>
      </w:r>
      <w:r>
        <w:rPr>
          <w:snapToGrid w:val="0"/>
          <w:color w:val="000000" w:themeColor="text1"/>
          <w:kern w:val="0"/>
          <w:sz w:val="24"/>
          <w14:textFill>
            <w14:solidFill>
              <w14:schemeClr w14:val="tx1"/>
            </w14:solidFill>
          </w14:textFill>
        </w:rPr>
        <w:t>人，营业收入为</w:t>
      </w:r>
      <w:r>
        <w:rPr>
          <w:snapToGrid w:val="0"/>
          <w:color w:val="000000" w:themeColor="text1"/>
          <w:kern w:val="0"/>
          <w:sz w:val="24"/>
          <w:u w:val="single"/>
          <w14:textFill>
            <w14:solidFill>
              <w14:schemeClr w14:val="tx1"/>
            </w14:solidFill>
          </w14:textFill>
        </w:rPr>
        <w:t xml:space="preserve">    </w:t>
      </w:r>
      <w:r>
        <w:rPr>
          <w:snapToGrid w:val="0"/>
          <w:color w:val="000000" w:themeColor="text1"/>
          <w:kern w:val="0"/>
          <w:sz w:val="24"/>
          <w14:textFill>
            <w14:solidFill>
              <w14:schemeClr w14:val="tx1"/>
            </w14:solidFill>
          </w14:textFill>
        </w:rPr>
        <w:t>万元，资产总额为</w:t>
      </w:r>
      <w:r>
        <w:rPr>
          <w:snapToGrid w:val="0"/>
          <w:color w:val="000000" w:themeColor="text1"/>
          <w:kern w:val="0"/>
          <w:sz w:val="24"/>
          <w:u w:val="single"/>
          <w14:textFill>
            <w14:solidFill>
              <w14:schemeClr w14:val="tx1"/>
            </w14:solidFill>
          </w14:textFill>
        </w:rPr>
        <w:t xml:space="preserve">    </w:t>
      </w:r>
      <w:r>
        <w:rPr>
          <w:snapToGrid w:val="0"/>
          <w:color w:val="000000" w:themeColor="text1"/>
          <w:kern w:val="0"/>
          <w:sz w:val="24"/>
          <w14:textFill>
            <w14:solidFill>
              <w14:schemeClr w14:val="tx1"/>
            </w14:solidFill>
          </w14:textFill>
        </w:rPr>
        <w:t>万元，属于</w:t>
      </w:r>
      <w:r>
        <w:rPr>
          <w:snapToGrid w:val="0"/>
          <w:color w:val="000000" w:themeColor="text1"/>
          <w:kern w:val="0"/>
          <w:sz w:val="24"/>
          <w:u w:val="single"/>
          <w14:textFill>
            <w14:solidFill>
              <w14:schemeClr w14:val="tx1"/>
            </w14:solidFill>
          </w14:textFill>
        </w:rPr>
        <w:t>（中型企业、小型企业、微型企业）</w:t>
      </w:r>
      <w:r>
        <w:rPr>
          <w:snapToGrid w:val="0"/>
          <w:color w:val="000000" w:themeColor="text1"/>
          <w:kern w:val="0"/>
          <w:sz w:val="24"/>
          <w14:textFill>
            <w14:solidFill>
              <w14:schemeClr w14:val="tx1"/>
            </w14:solidFill>
          </w14:textFill>
        </w:rPr>
        <w:t xml:space="preserve">； </w:t>
      </w:r>
    </w:p>
    <w:p>
      <w:pPr>
        <w:adjustRightInd w:val="0"/>
        <w:snapToGrid w:val="0"/>
        <w:spacing w:line="360" w:lineRule="auto"/>
        <w:ind w:firstLine="480"/>
        <w:textAlignment w:val="baseline"/>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w:t>
      </w:r>
    </w:p>
    <w:p>
      <w:pPr>
        <w:adjustRightInd w:val="0"/>
        <w:snapToGrid w:val="0"/>
        <w:spacing w:line="360" w:lineRule="auto"/>
        <w:ind w:firstLine="480"/>
        <w:textAlignment w:val="baseline"/>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以上企业，不属于大企业的分支机构，不存在控股股东为大企业的情形，也不存在与大企业的负责人为同一人的情形。</w:t>
      </w:r>
    </w:p>
    <w:p>
      <w:pPr>
        <w:adjustRightInd w:val="0"/>
        <w:snapToGrid w:val="0"/>
        <w:spacing w:line="360" w:lineRule="auto"/>
        <w:ind w:firstLine="480"/>
        <w:textAlignment w:val="baseline"/>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 xml:space="preserve">本企业对上述声明内容的真实性负责。如有虚假，将依法承担相应责任。 </w:t>
      </w:r>
    </w:p>
    <w:p>
      <w:pPr>
        <w:adjustRightInd w:val="0"/>
        <w:snapToGrid w:val="0"/>
        <w:spacing w:line="360" w:lineRule="auto"/>
        <w:ind w:firstLine="480"/>
        <w:textAlignment w:val="baseline"/>
        <w:rPr>
          <w:snapToGrid w:val="0"/>
          <w:color w:val="000000" w:themeColor="text1"/>
          <w:kern w:val="0"/>
          <w:sz w:val="24"/>
          <w14:textFill>
            <w14:solidFill>
              <w14:schemeClr w14:val="tx1"/>
            </w14:solidFill>
          </w14:textFill>
        </w:rPr>
      </w:pPr>
    </w:p>
    <w:p>
      <w:pPr>
        <w:adjustRightInd w:val="0"/>
        <w:snapToGrid w:val="0"/>
        <w:spacing w:line="360" w:lineRule="auto"/>
        <w:ind w:firstLine="2940" w:firstLineChars="1225"/>
        <w:jc w:val="both"/>
        <w:textAlignment w:val="baseline"/>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企业名称（盖章）：</w:t>
      </w:r>
    </w:p>
    <w:p>
      <w:pPr>
        <w:adjustRightInd w:val="0"/>
        <w:snapToGrid w:val="0"/>
        <w:spacing w:line="360" w:lineRule="auto"/>
        <w:ind w:firstLine="2940" w:firstLineChars="1225"/>
        <w:jc w:val="both"/>
        <w:textAlignment w:val="baseline"/>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日 期：</w:t>
      </w:r>
    </w:p>
    <w:p>
      <w:pPr>
        <w:adjustRightInd w:val="0"/>
        <w:snapToGrid w:val="0"/>
        <w:spacing w:line="360" w:lineRule="auto"/>
        <w:ind w:firstLine="480"/>
        <w:textAlignment w:val="baseline"/>
        <w:rPr>
          <w:snapToGrid w:val="0"/>
          <w:color w:val="000000" w:themeColor="text1"/>
          <w:kern w:val="0"/>
          <w:sz w:val="24"/>
          <w14:textFill>
            <w14:solidFill>
              <w14:schemeClr w14:val="tx1"/>
            </w14:solidFill>
          </w14:textFill>
        </w:rPr>
      </w:pPr>
    </w:p>
    <w:p>
      <w:pPr>
        <w:adjustRightInd w:val="0"/>
        <w:snapToGrid w:val="0"/>
        <w:spacing w:line="360" w:lineRule="auto"/>
        <w:ind w:firstLine="480"/>
        <w:textAlignment w:val="baseline"/>
        <w:rPr>
          <w:snapToGrid w:val="0"/>
          <w:color w:val="000000" w:themeColor="text1"/>
          <w:kern w:val="0"/>
          <w:sz w:val="24"/>
          <w:vertAlign w:val="superscript"/>
          <w14:textFill>
            <w14:solidFill>
              <w14:schemeClr w14:val="tx1"/>
            </w14:solidFill>
          </w14:textFill>
        </w:rPr>
      </w:pPr>
    </w:p>
    <w:p>
      <w:pPr>
        <w:widowControl/>
        <w:adjustRightInd w:val="0"/>
        <w:snapToGrid w:val="0"/>
        <w:spacing w:line="360" w:lineRule="auto"/>
        <w:ind w:firstLine="480"/>
        <w:rPr>
          <w:b/>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注：从业人员、营业收入、资产总额填报上一年度数据，无上一年度数据的新成立企业可不填报。</w:t>
      </w:r>
    </w:p>
    <w:p>
      <w:pPr>
        <w:widowControl/>
        <w:snapToGrid w:val="0"/>
        <w:spacing w:line="360" w:lineRule="auto"/>
        <w:ind w:firstLine="482"/>
        <w:jc w:val="center"/>
        <w:rPr>
          <w:b/>
          <w:snapToGrid w:val="0"/>
          <w:color w:val="000000" w:themeColor="text1"/>
          <w:kern w:val="0"/>
          <w:sz w:val="24"/>
          <w14:textFill>
            <w14:solidFill>
              <w14:schemeClr w14:val="tx1"/>
            </w14:solidFill>
          </w14:textFill>
        </w:rPr>
      </w:pPr>
    </w:p>
    <w:p>
      <w:pPr>
        <w:widowControl/>
        <w:snapToGrid w:val="0"/>
        <w:spacing w:line="360" w:lineRule="auto"/>
        <w:ind w:firstLine="482"/>
        <w:jc w:val="both"/>
        <w:rPr>
          <w:rFonts w:hint="eastAsia" w:eastAsia="宋体"/>
          <w:b/>
          <w:snapToGrid w:val="0"/>
          <w:color w:val="000000" w:themeColor="text1"/>
          <w:kern w:val="0"/>
          <w:sz w:val="24"/>
          <w:u w:val="single"/>
          <w:lang w:eastAsia="zh-CN"/>
          <w14:textFill>
            <w14:solidFill>
              <w14:schemeClr w14:val="tx1"/>
            </w14:solidFill>
          </w14:textFill>
        </w:rPr>
      </w:pPr>
      <w:r>
        <w:rPr>
          <w:b/>
          <w:snapToGrid w:val="0"/>
          <w:color w:val="000000" w:themeColor="text1"/>
          <w:kern w:val="0"/>
          <w:sz w:val="24"/>
          <w14:textFill>
            <w14:solidFill>
              <w14:schemeClr w14:val="tx1"/>
            </w14:solidFill>
          </w14:textFill>
        </w:rPr>
        <w:t>本项目所属行业：根据</w:t>
      </w:r>
      <w:r>
        <w:rPr>
          <w:rFonts w:hint="eastAsia"/>
          <w:b/>
          <w:snapToGrid w:val="0"/>
          <w:color w:val="000000" w:themeColor="text1"/>
          <w:kern w:val="0"/>
          <w:sz w:val="24"/>
          <w14:textFill>
            <w14:solidFill>
              <w14:schemeClr w14:val="tx1"/>
            </w14:solidFill>
          </w14:textFill>
        </w:rPr>
        <w:t>小微</w:t>
      </w:r>
      <w:r>
        <w:rPr>
          <w:b/>
          <w:snapToGrid w:val="0"/>
          <w:color w:val="000000" w:themeColor="text1"/>
          <w:kern w:val="0"/>
          <w:sz w:val="24"/>
          <w14:textFill>
            <w14:solidFill>
              <w14:schemeClr w14:val="tx1"/>
            </w14:solidFill>
          </w14:textFill>
        </w:rPr>
        <w:t>企业划型标准，本项目</w:t>
      </w:r>
      <w:r>
        <w:rPr>
          <w:rFonts w:hint="eastAsia"/>
          <w:b/>
          <w:snapToGrid w:val="0"/>
          <w:color w:val="000000" w:themeColor="text1"/>
          <w:kern w:val="0"/>
          <w:sz w:val="24"/>
          <w:lang w:val="en-US" w:eastAsia="zh-CN"/>
          <w14:textFill>
            <w14:solidFill>
              <w14:schemeClr w14:val="tx1"/>
            </w14:solidFill>
          </w14:textFill>
        </w:rPr>
        <w:t>所</w:t>
      </w:r>
      <w:r>
        <w:rPr>
          <w:b/>
          <w:snapToGrid w:val="0"/>
          <w:color w:val="000000" w:themeColor="text1"/>
          <w:kern w:val="0"/>
          <w:sz w:val="24"/>
          <w14:textFill>
            <w14:solidFill>
              <w14:schemeClr w14:val="tx1"/>
            </w14:solidFill>
          </w14:textFill>
        </w:rPr>
        <w:t>属</w:t>
      </w:r>
      <w:r>
        <w:rPr>
          <w:rFonts w:hint="eastAsia"/>
          <w:b/>
          <w:snapToGrid w:val="0"/>
          <w:color w:val="000000" w:themeColor="text1"/>
          <w:kern w:val="0"/>
          <w:sz w:val="24"/>
          <w:lang w:val="en-US" w:eastAsia="zh-CN"/>
          <w14:textFill>
            <w14:solidFill>
              <w14:schemeClr w14:val="tx1"/>
            </w14:solidFill>
          </w14:textFill>
        </w:rPr>
        <w:t>行业为</w:t>
      </w:r>
      <w:r>
        <w:rPr>
          <w:rFonts w:hint="eastAsia"/>
          <w:b/>
          <w:snapToGrid w:val="0"/>
          <w:color w:val="000000" w:themeColor="text1"/>
          <w:kern w:val="0"/>
          <w:sz w:val="24"/>
          <w14:textFill>
            <w14:solidFill>
              <w14:schemeClr w14:val="tx1"/>
            </w14:solidFill>
          </w14:textFill>
        </w:rPr>
        <w:t>“工业”</w:t>
      </w:r>
      <w:r>
        <w:rPr>
          <w:rFonts w:hint="eastAsia"/>
          <w:b/>
          <w:snapToGrid w:val="0"/>
          <w:color w:val="000000" w:themeColor="text1"/>
          <w:kern w:val="0"/>
          <w:sz w:val="24"/>
          <w:lang w:eastAsia="zh-CN"/>
          <w14:textFill>
            <w14:solidFill>
              <w14:schemeClr w14:val="tx1"/>
            </w14:solidFill>
          </w14:textFill>
        </w:rPr>
        <w:t>。</w:t>
      </w:r>
    </w:p>
    <w:p>
      <w:pPr>
        <w:widowControl/>
        <w:snapToGrid w:val="0"/>
        <w:spacing w:line="360" w:lineRule="auto"/>
        <w:ind w:firstLine="0" w:firstLineChars="0"/>
        <w:jc w:val="center"/>
        <w:rPr>
          <w:rFonts w:hint="eastAsia" w:eastAsia="宋体"/>
          <w:b/>
          <w:color w:val="000000" w:themeColor="text1"/>
          <w:spacing w:val="10"/>
          <w:kern w:val="0"/>
          <w:szCs w:val="28"/>
          <w:lang w:eastAsia="zh-CN"/>
          <w14:textFill>
            <w14:solidFill>
              <w14:schemeClr w14:val="tx1"/>
            </w14:solidFill>
          </w14:textFill>
        </w:rPr>
      </w:pPr>
      <w:r>
        <w:rPr>
          <w:b/>
          <w:snapToGrid w:val="0"/>
          <w:color w:val="000000" w:themeColor="text1"/>
          <w:kern w:val="0"/>
          <w:sz w:val="24"/>
          <w14:textFill>
            <w14:solidFill>
              <w14:schemeClr w14:val="tx1"/>
            </w14:solidFill>
          </w14:textFill>
        </w:rPr>
        <w:br w:type="page"/>
      </w:r>
      <w:r>
        <w:rPr>
          <w:b/>
          <w:color w:val="000000" w:themeColor="text1"/>
          <w:spacing w:val="10"/>
          <w:kern w:val="0"/>
          <w:szCs w:val="28"/>
          <w14:textFill>
            <w14:solidFill>
              <w14:schemeClr w14:val="tx1"/>
            </w14:solidFill>
          </w14:textFill>
        </w:rPr>
        <w:t>监狱企业声明函</w:t>
      </w:r>
      <w:r>
        <w:rPr>
          <w:rFonts w:hint="eastAsia"/>
          <w:b/>
          <w:color w:val="000000" w:themeColor="text1"/>
          <w:spacing w:val="10"/>
          <w:kern w:val="0"/>
          <w:szCs w:val="28"/>
          <w:lang w:eastAsia="zh-CN"/>
          <w14:textFill>
            <w14:solidFill>
              <w14:schemeClr w14:val="tx1"/>
            </w14:solidFill>
          </w14:textFill>
        </w:rPr>
        <w:t>（</w:t>
      </w:r>
      <w:r>
        <w:rPr>
          <w:rFonts w:hint="eastAsia"/>
          <w:b/>
          <w:color w:val="000000" w:themeColor="text1"/>
          <w:spacing w:val="10"/>
          <w:kern w:val="0"/>
          <w:szCs w:val="28"/>
          <w:lang w:val="en-US" w:eastAsia="zh-CN"/>
          <w14:textFill>
            <w14:solidFill>
              <w14:schemeClr w14:val="tx1"/>
            </w14:solidFill>
          </w14:textFill>
        </w:rPr>
        <w:t>格式</w:t>
      </w:r>
      <w:r>
        <w:rPr>
          <w:rFonts w:hint="eastAsia"/>
          <w:b/>
          <w:color w:val="000000" w:themeColor="text1"/>
          <w:spacing w:val="10"/>
          <w:kern w:val="0"/>
          <w:szCs w:val="28"/>
          <w:lang w:eastAsia="zh-CN"/>
          <w14:textFill>
            <w14:solidFill>
              <w14:schemeClr w14:val="tx1"/>
            </w14:solidFill>
          </w14:textFill>
        </w:rPr>
        <w:t>）</w:t>
      </w:r>
    </w:p>
    <w:p>
      <w:pPr>
        <w:widowControl/>
        <w:snapToGrid w:val="0"/>
        <w:ind w:firstLine="0" w:firstLineChars="0"/>
        <w:jc w:val="both"/>
        <w:rPr>
          <w:bCs/>
          <w:color w:val="000000" w:themeColor="text1"/>
          <w:kern w:val="0"/>
          <w:szCs w:val="28"/>
          <w14:textFill>
            <w14:solidFill>
              <w14:schemeClr w14:val="tx1"/>
            </w14:solidFill>
          </w14:textFill>
        </w:rPr>
      </w:pPr>
    </w:p>
    <w:p>
      <w:pPr>
        <w:widowControl/>
        <w:adjustRightInd w:val="0"/>
        <w:snapToGrid w:val="0"/>
        <w:spacing w:line="360" w:lineRule="auto"/>
        <w:ind w:firstLine="480"/>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本公司郑重声明，根据财政部、司法部发布的《关于政府采购支持监狱企业发展有关问题的通知》的规定，本单位为符合条件的监狱企业单位，且本单位参加______单位的______项目采购活动提供本单位制造的货物（由本单位承担工程/提供服务），或者提供其他监狱企业单位制造的货物（不包括使用非残监狱企业单位注册商标的货物。）</w:t>
      </w:r>
    </w:p>
    <w:p>
      <w:pPr>
        <w:widowControl/>
        <w:adjustRightInd w:val="0"/>
        <w:snapToGrid w:val="0"/>
        <w:spacing w:line="360" w:lineRule="auto"/>
        <w:ind w:firstLine="480"/>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本公司对上述声明的真实性负责。如有虚假，将依法承担相应责任。</w:t>
      </w:r>
    </w:p>
    <w:p>
      <w:pPr>
        <w:widowControl/>
        <w:snapToGrid w:val="0"/>
        <w:spacing w:line="360" w:lineRule="auto"/>
        <w:ind w:firstLine="4818" w:firstLineChars="1721"/>
        <w:rPr>
          <w:bCs/>
          <w:color w:val="000000" w:themeColor="text1"/>
          <w:kern w:val="0"/>
          <w:szCs w:val="28"/>
          <w14:textFill>
            <w14:solidFill>
              <w14:schemeClr w14:val="tx1"/>
            </w14:solidFill>
          </w14:textFill>
        </w:rPr>
      </w:pPr>
    </w:p>
    <w:p>
      <w:pPr>
        <w:widowControl/>
        <w:adjustRightInd w:val="0"/>
        <w:snapToGrid w:val="0"/>
        <w:spacing w:line="360" w:lineRule="auto"/>
        <w:ind w:firstLine="480"/>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如不属于，请注明“我方不属于监狱企业，不适用”。</w:t>
      </w:r>
    </w:p>
    <w:p>
      <w:pPr>
        <w:widowControl/>
        <w:adjustRightInd w:val="0"/>
        <w:snapToGrid w:val="0"/>
        <w:spacing w:line="360" w:lineRule="auto"/>
        <w:ind w:firstLine="480"/>
        <w:rPr>
          <w:snapToGrid w:val="0"/>
          <w:color w:val="000000" w:themeColor="text1"/>
          <w:kern w:val="0"/>
          <w:sz w:val="24"/>
          <w14:textFill>
            <w14:solidFill>
              <w14:schemeClr w14:val="tx1"/>
            </w14:solidFill>
          </w14:textFill>
        </w:rPr>
      </w:pPr>
    </w:p>
    <w:p>
      <w:pPr>
        <w:widowControl/>
        <w:adjustRightInd w:val="0"/>
        <w:snapToGrid w:val="0"/>
        <w:spacing w:line="360" w:lineRule="auto"/>
        <w:ind w:firstLine="480"/>
        <w:rPr>
          <w:snapToGrid w:val="0"/>
          <w:color w:val="000000" w:themeColor="text1"/>
          <w:kern w:val="0"/>
          <w:sz w:val="24"/>
          <w14:textFill>
            <w14:solidFill>
              <w14:schemeClr w14:val="tx1"/>
            </w14:solidFill>
          </w14:textFill>
        </w:rPr>
      </w:pPr>
    </w:p>
    <w:p>
      <w:pPr>
        <w:widowControl/>
        <w:adjustRightInd w:val="0"/>
        <w:snapToGrid w:val="0"/>
        <w:spacing w:line="360" w:lineRule="auto"/>
        <w:ind w:firstLine="4478" w:firstLineChars="1866"/>
        <w:rPr>
          <w:snapToGrid w:val="0"/>
          <w:color w:val="000000" w:themeColor="text1"/>
          <w:kern w:val="0"/>
          <w:sz w:val="24"/>
          <w14:textFill>
            <w14:solidFill>
              <w14:schemeClr w14:val="tx1"/>
            </w14:solidFill>
          </w14:textFill>
        </w:rPr>
      </w:pPr>
    </w:p>
    <w:p>
      <w:pPr>
        <w:widowControl/>
        <w:adjustRightInd w:val="0"/>
        <w:snapToGrid w:val="0"/>
        <w:spacing w:line="360" w:lineRule="auto"/>
        <w:ind w:firstLine="4478" w:firstLineChars="1866"/>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企业名称：            （公章）</w:t>
      </w:r>
    </w:p>
    <w:p>
      <w:pPr>
        <w:widowControl/>
        <w:adjustRightInd w:val="0"/>
        <w:snapToGrid w:val="0"/>
        <w:spacing w:line="360" w:lineRule="auto"/>
        <w:ind w:firstLine="4478" w:firstLineChars="1866"/>
        <w:rPr>
          <w:snapToGrid w:val="0"/>
          <w:color w:val="000000" w:themeColor="text1"/>
          <w:kern w:val="0"/>
          <w:sz w:val="24"/>
          <w14:textFill>
            <w14:solidFill>
              <w14:schemeClr w14:val="tx1"/>
            </w14:solidFill>
          </w14:textFill>
        </w:rPr>
      </w:pPr>
      <w:r>
        <w:rPr>
          <w:snapToGrid w:val="0"/>
          <w:color w:val="000000" w:themeColor="text1"/>
          <w:kern w:val="0"/>
          <w:sz w:val="24"/>
          <w14:textFill>
            <w14:solidFill>
              <w14:schemeClr w14:val="tx1"/>
            </w14:solidFill>
          </w14:textFill>
        </w:rPr>
        <w:t>日   期：</w:t>
      </w:r>
    </w:p>
    <w:p>
      <w:pPr>
        <w:widowControl/>
        <w:ind w:firstLine="0" w:firstLineChars="0"/>
        <w:jc w:val="center"/>
        <w:rPr>
          <w:rFonts w:hint="eastAsia" w:eastAsia="宋体"/>
          <w:b/>
          <w:color w:val="000000" w:themeColor="text1"/>
          <w:spacing w:val="10"/>
          <w:kern w:val="0"/>
          <w:szCs w:val="28"/>
          <w:lang w:eastAsia="zh-CN"/>
          <w14:textFill>
            <w14:solidFill>
              <w14:schemeClr w14:val="tx1"/>
            </w14:solidFill>
          </w14:textFill>
        </w:rPr>
      </w:pPr>
      <w:r>
        <w:rPr>
          <w:bCs/>
          <w:color w:val="000000" w:themeColor="text1"/>
          <w:kern w:val="0"/>
          <w:szCs w:val="28"/>
          <w14:textFill>
            <w14:solidFill>
              <w14:schemeClr w14:val="tx1"/>
            </w14:solidFill>
          </w14:textFill>
        </w:rPr>
        <w:br w:type="page"/>
      </w:r>
      <w:r>
        <w:rPr>
          <w:b/>
          <w:color w:val="000000" w:themeColor="text1"/>
          <w:spacing w:val="10"/>
          <w:kern w:val="0"/>
          <w:szCs w:val="28"/>
          <w14:textFill>
            <w14:solidFill>
              <w14:schemeClr w14:val="tx1"/>
            </w14:solidFill>
          </w14:textFill>
        </w:rPr>
        <w:t>残疾人福利性单位声明函</w:t>
      </w:r>
      <w:r>
        <w:rPr>
          <w:rFonts w:hint="eastAsia"/>
          <w:b/>
          <w:color w:val="000000" w:themeColor="text1"/>
          <w:spacing w:val="10"/>
          <w:kern w:val="0"/>
          <w:szCs w:val="28"/>
          <w:lang w:eastAsia="zh-CN"/>
          <w14:textFill>
            <w14:solidFill>
              <w14:schemeClr w14:val="tx1"/>
            </w14:solidFill>
          </w14:textFill>
        </w:rPr>
        <w:t>（</w:t>
      </w:r>
      <w:r>
        <w:rPr>
          <w:rFonts w:hint="eastAsia"/>
          <w:b/>
          <w:color w:val="000000" w:themeColor="text1"/>
          <w:spacing w:val="10"/>
          <w:kern w:val="0"/>
          <w:szCs w:val="28"/>
          <w:lang w:val="en-US" w:eastAsia="zh-CN"/>
          <w14:textFill>
            <w14:solidFill>
              <w14:schemeClr w14:val="tx1"/>
            </w14:solidFill>
          </w14:textFill>
        </w:rPr>
        <w:t>格式</w:t>
      </w:r>
      <w:r>
        <w:rPr>
          <w:rFonts w:hint="eastAsia"/>
          <w:b/>
          <w:color w:val="000000" w:themeColor="text1"/>
          <w:spacing w:val="10"/>
          <w:kern w:val="0"/>
          <w:szCs w:val="28"/>
          <w:lang w:eastAsia="zh-CN"/>
          <w14:textFill>
            <w14:solidFill>
              <w14:schemeClr w14:val="tx1"/>
            </w14:solidFill>
          </w14:textFill>
        </w:rPr>
        <w:t>）</w:t>
      </w:r>
    </w:p>
    <w:p>
      <w:pPr>
        <w:tabs>
          <w:tab w:val="left" w:pos="1680"/>
        </w:tabs>
        <w:snapToGrid w:val="0"/>
        <w:ind w:firstLine="562"/>
        <w:jc w:val="center"/>
        <w:rPr>
          <w:b/>
          <w:color w:val="000000" w:themeColor="text1"/>
          <w:szCs w:val="28"/>
          <w14:textFill>
            <w14:solidFill>
              <w14:schemeClr w14:val="tx1"/>
            </w14:solidFill>
          </w14:textFill>
        </w:rPr>
      </w:pPr>
    </w:p>
    <w:p>
      <w:pPr>
        <w:tabs>
          <w:tab w:val="left" w:pos="855"/>
        </w:tabs>
        <w:snapToGrid w:val="0"/>
        <w:spacing w:line="360" w:lineRule="auto"/>
        <w:ind w:firstLine="48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本单位郑重声明，根据《</w:t>
      </w:r>
      <w:r>
        <w:rPr>
          <w:b/>
          <w:color w:val="000000" w:themeColor="text1"/>
          <w:spacing w:val="10"/>
          <w:kern w:val="0"/>
          <w:sz w:val="24"/>
          <w14:textFill>
            <w14:solidFill>
              <w14:schemeClr w14:val="tx1"/>
            </w14:solidFill>
          </w14:textFill>
        </w:rPr>
        <w:t>财政部</w:t>
      </w:r>
      <w:r>
        <w:rPr>
          <w:bCs/>
          <w:color w:val="000000" w:themeColor="text1"/>
          <w:sz w:val="24"/>
          <w14:textFill>
            <w14:solidFill>
              <w14:schemeClr w14:val="tx1"/>
            </w14:solidFill>
          </w14:textFill>
        </w:rPr>
        <w:t xml:space="preserve">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abs>
          <w:tab w:val="left" w:pos="855"/>
        </w:tabs>
        <w:snapToGrid w:val="0"/>
        <w:spacing w:line="360" w:lineRule="auto"/>
        <w:ind w:firstLine="48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本单位对上述声明的真实性负责。如有虚假，将依法承担相应责任。</w:t>
      </w:r>
    </w:p>
    <w:p>
      <w:pPr>
        <w:tabs>
          <w:tab w:val="left" w:pos="855"/>
        </w:tabs>
        <w:snapToGrid w:val="0"/>
        <w:spacing w:line="360" w:lineRule="auto"/>
        <w:ind w:left="420" w:firstLine="480"/>
        <w:rPr>
          <w:bCs/>
          <w:color w:val="000000" w:themeColor="text1"/>
          <w:sz w:val="24"/>
          <w14:textFill>
            <w14:solidFill>
              <w14:schemeClr w14:val="tx1"/>
            </w14:solidFill>
          </w14:textFill>
        </w:rPr>
      </w:pPr>
    </w:p>
    <w:p>
      <w:pPr>
        <w:tabs>
          <w:tab w:val="left" w:pos="855"/>
        </w:tabs>
        <w:snapToGrid w:val="0"/>
        <w:spacing w:line="360" w:lineRule="auto"/>
        <w:ind w:left="420" w:firstLine="480"/>
        <w:rPr>
          <w:bCs/>
          <w:color w:val="000000" w:themeColor="text1"/>
          <w:sz w:val="24"/>
          <w14:textFill>
            <w14:solidFill>
              <w14:schemeClr w14:val="tx1"/>
            </w14:solidFill>
          </w14:textFill>
        </w:rPr>
      </w:pPr>
    </w:p>
    <w:p>
      <w:pPr>
        <w:widowControl/>
        <w:snapToGrid w:val="0"/>
        <w:spacing w:line="360" w:lineRule="auto"/>
        <w:ind w:firstLine="3360" w:firstLineChars="1400"/>
        <w:rPr>
          <w:bCs/>
          <w:color w:val="000000" w:themeColor="text1"/>
          <w:kern w:val="0"/>
          <w:sz w:val="24"/>
          <w14:textFill>
            <w14:solidFill>
              <w14:schemeClr w14:val="tx1"/>
            </w14:solidFill>
          </w14:textFill>
        </w:rPr>
      </w:pPr>
      <w:r>
        <w:rPr>
          <w:bCs/>
          <w:color w:val="000000" w:themeColor="text1"/>
          <w:kern w:val="0"/>
          <w:sz w:val="24"/>
          <w14:textFill>
            <w14:solidFill>
              <w14:schemeClr w14:val="tx1"/>
            </w14:solidFill>
          </w14:textFill>
        </w:rPr>
        <w:t>企业名称：            （公章）</w:t>
      </w:r>
    </w:p>
    <w:p>
      <w:pPr>
        <w:tabs>
          <w:tab w:val="left" w:pos="855"/>
        </w:tabs>
        <w:snapToGrid w:val="0"/>
        <w:spacing w:line="360" w:lineRule="auto"/>
        <w:ind w:firstLine="3360" w:firstLineChars="1400"/>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日   期：</w:t>
      </w:r>
    </w:p>
    <w:p>
      <w:pPr>
        <w:snapToGrid w:val="0"/>
        <w:spacing w:line="360" w:lineRule="auto"/>
        <w:ind w:firstLine="504"/>
        <w:rPr>
          <w:color w:val="000000" w:themeColor="text1"/>
          <w:spacing w:val="6"/>
          <w:sz w:val="24"/>
          <w14:textFill>
            <w14:solidFill>
              <w14:schemeClr w14:val="tx1"/>
            </w14:solidFill>
          </w14:textFill>
        </w:rPr>
      </w:pPr>
    </w:p>
    <w:p>
      <w:pPr>
        <w:kinsoku w:val="0"/>
        <w:overflowPunct w:val="0"/>
        <w:autoSpaceDE w:val="0"/>
        <w:autoSpaceDN w:val="0"/>
        <w:adjustRightInd w:val="0"/>
        <w:snapToGrid w:val="0"/>
        <w:spacing w:line="360" w:lineRule="auto"/>
        <w:ind w:firstLine="522"/>
        <w:jc w:val="both"/>
        <w:rPr>
          <w:b/>
          <w:color w:val="000000" w:themeColor="text1"/>
          <w:spacing w:val="10"/>
          <w:kern w:val="0"/>
          <w:sz w:val="24"/>
          <w14:textFill>
            <w14:solidFill>
              <w14:schemeClr w14:val="tx1"/>
            </w14:solidFill>
          </w14:textFill>
        </w:rPr>
      </w:pPr>
      <w:r>
        <w:rPr>
          <w:b/>
          <w:color w:val="000000" w:themeColor="text1"/>
          <w:spacing w:val="10"/>
          <w:kern w:val="0"/>
          <w:sz w:val="24"/>
          <w14:textFill>
            <w14:solidFill>
              <w14:schemeClr w14:val="tx1"/>
            </w14:solidFill>
          </w14:textFill>
        </w:rPr>
        <w:t>如不属于，请注明“我方不属于残疾人福利性企业，不适用</w:t>
      </w:r>
      <w:r>
        <w:rPr>
          <w:rFonts w:hint="eastAsia"/>
          <w:b/>
          <w:color w:val="000000" w:themeColor="text1"/>
          <w:spacing w:val="10"/>
          <w:kern w:val="0"/>
          <w:sz w:val="24"/>
          <w:lang w:eastAsia="zh-CN"/>
          <w14:textFill>
            <w14:solidFill>
              <w14:schemeClr w14:val="tx1"/>
            </w14:solidFill>
          </w14:textFill>
        </w:rPr>
        <w:t>”</w:t>
      </w:r>
      <w:r>
        <w:rPr>
          <w:b/>
          <w:color w:val="000000" w:themeColor="text1"/>
          <w:spacing w:val="10"/>
          <w:kern w:val="0"/>
          <w:sz w:val="24"/>
          <w14:textFill>
            <w14:solidFill>
              <w14:schemeClr w14:val="tx1"/>
            </w14:solidFill>
          </w14:textFill>
        </w:rPr>
        <w:t>。</w:t>
      </w:r>
    </w:p>
    <w:p>
      <w:pPr>
        <w:kinsoku w:val="0"/>
        <w:overflowPunct w:val="0"/>
        <w:autoSpaceDE w:val="0"/>
        <w:autoSpaceDN w:val="0"/>
        <w:snapToGrid w:val="0"/>
        <w:spacing w:line="360" w:lineRule="auto"/>
        <w:ind w:firstLine="0" w:firstLineChars="0"/>
        <w:jc w:val="center"/>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jc w:val="center"/>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rPr>
          <w:color w:val="000000" w:themeColor="text1"/>
          <w:kern w:val="0"/>
          <w:szCs w:val="28"/>
          <w14:textFill>
            <w14:solidFill>
              <w14:schemeClr w14:val="tx1"/>
            </w14:solidFill>
          </w14:textFill>
        </w:rPr>
      </w:pPr>
    </w:p>
    <w:p>
      <w:pPr>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jc w:val="center"/>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t>商务部分</w:t>
      </w:r>
    </w:p>
    <w:p>
      <w:pPr>
        <w:kinsoku w:val="0"/>
        <w:overflowPunct w:val="0"/>
        <w:autoSpaceDE w:val="0"/>
        <w:autoSpaceDN w:val="0"/>
        <w:snapToGrid w:val="0"/>
        <w:spacing w:line="360" w:lineRule="auto"/>
        <w:ind w:firstLine="562"/>
        <w:jc w:val="center"/>
        <w:rPr>
          <w:b/>
          <w:bCs/>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jc w:val="center"/>
        <w:rPr>
          <w:b/>
          <w:bCs/>
          <w:color w:val="000000" w:themeColor="text1"/>
          <w:kern w:val="0"/>
          <w:sz w:val="24"/>
          <w14:textFill>
            <w14:solidFill>
              <w14:schemeClr w14:val="tx1"/>
            </w14:solidFill>
          </w14:textFill>
        </w:rPr>
      </w:pPr>
      <w:r>
        <w:rPr>
          <w:b/>
          <w:bCs/>
          <w:color w:val="000000" w:themeColor="text1"/>
          <w:kern w:val="0"/>
          <w:sz w:val="24"/>
          <w14:textFill>
            <w14:solidFill>
              <w14:schemeClr w14:val="tx1"/>
            </w14:solidFill>
          </w14:textFill>
        </w:rPr>
        <w:t>投标函（格式）</w:t>
      </w:r>
    </w:p>
    <w:p>
      <w:pPr>
        <w:tabs>
          <w:tab w:val="left" w:pos="4860"/>
        </w:tabs>
        <w:kinsoku w:val="0"/>
        <w:overflowPunct w:val="0"/>
        <w:autoSpaceDE w:val="0"/>
        <w:autoSpaceDN w:val="0"/>
        <w:snapToGrid w:val="0"/>
        <w:spacing w:line="360" w:lineRule="auto"/>
        <w:ind w:firstLine="1299" w:firstLineChars="539"/>
        <w:rPr>
          <w:b/>
          <w:bCs/>
          <w:color w:val="000000" w:themeColor="text1"/>
          <w:kern w:val="0"/>
          <w:sz w:val="24"/>
          <w14:textFill>
            <w14:solidFill>
              <w14:schemeClr w14:val="tx1"/>
            </w14:solidFill>
          </w14:textFill>
        </w:rPr>
      </w:pPr>
    </w:p>
    <w:p>
      <w:pPr>
        <w:tabs>
          <w:tab w:val="left" w:pos="4860"/>
        </w:tabs>
        <w:kinsoku w:val="0"/>
        <w:overflowPunct w:val="0"/>
        <w:autoSpaceDE w:val="0"/>
        <w:autoSpaceDN w:val="0"/>
        <w:snapToGrid w:val="0"/>
        <w:spacing w:line="360" w:lineRule="auto"/>
        <w:ind w:firstLine="0" w:firstLineChars="0"/>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山西中兴财项目管理有限公司</w:t>
      </w:r>
      <w:r>
        <w:rPr>
          <w:color w:val="000000" w:themeColor="text1"/>
          <w:kern w:val="0"/>
          <w:sz w:val="24"/>
          <w14:textFill>
            <w14:solidFill>
              <w14:schemeClr w14:val="tx1"/>
            </w14:solidFill>
          </w14:textFill>
        </w:rPr>
        <w:t>：</w:t>
      </w:r>
    </w:p>
    <w:p>
      <w:pPr>
        <w:tabs>
          <w:tab w:val="left" w:pos="486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(投标人全称)授权</w:t>
      </w: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(投标人代表姓名)</w:t>
      </w: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(职务或职称)为我方代表，参加贵方组织的</w:t>
      </w: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(项目名称、项目编号、包号)招标的有关活动，并对此项目进行投标。为此：</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1、我方同意在本项目招标文件中规定的</w:t>
      </w:r>
      <w:r>
        <w:rPr>
          <w:rFonts w:hint="eastAsia"/>
          <w:color w:val="000000" w:themeColor="text1"/>
          <w:kern w:val="0"/>
          <w:sz w:val="24"/>
          <w:u w:val="single"/>
          <w:lang w:val="en-US" w:eastAsia="zh-CN"/>
          <w14:textFill>
            <w14:solidFill>
              <w14:schemeClr w14:val="tx1"/>
            </w14:solidFill>
          </w14:textFill>
        </w:rPr>
        <w:t xml:space="preserve">      </w:t>
      </w:r>
      <w:r>
        <w:rPr>
          <w:color w:val="000000" w:themeColor="text1"/>
          <w:kern w:val="0"/>
          <w:sz w:val="24"/>
          <w14:textFill>
            <w14:solidFill>
              <w14:schemeClr w14:val="tx1"/>
            </w14:solidFill>
          </w14:textFill>
        </w:rPr>
        <w:t>有效期内遵守本投标文件中的承诺且在此期限期满之前均具有约束力。</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2、我方承诺已经具备《中华人民共和国政府采购法》中规定的参加政府采购活动的投标人应当具备的全部条件。</w:t>
      </w:r>
    </w:p>
    <w:p>
      <w:pPr>
        <w:tabs>
          <w:tab w:val="left" w:pos="168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3、提供投标须知规定的全部投标文件，包括投标文件正本、副本、开标一览表。</w:t>
      </w:r>
    </w:p>
    <w:p>
      <w:pPr>
        <w:tabs>
          <w:tab w:val="left" w:pos="168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4、按招标文件要求提供和交付的货物和服务的投标报价详见开标一览表。</w:t>
      </w:r>
    </w:p>
    <w:p>
      <w:pPr>
        <w:tabs>
          <w:tab w:val="left" w:pos="168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5、我方承诺：完全理解投标报价超过开标时公布的</w:t>
      </w:r>
      <w:r>
        <w:rPr>
          <w:rFonts w:hint="eastAsia"/>
          <w:color w:val="000000" w:themeColor="text1"/>
          <w:kern w:val="0"/>
          <w:sz w:val="24"/>
          <w14:textFill>
            <w14:solidFill>
              <w14:schemeClr w14:val="tx1"/>
            </w14:solidFill>
          </w14:textFill>
        </w:rPr>
        <w:t>最高限价</w:t>
      </w:r>
      <w:r>
        <w:rPr>
          <w:color w:val="000000" w:themeColor="text1"/>
          <w:kern w:val="0"/>
          <w:sz w:val="24"/>
          <w14:textFill>
            <w14:solidFill>
              <w14:schemeClr w14:val="tx1"/>
            </w14:solidFill>
          </w14:textFill>
        </w:rPr>
        <w:t>时，投标将被拒绝。</w:t>
      </w:r>
    </w:p>
    <w:p>
      <w:pPr>
        <w:tabs>
          <w:tab w:val="left" w:pos="168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6、保证忠实地执行双方所签订的合同，并承担合同规定的责任和义务。</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7、承诺完全满足和响应招标文件中的各项商务和技术要求，若有偏差，已在投标文件商务条款偏离表中予以明确特别说明。</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8、保证遵守招标文件的规定。</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9、如果在开标后规定的投标有效期内撤回投标，我方的投标保证金可被贵方没收。</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10、我方完全理解贵方不一定接受最低价的投标或收到的任何投标。</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11、我方愿意向贵方提供任何与本项投标有关的数据、情况和技术资料。若贵方需要，我方愿意提供我方做出的一切承诺的证明材料。</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12、我方已详细审核全部投标文件，包括投标文件修改书（如有的话）、参考资料及有关附件，确认无误。</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13、我方承诺：采购人若需追加采购本项目招标文件所列货物及相关服务的，在不改变合同其他实质性条款的前提下，按相同或更优惠的折扣率保证供货。</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14、我方承诺接受招标文件中《合同条款》的全部条款且无任何异议。</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15、我方将严格遵守《中华人民共和国政府采购法》的有关规定，若有下列情形之一的，将被处以采购金额5‰以上10‰以下的罚款，列入不良行为记录名单，在一至三年内禁止参加政府采购活动；有违法所得的，并处没收违法所得；情节严重的，由行政管理机关吊销营业执照；构成犯罪的，依法追究刑事责任：</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（1）提供虚假材料谋取中标、成交的；</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（2）采取不正当手段诋毁、排挤其他投标人的；</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（3）与采购人、其它投标人或者采购代理机构工作人员恶意串通的；</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（4）向采购人、采购代理机构工作人员行贿或者提供其他不正当利益的；</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（5）未经采购代理机构同意，在采购过程中与采购人进行协商谈判的；</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（6）拒绝有关部门监督检查或提供虚假情况的。</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所有有关本投标的一切往来联系方式为：</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地址：                            邮编：</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电话：                            传真：</w:t>
      </w:r>
    </w:p>
    <w:p>
      <w:pPr>
        <w:tabs>
          <w:tab w:val="left" w:pos="48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投标人代表姓名：</w:t>
      </w:r>
    </w:p>
    <w:p>
      <w:pPr>
        <w:tabs>
          <w:tab w:val="left" w:pos="48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投标人代表联系电话：           （办公）         （移动）</w:t>
      </w:r>
    </w:p>
    <w:p>
      <w:pPr>
        <w:tabs>
          <w:tab w:val="left" w:pos="48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E-mail：</w:t>
      </w:r>
    </w:p>
    <w:p>
      <w:pPr>
        <w:tabs>
          <w:tab w:val="left" w:pos="536"/>
        </w:tabs>
        <w:kinsoku w:val="0"/>
        <w:overflowPunct w:val="0"/>
        <w:autoSpaceDE w:val="0"/>
        <w:autoSpaceDN w:val="0"/>
        <w:snapToGrid w:val="0"/>
        <w:spacing w:line="360" w:lineRule="auto"/>
        <w:ind w:firstLine="3360" w:firstLineChars="14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投标人(公章)：</w:t>
      </w:r>
    </w:p>
    <w:p>
      <w:pPr>
        <w:tabs>
          <w:tab w:val="left" w:pos="4000"/>
        </w:tabs>
        <w:kinsoku w:val="0"/>
        <w:overflowPunct w:val="0"/>
        <w:autoSpaceDE w:val="0"/>
        <w:autoSpaceDN w:val="0"/>
        <w:snapToGrid w:val="0"/>
        <w:spacing w:line="360" w:lineRule="auto"/>
        <w:ind w:firstLine="3360" w:firstLineChars="14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投标人代表(签字或盖章)：</w:t>
      </w:r>
    </w:p>
    <w:p>
      <w:pPr>
        <w:tabs>
          <w:tab w:val="left" w:pos="4000"/>
        </w:tabs>
        <w:kinsoku w:val="0"/>
        <w:overflowPunct w:val="0"/>
        <w:autoSpaceDE w:val="0"/>
        <w:autoSpaceDN w:val="0"/>
        <w:snapToGrid w:val="0"/>
        <w:spacing w:line="360" w:lineRule="auto"/>
        <w:ind w:firstLine="3360" w:firstLineChars="1400"/>
        <w:rPr>
          <w:b/>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日期：</w:t>
      </w:r>
    </w:p>
    <w:p>
      <w:pPr>
        <w:kinsoku w:val="0"/>
        <w:overflowPunct w:val="0"/>
        <w:autoSpaceDE w:val="0"/>
        <w:autoSpaceDN w:val="0"/>
        <w:snapToGrid w:val="0"/>
        <w:spacing w:line="360" w:lineRule="auto"/>
        <w:ind w:firstLine="480"/>
        <w:jc w:val="both"/>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480"/>
        <w:jc w:val="both"/>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xml:space="preserve">注：除可填报项目外，对本投标函的任何修改将被视为非实质性响应投标，从而导致该投标被拒绝。 </w:t>
      </w:r>
    </w:p>
    <w:p>
      <w:pPr>
        <w:spacing w:line="360" w:lineRule="auto"/>
        <w:ind w:firstLine="562"/>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jc w:val="center"/>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法定代表人身份证明书（格式）</w:t>
      </w:r>
    </w:p>
    <w:p>
      <w:pPr>
        <w:kinsoku w:val="0"/>
        <w:overflowPunct w:val="0"/>
        <w:autoSpaceDE w:val="0"/>
        <w:autoSpaceDN w:val="0"/>
        <w:snapToGrid w:val="0"/>
        <w:spacing w:line="360" w:lineRule="auto"/>
        <w:ind w:firstLine="560"/>
        <w:jc w:val="center"/>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单位名称：</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xml:space="preserve">单位性质： </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地    址：</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成立时间：    年    月    日</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经营期限：</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xml:space="preserve">姓    名：              性  别：         </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xml:space="preserve">年    龄：              职  务： </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xml:space="preserve">    系       （投标人名称）          的法定代表人。</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xml:space="preserve">      </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960" w:firstLineChars="4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特此证明。</w:t>
      </w:r>
    </w:p>
    <w:p>
      <w:pPr>
        <w:kinsoku w:val="0"/>
        <w:overflowPunct w:val="0"/>
        <w:autoSpaceDE w:val="0"/>
        <w:autoSpaceDN w:val="0"/>
        <w:snapToGrid w:val="0"/>
        <w:spacing w:line="360" w:lineRule="auto"/>
        <w:ind w:firstLine="0" w:firstLineChars="0"/>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（法定代表人身份证复印件正反面）</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tabs>
          <w:tab w:val="left" w:pos="4000"/>
        </w:tabs>
        <w:kinsoku w:val="0"/>
        <w:overflowPunct w:val="0"/>
        <w:autoSpaceDE w:val="0"/>
        <w:autoSpaceDN w:val="0"/>
        <w:snapToGrid w:val="0"/>
        <w:spacing w:line="360" w:lineRule="auto"/>
        <w:ind w:firstLine="4478" w:firstLineChars="1866"/>
        <w:rPr>
          <w:color w:val="000000" w:themeColor="text1"/>
          <w:kern w:val="0"/>
          <w:sz w:val="24"/>
          <w14:textFill>
            <w14:solidFill>
              <w14:schemeClr w14:val="tx1"/>
            </w14:solidFill>
          </w14:textFill>
        </w:rPr>
      </w:pPr>
      <w:bookmarkStart w:id="86" w:name="_Toc86202635"/>
      <w:bookmarkStart w:id="87" w:name="_Toc175644065"/>
      <w:r>
        <w:rPr>
          <w:color w:val="000000" w:themeColor="text1"/>
          <w:kern w:val="0"/>
          <w:sz w:val="24"/>
          <w14:textFill>
            <w14:solidFill>
              <w14:schemeClr w14:val="tx1"/>
            </w14:solidFill>
          </w14:textFill>
        </w:rPr>
        <w:t>投标人(公章)：</w:t>
      </w:r>
    </w:p>
    <w:p>
      <w:pPr>
        <w:tabs>
          <w:tab w:val="left" w:pos="4000"/>
        </w:tabs>
        <w:kinsoku w:val="0"/>
        <w:overflowPunct w:val="0"/>
        <w:autoSpaceDE w:val="0"/>
        <w:autoSpaceDN w:val="0"/>
        <w:snapToGrid w:val="0"/>
        <w:spacing w:line="360" w:lineRule="auto"/>
        <w:ind w:firstLine="4478" w:firstLineChars="186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法定代表人(签字或盖章)：</w:t>
      </w:r>
    </w:p>
    <w:p>
      <w:pPr>
        <w:tabs>
          <w:tab w:val="left" w:pos="4000"/>
        </w:tabs>
        <w:kinsoku w:val="0"/>
        <w:overflowPunct w:val="0"/>
        <w:autoSpaceDE w:val="0"/>
        <w:autoSpaceDN w:val="0"/>
        <w:snapToGrid w:val="0"/>
        <w:spacing w:line="360" w:lineRule="auto"/>
        <w:ind w:firstLine="4478" w:firstLineChars="186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日期：</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560"/>
        <w:jc w:val="center"/>
        <w:rPr>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jc w:val="center"/>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法定代表人授权委托书（格式）</w:t>
      </w:r>
    </w:p>
    <w:p>
      <w:pPr>
        <w:kinsoku w:val="0"/>
        <w:overflowPunct w:val="0"/>
        <w:autoSpaceDE w:val="0"/>
        <w:autoSpaceDN w:val="0"/>
        <w:snapToGrid w:val="0"/>
        <w:spacing w:line="360" w:lineRule="auto"/>
        <w:ind w:firstLine="560"/>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山西中兴财项目管理有限公司</w:t>
      </w:r>
      <w:r>
        <w:rPr>
          <w:color w:val="000000" w:themeColor="text1"/>
          <w:kern w:val="0"/>
          <w:sz w:val="24"/>
          <w14:textFill>
            <w14:solidFill>
              <w14:schemeClr w14:val="tx1"/>
            </w14:solidFill>
          </w14:textFill>
        </w:rPr>
        <w:t>：</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本授权书声明：注册于</w:t>
      </w: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（投标人住址）的</w:t>
      </w: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（投标人名称）法定代表人</w:t>
      </w: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（法定代表人姓名、职务）代表本公司授权在下面签字的</w:t>
      </w:r>
      <w:r>
        <w:rPr>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（投标人代表姓名、职务）为本公司的合法代理人，就贵方组织的</w:t>
      </w:r>
      <w:r>
        <w:rPr>
          <w:b/>
          <w:color w:val="000000" w:themeColor="text1"/>
          <w:kern w:val="0"/>
          <w:sz w:val="24"/>
          <w:u w:val="single"/>
          <w14:textFill>
            <w14:solidFill>
              <w14:schemeClr w14:val="tx1"/>
            </w14:solidFill>
          </w14:textFill>
        </w:rPr>
        <w:t xml:space="preserve">           </w:t>
      </w:r>
      <w:r>
        <w:rPr>
          <w:b/>
          <w:color w:val="000000" w:themeColor="text1"/>
          <w:kern w:val="0"/>
          <w:sz w:val="24"/>
          <w14:textFill>
            <w14:solidFill>
              <w14:schemeClr w14:val="tx1"/>
            </w14:solidFill>
          </w14:textFill>
        </w:rPr>
        <w:t xml:space="preserve"> </w:t>
      </w:r>
      <w:r>
        <w:rPr>
          <w:color w:val="000000" w:themeColor="text1"/>
          <w:kern w:val="0"/>
          <w:sz w:val="24"/>
          <w14:textFill>
            <w14:solidFill>
              <w14:schemeClr w14:val="tx1"/>
            </w14:solidFill>
          </w14:textFill>
        </w:rPr>
        <w:t>项目，项目编号：</w:t>
      </w:r>
      <w:r>
        <w:rPr>
          <w:b/>
          <w:color w:val="000000" w:themeColor="text1"/>
          <w:kern w:val="0"/>
          <w:sz w:val="24"/>
          <w:u w:val="single"/>
          <w14:textFill>
            <w14:solidFill>
              <w14:schemeClr w14:val="tx1"/>
            </w14:solidFill>
          </w14:textFill>
        </w:rPr>
        <w:t xml:space="preserve">       </w:t>
      </w:r>
      <w:r>
        <w:rPr>
          <w:color w:val="000000" w:themeColor="text1"/>
          <w:kern w:val="0"/>
          <w:sz w:val="24"/>
          <w14:textFill>
            <w14:solidFill>
              <w14:schemeClr w14:val="tx1"/>
            </w14:solidFill>
          </w14:textFill>
        </w:rPr>
        <w:t>，以本公司名义处理一切与之有关的事务。</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本授权书于    年  月  日签署生效，特此声明。</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bookmarkEnd w:id="86"/>
    <w:bookmarkEnd w:id="87"/>
    <w:p>
      <w:pPr>
        <w:tabs>
          <w:tab w:val="left" w:pos="730"/>
        </w:tabs>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480"/>
        <w:jc w:val="center"/>
        <w:rPr>
          <w:color w:val="000000" w:themeColor="text1"/>
          <w:kern w:val="0"/>
          <w:sz w:val="24"/>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（法定代表人身份证及投标人代表身份证复印件正反面）</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559" w:firstLineChars="233"/>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法定代表人签字或盖章：</w:t>
      </w:r>
    </w:p>
    <w:p>
      <w:pPr>
        <w:kinsoku w:val="0"/>
        <w:overflowPunct w:val="0"/>
        <w:autoSpaceDE w:val="0"/>
        <w:autoSpaceDN w:val="0"/>
        <w:snapToGrid w:val="0"/>
        <w:spacing w:line="360" w:lineRule="auto"/>
        <w:ind w:firstLine="559" w:firstLineChars="233"/>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559" w:firstLineChars="233"/>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投标人代表签字或盖章：</w:t>
      </w:r>
    </w:p>
    <w:p>
      <w:pPr>
        <w:kinsoku w:val="0"/>
        <w:overflowPunct w:val="0"/>
        <w:autoSpaceDE w:val="0"/>
        <w:autoSpaceDN w:val="0"/>
        <w:snapToGrid w:val="0"/>
        <w:spacing w:line="360" w:lineRule="auto"/>
        <w:ind w:firstLine="559" w:firstLineChars="233"/>
        <w:rPr>
          <w:color w:val="000000" w:themeColor="text1"/>
          <w:kern w:val="0"/>
          <w:sz w:val="24"/>
          <w14:textFill>
            <w14:solidFill>
              <w14:schemeClr w14:val="tx1"/>
            </w14:solidFill>
          </w14:textFill>
        </w:rPr>
      </w:pPr>
    </w:p>
    <w:p>
      <w:pPr>
        <w:tabs>
          <w:tab w:val="left" w:pos="730"/>
        </w:tabs>
        <w:kinsoku w:val="0"/>
        <w:overflowPunct w:val="0"/>
        <w:autoSpaceDE w:val="0"/>
        <w:autoSpaceDN w:val="0"/>
        <w:snapToGrid w:val="0"/>
        <w:spacing w:line="360" w:lineRule="auto"/>
        <w:ind w:firstLine="559" w:firstLineChars="233"/>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投标人全称、投标人公章：</w:t>
      </w:r>
    </w:p>
    <w:p>
      <w:pPr>
        <w:kinsoku w:val="0"/>
        <w:overflowPunct w:val="0"/>
        <w:autoSpaceDE w:val="0"/>
        <w:autoSpaceDN w:val="0"/>
        <w:snapToGrid w:val="0"/>
        <w:spacing w:line="360" w:lineRule="auto"/>
        <w:ind w:left="560" w:hanging="560" w:hangingChars="200"/>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left="560" w:hanging="560" w:hangingChars="200"/>
        <w:rPr>
          <w:color w:val="000000" w:themeColor="text1"/>
          <w:kern w:val="0"/>
          <w:szCs w:val="28"/>
          <w14:textFill>
            <w14:solidFill>
              <w14:schemeClr w14:val="tx1"/>
            </w14:solidFill>
          </w14:textFill>
        </w:rPr>
      </w:pPr>
    </w:p>
    <w:p>
      <w:pPr>
        <w:kinsoku w:val="0"/>
        <w:overflowPunct w:val="0"/>
        <w:autoSpaceDE w:val="0"/>
        <w:autoSpaceDN w:val="0"/>
        <w:snapToGrid w:val="0"/>
        <w:ind w:left="560" w:hanging="560" w:hangingChars="200"/>
        <w:rPr>
          <w:color w:val="000000" w:themeColor="text1"/>
          <w:kern w:val="0"/>
          <w:szCs w:val="28"/>
          <w14:textFill>
            <w14:solidFill>
              <w14:schemeClr w14:val="tx1"/>
            </w14:solidFill>
          </w14:textFill>
        </w:rPr>
      </w:pPr>
    </w:p>
    <w:p>
      <w:pPr>
        <w:ind w:firstLine="562"/>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ind w:firstLine="0" w:firstLineChars="0"/>
        <w:rPr>
          <w:b/>
          <w:bCs/>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0" w:firstLineChars="0"/>
        <w:jc w:val="center"/>
        <w:rPr>
          <w:rFonts w:hint="eastAsia" w:eastAsia="宋体"/>
          <w:b/>
          <w:color w:val="000000" w:themeColor="text1"/>
          <w:kern w:val="0"/>
          <w:szCs w:val="28"/>
          <w:lang w:eastAsia="zh-CN"/>
          <w14:textFill>
            <w14:solidFill>
              <w14:schemeClr w14:val="tx1"/>
            </w14:solidFill>
          </w14:textFill>
        </w:rPr>
      </w:pPr>
      <w:r>
        <w:rPr>
          <w:b/>
          <w:color w:val="000000" w:themeColor="text1"/>
          <w:kern w:val="0"/>
          <w:szCs w:val="28"/>
          <w14:textFill>
            <w14:solidFill>
              <w14:schemeClr w14:val="tx1"/>
            </w14:solidFill>
          </w14:textFill>
        </w:rPr>
        <w:t>商务规范偏离表</w:t>
      </w:r>
      <w:r>
        <w:rPr>
          <w:rFonts w:hint="eastAsia"/>
          <w:b/>
          <w:color w:val="000000" w:themeColor="text1"/>
          <w:kern w:val="0"/>
          <w:szCs w:val="28"/>
          <w:lang w:eastAsia="zh-CN"/>
          <w14:textFill>
            <w14:solidFill>
              <w14:schemeClr w14:val="tx1"/>
            </w14:solidFill>
          </w14:textFill>
        </w:rPr>
        <w:t>（</w:t>
      </w:r>
      <w:r>
        <w:rPr>
          <w:rFonts w:hint="eastAsia"/>
          <w:b/>
          <w:color w:val="000000" w:themeColor="text1"/>
          <w:kern w:val="0"/>
          <w:szCs w:val="28"/>
          <w:lang w:val="en-US" w:eastAsia="zh-CN"/>
          <w14:textFill>
            <w14:solidFill>
              <w14:schemeClr w14:val="tx1"/>
            </w14:solidFill>
          </w14:textFill>
        </w:rPr>
        <w:t>格式</w:t>
      </w:r>
      <w:r>
        <w:rPr>
          <w:rFonts w:hint="eastAsia"/>
          <w:b/>
          <w:color w:val="000000" w:themeColor="text1"/>
          <w:kern w:val="0"/>
          <w:szCs w:val="28"/>
          <w:lang w:eastAsia="zh-CN"/>
          <w14:textFill>
            <w14:solidFill>
              <w14:schemeClr w14:val="tx1"/>
            </w14:solidFill>
          </w14:textFill>
        </w:rPr>
        <w:t>）</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项目名称：</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项目编号：</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投标人名称：</w:t>
      </w:r>
    </w:p>
    <w:p>
      <w:pPr>
        <w:snapToGrid w:val="0"/>
        <w:spacing w:line="360" w:lineRule="auto"/>
        <w:ind w:firstLine="480"/>
        <w:rPr>
          <w:color w:val="000000" w:themeColor="text1"/>
          <w:sz w:val="24"/>
          <w:u w:val="single"/>
          <w14:textFill>
            <w14:solidFill>
              <w14:schemeClr w14:val="tx1"/>
            </w14:solidFill>
          </w14:textFill>
        </w:rPr>
      </w:pPr>
      <w:r>
        <w:rPr>
          <w:color w:val="000000" w:themeColor="text1"/>
          <w:kern w:val="0"/>
          <w:sz w:val="24"/>
          <w14:textFill>
            <w14:solidFill>
              <w14:schemeClr w14:val="tx1"/>
            </w14:solidFill>
          </w14:textFill>
        </w:rPr>
        <w:t>包      号：</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tbl>
      <w:tblPr>
        <w:tblStyle w:val="1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4"/>
        <w:gridCol w:w="1458"/>
        <w:gridCol w:w="2267"/>
        <w:gridCol w:w="2089"/>
        <w:gridCol w:w="1379"/>
        <w:gridCol w:w="88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32"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序号</w:t>
            </w: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货物名称</w:t>
            </w: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招标文件</w:t>
            </w:r>
          </w:p>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商务要求</w:t>
            </w: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投标文件</w:t>
            </w:r>
          </w:p>
          <w:p>
            <w:pPr>
              <w:kinsoku w:val="0"/>
              <w:overflowPunct w:val="0"/>
              <w:autoSpaceDE w:val="0"/>
              <w:autoSpaceDN w:val="0"/>
              <w:snapToGrid w:val="0"/>
              <w:spacing w:line="240" w:lineRule="auto"/>
              <w:ind w:firstLine="0" w:firstLineChars="0"/>
              <w:jc w:val="center"/>
              <w:rPr>
                <w:rFonts w:hint="eastAsia" w:eastAsia="宋体"/>
                <w:color w:val="000000" w:themeColor="text1"/>
                <w:kern w:val="0"/>
                <w:sz w:val="24"/>
                <w:lang w:eastAsia="zh-CN"/>
                <w14:textFill>
                  <w14:solidFill>
                    <w14:schemeClr w14:val="tx1"/>
                  </w14:solidFill>
                </w14:textFill>
              </w:rPr>
            </w:pPr>
            <w:r>
              <w:rPr>
                <w:color w:val="000000" w:themeColor="text1"/>
                <w:kern w:val="0"/>
                <w:sz w:val="24"/>
                <w14:textFill>
                  <w14:solidFill>
                    <w14:schemeClr w14:val="tx1"/>
                  </w14:solidFill>
                </w14:textFill>
              </w:rPr>
              <w:t>对应</w:t>
            </w:r>
            <w:r>
              <w:rPr>
                <w:rFonts w:hint="eastAsia"/>
                <w:color w:val="000000" w:themeColor="text1"/>
                <w:kern w:val="0"/>
                <w:sz w:val="24"/>
                <w:lang w:val="en-US" w:eastAsia="zh-CN"/>
                <w14:textFill>
                  <w14:solidFill>
                    <w14:schemeClr w14:val="tx1"/>
                  </w14:solidFill>
                </w14:textFill>
              </w:rPr>
              <w:t>响应</w:t>
            </w: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偏离情况</w:t>
            </w: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0" w:hRule="atLeast"/>
          <w:jc w:val="center"/>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bl>
    <w:p>
      <w:pPr>
        <w:snapToGrid w:val="0"/>
        <w:spacing w:line="360" w:lineRule="auto"/>
        <w:ind w:firstLine="562"/>
        <w:rPr>
          <w:b/>
          <w:bCs/>
          <w:color w:val="000000"/>
          <w:szCs w:val="21"/>
        </w:rPr>
      </w:pPr>
    </w:p>
    <w:p>
      <w:pPr>
        <w:snapToGrid w:val="0"/>
        <w:spacing w:line="360" w:lineRule="auto"/>
        <w:ind w:firstLine="482"/>
        <w:rPr>
          <w:b/>
          <w:bCs/>
          <w:color w:val="000000"/>
          <w:sz w:val="24"/>
          <w:szCs w:val="20"/>
        </w:rPr>
      </w:pPr>
      <w:r>
        <w:rPr>
          <w:b/>
          <w:bCs/>
          <w:color w:val="000000"/>
          <w:sz w:val="24"/>
          <w:szCs w:val="20"/>
        </w:rPr>
        <w:t>注：1、此表中，投标人只填写偏离项。</w:t>
      </w:r>
    </w:p>
    <w:p>
      <w:pPr>
        <w:snapToGrid w:val="0"/>
        <w:spacing w:line="360" w:lineRule="auto"/>
        <w:ind w:firstLineChars="400"/>
        <w:rPr>
          <w:b/>
          <w:bCs/>
          <w:color w:val="000000"/>
          <w:sz w:val="24"/>
          <w:szCs w:val="20"/>
        </w:rPr>
      </w:pPr>
      <w:r>
        <w:rPr>
          <w:b/>
          <w:bCs/>
          <w:color w:val="000000"/>
          <w:sz w:val="24"/>
          <w:szCs w:val="20"/>
        </w:rPr>
        <w:t>2、若商务要求没有偏离项，投标人须提供“完全响应招标文件商务要求承诺书”，未提供承诺书按废标处理。</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widowControl/>
        <w:adjustRightInd w:val="0"/>
        <w:snapToGrid w:val="0"/>
        <w:spacing w:line="360" w:lineRule="auto"/>
        <w:ind w:firstLine="4163" w:firstLineChars="1487"/>
        <w:rPr>
          <w:color w:val="000000" w:themeColor="text1"/>
          <w:spacing w:val="20"/>
          <w:kern w:val="0"/>
          <w:sz w:val="24"/>
          <w14:textFill>
            <w14:solidFill>
              <w14:schemeClr w14:val="tx1"/>
            </w14:solidFill>
          </w14:textFill>
        </w:rPr>
      </w:pPr>
    </w:p>
    <w:p>
      <w:pPr>
        <w:widowControl/>
        <w:adjustRightInd w:val="0"/>
        <w:snapToGrid w:val="0"/>
        <w:spacing w:line="360" w:lineRule="auto"/>
        <w:ind w:firstLine="5280" w:firstLineChars="22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投标人(公章):</w:t>
      </w:r>
    </w:p>
    <w:p>
      <w:pPr>
        <w:widowControl/>
        <w:adjustRightInd w:val="0"/>
        <w:snapToGrid w:val="0"/>
        <w:spacing w:line="360" w:lineRule="auto"/>
        <w:ind w:firstLine="5280" w:firstLineChars="22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投标人代表(签字或盖章)</w:t>
      </w:r>
    </w:p>
    <w:p>
      <w:pPr>
        <w:widowControl/>
        <w:adjustRightInd w:val="0"/>
        <w:snapToGrid w:val="0"/>
        <w:spacing w:line="360" w:lineRule="auto"/>
        <w:ind w:firstLine="5280" w:firstLineChars="22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w:t>
      </w:r>
      <w:r>
        <w:rPr>
          <w:color w:val="000000" w:themeColor="text1"/>
          <w:kern w:val="0"/>
          <w:sz w:val="24"/>
          <w14:textFill>
            <w14:solidFill>
              <w14:schemeClr w14:val="tx1"/>
            </w14:solidFill>
          </w14:textFill>
        </w:rPr>
        <w:tab/>
      </w:r>
      <w:r>
        <w:rPr>
          <w:color w:val="000000" w:themeColor="text1"/>
          <w:kern w:val="0"/>
          <w:sz w:val="24"/>
          <w14:textFill>
            <w14:solidFill>
              <w14:schemeClr w14:val="tx1"/>
            </w14:solidFill>
          </w14:textFill>
        </w:rPr>
        <w:t>期：</w:t>
      </w:r>
    </w:p>
    <w:p>
      <w:pPr>
        <w:widowControl/>
        <w:adjustRightInd w:val="0"/>
        <w:snapToGrid w:val="0"/>
        <w:spacing w:line="360" w:lineRule="auto"/>
        <w:ind w:firstLine="0" w:firstLineChars="0"/>
        <w:rPr>
          <w:color w:val="000000" w:themeColor="text1"/>
          <w:kern w:val="0"/>
          <w:sz w:val="24"/>
          <w14:textFill>
            <w14:solidFill>
              <w14:schemeClr w14:val="tx1"/>
            </w14:solidFill>
          </w14:textFill>
        </w:rPr>
      </w:pPr>
    </w:p>
    <w:p>
      <w:pPr>
        <w:widowControl/>
        <w:adjustRightInd w:val="0"/>
        <w:snapToGrid w:val="0"/>
        <w:spacing w:line="360" w:lineRule="auto"/>
        <w:ind w:firstLine="0" w:firstLineChars="0"/>
        <w:rPr>
          <w:color w:val="000000" w:themeColor="text1"/>
          <w:kern w:val="0"/>
          <w:sz w:val="24"/>
          <w14:textFill>
            <w14:solidFill>
              <w14:schemeClr w14:val="tx1"/>
            </w14:solidFill>
          </w14:textFill>
        </w:rPr>
      </w:pPr>
    </w:p>
    <w:p>
      <w:pPr>
        <w:widowControl/>
        <w:adjustRightInd w:val="0"/>
        <w:snapToGrid w:val="0"/>
        <w:spacing w:line="360" w:lineRule="auto"/>
        <w:ind w:firstLine="0" w:firstLineChars="0"/>
        <w:rPr>
          <w:rFonts w:hint="eastAsia" w:eastAsia="宋体"/>
          <w:color w:val="000000" w:themeColor="text1"/>
          <w:kern w:val="0"/>
          <w:sz w:val="24"/>
          <w:lang w:eastAsia="zh-CN"/>
          <w14:textFill>
            <w14:solidFill>
              <w14:schemeClr w14:val="tx1"/>
            </w14:solidFill>
          </w14:textFill>
        </w:rPr>
      </w:pPr>
      <w:r>
        <w:rPr>
          <w:color w:val="000000" w:themeColor="text1"/>
          <w:kern w:val="0"/>
          <w:sz w:val="24"/>
          <w14:textFill>
            <w14:solidFill>
              <w14:schemeClr w14:val="tx1"/>
            </w14:solidFill>
          </w14:textFill>
        </w:rPr>
        <w:t>注：本表不足可扩展</w:t>
      </w:r>
      <w:r>
        <w:rPr>
          <w:rFonts w:hint="eastAsia"/>
          <w:color w:val="000000" w:themeColor="text1"/>
          <w:kern w:val="0"/>
          <w:sz w:val="24"/>
          <w:lang w:eastAsia="zh-CN"/>
          <w14:textFill>
            <w14:solidFill>
              <w14:schemeClr w14:val="tx1"/>
            </w14:solidFill>
          </w14:textFill>
        </w:rPr>
        <w:t>。</w:t>
      </w:r>
    </w:p>
    <w:p>
      <w:pPr>
        <w:kinsoku w:val="0"/>
        <w:overflowPunct w:val="0"/>
        <w:autoSpaceDE w:val="0"/>
        <w:autoSpaceDN w:val="0"/>
        <w:snapToGrid w:val="0"/>
        <w:spacing w:line="360" w:lineRule="auto"/>
        <w:ind w:firstLine="0" w:firstLineChars="0"/>
        <w:jc w:val="both"/>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jc w:val="center"/>
        <w:rPr>
          <w:b/>
          <w:color w:val="000000" w:themeColor="text1"/>
          <w:kern w:val="0"/>
          <w:szCs w:val="28"/>
          <w14:textFill>
            <w14:solidFill>
              <w14:schemeClr w14:val="tx1"/>
            </w14:solidFill>
          </w14:textFill>
        </w:rPr>
      </w:pPr>
      <w:r>
        <w:rPr>
          <w:rFonts w:hint="eastAsia"/>
          <w:b/>
          <w:color w:val="000000" w:themeColor="text1"/>
          <w:kern w:val="0"/>
          <w:szCs w:val="28"/>
          <w:lang w:val="en-US" w:eastAsia="zh-CN"/>
          <w14:textFill>
            <w14:solidFill>
              <w14:schemeClr w14:val="tx1"/>
            </w14:solidFill>
          </w14:textFill>
        </w:rPr>
        <w:t>同类项目案列及相关证明资料</w:t>
      </w:r>
      <w:r>
        <w:rPr>
          <w:b/>
          <w:color w:val="000000" w:themeColor="text1"/>
          <w:kern w:val="0"/>
          <w:szCs w:val="28"/>
          <w14:textFill>
            <w14:solidFill>
              <w14:schemeClr w14:val="tx1"/>
            </w14:solidFill>
          </w14:textFill>
        </w:rPr>
        <w:t>（格式）</w:t>
      </w:r>
    </w:p>
    <w:p>
      <w:pPr>
        <w:ind w:firstLine="560"/>
        <w:rPr>
          <w:bCs/>
          <w:color w:val="000000" w:themeColor="text1"/>
          <w:kern w:val="0"/>
          <w:szCs w:val="28"/>
          <w14:textFill>
            <w14:solidFill>
              <w14:schemeClr w14:val="tx1"/>
            </w14:solidFill>
          </w14:textFill>
        </w:rPr>
      </w:pPr>
    </w:p>
    <w:p>
      <w:pPr>
        <w:snapToGrid w:val="0"/>
        <w:spacing w:line="360" w:lineRule="auto"/>
        <w:ind w:firstLine="480"/>
        <w:rPr>
          <w:color w:val="000000" w:themeColor="text1"/>
          <w:sz w:val="24"/>
          <w:u w:val="single"/>
          <w14:textFill>
            <w14:solidFill>
              <w14:schemeClr w14:val="tx1"/>
            </w14:solidFill>
          </w14:textFill>
        </w:rPr>
      </w:pPr>
      <w:r>
        <w:rPr>
          <w:bCs/>
          <w:color w:val="000000" w:themeColor="text1"/>
          <w:kern w:val="0"/>
          <w:sz w:val="24"/>
          <w14:textFill>
            <w14:solidFill>
              <w14:schemeClr w14:val="tx1"/>
            </w14:solidFill>
          </w14:textFill>
        </w:rPr>
        <w:t>包   号：</w:t>
      </w:r>
    </w:p>
    <w:p>
      <w:pPr>
        <w:kinsoku w:val="0"/>
        <w:overflowPunct w:val="0"/>
        <w:autoSpaceDE w:val="0"/>
        <w:autoSpaceDN w:val="0"/>
        <w:snapToGrid w:val="0"/>
        <w:spacing w:line="360" w:lineRule="auto"/>
        <w:ind w:firstLine="480"/>
        <w:jc w:val="both"/>
        <w:rPr>
          <w:bCs/>
          <w:color w:val="000000" w:themeColor="text1"/>
          <w:kern w:val="0"/>
          <w:sz w:val="24"/>
          <w14:textFill>
            <w14:solidFill>
              <w14:schemeClr w14:val="tx1"/>
            </w14:solidFill>
          </w14:textFill>
        </w:rPr>
      </w:pP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按下表格式填写，并提供对应合同及相关证明材料复印件</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要求必须是与最终用户签订的</w:t>
      </w:r>
      <w:r>
        <w:rPr>
          <w:rFonts w:hint="eastAsia"/>
          <w:color w:val="000000" w:themeColor="text1"/>
          <w:sz w:val="24"/>
          <w14:textFill>
            <w14:solidFill>
              <w14:schemeClr w14:val="tx1"/>
            </w14:solidFill>
          </w14:textFill>
        </w:rPr>
        <w:t>合同</w:t>
      </w:r>
      <w:r>
        <w:rPr>
          <w:color w:val="000000" w:themeColor="text1"/>
          <w:sz w:val="24"/>
          <w14:textFill>
            <w14:solidFill>
              <w14:schemeClr w14:val="tx1"/>
            </w14:solidFill>
          </w14:textFill>
        </w:rPr>
        <w:t>。</w:t>
      </w:r>
    </w:p>
    <w:tbl>
      <w:tblPr>
        <w:tblStyle w:val="14"/>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313"/>
        <w:gridCol w:w="1327"/>
        <w:gridCol w:w="769"/>
        <w:gridCol w:w="1313"/>
        <w:gridCol w:w="1053"/>
        <w:gridCol w:w="1297"/>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2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用户名称</w:t>
            </w:r>
          </w:p>
        </w:tc>
        <w:tc>
          <w:tcPr>
            <w:tcW w:w="770"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产品名称</w:t>
            </w:r>
          </w:p>
        </w:tc>
        <w:tc>
          <w:tcPr>
            <w:tcW w:w="447"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数量</w:t>
            </w: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合同金额</w:t>
            </w:r>
          </w:p>
        </w:tc>
        <w:tc>
          <w:tcPr>
            <w:tcW w:w="61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联系人</w:t>
            </w:r>
          </w:p>
        </w:tc>
        <w:tc>
          <w:tcPr>
            <w:tcW w:w="753"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联系电话</w:t>
            </w:r>
          </w:p>
        </w:tc>
        <w:tc>
          <w:tcPr>
            <w:tcW w:w="46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70"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47"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61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53"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6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70"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47"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61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53"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6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70"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47"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61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53"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6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8" w:hRule="atLeast"/>
          <w:jc w:val="center"/>
        </w:trPr>
        <w:tc>
          <w:tcPr>
            <w:tcW w:w="42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70"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47"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61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53"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6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25" w:type="pct"/>
            <w:vAlign w:val="center"/>
          </w:tcPr>
          <w:p>
            <w:pPr>
              <w:kinsoku w:val="0"/>
              <w:overflowPunct w:val="0"/>
              <w:autoSpaceDE w:val="0"/>
              <w:autoSpaceDN w:val="0"/>
              <w:adjustRightInd w:val="0"/>
              <w:snapToGrid w:val="0"/>
              <w:spacing w:line="240" w:lineRule="auto"/>
              <w:ind w:firstLine="0" w:firstLineChars="0"/>
              <w:jc w:val="center"/>
              <w:rPr>
                <w:rFonts w:hint="default" w:eastAsia="宋体"/>
                <w:color w:val="000000" w:themeColor="text1"/>
                <w:sz w:val="24"/>
                <w:lang w:val="en-US" w:eastAsia="zh-CN"/>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70"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47"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61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53"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6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187" w:type="pct"/>
            <w:gridSpan w:val="2"/>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合计</w:t>
            </w:r>
          </w:p>
        </w:tc>
        <w:tc>
          <w:tcPr>
            <w:tcW w:w="770"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47"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6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612"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753"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c>
          <w:tcPr>
            <w:tcW w:w="465" w:type="pct"/>
            <w:vAlign w:val="center"/>
          </w:tcPr>
          <w:p>
            <w:pPr>
              <w:kinsoku w:val="0"/>
              <w:overflowPunct w:val="0"/>
              <w:autoSpaceDE w:val="0"/>
              <w:autoSpaceDN w:val="0"/>
              <w:adjustRightInd w:val="0"/>
              <w:snapToGrid w:val="0"/>
              <w:spacing w:line="240" w:lineRule="auto"/>
              <w:ind w:firstLine="0" w:firstLineChars="0"/>
              <w:jc w:val="center"/>
              <w:rPr>
                <w:color w:val="000000" w:themeColor="text1"/>
                <w:sz w:val="24"/>
                <w14:textFill>
                  <w14:solidFill>
                    <w14:schemeClr w14:val="tx1"/>
                  </w14:solidFill>
                </w14:textFill>
              </w:rPr>
            </w:pPr>
          </w:p>
        </w:tc>
      </w:tr>
    </w:tbl>
    <w:p>
      <w:pPr>
        <w:kinsoku w:val="0"/>
        <w:overflowPunct w:val="0"/>
        <w:autoSpaceDE w:val="0"/>
        <w:autoSpaceDN w:val="0"/>
        <w:adjustRightInd w:val="0"/>
        <w:snapToGrid w:val="0"/>
        <w:spacing w:line="360" w:lineRule="auto"/>
        <w:ind w:left="826" w:hanging="826" w:hangingChars="343"/>
        <w:textAlignment w:val="baseline"/>
        <w:rPr>
          <w:b/>
          <w:color w:val="000000" w:themeColor="text1"/>
          <w:kern w:val="0"/>
          <w:sz w:val="24"/>
          <w14:textFill>
            <w14:solidFill>
              <w14:schemeClr w14:val="tx1"/>
            </w14:solidFill>
          </w14:textFill>
        </w:rPr>
      </w:pPr>
    </w:p>
    <w:p>
      <w:pPr>
        <w:kinsoku w:val="0"/>
        <w:overflowPunct w:val="0"/>
        <w:autoSpaceDE w:val="0"/>
        <w:autoSpaceDN w:val="0"/>
        <w:adjustRightInd w:val="0"/>
        <w:snapToGrid w:val="0"/>
        <w:spacing w:line="360" w:lineRule="auto"/>
        <w:ind w:left="826" w:hanging="826" w:hangingChars="343"/>
        <w:textAlignment w:val="baseline"/>
        <w:rPr>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注：</w:t>
      </w:r>
      <w:r>
        <w:rPr>
          <w:color w:val="000000" w:themeColor="text1"/>
          <w:kern w:val="0"/>
          <w:sz w:val="24"/>
          <w14:textFill>
            <w14:solidFill>
              <w14:schemeClr w14:val="tx1"/>
            </w14:solidFill>
          </w14:textFill>
        </w:rPr>
        <w:t>1.所提供项目案例与招标产品差别较大的，扣除相应业绩；</w:t>
      </w:r>
    </w:p>
    <w:p>
      <w:pPr>
        <w:kinsoku w:val="0"/>
        <w:overflowPunct w:val="0"/>
        <w:autoSpaceDE w:val="0"/>
        <w:autoSpaceDN w:val="0"/>
        <w:adjustRightInd w:val="0"/>
        <w:snapToGrid w:val="0"/>
        <w:spacing w:line="360" w:lineRule="auto"/>
        <w:ind w:firstLine="480"/>
        <w:textAlignment w:val="baseline"/>
        <w:rPr>
          <w:rFonts w:hint="eastAsia" w:eastAsia="宋体"/>
          <w:color w:val="000000" w:themeColor="text1"/>
          <w:kern w:val="0"/>
          <w:sz w:val="24"/>
          <w:lang w:eastAsia="zh-CN"/>
          <w14:textFill>
            <w14:solidFill>
              <w14:schemeClr w14:val="tx1"/>
            </w14:solidFill>
          </w14:textFill>
        </w:rPr>
      </w:pPr>
      <w:r>
        <w:rPr>
          <w:color w:val="000000" w:themeColor="text1"/>
          <w:kern w:val="0"/>
          <w:sz w:val="24"/>
          <w14:textFill>
            <w14:solidFill>
              <w14:schemeClr w14:val="tx1"/>
            </w14:solidFill>
          </w14:textFill>
        </w:rPr>
        <w:t>2.</w:t>
      </w:r>
      <w:r>
        <w:rPr>
          <w:color w:val="000000" w:themeColor="text1"/>
          <w:sz w:val="24"/>
          <w14:textFill>
            <w14:solidFill>
              <w14:schemeClr w14:val="tx1"/>
            </w14:solidFill>
          </w14:textFill>
        </w:rPr>
        <w:t>所提供证明材料应真实完整，不得涂改，否则不予评分</w:t>
      </w:r>
      <w:r>
        <w:rPr>
          <w:rFonts w:hint="eastAsia"/>
          <w:color w:val="000000" w:themeColor="text1"/>
          <w:sz w:val="24"/>
          <w:lang w:eastAsia="zh-CN"/>
          <w14:textFill>
            <w14:solidFill>
              <w14:schemeClr w14:val="tx1"/>
            </w14:solidFill>
          </w14:textFill>
        </w:rPr>
        <w:t>；</w:t>
      </w:r>
    </w:p>
    <w:p>
      <w:pPr>
        <w:kinsoku w:val="0"/>
        <w:overflowPunct w:val="0"/>
        <w:autoSpaceDE w:val="0"/>
        <w:autoSpaceDN w:val="0"/>
        <w:adjustRightInd w:val="0"/>
        <w:snapToGrid w:val="0"/>
        <w:spacing w:line="360" w:lineRule="auto"/>
        <w:ind w:firstLine="480"/>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3.</w:t>
      </w:r>
      <w:r>
        <w:rPr>
          <w:color w:val="000000" w:themeColor="text1"/>
          <w:sz w:val="24"/>
          <w14:textFill>
            <w14:solidFill>
              <w14:schemeClr w14:val="tx1"/>
            </w14:solidFill>
          </w14:textFill>
        </w:rPr>
        <w:t>业绩要求年限为2021年1月1日至投标截止时间，以合同签订时间为准。</w:t>
      </w:r>
      <w:r>
        <w:rPr>
          <w:color w:val="000000" w:themeColor="text1"/>
          <w:kern w:val="0"/>
          <w:sz w:val="24"/>
          <w14:textFill>
            <w14:solidFill>
              <w14:schemeClr w14:val="tx1"/>
            </w14:solidFill>
          </w14:textFill>
        </w:rPr>
        <w:t>超过每包要求的业绩数量，以每包要求的数量的计算，后续案例相关证明材料不再查看；</w:t>
      </w:r>
    </w:p>
    <w:p>
      <w:pPr>
        <w:kinsoku w:val="0"/>
        <w:overflowPunct w:val="0"/>
        <w:autoSpaceDE w:val="0"/>
        <w:autoSpaceDN w:val="0"/>
        <w:adjustRightInd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4.不填写此表、不按要求填写或不提供相应资料，在评标时业绩分为0分。</w:t>
      </w:r>
    </w:p>
    <w:p>
      <w:pPr>
        <w:kinsoku w:val="0"/>
        <w:overflowPunct w:val="0"/>
        <w:autoSpaceDE w:val="0"/>
        <w:autoSpaceDN w:val="0"/>
        <w:adjustRightInd w:val="0"/>
        <w:snapToGrid w:val="0"/>
        <w:spacing w:line="360" w:lineRule="auto"/>
        <w:ind w:firstLine="560"/>
        <w:rPr>
          <w:color w:val="000000" w:themeColor="text1"/>
          <w:kern w:val="0"/>
          <w:szCs w:val="28"/>
          <w14:textFill>
            <w14:solidFill>
              <w14:schemeClr w14:val="tx1"/>
            </w14:solidFill>
          </w14:textFill>
        </w:rPr>
      </w:pPr>
    </w:p>
    <w:p>
      <w:pPr>
        <w:kinsoku w:val="0"/>
        <w:overflowPunct w:val="0"/>
        <w:autoSpaceDE w:val="0"/>
        <w:autoSpaceDN w:val="0"/>
        <w:adjustRightInd w:val="0"/>
        <w:snapToGrid w:val="0"/>
        <w:ind w:firstLine="562"/>
        <w:jc w:val="center"/>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jc w:val="center"/>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投标人企业简况（格式）</w:t>
      </w:r>
    </w:p>
    <w:p>
      <w:pPr>
        <w:kinsoku w:val="0"/>
        <w:overflowPunct w:val="0"/>
        <w:autoSpaceDE w:val="0"/>
        <w:autoSpaceDN w:val="0"/>
        <w:snapToGrid w:val="0"/>
        <w:spacing w:line="360" w:lineRule="auto"/>
        <w:ind w:firstLine="480"/>
        <w:jc w:val="center"/>
        <w:rPr>
          <w:bCs/>
          <w:color w:val="000000" w:themeColor="text1"/>
          <w:kern w:val="0"/>
          <w:sz w:val="24"/>
          <w14:textFill>
            <w14:solidFill>
              <w14:schemeClr w14:val="tx1"/>
            </w14:solidFill>
          </w14:textFill>
        </w:rPr>
      </w:pP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1、名称及其它情况：</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（1）投标人名称：</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（2）地址：</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（3）成立和注册日期：</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（4）上级主管部门：</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（5）公司性质：</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（6）主要负责人：</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（7）职员人数：</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2、有关开户银行的名称和地址：</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兹证明上述声明是真实、正确的，并提供了全部能提供的资料和数据，我们同意遵照贵方要求出示有关证明文件。</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日期：</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授权代表人</w:t>
      </w:r>
      <w:r>
        <w:rPr>
          <w:color w:val="000000" w:themeColor="text1"/>
          <w:kern w:val="0"/>
          <w:sz w:val="24"/>
          <w14:textFill>
            <w14:solidFill>
              <w14:schemeClr w14:val="tx1"/>
            </w14:solidFill>
          </w14:textFill>
        </w:rPr>
        <w:t>(签字或盖章)</w:t>
      </w:r>
      <w:r>
        <w:rPr>
          <w:color w:val="000000" w:themeColor="text1"/>
          <w:sz w:val="24"/>
          <w14:textFill>
            <w14:solidFill>
              <w14:schemeClr w14:val="tx1"/>
            </w14:solidFill>
          </w14:textFill>
        </w:rPr>
        <w:t>：</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授权代表的职务：</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电话号：</w:t>
      </w:r>
    </w:p>
    <w:p>
      <w:pPr>
        <w:kinsoku w:val="0"/>
        <w:overflowPunct w:val="0"/>
        <w:autoSpaceDE w:val="0"/>
        <w:autoSpaceDN w:val="0"/>
        <w:adjustRightInd w:val="0"/>
        <w:snapToGrid w:val="0"/>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传真号：</w:t>
      </w:r>
    </w:p>
    <w:p>
      <w:pPr>
        <w:kinsoku w:val="0"/>
        <w:overflowPunct w:val="0"/>
        <w:autoSpaceDE w:val="0"/>
        <w:autoSpaceDN w:val="0"/>
        <w:adjustRightInd w:val="0"/>
        <w:snapToGrid w:val="0"/>
        <w:spacing w:line="360" w:lineRule="auto"/>
        <w:ind w:firstLine="480"/>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公  章：</w:t>
      </w:r>
    </w:p>
    <w:p>
      <w:pPr>
        <w:ind w:firstLine="642"/>
        <w:rPr>
          <w:b/>
          <w:bCs/>
          <w:color w:val="000000" w:themeColor="text1"/>
          <w:spacing w:val="20"/>
          <w:kern w:val="0"/>
          <w:szCs w:val="28"/>
          <w14:textFill>
            <w14:solidFill>
              <w14:schemeClr w14:val="tx1"/>
            </w14:solidFill>
          </w14:textFill>
        </w:rPr>
      </w:pPr>
      <w:r>
        <w:rPr>
          <w:b/>
          <w:bCs/>
          <w:color w:val="000000" w:themeColor="text1"/>
          <w:spacing w:val="20"/>
          <w:kern w:val="0"/>
          <w:szCs w:val="28"/>
          <w14:textFill>
            <w14:solidFill>
              <w14:schemeClr w14:val="tx1"/>
            </w14:solidFill>
          </w14:textFill>
        </w:rPr>
        <w:br w:type="page"/>
      </w:r>
    </w:p>
    <w:p>
      <w:pPr>
        <w:kinsoku w:val="0"/>
        <w:overflowPunct w:val="0"/>
        <w:autoSpaceDE w:val="0"/>
        <w:autoSpaceDN w:val="0"/>
        <w:snapToGrid w:val="0"/>
        <w:spacing w:line="360" w:lineRule="auto"/>
        <w:ind w:firstLine="0" w:firstLineChars="0"/>
        <w:jc w:val="center"/>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t>投标人认为需要提供的其他商务材料</w:t>
      </w:r>
    </w:p>
    <w:p>
      <w:pPr>
        <w:kinsoku w:val="0"/>
        <w:overflowPunct w:val="0"/>
        <w:autoSpaceDE w:val="0"/>
        <w:autoSpaceDN w:val="0"/>
        <w:adjustRightInd w:val="0"/>
        <w:snapToGrid w:val="0"/>
        <w:ind w:firstLine="0" w:firstLineChars="0"/>
        <w:jc w:val="center"/>
        <w:rPr>
          <w:b/>
          <w:color w:val="000000" w:themeColor="text1"/>
          <w:kern w:val="0"/>
          <w:szCs w:val="28"/>
          <w14:textFill>
            <w14:solidFill>
              <w14:schemeClr w14:val="tx1"/>
            </w14:solidFill>
          </w14:textFill>
        </w:rPr>
      </w:pPr>
      <w:r>
        <w:rPr>
          <w:b/>
          <w:color w:val="000000" w:themeColor="text1"/>
          <w:kern w:val="0"/>
          <w:szCs w:val="28"/>
          <w14:textFill>
            <w14:solidFill>
              <w14:schemeClr w14:val="tx1"/>
            </w14:solidFill>
          </w14:textFill>
        </w:rPr>
        <w:br w:type="page"/>
      </w:r>
      <w:r>
        <w:rPr>
          <w:b/>
          <w:color w:val="000000" w:themeColor="text1"/>
          <w:kern w:val="0"/>
          <w:szCs w:val="28"/>
          <w14:textFill>
            <w14:solidFill>
              <w14:schemeClr w14:val="tx1"/>
            </w14:solidFill>
          </w14:textFill>
        </w:rPr>
        <w:t>技术部分</w:t>
      </w:r>
    </w:p>
    <w:p>
      <w:pPr>
        <w:kinsoku w:val="0"/>
        <w:overflowPunct w:val="0"/>
        <w:autoSpaceDE w:val="0"/>
        <w:autoSpaceDN w:val="0"/>
        <w:adjustRightInd w:val="0"/>
        <w:snapToGrid w:val="0"/>
        <w:spacing w:line="360" w:lineRule="auto"/>
        <w:ind w:firstLine="562"/>
        <w:jc w:val="center"/>
        <w:textAlignment w:val="baseline"/>
        <w:rPr>
          <w:b/>
          <w:bCs/>
          <w:color w:val="000000" w:themeColor="text1"/>
          <w:kern w:val="0"/>
          <w:szCs w:val="28"/>
          <w14:textFill>
            <w14:solidFill>
              <w14:schemeClr w14:val="tx1"/>
            </w14:solidFill>
          </w14:textFill>
        </w:rPr>
      </w:pPr>
    </w:p>
    <w:p>
      <w:pPr>
        <w:kinsoku w:val="0"/>
        <w:overflowPunct w:val="0"/>
        <w:autoSpaceDE w:val="0"/>
        <w:autoSpaceDN w:val="0"/>
        <w:adjustRightInd w:val="0"/>
        <w:snapToGrid w:val="0"/>
        <w:spacing w:line="360" w:lineRule="auto"/>
        <w:ind w:firstLine="0" w:firstLineChars="0"/>
        <w:jc w:val="center"/>
        <w:textAlignment w:val="baseline"/>
        <w:rPr>
          <w:color w:val="000000" w:themeColor="text1"/>
          <w:kern w:val="0"/>
          <w:sz w:val="32"/>
          <w:szCs w:val="32"/>
          <w14:textFill>
            <w14:solidFill>
              <w14:schemeClr w14:val="tx1"/>
            </w14:solidFill>
          </w14:textFill>
        </w:rPr>
      </w:pPr>
      <w:r>
        <w:rPr>
          <w:b/>
          <w:bCs/>
          <w:color w:val="000000" w:themeColor="text1"/>
          <w:kern w:val="0"/>
          <w:sz w:val="32"/>
          <w:szCs w:val="32"/>
          <w14:textFill>
            <w14:solidFill>
              <w14:schemeClr w14:val="tx1"/>
            </w14:solidFill>
          </w14:textFill>
        </w:rPr>
        <w:t>开标一览表</w:t>
      </w:r>
      <w:r>
        <w:rPr>
          <w:color w:val="000000" w:themeColor="text1"/>
          <w:kern w:val="0"/>
          <w:sz w:val="32"/>
          <w:szCs w:val="32"/>
          <w14:textFill>
            <w14:solidFill>
              <w14:schemeClr w14:val="tx1"/>
            </w14:solidFill>
          </w14:textFill>
        </w:rPr>
        <w:t>（格式）</w:t>
      </w:r>
    </w:p>
    <w:p>
      <w:pPr>
        <w:kinsoku w:val="0"/>
        <w:overflowPunct w:val="0"/>
        <w:autoSpaceDE w:val="0"/>
        <w:autoSpaceDN w:val="0"/>
        <w:adjustRightInd w:val="0"/>
        <w:snapToGrid w:val="0"/>
        <w:spacing w:line="360" w:lineRule="auto"/>
        <w:ind w:firstLine="480"/>
        <w:textAlignment w:val="baseline"/>
        <w:rPr>
          <w:color w:val="000000" w:themeColor="text1"/>
          <w:kern w:val="0"/>
          <w:sz w:val="24"/>
          <w14:textFill>
            <w14:solidFill>
              <w14:schemeClr w14:val="tx1"/>
            </w14:solidFill>
          </w14:textFill>
        </w:rPr>
      </w:pPr>
    </w:p>
    <w:p>
      <w:pPr>
        <w:kinsoku w:val="0"/>
        <w:overflowPunct w:val="0"/>
        <w:autoSpaceDE w:val="0"/>
        <w:autoSpaceDN w:val="0"/>
        <w:adjustRightInd w:val="0"/>
        <w:snapToGrid w:val="0"/>
        <w:spacing w:line="360" w:lineRule="auto"/>
        <w:ind w:firstLine="480"/>
        <w:textAlignment w:val="baseline"/>
        <w:rPr>
          <w:color w:val="000000" w:themeColor="text1"/>
          <w:kern w:val="0"/>
          <w:sz w:val="24"/>
          <w:u w:val="single"/>
          <w14:textFill>
            <w14:solidFill>
              <w14:schemeClr w14:val="tx1"/>
            </w14:solidFill>
          </w14:textFill>
        </w:rPr>
      </w:pPr>
      <w:r>
        <w:rPr>
          <w:color w:val="000000" w:themeColor="text1"/>
          <w:kern w:val="0"/>
          <w:sz w:val="24"/>
          <w14:textFill>
            <w14:solidFill>
              <w14:schemeClr w14:val="tx1"/>
            </w14:solidFill>
          </w14:textFill>
        </w:rPr>
        <w:t>项目名称：</w:t>
      </w:r>
    </w:p>
    <w:p>
      <w:pPr>
        <w:kinsoku w:val="0"/>
        <w:overflowPunct w:val="0"/>
        <w:autoSpaceDE w:val="0"/>
        <w:autoSpaceDN w:val="0"/>
        <w:adjustRightInd w:val="0"/>
        <w:snapToGrid w:val="0"/>
        <w:spacing w:line="360" w:lineRule="auto"/>
        <w:ind w:firstLine="480"/>
        <w:textAlignment w:val="baseline"/>
        <w:rPr>
          <w:color w:val="000000" w:themeColor="text1"/>
          <w:kern w:val="0"/>
          <w:sz w:val="24"/>
          <w:u w:val="single"/>
          <w14:textFill>
            <w14:solidFill>
              <w14:schemeClr w14:val="tx1"/>
            </w14:solidFill>
          </w14:textFill>
        </w:rPr>
      </w:pPr>
      <w:r>
        <w:rPr>
          <w:color w:val="000000" w:themeColor="text1"/>
          <w:kern w:val="0"/>
          <w:sz w:val="24"/>
          <w14:textFill>
            <w14:solidFill>
              <w14:schemeClr w14:val="tx1"/>
            </w14:solidFill>
          </w14:textFill>
        </w:rPr>
        <w:t>项目编号：</w:t>
      </w:r>
    </w:p>
    <w:p>
      <w:pPr>
        <w:kinsoku w:val="0"/>
        <w:overflowPunct w:val="0"/>
        <w:autoSpaceDE w:val="0"/>
        <w:autoSpaceDN w:val="0"/>
        <w:adjustRightInd w:val="0"/>
        <w:snapToGrid w:val="0"/>
        <w:spacing w:line="360" w:lineRule="auto"/>
        <w:ind w:firstLine="480"/>
        <w:textAlignment w:val="baseline"/>
        <w:rPr>
          <w:color w:val="000000" w:themeColor="text1"/>
          <w:kern w:val="0"/>
          <w:sz w:val="24"/>
          <w:u w:val="single"/>
          <w14:textFill>
            <w14:solidFill>
              <w14:schemeClr w14:val="tx1"/>
            </w14:solidFill>
          </w14:textFill>
        </w:rPr>
      </w:pPr>
      <w:r>
        <w:rPr>
          <w:color w:val="000000" w:themeColor="text1"/>
          <w:kern w:val="0"/>
          <w:sz w:val="24"/>
          <w14:textFill>
            <w14:solidFill>
              <w14:schemeClr w14:val="tx1"/>
            </w14:solidFill>
          </w14:textFill>
        </w:rPr>
        <w:t>投标人名称：</w:t>
      </w:r>
    </w:p>
    <w:p>
      <w:pPr>
        <w:snapToGrid w:val="0"/>
        <w:spacing w:line="360" w:lineRule="auto"/>
        <w:ind w:firstLine="480"/>
        <w:rPr>
          <w:color w:val="000000" w:themeColor="text1"/>
          <w:kern w:val="0"/>
          <w:sz w:val="24"/>
          <w:u w:val="single"/>
          <w14:textFill>
            <w14:solidFill>
              <w14:schemeClr w14:val="tx1"/>
            </w14:solidFill>
          </w14:textFill>
        </w:rPr>
      </w:pPr>
      <w:r>
        <w:rPr>
          <w:color w:val="000000" w:themeColor="text1"/>
          <w:kern w:val="0"/>
          <w:sz w:val="24"/>
          <w14:textFill>
            <w14:solidFill>
              <w14:schemeClr w14:val="tx1"/>
            </w14:solidFill>
          </w14:textFill>
        </w:rPr>
        <w:t>包      号：</w:t>
      </w:r>
    </w:p>
    <w:p>
      <w:pPr>
        <w:wordWrap w:val="0"/>
        <w:autoSpaceDE w:val="0"/>
        <w:adjustRightInd w:val="0"/>
        <w:snapToGrid w:val="0"/>
        <w:spacing w:line="360" w:lineRule="auto"/>
        <w:ind w:firstLine="5060" w:firstLineChars="2300"/>
        <w:jc w:val="right"/>
        <w:rPr>
          <w:bCs/>
          <w:color w:val="000000" w:themeColor="text1"/>
          <w:kern w:val="0"/>
          <w:sz w:val="22"/>
          <w:szCs w:val="22"/>
          <w14:textFill>
            <w14:solidFill>
              <w14:schemeClr w14:val="tx1"/>
            </w14:solidFill>
          </w14:textFill>
        </w:rPr>
      </w:pPr>
      <w:r>
        <w:rPr>
          <w:bCs/>
          <w:color w:val="000000" w:themeColor="text1"/>
          <w:kern w:val="0"/>
          <w:sz w:val="22"/>
          <w:szCs w:val="22"/>
          <w14:textFill>
            <w14:solidFill>
              <w14:schemeClr w14:val="tx1"/>
            </w14:solidFill>
          </w14:textFill>
        </w:rPr>
        <w:t>货币：人民币/元</w:t>
      </w:r>
    </w:p>
    <w:tbl>
      <w:tblPr>
        <w:tblStyle w:val="14"/>
        <w:tblW w:w="50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6"/>
        <w:gridCol w:w="5312"/>
        <w:gridCol w:w="2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638" w:type="pct"/>
            <w:vAlign w:val="center"/>
          </w:tcPr>
          <w:p>
            <w:pPr>
              <w:wordWrap w:val="0"/>
              <w:autoSpaceDE w:val="0"/>
              <w:spacing w:line="240" w:lineRule="auto"/>
              <w:ind w:firstLine="0" w:firstLineChars="0"/>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序号</w:t>
            </w:r>
          </w:p>
        </w:tc>
        <w:tc>
          <w:tcPr>
            <w:tcW w:w="3092" w:type="pct"/>
            <w:vAlign w:val="center"/>
          </w:tcPr>
          <w:p>
            <w:pPr>
              <w:wordWrap w:val="0"/>
              <w:autoSpaceDE w:val="0"/>
              <w:spacing w:line="240" w:lineRule="auto"/>
              <w:ind w:firstLine="0" w:firstLineChars="0"/>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合计总报价</w:t>
            </w:r>
          </w:p>
        </w:tc>
        <w:tc>
          <w:tcPr>
            <w:tcW w:w="1269" w:type="pct"/>
            <w:vAlign w:val="center"/>
          </w:tcPr>
          <w:p>
            <w:pPr>
              <w:wordWrap w:val="0"/>
              <w:autoSpaceDE w:val="0"/>
              <w:spacing w:line="240" w:lineRule="auto"/>
              <w:ind w:firstLine="0" w:firstLineChars="0"/>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638" w:type="pct"/>
            <w:vMerge w:val="restart"/>
            <w:vAlign w:val="center"/>
          </w:tcPr>
          <w:p>
            <w:pPr>
              <w:wordWrap w:val="0"/>
              <w:autoSpaceDE w:val="0"/>
              <w:spacing w:line="240" w:lineRule="auto"/>
              <w:ind w:firstLine="0" w:firstLineChars="0"/>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w:t>
            </w:r>
          </w:p>
        </w:tc>
        <w:tc>
          <w:tcPr>
            <w:tcW w:w="3092" w:type="pct"/>
            <w:vAlign w:val="center"/>
          </w:tcPr>
          <w:p>
            <w:pPr>
              <w:wordWrap w:val="0"/>
              <w:autoSpaceDE w:val="0"/>
              <w:spacing w:line="240" w:lineRule="auto"/>
              <w:ind w:firstLine="0" w:firstLineChars="0"/>
              <w:rPr>
                <w:color w:val="000000" w:themeColor="text1"/>
                <w:szCs w:val="28"/>
                <w14:textFill>
                  <w14:solidFill>
                    <w14:schemeClr w14:val="tx1"/>
                  </w14:solidFill>
                </w14:textFill>
              </w:rPr>
            </w:pPr>
            <w:r>
              <w:rPr>
                <w:color w:val="000000" w:themeColor="text1"/>
                <w:szCs w:val="28"/>
                <w14:textFill>
                  <w14:solidFill>
                    <w14:schemeClr w14:val="tx1"/>
                  </w14:solidFill>
                </w14:textFill>
              </w:rPr>
              <w:t>大写：</w:t>
            </w:r>
          </w:p>
        </w:tc>
        <w:tc>
          <w:tcPr>
            <w:tcW w:w="1269" w:type="pct"/>
            <w:vMerge w:val="restart"/>
            <w:vAlign w:val="center"/>
          </w:tcPr>
          <w:p>
            <w:pPr>
              <w:wordWrap w:val="0"/>
              <w:autoSpaceDE w:val="0"/>
              <w:spacing w:line="240" w:lineRule="auto"/>
              <w:ind w:firstLine="0" w:firstLineChars="0"/>
              <w:jc w:val="center"/>
              <w:rPr>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638" w:type="pct"/>
            <w:vMerge w:val="continue"/>
            <w:vAlign w:val="center"/>
          </w:tcPr>
          <w:p>
            <w:pPr>
              <w:wordWrap w:val="0"/>
              <w:autoSpaceDE w:val="0"/>
              <w:spacing w:line="240" w:lineRule="auto"/>
              <w:ind w:firstLine="0" w:firstLineChars="0"/>
              <w:jc w:val="center"/>
              <w:rPr>
                <w:color w:val="000000" w:themeColor="text1"/>
                <w:szCs w:val="28"/>
                <w14:textFill>
                  <w14:solidFill>
                    <w14:schemeClr w14:val="tx1"/>
                  </w14:solidFill>
                </w14:textFill>
              </w:rPr>
            </w:pPr>
          </w:p>
        </w:tc>
        <w:tc>
          <w:tcPr>
            <w:tcW w:w="3092" w:type="pct"/>
            <w:vAlign w:val="center"/>
          </w:tcPr>
          <w:p>
            <w:pPr>
              <w:wordWrap w:val="0"/>
              <w:autoSpaceDE w:val="0"/>
              <w:spacing w:line="240" w:lineRule="auto"/>
              <w:ind w:firstLine="0" w:firstLineChars="0"/>
              <w:rPr>
                <w:color w:val="000000" w:themeColor="text1"/>
                <w:szCs w:val="28"/>
                <w14:textFill>
                  <w14:solidFill>
                    <w14:schemeClr w14:val="tx1"/>
                  </w14:solidFill>
                </w14:textFill>
              </w:rPr>
            </w:pPr>
            <w:r>
              <w:rPr>
                <w:color w:val="000000" w:themeColor="text1"/>
                <w:szCs w:val="28"/>
                <w14:textFill>
                  <w14:solidFill>
                    <w14:schemeClr w14:val="tx1"/>
                  </w14:solidFill>
                </w14:textFill>
              </w:rPr>
              <w:t>小写：</w:t>
            </w:r>
          </w:p>
        </w:tc>
        <w:tc>
          <w:tcPr>
            <w:tcW w:w="1269" w:type="pct"/>
            <w:vMerge w:val="continue"/>
            <w:vAlign w:val="center"/>
          </w:tcPr>
          <w:p>
            <w:pPr>
              <w:wordWrap w:val="0"/>
              <w:autoSpaceDE w:val="0"/>
              <w:spacing w:line="240" w:lineRule="auto"/>
              <w:ind w:firstLine="0" w:firstLineChars="0"/>
              <w:jc w:val="center"/>
              <w:rPr>
                <w:color w:val="000000" w:themeColor="text1"/>
                <w:szCs w:val="28"/>
                <w14:textFill>
                  <w14:solidFill>
                    <w14:schemeClr w14:val="tx1"/>
                  </w14:solidFill>
                </w14:textFill>
              </w:rPr>
            </w:pPr>
          </w:p>
        </w:tc>
      </w:tr>
    </w:tbl>
    <w:p>
      <w:pPr>
        <w:tabs>
          <w:tab w:val="left" w:pos="4000"/>
        </w:tabs>
        <w:kinsoku w:val="0"/>
        <w:overflowPunct w:val="0"/>
        <w:autoSpaceDE w:val="0"/>
        <w:autoSpaceDN w:val="0"/>
        <w:adjustRightInd w:val="0"/>
        <w:snapToGrid w:val="0"/>
        <w:spacing w:line="360" w:lineRule="auto"/>
        <w:ind w:firstLine="2640" w:firstLineChars="1100"/>
        <w:textAlignment w:val="baseline"/>
        <w:rPr>
          <w:color w:val="000000" w:themeColor="text1"/>
          <w:kern w:val="0"/>
          <w:sz w:val="24"/>
          <w14:textFill>
            <w14:solidFill>
              <w14:schemeClr w14:val="tx1"/>
            </w14:solidFill>
          </w14:textFill>
        </w:rPr>
      </w:pPr>
    </w:p>
    <w:p>
      <w:pPr>
        <w:tabs>
          <w:tab w:val="left" w:pos="4000"/>
        </w:tabs>
        <w:kinsoku w:val="0"/>
        <w:overflowPunct w:val="0"/>
        <w:autoSpaceDE w:val="0"/>
        <w:autoSpaceDN w:val="0"/>
        <w:adjustRightInd w:val="0"/>
        <w:snapToGrid w:val="0"/>
        <w:spacing w:line="360" w:lineRule="auto"/>
        <w:ind w:firstLine="2640" w:firstLineChars="1100"/>
        <w:textAlignment w:val="baseline"/>
        <w:rPr>
          <w:color w:val="000000" w:themeColor="text1"/>
          <w:kern w:val="0"/>
          <w:sz w:val="24"/>
          <w14:textFill>
            <w14:solidFill>
              <w14:schemeClr w14:val="tx1"/>
            </w14:solidFill>
          </w14:textFill>
        </w:rPr>
      </w:pPr>
    </w:p>
    <w:p>
      <w:pPr>
        <w:tabs>
          <w:tab w:val="left" w:pos="4000"/>
        </w:tabs>
        <w:kinsoku w:val="0"/>
        <w:overflowPunct w:val="0"/>
        <w:autoSpaceDE w:val="0"/>
        <w:autoSpaceDN w:val="0"/>
        <w:adjustRightInd w:val="0"/>
        <w:snapToGrid w:val="0"/>
        <w:spacing w:line="360" w:lineRule="auto"/>
        <w:ind w:firstLine="5599" w:firstLineChars="2333"/>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投标人(公章)：</w:t>
      </w:r>
    </w:p>
    <w:p>
      <w:pPr>
        <w:tabs>
          <w:tab w:val="left" w:pos="4000"/>
        </w:tabs>
        <w:kinsoku w:val="0"/>
        <w:overflowPunct w:val="0"/>
        <w:autoSpaceDE w:val="0"/>
        <w:autoSpaceDN w:val="0"/>
        <w:adjustRightInd w:val="0"/>
        <w:snapToGrid w:val="0"/>
        <w:spacing w:line="360" w:lineRule="auto"/>
        <w:ind w:firstLine="5599" w:firstLineChars="2333"/>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投标人代表(签字或盖章)：</w:t>
      </w:r>
    </w:p>
    <w:p>
      <w:pPr>
        <w:tabs>
          <w:tab w:val="left" w:pos="4000"/>
        </w:tabs>
        <w:kinsoku w:val="0"/>
        <w:overflowPunct w:val="0"/>
        <w:autoSpaceDE w:val="0"/>
        <w:autoSpaceDN w:val="0"/>
        <w:adjustRightInd w:val="0"/>
        <w:snapToGrid w:val="0"/>
        <w:spacing w:line="360" w:lineRule="auto"/>
        <w:ind w:firstLine="5599" w:firstLineChars="2333"/>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日期：</w:t>
      </w:r>
    </w:p>
    <w:p>
      <w:pPr>
        <w:kinsoku w:val="0"/>
        <w:overflowPunct w:val="0"/>
        <w:autoSpaceDE w:val="0"/>
        <w:autoSpaceDN w:val="0"/>
        <w:adjustRightInd w:val="0"/>
        <w:snapToGrid w:val="0"/>
        <w:spacing w:line="360" w:lineRule="auto"/>
        <w:ind w:firstLine="440"/>
        <w:textAlignment w:val="baseline"/>
        <w:rPr>
          <w:bCs/>
          <w:color w:val="000000" w:themeColor="text1"/>
          <w:kern w:val="0"/>
          <w:sz w:val="22"/>
          <w:szCs w:val="22"/>
          <w14:textFill>
            <w14:solidFill>
              <w14:schemeClr w14:val="tx1"/>
            </w14:solidFill>
          </w14:textFill>
        </w:rPr>
      </w:pPr>
    </w:p>
    <w:p>
      <w:pPr>
        <w:kinsoku w:val="0"/>
        <w:overflowPunct w:val="0"/>
        <w:autoSpaceDE w:val="0"/>
        <w:autoSpaceDN w:val="0"/>
        <w:adjustRightInd w:val="0"/>
        <w:snapToGrid w:val="0"/>
        <w:spacing w:line="360" w:lineRule="auto"/>
        <w:ind w:firstLine="440"/>
        <w:textAlignment w:val="baseline"/>
        <w:rPr>
          <w:bCs/>
          <w:color w:val="000000" w:themeColor="text1"/>
          <w:kern w:val="0"/>
          <w:sz w:val="22"/>
          <w:szCs w:val="22"/>
          <w14:textFill>
            <w14:solidFill>
              <w14:schemeClr w14:val="tx1"/>
            </w14:solidFill>
          </w14:textFill>
        </w:rPr>
      </w:pPr>
    </w:p>
    <w:p>
      <w:pPr>
        <w:kinsoku w:val="0"/>
        <w:overflowPunct w:val="0"/>
        <w:autoSpaceDE w:val="0"/>
        <w:autoSpaceDN w:val="0"/>
        <w:adjustRightInd w:val="0"/>
        <w:snapToGrid w:val="0"/>
        <w:spacing w:line="360" w:lineRule="auto"/>
        <w:ind w:firstLine="0" w:firstLineChars="0"/>
        <w:textAlignment w:val="baseline"/>
        <w:rPr>
          <w:bCs/>
          <w:color w:val="000000" w:themeColor="text1"/>
          <w:kern w:val="0"/>
          <w:sz w:val="22"/>
          <w:szCs w:val="22"/>
          <w14:textFill>
            <w14:solidFill>
              <w14:schemeClr w14:val="tx1"/>
            </w14:solidFill>
          </w14:textFill>
        </w:rPr>
      </w:pPr>
      <w:r>
        <w:rPr>
          <w:bCs/>
          <w:color w:val="000000" w:themeColor="text1"/>
          <w:kern w:val="0"/>
          <w:sz w:val="22"/>
          <w:szCs w:val="22"/>
          <w14:textFill>
            <w14:solidFill>
              <w14:schemeClr w14:val="tx1"/>
            </w14:solidFill>
          </w14:textFill>
        </w:rPr>
        <w:t>注：</w:t>
      </w:r>
    </w:p>
    <w:p>
      <w:pPr>
        <w:kinsoku w:val="0"/>
        <w:overflowPunct w:val="0"/>
        <w:autoSpaceDE w:val="0"/>
        <w:autoSpaceDN w:val="0"/>
        <w:adjustRightInd w:val="0"/>
        <w:snapToGrid w:val="0"/>
        <w:spacing w:line="360" w:lineRule="auto"/>
        <w:ind w:firstLine="558" w:firstLineChars="254"/>
        <w:textAlignment w:val="baseline"/>
        <w:rPr>
          <w:bCs/>
          <w:color w:val="000000" w:themeColor="text1"/>
          <w:kern w:val="0"/>
          <w:sz w:val="22"/>
          <w:szCs w:val="22"/>
          <w14:textFill>
            <w14:solidFill>
              <w14:schemeClr w14:val="tx1"/>
            </w14:solidFill>
          </w14:textFill>
        </w:rPr>
      </w:pPr>
      <w:r>
        <w:rPr>
          <w:rFonts w:hint="eastAsia"/>
          <w:bCs/>
          <w:color w:val="000000" w:themeColor="text1"/>
          <w:kern w:val="0"/>
          <w:sz w:val="22"/>
          <w:szCs w:val="22"/>
          <w:lang w:val="en-US" w:eastAsia="zh-CN"/>
          <w14:textFill>
            <w14:solidFill>
              <w14:schemeClr w14:val="tx1"/>
            </w14:solidFill>
          </w14:textFill>
        </w:rPr>
        <w:t>1、</w:t>
      </w:r>
      <w:r>
        <w:rPr>
          <w:bCs/>
          <w:color w:val="000000" w:themeColor="text1"/>
          <w:kern w:val="0"/>
          <w:sz w:val="22"/>
          <w:szCs w:val="22"/>
          <w14:textFill>
            <w14:solidFill>
              <w14:schemeClr w14:val="tx1"/>
            </w14:solidFill>
          </w14:textFill>
        </w:rPr>
        <w:t>投标人所报的价格应</w:t>
      </w:r>
      <w:r>
        <w:rPr>
          <w:rFonts w:hint="default"/>
          <w:bCs/>
          <w:color w:val="000000" w:themeColor="text1"/>
          <w:kern w:val="0"/>
          <w:sz w:val="22"/>
          <w:szCs w:val="22"/>
          <w:lang w:val="en-US" w:eastAsia="zh-CN"/>
          <w14:textFill>
            <w14:solidFill>
              <w14:schemeClr w14:val="tx1"/>
            </w14:solidFill>
          </w14:textFill>
        </w:rPr>
        <w:t>包括</w:t>
      </w:r>
      <w:r>
        <w:rPr>
          <w:rFonts w:hint="eastAsia"/>
          <w:bCs/>
          <w:color w:val="000000" w:themeColor="text1"/>
          <w:kern w:val="0"/>
          <w:sz w:val="22"/>
          <w:szCs w:val="22"/>
          <w:lang w:val="en-US" w:eastAsia="zh-CN"/>
          <w14:textFill>
            <w14:solidFill>
              <w14:schemeClr w14:val="tx1"/>
            </w14:solidFill>
          </w14:textFill>
        </w:rPr>
        <w:t>货物购置、安装调试、运输保险、装卸、培训辅导、质保期售后服务、全额含税发票、雇员费用、合同实施过程中应预见和不可预见费用等。</w:t>
      </w:r>
    </w:p>
    <w:p>
      <w:pPr>
        <w:kinsoku w:val="0"/>
        <w:overflowPunct w:val="0"/>
        <w:autoSpaceDE w:val="0"/>
        <w:autoSpaceDN w:val="0"/>
        <w:adjustRightInd w:val="0"/>
        <w:snapToGrid w:val="0"/>
        <w:spacing w:line="360" w:lineRule="auto"/>
        <w:ind w:firstLine="558" w:firstLineChars="254"/>
        <w:textAlignment w:val="baseline"/>
        <w:rPr>
          <w:b/>
          <w:bCs/>
          <w:color w:val="000000" w:themeColor="text1"/>
          <w:kern w:val="0"/>
          <w:sz w:val="24"/>
          <w14:textFill>
            <w14:solidFill>
              <w14:schemeClr w14:val="tx1"/>
            </w14:solidFill>
          </w14:textFill>
        </w:rPr>
      </w:pPr>
      <w:r>
        <w:rPr>
          <w:bCs/>
          <w:color w:val="000000" w:themeColor="text1"/>
          <w:kern w:val="0"/>
          <w:sz w:val="22"/>
          <w:szCs w:val="22"/>
          <w14:textFill>
            <w14:solidFill>
              <w14:schemeClr w14:val="tx1"/>
            </w14:solidFill>
          </w14:textFill>
        </w:rPr>
        <w:t>2、开标一览表除投标文件中须提供外，建议另外再单独密封一份，便于开标时唱标。单独密封的报价一览表须与投标文件中报价一览表完全一致，如不一致，按无效投标处理。</w:t>
      </w:r>
    </w:p>
    <w:p>
      <w:pPr>
        <w:ind w:firstLine="480"/>
        <w:rPr>
          <w:bCs/>
          <w:color w:val="000000" w:themeColor="text1"/>
          <w:kern w:val="0"/>
          <w:sz w:val="24"/>
          <w14:textFill>
            <w14:solidFill>
              <w14:schemeClr w14:val="tx1"/>
            </w14:solidFill>
          </w14:textFill>
        </w:rPr>
      </w:pPr>
      <w:r>
        <w:rPr>
          <w:bCs/>
          <w:color w:val="000000" w:themeColor="text1"/>
          <w:kern w:val="0"/>
          <w:sz w:val="24"/>
          <w14:textFill>
            <w14:solidFill>
              <w14:schemeClr w14:val="tx1"/>
            </w14:solidFill>
          </w14:textFill>
        </w:rPr>
        <w:br w:type="page"/>
      </w:r>
    </w:p>
    <w:p>
      <w:pPr>
        <w:wordWrap w:val="0"/>
        <w:autoSpaceDE w:val="0"/>
        <w:spacing w:line="360" w:lineRule="auto"/>
        <w:ind w:firstLine="0" w:firstLineChars="0"/>
        <w:jc w:val="center"/>
        <w:rPr>
          <w:b/>
          <w:color w:val="000000" w:themeColor="text1"/>
          <w:szCs w:val="28"/>
          <w14:textFill>
            <w14:solidFill>
              <w14:schemeClr w14:val="tx1"/>
            </w14:solidFill>
          </w14:textFill>
        </w:rPr>
      </w:pPr>
      <w:r>
        <w:rPr>
          <w:b/>
          <w:color w:val="000000" w:themeColor="text1"/>
          <w:szCs w:val="28"/>
          <w14:textFill>
            <w14:solidFill>
              <w14:schemeClr w14:val="tx1"/>
            </w14:solidFill>
          </w14:textFill>
        </w:rPr>
        <w:t>分项报价表（格式）</w:t>
      </w:r>
    </w:p>
    <w:p>
      <w:pPr>
        <w:wordWrap w:val="0"/>
        <w:autoSpaceDE w:val="0"/>
        <w:snapToGrid w:val="0"/>
        <w:spacing w:line="360" w:lineRule="auto"/>
        <w:ind w:firstLine="0" w:firstLineChars="0"/>
        <w:jc w:val="both"/>
        <w:rPr>
          <w:b/>
          <w:color w:val="000000" w:themeColor="text1"/>
          <w:sz w:val="24"/>
          <w14:textFill>
            <w14:solidFill>
              <w14:schemeClr w14:val="tx1"/>
            </w14:solidFill>
          </w14:textFill>
        </w:rPr>
      </w:pPr>
    </w:p>
    <w:p>
      <w:pPr>
        <w:adjustRightInd w:val="0"/>
        <w:snapToGrid w:val="0"/>
        <w:spacing w:line="360" w:lineRule="auto"/>
        <w:ind w:firstLine="480"/>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投标人名称：</w:t>
      </w:r>
    </w:p>
    <w:p>
      <w:pPr>
        <w:adjustRightInd w:val="0"/>
        <w:snapToGrid w:val="0"/>
        <w:spacing w:line="360" w:lineRule="auto"/>
        <w:ind w:firstLine="480"/>
        <w:textAlignment w:val="baseline"/>
        <w:rPr>
          <w:bCs/>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包      号：</w:t>
      </w:r>
    </w:p>
    <w:p>
      <w:pPr>
        <w:wordWrap w:val="0"/>
        <w:autoSpaceDE w:val="0"/>
        <w:adjustRightInd w:val="0"/>
        <w:snapToGrid w:val="0"/>
        <w:ind w:firstLine="480"/>
        <w:jc w:val="right"/>
        <w:rPr>
          <w:rFonts w:ascii="宋体" w:hAnsi="宋体" w:cs="宋体"/>
          <w:color w:val="000000" w:themeColor="text1"/>
          <w:kern w:val="0"/>
          <w:szCs w:val="28"/>
          <w14:textFill>
            <w14:solidFill>
              <w14:schemeClr w14:val="tx1"/>
            </w14:solidFill>
          </w14:textFill>
        </w:rPr>
      </w:pPr>
      <w:r>
        <w:rPr>
          <w:rFonts w:hint="eastAsia" w:ascii="宋体" w:hAnsi="宋体" w:cs="宋体"/>
          <w:bCs/>
          <w:color w:val="000000" w:themeColor="text1"/>
          <w:kern w:val="0"/>
          <w:sz w:val="24"/>
          <w14:textFill>
            <w14:solidFill>
              <w14:schemeClr w14:val="tx1"/>
            </w14:solidFill>
          </w14:textFill>
        </w:rPr>
        <w:t>货币：人民币/元</w:t>
      </w:r>
    </w:p>
    <w:tbl>
      <w:tblPr>
        <w:tblStyle w:val="14"/>
        <w:tblW w:w="8846" w:type="dxa"/>
        <w:jc w:val="center"/>
        <w:tblLayout w:type="fixed"/>
        <w:tblCellMar>
          <w:top w:w="0" w:type="dxa"/>
          <w:left w:w="108" w:type="dxa"/>
          <w:bottom w:w="0" w:type="dxa"/>
          <w:right w:w="108" w:type="dxa"/>
        </w:tblCellMar>
      </w:tblPr>
      <w:tblGrid>
        <w:gridCol w:w="830"/>
        <w:gridCol w:w="1337"/>
        <w:gridCol w:w="2856"/>
        <w:gridCol w:w="816"/>
        <w:gridCol w:w="1063"/>
        <w:gridCol w:w="1069"/>
        <w:gridCol w:w="875"/>
      </w:tblGrid>
      <w:tr>
        <w:tblPrEx>
          <w:tblCellMar>
            <w:top w:w="0" w:type="dxa"/>
            <w:left w:w="108" w:type="dxa"/>
            <w:bottom w:w="0" w:type="dxa"/>
            <w:right w:w="108" w:type="dxa"/>
          </w:tblCellMar>
        </w:tblPrEx>
        <w:trPr>
          <w:trHeight w:val="628" w:hRule="atLeast"/>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序号</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功能分类</w:t>
            </w: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设备名称/型号</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数量（辆）</w:t>
            </w:r>
          </w:p>
        </w:tc>
        <w:tc>
          <w:tcPr>
            <w:tcW w:w="1063" w:type="dxa"/>
            <w:tcBorders>
              <w:top w:val="single" w:color="000000" w:sz="4" w:space="0"/>
              <w:left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单价</w:t>
            </w:r>
          </w:p>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（元）</w:t>
            </w: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合计</w:t>
            </w:r>
          </w:p>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（元）</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说明</w:t>
            </w:r>
          </w:p>
        </w:tc>
      </w:tr>
      <w:tr>
        <w:tblPrEx>
          <w:tblCellMar>
            <w:top w:w="0" w:type="dxa"/>
            <w:left w:w="108" w:type="dxa"/>
            <w:bottom w:w="0" w:type="dxa"/>
            <w:right w:w="108" w:type="dxa"/>
          </w:tblCellMar>
        </w:tblPrEx>
        <w:trPr>
          <w:trHeight w:val="1020" w:hRule="atLeast"/>
          <w:jc w:val="center"/>
        </w:trPr>
        <w:tc>
          <w:tcPr>
            <w:tcW w:w="830" w:type="dxa"/>
            <w:vMerge w:val="restart"/>
            <w:tcBorders>
              <w:top w:val="single" w:color="000000" w:sz="4" w:space="0"/>
              <w:left w:val="single" w:color="000000" w:sz="4" w:space="0"/>
              <w:bottom w:val="nil"/>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w:t>
            </w:r>
          </w:p>
        </w:tc>
        <w:tc>
          <w:tcPr>
            <w:tcW w:w="1337" w:type="dxa"/>
            <w:vMerge w:val="restart"/>
            <w:tcBorders>
              <w:top w:val="single" w:color="000000" w:sz="4" w:space="0"/>
              <w:left w:val="single" w:color="000000" w:sz="4" w:space="0"/>
              <w:bottom w:val="nil"/>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底盘</w:t>
            </w: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国产/进口**牌*******（型号），国六</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600" w:hRule="atLeast"/>
          <w:jc w:val="center"/>
        </w:trPr>
        <w:tc>
          <w:tcPr>
            <w:tcW w:w="830" w:type="dxa"/>
            <w:vMerge w:val="continue"/>
            <w:tcBorders>
              <w:top w:val="single" w:color="000000" w:sz="4" w:space="0"/>
              <w:left w:val="single" w:color="000000" w:sz="4" w:space="0"/>
              <w:bottom w:val="nil"/>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nil"/>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有/无加装液力缓速器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w:t>
            </w:r>
          </w:p>
        </w:tc>
        <w:tc>
          <w:tcPr>
            <w:tcW w:w="133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车辆改制</w:t>
            </w: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3.***</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4.***</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6.***</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3</w:t>
            </w:r>
          </w:p>
        </w:tc>
        <w:tc>
          <w:tcPr>
            <w:tcW w:w="1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主要设备/系统</w:t>
            </w: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3.***</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4.***</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6.***</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4</w:t>
            </w:r>
          </w:p>
        </w:tc>
        <w:tc>
          <w:tcPr>
            <w:tcW w:w="1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配电及照明</w:t>
            </w: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restart"/>
            <w:tcBorders>
              <w:top w:val="single" w:color="000000" w:sz="4" w:space="0"/>
              <w:left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3.***</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4.***</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6.***</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5</w:t>
            </w:r>
          </w:p>
        </w:tc>
        <w:tc>
          <w:tcPr>
            <w:tcW w:w="1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辅助设备/系统</w:t>
            </w: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restart"/>
            <w:tcBorders>
              <w:top w:val="single" w:color="000000" w:sz="4" w:space="0"/>
              <w:left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285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vMerge w:val="continue"/>
            <w:tcBorders>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6</w:t>
            </w:r>
          </w:p>
        </w:tc>
        <w:tc>
          <w:tcPr>
            <w:tcW w:w="4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安装、调试、检验费</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7</w:t>
            </w:r>
          </w:p>
        </w:tc>
        <w:tc>
          <w:tcPr>
            <w:tcW w:w="4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备品备件、专用工具、随车器材</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8</w:t>
            </w:r>
          </w:p>
        </w:tc>
        <w:tc>
          <w:tcPr>
            <w:tcW w:w="4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售后服务及其他费用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9</w:t>
            </w:r>
          </w:p>
        </w:tc>
        <w:tc>
          <w:tcPr>
            <w:tcW w:w="4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整车单价</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10</w:t>
            </w:r>
          </w:p>
        </w:tc>
        <w:tc>
          <w:tcPr>
            <w:tcW w:w="4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总   价</w:t>
            </w:r>
          </w:p>
        </w:tc>
        <w:tc>
          <w:tcPr>
            <w:tcW w:w="382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340" w:hRule="atLeast"/>
          <w:jc w:val="center"/>
        </w:trPr>
        <w:tc>
          <w:tcPr>
            <w:tcW w:w="502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合同履行期限</w:t>
            </w:r>
          </w:p>
        </w:tc>
        <w:tc>
          <w:tcPr>
            <w:tcW w:w="382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insoku w:val="0"/>
              <w:overflowPunct w:val="0"/>
              <w:autoSpaceDE w:val="0"/>
              <w:autoSpaceDN w:val="0"/>
              <w:adjustRightInd w:val="0"/>
              <w:snapToGrid w:val="0"/>
              <w:spacing w:line="240" w:lineRule="auto"/>
              <w:ind w:firstLine="0" w:firstLineChars="0"/>
              <w:jc w:val="center"/>
              <w:textAlignment w:val="baseline"/>
              <w:rPr>
                <w:color w:val="000000" w:themeColor="text1"/>
                <w:kern w:val="0"/>
                <w:sz w:val="24"/>
                <w14:textFill>
                  <w14:solidFill>
                    <w14:schemeClr w14:val="tx1"/>
                  </w14:solidFill>
                </w14:textFill>
              </w:rPr>
            </w:pPr>
          </w:p>
        </w:tc>
      </w:tr>
    </w:tbl>
    <w:p>
      <w:pPr>
        <w:tabs>
          <w:tab w:val="left" w:pos="4000"/>
        </w:tabs>
        <w:kinsoku w:val="0"/>
        <w:overflowPunct w:val="0"/>
        <w:autoSpaceDE w:val="0"/>
        <w:autoSpaceDN w:val="0"/>
        <w:adjustRightInd w:val="0"/>
        <w:snapToGrid w:val="0"/>
        <w:ind w:firstLine="0" w:firstLineChars="0"/>
        <w:jc w:val="both"/>
        <w:textAlignment w:val="baseline"/>
        <w:rPr>
          <w:rFonts w:ascii="宋体" w:hAnsi="宋体" w:cs="宋体"/>
          <w:b/>
          <w:bCs/>
          <w:color w:val="000000" w:themeColor="text1"/>
          <w:kern w:val="0"/>
          <w:szCs w:val="28"/>
          <w14:textFill>
            <w14:solidFill>
              <w14:schemeClr w14:val="tx1"/>
            </w14:solidFill>
          </w14:textFill>
        </w:rPr>
      </w:pPr>
    </w:p>
    <w:p>
      <w:pPr>
        <w:tabs>
          <w:tab w:val="left" w:pos="4000"/>
        </w:tabs>
        <w:kinsoku w:val="0"/>
        <w:overflowPunct w:val="0"/>
        <w:autoSpaceDE w:val="0"/>
        <w:autoSpaceDN w:val="0"/>
        <w:adjustRightInd w:val="0"/>
        <w:snapToGrid w:val="0"/>
        <w:ind w:firstLine="0" w:firstLineChars="0"/>
        <w:textAlignment w:val="baseline"/>
        <w:rPr>
          <w:rFonts w:ascii="宋体" w:hAnsi="宋体" w:cs="宋体"/>
          <w:b/>
          <w:bCs/>
          <w:color w:val="000000" w:themeColor="text1"/>
          <w:kern w:val="0"/>
          <w:szCs w:val="28"/>
          <w14:textFill>
            <w14:solidFill>
              <w14:schemeClr w14:val="tx1"/>
            </w14:solidFill>
          </w14:textFill>
        </w:rPr>
      </w:pPr>
    </w:p>
    <w:p>
      <w:pPr>
        <w:tabs>
          <w:tab w:val="left" w:pos="4000"/>
        </w:tabs>
        <w:adjustRightInd w:val="0"/>
        <w:snapToGrid w:val="0"/>
        <w:spacing w:line="360" w:lineRule="auto"/>
        <w:ind w:firstLine="5318" w:firstLineChars="2216"/>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投标人(公章)：</w:t>
      </w:r>
    </w:p>
    <w:p>
      <w:pPr>
        <w:tabs>
          <w:tab w:val="left" w:pos="4000"/>
        </w:tabs>
        <w:adjustRightInd w:val="0"/>
        <w:snapToGrid w:val="0"/>
        <w:spacing w:line="360" w:lineRule="auto"/>
        <w:ind w:firstLine="5318" w:firstLineChars="2216"/>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投标人代表</w:t>
      </w:r>
      <w:r>
        <w:rPr>
          <w:color w:val="000000" w:themeColor="text1"/>
          <w:kern w:val="0"/>
          <w:sz w:val="24"/>
          <w14:textFill>
            <w14:solidFill>
              <w14:schemeClr w14:val="tx1"/>
            </w14:solidFill>
          </w14:textFill>
        </w:rPr>
        <w:t>(签字或盖章)</w:t>
      </w:r>
      <w:r>
        <w:rPr>
          <w:rFonts w:hint="eastAsia"/>
          <w:color w:val="000000" w:themeColor="text1"/>
          <w:kern w:val="0"/>
          <w:sz w:val="24"/>
          <w14:textFill>
            <w14:solidFill>
              <w14:schemeClr w14:val="tx1"/>
            </w14:solidFill>
          </w14:textFill>
        </w:rPr>
        <w:t>：</w:t>
      </w:r>
    </w:p>
    <w:p>
      <w:pPr>
        <w:tabs>
          <w:tab w:val="left" w:pos="4000"/>
        </w:tabs>
        <w:adjustRightInd w:val="0"/>
        <w:snapToGrid w:val="0"/>
        <w:spacing w:line="360" w:lineRule="auto"/>
        <w:ind w:firstLine="5318" w:firstLineChars="2216"/>
        <w:textAlignment w:val="baseline"/>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日期：</w:t>
      </w:r>
    </w:p>
    <w:p>
      <w:pPr>
        <w:adjustRightInd w:val="0"/>
        <w:spacing w:line="360" w:lineRule="auto"/>
        <w:ind w:firstLine="0" w:firstLineChars="0"/>
        <w:textAlignment w:val="baseline"/>
        <w:rPr>
          <w:rFonts w:ascii="宋体" w:hAnsi="宋体" w:cs="宋体"/>
          <w:color w:val="000000" w:themeColor="text1"/>
          <w:kern w:val="0"/>
          <w:szCs w:val="28"/>
          <w14:textFill>
            <w14:solidFill>
              <w14:schemeClr w14:val="tx1"/>
            </w14:solidFill>
          </w14:textFill>
        </w:rPr>
      </w:pPr>
    </w:p>
    <w:p>
      <w:pPr>
        <w:kinsoku w:val="0"/>
        <w:overflowPunct w:val="0"/>
        <w:autoSpaceDE w:val="0"/>
        <w:autoSpaceDN w:val="0"/>
        <w:adjustRightInd w:val="0"/>
        <w:snapToGrid w:val="0"/>
        <w:spacing w:line="360" w:lineRule="auto"/>
        <w:ind w:firstLine="480"/>
        <w:textAlignment w:val="baseline"/>
        <w:rPr>
          <w:bCs/>
          <w:color w:val="000000" w:themeColor="text1"/>
          <w:kern w:val="0"/>
          <w:sz w:val="24"/>
          <w14:textFill>
            <w14:solidFill>
              <w14:schemeClr w14:val="tx1"/>
            </w14:solidFill>
          </w14:textFill>
        </w:rPr>
      </w:pPr>
      <w:r>
        <w:rPr>
          <w:rFonts w:hint="eastAsia"/>
          <w:bCs/>
          <w:color w:val="000000" w:themeColor="text1"/>
          <w:kern w:val="0"/>
          <w:sz w:val="24"/>
          <w14:textFill>
            <w14:solidFill>
              <w14:schemeClr w14:val="tx1"/>
            </w14:solidFill>
          </w14:textFill>
        </w:rPr>
        <w:t>说明：</w:t>
      </w:r>
    </w:p>
    <w:p>
      <w:pPr>
        <w:kinsoku w:val="0"/>
        <w:overflowPunct w:val="0"/>
        <w:autoSpaceDE w:val="0"/>
        <w:autoSpaceDN w:val="0"/>
        <w:adjustRightInd w:val="0"/>
        <w:snapToGrid w:val="0"/>
        <w:spacing w:line="360" w:lineRule="auto"/>
        <w:ind w:firstLine="480"/>
        <w:textAlignment w:val="baseline"/>
        <w:rPr>
          <w:bCs/>
          <w:color w:val="000000" w:themeColor="text1"/>
          <w:kern w:val="0"/>
          <w:sz w:val="24"/>
          <w14:textFill>
            <w14:solidFill>
              <w14:schemeClr w14:val="tx1"/>
            </w14:solidFill>
          </w14:textFill>
        </w:rPr>
      </w:pPr>
      <w:r>
        <w:rPr>
          <w:rFonts w:hint="eastAsia"/>
          <w:bCs/>
          <w:color w:val="000000" w:themeColor="text1"/>
          <w:kern w:val="0"/>
          <w:sz w:val="24"/>
          <w14:textFill>
            <w14:solidFill>
              <w14:schemeClr w14:val="tx1"/>
            </w14:solidFill>
          </w14:textFill>
        </w:rPr>
        <w:t>1、所有价格系用人民币表示；</w:t>
      </w:r>
    </w:p>
    <w:p>
      <w:pPr>
        <w:kinsoku w:val="0"/>
        <w:overflowPunct w:val="0"/>
        <w:autoSpaceDE w:val="0"/>
        <w:autoSpaceDN w:val="0"/>
        <w:adjustRightInd w:val="0"/>
        <w:snapToGrid w:val="0"/>
        <w:spacing w:line="360" w:lineRule="auto"/>
        <w:ind w:firstLine="480"/>
        <w:textAlignment w:val="baseline"/>
        <w:rPr>
          <w:bCs/>
          <w:color w:val="000000" w:themeColor="text1"/>
          <w:kern w:val="0"/>
          <w:sz w:val="24"/>
          <w14:textFill>
            <w14:solidFill>
              <w14:schemeClr w14:val="tx1"/>
            </w14:solidFill>
          </w14:textFill>
        </w:rPr>
      </w:pPr>
      <w:r>
        <w:rPr>
          <w:rFonts w:hint="eastAsia"/>
          <w:bCs/>
          <w:color w:val="000000" w:themeColor="text1"/>
          <w:kern w:val="0"/>
          <w:sz w:val="24"/>
          <w14:textFill>
            <w14:solidFill>
              <w14:schemeClr w14:val="tx1"/>
            </w14:solidFill>
          </w14:textFill>
        </w:rPr>
        <w:t>2、如果单价和总价不符时，以单价为准；</w:t>
      </w:r>
    </w:p>
    <w:p>
      <w:pPr>
        <w:kinsoku w:val="0"/>
        <w:overflowPunct w:val="0"/>
        <w:autoSpaceDE w:val="0"/>
        <w:autoSpaceDN w:val="0"/>
        <w:adjustRightInd w:val="0"/>
        <w:snapToGrid w:val="0"/>
        <w:spacing w:line="360" w:lineRule="auto"/>
        <w:ind w:firstLine="480"/>
        <w:textAlignment w:val="baseline"/>
        <w:rPr>
          <w:bCs/>
          <w:color w:val="000000" w:themeColor="text1"/>
          <w:kern w:val="0"/>
          <w:sz w:val="24"/>
          <w14:textFill>
            <w14:solidFill>
              <w14:schemeClr w14:val="tx1"/>
            </w14:solidFill>
          </w14:textFill>
        </w:rPr>
      </w:pPr>
      <w:r>
        <w:rPr>
          <w:rFonts w:hint="eastAsia"/>
          <w:bCs/>
          <w:color w:val="000000" w:themeColor="text1"/>
          <w:kern w:val="0"/>
          <w:sz w:val="24"/>
          <w14:textFill>
            <w14:solidFill>
              <w14:schemeClr w14:val="tx1"/>
            </w14:solidFill>
          </w14:textFill>
        </w:rPr>
        <w:t>3、本表不足可扩展；</w:t>
      </w:r>
    </w:p>
    <w:p>
      <w:pPr>
        <w:kinsoku w:val="0"/>
        <w:overflowPunct w:val="0"/>
        <w:autoSpaceDE w:val="0"/>
        <w:autoSpaceDN w:val="0"/>
        <w:adjustRightInd w:val="0"/>
        <w:snapToGrid w:val="0"/>
        <w:spacing w:line="360" w:lineRule="auto"/>
        <w:ind w:firstLine="480"/>
        <w:textAlignment w:val="baseline"/>
        <w:rPr>
          <w:bCs/>
          <w:color w:val="000000" w:themeColor="text1"/>
          <w:kern w:val="0"/>
          <w:sz w:val="24"/>
          <w14:textFill>
            <w14:solidFill>
              <w14:schemeClr w14:val="tx1"/>
            </w14:solidFill>
          </w14:textFill>
        </w:rPr>
      </w:pPr>
      <w:r>
        <w:rPr>
          <w:rFonts w:hint="eastAsia"/>
          <w:bCs/>
          <w:color w:val="000000" w:themeColor="text1"/>
          <w:kern w:val="0"/>
          <w:sz w:val="24"/>
          <w14:textFill>
            <w14:solidFill>
              <w14:schemeClr w14:val="tx1"/>
            </w14:solidFill>
          </w14:textFill>
        </w:rPr>
        <w:t>4、如所投包内有多项车辆时，此表可按每项车辆分别列出。</w:t>
      </w:r>
    </w:p>
    <w:p>
      <w:pPr>
        <w:wordWrap w:val="0"/>
        <w:autoSpaceDE w:val="0"/>
        <w:spacing w:line="360" w:lineRule="auto"/>
        <w:ind w:firstLine="0" w:firstLineChars="0"/>
        <w:jc w:val="center"/>
        <w:rPr>
          <w:b/>
          <w:color w:val="000000" w:themeColor="text1"/>
          <w:szCs w:val="28"/>
          <w14:textFill>
            <w14:solidFill>
              <w14:schemeClr w14:val="tx1"/>
            </w14:solidFill>
          </w14:textFill>
        </w:rPr>
      </w:pPr>
    </w:p>
    <w:p>
      <w:pPr>
        <w:tabs>
          <w:tab w:val="left" w:pos="4000"/>
        </w:tabs>
        <w:kinsoku w:val="0"/>
        <w:overflowPunct w:val="0"/>
        <w:autoSpaceDE w:val="0"/>
        <w:autoSpaceDN w:val="0"/>
        <w:adjustRightInd w:val="0"/>
        <w:snapToGrid w:val="0"/>
        <w:ind w:firstLine="0" w:firstLineChars="0"/>
        <w:jc w:val="both"/>
        <w:textAlignment w:val="baseline"/>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tabs>
          <w:tab w:val="left" w:pos="4000"/>
        </w:tabs>
        <w:kinsoku w:val="0"/>
        <w:overflowPunct w:val="0"/>
        <w:autoSpaceDE w:val="0"/>
        <w:autoSpaceDN w:val="0"/>
        <w:adjustRightInd w:val="0"/>
        <w:snapToGrid w:val="0"/>
        <w:ind w:firstLine="0" w:firstLineChars="0"/>
        <w:jc w:val="center"/>
        <w:textAlignment w:val="baseline"/>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t>投标货物主要技术指标和运行性能的详细描述</w:t>
      </w:r>
    </w:p>
    <w:p>
      <w:pPr>
        <w:ind w:firstLine="562"/>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tabs>
          <w:tab w:val="left" w:pos="4000"/>
        </w:tabs>
        <w:kinsoku w:val="0"/>
        <w:overflowPunct w:val="0"/>
        <w:autoSpaceDE w:val="0"/>
        <w:autoSpaceDN w:val="0"/>
        <w:adjustRightInd w:val="0"/>
        <w:snapToGrid w:val="0"/>
        <w:ind w:firstLine="0" w:firstLineChars="0"/>
        <w:jc w:val="center"/>
        <w:textAlignment w:val="baseline"/>
        <w:rPr>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t>投标货物技术</w:t>
      </w:r>
      <w:r>
        <w:rPr>
          <w:rFonts w:hint="eastAsia"/>
          <w:b/>
          <w:bCs/>
          <w:color w:val="000000" w:themeColor="text1"/>
          <w:kern w:val="0"/>
          <w:szCs w:val="28"/>
          <w:lang w:val="en-US" w:eastAsia="zh-CN"/>
          <w14:textFill>
            <w14:solidFill>
              <w14:schemeClr w14:val="tx1"/>
            </w14:solidFill>
          </w14:textFill>
        </w:rPr>
        <w:t>规范</w:t>
      </w:r>
      <w:r>
        <w:rPr>
          <w:b/>
          <w:bCs/>
          <w:color w:val="000000" w:themeColor="text1"/>
          <w:kern w:val="0"/>
          <w:szCs w:val="28"/>
          <w14:textFill>
            <w14:solidFill>
              <w14:schemeClr w14:val="tx1"/>
            </w14:solidFill>
          </w14:textFill>
        </w:rPr>
        <w:t>偏离表</w:t>
      </w:r>
      <w:r>
        <w:rPr>
          <w:bCs/>
          <w:color w:val="000000" w:themeColor="text1"/>
          <w:kern w:val="0"/>
          <w:szCs w:val="28"/>
          <w14:textFill>
            <w14:solidFill>
              <w14:schemeClr w14:val="tx1"/>
            </w14:solidFill>
          </w14:textFill>
        </w:rPr>
        <w:t>（格式）</w:t>
      </w:r>
    </w:p>
    <w:p>
      <w:pPr>
        <w:tabs>
          <w:tab w:val="left" w:pos="4000"/>
        </w:tabs>
        <w:kinsoku w:val="0"/>
        <w:overflowPunct w:val="0"/>
        <w:autoSpaceDE w:val="0"/>
        <w:autoSpaceDN w:val="0"/>
        <w:snapToGrid w:val="0"/>
        <w:spacing w:line="360" w:lineRule="auto"/>
        <w:ind w:firstLine="560"/>
        <w:jc w:val="center"/>
        <w:rPr>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项目名称：</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项目编号：</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投标人名称：</w:t>
      </w:r>
    </w:p>
    <w:p>
      <w:pPr>
        <w:snapToGrid w:val="0"/>
        <w:spacing w:line="360" w:lineRule="auto"/>
        <w:ind w:firstLine="480"/>
        <w:rPr>
          <w:color w:val="000000" w:themeColor="text1"/>
          <w:sz w:val="24"/>
          <w:u w:val="single"/>
          <w14:textFill>
            <w14:solidFill>
              <w14:schemeClr w14:val="tx1"/>
            </w14:solidFill>
          </w14:textFill>
        </w:rPr>
      </w:pPr>
      <w:r>
        <w:rPr>
          <w:color w:val="000000" w:themeColor="text1"/>
          <w:kern w:val="0"/>
          <w:sz w:val="24"/>
          <w14:textFill>
            <w14:solidFill>
              <w14:schemeClr w14:val="tx1"/>
            </w14:solidFill>
          </w14:textFill>
        </w:rPr>
        <w:t>包      号：</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tbl>
      <w:tblPr>
        <w:tblStyle w:val="1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4"/>
        <w:gridCol w:w="1458"/>
        <w:gridCol w:w="2267"/>
        <w:gridCol w:w="2089"/>
        <w:gridCol w:w="1379"/>
        <w:gridCol w:w="88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32" w:hRule="atLeast"/>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序号</w:t>
            </w: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货物名称</w:t>
            </w: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招标文件技术</w:t>
            </w:r>
          </w:p>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规范、要求</w:t>
            </w: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投标文件</w:t>
            </w:r>
          </w:p>
          <w:p>
            <w:pPr>
              <w:kinsoku w:val="0"/>
              <w:overflowPunct w:val="0"/>
              <w:autoSpaceDE w:val="0"/>
              <w:autoSpaceDN w:val="0"/>
              <w:snapToGrid w:val="0"/>
              <w:spacing w:line="240" w:lineRule="auto"/>
              <w:ind w:firstLine="0" w:firstLineChars="0"/>
              <w:jc w:val="center"/>
              <w:rPr>
                <w:rFonts w:hint="eastAsia" w:eastAsia="宋体"/>
                <w:color w:val="000000" w:themeColor="text1"/>
                <w:kern w:val="0"/>
                <w:sz w:val="24"/>
                <w:lang w:eastAsia="zh-CN"/>
                <w14:textFill>
                  <w14:solidFill>
                    <w14:schemeClr w14:val="tx1"/>
                  </w14:solidFill>
                </w14:textFill>
              </w:rPr>
            </w:pPr>
            <w:r>
              <w:rPr>
                <w:color w:val="000000" w:themeColor="text1"/>
                <w:kern w:val="0"/>
                <w:sz w:val="24"/>
                <w14:textFill>
                  <w14:solidFill>
                    <w14:schemeClr w14:val="tx1"/>
                  </w14:solidFill>
                </w14:textFill>
              </w:rPr>
              <w:t>对应</w:t>
            </w:r>
            <w:r>
              <w:rPr>
                <w:rFonts w:hint="eastAsia"/>
                <w:color w:val="000000" w:themeColor="text1"/>
                <w:kern w:val="0"/>
                <w:sz w:val="24"/>
                <w:lang w:val="en-US" w:eastAsia="zh-CN"/>
                <w14:textFill>
                  <w14:solidFill>
                    <w14:schemeClr w14:val="tx1"/>
                  </w14:solidFill>
                </w14:textFill>
              </w:rPr>
              <w:t>响应</w:t>
            </w: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偏离情况</w:t>
            </w: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3" w:hRule="atLeast"/>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70" w:hRule="atLeast"/>
        </w:trPr>
        <w:tc>
          <w:tcPr>
            <w:tcW w:w="774"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458"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267"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20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37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889"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bl>
    <w:p>
      <w:pPr>
        <w:snapToGrid w:val="0"/>
        <w:spacing w:line="360" w:lineRule="auto"/>
        <w:ind w:firstLine="482"/>
        <w:rPr>
          <w:b/>
          <w:bCs/>
          <w:color w:val="000000"/>
          <w:sz w:val="24"/>
          <w:szCs w:val="20"/>
        </w:rPr>
      </w:pPr>
    </w:p>
    <w:p>
      <w:pPr>
        <w:snapToGrid w:val="0"/>
        <w:spacing w:line="360" w:lineRule="auto"/>
        <w:ind w:firstLine="482"/>
        <w:rPr>
          <w:b/>
          <w:bCs/>
          <w:color w:val="000000"/>
          <w:sz w:val="24"/>
          <w:szCs w:val="20"/>
        </w:rPr>
      </w:pPr>
      <w:r>
        <w:rPr>
          <w:b/>
          <w:bCs/>
          <w:color w:val="000000"/>
          <w:sz w:val="24"/>
          <w:szCs w:val="20"/>
        </w:rPr>
        <w:t>注：1、此表中，投标人只填写偏离项。</w:t>
      </w:r>
    </w:p>
    <w:p>
      <w:pPr>
        <w:snapToGrid w:val="0"/>
        <w:spacing w:line="360" w:lineRule="auto"/>
        <w:ind w:firstLineChars="400"/>
        <w:rPr>
          <w:b/>
          <w:bCs/>
          <w:color w:val="000000"/>
          <w:sz w:val="24"/>
          <w:szCs w:val="20"/>
        </w:rPr>
      </w:pPr>
      <w:r>
        <w:rPr>
          <w:b/>
          <w:bCs/>
          <w:color w:val="000000"/>
          <w:sz w:val="24"/>
          <w:szCs w:val="20"/>
        </w:rPr>
        <w:t>2、若技术要求没有偏离项，投标人须提供“完全响应招标文件技术要求承诺书”，未提供承诺书按废标处理。</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p>
    <w:p>
      <w:pPr>
        <w:widowControl/>
        <w:adjustRightInd w:val="0"/>
        <w:snapToGrid w:val="0"/>
        <w:spacing w:line="360" w:lineRule="auto"/>
        <w:ind w:firstLine="5318" w:firstLineChars="221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投标人(公章):</w:t>
      </w:r>
    </w:p>
    <w:p>
      <w:pPr>
        <w:widowControl/>
        <w:adjustRightInd w:val="0"/>
        <w:snapToGrid w:val="0"/>
        <w:spacing w:line="360" w:lineRule="auto"/>
        <w:ind w:firstLine="5318" w:firstLineChars="221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投标人代表(签字或盖章):</w:t>
      </w:r>
    </w:p>
    <w:p>
      <w:pPr>
        <w:widowControl/>
        <w:adjustRightInd w:val="0"/>
        <w:snapToGrid w:val="0"/>
        <w:spacing w:line="360" w:lineRule="auto"/>
        <w:ind w:firstLine="5318" w:firstLineChars="221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w:t>
      </w:r>
      <w:r>
        <w:rPr>
          <w:color w:val="000000" w:themeColor="text1"/>
          <w:kern w:val="0"/>
          <w:sz w:val="24"/>
          <w14:textFill>
            <w14:solidFill>
              <w14:schemeClr w14:val="tx1"/>
            </w14:solidFill>
          </w14:textFill>
        </w:rPr>
        <w:tab/>
      </w:r>
      <w:r>
        <w:rPr>
          <w:color w:val="000000" w:themeColor="text1"/>
          <w:kern w:val="0"/>
          <w:sz w:val="24"/>
          <w14:textFill>
            <w14:solidFill>
              <w14:schemeClr w14:val="tx1"/>
            </w14:solidFill>
          </w14:textFill>
        </w:rPr>
        <w:t>期：</w:t>
      </w:r>
    </w:p>
    <w:p>
      <w:pPr>
        <w:tabs>
          <w:tab w:val="left" w:pos="4000"/>
        </w:tabs>
        <w:kinsoku w:val="0"/>
        <w:overflowPunct w:val="0"/>
        <w:autoSpaceDE w:val="0"/>
        <w:autoSpaceDN w:val="0"/>
        <w:adjustRightInd w:val="0"/>
        <w:snapToGrid w:val="0"/>
        <w:spacing w:line="360" w:lineRule="auto"/>
        <w:ind w:firstLine="480"/>
        <w:textAlignment w:val="baseline"/>
        <w:rPr>
          <w:color w:val="000000" w:themeColor="text1"/>
          <w:kern w:val="0"/>
          <w:sz w:val="24"/>
          <w14:textFill>
            <w14:solidFill>
              <w14:schemeClr w14:val="tx1"/>
            </w14:solidFill>
          </w14:textFill>
        </w:rPr>
      </w:pPr>
    </w:p>
    <w:p>
      <w:pPr>
        <w:tabs>
          <w:tab w:val="left" w:pos="4000"/>
        </w:tabs>
        <w:kinsoku w:val="0"/>
        <w:overflowPunct w:val="0"/>
        <w:autoSpaceDE w:val="0"/>
        <w:autoSpaceDN w:val="0"/>
        <w:adjustRightInd w:val="0"/>
        <w:snapToGrid w:val="0"/>
        <w:spacing w:line="360" w:lineRule="auto"/>
        <w:ind w:firstLine="482"/>
        <w:textAlignment w:val="baseline"/>
        <w:rPr>
          <w:b/>
          <w:color w:val="000000" w:themeColor="text1"/>
          <w:kern w:val="0"/>
          <w:sz w:val="24"/>
          <w14:textFill>
            <w14:solidFill>
              <w14:schemeClr w14:val="tx1"/>
            </w14:solidFill>
          </w14:textFill>
        </w:rPr>
      </w:pPr>
    </w:p>
    <w:p>
      <w:pPr>
        <w:kinsoku w:val="0"/>
        <w:overflowPunct w:val="0"/>
        <w:autoSpaceDE w:val="0"/>
        <w:autoSpaceDN w:val="0"/>
        <w:adjustRightInd w:val="0"/>
        <w:snapToGrid w:val="0"/>
        <w:spacing w:line="360" w:lineRule="auto"/>
        <w:ind w:firstLine="482"/>
        <w:textAlignment w:val="baseline"/>
        <w:rPr>
          <w:b/>
          <w:bCs/>
          <w:color w:val="000000" w:themeColor="text1"/>
          <w:kern w:val="0"/>
          <w:sz w:val="24"/>
          <w14:textFill>
            <w14:solidFill>
              <w14:schemeClr w14:val="tx1"/>
            </w14:solidFill>
          </w14:textFill>
        </w:rPr>
      </w:pPr>
    </w:p>
    <w:p>
      <w:pPr>
        <w:adjustRightInd w:val="0"/>
        <w:snapToGrid w:val="0"/>
        <w:spacing w:line="360" w:lineRule="auto"/>
        <w:ind w:firstLine="480"/>
        <w:textAlignment w:val="baseline"/>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注：本表不足可扩展；</w:t>
      </w:r>
    </w:p>
    <w:p>
      <w:pPr>
        <w:snapToGrid w:val="0"/>
        <w:spacing w:line="360" w:lineRule="auto"/>
        <w:ind w:firstLine="0" w:firstLineChars="0"/>
        <w:jc w:val="center"/>
        <w:rPr>
          <w:b/>
          <w:bCs/>
          <w:color w:val="000000" w:themeColor="text1"/>
          <w:kern w:val="0"/>
          <w:szCs w:val="28"/>
          <w14:textFill>
            <w14:solidFill>
              <w14:schemeClr w14:val="tx1"/>
            </w14:solidFill>
          </w14:textFill>
        </w:rPr>
      </w:pPr>
      <w:r>
        <w:rPr>
          <w:color w:val="000000" w:themeColor="text1"/>
          <w:kern w:val="0"/>
          <w:szCs w:val="28"/>
          <w14:textFill>
            <w14:solidFill>
              <w14:schemeClr w14:val="tx1"/>
            </w14:solidFill>
          </w14:textFill>
        </w:rPr>
        <w:br w:type="page"/>
      </w:r>
      <w:r>
        <w:rPr>
          <w:b/>
          <w:bCs/>
          <w:color w:val="000000" w:themeColor="text1"/>
          <w:kern w:val="0"/>
          <w:szCs w:val="28"/>
          <w14:textFill>
            <w14:solidFill>
              <w14:schemeClr w14:val="tx1"/>
            </w14:solidFill>
          </w14:textFill>
        </w:rPr>
        <w:t>关键、重要技术要求和</w:t>
      </w:r>
      <w:r>
        <w:rPr>
          <w:rFonts w:hint="eastAsia"/>
          <w:b/>
          <w:bCs/>
          <w:color w:val="000000" w:themeColor="text1"/>
          <w:kern w:val="0"/>
          <w:szCs w:val="28"/>
          <w14:textFill>
            <w14:solidFill>
              <w14:schemeClr w14:val="tx1"/>
            </w14:solidFill>
          </w14:textFill>
        </w:rPr>
        <w:t>加分项技术要求响应表</w:t>
      </w:r>
    </w:p>
    <w:p>
      <w:pPr>
        <w:snapToGrid w:val="0"/>
        <w:spacing w:line="360" w:lineRule="auto"/>
        <w:ind w:firstLine="0" w:firstLineChars="0"/>
        <w:jc w:val="center"/>
        <w:rPr>
          <w:b/>
          <w:bCs/>
          <w:color w:val="000000" w:themeColor="text1"/>
          <w:kern w:val="0"/>
          <w:szCs w:val="28"/>
          <w14:textFill>
            <w14:solidFill>
              <w14:schemeClr w14:val="tx1"/>
            </w14:solidFill>
          </w14:textFill>
        </w:rPr>
      </w:pP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项目名称：</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项目编号：</w:t>
      </w:r>
    </w:p>
    <w:p>
      <w:pPr>
        <w:kinsoku w:val="0"/>
        <w:overflowPunct w:val="0"/>
        <w:autoSpaceDE w:val="0"/>
        <w:autoSpaceDN w:val="0"/>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投标人名称：</w:t>
      </w:r>
    </w:p>
    <w:p>
      <w:pPr>
        <w:snapToGrid w:val="0"/>
        <w:spacing w:line="360" w:lineRule="auto"/>
        <w:ind w:firstLine="48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包      号：</w:t>
      </w:r>
    </w:p>
    <w:tbl>
      <w:tblPr>
        <w:tblStyle w:val="14"/>
        <w:tblW w:w="83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7"/>
        <w:gridCol w:w="1855"/>
        <w:gridCol w:w="1836"/>
        <w:gridCol w:w="1588"/>
        <w:gridCol w:w="1151"/>
        <w:gridCol w:w="11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81"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序号</w:t>
            </w: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类别</w:t>
            </w: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招标文件技术</w:t>
            </w:r>
          </w:p>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规范、要求</w:t>
            </w: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投标文件</w:t>
            </w:r>
          </w:p>
          <w:p>
            <w:pPr>
              <w:kinsoku w:val="0"/>
              <w:overflowPunct w:val="0"/>
              <w:autoSpaceDE w:val="0"/>
              <w:autoSpaceDN w:val="0"/>
              <w:snapToGrid w:val="0"/>
              <w:spacing w:line="240" w:lineRule="auto"/>
              <w:ind w:firstLine="0" w:firstLineChars="0"/>
              <w:jc w:val="center"/>
              <w:rPr>
                <w:rFonts w:hint="eastAsia" w:eastAsia="宋体"/>
                <w:color w:val="000000" w:themeColor="text1"/>
                <w:kern w:val="0"/>
                <w:sz w:val="24"/>
                <w:lang w:eastAsia="zh-CN"/>
                <w14:textFill>
                  <w14:solidFill>
                    <w14:schemeClr w14:val="tx1"/>
                  </w14:solidFill>
                </w14:textFill>
              </w:rPr>
            </w:pPr>
            <w:r>
              <w:rPr>
                <w:color w:val="000000" w:themeColor="text1"/>
                <w:kern w:val="0"/>
                <w:sz w:val="24"/>
                <w14:textFill>
                  <w14:solidFill>
                    <w14:schemeClr w14:val="tx1"/>
                  </w14:solidFill>
                </w14:textFill>
              </w:rPr>
              <w:t>对应</w:t>
            </w:r>
            <w:r>
              <w:rPr>
                <w:rFonts w:hint="eastAsia"/>
                <w:color w:val="000000" w:themeColor="text1"/>
                <w:kern w:val="0"/>
                <w:sz w:val="24"/>
                <w:lang w:val="en-US" w:eastAsia="zh-CN"/>
                <w14:textFill>
                  <w14:solidFill>
                    <w14:schemeClr w14:val="tx1"/>
                  </w14:solidFill>
                </w14:textFill>
              </w:rPr>
              <w:t>响应</w:t>
            </w: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偏离情况</w:t>
            </w: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w:t>
            </w: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关键技术要求</w:t>
            </w: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1.1</w:t>
            </w: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w:t>
            </w: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w:t>
            </w: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color w:val="000000" w:themeColor="text1"/>
                <w:sz w:val="24"/>
                <w14:textFill>
                  <w14:solidFill>
                    <w14:schemeClr w14:val="tx1"/>
                  </w14:solidFill>
                </w14:textFill>
              </w:rPr>
              <w:t>重要技术要求</w:t>
            </w: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2.1</w:t>
            </w: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w:t>
            </w: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3</w:t>
            </w: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sz w:val="24"/>
                <w14:textFill>
                  <w14:solidFill>
                    <w14:schemeClr w14:val="tx1"/>
                  </w14:solidFill>
                </w14:textFill>
              </w:rPr>
              <w:t>加分项技术要求</w:t>
            </w: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3.1</w:t>
            </w: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35"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63" w:hRule="atLeast"/>
          <w:jc w:val="center"/>
        </w:trPr>
        <w:tc>
          <w:tcPr>
            <w:tcW w:w="767" w:type="dxa"/>
            <w:tcBorders>
              <w:top w:val="single" w:color="000000" w:sz="6" w:space="0"/>
              <w:left w:val="single" w:color="000000" w:sz="6" w:space="0"/>
              <w:bottom w:val="single" w:color="000000" w:sz="6" w:space="0"/>
              <w:right w:val="single" w:color="auto" w:sz="4"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855" w:type="dxa"/>
            <w:tcBorders>
              <w:top w:val="single" w:color="000000" w:sz="6" w:space="0"/>
              <w:left w:val="single" w:color="auto" w:sz="4"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w:t>
            </w:r>
          </w:p>
        </w:tc>
        <w:tc>
          <w:tcPr>
            <w:tcW w:w="1836"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588"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5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c>
          <w:tcPr>
            <w:tcW w:w="1181" w:type="dxa"/>
            <w:tcBorders>
              <w:top w:val="single" w:color="000000" w:sz="6" w:space="0"/>
              <w:left w:val="single" w:color="000000" w:sz="6" w:space="0"/>
              <w:bottom w:val="single" w:color="000000" w:sz="6" w:space="0"/>
              <w:right w:val="single" w:color="000000" w:sz="6" w:space="0"/>
            </w:tcBorders>
            <w:vAlign w:val="center"/>
          </w:tcPr>
          <w:p>
            <w:pPr>
              <w:kinsoku w:val="0"/>
              <w:overflowPunct w:val="0"/>
              <w:autoSpaceDE w:val="0"/>
              <w:autoSpaceDN w:val="0"/>
              <w:snapToGrid w:val="0"/>
              <w:spacing w:line="240" w:lineRule="auto"/>
              <w:ind w:firstLine="0" w:firstLineChars="0"/>
              <w:jc w:val="center"/>
              <w:rPr>
                <w:color w:val="000000" w:themeColor="text1"/>
                <w:kern w:val="0"/>
                <w:sz w:val="24"/>
                <w14:textFill>
                  <w14:solidFill>
                    <w14:schemeClr w14:val="tx1"/>
                  </w14:solidFill>
                </w14:textFill>
              </w:rPr>
            </w:pPr>
          </w:p>
        </w:tc>
      </w:tr>
    </w:tbl>
    <w:p>
      <w:pPr>
        <w:snapToGrid w:val="0"/>
        <w:spacing w:line="360" w:lineRule="auto"/>
        <w:ind w:firstLine="482"/>
        <w:rPr>
          <w:b/>
          <w:bCs/>
          <w:color w:val="000000"/>
          <w:sz w:val="24"/>
          <w:szCs w:val="20"/>
        </w:rPr>
      </w:pPr>
    </w:p>
    <w:p>
      <w:pPr>
        <w:snapToGrid w:val="0"/>
        <w:spacing w:line="360" w:lineRule="auto"/>
        <w:ind w:firstLine="482"/>
        <w:rPr>
          <w:b/>
          <w:bCs/>
          <w:color w:val="000000"/>
          <w:sz w:val="24"/>
          <w:szCs w:val="20"/>
        </w:rPr>
      </w:pPr>
      <w:r>
        <w:rPr>
          <w:b/>
          <w:bCs/>
          <w:color w:val="000000"/>
          <w:sz w:val="24"/>
          <w:szCs w:val="20"/>
        </w:rPr>
        <w:t>注：</w:t>
      </w:r>
      <w:r>
        <w:rPr>
          <w:color w:val="000000" w:themeColor="text1"/>
          <w:sz w:val="24"/>
          <w14:textFill>
            <w14:solidFill>
              <w14:schemeClr w14:val="tx1"/>
            </w14:solidFill>
          </w14:textFill>
        </w:rPr>
        <w:t>关键、重要技术要求和</w:t>
      </w:r>
      <w:r>
        <w:rPr>
          <w:rFonts w:hint="eastAsia"/>
          <w:color w:val="000000" w:themeColor="text1"/>
          <w:sz w:val="24"/>
          <w14:textFill>
            <w14:solidFill>
              <w14:schemeClr w14:val="tx1"/>
            </w14:solidFill>
          </w14:textFill>
        </w:rPr>
        <w:t>加分项技术要求</w:t>
      </w:r>
      <w:r>
        <w:rPr>
          <w:color w:val="000000" w:themeColor="text1"/>
          <w:sz w:val="24"/>
          <w14:textFill>
            <w14:solidFill>
              <w14:schemeClr w14:val="tx1"/>
            </w14:solidFill>
          </w14:textFill>
        </w:rPr>
        <w:t>需提供相关证明材料（</w:t>
      </w:r>
      <w:r>
        <w:rPr>
          <w:rFonts w:hint="eastAsia"/>
          <w:color w:val="000000" w:themeColor="text1"/>
          <w:sz w:val="24"/>
          <w14:textFill>
            <w14:solidFill>
              <w14:schemeClr w14:val="tx1"/>
            </w14:solidFill>
          </w14:textFill>
        </w:rPr>
        <w:t>原则要求投标人提供</w:t>
      </w:r>
      <w:r>
        <w:rPr>
          <w:color w:val="000000" w:themeColor="text1"/>
          <w:sz w:val="24"/>
          <w14:textFill>
            <w14:solidFill>
              <w14:schemeClr w14:val="tx1"/>
            </w14:solidFill>
          </w14:textFill>
        </w:rPr>
        <w:t>检测报告</w:t>
      </w:r>
      <w:r>
        <w:rPr>
          <w:rFonts w:hint="eastAsia"/>
          <w:color w:val="000000" w:themeColor="text1"/>
          <w:sz w:val="24"/>
          <w14:textFill>
            <w14:solidFill>
              <w14:schemeClr w14:val="tx1"/>
            </w14:solidFill>
          </w14:textFill>
        </w:rPr>
        <w:t>作为证明材料，无法提供</w:t>
      </w:r>
      <w:r>
        <w:rPr>
          <w:color w:val="000000" w:themeColor="text1"/>
          <w:sz w:val="24"/>
          <w14:textFill>
            <w14:solidFill>
              <w14:schemeClr w14:val="tx1"/>
            </w14:solidFill>
          </w14:textFill>
        </w:rPr>
        <w:t>检测报告</w:t>
      </w:r>
      <w:r>
        <w:rPr>
          <w:rFonts w:hint="eastAsia"/>
          <w:color w:val="000000" w:themeColor="text1"/>
          <w:sz w:val="24"/>
          <w14:textFill>
            <w14:solidFill>
              <w14:schemeClr w14:val="tx1"/>
            </w14:solidFill>
          </w14:textFill>
        </w:rPr>
        <w:t>可以提供</w:t>
      </w:r>
      <w:r>
        <w:rPr>
          <w:color w:val="000000" w:themeColor="text1"/>
          <w:sz w:val="24"/>
          <w14:textFill>
            <w14:solidFill>
              <w14:schemeClr w14:val="tx1"/>
            </w14:solidFill>
          </w14:textFill>
        </w:rPr>
        <w:t>官网链接或功能截图或产品彩页或产品说明书</w:t>
      </w:r>
      <w:r>
        <w:rPr>
          <w:rFonts w:hint="eastAsia"/>
          <w:color w:val="000000" w:themeColor="text1"/>
          <w:sz w:val="24"/>
          <w14:textFill>
            <w14:solidFill>
              <w14:schemeClr w14:val="tx1"/>
            </w14:solidFill>
          </w14:textFill>
        </w:rPr>
        <w:t>作为证明材料</w:t>
      </w:r>
      <w:r>
        <w:rPr>
          <w:color w:val="000000" w:themeColor="text1"/>
          <w:sz w:val="24"/>
          <w14:textFill>
            <w14:solidFill>
              <w14:schemeClr w14:val="tx1"/>
            </w14:solidFill>
          </w14:textFill>
        </w:rPr>
        <w:t>），未提供证明材料视为不满足要求或不视为正偏离。</w:t>
      </w:r>
    </w:p>
    <w:p>
      <w:pPr>
        <w:widowControl/>
        <w:adjustRightInd w:val="0"/>
        <w:snapToGrid w:val="0"/>
        <w:spacing w:line="360" w:lineRule="auto"/>
        <w:ind w:firstLine="5318" w:firstLineChars="221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投标人(公章):</w:t>
      </w:r>
    </w:p>
    <w:p>
      <w:pPr>
        <w:widowControl/>
        <w:adjustRightInd w:val="0"/>
        <w:snapToGrid w:val="0"/>
        <w:spacing w:line="360" w:lineRule="auto"/>
        <w:ind w:firstLine="5318" w:firstLineChars="221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投标人代表(签字或盖章):</w:t>
      </w:r>
    </w:p>
    <w:p>
      <w:pPr>
        <w:widowControl/>
        <w:adjustRightInd w:val="0"/>
        <w:snapToGrid w:val="0"/>
        <w:spacing w:line="360" w:lineRule="auto"/>
        <w:ind w:firstLine="5318" w:firstLineChars="2216"/>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日</w:t>
      </w:r>
      <w:r>
        <w:rPr>
          <w:color w:val="000000" w:themeColor="text1"/>
          <w:kern w:val="0"/>
          <w:sz w:val="24"/>
          <w14:textFill>
            <w14:solidFill>
              <w14:schemeClr w14:val="tx1"/>
            </w14:solidFill>
          </w14:textFill>
        </w:rPr>
        <w:tab/>
      </w:r>
      <w:r>
        <w:rPr>
          <w:color w:val="000000" w:themeColor="text1"/>
          <w:kern w:val="0"/>
          <w:sz w:val="24"/>
          <w14:textFill>
            <w14:solidFill>
              <w14:schemeClr w14:val="tx1"/>
            </w14:solidFill>
          </w14:textFill>
        </w:rPr>
        <w:t>期：</w:t>
      </w:r>
    </w:p>
    <w:p>
      <w:pPr>
        <w:widowControl/>
        <w:adjustRightInd w:val="0"/>
        <w:snapToGrid w:val="0"/>
        <w:spacing w:line="360" w:lineRule="auto"/>
        <w:ind w:firstLine="0" w:firstLineChars="0"/>
        <w:rPr>
          <w:color w:val="000000" w:themeColor="text1"/>
          <w:sz w:val="24"/>
          <w14:textFill>
            <w14:solidFill>
              <w14:schemeClr w14:val="tx1"/>
            </w14:solidFill>
          </w14:textFill>
        </w:rPr>
      </w:pPr>
      <w:r>
        <w:rPr>
          <w:rFonts w:hint="eastAsia"/>
          <w:color w:val="000000" w:themeColor="text1"/>
          <w:kern w:val="0"/>
          <w:sz w:val="24"/>
          <w14:textFill>
            <w14:solidFill>
              <w14:schemeClr w14:val="tx1"/>
            </w14:solidFill>
          </w14:textFill>
        </w:rPr>
        <w:t>1、</w:t>
      </w:r>
      <w:r>
        <w:rPr>
          <w:color w:val="000000" w:themeColor="text1"/>
          <w:sz w:val="24"/>
          <w14:textFill>
            <w14:solidFill>
              <w14:schemeClr w14:val="tx1"/>
            </w14:solidFill>
          </w14:textFill>
        </w:rPr>
        <w:t>关键技术要求证明材料</w:t>
      </w:r>
    </w:p>
    <w:p>
      <w:pPr>
        <w:widowControl/>
        <w:adjustRightInd w:val="0"/>
        <w:snapToGrid w:val="0"/>
        <w:spacing w:line="360" w:lineRule="auto"/>
        <w:ind w:firstLine="0" w:firstLineChars="0"/>
        <w:rPr>
          <w:color w:val="000000" w:themeColor="text1"/>
          <w:sz w:val="24"/>
          <w14:textFill>
            <w14:solidFill>
              <w14:schemeClr w14:val="tx1"/>
            </w14:solidFill>
          </w14:textFill>
        </w:rPr>
      </w:pPr>
    </w:p>
    <w:p>
      <w:pPr>
        <w:widowControl/>
        <w:adjustRightInd w:val="0"/>
        <w:snapToGrid w:val="0"/>
        <w:spacing w:line="360" w:lineRule="auto"/>
        <w:ind w:firstLine="0" w:firstLineChars="0"/>
        <w:rPr>
          <w:color w:val="000000" w:themeColor="text1"/>
          <w:sz w:val="24"/>
          <w14:textFill>
            <w14:solidFill>
              <w14:schemeClr w14:val="tx1"/>
            </w14:solidFill>
          </w14:textFill>
        </w:rPr>
      </w:pPr>
    </w:p>
    <w:p>
      <w:pPr>
        <w:widowControl/>
        <w:adjustRightInd w:val="0"/>
        <w:snapToGrid w:val="0"/>
        <w:spacing w:line="360" w:lineRule="auto"/>
        <w:ind w:firstLine="0" w:firstLineChars="0"/>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2、</w:t>
      </w:r>
      <w:r>
        <w:rPr>
          <w:color w:val="000000" w:themeColor="text1"/>
          <w:kern w:val="0"/>
          <w:sz w:val="24"/>
          <w14:textFill>
            <w14:solidFill>
              <w14:schemeClr w14:val="tx1"/>
            </w14:solidFill>
          </w14:textFill>
        </w:rPr>
        <w:t>重要技术要求证明材料</w:t>
      </w:r>
    </w:p>
    <w:p>
      <w:pPr>
        <w:widowControl/>
        <w:adjustRightInd w:val="0"/>
        <w:snapToGrid w:val="0"/>
        <w:spacing w:line="360" w:lineRule="auto"/>
        <w:ind w:firstLine="0" w:firstLineChars="0"/>
        <w:rPr>
          <w:color w:val="000000" w:themeColor="text1"/>
          <w:kern w:val="0"/>
          <w:sz w:val="24"/>
          <w14:textFill>
            <w14:solidFill>
              <w14:schemeClr w14:val="tx1"/>
            </w14:solidFill>
          </w14:textFill>
        </w:rPr>
      </w:pPr>
    </w:p>
    <w:p>
      <w:pPr>
        <w:widowControl/>
        <w:adjustRightInd w:val="0"/>
        <w:snapToGrid w:val="0"/>
        <w:spacing w:line="360" w:lineRule="auto"/>
        <w:ind w:firstLine="0" w:firstLineChars="0"/>
        <w:rPr>
          <w:color w:val="000000" w:themeColor="text1"/>
          <w:kern w:val="0"/>
          <w:sz w:val="24"/>
          <w14:textFill>
            <w14:solidFill>
              <w14:schemeClr w14:val="tx1"/>
            </w14:solidFill>
          </w14:textFill>
        </w:rPr>
      </w:pPr>
    </w:p>
    <w:p>
      <w:pPr>
        <w:widowControl/>
        <w:adjustRightInd w:val="0"/>
        <w:snapToGrid w:val="0"/>
        <w:spacing w:line="360" w:lineRule="auto"/>
        <w:ind w:firstLine="0" w:firstLineChars="0"/>
        <w:rPr>
          <w:color w:val="000000" w:themeColor="text1"/>
          <w:kern w:val="0"/>
          <w:sz w:val="24"/>
          <w14:textFill>
            <w14:solidFill>
              <w14:schemeClr w14:val="tx1"/>
            </w14:solidFill>
          </w14:textFill>
        </w:rPr>
      </w:pPr>
      <w:r>
        <w:rPr>
          <w:rFonts w:hint="eastAsia"/>
          <w:color w:val="000000" w:themeColor="text1"/>
          <w:sz w:val="24"/>
          <w14:textFill>
            <w14:solidFill>
              <w14:schemeClr w14:val="tx1"/>
            </w14:solidFill>
          </w14:textFill>
        </w:rPr>
        <w:t>3、加分项技术要求</w:t>
      </w:r>
      <w:r>
        <w:rPr>
          <w:color w:val="000000" w:themeColor="text1"/>
          <w:kern w:val="0"/>
          <w:sz w:val="24"/>
          <w14:textFill>
            <w14:solidFill>
              <w14:schemeClr w14:val="tx1"/>
            </w14:solidFill>
          </w14:textFill>
        </w:rPr>
        <w:t>证明材料</w:t>
      </w:r>
    </w:p>
    <w:p>
      <w:pPr>
        <w:ind w:firstLine="0" w:firstLineChars="0"/>
        <w:rPr>
          <w:b/>
          <w:bCs/>
          <w:color w:val="000000" w:themeColor="text1"/>
          <w:kern w:val="0"/>
          <w:szCs w:val="28"/>
          <w14:textFill>
            <w14:solidFill>
              <w14:schemeClr w14:val="tx1"/>
            </w14:solidFill>
          </w14:textFill>
        </w:rPr>
      </w:pPr>
    </w:p>
    <w:p>
      <w:pPr>
        <w:ind w:firstLine="0" w:firstLineChars="0"/>
        <w:rPr>
          <w:b/>
          <w:bCs/>
          <w:color w:val="000000" w:themeColor="text1"/>
          <w:kern w:val="0"/>
          <w:szCs w:val="28"/>
          <w14:textFill>
            <w14:solidFill>
              <w14:schemeClr w14:val="tx1"/>
            </w14:solidFill>
          </w14:textFill>
        </w:rPr>
      </w:pPr>
    </w:p>
    <w:p>
      <w:pPr>
        <w:ind w:firstLine="562"/>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br w:type="page"/>
      </w:r>
    </w:p>
    <w:p>
      <w:pPr>
        <w:snapToGrid w:val="0"/>
        <w:spacing w:line="360" w:lineRule="auto"/>
        <w:ind w:firstLine="0" w:firstLineChars="0"/>
        <w:jc w:val="center"/>
      </w:pPr>
      <w:r>
        <w:rPr>
          <w:b/>
          <w:bCs/>
          <w:color w:val="000000" w:themeColor="text1"/>
          <w:kern w:val="0"/>
          <w:szCs w:val="28"/>
          <w14:textFill>
            <w14:solidFill>
              <w14:schemeClr w14:val="tx1"/>
            </w14:solidFill>
          </w14:textFill>
        </w:rPr>
        <w:t>技术方案</w:t>
      </w:r>
    </w:p>
    <w:p>
      <w:pPr>
        <w:ind w:left="560" w:hanging="560"/>
      </w:pPr>
    </w:p>
    <w:p>
      <w:pPr>
        <w:ind w:firstLine="3654" w:firstLineChars="1300"/>
        <w:jc w:val="both"/>
        <w:rPr>
          <w:rFonts w:hint="default" w:eastAsia="宋体"/>
          <w:b/>
          <w:bCs/>
          <w:color w:val="000000" w:themeColor="text1"/>
          <w:szCs w:val="28"/>
          <w:lang w:val="en-US" w:eastAsia="zh-CN"/>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质量控制</w:t>
      </w:r>
    </w:p>
    <w:p>
      <w:pPr>
        <w:ind w:left="560" w:hanging="560"/>
      </w:pPr>
    </w:p>
    <w:p>
      <w:pPr>
        <w:ind w:firstLine="3654" w:firstLineChars="1300"/>
        <w:rPr>
          <w:rFonts w:hint="eastAsia"/>
          <w:b/>
          <w:bCs/>
          <w:color w:val="000000" w:themeColor="text1"/>
          <w:kern w:val="0"/>
          <w:szCs w:val="28"/>
          <w:lang w:val="en-US" w:eastAsia="zh-CN"/>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售后服务</w:t>
      </w:r>
    </w:p>
    <w:p>
      <w:pPr>
        <w:pStyle w:val="2"/>
        <w:rPr>
          <w:rFonts w:hint="eastAsia"/>
          <w:b/>
          <w:bCs/>
          <w:color w:val="000000" w:themeColor="text1"/>
          <w:kern w:val="0"/>
          <w:szCs w:val="28"/>
          <w:lang w:val="en-US" w:eastAsia="zh-CN"/>
          <w14:textFill>
            <w14:solidFill>
              <w14:schemeClr w14:val="tx1"/>
            </w14:solidFill>
          </w14:textFill>
        </w:rPr>
      </w:pPr>
    </w:p>
    <w:p>
      <w:pPr>
        <w:pStyle w:val="2"/>
        <w:rPr>
          <w:rFonts w:hint="eastAsia" w:ascii="Times New Roman" w:hAnsi="Times New Roman" w:eastAsia="宋体" w:cs="Times New Roman"/>
          <w:b/>
          <w:bCs/>
          <w:color w:val="000000" w:themeColor="text1"/>
          <w:kern w:val="0"/>
          <w:sz w:val="28"/>
          <w:szCs w:val="28"/>
          <w:lang w:val="en-US" w:eastAsia="zh-CN" w:bidi="ar-SA"/>
          <w14:textFill>
            <w14:solidFill>
              <w14:schemeClr w14:val="tx1"/>
            </w14:solidFill>
          </w14:textFill>
        </w:rPr>
      </w:pPr>
      <w:r>
        <w:rPr>
          <w:rFonts w:hint="eastAsia"/>
          <w:b/>
          <w:bCs/>
          <w:color w:val="000000" w:themeColor="text1"/>
          <w:kern w:val="0"/>
          <w:szCs w:val="28"/>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kern w:val="0"/>
          <w:sz w:val="28"/>
          <w:szCs w:val="28"/>
          <w:lang w:val="en-US" w:eastAsia="zh-CN" w:bidi="ar-SA"/>
          <w14:textFill>
            <w14:solidFill>
              <w14:schemeClr w14:val="tx1"/>
            </w14:solidFill>
          </w14:textFill>
        </w:rPr>
        <w:t>实施进度</w:t>
      </w:r>
    </w:p>
    <w:p>
      <w:pPr>
        <w:pStyle w:val="2"/>
        <w:rPr>
          <w:rFonts w:hint="eastAsia" w:ascii="Times New Roman" w:hAnsi="Times New Roman" w:eastAsia="宋体" w:cs="Times New Roman"/>
          <w:b/>
          <w:bCs/>
          <w:color w:val="000000" w:themeColor="text1"/>
          <w:kern w:val="0"/>
          <w:sz w:val="28"/>
          <w:szCs w:val="28"/>
          <w:lang w:val="en-US" w:eastAsia="zh-CN" w:bidi="ar-SA"/>
          <w14:textFill>
            <w14:solidFill>
              <w14:schemeClr w14:val="tx1"/>
            </w14:solidFill>
          </w14:textFill>
        </w:rPr>
      </w:pPr>
    </w:p>
    <w:p>
      <w:pPr>
        <w:pStyle w:val="2"/>
        <w:rPr>
          <w:rFonts w:hint="default" w:ascii="Times New Roman" w:hAnsi="Times New Roman" w:eastAsia="宋体" w:cs="Times New Roman"/>
          <w:b/>
          <w:bCs/>
          <w:color w:val="000000" w:themeColor="text1"/>
          <w:kern w:val="0"/>
          <w:sz w:val="28"/>
          <w:szCs w:val="28"/>
          <w:lang w:val="en-US" w:eastAsia="zh-CN" w:bidi="ar-SA"/>
          <w14:textFill>
            <w14:solidFill>
              <w14:schemeClr w14:val="tx1"/>
            </w14:solidFill>
          </w14:textFill>
        </w:rPr>
      </w:pPr>
      <w:r>
        <w:rPr>
          <w:rFonts w:hint="eastAsia" w:ascii="Times New Roman" w:eastAsia="宋体" w:cs="Times New Roman"/>
          <w:b/>
          <w:bCs/>
          <w:color w:val="000000" w:themeColor="text1"/>
          <w:kern w:val="0"/>
          <w:sz w:val="28"/>
          <w:szCs w:val="28"/>
          <w:lang w:val="en-US" w:eastAsia="zh-CN" w:bidi="ar-SA"/>
          <w14:textFill>
            <w14:solidFill>
              <w14:schemeClr w14:val="tx1"/>
            </w14:solidFill>
          </w14:textFill>
        </w:rPr>
        <w:t xml:space="preserve">                      巡检服务</w:t>
      </w:r>
    </w:p>
    <w:p>
      <w:pPr>
        <w:ind w:left="560" w:hanging="560"/>
      </w:pPr>
    </w:p>
    <w:p>
      <w:pPr>
        <w:snapToGrid w:val="0"/>
        <w:spacing w:line="360" w:lineRule="auto"/>
        <w:ind w:firstLine="0" w:firstLineChars="0"/>
        <w:jc w:val="center"/>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t>同投标货物型号一致的产品手册、介绍、说明书等技术材料</w:t>
      </w:r>
    </w:p>
    <w:p>
      <w:pPr>
        <w:ind w:firstLine="490"/>
        <w:rPr>
          <w:b/>
          <w:bCs/>
          <w:color w:val="000000" w:themeColor="text1"/>
          <w:szCs w:val="28"/>
          <w14:textFill>
            <w14:solidFill>
              <w14:schemeClr w14:val="tx1"/>
            </w14:solidFill>
          </w14:textFill>
        </w:rPr>
      </w:pPr>
    </w:p>
    <w:p>
      <w:pPr>
        <w:ind w:left="560" w:hanging="560"/>
      </w:pPr>
    </w:p>
    <w:p>
      <w:pPr>
        <w:snapToGrid w:val="0"/>
        <w:spacing w:line="360" w:lineRule="auto"/>
        <w:ind w:firstLine="0" w:firstLineChars="0"/>
        <w:jc w:val="center"/>
        <w:rPr>
          <w:b/>
          <w:bCs/>
          <w:color w:val="000000" w:themeColor="text1"/>
          <w:kern w:val="0"/>
          <w:szCs w:val="28"/>
          <w14:textFill>
            <w14:solidFill>
              <w14:schemeClr w14:val="tx1"/>
            </w14:solidFill>
          </w14:textFill>
        </w:rPr>
      </w:pPr>
      <w:r>
        <w:rPr>
          <w:b/>
          <w:bCs/>
          <w:color w:val="000000" w:themeColor="text1"/>
          <w:kern w:val="0"/>
          <w:szCs w:val="28"/>
          <w14:textFill>
            <w14:solidFill>
              <w14:schemeClr w14:val="tx1"/>
            </w14:solidFill>
          </w14:textFill>
        </w:rPr>
        <w:t>投标货物配件、耗材、选配件、工具、备件清单</w:t>
      </w:r>
    </w:p>
    <w:p>
      <w:pPr>
        <w:ind w:firstLine="490"/>
        <w:rPr>
          <w:b/>
          <w:bCs/>
          <w:color w:val="000000" w:themeColor="text1"/>
          <w:szCs w:val="28"/>
          <w14:textFill>
            <w14:solidFill>
              <w14:schemeClr w14:val="tx1"/>
            </w14:solidFill>
          </w14:textFill>
        </w:rPr>
      </w:pPr>
    </w:p>
    <w:p>
      <w:pPr>
        <w:ind w:firstLine="562"/>
        <w:rPr>
          <w:b/>
          <w:bCs/>
          <w:color w:val="000000" w:themeColor="text1"/>
          <w:kern w:val="0"/>
          <w:szCs w:val="28"/>
          <w14:textFill>
            <w14:solidFill>
              <w14:schemeClr w14:val="tx1"/>
            </w14:solidFill>
          </w14:textFill>
        </w:rPr>
      </w:pPr>
    </w:p>
    <w:p>
      <w:pPr>
        <w:ind w:firstLine="0" w:firstLineChars="0"/>
        <w:jc w:val="center"/>
      </w:pPr>
      <w:r>
        <w:rPr>
          <w:b/>
          <w:bCs/>
          <w:color w:val="000000" w:themeColor="text1"/>
          <w:kern w:val="0"/>
          <w:szCs w:val="28"/>
          <w14:textFill>
            <w14:solidFill>
              <w14:schemeClr w14:val="tx1"/>
            </w14:solidFill>
          </w14:textFill>
        </w:rPr>
        <w:t>投标人认为需要提供的其他技术材料</w:t>
      </w:r>
    </w:p>
    <w:sectPr>
      <w:pgSz w:w="11905" w:h="16838"/>
      <w:pgMar w:top="1440" w:right="1803" w:bottom="1440" w:left="1803" w:header="850" w:footer="992"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_GBK">
    <w:altName w:val="Arial Unicode MS"/>
    <w:panose1 w:val="02000000000000000000"/>
    <w:charset w:val="86"/>
    <w:family w:val="script"/>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方正仿宋_GBK">
    <w:altName w:val="Arial Unicode MS"/>
    <w:panose1 w:val="02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8333133"/>
    </w:sdtPr>
    <w:sdtContent>
      <w:p>
        <w:pPr>
          <w:pStyle w:val="9"/>
          <w:ind w:firstLine="360"/>
          <w:jc w:val="center"/>
        </w:pPr>
      </w:p>
    </w:sdtContent>
  </w:sdt>
  <w:p>
    <w:pPr>
      <w:pStyle w:val="9"/>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649191"/>
    </w:sdtPr>
    <w:sdtContent>
      <w:p>
        <w:pPr>
          <w:pStyle w:val="9"/>
          <w:ind w:firstLine="360"/>
          <w:jc w:val="center"/>
        </w:pPr>
        <w:r>
          <w:fldChar w:fldCharType="begin"/>
        </w:r>
        <w:r>
          <w:instrText xml:space="preserve">PAGE   \* MERGEFORMAT</w:instrText>
        </w:r>
        <w:r>
          <w:fldChar w:fldCharType="separate"/>
        </w:r>
        <w:r>
          <w:rPr>
            <w:lang w:val="zh-CN"/>
          </w:rPr>
          <w:t>2</w:t>
        </w:r>
        <w:r>
          <w:fldChar w:fldCharType="end"/>
        </w:r>
      </w:p>
    </w:sdtContent>
  </w:sdt>
  <w:p>
    <w:pPr>
      <w:pStyle w:val="9"/>
      <w:ind w:firstLine="0" w:firstLineChars="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569513"/>
    </w:sdtPr>
    <w:sdtContent>
      <w:p>
        <w:pPr>
          <w:pStyle w:val="9"/>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ind w:firstLine="560"/>
      </w:pPr>
      <w:r>
        <w:separator/>
      </w:r>
    </w:p>
  </w:footnote>
  <w:footnote w:type="continuationSeparator" w:id="1">
    <w:p>
      <w:pPr>
        <w:spacing w:line="30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337"/>
        <w:tab w:val="right" w:pos="8364"/>
        <w:tab w:val="clear" w:pos="8306"/>
      </w:tabs>
      <w:wordWrap w:val="0"/>
      <w:ind w:right="-7" w:firstLine="0" w:firstLineChars="0"/>
      <w:jc w:val="left"/>
    </w:pPr>
    <w:r>
      <w:rPr>
        <w:rFonts w:hint="eastAsia"/>
        <w:kern w:val="0"/>
      </w:rPr>
      <w:t>山西中兴财项目管理有限公司                                        项目编号：中财采A-2024-01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F6E77D"/>
    <w:multiLevelType w:val="singleLevel"/>
    <w:tmpl w:val="83F6E77D"/>
    <w:lvl w:ilvl="0" w:tentative="0">
      <w:start w:val="1"/>
      <w:numFmt w:val="decimalEnclosedCircleChinese"/>
      <w:suff w:val="nothing"/>
      <w:lvlText w:val="%1　"/>
      <w:lvlJc w:val="left"/>
      <w:pPr>
        <w:ind w:left="0" w:firstLine="400"/>
      </w:pPr>
      <w:rPr>
        <w:rFonts w:hint="eastAsia"/>
      </w:rPr>
    </w:lvl>
  </w:abstractNum>
  <w:abstractNum w:abstractNumId="1">
    <w:nsid w:val="8A064A05"/>
    <w:multiLevelType w:val="singleLevel"/>
    <w:tmpl w:val="8A064A05"/>
    <w:lvl w:ilvl="0" w:tentative="0">
      <w:start w:val="1"/>
      <w:numFmt w:val="decimalEnclosedCircleChinese"/>
      <w:suff w:val="nothing"/>
      <w:lvlText w:val="%1　"/>
      <w:lvlJc w:val="left"/>
      <w:pPr>
        <w:ind w:left="0" w:firstLine="400"/>
      </w:pPr>
      <w:rPr>
        <w:rFonts w:hint="eastAsia"/>
      </w:rPr>
    </w:lvl>
  </w:abstractNum>
  <w:abstractNum w:abstractNumId="2">
    <w:nsid w:val="8CFD2E20"/>
    <w:multiLevelType w:val="singleLevel"/>
    <w:tmpl w:val="8CFD2E20"/>
    <w:lvl w:ilvl="0" w:tentative="0">
      <w:start w:val="1"/>
      <w:numFmt w:val="decimal"/>
      <w:lvlText w:val="%1."/>
      <w:lvlJc w:val="left"/>
      <w:pPr>
        <w:tabs>
          <w:tab w:val="left" w:pos="312"/>
        </w:tabs>
      </w:pPr>
    </w:lvl>
  </w:abstractNum>
  <w:abstractNum w:abstractNumId="3">
    <w:nsid w:val="954184B8"/>
    <w:multiLevelType w:val="singleLevel"/>
    <w:tmpl w:val="954184B8"/>
    <w:lvl w:ilvl="0" w:tentative="0">
      <w:start w:val="1"/>
      <w:numFmt w:val="decimalEnclosedCircleChinese"/>
      <w:suff w:val="nothing"/>
      <w:lvlText w:val="%1　"/>
      <w:lvlJc w:val="left"/>
      <w:pPr>
        <w:ind w:left="0" w:firstLine="400"/>
      </w:pPr>
      <w:rPr>
        <w:rFonts w:hint="eastAsia"/>
      </w:rPr>
    </w:lvl>
  </w:abstractNum>
  <w:abstractNum w:abstractNumId="4">
    <w:nsid w:val="99A15659"/>
    <w:multiLevelType w:val="singleLevel"/>
    <w:tmpl w:val="99A15659"/>
    <w:lvl w:ilvl="0" w:tentative="0">
      <w:start w:val="1"/>
      <w:numFmt w:val="decimalEnclosedCircleChinese"/>
      <w:suff w:val="nothing"/>
      <w:lvlText w:val="%1　"/>
      <w:lvlJc w:val="left"/>
      <w:pPr>
        <w:ind w:left="0" w:firstLine="400"/>
      </w:pPr>
      <w:rPr>
        <w:rFonts w:hint="eastAsia"/>
      </w:rPr>
    </w:lvl>
  </w:abstractNum>
  <w:abstractNum w:abstractNumId="5">
    <w:nsid w:val="9B3CE868"/>
    <w:multiLevelType w:val="singleLevel"/>
    <w:tmpl w:val="9B3CE868"/>
    <w:lvl w:ilvl="0" w:tentative="0">
      <w:start w:val="1"/>
      <w:numFmt w:val="decimalEnclosedCircleChinese"/>
      <w:suff w:val="nothing"/>
      <w:lvlText w:val="%1　"/>
      <w:lvlJc w:val="left"/>
      <w:pPr>
        <w:ind w:left="0" w:firstLine="400"/>
      </w:pPr>
      <w:rPr>
        <w:rFonts w:hint="eastAsia"/>
      </w:rPr>
    </w:lvl>
  </w:abstractNum>
  <w:abstractNum w:abstractNumId="6">
    <w:nsid w:val="9EDD3B8B"/>
    <w:multiLevelType w:val="singleLevel"/>
    <w:tmpl w:val="9EDD3B8B"/>
    <w:lvl w:ilvl="0" w:tentative="0">
      <w:start w:val="1"/>
      <w:numFmt w:val="decimalEnclosedCircleChinese"/>
      <w:suff w:val="nothing"/>
      <w:lvlText w:val="%1　"/>
      <w:lvlJc w:val="left"/>
      <w:pPr>
        <w:ind w:left="0" w:firstLine="400"/>
      </w:pPr>
      <w:rPr>
        <w:rFonts w:hint="eastAsia"/>
      </w:rPr>
    </w:lvl>
  </w:abstractNum>
  <w:abstractNum w:abstractNumId="7">
    <w:nsid w:val="A0F176D4"/>
    <w:multiLevelType w:val="singleLevel"/>
    <w:tmpl w:val="A0F176D4"/>
    <w:lvl w:ilvl="0" w:tentative="0">
      <w:start w:val="1"/>
      <w:numFmt w:val="decimalEnclosedCircleChinese"/>
      <w:suff w:val="nothing"/>
      <w:lvlText w:val="%1　"/>
      <w:lvlJc w:val="left"/>
      <w:pPr>
        <w:ind w:left="0" w:firstLine="400"/>
      </w:pPr>
      <w:rPr>
        <w:rFonts w:hint="eastAsia"/>
      </w:rPr>
    </w:lvl>
  </w:abstractNum>
  <w:abstractNum w:abstractNumId="8">
    <w:nsid w:val="A5D6A852"/>
    <w:multiLevelType w:val="singleLevel"/>
    <w:tmpl w:val="A5D6A852"/>
    <w:lvl w:ilvl="0" w:tentative="0">
      <w:start w:val="1"/>
      <w:numFmt w:val="decimalEnclosedCircleChinese"/>
      <w:suff w:val="nothing"/>
      <w:lvlText w:val="%1　"/>
      <w:lvlJc w:val="left"/>
      <w:pPr>
        <w:ind w:left="0" w:firstLine="400"/>
      </w:pPr>
      <w:rPr>
        <w:rFonts w:hint="eastAsia"/>
      </w:rPr>
    </w:lvl>
  </w:abstractNum>
  <w:abstractNum w:abstractNumId="9">
    <w:nsid w:val="A745361E"/>
    <w:multiLevelType w:val="singleLevel"/>
    <w:tmpl w:val="A745361E"/>
    <w:lvl w:ilvl="0" w:tentative="0">
      <w:start w:val="1"/>
      <w:numFmt w:val="decimal"/>
      <w:lvlText w:val="(%1)"/>
      <w:lvlJc w:val="left"/>
      <w:pPr>
        <w:ind w:left="425" w:hanging="425"/>
      </w:pPr>
      <w:rPr>
        <w:rFonts w:hint="default"/>
      </w:rPr>
    </w:lvl>
  </w:abstractNum>
  <w:abstractNum w:abstractNumId="10">
    <w:nsid w:val="ADCD82A4"/>
    <w:multiLevelType w:val="singleLevel"/>
    <w:tmpl w:val="ADCD82A4"/>
    <w:lvl w:ilvl="0" w:tentative="0">
      <w:start w:val="1"/>
      <w:numFmt w:val="decimalEnclosedCircleChinese"/>
      <w:suff w:val="nothing"/>
      <w:lvlText w:val="%1　"/>
      <w:lvlJc w:val="left"/>
      <w:pPr>
        <w:ind w:left="0" w:firstLine="400"/>
      </w:pPr>
      <w:rPr>
        <w:rFonts w:hint="eastAsia"/>
      </w:rPr>
    </w:lvl>
  </w:abstractNum>
  <w:abstractNum w:abstractNumId="11">
    <w:nsid w:val="B4043936"/>
    <w:multiLevelType w:val="singleLevel"/>
    <w:tmpl w:val="B4043936"/>
    <w:lvl w:ilvl="0" w:tentative="0">
      <w:start w:val="1"/>
      <w:numFmt w:val="decimalEnclosedCircleChinese"/>
      <w:suff w:val="nothing"/>
      <w:lvlText w:val="%1　"/>
      <w:lvlJc w:val="left"/>
      <w:pPr>
        <w:ind w:left="0" w:firstLine="400"/>
      </w:pPr>
      <w:rPr>
        <w:rFonts w:hint="eastAsia"/>
      </w:rPr>
    </w:lvl>
  </w:abstractNum>
  <w:abstractNum w:abstractNumId="12">
    <w:nsid w:val="BA7133D0"/>
    <w:multiLevelType w:val="singleLevel"/>
    <w:tmpl w:val="BA7133D0"/>
    <w:lvl w:ilvl="0" w:tentative="0">
      <w:start w:val="1"/>
      <w:numFmt w:val="decimalEnclosedCircleChinese"/>
      <w:suff w:val="nothing"/>
      <w:lvlText w:val="%1　"/>
      <w:lvlJc w:val="left"/>
      <w:pPr>
        <w:ind w:left="0" w:firstLine="400"/>
      </w:pPr>
      <w:rPr>
        <w:rFonts w:hint="eastAsia"/>
      </w:rPr>
    </w:lvl>
  </w:abstractNum>
  <w:abstractNum w:abstractNumId="13">
    <w:nsid w:val="BB6FE4E4"/>
    <w:multiLevelType w:val="singleLevel"/>
    <w:tmpl w:val="BB6FE4E4"/>
    <w:lvl w:ilvl="0" w:tentative="0">
      <w:start w:val="1"/>
      <w:numFmt w:val="decimalEnclosedCircleChinese"/>
      <w:suff w:val="nothing"/>
      <w:lvlText w:val="%1　"/>
      <w:lvlJc w:val="left"/>
      <w:pPr>
        <w:ind w:left="0" w:firstLine="400"/>
      </w:pPr>
      <w:rPr>
        <w:rFonts w:hint="eastAsia"/>
      </w:rPr>
    </w:lvl>
  </w:abstractNum>
  <w:abstractNum w:abstractNumId="14">
    <w:nsid w:val="BD8FAFED"/>
    <w:multiLevelType w:val="singleLevel"/>
    <w:tmpl w:val="BD8FAFED"/>
    <w:lvl w:ilvl="0" w:tentative="0">
      <w:start w:val="1"/>
      <w:numFmt w:val="decimal"/>
      <w:lvlText w:val="%1."/>
      <w:lvlJc w:val="left"/>
      <w:pPr>
        <w:tabs>
          <w:tab w:val="left" w:pos="312"/>
        </w:tabs>
      </w:pPr>
    </w:lvl>
  </w:abstractNum>
  <w:abstractNum w:abstractNumId="15">
    <w:nsid w:val="D2B5B8A1"/>
    <w:multiLevelType w:val="singleLevel"/>
    <w:tmpl w:val="D2B5B8A1"/>
    <w:lvl w:ilvl="0" w:tentative="0">
      <w:start w:val="1"/>
      <w:numFmt w:val="decimalEnclosedCircleChinese"/>
      <w:suff w:val="nothing"/>
      <w:lvlText w:val="%1　"/>
      <w:lvlJc w:val="left"/>
      <w:pPr>
        <w:ind w:left="0" w:firstLine="400"/>
      </w:pPr>
      <w:rPr>
        <w:rFonts w:hint="eastAsia"/>
      </w:rPr>
    </w:lvl>
  </w:abstractNum>
  <w:abstractNum w:abstractNumId="16">
    <w:nsid w:val="D6DB4E43"/>
    <w:multiLevelType w:val="singleLevel"/>
    <w:tmpl w:val="D6DB4E43"/>
    <w:lvl w:ilvl="0" w:tentative="0">
      <w:start w:val="1"/>
      <w:numFmt w:val="decimalEnclosedCircleChinese"/>
      <w:suff w:val="nothing"/>
      <w:lvlText w:val="%1　"/>
      <w:lvlJc w:val="left"/>
      <w:pPr>
        <w:ind w:left="0" w:firstLine="400"/>
      </w:pPr>
      <w:rPr>
        <w:rFonts w:hint="eastAsia"/>
      </w:rPr>
    </w:lvl>
  </w:abstractNum>
  <w:abstractNum w:abstractNumId="17">
    <w:nsid w:val="DB68C235"/>
    <w:multiLevelType w:val="singleLevel"/>
    <w:tmpl w:val="DB68C235"/>
    <w:lvl w:ilvl="0" w:tentative="0">
      <w:start w:val="1"/>
      <w:numFmt w:val="decimalEnclosedCircleChinese"/>
      <w:suff w:val="nothing"/>
      <w:lvlText w:val="%1　"/>
      <w:lvlJc w:val="left"/>
      <w:pPr>
        <w:ind w:left="0" w:firstLine="400"/>
      </w:pPr>
      <w:rPr>
        <w:rFonts w:hint="eastAsia"/>
      </w:rPr>
    </w:lvl>
  </w:abstractNum>
  <w:abstractNum w:abstractNumId="18">
    <w:nsid w:val="DF8E0136"/>
    <w:multiLevelType w:val="singleLevel"/>
    <w:tmpl w:val="DF8E0136"/>
    <w:lvl w:ilvl="0" w:tentative="0">
      <w:start w:val="1"/>
      <w:numFmt w:val="decimalEnclosedCircleChinese"/>
      <w:suff w:val="nothing"/>
      <w:lvlText w:val="%1　"/>
      <w:lvlJc w:val="left"/>
      <w:pPr>
        <w:ind w:left="0" w:firstLine="400"/>
      </w:pPr>
      <w:rPr>
        <w:rFonts w:hint="eastAsia"/>
      </w:rPr>
    </w:lvl>
  </w:abstractNum>
  <w:abstractNum w:abstractNumId="19">
    <w:nsid w:val="DFF954E0"/>
    <w:multiLevelType w:val="singleLevel"/>
    <w:tmpl w:val="DFF954E0"/>
    <w:lvl w:ilvl="0" w:tentative="0">
      <w:start w:val="1"/>
      <w:numFmt w:val="decimalEnclosedCircleChinese"/>
      <w:suff w:val="nothing"/>
      <w:lvlText w:val="%1　"/>
      <w:lvlJc w:val="left"/>
      <w:pPr>
        <w:ind w:left="0" w:firstLine="400"/>
      </w:pPr>
      <w:rPr>
        <w:rFonts w:hint="eastAsia"/>
      </w:rPr>
    </w:lvl>
  </w:abstractNum>
  <w:abstractNum w:abstractNumId="20">
    <w:nsid w:val="E51FBD7C"/>
    <w:multiLevelType w:val="singleLevel"/>
    <w:tmpl w:val="E51FBD7C"/>
    <w:lvl w:ilvl="0" w:tentative="0">
      <w:start w:val="1"/>
      <w:numFmt w:val="decimalEnclosedCircleChinese"/>
      <w:suff w:val="nothing"/>
      <w:lvlText w:val="%1　"/>
      <w:lvlJc w:val="left"/>
      <w:pPr>
        <w:ind w:left="0" w:firstLine="400"/>
      </w:pPr>
      <w:rPr>
        <w:rFonts w:hint="eastAsia"/>
      </w:rPr>
    </w:lvl>
  </w:abstractNum>
  <w:abstractNum w:abstractNumId="21">
    <w:nsid w:val="E7E13C93"/>
    <w:multiLevelType w:val="multilevel"/>
    <w:tmpl w:val="E7E13C93"/>
    <w:lvl w:ilvl="0" w:tentative="0">
      <w:start w:val="1"/>
      <w:numFmt w:val="decimal"/>
      <w:suff w:val="space"/>
      <w:lvlText w:val="%1、"/>
      <w:lvlJc w:val="left"/>
      <w:pPr>
        <w:ind w:left="1326" w:hanging="900"/>
      </w:pPr>
      <w:rPr>
        <w:rFonts w:hint="default"/>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E9FF11E1"/>
    <w:multiLevelType w:val="singleLevel"/>
    <w:tmpl w:val="E9FF11E1"/>
    <w:lvl w:ilvl="0" w:tentative="0">
      <w:start w:val="4"/>
      <w:numFmt w:val="decimal"/>
      <w:lvlText w:val="%1."/>
      <w:lvlJc w:val="left"/>
      <w:pPr>
        <w:tabs>
          <w:tab w:val="left" w:pos="312"/>
        </w:tabs>
      </w:pPr>
    </w:lvl>
  </w:abstractNum>
  <w:abstractNum w:abstractNumId="23">
    <w:nsid w:val="ED471AD8"/>
    <w:multiLevelType w:val="multilevel"/>
    <w:tmpl w:val="ED471AD8"/>
    <w:lvl w:ilvl="0" w:tentative="0">
      <w:start w:val="1"/>
      <w:numFmt w:val="decimal"/>
      <w:suff w:val="space"/>
      <w:lvlText w:val="%1、"/>
      <w:lvlJc w:val="left"/>
      <w:pPr>
        <w:ind w:left="420" w:hanging="420"/>
      </w:pPr>
      <w:rPr>
        <w:rFonts w:hint="default"/>
      </w:rPr>
    </w:lvl>
    <w:lvl w:ilvl="1" w:tentative="0">
      <w:start w:val="1"/>
      <w:numFmt w:val="decimal"/>
      <w:lvlText w:val="%2、"/>
      <w:lvlJc w:val="left"/>
      <w:pPr>
        <w:ind w:left="1320" w:hanging="9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EEF52956"/>
    <w:multiLevelType w:val="multilevel"/>
    <w:tmpl w:val="EEF52956"/>
    <w:lvl w:ilvl="0" w:tentative="0">
      <w:start w:val="1"/>
      <w:numFmt w:val="decimal"/>
      <w:suff w:val="space"/>
      <w:lvlText w:val="%1、"/>
      <w:lvlJc w:val="left"/>
      <w:pPr>
        <w:ind w:left="3256" w:hanging="420"/>
      </w:pPr>
      <w:rPr>
        <w:rFonts w:hint="default"/>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abstractNum w:abstractNumId="25">
    <w:nsid w:val="F5C4C98D"/>
    <w:multiLevelType w:val="singleLevel"/>
    <w:tmpl w:val="F5C4C98D"/>
    <w:lvl w:ilvl="0" w:tentative="0">
      <w:start w:val="1"/>
      <w:numFmt w:val="decimalEnclosedCircleChinese"/>
      <w:suff w:val="nothing"/>
      <w:lvlText w:val="%1　"/>
      <w:lvlJc w:val="left"/>
      <w:pPr>
        <w:ind w:left="0" w:firstLine="400"/>
      </w:pPr>
      <w:rPr>
        <w:rFonts w:hint="eastAsia"/>
      </w:rPr>
    </w:lvl>
  </w:abstractNum>
  <w:abstractNum w:abstractNumId="26">
    <w:nsid w:val="08C5C069"/>
    <w:multiLevelType w:val="singleLevel"/>
    <w:tmpl w:val="08C5C069"/>
    <w:lvl w:ilvl="0" w:tentative="0">
      <w:start w:val="1"/>
      <w:numFmt w:val="decimalEnclosedCircleChinese"/>
      <w:suff w:val="nothing"/>
      <w:lvlText w:val="%1　"/>
      <w:lvlJc w:val="left"/>
      <w:pPr>
        <w:ind w:left="0" w:firstLine="400"/>
      </w:pPr>
      <w:rPr>
        <w:rFonts w:hint="eastAsia"/>
      </w:rPr>
    </w:lvl>
  </w:abstractNum>
  <w:abstractNum w:abstractNumId="27">
    <w:nsid w:val="0FB7C471"/>
    <w:multiLevelType w:val="singleLevel"/>
    <w:tmpl w:val="0FB7C471"/>
    <w:lvl w:ilvl="0" w:tentative="0">
      <w:start w:val="6"/>
      <w:numFmt w:val="chineseCounting"/>
      <w:suff w:val="nothing"/>
      <w:lvlText w:val="%1、"/>
      <w:lvlJc w:val="left"/>
      <w:rPr>
        <w:rFonts w:hint="eastAsia"/>
      </w:rPr>
    </w:lvl>
  </w:abstractNum>
  <w:abstractNum w:abstractNumId="28">
    <w:nsid w:val="1450630A"/>
    <w:multiLevelType w:val="singleLevel"/>
    <w:tmpl w:val="1450630A"/>
    <w:lvl w:ilvl="0" w:tentative="0">
      <w:start w:val="1"/>
      <w:numFmt w:val="chineseCounting"/>
      <w:suff w:val="nothing"/>
      <w:lvlText w:val="%1、"/>
      <w:lvlJc w:val="left"/>
      <w:rPr>
        <w:rFonts w:hint="eastAsia"/>
      </w:rPr>
    </w:lvl>
  </w:abstractNum>
  <w:abstractNum w:abstractNumId="29">
    <w:nsid w:val="191EB2E5"/>
    <w:multiLevelType w:val="singleLevel"/>
    <w:tmpl w:val="191EB2E5"/>
    <w:lvl w:ilvl="0" w:tentative="0">
      <w:start w:val="1"/>
      <w:numFmt w:val="decimalEnclosedCircleChinese"/>
      <w:suff w:val="nothing"/>
      <w:lvlText w:val="%1　"/>
      <w:lvlJc w:val="left"/>
      <w:pPr>
        <w:ind w:left="0" w:firstLine="400"/>
      </w:pPr>
      <w:rPr>
        <w:rFonts w:hint="eastAsia"/>
      </w:rPr>
    </w:lvl>
  </w:abstractNum>
  <w:abstractNum w:abstractNumId="30">
    <w:nsid w:val="1920852A"/>
    <w:multiLevelType w:val="singleLevel"/>
    <w:tmpl w:val="1920852A"/>
    <w:lvl w:ilvl="0" w:tentative="0">
      <w:start w:val="1"/>
      <w:numFmt w:val="decimalEnclosedCircleChinese"/>
      <w:suff w:val="nothing"/>
      <w:lvlText w:val="%1　"/>
      <w:lvlJc w:val="left"/>
      <w:pPr>
        <w:ind w:left="0" w:firstLine="400"/>
      </w:pPr>
      <w:rPr>
        <w:rFonts w:hint="eastAsia"/>
      </w:rPr>
    </w:lvl>
  </w:abstractNum>
  <w:abstractNum w:abstractNumId="31">
    <w:nsid w:val="1DAE6A66"/>
    <w:multiLevelType w:val="singleLevel"/>
    <w:tmpl w:val="1DAE6A66"/>
    <w:lvl w:ilvl="0" w:tentative="0">
      <w:start w:val="1"/>
      <w:numFmt w:val="decimalEnclosedCircleChinese"/>
      <w:suff w:val="nothing"/>
      <w:lvlText w:val="%1　"/>
      <w:lvlJc w:val="left"/>
      <w:pPr>
        <w:ind w:left="0" w:firstLine="400"/>
      </w:pPr>
      <w:rPr>
        <w:rFonts w:hint="eastAsia"/>
      </w:rPr>
    </w:lvl>
  </w:abstractNum>
  <w:abstractNum w:abstractNumId="32">
    <w:nsid w:val="1F9382AB"/>
    <w:multiLevelType w:val="singleLevel"/>
    <w:tmpl w:val="1F9382AB"/>
    <w:lvl w:ilvl="0" w:tentative="0">
      <w:start w:val="1"/>
      <w:numFmt w:val="decimalEnclosedCircleChinese"/>
      <w:suff w:val="nothing"/>
      <w:lvlText w:val="%1　"/>
      <w:lvlJc w:val="left"/>
      <w:pPr>
        <w:ind w:left="0" w:firstLine="400"/>
      </w:pPr>
      <w:rPr>
        <w:rFonts w:hint="eastAsia"/>
      </w:rPr>
    </w:lvl>
  </w:abstractNum>
  <w:abstractNum w:abstractNumId="33">
    <w:nsid w:val="24CC5015"/>
    <w:multiLevelType w:val="singleLevel"/>
    <w:tmpl w:val="24CC5015"/>
    <w:lvl w:ilvl="0" w:tentative="0">
      <w:start w:val="1"/>
      <w:numFmt w:val="decimalEnclosedCircleChinese"/>
      <w:suff w:val="nothing"/>
      <w:lvlText w:val="%1　"/>
      <w:lvlJc w:val="left"/>
      <w:pPr>
        <w:ind w:left="0" w:firstLine="400"/>
      </w:pPr>
      <w:rPr>
        <w:rFonts w:hint="eastAsia"/>
      </w:rPr>
    </w:lvl>
  </w:abstractNum>
  <w:abstractNum w:abstractNumId="34">
    <w:nsid w:val="2EC12F21"/>
    <w:multiLevelType w:val="singleLevel"/>
    <w:tmpl w:val="2EC12F21"/>
    <w:lvl w:ilvl="0" w:tentative="0">
      <w:start w:val="1"/>
      <w:numFmt w:val="decimal"/>
      <w:suff w:val="nothing"/>
      <w:lvlText w:val="（%1）"/>
      <w:lvlJc w:val="left"/>
    </w:lvl>
  </w:abstractNum>
  <w:abstractNum w:abstractNumId="35">
    <w:nsid w:val="33D64D99"/>
    <w:multiLevelType w:val="singleLevel"/>
    <w:tmpl w:val="33D64D99"/>
    <w:lvl w:ilvl="0" w:tentative="0">
      <w:start w:val="1"/>
      <w:numFmt w:val="decimalEnclosedCircleChinese"/>
      <w:suff w:val="nothing"/>
      <w:lvlText w:val="%1　"/>
      <w:lvlJc w:val="left"/>
      <w:pPr>
        <w:ind w:left="0" w:firstLine="400"/>
      </w:pPr>
      <w:rPr>
        <w:rFonts w:hint="eastAsia"/>
      </w:rPr>
    </w:lvl>
  </w:abstractNum>
  <w:abstractNum w:abstractNumId="36">
    <w:nsid w:val="3EF922FA"/>
    <w:multiLevelType w:val="singleLevel"/>
    <w:tmpl w:val="3EF922FA"/>
    <w:lvl w:ilvl="0" w:tentative="0">
      <w:start w:val="1"/>
      <w:numFmt w:val="decimalEnclosedCircleChinese"/>
      <w:suff w:val="nothing"/>
      <w:lvlText w:val="%1　"/>
      <w:lvlJc w:val="left"/>
      <w:pPr>
        <w:ind w:left="0" w:firstLine="400"/>
      </w:pPr>
      <w:rPr>
        <w:rFonts w:hint="eastAsia"/>
      </w:rPr>
    </w:lvl>
  </w:abstractNum>
  <w:abstractNum w:abstractNumId="37">
    <w:nsid w:val="3F60212F"/>
    <w:multiLevelType w:val="singleLevel"/>
    <w:tmpl w:val="3F60212F"/>
    <w:lvl w:ilvl="0" w:tentative="0">
      <w:start w:val="1"/>
      <w:numFmt w:val="decimalEnclosedCircleChinese"/>
      <w:suff w:val="nothing"/>
      <w:lvlText w:val="%1　"/>
      <w:lvlJc w:val="left"/>
      <w:pPr>
        <w:ind w:left="0" w:firstLine="400"/>
      </w:pPr>
      <w:rPr>
        <w:rFonts w:hint="eastAsia"/>
      </w:rPr>
    </w:lvl>
  </w:abstractNum>
  <w:abstractNum w:abstractNumId="38">
    <w:nsid w:val="4CBCC8A9"/>
    <w:multiLevelType w:val="singleLevel"/>
    <w:tmpl w:val="4CBCC8A9"/>
    <w:lvl w:ilvl="0" w:tentative="0">
      <w:start w:val="1"/>
      <w:numFmt w:val="decimalEnclosedCircleChinese"/>
      <w:suff w:val="nothing"/>
      <w:lvlText w:val="%1　"/>
      <w:lvlJc w:val="left"/>
      <w:pPr>
        <w:ind w:left="0" w:firstLine="400"/>
      </w:pPr>
      <w:rPr>
        <w:rFonts w:hint="eastAsia"/>
      </w:rPr>
    </w:lvl>
  </w:abstractNum>
  <w:abstractNum w:abstractNumId="39">
    <w:nsid w:val="4D718541"/>
    <w:multiLevelType w:val="singleLevel"/>
    <w:tmpl w:val="4D718541"/>
    <w:lvl w:ilvl="0" w:tentative="0">
      <w:start w:val="1"/>
      <w:numFmt w:val="decimalEnclosedCircleChinese"/>
      <w:suff w:val="nothing"/>
      <w:lvlText w:val="%1　"/>
      <w:lvlJc w:val="left"/>
      <w:pPr>
        <w:ind w:left="0" w:firstLine="400"/>
      </w:pPr>
      <w:rPr>
        <w:rFonts w:hint="eastAsia"/>
      </w:rPr>
    </w:lvl>
  </w:abstractNum>
  <w:abstractNum w:abstractNumId="40">
    <w:nsid w:val="54FE4867"/>
    <w:multiLevelType w:val="singleLevel"/>
    <w:tmpl w:val="54FE4867"/>
    <w:lvl w:ilvl="0" w:tentative="0">
      <w:start w:val="1"/>
      <w:numFmt w:val="decimalEnclosedCircleChinese"/>
      <w:suff w:val="nothing"/>
      <w:lvlText w:val="%1　"/>
      <w:lvlJc w:val="left"/>
      <w:pPr>
        <w:ind w:left="0" w:firstLine="400"/>
      </w:pPr>
      <w:rPr>
        <w:rFonts w:hint="eastAsia"/>
      </w:rPr>
    </w:lvl>
  </w:abstractNum>
  <w:abstractNum w:abstractNumId="41">
    <w:nsid w:val="56CEC767"/>
    <w:multiLevelType w:val="singleLevel"/>
    <w:tmpl w:val="56CEC767"/>
    <w:lvl w:ilvl="0" w:tentative="0">
      <w:start w:val="1"/>
      <w:numFmt w:val="decimal"/>
      <w:suff w:val="nothing"/>
      <w:lvlText w:val="%1、"/>
      <w:lvlJc w:val="left"/>
      <w:pPr>
        <w:ind w:left="0" w:firstLine="400"/>
      </w:pPr>
      <w:rPr>
        <w:rFonts w:hint="default"/>
      </w:rPr>
    </w:lvl>
  </w:abstractNum>
  <w:abstractNum w:abstractNumId="42">
    <w:nsid w:val="6763DFCF"/>
    <w:multiLevelType w:val="singleLevel"/>
    <w:tmpl w:val="6763DFCF"/>
    <w:lvl w:ilvl="0" w:tentative="0">
      <w:start w:val="1"/>
      <w:numFmt w:val="decimalEnclosedCircleChinese"/>
      <w:suff w:val="nothing"/>
      <w:lvlText w:val="%1　"/>
      <w:lvlJc w:val="left"/>
      <w:pPr>
        <w:ind w:left="0" w:firstLine="400"/>
      </w:pPr>
      <w:rPr>
        <w:rFonts w:hint="eastAsia"/>
      </w:rPr>
    </w:lvl>
  </w:abstractNum>
  <w:abstractNum w:abstractNumId="43">
    <w:nsid w:val="6E353D71"/>
    <w:multiLevelType w:val="singleLevel"/>
    <w:tmpl w:val="6E353D71"/>
    <w:lvl w:ilvl="0" w:tentative="0">
      <w:start w:val="1"/>
      <w:numFmt w:val="decimalEnclosedCircleChinese"/>
      <w:suff w:val="nothing"/>
      <w:lvlText w:val="%1　"/>
      <w:lvlJc w:val="left"/>
      <w:pPr>
        <w:ind w:left="0" w:firstLine="400"/>
      </w:pPr>
      <w:rPr>
        <w:rFonts w:hint="eastAsia"/>
      </w:rPr>
    </w:lvl>
  </w:abstractNum>
  <w:abstractNum w:abstractNumId="44">
    <w:nsid w:val="6FF04FF9"/>
    <w:multiLevelType w:val="singleLevel"/>
    <w:tmpl w:val="6FF04FF9"/>
    <w:lvl w:ilvl="0" w:tentative="0">
      <w:start w:val="1"/>
      <w:numFmt w:val="decimal"/>
      <w:suff w:val="nothing"/>
      <w:lvlText w:val="（%1）"/>
      <w:lvlJc w:val="left"/>
    </w:lvl>
  </w:abstractNum>
  <w:num w:numId="1">
    <w:abstractNumId w:val="28"/>
  </w:num>
  <w:num w:numId="2">
    <w:abstractNumId w:val="34"/>
  </w:num>
  <w:num w:numId="3">
    <w:abstractNumId w:val="44"/>
  </w:num>
  <w:num w:numId="4">
    <w:abstractNumId w:val="40"/>
  </w:num>
  <w:num w:numId="5">
    <w:abstractNumId w:val="4"/>
  </w:num>
  <w:num w:numId="6">
    <w:abstractNumId w:val="19"/>
  </w:num>
  <w:num w:numId="7">
    <w:abstractNumId w:val="15"/>
  </w:num>
  <w:num w:numId="8">
    <w:abstractNumId w:val="13"/>
  </w:num>
  <w:num w:numId="9">
    <w:abstractNumId w:val="0"/>
  </w:num>
  <w:num w:numId="10">
    <w:abstractNumId w:val="20"/>
  </w:num>
  <w:num w:numId="11">
    <w:abstractNumId w:val="16"/>
  </w:num>
  <w:num w:numId="12">
    <w:abstractNumId w:val="6"/>
  </w:num>
  <w:num w:numId="13">
    <w:abstractNumId w:val="42"/>
  </w:num>
  <w:num w:numId="14">
    <w:abstractNumId w:val="10"/>
  </w:num>
  <w:num w:numId="15">
    <w:abstractNumId w:val="7"/>
  </w:num>
  <w:num w:numId="16">
    <w:abstractNumId w:val="38"/>
  </w:num>
  <w:num w:numId="17">
    <w:abstractNumId w:val="37"/>
  </w:num>
  <w:num w:numId="18">
    <w:abstractNumId w:val="36"/>
  </w:num>
  <w:num w:numId="19">
    <w:abstractNumId w:val="43"/>
  </w:num>
  <w:num w:numId="20">
    <w:abstractNumId w:val="5"/>
  </w:num>
  <w:num w:numId="21">
    <w:abstractNumId w:val="35"/>
  </w:num>
  <w:num w:numId="22">
    <w:abstractNumId w:val="26"/>
  </w:num>
  <w:num w:numId="23">
    <w:abstractNumId w:val="12"/>
  </w:num>
  <w:num w:numId="24">
    <w:abstractNumId w:val="17"/>
  </w:num>
  <w:num w:numId="25">
    <w:abstractNumId w:val="32"/>
  </w:num>
  <w:num w:numId="26">
    <w:abstractNumId w:val="33"/>
  </w:num>
  <w:num w:numId="27">
    <w:abstractNumId w:val="30"/>
  </w:num>
  <w:num w:numId="28">
    <w:abstractNumId w:val="3"/>
  </w:num>
  <w:num w:numId="29">
    <w:abstractNumId w:val="11"/>
  </w:num>
  <w:num w:numId="30">
    <w:abstractNumId w:val="1"/>
  </w:num>
  <w:num w:numId="31">
    <w:abstractNumId w:val="25"/>
  </w:num>
  <w:num w:numId="32">
    <w:abstractNumId w:val="18"/>
  </w:num>
  <w:num w:numId="33">
    <w:abstractNumId w:val="39"/>
  </w:num>
  <w:num w:numId="34">
    <w:abstractNumId w:val="29"/>
  </w:num>
  <w:num w:numId="35">
    <w:abstractNumId w:val="31"/>
  </w:num>
  <w:num w:numId="36">
    <w:abstractNumId w:val="8"/>
  </w:num>
  <w:num w:numId="37">
    <w:abstractNumId w:val="27"/>
  </w:num>
  <w:num w:numId="38">
    <w:abstractNumId w:val="14"/>
  </w:num>
  <w:num w:numId="39">
    <w:abstractNumId w:val="22"/>
  </w:num>
  <w:num w:numId="40">
    <w:abstractNumId w:val="23"/>
  </w:num>
  <w:num w:numId="41">
    <w:abstractNumId w:val="41"/>
  </w:num>
  <w:num w:numId="42">
    <w:abstractNumId w:val="21"/>
  </w:num>
  <w:num w:numId="43">
    <w:abstractNumId w:val="9"/>
  </w:num>
  <w:num w:numId="44">
    <w:abstractNumId w:val="24"/>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jMGY2MGFkZmJlMmI1OTNlZTgyOWI1YTQ5NGJmNjEifQ=="/>
  </w:docVars>
  <w:rsids>
    <w:rsidRoot w:val="00172A27"/>
    <w:rsid w:val="00041454"/>
    <w:rsid w:val="000605B5"/>
    <w:rsid w:val="000C17FB"/>
    <w:rsid w:val="000D621C"/>
    <w:rsid w:val="000D6656"/>
    <w:rsid w:val="00131896"/>
    <w:rsid w:val="00172A27"/>
    <w:rsid w:val="001C5675"/>
    <w:rsid w:val="001C5FCF"/>
    <w:rsid w:val="001E2721"/>
    <w:rsid w:val="00263A66"/>
    <w:rsid w:val="002B5C4F"/>
    <w:rsid w:val="00322CBB"/>
    <w:rsid w:val="00404647"/>
    <w:rsid w:val="004124FA"/>
    <w:rsid w:val="005234F7"/>
    <w:rsid w:val="00547E2A"/>
    <w:rsid w:val="00564ACC"/>
    <w:rsid w:val="0056605F"/>
    <w:rsid w:val="005D6E16"/>
    <w:rsid w:val="0060008C"/>
    <w:rsid w:val="00604F8B"/>
    <w:rsid w:val="0061116A"/>
    <w:rsid w:val="006129F1"/>
    <w:rsid w:val="00635EE2"/>
    <w:rsid w:val="006A50FF"/>
    <w:rsid w:val="006F00BE"/>
    <w:rsid w:val="009A3A41"/>
    <w:rsid w:val="00A012D3"/>
    <w:rsid w:val="00A54AE1"/>
    <w:rsid w:val="00AC7D44"/>
    <w:rsid w:val="00BE39F4"/>
    <w:rsid w:val="00C13387"/>
    <w:rsid w:val="00C8128A"/>
    <w:rsid w:val="00C91C98"/>
    <w:rsid w:val="00D81C59"/>
    <w:rsid w:val="00D8246C"/>
    <w:rsid w:val="00E103CA"/>
    <w:rsid w:val="00E74D42"/>
    <w:rsid w:val="00EB3322"/>
    <w:rsid w:val="00EE2128"/>
    <w:rsid w:val="00F4479E"/>
    <w:rsid w:val="01311D17"/>
    <w:rsid w:val="014B1EEF"/>
    <w:rsid w:val="014D542E"/>
    <w:rsid w:val="01623198"/>
    <w:rsid w:val="01633E9B"/>
    <w:rsid w:val="016A7A60"/>
    <w:rsid w:val="01706421"/>
    <w:rsid w:val="017907B1"/>
    <w:rsid w:val="01C15005"/>
    <w:rsid w:val="01DD1E9F"/>
    <w:rsid w:val="01F37E0F"/>
    <w:rsid w:val="01F71871"/>
    <w:rsid w:val="020567EB"/>
    <w:rsid w:val="025007BF"/>
    <w:rsid w:val="02551A35"/>
    <w:rsid w:val="026E058E"/>
    <w:rsid w:val="02D15E82"/>
    <w:rsid w:val="02DA66D9"/>
    <w:rsid w:val="02E4750D"/>
    <w:rsid w:val="02F32FFC"/>
    <w:rsid w:val="02FC6355"/>
    <w:rsid w:val="030A29F1"/>
    <w:rsid w:val="031D0495"/>
    <w:rsid w:val="031E451D"/>
    <w:rsid w:val="032A4C70"/>
    <w:rsid w:val="033D4FDC"/>
    <w:rsid w:val="03443A41"/>
    <w:rsid w:val="035C6DF3"/>
    <w:rsid w:val="03724869"/>
    <w:rsid w:val="03AF33C7"/>
    <w:rsid w:val="03B9599E"/>
    <w:rsid w:val="03C77072"/>
    <w:rsid w:val="03D746CC"/>
    <w:rsid w:val="041D6583"/>
    <w:rsid w:val="04202175"/>
    <w:rsid w:val="042F2C49"/>
    <w:rsid w:val="043A5664"/>
    <w:rsid w:val="044C0B1D"/>
    <w:rsid w:val="047C62A1"/>
    <w:rsid w:val="04910D1F"/>
    <w:rsid w:val="04940758"/>
    <w:rsid w:val="04AB0032"/>
    <w:rsid w:val="04BA6AFF"/>
    <w:rsid w:val="04BB76ED"/>
    <w:rsid w:val="04CB4033"/>
    <w:rsid w:val="04D8694E"/>
    <w:rsid w:val="04F76DD4"/>
    <w:rsid w:val="052C7D7B"/>
    <w:rsid w:val="054B5371"/>
    <w:rsid w:val="056704FA"/>
    <w:rsid w:val="05790131"/>
    <w:rsid w:val="059030F3"/>
    <w:rsid w:val="05AB7BBE"/>
    <w:rsid w:val="05B84D38"/>
    <w:rsid w:val="05EE467B"/>
    <w:rsid w:val="05FE4192"/>
    <w:rsid w:val="061E0B8A"/>
    <w:rsid w:val="06283BF8"/>
    <w:rsid w:val="06377E25"/>
    <w:rsid w:val="063F6C84"/>
    <w:rsid w:val="0646321F"/>
    <w:rsid w:val="064737C1"/>
    <w:rsid w:val="067816BC"/>
    <w:rsid w:val="06862B05"/>
    <w:rsid w:val="0689400D"/>
    <w:rsid w:val="06897172"/>
    <w:rsid w:val="06C76160"/>
    <w:rsid w:val="06EC63CE"/>
    <w:rsid w:val="06F50E8F"/>
    <w:rsid w:val="06FF1092"/>
    <w:rsid w:val="073A72E8"/>
    <w:rsid w:val="075302DA"/>
    <w:rsid w:val="07587CAA"/>
    <w:rsid w:val="07734E5E"/>
    <w:rsid w:val="077E1A2E"/>
    <w:rsid w:val="079C580E"/>
    <w:rsid w:val="07B02F55"/>
    <w:rsid w:val="07C04091"/>
    <w:rsid w:val="07DB4C83"/>
    <w:rsid w:val="080B4BAB"/>
    <w:rsid w:val="08114650"/>
    <w:rsid w:val="08167EB9"/>
    <w:rsid w:val="081B5955"/>
    <w:rsid w:val="083666D2"/>
    <w:rsid w:val="084418B6"/>
    <w:rsid w:val="084E2E55"/>
    <w:rsid w:val="08564759"/>
    <w:rsid w:val="085D5AE7"/>
    <w:rsid w:val="088C3CD7"/>
    <w:rsid w:val="08912FDE"/>
    <w:rsid w:val="089A2898"/>
    <w:rsid w:val="08A61C41"/>
    <w:rsid w:val="08BB45BC"/>
    <w:rsid w:val="08D76348"/>
    <w:rsid w:val="08F118D4"/>
    <w:rsid w:val="08F1667E"/>
    <w:rsid w:val="08FD4181"/>
    <w:rsid w:val="090144E0"/>
    <w:rsid w:val="09063A89"/>
    <w:rsid w:val="090D62B3"/>
    <w:rsid w:val="09391BDB"/>
    <w:rsid w:val="093D29C0"/>
    <w:rsid w:val="09732BED"/>
    <w:rsid w:val="09811FCF"/>
    <w:rsid w:val="09EF276F"/>
    <w:rsid w:val="09F45FD8"/>
    <w:rsid w:val="0A051A16"/>
    <w:rsid w:val="0A324E19"/>
    <w:rsid w:val="0A382368"/>
    <w:rsid w:val="0AB37C41"/>
    <w:rsid w:val="0AB47515"/>
    <w:rsid w:val="0ACA595B"/>
    <w:rsid w:val="0AD617D3"/>
    <w:rsid w:val="0AFE3ECA"/>
    <w:rsid w:val="0B0D553A"/>
    <w:rsid w:val="0B120B26"/>
    <w:rsid w:val="0B17438C"/>
    <w:rsid w:val="0B1F0E32"/>
    <w:rsid w:val="0B352404"/>
    <w:rsid w:val="0B373495"/>
    <w:rsid w:val="0B62137D"/>
    <w:rsid w:val="0B795CDC"/>
    <w:rsid w:val="0B9A48A1"/>
    <w:rsid w:val="0BB0726D"/>
    <w:rsid w:val="0BB53545"/>
    <w:rsid w:val="0C22507E"/>
    <w:rsid w:val="0C3A111C"/>
    <w:rsid w:val="0C7279A6"/>
    <w:rsid w:val="0C7D5BCC"/>
    <w:rsid w:val="0C8406AF"/>
    <w:rsid w:val="0C8D0542"/>
    <w:rsid w:val="0C9475FE"/>
    <w:rsid w:val="0C965425"/>
    <w:rsid w:val="0CDF520A"/>
    <w:rsid w:val="0CE20369"/>
    <w:rsid w:val="0CE340E1"/>
    <w:rsid w:val="0D194373"/>
    <w:rsid w:val="0D1A7C19"/>
    <w:rsid w:val="0D3A21B8"/>
    <w:rsid w:val="0D48607B"/>
    <w:rsid w:val="0D671DC3"/>
    <w:rsid w:val="0D870F11"/>
    <w:rsid w:val="0DC21F49"/>
    <w:rsid w:val="0DCE08EE"/>
    <w:rsid w:val="0DDC2B27"/>
    <w:rsid w:val="0E195ADB"/>
    <w:rsid w:val="0E3838F1"/>
    <w:rsid w:val="0E383B33"/>
    <w:rsid w:val="0E4146D3"/>
    <w:rsid w:val="0E811D9B"/>
    <w:rsid w:val="0EA14F8D"/>
    <w:rsid w:val="0EA72B9A"/>
    <w:rsid w:val="0EB60381"/>
    <w:rsid w:val="0ECD6DF7"/>
    <w:rsid w:val="0ED87D67"/>
    <w:rsid w:val="0EE77FDC"/>
    <w:rsid w:val="0EEC1973"/>
    <w:rsid w:val="0F1B7B63"/>
    <w:rsid w:val="0F356E41"/>
    <w:rsid w:val="0F432F78"/>
    <w:rsid w:val="0F5372FC"/>
    <w:rsid w:val="0F5B4403"/>
    <w:rsid w:val="0F5F4446"/>
    <w:rsid w:val="0F7A6F7F"/>
    <w:rsid w:val="0F9564DC"/>
    <w:rsid w:val="0F9D0EBF"/>
    <w:rsid w:val="0FA764C7"/>
    <w:rsid w:val="0FA95D86"/>
    <w:rsid w:val="0FBC30F4"/>
    <w:rsid w:val="0FC6193C"/>
    <w:rsid w:val="0FC917EC"/>
    <w:rsid w:val="0FCA5AB7"/>
    <w:rsid w:val="0FD0015F"/>
    <w:rsid w:val="0FD74C28"/>
    <w:rsid w:val="0FF9736B"/>
    <w:rsid w:val="1001519E"/>
    <w:rsid w:val="100B3384"/>
    <w:rsid w:val="103270CB"/>
    <w:rsid w:val="10341CC0"/>
    <w:rsid w:val="1045758D"/>
    <w:rsid w:val="106018D4"/>
    <w:rsid w:val="106C1228"/>
    <w:rsid w:val="10A76980"/>
    <w:rsid w:val="10B4201D"/>
    <w:rsid w:val="10E040B0"/>
    <w:rsid w:val="10EA72E2"/>
    <w:rsid w:val="10EC17B7"/>
    <w:rsid w:val="10F41211"/>
    <w:rsid w:val="10F6786F"/>
    <w:rsid w:val="111927C8"/>
    <w:rsid w:val="11415F69"/>
    <w:rsid w:val="115605D5"/>
    <w:rsid w:val="11823EC9"/>
    <w:rsid w:val="118E286E"/>
    <w:rsid w:val="118F0E5A"/>
    <w:rsid w:val="11982E53"/>
    <w:rsid w:val="11D24E50"/>
    <w:rsid w:val="11EB193E"/>
    <w:rsid w:val="1202500A"/>
    <w:rsid w:val="121D0EAE"/>
    <w:rsid w:val="124F58FC"/>
    <w:rsid w:val="1255782F"/>
    <w:rsid w:val="125A70A8"/>
    <w:rsid w:val="125E4936"/>
    <w:rsid w:val="12747CB6"/>
    <w:rsid w:val="12854D81"/>
    <w:rsid w:val="12AD1419"/>
    <w:rsid w:val="12D073D1"/>
    <w:rsid w:val="12DA1414"/>
    <w:rsid w:val="130D3FBD"/>
    <w:rsid w:val="13224333"/>
    <w:rsid w:val="13315BA7"/>
    <w:rsid w:val="134C0C32"/>
    <w:rsid w:val="13510A26"/>
    <w:rsid w:val="137B5074"/>
    <w:rsid w:val="13842697"/>
    <w:rsid w:val="13A072FD"/>
    <w:rsid w:val="13A7116F"/>
    <w:rsid w:val="13AE71F7"/>
    <w:rsid w:val="13BA5D6B"/>
    <w:rsid w:val="13DA2F6E"/>
    <w:rsid w:val="13E26EA1"/>
    <w:rsid w:val="13ED0933"/>
    <w:rsid w:val="13FA68E0"/>
    <w:rsid w:val="14033EDD"/>
    <w:rsid w:val="141E5C3A"/>
    <w:rsid w:val="1461426A"/>
    <w:rsid w:val="14776C9F"/>
    <w:rsid w:val="14832432"/>
    <w:rsid w:val="14C93317"/>
    <w:rsid w:val="14CB24C7"/>
    <w:rsid w:val="14CF1B1B"/>
    <w:rsid w:val="14D25167"/>
    <w:rsid w:val="14D40957"/>
    <w:rsid w:val="14DF5584"/>
    <w:rsid w:val="14E04322"/>
    <w:rsid w:val="14F35954"/>
    <w:rsid w:val="14F74BCE"/>
    <w:rsid w:val="1526215E"/>
    <w:rsid w:val="153235BB"/>
    <w:rsid w:val="1535561D"/>
    <w:rsid w:val="1547312A"/>
    <w:rsid w:val="154C6CC8"/>
    <w:rsid w:val="155500FD"/>
    <w:rsid w:val="156038DF"/>
    <w:rsid w:val="157B5474"/>
    <w:rsid w:val="15A147E8"/>
    <w:rsid w:val="15A471D9"/>
    <w:rsid w:val="15FA1CFE"/>
    <w:rsid w:val="15FC1EE9"/>
    <w:rsid w:val="16322361"/>
    <w:rsid w:val="16344AE2"/>
    <w:rsid w:val="163B59D5"/>
    <w:rsid w:val="16515CB0"/>
    <w:rsid w:val="169A6994"/>
    <w:rsid w:val="169B0EC3"/>
    <w:rsid w:val="16A21328"/>
    <w:rsid w:val="16A57975"/>
    <w:rsid w:val="16BF4D29"/>
    <w:rsid w:val="16CD53C2"/>
    <w:rsid w:val="16DE4665"/>
    <w:rsid w:val="16E42903"/>
    <w:rsid w:val="16EA31D3"/>
    <w:rsid w:val="16F853A7"/>
    <w:rsid w:val="171A2056"/>
    <w:rsid w:val="1725121A"/>
    <w:rsid w:val="174952D4"/>
    <w:rsid w:val="17573B63"/>
    <w:rsid w:val="17797B1C"/>
    <w:rsid w:val="1791130A"/>
    <w:rsid w:val="17A3178F"/>
    <w:rsid w:val="17A56B63"/>
    <w:rsid w:val="17B648CC"/>
    <w:rsid w:val="17C84C12"/>
    <w:rsid w:val="17D8651F"/>
    <w:rsid w:val="17FA5FD7"/>
    <w:rsid w:val="18126A00"/>
    <w:rsid w:val="181E2472"/>
    <w:rsid w:val="1828344A"/>
    <w:rsid w:val="184279CB"/>
    <w:rsid w:val="186F2A25"/>
    <w:rsid w:val="18770500"/>
    <w:rsid w:val="18AB2394"/>
    <w:rsid w:val="18C53972"/>
    <w:rsid w:val="18C906AA"/>
    <w:rsid w:val="18CE3E98"/>
    <w:rsid w:val="18E15979"/>
    <w:rsid w:val="191D4A9E"/>
    <w:rsid w:val="19293F06"/>
    <w:rsid w:val="19AC728C"/>
    <w:rsid w:val="1A020B05"/>
    <w:rsid w:val="1A0943BC"/>
    <w:rsid w:val="1A0D2756"/>
    <w:rsid w:val="1A3E20F9"/>
    <w:rsid w:val="1A436B65"/>
    <w:rsid w:val="1A533E23"/>
    <w:rsid w:val="1A5A1E87"/>
    <w:rsid w:val="1A7E3C31"/>
    <w:rsid w:val="1A915FCF"/>
    <w:rsid w:val="1ABC48F0"/>
    <w:rsid w:val="1AD108E5"/>
    <w:rsid w:val="1AD63F77"/>
    <w:rsid w:val="1AFA5821"/>
    <w:rsid w:val="1B0921C3"/>
    <w:rsid w:val="1B233B40"/>
    <w:rsid w:val="1B2D759B"/>
    <w:rsid w:val="1B2E45D8"/>
    <w:rsid w:val="1B320932"/>
    <w:rsid w:val="1B630DAB"/>
    <w:rsid w:val="1B8E0160"/>
    <w:rsid w:val="1B8F4E9B"/>
    <w:rsid w:val="1B9C7A5A"/>
    <w:rsid w:val="1B9E5DA3"/>
    <w:rsid w:val="1BAF73F8"/>
    <w:rsid w:val="1BC02E5C"/>
    <w:rsid w:val="1BD75A88"/>
    <w:rsid w:val="1BE46DBD"/>
    <w:rsid w:val="1C1A5EFD"/>
    <w:rsid w:val="1C6C472B"/>
    <w:rsid w:val="1C721B80"/>
    <w:rsid w:val="1CB54B59"/>
    <w:rsid w:val="1CF940DF"/>
    <w:rsid w:val="1CFC596A"/>
    <w:rsid w:val="1D4E55A7"/>
    <w:rsid w:val="1D810E77"/>
    <w:rsid w:val="1D8A4831"/>
    <w:rsid w:val="1D8C6C56"/>
    <w:rsid w:val="1D9C6312"/>
    <w:rsid w:val="1D9E7585"/>
    <w:rsid w:val="1DA74633"/>
    <w:rsid w:val="1DA86E9A"/>
    <w:rsid w:val="1DD97567"/>
    <w:rsid w:val="1DF454E0"/>
    <w:rsid w:val="1DF71875"/>
    <w:rsid w:val="1DFD1988"/>
    <w:rsid w:val="1E0B7A0E"/>
    <w:rsid w:val="1E1E766F"/>
    <w:rsid w:val="1E3173A3"/>
    <w:rsid w:val="1E5837ED"/>
    <w:rsid w:val="1E7A3914"/>
    <w:rsid w:val="1E7C41E1"/>
    <w:rsid w:val="1E88366B"/>
    <w:rsid w:val="1EA51D2D"/>
    <w:rsid w:val="1EA57449"/>
    <w:rsid w:val="1EB12AA1"/>
    <w:rsid w:val="1EB4007A"/>
    <w:rsid w:val="1EE13F85"/>
    <w:rsid w:val="1EE44415"/>
    <w:rsid w:val="1EFD54D7"/>
    <w:rsid w:val="1F036180"/>
    <w:rsid w:val="1F30529C"/>
    <w:rsid w:val="1F7906F5"/>
    <w:rsid w:val="1F8D70B7"/>
    <w:rsid w:val="1F9951FF"/>
    <w:rsid w:val="1FB56B48"/>
    <w:rsid w:val="20020FF7"/>
    <w:rsid w:val="20182A93"/>
    <w:rsid w:val="20290D30"/>
    <w:rsid w:val="207F5979"/>
    <w:rsid w:val="208F32FE"/>
    <w:rsid w:val="20E56222"/>
    <w:rsid w:val="21005CE1"/>
    <w:rsid w:val="21161512"/>
    <w:rsid w:val="211C4DD2"/>
    <w:rsid w:val="211C60E8"/>
    <w:rsid w:val="214178FD"/>
    <w:rsid w:val="215C6000"/>
    <w:rsid w:val="21972F08"/>
    <w:rsid w:val="21ED1832"/>
    <w:rsid w:val="21ED5BD6"/>
    <w:rsid w:val="21EE3196"/>
    <w:rsid w:val="21FA4AE9"/>
    <w:rsid w:val="21FC0E02"/>
    <w:rsid w:val="220345DE"/>
    <w:rsid w:val="220E580C"/>
    <w:rsid w:val="22274208"/>
    <w:rsid w:val="225B679C"/>
    <w:rsid w:val="227B4222"/>
    <w:rsid w:val="22845D66"/>
    <w:rsid w:val="22B967FE"/>
    <w:rsid w:val="22C96EB9"/>
    <w:rsid w:val="22D86D7A"/>
    <w:rsid w:val="234B2B70"/>
    <w:rsid w:val="235D02F2"/>
    <w:rsid w:val="236667F6"/>
    <w:rsid w:val="236E4B07"/>
    <w:rsid w:val="23965E01"/>
    <w:rsid w:val="23CC2CC7"/>
    <w:rsid w:val="23D356E8"/>
    <w:rsid w:val="23D36806"/>
    <w:rsid w:val="23E72ABF"/>
    <w:rsid w:val="23F76998"/>
    <w:rsid w:val="23FA0237"/>
    <w:rsid w:val="24243CC4"/>
    <w:rsid w:val="245C3BD4"/>
    <w:rsid w:val="245C4A4D"/>
    <w:rsid w:val="246730C1"/>
    <w:rsid w:val="246D27B7"/>
    <w:rsid w:val="248B1ECD"/>
    <w:rsid w:val="248D6176"/>
    <w:rsid w:val="249B5576"/>
    <w:rsid w:val="24D67D44"/>
    <w:rsid w:val="24DF523E"/>
    <w:rsid w:val="24F829C8"/>
    <w:rsid w:val="24FC103D"/>
    <w:rsid w:val="25171174"/>
    <w:rsid w:val="25250E41"/>
    <w:rsid w:val="253115E2"/>
    <w:rsid w:val="25361768"/>
    <w:rsid w:val="253E54C2"/>
    <w:rsid w:val="25702E7E"/>
    <w:rsid w:val="25724E31"/>
    <w:rsid w:val="2580651A"/>
    <w:rsid w:val="25A465D9"/>
    <w:rsid w:val="25AC6452"/>
    <w:rsid w:val="25B05B18"/>
    <w:rsid w:val="25B34B41"/>
    <w:rsid w:val="25C51D33"/>
    <w:rsid w:val="25D96AD4"/>
    <w:rsid w:val="25DF7693"/>
    <w:rsid w:val="25E76599"/>
    <w:rsid w:val="26174BDB"/>
    <w:rsid w:val="26217CFD"/>
    <w:rsid w:val="262B1C72"/>
    <w:rsid w:val="26415922"/>
    <w:rsid w:val="266A5519"/>
    <w:rsid w:val="267D54B0"/>
    <w:rsid w:val="26840989"/>
    <w:rsid w:val="269E30FB"/>
    <w:rsid w:val="26A938FE"/>
    <w:rsid w:val="26B137BF"/>
    <w:rsid w:val="26B54A4C"/>
    <w:rsid w:val="26DF2797"/>
    <w:rsid w:val="27135897"/>
    <w:rsid w:val="27300C37"/>
    <w:rsid w:val="273E043A"/>
    <w:rsid w:val="273F19AA"/>
    <w:rsid w:val="275B0FEC"/>
    <w:rsid w:val="2766554B"/>
    <w:rsid w:val="27962024"/>
    <w:rsid w:val="279D33D4"/>
    <w:rsid w:val="280B344B"/>
    <w:rsid w:val="280B6A8D"/>
    <w:rsid w:val="28146327"/>
    <w:rsid w:val="282F3B79"/>
    <w:rsid w:val="2866479A"/>
    <w:rsid w:val="286F73C5"/>
    <w:rsid w:val="287E31E4"/>
    <w:rsid w:val="289D187B"/>
    <w:rsid w:val="28A6273B"/>
    <w:rsid w:val="28AA222B"/>
    <w:rsid w:val="28B02089"/>
    <w:rsid w:val="28B37938"/>
    <w:rsid w:val="28C07998"/>
    <w:rsid w:val="28D56B7C"/>
    <w:rsid w:val="291E6EB9"/>
    <w:rsid w:val="29204490"/>
    <w:rsid w:val="29345893"/>
    <w:rsid w:val="293935AF"/>
    <w:rsid w:val="29634188"/>
    <w:rsid w:val="297A3890"/>
    <w:rsid w:val="298B4180"/>
    <w:rsid w:val="29AE462D"/>
    <w:rsid w:val="29CB68D8"/>
    <w:rsid w:val="29E11F18"/>
    <w:rsid w:val="29E17515"/>
    <w:rsid w:val="29EE19F6"/>
    <w:rsid w:val="2A17569E"/>
    <w:rsid w:val="2A1856DC"/>
    <w:rsid w:val="2A2A7798"/>
    <w:rsid w:val="2A3B0D49"/>
    <w:rsid w:val="2A484371"/>
    <w:rsid w:val="2A497822"/>
    <w:rsid w:val="2A6401B8"/>
    <w:rsid w:val="2A675E21"/>
    <w:rsid w:val="2A757AF1"/>
    <w:rsid w:val="2A944F41"/>
    <w:rsid w:val="2ACF7D27"/>
    <w:rsid w:val="2AD97D87"/>
    <w:rsid w:val="2ADA65B2"/>
    <w:rsid w:val="2AF62A75"/>
    <w:rsid w:val="2B0D25DC"/>
    <w:rsid w:val="2B1020EE"/>
    <w:rsid w:val="2B393E93"/>
    <w:rsid w:val="2B5446D0"/>
    <w:rsid w:val="2B626DED"/>
    <w:rsid w:val="2B6F2C13"/>
    <w:rsid w:val="2B7A6114"/>
    <w:rsid w:val="2B7E174D"/>
    <w:rsid w:val="2B985FCE"/>
    <w:rsid w:val="2B9D67AE"/>
    <w:rsid w:val="2BA2121F"/>
    <w:rsid w:val="2BBB5E48"/>
    <w:rsid w:val="2BD113C6"/>
    <w:rsid w:val="2BE27C69"/>
    <w:rsid w:val="2BEF7F55"/>
    <w:rsid w:val="2C11611D"/>
    <w:rsid w:val="2C1B3508"/>
    <w:rsid w:val="2C2D76BD"/>
    <w:rsid w:val="2C362245"/>
    <w:rsid w:val="2C3D008B"/>
    <w:rsid w:val="2C4C35F9"/>
    <w:rsid w:val="2C4C5671"/>
    <w:rsid w:val="2C5B7534"/>
    <w:rsid w:val="2CC7566C"/>
    <w:rsid w:val="2CD23AFF"/>
    <w:rsid w:val="2CEA709A"/>
    <w:rsid w:val="2D090A00"/>
    <w:rsid w:val="2D1F115F"/>
    <w:rsid w:val="2D4423BA"/>
    <w:rsid w:val="2D4A35FD"/>
    <w:rsid w:val="2D4D07A5"/>
    <w:rsid w:val="2D52688C"/>
    <w:rsid w:val="2D6230D5"/>
    <w:rsid w:val="2D7651BC"/>
    <w:rsid w:val="2D8401E5"/>
    <w:rsid w:val="2D9177C5"/>
    <w:rsid w:val="2D9D5CBE"/>
    <w:rsid w:val="2DA03BFD"/>
    <w:rsid w:val="2DD90E18"/>
    <w:rsid w:val="2DE53D06"/>
    <w:rsid w:val="2DF950BB"/>
    <w:rsid w:val="2E075A2A"/>
    <w:rsid w:val="2E0D7643"/>
    <w:rsid w:val="2E0E4238"/>
    <w:rsid w:val="2E113D9C"/>
    <w:rsid w:val="2E3B56D4"/>
    <w:rsid w:val="2E62715D"/>
    <w:rsid w:val="2E741431"/>
    <w:rsid w:val="2E7D43CE"/>
    <w:rsid w:val="2E8E7EF9"/>
    <w:rsid w:val="2EAC2FA8"/>
    <w:rsid w:val="2ED753FC"/>
    <w:rsid w:val="2EE63891"/>
    <w:rsid w:val="2EE65B41"/>
    <w:rsid w:val="2EE97A33"/>
    <w:rsid w:val="2EF637C3"/>
    <w:rsid w:val="2F2F348A"/>
    <w:rsid w:val="2F300FB0"/>
    <w:rsid w:val="2F330266"/>
    <w:rsid w:val="2F3527BA"/>
    <w:rsid w:val="2F37208D"/>
    <w:rsid w:val="2F435081"/>
    <w:rsid w:val="2F4E2809"/>
    <w:rsid w:val="2F4F7689"/>
    <w:rsid w:val="2F7621A1"/>
    <w:rsid w:val="2F863502"/>
    <w:rsid w:val="2F87429B"/>
    <w:rsid w:val="2FC624A4"/>
    <w:rsid w:val="30151F8D"/>
    <w:rsid w:val="301A2DFD"/>
    <w:rsid w:val="301E37BE"/>
    <w:rsid w:val="303F6980"/>
    <w:rsid w:val="306C6018"/>
    <w:rsid w:val="309B0E6F"/>
    <w:rsid w:val="30D14E34"/>
    <w:rsid w:val="30F04DDC"/>
    <w:rsid w:val="311961A0"/>
    <w:rsid w:val="3128635E"/>
    <w:rsid w:val="312D00B8"/>
    <w:rsid w:val="317664A1"/>
    <w:rsid w:val="31771119"/>
    <w:rsid w:val="31772782"/>
    <w:rsid w:val="317E0A37"/>
    <w:rsid w:val="318625CD"/>
    <w:rsid w:val="31AF440F"/>
    <w:rsid w:val="31B934DF"/>
    <w:rsid w:val="31D24707"/>
    <w:rsid w:val="31E9528F"/>
    <w:rsid w:val="31FB58A6"/>
    <w:rsid w:val="320104FF"/>
    <w:rsid w:val="32027CF0"/>
    <w:rsid w:val="3258337C"/>
    <w:rsid w:val="3261489D"/>
    <w:rsid w:val="3282517C"/>
    <w:rsid w:val="32A15AF9"/>
    <w:rsid w:val="32D45CEA"/>
    <w:rsid w:val="32F109CC"/>
    <w:rsid w:val="3381627F"/>
    <w:rsid w:val="33835198"/>
    <w:rsid w:val="33923FE8"/>
    <w:rsid w:val="33944708"/>
    <w:rsid w:val="339A66C5"/>
    <w:rsid w:val="33BC5BC4"/>
    <w:rsid w:val="33C7653D"/>
    <w:rsid w:val="34022441"/>
    <w:rsid w:val="34076784"/>
    <w:rsid w:val="340F388A"/>
    <w:rsid w:val="34130693"/>
    <w:rsid w:val="34473776"/>
    <w:rsid w:val="346F1797"/>
    <w:rsid w:val="34727975"/>
    <w:rsid w:val="347329EC"/>
    <w:rsid w:val="347A7B3C"/>
    <w:rsid w:val="34842A78"/>
    <w:rsid w:val="34F320B7"/>
    <w:rsid w:val="35187B42"/>
    <w:rsid w:val="35221818"/>
    <w:rsid w:val="352670DE"/>
    <w:rsid w:val="352B4654"/>
    <w:rsid w:val="35335357"/>
    <w:rsid w:val="35624E81"/>
    <w:rsid w:val="35645510"/>
    <w:rsid w:val="356F580B"/>
    <w:rsid w:val="3575771D"/>
    <w:rsid w:val="35803742"/>
    <w:rsid w:val="35A45811"/>
    <w:rsid w:val="35BE4220"/>
    <w:rsid w:val="35D408E8"/>
    <w:rsid w:val="361C679B"/>
    <w:rsid w:val="362B0F44"/>
    <w:rsid w:val="364D1708"/>
    <w:rsid w:val="36557FCC"/>
    <w:rsid w:val="36712A9F"/>
    <w:rsid w:val="367926EF"/>
    <w:rsid w:val="369341FA"/>
    <w:rsid w:val="369938DF"/>
    <w:rsid w:val="36A43708"/>
    <w:rsid w:val="36B742EA"/>
    <w:rsid w:val="36C471FA"/>
    <w:rsid w:val="36E0150E"/>
    <w:rsid w:val="36E43B49"/>
    <w:rsid w:val="370B658B"/>
    <w:rsid w:val="372212DB"/>
    <w:rsid w:val="372907BF"/>
    <w:rsid w:val="373B08E9"/>
    <w:rsid w:val="373B4692"/>
    <w:rsid w:val="3743284E"/>
    <w:rsid w:val="37450207"/>
    <w:rsid w:val="37965908"/>
    <w:rsid w:val="379E11AD"/>
    <w:rsid w:val="37BF2ED1"/>
    <w:rsid w:val="37C640CA"/>
    <w:rsid w:val="37D923A3"/>
    <w:rsid w:val="37E17FC7"/>
    <w:rsid w:val="37E872BA"/>
    <w:rsid w:val="37F72EF8"/>
    <w:rsid w:val="381E5E4A"/>
    <w:rsid w:val="386E513D"/>
    <w:rsid w:val="387C536A"/>
    <w:rsid w:val="388163D9"/>
    <w:rsid w:val="38821BE2"/>
    <w:rsid w:val="388867A3"/>
    <w:rsid w:val="38B86D83"/>
    <w:rsid w:val="38C36200"/>
    <w:rsid w:val="38C63E89"/>
    <w:rsid w:val="38C96D17"/>
    <w:rsid w:val="38D030A4"/>
    <w:rsid w:val="38E2156D"/>
    <w:rsid w:val="38F909F1"/>
    <w:rsid w:val="392F2A6C"/>
    <w:rsid w:val="393A2AC7"/>
    <w:rsid w:val="3943670D"/>
    <w:rsid w:val="396226AE"/>
    <w:rsid w:val="3991089E"/>
    <w:rsid w:val="39A34800"/>
    <w:rsid w:val="39AA433B"/>
    <w:rsid w:val="39D96C03"/>
    <w:rsid w:val="3A1C71C2"/>
    <w:rsid w:val="3A1F45AF"/>
    <w:rsid w:val="3A340F52"/>
    <w:rsid w:val="3A3E6C77"/>
    <w:rsid w:val="3A465471"/>
    <w:rsid w:val="3A53023B"/>
    <w:rsid w:val="3A5A5C64"/>
    <w:rsid w:val="3A7206CF"/>
    <w:rsid w:val="3A9838A3"/>
    <w:rsid w:val="3A9D68EE"/>
    <w:rsid w:val="3AA75BB1"/>
    <w:rsid w:val="3AC21656"/>
    <w:rsid w:val="3AD02F13"/>
    <w:rsid w:val="3B0A6B5A"/>
    <w:rsid w:val="3B2B710B"/>
    <w:rsid w:val="3B516536"/>
    <w:rsid w:val="3B520B1F"/>
    <w:rsid w:val="3B563B4D"/>
    <w:rsid w:val="3B6A1A8F"/>
    <w:rsid w:val="3B700B8C"/>
    <w:rsid w:val="3BB84736"/>
    <w:rsid w:val="3BB858DE"/>
    <w:rsid w:val="3BBB1B47"/>
    <w:rsid w:val="3BD64AD7"/>
    <w:rsid w:val="3BE456DE"/>
    <w:rsid w:val="3BE60D91"/>
    <w:rsid w:val="3BE61375"/>
    <w:rsid w:val="3BFC2946"/>
    <w:rsid w:val="3C1317DC"/>
    <w:rsid w:val="3C3420E0"/>
    <w:rsid w:val="3C391289"/>
    <w:rsid w:val="3C4D6413"/>
    <w:rsid w:val="3C526A0A"/>
    <w:rsid w:val="3C694942"/>
    <w:rsid w:val="3C9506A5"/>
    <w:rsid w:val="3CA70A97"/>
    <w:rsid w:val="3CAF40F6"/>
    <w:rsid w:val="3CB20F63"/>
    <w:rsid w:val="3CB70FF9"/>
    <w:rsid w:val="3CFB0238"/>
    <w:rsid w:val="3D074692"/>
    <w:rsid w:val="3D17730C"/>
    <w:rsid w:val="3D415400"/>
    <w:rsid w:val="3D445D5E"/>
    <w:rsid w:val="3D4D2D2E"/>
    <w:rsid w:val="3D5F430F"/>
    <w:rsid w:val="3D65451B"/>
    <w:rsid w:val="3D7662D3"/>
    <w:rsid w:val="3D8C08C0"/>
    <w:rsid w:val="3D9A2132"/>
    <w:rsid w:val="3DD84CED"/>
    <w:rsid w:val="3DDC6A73"/>
    <w:rsid w:val="3E594080"/>
    <w:rsid w:val="3E6502E3"/>
    <w:rsid w:val="3E770AB3"/>
    <w:rsid w:val="3E884B07"/>
    <w:rsid w:val="3E9E25C2"/>
    <w:rsid w:val="3E9E6D09"/>
    <w:rsid w:val="3ED07C94"/>
    <w:rsid w:val="3EF21DDE"/>
    <w:rsid w:val="3EF51FB7"/>
    <w:rsid w:val="3F732F1F"/>
    <w:rsid w:val="3F842B75"/>
    <w:rsid w:val="3F9A39E8"/>
    <w:rsid w:val="3FA85938"/>
    <w:rsid w:val="3FDD65EB"/>
    <w:rsid w:val="3FF251A9"/>
    <w:rsid w:val="3FFF45F6"/>
    <w:rsid w:val="400078E7"/>
    <w:rsid w:val="40164BCF"/>
    <w:rsid w:val="4045367A"/>
    <w:rsid w:val="40630F8D"/>
    <w:rsid w:val="410513CF"/>
    <w:rsid w:val="41314E40"/>
    <w:rsid w:val="41434245"/>
    <w:rsid w:val="41510FD0"/>
    <w:rsid w:val="41520DF6"/>
    <w:rsid w:val="416A7152"/>
    <w:rsid w:val="418370AC"/>
    <w:rsid w:val="418D47FE"/>
    <w:rsid w:val="419B3373"/>
    <w:rsid w:val="41A24945"/>
    <w:rsid w:val="41C74CF7"/>
    <w:rsid w:val="41CD5430"/>
    <w:rsid w:val="41CE58F9"/>
    <w:rsid w:val="41F145CF"/>
    <w:rsid w:val="4226112B"/>
    <w:rsid w:val="423E1753"/>
    <w:rsid w:val="4252548F"/>
    <w:rsid w:val="425C413F"/>
    <w:rsid w:val="42641245"/>
    <w:rsid w:val="42770F78"/>
    <w:rsid w:val="427A45C5"/>
    <w:rsid w:val="427A69F6"/>
    <w:rsid w:val="427F1EDD"/>
    <w:rsid w:val="428C42F8"/>
    <w:rsid w:val="42963A46"/>
    <w:rsid w:val="42A46DA0"/>
    <w:rsid w:val="42BE0955"/>
    <w:rsid w:val="42C972FA"/>
    <w:rsid w:val="42CD0B98"/>
    <w:rsid w:val="42D906C3"/>
    <w:rsid w:val="42FC76D0"/>
    <w:rsid w:val="435863D7"/>
    <w:rsid w:val="435F1193"/>
    <w:rsid w:val="43741014"/>
    <w:rsid w:val="438D20D6"/>
    <w:rsid w:val="439D10D0"/>
    <w:rsid w:val="439D67BD"/>
    <w:rsid w:val="439F39EF"/>
    <w:rsid w:val="43A10224"/>
    <w:rsid w:val="43BE5738"/>
    <w:rsid w:val="43D321DE"/>
    <w:rsid w:val="43D641E9"/>
    <w:rsid w:val="43D9356D"/>
    <w:rsid w:val="43E614C1"/>
    <w:rsid w:val="43E91A02"/>
    <w:rsid w:val="44044A8E"/>
    <w:rsid w:val="440552BE"/>
    <w:rsid w:val="44071E88"/>
    <w:rsid w:val="44095C00"/>
    <w:rsid w:val="44135387"/>
    <w:rsid w:val="44136A7F"/>
    <w:rsid w:val="445735FB"/>
    <w:rsid w:val="44766DD6"/>
    <w:rsid w:val="447A02DD"/>
    <w:rsid w:val="44A13128"/>
    <w:rsid w:val="44B466DF"/>
    <w:rsid w:val="44BF09B5"/>
    <w:rsid w:val="44CB735A"/>
    <w:rsid w:val="44EF6BA2"/>
    <w:rsid w:val="45235A92"/>
    <w:rsid w:val="4525408B"/>
    <w:rsid w:val="4582210E"/>
    <w:rsid w:val="45A71E8A"/>
    <w:rsid w:val="45B26B32"/>
    <w:rsid w:val="45BA2D32"/>
    <w:rsid w:val="45BB4AE0"/>
    <w:rsid w:val="45CF2E79"/>
    <w:rsid w:val="45D266F1"/>
    <w:rsid w:val="45DE6E06"/>
    <w:rsid w:val="46050649"/>
    <w:rsid w:val="460F3276"/>
    <w:rsid w:val="46274A64"/>
    <w:rsid w:val="462B4758"/>
    <w:rsid w:val="463D65A4"/>
    <w:rsid w:val="46454EEA"/>
    <w:rsid w:val="465C7FE7"/>
    <w:rsid w:val="46733805"/>
    <w:rsid w:val="468A412B"/>
    <w:rsid w:val="4695680B"/>
    <w:rsid w:val="46B02CAB"/>
    <w:rsid w:val="46BD2CD2"/>
    <w:rsid w:val="46D07920"/>
    <w:rsid w:val="46D446FA"/>
    <w:rsid w:val="46DB13AA"/>
    <w:rsid w:val="46F96C0B"/>
    <w:rsid w:val="46FF153C"/>
    <w:rsid w:val="470C5990"/>
    <w:rsid w:val="471E3B98"/>
    <w:rsid w:val="47783DFD"/>
    <w:rsid w:val="477F442B"/>
    <w:rsid w:val="47C123AA"/>
    <w:rsid w:val="47C86E80"/>
    <w:rsid w:val="47CD33E9"/>
    <w:rsid w:val="47DE5FAB"/>
    <w:rsid w:val="480C5CBF"/>
    <w:rsid w:val="483E14A0"/>
    <w:rsid w:val="484418FD"/>
    <w:rsid w:val="485335AA"/>
    <w:rsid w:val="485B0CC3"/>
    <w:rsid w:val="487321E2"/>
    <w:rsid w:val="48873801"/>
    <w:rsid w:val="48934632"/>
    <w:rsid w:val="48D93187"/>
    <w:rsid w:val="48E12752"/>
    <w:rsid w:val="49042E3A"/>
    <w:rsid w:val="49134F46"/>
    <w:rsid w:val="492C712E"/>
    <w:rsid w:val="4974159D"/>
    <w:rsid w:val="4977185E"/>
    <w:rsid w:val="49A07033"/>
    <w:rsid w:val="49A52E86"/>
    <w:rsid w:val="49A53D6E"/>
    <w:rsid w:val="49AB775A"/>
    <w:rsid w:val="49AD68C7"/>
    <w:rsid w:val="49C3753A"/>
    <w:rsid w:val="49C425C9"/>
    <w:rsid w:val="49C47C77"/>
    <w:rsid w:val="49DB003F"/>
    <w:rsid w:val="49F66C27"/>
    <w:rsid w:val="49FE5ADB"/>
    <w:rsid w:val="4A01737A"/>
    <w:rsid w:val="4A1744E6"/>
    <w:rsid w:val="4A230B17"/>
    <w:rsid w:val="4A356E9B"/>
    <w:rsid w:val="4A445C00"/>
    <w:rsid w:val="4A4831FA"/>
    <w:rsid w:val="4AA173B4"/>
    <w:rsid w:val="4AC102DB"/>
    <w:rsid w:val="4AD715E6"/>
    <w:rsid w:val="4ADB7BCB"/>
    <w:rsid w:val="4B02325D"/>
    <w:rsid w:val="4B1F62C1"/>
    <w:rsid w:val="4B567041"/>
    <w:rsid w:val="4BD427FB"/>
    <w:rsid w:val="4BD74836"/>
    <w:rsid w:val="4BE11211"/>
    <w:rsid w:val="4BEC77C6"/>
    <w:rsid w:val="4BF34C7C"/>
    <w:rsid w:val="4BF95D4B"/>
    <w:rsid w:val="4C150901"/>
    <w:rsid w:val="4C2757BD"/>
    <w:rsid w:val="4C374C59"/>
    <w:rsid w:val="4C433C79"/>
    <w:rsid w:val="4C4F3781"/>
    <w:rsid w:val="4C6667D2"/>
    <w:rsid w:val="4C7223A4"/>
    <w:rsid w:val="4C7F5906"/>
    <w:rsid w:val="4C9C74D2"/>
    <w:rsid w:val="4CB172C7"/>
    <w:rsid w:val="4CB81013"/>
    <w:rsid w:val="4CD50F1A"/>
    <w:rsid w:val="4CEC7770"/>
    <w:rsid w:val="4D0F0ADB"/>
    <w:rsid w:val="4D1D34E8"/>
    <w:rsid w:val="4D2A10DA"/>
    <w:rsid w:val="4D2B2FC8"/>
    <w:rsid w:val="4D31441A"/>
    <w:rsid w:val="4D73058E"/>
    <w:rsid w:val="4D913C92"/>
    <w:rsid w:val="4DA70238"/>
    <w:rsid w:val="4DA719EB"/>
    <w:rsid w:val="4DBF5582"/>
    <w:rsid w:val="4DF0398D"/>
    <w:rsid w:val="4DF568B9"/>
    <w:rsid w:val="4E0F02B7"/>
    <w:rsid w:val="4E24727A"/>
    <w:rsid w:val="4E41068C"/>
    <w:rsid w:val="4E455C30"/>
    <w:rsid w:val="4E4801A7"/>
    <w:rsid w:val="4E4E49B8"/>
    <w:rsid w:val="4E5B32A3"/>
    <w:rsid w:val="4E5D6ED5"/>
    <w:rsid w:val="4E846A10"/>
    <w:rsid w:val="4E9439D5"/>
    <w:rsid w:val="4E992F9E"/>
    <w:rsid w:val="4E9F6D1D"/>
    <w:rsid w:val="4EB165D5"/>
    <w:rsid w:val="4EC512BE"/>
    <w:rsid w:val="4ED67027"/>
    <w:rsid w:val="4EE42792"/>
    <w:rsid w:val="4EEE67F9"/>
    <w:rsid w:val="4EFE032C"/>
    <w:rsid w:val="4F2D422A"/>
    <w:rsid w:val="4FA5699A"/>
    <w:rsid w:val="4FB235F0"/>
    <w:rsid w:val="4FC52E08"/>
    <w:rsid w:val="4FEA0C93"/>
    <w:rsid w:val="4FEB7FB7"/>
    <w:rsid w:val="4FED3BFB"/>
    <w:rsid w:val="50246532"/>
    <w:rsid w:val="50437FDC"/>
    <w:rsid w:val="505A77E4"/>
    <w:rsid w:val="50681FCD"/>
    <w:rsid w:val="50865970"/>
    <w:rsid w:val="50B769E4"/>
    <w:rsid w:val="50B9275C"/>
    <w:rsid w:val="50BE4216"/>
    <w:rsid w:val="50C866AA"/>
    <w:rsid w:val="50D207EC"/>
    <w:rsid w:val="51281690"/>
    <w:rsid w:val="51691EE6"/>
    <w:rsid w:val="518A5EA7"/>
    <w:rsid w:val="518A7661"/>
    <w:rsid w:val="518E3BE9"/>
    <w:rsid w:val="51B13991"/>
    <w:rsid w:val="51E43ECB"/>
    <w:rsid w:val="51FB2F37"/>
    <w:rsid w:val="52105B50"/>
    <w:rsid w:val="5217598C"/>
    <w:rsid w:val="523A167B"/>
    <w:rsid w:val="523A5373"/>
    <w:rsid w:val="524B2DC8"/>
    <w:rsid w:val="526E48F5"/>
    <w:rsid w:val="52727F85"/>
    <w:rsid w:val="5285323E"/>
    <w:rsid w:val="52891AE8"/>
    <w:rsid w:val="52C65702"/>
    <w:rsid w:val="52E825E3"/>
    <w:rsid w:val="52E930A3"/>
    <w:rsid w:val="52EE70C7"/>
    <w:rsid w:val="53403178"/>
    <w:rsid w:val="53474B02"/>
    <w:rsid w:val="535319FE"/>
    <w:rsid w:val="53755FB2"/>
    <w:rsid w:val="537A08C9"/>
    <w:rsid w:val="538C6936"/>
    <w:rsid w:val="53963229"/>
    <w:rsid w:val="53AC0356"/>
    <w:rsid w:val="53AF1C28"/>
    <w:rsid w:val="53B611D5"/>
    <w:rsid w:val="53BE7EF0"/>
    <w:rsid w:val="53E04AE9"/>
    <w:rsid w:val="53F95A18"/>
    <w:rsid w:val="54154E7A"/>
    <w:rsid w:val="54631EE1"/>
    <w:rsid w:val="54686973"/>
    <w:rsid w:val="54727516"/>
    <w:rsid w:val="54B87D61"/>
    <w:rsid w:val="54CC1A7D"/>
    <w:rsid w:val="54D13CF2"/>
    <w:rsid w:val="55115CC4"/>
    <w:rsid w:val="55172147"/>
    <w:rsid w:val="5556750C"/>
    <w:rsid w:val="555D1FBA"/>
    <w:rsid w:val="555D4285"/>
    <w:rsid w:val="5569651D"/>
    <w:rsid w:val="55895936"/>
    <w:rsid w:val="55A25C04"/>
    <w:rsid w:val="55A7171D"/>
    <w:rsid w:val="55DF0EB7"/>
    <w:rsid w:val="55E17F9D"/>
    <w:rsid w:val="55E23E6C"/>
    <w:rsid w:val="55E657A2"/>
    <w:rsid w:val="560721BC"/>
    <w:rsid w:val="565F3938"/>
    <w:rsid w:val="566F7E44"/>
    <w:rsid w:val="569717FE"/>
    <w:rsid w:val="569A740C"/>
    <w:rsid w:val="56A11917"/>
    <w:rsid w:val="56AC71B6"/>
    <w:rsid w:val="56AE3C10"/>
    <w:rsid w:val="56AF2965"/>
    <w:rsid w:val="56B72E56"/>
    <w:rsid w:val="56C85D1A"/>
    <w:rsid w:val="56D95EC5"/>
    <w:rsid w:val="56F749BE"/>
    <w:rsid w:val="57004C7A"/>
    <w:rsid w:val="57034145"/>
    <w:rsid w:val="572D64B0"/>
    <w:rsid w:val="572E0A1E"/>
    <w:rsid w:val="572F4917"/>
    <w:rsid w:val="57362A2C"/>
    <w:rsid w:val="57500DC5"/>
    <w:rsid w:val="575548AE"/>
    <w:rsid w:val="575635C7"/>
    <w:rsid w:val="575F038F"/>
    <w:rsid w:val="5772366C"/>
    <w:rsid w:val="578147D7"/>
    <w:rsid w:val="57A35F14"/>
    <w:rsid w:val="57C9767E"/>
    <w:rsid w:val="57DF519E"/>
    <w:rsid w:val="580249E9"/>
    <w:rsid w:val="58107FB8"/>
    <w:rsid w:val="582938AC"/>
    <w:rsid w:val="58353010"/>
    <w:rsid w:val="583D3C73"/>
    <w:rsid w:val="58576B06"/>
    <w:rsid w:val="58747956"/>
    <w:rsid w:val="58B008E9"/>
    <w:rsid w:val="58D2085F"/>
    <w:rsid w:val="58EB7659"/>
    <w:rsid w:val="58EE310B"/>
    <w:rsid w:val="58F62D73"/>
    <w:rsid w:val="58FC1D80"/>
    <w:rsid w:val="591A055A"/>
    <w:rsid w:val="592A01C0"/>
    <w:rsid w:val="59303F3B"/>
    <w:rsid w:val="593F49BD"/>
    <w:rsid w:val="59400210"/>
    <w:rsid w:val="59552456"/>
    <w:rsid w:val="59716319"/>
    <w:rsid w:val="59747235"/>
    <w:rsid w:val="59777658"/>
    <w:rsid w:val="59A3044D"/>
    <w:rsid w:val="59E7033A"/>
    <w:rsid w:val="59EC1988"/>
    <w:rsid w:val="59F42436"/>
    <w:rsid w:val="5A00690C"/>
    <w:rsid w:val="5A17034B"/>
    <w:rsid w:val="5A2E5F69"/>
    <w:rsid w:val="5A430530"/>
    <w:rsid w:val="5A4A67C4"/>
    <w:rsid w:val="5A9658BC"/>
    <w:rsid w:val="5AA004E9"/>
    <w:rsid w:val="5AAE6BFF"/>
    <w:rsid w:val="5ACB19D7"/>
    <w:rsid w:val="5ACE0C54"/>
    <w:rsid w:val="5AD04AC5"/>
    <w:rsid w:val="5AD507F7"/>
    <w:rsid w:val="5AE134A5"/>
    <w:rsid w:val="5AF801E8"/>
    <w:rsid w:val="5B155FAA"/>
    <w:rsid w:val="5B1660AB"/>
    <w:rsid w:val="5B1E607B"/>
    <w:rsid w:val="5B33135D"/>
    <w:rsid w:val="5B3F6D49"/>
    <w:rsid w:val="5B4D0671"/>
    <w:rsid w:val="5B605828"/>
    <w:rsid w:val="5B6E36C3"/>
    <w:rsid w:val="5B7B5166"/>
    <w:rsid w:val="5BD124C7"/>
    <w:rsid w:val="5BDB5038"/>
    <w:rsid w:val="5BDC19F5"/>
    <w:rsid w:val="5BE44D87"/>
    <w:rsid w:val="5C370801"/>
    <w:rsid w:val="5C6C6ABA"/>
    <w:rsid w:val="5CA73DB1"/>
    <w:rsid w:val="5CBB075A"/>
    <w:rsid w:val="5CCC52A0"/>
    <w:rsid w:val="5CCC6AE2"/>
    <w:rsid w:val="5CD27D53"/>
    <w:rsid w:val="5CD657ED"/>
    <w:rsid w:val="5CD91AE8"/>
    <w:rsid w:val="5CD96E3F"/>
    <w:rsid w:val="5CEE5E83"/>
    <w:rsid w:val="5CF52363"/>
    <w:rsid w:val="5D0E2045"/>
    <w:rsid w:val="5D296EBB"/>
    <w:rsid w:val="5D56646F"/>
    <w:rsid w:val="5D79399F"/>
    <w:rsid w:val="5DED10A9"/>
    <w:rsid w:val="5E310A29"/>
    <w:rsid w:val="5E325DEA"/>
    <w:rsid w:val="5E5203C1"/>
    <w:rsid w:val="5E543815"/>
    <w:rsid w:val="5E5859F6"/>
    <w:rsid w:val="5E5D7E89"/>
    <w:rsid w:val="5E674D72"/>
    <w:rsid w:val="5EA21DC6"/>
    <w:rsid w:val="5EB5281E"/>
    <w:rsid w:val="5EBC250E"/>
    <w:rsid w:val="5EEB006A"/>
    <w:rsid w:val="5EF0115D"/>
    <w:rsid w:val="5EFE682A"/>
    <w:rsid w:val="5F223BC2"/>
    <w:rsid w:val="5F252DB9"/>
    <w:rsid w:val="5F2D3852"/>
    <w:rsid w:val="5F50072F"/>
    <w:rsid w:val="5F68495B"/>
    <w:rsid w:val="5F7B7E0C"/>
    <w:rsid w:val="5F8D291C"/>
    <w:rsid w:val="5F9F706A"/>
    <w:rsid w:val="5FAF2E92"/>
    <w:rsid w:val="5FC07323"/>
    <w:rsid w:val="5FE5356E"/>
    <w:rsid w:val="5FEA34C1"/>
    <w:rsid w:val="60091EEE"/>
    <w:rsid w:val="600B0576"/>
    <w:rsid w:val="6013651B"/>
    <w:rsid w:val="60141677"/>
    <w:rsid w:val="60154DC5"/>
    <w:rsid w:val="6023423A"/>
    <w:rsid w:val="602F6597"/>
    <w:rsid w:val="60301E0A"/>
    <w:rsid w:val="60337B58"/>
    <w:rsid w:val="60337DCE"/>
    <w:rsid w:val="605363C9"/>
    <w:rsid w:val="606424E0"/>
    <w:rsid w:val="6068584F"/>
    <w:rsid w:val="606941D1"/>
    <w:rsid w:val="607C7302"/>
    <w:rsid w:val="608F5BDD"/>
    <w:rsid w:val="609B1E7E"/>
    <w:rsid w:val="60A10678"/>
    <w:rsid w:val="60AE577B"/>
    <w:rsid w:val="60BD6710"/>
    <w:rsid w:val="60D1523C"/>
    <w:rsid w:val="60E10AE5"/>
    <w:rsid w:val="60E43825"/>
    <w:rsid w:val="60F358F1"/>
    <w:rsid w:val="60FB46CB"/>
    <w:rsid w:val="610D7DCD"/>
    <w:rsid w:val="611512FD"/>
    <w:rsid w:val="61154766"/>
    <w:rsid w:val="612B1454"/>
    <w:rsid w:val="61306A6A"/>
    <w:rsid w:val="615A10A4"/>
    <w:rsid w:val="61855428"/>
    <w:rsid w:val="61946B51"/>
    <w:rsid w:val="61B56F70"/>
    <w:rsid w:val="61DE64C6"/>
    <w:rsid w:val="61F06DD9"/>
    <w:rsid w:val="62031A89"/>
    <w:rsid w:val="62035F17"/>
    <w:rsid w:val="62137FEA"/>
    <w:rsid w:val="624D53FA"/>
    <w:rsid w:val="627F5CBA"/>
    <w:rsid w:val="62811BD2"/>
    <w:rsid w:val="628E7FB4"/>
    <w:rsid w:val="62B7014A"/>
    <w:rsid w:val="62C64C11"/>
    <w:rsid w:val="62D36D8A"/>
    <w:rsid w:val="62D56A83"/>
    <w:rsid w:val="62ED50AC"/>
    <w:rsid w:val="62EE02C7"/>
    <w:rsid w:val="62F24C15"/>
    <w:rsid w:val="6328643C"/>
    <w:rsid w:val="63411079"/>
    <w:rsid w:val="63470366"/>
    <w:rsid w:val="634D79FB"/>
    <w:rsid w:val="637270EC"/>
    <w:rsid w:val="63861052"/>
    <w:rsid w:val="63967ABA"/>
    <w:rsid w:val="639D451C"/>
    <w:rsid w:val="63C37853"/>
    <w:rsid w:val="640B706B"/>
    <w:rsid w:val="642D7FAE"/>
    <w:rsid w:val="64414AEB"/>
    <w:rsid w:val="6486074F"/>
    <w:rsid w:val="648844C8"/>
    <w:rsid w:val="6488707F"/>
    <w:rsid w:val="64945C8F"/>
    <w:rsid w:val="64AB14B8"/>
    <w:rsid w:val="64C0096C"/>
    <w:rsid w:val="64F1206D"/>
    <w:rsid w:val="64FC77AD"/>
    <w:rsid w:val="65171B97"/>
    <w:rsid w:val="656E093E"/>
    <w:rsid w:val="65855276"/>
    <w:rsid w:val="658A11CF"/>
    <w:rsid w:val="65D13BDB"/>
    <w:rsid w:val="65F75DA9"/>
    <w:rsid w:val="65F90CD6"/>
    <w:rsid w:val="660109D5"/>
    <w:rsid w:val="66134265"/>
    <w:rsid w:val="66146248"/>
    <w:rsid w:val="66240220"/>
    <w:rsid w:val="6624768A"/>
    <w:rsid w:val="66354D95"/>
    <w:rsid w:val="664B10D4"/>
    <w:rsid w:val="665B6338"/>
    <w:rsid w:val="66C56213"/>
    <w:rsid w:val="67115F39"/>
    <w:rsid w:val="67220075"/>
    <w:rsid w:val="674348B3"/>
    <w:rsid w:val="67513297"/>
    <w:rsid w:val="67695A94"/>
    <w:rsid w:val="676A13C4"/>
    <w:rsid w:val="67880147"/>
    <w:rsid w:val="679C21AE"/>
    <w:rsid w:val="67AB5244"/>
    <w:rsid w:val="67AE2497"/>
    <w:rsid w:val="67B5779E"/>
    <w:rsid w:val="67C223E6"/>
    <w:rsid w:val="67C62B4B"/>
    <w:rsid w:val="67D85766"/>
    <w:rsid w:val="67D87514"/>
    <w:rsid w:val="67DD2A4B"/>
    <w:rsid w:val="67DE3209"/>
    <w:rsid w:val="67DE7902"/>
    <w:rsid w:val="68035D21"/>
    <w:rsid w:val="68104F00"/>
    <w:rsid w:val="68213D48"/>
    <w:rsid w:val="682700AE"/>
    <w:rsid w:val="685F0CAA"/>
    <w:rsid w:val="68670447"/>
    <w:rsid w:val="68680898"/>
    <w:rsid w:val="686D23BF"/>
    <w:rsid w:val="687157C8"/>
    <w:rsid w:val="688E4AF9"/>
    <w:rsid w:val="689526DB"/>
    <w:rsid w:val="68AF56BE"/>
    <w:rsid w:val="68C2564E"/>
    <w:rsid w:val="68E85E7D"/>
    <w:rsid w:val="69015F94"/>
    <w:rsid w:val="690A7750"/>
    <w:rsid w:val="69180510"/>
    <w:rsid w:val="692C3600"/>
    <w:rsid w:val="692E36B1"/>
    <w:rsid w:val="69456CBE"/>
    <w:rsid w:val="6959151C"/>
    <w:rsid w:val="6973410F"/>
    <w:rsid w:val="69B53FB1"/>
    <w:rsid w:val="69B935E9"/>
    <w:rsid w:val="69C15A70"/>
    <w:rsid w:val="69CB6A05"/>
    <w:rsid w:val="69DC008B"/>
    <w:rsid w:val="69E5416A"/>
    <w:rsid w:val="6A222ABC"/>
    <w:rsid w:val="6A262C83"/>
    <w:rsid w:val="6A7F36E4"/>
    <w:rsid w:val="6A881C58"/>
    <w:rsid w:val="6AAF614C"/>
    <w:rsid w:val="6AC10733"/>
    <w:rsid w:val="6ACB15B2"/>
    <w:rsid w:val="6AF72DE6"/>
    <w:rsid w:val="6AF91C7B"/>
    <w:rsid w:val="6B264C29"/>
    <w:rsid w:val="6B457A2C"/>
    <w:rsid w:val="6B563571"/>
    <w:rsid w:val="6B5670CE"/>
    <w:rsid w:val="6B7A1677"/>
    <w:rsid w:val="6BA86DB0"/>
    <w:rsid w:val="6BAB6B04"/>
    <w:rsid w:val="6BAF2C82"/>
    <w:rsid w:val="6BBD104F"/>
    <w:rsid w:val="6BD81707"/>
    <w:rsid w:val="6BDC5CA0"/>
    <w:rsid w:val="6C072AE6"/>
    <w:rsid w:val="6C0C2207"/>
    <w:rsid w:val="6C153260"/>
    <w:rsid w:val="6C3A7832"/>
    <w:rsid w:val="6C400E08"/>
    <w:rsid w:val="6C5D448C"/>
    <w:rsid w:val="6C865F99"/>
    <w:rsid w:val="6C9157B8"/>
    <w:rsid w:val="6C9A3FEF"/>
    <w:rsid w:val="6CBA368C"/>
    <w:rsid w:val="6CD64140"/>
    <w:rsid w:val="6CFE5C6F"/>
    <w:rsid w:val="6D164D84"/>
    <w:rsid w:val="6D1A412B"/>
    <w:rsid w:val="6D1C6C99"/>
    <w:rsid w:val="6D2B4437"/>
    <w:rsid w:val="6D4D5647"/>
    <w:rsid w:val="6D6E719E"/>
    <w:rsid w:val="6D8C7F00"/>
    <w:rsid w:val="6DA700B4"/>
    <w:rsid w:val="6DC43777"/>
    <w:rsid w:val="6DDE7CAA"/>
    <w:rsid w:val="6DE244ED"/>
    <w:rsid w:val="6DF36E56"/>
    <w:rsid w:val="6DFD7CD4"/>
    <w:rsid w:val="6E001573"/>
    <w:rsid w:val="6E00355C"/>
    <w:rsid w:val="6E161AD1"/>
    <w:rsid w:val="6E1B45FE"/>
    <w:rsid w:val="6E386F5E"/>
    <w:rsid w:val="6E584020"/>
    <w:rsid w:val="6E623D2B"/>
    <w:rsid w:val="6E7E7026"/>
    <w:rsid w:val="6E802433"/>
    <w:rsid w:val="6E851A78"/>
    <w:rsid w:val="6EE3336E"/>
    <w:rsid w:val="6F1710DF"/>
    <w:rsid w:val="6F2614AD"/>
    <w:rsid w:val="6F3845EA"/>
    <w:rsid w:val="6F386D8C"/>
    <w:rsid w:val="6F4A6F49"/>
    <w:rsid w:val="6F85477F"/>
    <w:rsid w:val="6F8929B2"/>
    <w:rsid w:val="6F9603E0"/>
    <w:rsid w:val="6FA8726E"/>
    <w:rsid w:val="6FB81159"/>
    <w:rsid w:val="6FBA3299"/>
    <w:rsid w:val="6FD827A7"/>
    <w:rsid w:val="6FE210D3"/>
    <w:rsid w:val="6FE25F7F"/>
    <w:rsid w:val="6FE32EFA"/>
    <w:rsid w:val="6FEE638A"/>
    <w:rsid w:val="6FF9170D"/>
    <w:rsid w:val="70076BE8"/>
    <w:rsid w:val="701A152C"/>
    <w:rsid w:val="70243E31"/>
    <w:rsid w:val="70870B6D"/>
    <w:rsid w:val="70A6501A"/>
    <w:rsid w:val="70B41A29"/>
    <w:rsid w:val="70C0421B"/>
    <w:rsid w:val="70C33E84"/>
    <w:rsid w:val="70F74C48"/>
    <w:rsid w:val="70FA443E"/>
    <w:rsid w:val="710D46D2"/>
    <w:rsid w:val="71253CCE"/>
    <w:rsid w:val="71566079"/>
    <w:rsid w:val="716811D3"/>
    <w:rsid w:val="716A11FC"/>
    <w:rsid w:val="71793B16"/>
    <w:rsid w:val="717F6893"/>
    <w:rsid w:val="7189187F"/>
    <w:rsid w:val="71C66ECE"/>
    <w:rsid w:val="71D25943"/>
    <w:rsid w:val="71DE0265"/>
    <w:rsid w:val="71F61863"/>
    <w:rsid w:val="71FB54C7"/>
    <w:rsid w:val="71FE401B"/>
    <w:rsid w:val="720900CF"/>
    <w:rsid w:val="722225DB"/>
    <w:rsid w:val="722E6757"/>
    <w:rsid w:val="723E2669"/>
    <w:rsid w:val="72730565"/>
    <w:rsid w:val="72757AFF"/>
    <w:rsid w:val="72C47013"/>
    <w:rsid w:val="72C50AF7"/>
    <w:rsid w:val="72C87A7A"/>
    <w:rsid w:val="72CD17C8"/>
    <w:rsid w:val="72D37D1F"/>
    <w:rsid w:val="730D6C0C"/>
    <w:rsid w:val="731D1633"/>
    <w:rsid w:val="732D1E02"/>
    <w:rsid w:val="73533EAF"/>
    <w:rsid w:val="73555EBD"/>
    <w:rsid w:val="73593BFF"/>
    <w:rsid w:val="737132CF"/>
    <w:rsid w:val="7393682B"/>
    <w:rsid w:val="73962B79"/>
    <w:rsid w:val="73C52A0C"/>
    <w:rsid w:val="73CE270A"/>
    <w:rsid w:val="740B04E1"/>
    <w:rsid w:val="740C227D"/>
    <w:rsid w:val="740C6EC3"/>
    <w:rsid w:val="744A2123"/>
    <w:rsid w:val="74582108"/>
    <w:rsid w:val="74644DBD"/>
    <w:rsid w:val="74AF5AA0"/>
    <w:rsid w:val="74B82BA7"/>
    <w:rsid w:val="74B90757"/>
    <w:rsid w:val="74C463D7"/>
    <w:rsid w:val="74C54366"/>
    <w:rsid w:val="74CF1873"/>
    <w:rsid w:val="74E20C51"/>
    <w:rsid w:val="74E75836"/>
    <w:rsid w:val="74E835B9"/>
    <w:rsid w:val="74F33BDF"/>
    <w:rsid w:val="75261D09"/>
    <w:rsid w:val="752E5417"/>
    <w:rsid w:val="75390090"/>
    <w:rsid w:val="753C3446"/>
    <w:rsid w:val="755275B3"/>
    <w:rsid w:val="756C1D17"/>
    <w:rsid w:val="757C1E26"/>
    <w:rsid w:val="75965A75"/>
    <w:rsid w:val="759D5B40"/>
    <w:rsid w:val="75A82C1C"/>
    <w:rsid w:val="75B74537"/>
    <w:rsid w:val="75B90DD9"/>
    <w:rsid w:val="75D151E8"/>
    <w:rsid w:val="75E76FA0"/>
    <w:rsid w:val="75E874BC"/>
    <w:rsid w:val="75F47C0F"/>
    <w:rsid w:val="75FC5AF3"/>
    <w:rsid w:val="761413A9"/>
    <w:rsid w:val="762865F3"/>
    <w:rsid w:val="766C59F7"/>
    <w:rsid w:val="76963C93"/>
    <w:rsid w:val="769B7BD9"/>
    <w:rsid w:val="76A06B52"/>
    <w:rsid w:val="76AE24B4"/>
    <w:rsid w:val="76BB1E5D"/>
    <w:rsid w:val="76C520DC"/>
    <w:rsid w:val="76CF20EA"/>
    <w:rsid w:val="76D37824"/>
    <w:rsid w:val="76E312EA"/>
    <w:rsid w:val="76E605F1"/>
    <w:rsid w:val="76FA55DC"/>
    <w:rsid w:val="770B1C51"/>
    <w:rsid w:val="77391A6B"/>
    <w:rsid w:val="774854EC"/>
    <w:rsid w:val="775070C7"/>
    <w:rsid w:val="775274B9"/>
    <w:rsid w:val="7763329E"/>
    <w:rsid w:val="777202AD"/>
    <w:rsid w:val="777803CC"/>
    <w:rsid w:val="778B2DBE"/>
    <w:rsid w:val="778B45A3"/>
    <w:rsid w:val="779A0C95"/>
    <w:rsid w:val="77B960DF"/>
    <w:rsid w:val="77BE04D4"/>
    <w:rsid w:val="77D04419"/>
    <w:rsid w:val="77EA0C65"/>
    <w:rsid w:val="780600CD"/>
    <w:rsid w:val="781B0B0C"/>
    <w:rsid w:val="781E639C"/>
    <w:rsid w:val="782026E9"/>
    <w:rsid w:val="782029D9"/>
    <w:rsid w:val="78276A7B"/>
    <w:rsid w:val="7847671C"/>
    <w:rsid w:val="78565F4B"/>
    <w:rsid w:val="78774B27"/>
    <w:rsid w:val="78A9372F"/>
    <w:rsid w:val="78FD327E"/>
    <w:rsid w:val="78FE47EE"/>
    <w:rsid w:val="79162604"/>
    <w:rsid w:val="791660EE"/>
    <w:rsid w:val="79366790"/>
    <w:rsid w:val="794744F9"/>
    <w:rsid w:val="794F06AD"/>
    <w:rsid w:val="79527AE5"/>
    <w:rsid w:val="797E3990"/>
    <w:rsid w:val="798474E4"/>
    <w:rsid w:val="79892101"/>
    <w:rsid w:val="798E5D08"/>
    <w:rsid w:val="79983884"/>
    <w:rsid w:val="7999042C"/>
    <w:rsid w:val="79A13C0A"/>
    <w:rsid w:val="7A296296"/>
    <w:rsid w:val="7A473317"/>
    <w:rsid w:val="7A4F7B0A"/>
    <w:rsid w:val="7A583B2A"/>
    <w:rsid w:val="7A611D04"/>
    <w:rsid w:val="7A617A81"/>
    <w:rsid w:val="7A7120BD"/>
    <w:rsid w:val="7A760339"/>
    <w:rsid w:val="7A7E2FD8"/>
    <w:rsid w:val="7A7F1865"/>
    <w:rsid w:val="7A8370D0"/>
    <w:rsid w:val="7A8656D5"/>
    <w:rsid w:val="7A97325F"/>
    <w:rsid w:val="7AAC6B88"/>
    <w:rsid w:val="7AB15BC4"/>
    <w:rsid w:val="7AD04E83"/>
    <w:rsid w:val="7ADF25A8"/>
    <w:rsid w:val="7AE32189"/>
    <w:rsid w:val="7AE3338B"/>
    <w:rsid w:val="7AED2E7F"/>
    <w:rsid w:val="7B0459B3"/>
    <w:rsid w:val="7B06469B"/>
    <w:rsid w:val="7B0917B2"/>
    <w:rsid w:val="7B1652A2"/>
    <w:rsid w:val="7B174A92"/>
    <w:rsid w:val="7B1D73A2"/>
    <w:rsid w:val="7B2A3852"/>
    <w:rsid w:val="7B2A5E81"/>
    <w:rsid w:val="7B36052E"/>
    <w:rsid w:val="7B42766E"/>
    <w:rsid w:val="7B665B34"/>
    <w:rsid w:val="7B8E4662"/>
    <w:rsid w:val="7B914152"/>
    <w:rsid w:val="7B9D2AF7"/>
    <w:rsid w:val="7BA43E85"/>
    <w:rsid w:val="7BBF18DD"/>
    <w:rsid w:val="7BE86400"/>
    <w:rsid w:val="7C0B3F04"/>
    <w:rsid w:val="7C127041"/>
    <w:rsid w:val="7C142DB9"/>
    <w:rsid w:val="7C5709FA"/>
    <w:rsid w:val="7C5A141C"/>
    <w:rsid w:val="7C680B6E"/>
    <w:rsid w:val="7C831CEC"/>
    <w:rsid w:val="7CA51C63"/>
    <w:rsid w:val="7CFB7AD5"/>
    <w:rsid w:val="7CFE75C5"/>
    <w:rsid w:val="7D5316BF"/>
    <w:rsid w:val="7D686B88"/>
    <w:rsid w:val="7D6F16F7"/>
    <w:rsid w:val="7D985ACE"/>
    <w:rsid w:val="7DAC69B0"/>
    <w:rsid w:val="7DB36601"/>
    <w:rsid w:val="7DC22F36"/>
    <w:rsid w:val="7DE92023"/>
    <w:rsid w:val="7DEC566F"/>
    <w:rsid w:val="7E0F5AAD"/>
    <w:rsid w:val="7E221091"/>
    <w:rsid w:val="7E235E07"/>
    <w:rsid w:val="7E241386"/>
    <w:rsid w:val="7E4D3EA6"/>
    <w:rsid w:val="7E6B0DF0"/>
    <w:rsid w:val="7E8426B2"/>
    <w:rsid w:val="7E850AD2"/>
    <w:rsid w:val="7E8A7362"/>
    <w:rsid w:val="7E957C7E"/>
    <w:rsid w:val="7E9710F9"/>
    <w:rsid w:val="7EC72E1D"/>
    <w:rsid w:val="7EC97D8B"/>
    <w:rsid w:val="7ECA044E"/>
    <w:rsid w:val="7ECA59B1"/>
    <w:rsid w:val="7ED93E46"/>
    <w:rsid w:val="7EE97108"/>
    <w:rsid w:val="7F0C793B"/>
    <w:rsid w:val="7F183874"/>
    <w:rsid w:val="7F2424A1"/>
    <w:rsid w:val="7F376DBE"/>
    <w:rsid w:val="7F425A2A"/>
    <w:rsid w:val="7F663BB5"/>
    <w:rsid w:val="7F6A37A6"/>
    <w:rsid w:val="7F6F769E"/>
    <w:rsid w:val="7F784ED6"/>
    <w:rsid w:val="7F7936A4"/>
    <w:rsid w:val="7F8A5140"/>
    <w:rsid w:val="7F8D24A4"/>
    <w:rsid w:val="7F8E0BEB"/>
    <w:rsid w:val="7F945922"/>
    <w:rsid w:val="7FBA4591"/>
    <w:rsid w:val="7FBA70B5"/>
    <w:rsid w:val="7FBF602C"/>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00" w:lineRule="auto"/>
      <w:ind w:firstLine="964" w:firstLineChars="200"/>
    </w:pPr>
    <w:rPr>
      <w:rFonts w:ascii="Times New Roman" w:hAnsi="Times New Roman" w:eastAsia="宋体" w:cs="Times New Roman"/>
      <w:kern w:val="2"/>
      <w:sz w:val="28"/>
      <w:szCs w:val="24"/>
      <w:lang w:val="en-US" w:eastAsia="zh-CN" w:bidi="ar-SA"/>
    </w:rPr>
  </w:style>
  <w:style w:type="paragraph" w:styleId="3">
    <w:name w:val="heading 1"/>
    <w:basedOn w:val="1"/>
    <w:next w:val="1"/>
    <w:autoRedefine/>
    <w:qFormat/>
    <w:uiPriority w:val="0"/>
    <w:pPr>
      <w:keepNext/>
      <w:keepLines/>
      <w:adjustRightInd w:val="0"/>
      <w:spacing w:line="360" w:lineRule="auto"/>
      <w:ind w:firstLine="0"/>
      <w:jc w:val="center"/>
      <w:textAlignment w:val="baseline"/>
      <w:outlineLvl w:val="0"/>
    </w:pPr>
    <w:rPr>
      <w:b/>
      <w:bCs/>
      <w:kern w:val="44"/>
      <w:szCs w:val="44"/>
    </w:rPr>
  </w:style>
  <w:style w:type="paragraph" w:styleId="4">
    <w:name w:val="heading 2"/>
    <w:basedOn w:val="1"/>
    <w:next w:val="1"/>
    <w:link w:val="17"/>
    <w:autoRedefine/>
    <w:qFormat/>
    <w:uiPriority w:val="0"/>
    <w:pPr>
      <w:keepNext/>
      <w:keepLines/>
      <w:adjustRightInd w:val="0"/>
      <w:spacing w:line="360" w:lineRule="auto"/>
      <w:ind w:firstLine="0" w:firstLineChars="0"/>
      <w:jc w:val="center"/>
      <w:textAlignment w:val="baseline"/>
      <w:outlineLvl w:val="1"/>
    </w:pPr>
    <w:rPr>
      <w:rFonts w:ascii="Arial" w:hAnsi="Arial" w:eastAsia="宋体"/>
      <w:b/>
      <w:bCs/>
      <w:kern w:val="0"/>
      <w:szCs w:val="32"/>
    </w:rPr>
  </w:style>
  <w:style w:type="paragraph" w:styleId="5">
    <w:name w:val="heading 3"/>
    <w:basedOn w:val="1"/>
    <w:next w:val="1"/>
    <w:link w:val="18"/>
    <w:autoRedefine/>
    <w:qFormat/>
    <w:uiPriority w:val="0"/>
    <w:pPr>
      <w:keepNext/>
      <w:keepLines/>
      <w:adjustRightInd w:val="0"/>
      <w:spacing w:line="360" w:lineRule="auto"/>
      <w:ind w:firstLine="0" w:firstLineChars="0"/>
      <w:jc w:val="center"/>
      <w:textAlignment w:val="baseline"/>
      <w:outlineLvl w:val="2"/>
    </w:pPr>
    <w:rPr>
      <w:b/>
      <w:bCs/>
      <w:kern w:val="0"/>
      <w:szCs w:val="32"/>
    </w:rPr>
  </w:style>
  <w:style w:type="paragraph" w:styleId="6">
    <w:name w:val="heading 4"/>
    <w:basedOn w:val="1"/>
    <w:next w:val="1"/>
    <w:link w:val="24"/>
    <w:autoRedefine/>
    <w:unhideWhenUsed/>
    <w:qFormat/>
    <w:uiPriority w:val="0"/>
    <w:pPr>
      <w:keepNext/>
      <w:keepLines/>
      <w:spacing w:before="280" w:after="290" w:line="372" w:lineRule="auto"/>
      <w:outlineLvl w:val="3"/>
    </w:pPr>
    <w:rPr>
      <w:rFonts w:ascii="Arial" w:hAnsi="Arial" w:eastAsia="黑体"/>
      <w:b/>
    </w:rPr>
  </w:style>
  <w:style w:type="character" w:default="1" w:styleId="15">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ind w:firstLine="480"/>
    </w:pPr>
    <w:rPr>
      <w:rFonts w:ascii="仿宋_GB2312" w:eastAsia="仿宋_GB2312"/>
      <w:kern w:val="0"/>
      <w:sz w:val="24"/>
      <w:lang w:val="zh-CN"/>
    </w:rPr>
  </w:style>
  <w:style w:type="paragraph" w:styleId="7">
    <w:name w:val="toc 3"/>
    <w:basedOn w:val="1"/>
    <w:next w:val="1"/>
    <w:autoRedefine/>
    <w:qFormat/>
    <w:uiPriority w:val="0"/>
    <w:pPr>
      <w:spacing w:line="240" w:lineRule="auto"/>
      <w:ind w:left="840" w:leftChars="400"/>
    </w:pPr>
  </w:style>
  <w:style w:type="paragraph" w:styleId="8">
    <w:name w:val="Plain Text"/>
    <w:basedOn w:val="1"/>
    <w:autoRedefine/>
    <w:qFormat/>
    <w:uiPriority w:val="0"/>
    <w:pPr>
      <w:adjustRightInd w:val="0"/>
      <w:snapToGrid w:val="0"/>
      <w:spacing w:line="360" w:lineRule="auto"/>
    </w:pPr>
    <w:rPr>
      <w:rFonts w:ascii="宋体"/>
    </w:rPr>
  </w:style>
  <w:style w:type="paragraph" w:styleId="9">
    <w:name w:val="footer"/>
    <w:basedOn w:val="1"/>
    <w:link w:val="21"/>
    <w:autoRedefine/>
    <w:qFormat/>
    <w:uiPriority w:val="99"/>
    <w:pPr>
      <w:tabs>
        <w:tab w:val="center" w:pos="4153"/>
        <w:tab w:val="right" w:pos="8306"/>
      </w:tabs>
      <w:snapToGrid w:val="0"/>
      <w:spacing w:line="240" w:lineRule="auto"/>
    </w:pPr>
    <w:rPr>
      <w:sz w:val="18"/>
      <w:szCs w:val="18"/>
    </w:rPr>
  </w:style>
  <w:style w:type="paragraph" w:styleId="10">
    <w:name w:val="header"/>
    <w:basedOn w:val="1"/>
    <w:link w:val="22"/>
    <w:autoRedefine/>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1">
    <w:name w:val="toc 1"/>
    <w:basedOn w:val="1"/>
    <w:next w:val="1"/>
    <w:autoRedefine/>
    <w:qFormat/>
    <w:uiPriority w:val="0"/>
    <w:pPr>
      <w:spacing w:line="240" w:lineRule="auto"/>
      <w:ind w:firstLine="0" w:firstLineChars="0"/>
    </w:pPr>
  </w:style>
  <w:style w:type="paragraph" w:styleId="12">
    <w:name w:val="toc 2"/>
    <w:basedOn w:val="1"/>
    <w:next w:val="1"/>
    <w:autoRedefine/>
    <w:qFormat/>
    <w:uiPriority w:val="0"/>
    <w:pPr>
      <w:spacing w:line="240" w:lineRule="auto"/>
      <w:ind w:left="420" w:leftChars="200" w:firstLine="0" w:firstLineChars="0"/>
    </w:pPr>
    <w:rPr>
      <w:rFonts w:ascii="Times New Roman" w:hAnsi="Times New Roman" w:eastAsia="宋体"/>
    </w:rPr>
  </w:style>
  <w:style w:type="paragraph" w:styleId="13">
    <w:name w:val="Normal (Web)"/>
    <w:basedOn w:val="1"/>
    <w:autoRedefine/>
    <w:qFormat/>
    <w:uiPriority w:val="0"/>
    <w:rPr>
      <w:rFonts w:ascii="Times New Roman" w:hAnsi="Times New Roman" w:eastAsia="宋体"/>
      <w:sz w:val="24"/>
    </w:rPr>
  </w:style>
  <w:style w:type="character" w:styleId="16">
    <w:name w:val="Hyperlink"/>
    <w:basedOn w:val="15"/>
    <w:autoRedefine/>
    <w:qFormat/>
    <w:uiPriority w:val="0"/>
    <w:rPr>
      <w:color w:val="0000FF"/>
      <w:u w:val="single"/>
    </w:rPr>
  </w:style>
  <w:style w:type="character" w:customStyle="1" w:styleId="17">
    <w:name w:val="标题 2 字符"/>
    <w:link w:val="4"/>
    <w:autoRedefine/>
    <w:qFormat/>
    <w:uiPriority w:val="0"/>
    <w:rPr>
      <w:rFonts w:ascii="Arial" w:hAnsi="Arial" w:eastAsia="宋体"/>
      <w:b/>
      <w:bCs/>
      <w:kern w:val="0"/>
      <w:sz w:val="28"/>
      <w:szCs w:val="32"/>
    </w:rPr>
  </w:style>
  <w:style w:type="character" w:customStyle="1" w:styleId="18">
    <w:name w:val="标题 3 字符"/>
    <w:link w:val="5"/>
    <w:autoRedefine/>
    <w:qFormat/>
    <w:uiPriority w:val="0"/>
    <w:rPr>
      <w:rFonts w:ascii="Times New Roman" w:hAnsi="Times New Roman" w:eastAsia="宋体"/>
      <w:b/>
      <w:bCs/>
      <w:kern w:val="0"/>
      <w:sz w:val="28"/>
      <w:szCs w:val="32"/>
    </w:rPr>
  </w:style>
  <w:style w:type="character" w:customStyle="1" w:styleId="19">
    <w:name w:val="标题 4 Char"/>
    <w:autoRedefine/>
    <w:qFormat/>
    <w:uiPriority w:val="0"/>
    <w:rPr>
      <w:rFonts w:ascii="Arial" w:hAnsi="Arial" w:eastAsia="黑体"/>
      <w:b/>
      <w:sz w:val="28"/>
    </w:rPr>
  </w:style>
  <w:style w:type="paragraph" w:customStyle="1" w:styleId="20">
    <w:name w:val="Table Text"/>
    <w:basedOn w:val="1"/>
    <w:autoRedefine/>
    <w:hidden/>
    <w:qFormat/>
    <w:uiPriority w:val="0"/>
    <w:pPr>
      <w:widowControl/>
      <w:kinsoku w:val="0"/>
      <w:autoSpaceDE w:val="0"/>
      <w:autoSpaceDN w:val="0"/>
      <w:adjustRightInd w:val="0"/>
      <w:snapToGrid w:val="0"/>
    </w:pPr>
    <w:rPr>
      <w:rFonts w:hint="eastAsia" w:ascii="宋体" w:hAnsi="宋体"/>
      <w:color w:val="000000"/>
      <w:kern w:val="0"/>
      <w:sz w:val="20"/>
      <w:szCs w:val="20"/>
    </w:rPr>
  </w:style>
  <w:style w:type="character" w:customStyle="1" w:styleId="21">
    <w:name w:val="页脚 字符"/>
    <w:basedOn w:val="15"/>
    <w:link w:val="9"/>
    <w:autoRedefine/>
    <w:qFormat/>
    <w:uiPriority w:val="99"/>
    <w:rPr>
      <w:rFonts w:hint="default" w:ascii="Arial" w:hAnsi="Arial" w:eastAsia="Arial" w:cs="Arial"/>
      <w:snapToGrid/>
      <w:color w:val="000000"/>
      <w:sz w:val="18"/>
      <w:szCs w:val="18"/>
      <w:lang w:eastAsia="en-US"/>
    </w:rPr>
  </w:style>
  <w:style w:type="character" w:customStyle="1" w:styleId="22">
    <w:name w:val="页眉 字符"/>
    <w:basedOn w:val="15"/>
    <w:link w:val="10"/>
    <w:autoRedefine/>
    <w:qFormat/>
    <w:uiPriority w:val="0"/>
    <w:rPr>
      <w:rFonts w:hint="default" w:ascii="Arial" w:hAnsi="Arial" w:eastAsia="Arial" w:cs="Arial"/>
      <w:snapToGrid/>
      <w:color w:val="000000"/>
      <w:sz w:val="18"/>
      <w:szCs w:val="21"/>
      <w:lang w:eastAsia="en-US"/>
    </w:rPr>
  </w:style>
  <w:style w:type="table" w:customStyle="1" w:styleId="23">
    <w:name w:val="Table Normal"/>
    <w:basedOn w:val="14"/>
    <w:autoRedefine/>
    <w:qFormat/>
    <w:uiPriority w:val="0"/>
    <w:rPr>
      <w:rFonts w:ascii="Arial" w:hAnsi="Arial" w:cs="Arial"/>
    </w:rPr>
    <w:tblPr>
      <w:tblCellMar>
        <w:left w:w="0" w:type="dxa"/>
        <w:right w:w="0" w:type="dxa"/>
      </w:tblCellMar>
    </w:tblPr>
  </w:style>
  <w:style w:type="character" w:customStyle="1" w:styleId="24">
    <w:name w:val="标题 4 字符"/>
    <w:basedOn w:val="15"/>
    <w:link w:val="6"/>
    <w:qFormat/>
    <w:uiPriority w:val="0"/>
    <w:rPr>
      <w:rFonts w:ascii="等线 Light" w:hAnsi="等线 Light" w:eastAsia="等线 Light" w:cs="Times New Roman"/>
      <w:b/>
      <w:bCs/>
      <w:kern w:val="2"/>
      <w:sz w:val="28"/>
      <w:szCs w:val="28"/>
    </w:rPr>
  </w:style>
  <w:style w:type="paragraph" w:customStyle="1" w:styleId="25">
    <w:name w:val="标题1"/>
    <w:basedOn w:val="1"/>
    <w:qFormat/>
    <w:uiPriority w:val="0"/>
    <w:pPr>
      <w:ind w:firstLine="0" w:firstLineChars="0"/>
      <w:jc w:val="center"/>
    </w:pPr>
    <w:rPr>
      <w:rFonts w:eastAsia="方正小标宋_GBK"/>
      <w:sz w:val="36"/>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DF28E-0A75-4A1D-ADA7-BB9EAAEF8481}">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264</Pages>
  <Words>124316</Words>
  <Characters>135971</Characters>
  <Lines>1010</Lines>
  <Paragraphs>284</Paragraphs>
  <TotalTime>26</TotalTime>
  <ScaleCrop>false</ScaleCrop>
  <LinksUpToDate>false</LinksUpToDate>
  <CharactersWithSpaces>137188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紫霞仙子</dc:creator>
  <cp:lastModifiedBy>Administrator</cp:lastModifiedBy>
  <cp:lastPrinted>2024-05-27T00:21:00Z</cp:lastPrinted>
  <dcterms:modified xsi:type="dcterms:W3CDTF">2024-06-21T07:49:33Z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35B1C6E1B8B640818D21DE431295A104_13</vt:lpwstr>
  </property>
</Properties>
</file>