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宋体" w:hAnsi="宋体"/>
                <w:sz w:val="24"/>
              </w:rPr>
              <w:t>常温四极磁铁</w:t>
            </w:r>
          </w:p>
        </w:tc>
        <w:tc>
          <w:tcPr>
            <w:tcW w:w="635" w:type="dxa"/>
            <w:noWrap w:val="0"/>
            <w:vAlign w:val="center"/>
          </w:tcPr>
          <w:p>
            <w:pPr>
              <w:jc w:val="center"/>
              <w:rPr>
                <w:rFonts w:hint="eastAsia" w:ascii="宋体" w:hAnsi="Bookman Old Style"/>
                <w:sz w:val="24"/>
              </w:rPr>
            </w:pPr>
            <w:r>
              <w:rPr>
                <w:rFonts w:ascii="宋体" w:hAnsi="宋体"/>
                <w:sz w:val="24"/>
              </w:rPr>
              <w:t>12</w:t>
            </w:r>
            <w:r>
              <w:rPr>
                <w:rFonts w:hint="eastAsia" w:ascii="宋体" w:hAnsi="宋体"/>
                <w:sz w:val="24"/>
              </w:rPr>
              <w:t>台</w:t>
            </w:r>
          </w:p>
        </w:tc>
        <w:tc>
          <w:tcPr>
            <w:tcW w:w="1320" w:type="dxa"/>
            <w:noWrap w:val="0"/>
            <w:vAlign w:val="center"/>
          </w:tcPr>
          <w:p>
            <w:pPr>
              <w:jc w:val="center"/>
              <w:rPr>
                <w:rFonts w:hint="eastAsia" w:ascii="宋体" w:hAnsi="Bookman Old Style"/>
                <w:sz w:val="24"/>
              </w:rPr>
            </w:pPr>
            <w:r>
              <w:rPr>
                <w:rFonts w:hint="eastAsia" w:ascii="宋体" w:hAnsi="Bookman Old Style"/>
                <w:sz w:val="24"/>
              </w:rPr>
              <w:t>合同签订后</w:t>
            </w:r>
            <w:r>
              <w:rPr>
                <w:rFonts w:ascii="宋体" w:hAnsi="Bookman Old Style"/>
                <w:sz w:val="24"/>
              </w:rPr>
              <w:t>5</w:t>
            </w:r>
            <w:r>
              <w:rPr>
                <w:rFonts w:hint="eastAsia" w:ascii="宋体" w:hAnsi="Bookman Old Style"/>
                <w:sz w:val="24"/>
              </w:rPr>
              <w:t>个月。</w:t>
            </w:r>
          </w:p>
        </w:tc>
        <w:tc>
          <w:tcPr>
            <w:tcW w:w="1765" w:type="dxa"/>
            <w:noWrap w:val="0"/>
            <w:vAlign w:val="center"/>
          </w:tcPr>
          <w:p>
            <w:pPr>
              <w:jc w:val="center"/>
              <w:rPr>
                <w:rFonts w:hint="eastAsia"/>
                <w:sz w:val="24"/>
              </w:rPr>
            </w:pPr>
            <w:r>
              <w:rPr>
                <w:rFonts w:hint="eastAsia"/>
                <w:sz w:val="24"/>
              </w:rPr>
              <w:t>/</w:t>
            </w:r>
          </w:p>
        </w:tc>
        <w:tc>
          <w:tcPr>
            <w:tcW w:w="2520" w:type="dxa"/>
            <w:noWrap w:val="0"/>
            <w:vAlign w:val="center"/>
          </w:tcPr>
          <w:p>
            <w:pPr>
              <w:jc w:val="center"/>
              <w:rPr>
                <w:rFonts w:hint="eastAsia" w:ascii="宋体" w:hAnsi="Bookman Old Style"/>
                <w:sz w:val="24"/>
              </w:rPr>
            </w:pPr>
            <w:r>
              <w:rPr>
                <w:rFonts w:hint="eastAsia" w:ascii="宋体" w:hAnsi="Bookman Old Style"/>
                <w:sz w:val="24"/>
              </w:rPr>
              <w:t>兰州市城关区南昌路509号或甲方指定地点，乙方无条件承担磁场测量、二次或多次削斜后测量及最终运往加速器现场的费用（含装卸及转运）。</w:t>
            </w:r>
          </w:p>
        </w:tc>
      </w:tr>
    </w:tbl>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技术规格</w:t>
      </w:r>
    </w:p>
    <w:p>
      <w:pPr>
        <w:spacing w:line="360" w:lineRule="auto"/>
        <w:ind w:left="600" w:hanging="600"/>
        <w:rPr>
          <w:rFonts w:hint="eastAsia" w:ascii="宋体" w:hAnsi="宋体"/>
          <w:b/>
          <w:sz w:val="30"/>
          <w:szCs w:val="30"/>
        </w:rPr>
      </w:pPr>
      <w:r>
        <w:rPr>
          <w:rFonts w:hint="eastAsia" w:ascii="宋体" w:hAnsi="宋体"/>
          <w:b/>
          <w:sz w:val="30"/>
          <w:szCs w:val="30"/>
        </w:rPr>
        <w:t>一、总</w:t>
      </w:r>
      <w:r>
        <w:rPr>
          <w:rFonts w:ascii="宋体" w:hAnsi="宋体"/>
          <w:b/>
          <w:sz w:val="30"/>
          <w:szCs w:val="30"/>
        </w:rPr>
        <w:t xml:space="preserve">  </w:t>
      </w:r>
      <w:r>
        <w:rPr>
          <w:rFonts w:hint="eastAsia" w:ascii="宋体" w:hAnsi="宋体"/>
          <w:b/>
          <w:sz w:val="30"/>
          <w:szCs w:val="30"/>
        </w:rPr>
        <w:t>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hAns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5、本技术规格书中标注“*”号的为关键技术参数，对这些关键技术参数的任何负偏离将导致废标。</w:t>
      </w:r>
    </w:p>
    <w:p>
      <w:pPr>
        <w:pStyle w:val="2"/>
        <w:spacing w:line="360" w:lineRule="auto"/>
        <w:rPr>
          <w:rFonts w:hint="eastAsia" w:hAnsi="宋体"/>
          <w:b/>
          <w:sz w:val="24"/>
          <w:szCs w:val="24"/>
        </w:rPr>
      </w:pPr>
    </w:p>
    <w:p>
      <w:pPr>
        <w:pStyle w:val="2"/>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pPr>
        <w:spacing w:after="156" w:afterLines="50"/>
        <w:ind w:left="601" w:hanging="601"/>
        <w:rPr>
          <w:rFonts w:ascii="宋体" w:hAnsi="宋体" w:cs="宋体"/>
          <w:b/>
          <w:sz w:val="28"/>
        </w:rPr>
      </w:pPr>
      <w:r>
        <w:rPr>
          <w:rFonts w:ascii="宋体" w:hAnsi="宋体"/>
          <w:b/>
          <w:sz w:val="28"/>
        </w:rPr>
        <w:br w:type="page"/>
      </w:r>
      <w:r>
        <w:rPr>
          <w:rFonts w:hint="eastAsia" w:ascii="宋体" w:hAnsi="宋体" w:cs="宋体"/>
          <w:b/>
          <w:sz w:val="28"/>
        </w:rPr>
        <w:t>二、具体技术规格</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采购项目简介（内容、用途、数量等）</w:t>
      </w:r>
    </w:p>
    <w:p>
      <w:pPr>
        <w:spacing w:line="360" w:lineRule="auto"/>
        <w:rPr>
          <w:sz w:val="24"/>
          <w:u w:val="single"/>
        </w:rPr>
      </w:pPr>
      <w:r>
        <w:rPr>
          <w:rFonts w:hint="eastAsia"/>
          <w:sz w:val="24"/>
          <w:u w:val="single"/>
        </w:rPr>
        <w:t>本项目采购常温四极磁铁。四极磁铁为聚焦磁铁</w:t>
      </w:r>
    </w:p>
    <w:p>
      <w:pPr>
        <w:spacing w:line="360" w:lineRule="auto"/>
        <w:rPr>
          <w:sz w:val="24"/>
          <w:u w:val="single"/>
        </w:rPr>
      </w:pPr>
      <w:r>
        <w:rPr>
          <w:rFonts w:hint="eastAsia"/>
          <w:sz w:val="24"/>
          <w:u w:val="single"/>
        </w:rPr>
        <w:t>本采购项目包括</w:t>
      </w:r>
      <w:r>
        <w:rPr>
          <w:sz w:val="24"/>
          <w:u w:val="single"/>
        </w:rPr>
        <w:t>12台</w:t>
      </w:r>
      <w:r>
        <w:rPr>
          <w:rFonts w:hint="eastAsia"/>
          <w:sz w:val="24"/>
          <w:u w:val="single"/>
        </w:rPr>
        <w:t>常温四极磁铁，其中</w:t>
      </w:r>
      <w:r>
        <w:rPr>
          <w:sz w:val="24"/>
          <w:u w:val="single"/>
        </w:rPr>
        <w:t>QL1150R110</w:t>
      </w:r>
      <w:r>
        <w:rPr>
          <w:rFonts w:hint="eastAsia"/>
          <w:sz w:val="24"/>
          <w:u w:val="single"/>
        </w:rPr>
        <w:t>八台，</w:t>
      </w:r>
      <w:r>
        <w:rPr>
          <w:sz w:val="24"/>
          <w:u w:val="single"/>
        </w:rPr>
        <w:t>QL750R110</w:t>
      </w:r>
      <w:r>
        <w:rPr>
          <w:rFonts w:hint="eastAsia"/>
          <w:sz w:val="24"/>
          <w:u w:val="single"/>
        </w:rPr>
        <w:t>四台。</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采购项目规格、参数及技术方案（非标设备需提供技术方案和设计草图）</w:t>
      </w:r>
    </w:p>
    <w:p>
      <w:pPr>
        <w:spacing w:line="360" w:lineRule="auto"/>
        <w:ind w:firstLine="482" w:firstLineChars="200"/>
        <w:rPr>
          <w:b/>
          <w:sz w:val="24"/>
        </w:rPr>
      </w:pPr>
      <w:r>
        <w:rPr>
          <w:b/>
          <w:sz w:val="24"/>
        </w:rPr>
        <w:t>1、规格及参数</w:t>
      </w:r>
    </w:p>
    <w:p>
      <w:pPr>
        <w:spacing w:line="360" w:lineRule="auto"/>
        <w:ind w:left="480"/>
        <w:rPr>
          <w:bCs/>
          <w:sz w:val="24"/>
        </w:rPr>
      </w:pPr>
      <w:r>
        <w:rPr>
          <w:rFonts w:hint="eastAsia"/>
          <w:bCs/>
          <w:sz w:val="24"/>
        </w:rPr>
        <w:t>常温四极磁铁参数要求如表1所示。</w:t>
      </w:r>
    </w:p>
    <w:p>
      <w:pPr>
        <w:spacing w:line="360" w:lineRule="auto"/>
        <w:jc w:val="center"/>
        <w:rPr>
          <w:bCs/>
          <w:sz w:val="24"/>
        </w:rPr>
      </w:pPr>
      <w:r>
        <w:rPr>
          <w:rFonts w:hint="eastAsia"/>
          <w:bCs/>
          <w:sz w:val="24"/>
        </w:rPr>
        <w:t>表1</w:t>
      </w:r>
      <w:r>
        <w:rPr>
          <w:bCs/>
          <w:sz w:val="24"/>
        </w:rPr>
        <w:t xml:space="preserve"> </w:t>
      </w:r>
      <w:r>
        <w:rPr>
          <w:rFonts w:hint="eastAsia"/>
          <w:bCs/>
          <w:sz w:val="24"/>
        </w:rPr>
        <w:t>常温四极磁铁规格及参数表</w:t>
      </w:r>
    </w:p>
    <w:p>
      <w:pPr>
        <w:spacing w:line="360" w:lineRule="auto"/>
        <w:jc w:val="center"/>
        <w:rPr>
          <w:bCs/>
          <w:sz w:val="24"/>
        </w:rPr>
      </w:pPr>
      <w:r>
        <w:drawing>
          <wp:inline distT="0" distB="0" distL="114300" distR="114300">
            <wp:extent cx="5751830" cy="1713230"/>
            <wp:effectExtent l="0" t="0" r="127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rcRect l="2" r="220"/>
                    <a:stretch>
                      <a:fillRect/>
                    </a:stretch>
                  </pic:blipFill>
                  <pic:spPr>
                    <a:xfrm>
                      <a:off x="0" y="0"/>
                      <a:ext cx="5751830" cy="1713230"/>
                    </a:xfrm>
                    <a:prstGeom prst="rect">
                      <a:avLst/>
                    </a:prstGeom>
                    <a:noFill/>
                    <a:ln>
                      <a:noFill/>
                    </a:ln>
                  </pic:spPr>
                </pic:pic>
              </a:graphicData>
            </a:graphic>
          </wp:inline>
        </w:drawing>
      </w:r>
    </w:p>
    <w:p>
      <w:pPr>
        <w:spacing w:line="360" w:lineRule="auto"/>
        <w:ind w:firstLine="482" w:firstLineChars="200"/>
        <w:rPr>
          <w:b/>
          <w:sz w:val="24"/>
        </w:rPr>
      </w:pPr>
      <w:r>
        <w:rPr>
          <w:b/>
          <w:sz w:val="24"/>
        </w:rPr>
        <w:t>2、技术方案</w:t>
      </w:r>
    </w:p>
    <w:p>
      <w:pPr>
        <w:spacing w:line="360" w:lineRule="auto"/>
        <w:ind w:left="480"/>
        <w:rPr>
          <w:bCs/>
          <w:sz w:val="24"/>
        </w:rPr>
      </w:pPr>
      <w:r>
        <w:rPr>
          <w:bCs/>
          <w:sz w:val="24"/>
        </w:rPr>
        <w:t>12</w:t>
      </w:r>
      <w:r>
        <w:rPr>
          <w:rFonts w:hint="eastAsia"/>
          <w:bCs/>
          <w:sz w:val="24"/>
        </w:rPr>
        <w:t>台常温四极磁铁铁芯均采用电工纯铁D</w:t>
      </w:r>
      <w:r>
        <w:rPr>
          <w:bCs/>
          <w:sz w:val="24"/>
        </w:rPr>
        <w:t>T4,</w:t>
      </w:r>
      <w:r>
        <w:rPr>
          <w:rFonts w:hint="eastAsia"/>
          <w:bCs/>
          <w:sz w:val="24"/>
        </w:rPr>
        <w:t>线圈采用中空方铜线（T</w:t>
      </w:r>
      <w:r>
        <w:rPr>
          <w:bCs/>
          <w:sz w:val="24"/>
        </w:rPr>
        <w:t>U1</w:t>
      </w:r>
      <w:r>
        <w:rPr>
          <w:rFonts w:hint="eastAsia"/>
          <w:bCs/>
          <w:sz w:val="24"/>
        </w:rPr>
        <w:t>）:</w:t>
      </w:r>
    </w:p>
    <w:p>
      <w:pPr>
        <w:spacing w:line="360" w:lineRule="auto"/>
        <w:ind w:left="480"/>
        <w:rPr>
          <w:bCs/>
          <w:sz w:val="24"/>
        </w:rPr>
      </w:pPr>
      <w:r>
        <w:rPr>
          <w:rFonts w:hint="eastAsia"/>
          <w:bCs/>
          <w:sz w:val="24"/>
        </w:rPr>
        <w:t>四极磁铁QL1150R110-</w:t>
      </w:r>
      <w:r>
        <w:rPr>
          <w:bCs/>
          <w:sz w:val="24"/>
        </w:rPr>
        <w:t>4</w:t>
      </w:r>
      <w:r>
        <w:rPr>
          <w:rFonts w:hint="eastAsia"/>
          <w:bCs/>
          <w:sz w:val="24"/>
        </w:rPr>
        <w:t>台</w:t>
      </w:r>
    </w:p>
    <w:p>
      <w:pPr>
        <w:spacing w:line="360" w:lineRule="auto"/>
        <w:ind w:left="480"/>
        <w:jc w:val="center"/>
        <w:rPr>
          <w:bCs/>
          <w:sz w:val="24"/>
        </w:rPr>
      </w:pPr>
      <w:r>
        <w:rPr>
          <w:sz w:val="24"/>
        </w:rPr>
        <w:drawing>
          <wp:inline distT="0" distB="0" distL="114300" distR="114300">
            <wp:extent cx="2082165" cy="1804035"/>
            <wp:effectExtent l="0" t="0" r="635"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2082165" cy="1804035"/>
                    </a:xfrm>
                    <a:prstGeom prst="rect">
                      <a:avLst/>
                    </a:prstGeom>
                    <a:noFill/>
                    <a:ln>
                      <a:noFill/>
                    </a:ln>
                  </pic:spPr>
                </pic:pic>
              </a:graphicData>
            </a:graphic>
          </wp:inline>
        </w:drawing>
      </w:r>
      <w:r>
        <w:rPr>
          <w:sz w:val="24"/>
        </w:rPr>
        <w:drawing>
          <wp:inline distT="0" distB="0" distL="114300" distR="114300">
            <wp:extent cx="1890395" cy="1799590"/>
            <wp:effectExtent l="0" t="0" r="1905"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1890395" cy="1799590"/>
                    </a:xfrm>
                    <a:prstGeom prst="rect">
                      <a:avLst/>
                    </a:prstGeom>
                    <a:noFill/>
                    <a:ln>
                      <a:noFill/>
                    </a:ln>
                  </pic:spPr>
                </pic:pic>
              </a:graphicData>
            </a:graphic>
          </wp:inline>
        </w:drawing>
      </w:r>
    </w:p>
    <w:p>
      <w:pPr>
        <w:spacing w:line="360" w:lineRule="auto"/>
        <w:ind w:left="480"/>
        <w:jc w:val="center"/>
        <w:rPr>
          <w:bCs/>
          <w:sz w:val="24"/>
        </w:rPr>
      </w:pPr>
      <w:bookmarkStart w:id="0" w:name="_Hlk154697710"/>
      <w:r>
        <w:rPr>
          <w:rFonts w:hint="eastAsia"/>
          <w:bCs/>
          <w:sz w:val="24"/>
        </w:rPr>
        <w:t>QL1</w:t>
      </w:r>
      <w:r>
        <w:rPr>
          <w:bCs/>
          <w:sz w:val="24"/>
        </w:rPr>
        <w:t>15</w:t>
      </w:r>
      <w:r>
        <w:rPr>
          <w:rFonts w:hint="eastAsia"/>
          <w:bCs/>
          <w:sz w:val="24"/>
        </w:rPr>
        <w:t>0R1</w:t>
      </w:r>
      <w:r>
        <w:rPr>
          <w:bCs/>
          <w:sz w:val="24"/>
        </w:rPr>
        <w:t>10</w:t>
      </w:r>
      <w:r>
        <w:rPr>
          <w:rFonts w:hint="eastAsia"/>
          <w:bCs/>
          <w:sz w:val="24"/>
        </w:rPr>
        <w:t xml:space="preserve"> 二维及三维模型</w:t>
      </w:r>
    </w:p>
    <w:bookmarkEnd w:id="0"/>
    <w:p>
      <w:pPr>
        <w:spacing w:line="360" w:lineRule="auto"/>
        <w:ind w:left="480"/>
        <w:jc w:val="center"/>
        <w:rPr>
          <w:bCs/>
          <w:sz w:val="24"/>
        </w:rPr>
      </w:pPr>
      <w:r>
        <w:rPr>
          <w:sz w:val="24"/>
        </w:rPr>
        <w:drawing>
          <wp:inline distT="0" distB="0" distL="114300" distR="114300">
            <wp:extent cx="3294380" cy="1629410"/>
            <wp:effectExtent l="0" t="0" r="7620" b="889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9"/>
                    <a:stretch>
                      <a:fillRect/>
                    </a:stretch>
                  </pic:blipFill>
                  <pic:spPr>
                    <a:xfrm>
                      <a:off x="0" y="0"/>
                      <a:ext cx="3294380" cy="1629410"/>
                    </a:xfrm>
                    <a:prstGeom prst="rect">
                      <a:avLst/>
                    </a:prstGeom>
                    <a:noFill/>
                    <a:ln>
                      <a:noFill/>
                    </a:ln>
                  </pic:spPr>
                </pic:pic>
              </a:graphicData>
            </a:graphic>
          </wp:inline>
        </w:drawing>
      </w:r>
    </w:p>
    <w:p>
      <w:pPr>
        <w:spacing w:line="360" w:lineRule="auto"/>
        <w:ind w:left="480"/>
        <w:jc w:val="center"/>
        <w:rPr>
          <w:bCs/>
          <w:sz w:val="24"/>
        </w:rPr>
      </w:pPr>
      <w:r>
        <w:rPr>
          <w:rFonts w:hint="eastAsia"/>
          <w:bCs/>
          <w:sz w:val="24"/>
        </w:rPr>
        <w:t>QL1</w:t>
      </w:r>
      <w:r>
        <w:rPr>
          <w:bCs/>
          <w:sz w:val="24"/>
        </w:rPr>
        <w:t>150</w:t>
      </w:r>
      <w:r>
        <w:rPr>
          <w:rFonts w:hint="eastAsia"/>
          <w:bCs/>
          <w:sz w:val="24"/>
        </w:rPr>
        <w:t>R1</w:t>
      </w:r>
      <w:r>
        <w:rPr>
          <w:bCs/>
          <w:sz w:val="24"/>
        </w:rPr>
        <w:t>10</w:t>
      </w:r>
      <w:r>
        <w:rPr>
          <w:rFonts w:hint="eastAsia"/>
          <w:bCs/>
          <w:sz w:val="24"/>
        </w:rPr>
        <w:t xml:space="preserve"> 横向场均匀度</w:t>
      </w:r>
    </w:p>
    <w:p>
      <w:pPr>
        <w:spacing w:line="360" w:lineRule="auto"/>
        <w:ind w:left="480"/>
        <w:rPr>
          <w:bCs/>
          <w:sz w:val="24"/>
        </w:rPr>
      </w:pPr>
      <w:r>
        <w:rPr>
          <w:rFonts w:hint="eastAsia"/>
          <w:bCs/>
          <w:sz w:val="24"/>
        </w:rPr>
        <w:t>四极磁铁QL750R110-</w:t>
      </w:r>
      <w:r>
        <w:rPr>
          <w:bCs/>
          <w:sz w:val="24"/>
        </w:rPr>
        <w:t>8</w:t>
      </w:r>
      <w:r>
        <w:rPr>
          <w:rFonts w:hint="eastAsia"/>
          <w:bCs/>
          <w:sz w:val="24"/>
        </w:rPr>
        <w:t>台</w:t>
      </w:r>
    </w:p>
    <w:p>
      <w:pPr>
        <w:spacing w:line="360" w:lineRule="auto"/>
        <w:ind w:left="480"/>
        <w:jc w:val="center"/>
        <w:rPr>
          <w:bCs/>
          <w:sz w:val="24"/>
        </w:rPr>
      </w:pPr>
      <w:r>
        <w:rPr>
          <w:sz w:val="24"/>
        </w:rPr>
        <w:drawing>
          <wp:inline distT="0" distB="0" distL="114300" distR="114300">
            <wp:extent cx="2090420" cy="1826895"/>
            <wp:effectExtent l="0" t="0" r="508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0">
                      <a:clrChange>
                        <a:clrFrom>
                          <a:srgbClr val="FFFFFF"/>
                        </a:clrFrom>
                        <a:clrTo>
                          <a:srgbClr val="FFFFFF">
                            <a:alpha val="0"/>
                          </a:srgbClr>
                        </a:clrTo>
                      </a:clrChange>
                    </a:blip>
                    <a:stretch>
                      <a:fillRect/>
                    </a:stretch>
                  </pic:blipFill>
                  <pic:spPr>
                    <a:xfrm>
                      <a:off x="0" y="0"/>
                      <a:ext cx="2090420" cy="1826895"/>
                    </a:xfrm>
                    <a:prstGeom prst="rect">
                      <a:avLst/>
                    </a:prstGeom>
                    <a:noFill/>
                    <a:ln>
                      <a:noFill/>
                    </a:ln>
                  </pic:spPr>
                </pic:pic>
              </a:graphicData>
            </a:graphic>
          </wp:inline>
        </w:drawing>
      </w:r>
      <w:r>
        <w:rPr>
          <w:sz w:val="24"/>
        </w:rPr>
        <w:drawing>
          <wp:inline distT="0" distB="0" distL="114300" distR="114300">
            <wp:extent cx="1925955" cy="1978025"/>
            <wp:effectExtent l="0" t="0" r="4445" b="3175"/>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11">
                      <a:clrChange>
                        <a:clrFrom>
                          <a:srgbClr val="FFFFFF"/>
                        </a:clrFrom>
                        <a:clrTo>
                          <a:srgbClr val="FFFFFF">
                            <a:alpha val="0"/>
                          </a:srgbClr>
                        </a:clrTo>
                      </a:clrChange>
                    </a:blip>
                    <a:stretch>
                      <a:fillRect/>
                    </a:stretch>
                  </pic:blipFill>
                  <pic:spPr>
                    <a:xfrm>
                      <a:off x="0" y="0"/>
                      <a:ext cx="1925955" cy="1978025"/>
                    </a:xfrm>
                    <a:prstGeom prst="rect">
                      <a:avLst/>
                    </a:prstGeom>
                    <a:noFill/>
                    <a:ln>
                      <a:noFill/>
                    </a:ln>
                  </pic:spPr>
                </pic:pic>
              </a:graphicData>
            </a:graphic>
          </wp:inline>
        </w:drawing>
      </w:r>
    </w:p>
    <w:p>
      <w:pPr>
        <w:spacing w:line="360" w:lineRule="auto"/>
        <w:ind w:left="480"/>
        <w:jc w:val="center"/>
        <w:rPr>
          <w:bCs/>
          <w:sz w:val="24"/>
        </w:rPr>
      </w:pPr>
      <w:r>
        <w:rPr>
          <w:rFonts w:hint="eastAsia"/>
          <w:bCs/>
          <w:sz w:val="24"/>
        </w:rPr>
        <w:t>QL</w:t>
      </w:r>
      <w:r>
        <w:rPr>
          <w:bCs/>
          <w:sz w:val="24"/>
        </w:rPr>
        <w:t>75</w:t>
      </w:r>
      <w:r>
        <w:rPr>
          <w:rFonts w:hint="eastAsia"/>
          <w:bCs/>
          <w:sz w:val="24"/>
        </w:rPr>
        <w:t>0R1</w:t>
      </w:r>
      <w:r>
        <w:rPr>
          <w:bCs/>
          <w:sz w:val="24"/>
        </w:rPr>
        <w:t>10</w:t>
      </w:r>
      <w:r>
        <w:rPr>
          <w:rFonts w:hint="eastAsia"/>
          <w:bCs/>
          <w:sz w:val="24"/>
        </w:rPr>
        <w:t xml:space="preserve"> 二维及三维模型</w:t>
      </w:r>
    </w:p>
    <w:p>
      <w:pPr>
        <w:spacing w:line="360" w:lineRule="auto"/>
        <w:ind w:left="480"/>
        <w:jc w:val="center"/>
        <w:rPr>
          <w:bCs/>
          <w:sz w:val="24"/>
        </w:rPr>
      </w:pPr>
      <w:r>
        <w:rPr>
          <w:sz w:val="24"/>
        </w:rPr>
        <w:drawing>
          <wp:inline distT="0" distB="0" distL="114300" distR="114300">
            <wp:extent cx="3484245" cy="1629410"/>
            <wp:effectExtent l="0" t="0" r="8255" b="889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3484245" cy="1629410"/>
                    </a:xfrm>
                    <a:prstGeom prst="rect">
                      <a:avLst/>
                    </a:prstGeom>
                    <a:noFill/>
                    <a:ln>
                      <a:noFill/>
                    </a:ln>
                  </pic:spPr>
                </pic:pic>
              </a:graphicData>
            </a:graphic>
          </wp:inline>
        </w:drawing>
      </w:r>
    </w:p>
    <w:p>
      <w:pPr>
        <w:spacing w:line="360" w:lineRule="auto"/>
        <w:ind w:left="480"/>
        <w:jc w:val="center"/>
        <w:rPr>
          <w:bCs/>
          <w:sz w:val="24"/>
        </w:rPr>
      </w:pPr>
      <w:r>
        <w:rPr>
          <w:rFonts w:hint="eastAsia"/>
          <w:bCs/>
          <w:sz w:val="24"/>
        </w:rPr>
        <w:t>QL</w:t>
      </w:r>
      <w:r>
        <w:rPr>
          <w:bCs/>
          <w:sz w:val="24"/>
        </w:rPr>
        <w:t>7</w:t>
      </w:r>
      <w:r>
        <w:rPr>
          <w:rFonts w:hint="eastAsia"/>
          <w:bCs/>
          <w:sz w:val="24"/>
        </w:rPr>
        <w:t>50R110 横向场均匀度</w:t>
      </w:r>
    </w:p>
    <w:p>
      <w:pPr>
        <w:spacing w:line="360" w:lineRule="auto"/>
        <w:ind w:left="480"/>
        <w:jc w:val="left"/>
        <w:rPr>
          <w:bCs/>
          <w:sz w:val="24"/>
        </w:rPr>
      </w:pPr>
      <w:r>
        <w:rPr>
          <w:rFonts w:hint="eastAsia"/>
          <w:bCs/>
          <w:sz w:val="24"/>
        </w:rPr>
        <w:t>具体水电参数如下：</w:t>
      </w:r>
    </w:p>
    <w:p>
      <w:pPr>
        <w:spacing w:line="360" w:lineRule="auto"/>
        <w:ind w:left="480"/>
        <w:jc w:val="center"/>
        <w:rPr>
          <w:bCs/>
          <w:sz w:val="24"/>
        </w:rPr>
      </w:pPr>
      <w:r>
        <w:rPr>
          <w:rFonts w:hint="eastAsia"/>
          <w:bCs/>
          <w:sz w:val="24"/>
        </w:rPr>
        <w:t>表</w:t>
      </w:r>
      <w:r>
        <w:rPr>
          <w:bCs/>
          <w:sz w:val="24"/>
        </w:rPr>
        <w:t>2</w:t>
      </w:r>
      <w:r>
        <w:rPr>
          <w:rFonts w:hint="eastAsia"/>
          <w:bCs/>
          <w:sz w:val="24"/>
        </w:rPr>
        <w:t xml:space="preserve"> 常温四极磁铁水电参数</w:t>
      </w:r>
    </w:p>
    <w:p>
      <w:pPr>
        <w:spacing w:line="360" w:lineRule="auto"/>
        <w:jc w:val="center"/>
        <w:rPr>
          <w:rFonts w:hint="eastAsia"/>
          <w:bCs/>
          <w:sz w:val="24"/>
        </w:rPr>
      </w:pPr>
      <w:r>
        <w:drawing>
          <wp:inline distT="0" distB="0" distL="114300" distR="114300">
            <wp:extent cx="5763895" cy="1087755"/>
            <wp:effectExtent l="0" t="0" r="1905" b="4445"/>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3"/>
                    <a:stretch>
                      <a:fillRect/>
                    </a:stretch>
                  </pic:blipFill>
                  <pic:spPr>
                    <a:xfrm>
                      <a:off x="0" y="0"/>
                      <a:ext cx="5763895" cy="1087755"/>
                    </a:xfrm>
                    <a:prstGeom prst="rect">
                      <a:avLst/>
                    </a:prstGeom>
                    <a:noFill/>
                    <a:ln>
                      <a:noFill/>
                    </a:ln>
                  </pic:spPr>
                </pic:pic>
              </a:graphicData>
            </a:graphic>
          </wp:inline>
        </w:drawing>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采购项目测试验收标准</w:t>
      </w:r>
    </w:p>
    <w:p>
      <w:pPr>
        <w:spacing w:line="360" w:lineRule="auto"/>
        <w:rPr>
          <w:rFonts w:hint="eastAsia"/>
          <w:bCs/>
          <w:sz w:val="24"/>
        </w:rPr>
      </w:pPr>
      <w:r>
        <w:rPr>
          <w:bCs/>
          <w:sz w:val="24"/>
        </w:rPr>
        <w:t>1. 原则</w:t>
      </w:r>
    </w:p>
    <w:p>
      <w:pPr>
        <w:spacing w:line="360" w:lineRule="auto"/>
        <w:rPr>
          <w:bCs/>
          <w:sz w:val="24"/>
        </w:rPr>
      </w:pPr>
      <w:r>
        <w:rPr>
          <w:bCs/>
          <w:sz w:val="24"/>
        </w:rPr>
        <w:t>(1) 磁铁的制造必须严格按甲方签字确认的图纸进行加工制造。</w:t>
      </w:r>
    </w:p>
    <w:p>
      <w:pPr>
        <w:spacing w:line="360" w:lineRule="auto"/>
        <w:rPr>
          <w:bCs/>
          <w:sz w:val="24"/>
        </w:rPr>
      </w:pPr>
      <w:r>
        <w:rPr>
          <w:bCs/>
          <w:sz w:val="24"/>
        </w:rPr>
        <w:t>(2) 磁铁的制造过程必须严格按照规定的工艺流程。</w:t>
      </w:r>
    </w:p>
    <w:p>
      <w:pPr>
        <w:spacing w:line="360" w:lineRule="auto"/>
        <w:rPr>
          <w:bCs/>
          <w:sz w:val="24"/>
        </w:rPr>
      </w:pPr>
      <w:r>
        <w:rPr>
          <w:bCs/>
          <w:sz w:val="24"/>
        </w:rPr>
        <w:t>(3) 关键零部件须建立质量跟踪卡，质量跟踪卡须如实记录每次检验的真实结果，并作为随机文件装箱。</w:t>
      </w:r>
    </w:p>
    <w:p>
      <w:pPr>
        <w:spacing w:line="360" w:lineRule="auto"/>
        <w:rPr>
          <w:bCs/>
          <w:sz w:val="24"/>
        </w:rPr>
      </w:pPr>
      <w:r>
        <w:rPr>
          <w:bCs/>
          <w:sz w:val="24"/>
        </w:rPr>
        <w:t>2. 铁芯制造</w:t>
      </w:r>
    </w:p>
    <w:p>
      <w:pPr>
        <w:spacing w:line="360" w:lineRule="auto"/>
        <w:rPr>
          <w:bCs/>
          <w:sz w:val="24"/>
        </w:rPr>
      </w:pPr>
      <w:r>
        <w:rPr>
          <w:bCs/>
          <w:sz w:val="24"/>
        </w:rPr>
        <w:t xml:space="preserve">(1)磁铁铁芯必须严格按签字确认的图纸进行制造。 </w:t>
      </w:r>
    </w:p>
    <w:p>
      <w:pPr>
        <w:spacing w:line="360" w:lineRule="auto"/>
        <w:rPr>
          <w:bCs/>
          <w:sz w:val="24"/>
        </w:rPr>
      </w:pPr>
      <w:r>
        <w:rPr>
          <w:bCs/>
          <w:sz w:val="24"/>
        </w:rPr>
        <w:t>(2)磁铁极头和铁轭均使用电工纯铁DT4。</w:t>
      </w:r>
    </w:p>
    <w:p>
      <w:pPr>
        <w:spacing w:line="360" w:lineRule="auto"/>
        <w:rPr>
          <w:bCs/>
          <w:sz w:val="24"/>
        </w:rPr>
      </w:pPr>
      <w:r>
        <w:rPr>
          <w:bCs/>
          <w:sz w:val="24"/>
        </w:rPr>
        <w:t>(3)磁铁铁芯极头应外表光洁且无磕碰伤。</w:t>
      </w:r>
    </w:p>
    <w:p>
      <w:pPr>
        <w:spacing w:line="360" w:lineRule="auto"/>
        <w:rPr>
          <w:bCs/>
          <w:sz w:val="24"/>
        </w:rPr>
      </w:pPr>
      <w:r>
        <w:rPr>
          <w:bCs/>
          <w:sz w:val="24"/>
        </w:rPr>
        <w:t>(4) 铁芯极头的底面将做为安装基准，必须上磨床加工;</w:t>
      </w:r>
    </w:p>
    <w:p>
      <w:pPr>
        <w:spacing w:line="360" w:lineRule="auto"/>
        <w:rPr>
          <w:bCs/>
          <w:sz w:val="24"/>
        </w:rPr>
      </w:pPr>
      <w:r>
        <w:rPr>
          <w:bCs/>
          <w:sz w:val="24"/>
        </w:rPr>
        <w:t>(5) 为保证极头的曲面形状，必须用线切割加工曲面。</w:t>
      </w:r>
    </w:p>
    <w:p>
      <w:pPr>
        <w:spacing w:line="360" w:lineRule="auto"/>
        <w:rPr>
          <w:bCs/>
          <w:sz w:val="24"/>
        </w:rPr>
      </w:pPr>
      <w:r>
        <w:rPr>
          <w:bCs/>
          <w:sz w:val="24"/>
        </w:rPr>
        <w:t>(6) 加工完成的极头用三坐标检验仪检验。</w:t>
      </w:r>
    </w:p>
    <w:p>
      <w:pPr>
        <w:spacing w:line="360" w:lineRule="auto"/>
        <w:rPr>
          <w:bCs/>
          <w:sz w:val="24"/>
        </w:rPr>
      </w:pPr>
      <w:r>
        <w:rPr>
          <w:bCs/>
          <w:sz w:val="24"/>
        </w:rPr>
        <w:t>(7) 加工完成的铁芯极头必须涂防锈脂并妥善包裹。</w:t>
      </w:r>
    </w:p>
    <w:p>
      <w:pPr>
        <w:spacing w:line="360" w:lineRule="auto"/>
        <w:rPr>
          <w:bCs/>
          <w:sz w:val="24"/>
        </w:rPr>
      </w:pPr>
      <w:r>
        <w:rPr>
          <w:bCs/>
          <w:sz w:val="24"/>
        </w:rPr>
        <w:t>(8) 装配现场的铁芯极头应外表光洁且无磕碰伤</w:t>
      </w:r>
    </w:p>
    <w:p>
      <w:pPr>
        <w:spacing w:line="360" w:lineRule="auto"/>
        <w:rPr>
          <w:bCs/>
          <w:sz w:val="24"/>
        </w:rPr>
      </w:pPr>
      <w:r>
        <w:rPr>
          <w:rFonts w:hint="eastAsia"/>
          <w:bCs/>
          <w:sz w:val="24"/>
        </w:rPr>
        <w:t>3</w:t>
      </w:r>
      <w:r>
        <w:rPr>
          <w:bCs/>
          <w:sz w:val="24"/>
        </w:rPr>
        <w:t>. 线圈</w:t>
      </w:r>
    </w:p>
    <w:p>
      <w:pPr>
        <w:spacing w:line="360" w:lineRule="auto"/>
        <w:ind w:firstLine="480" w:firstLineChars="200"/>
        <w:rPr>
          <w:bCs/>
          <w:sz w:val="24"/>
        </w:rPr>
      </w:pPr>
      <w:r>
        <w:rPr>
          <w:bCs/>
          <w:sz w:val="24"/>
        </w:rPr>
        <w:t>磁铁的线圈绝缘等级为F级；必须采用透明的、真空环氧浇注的绝缘结构。同时，为保证磁铁的质量和足够的运行寿命，固化后的环氧还必须有足够的强度和韧性以及良好的抗老化性。</w:t>
      </w:r>
    </w:p>
    <w:p>
      <w:pPr>
        <w:spacing w:line="360" w:lineRule="auto"/>
        <w:rPr>
          <w:bCs/>
          <w:sz w:val="24"/>
        </w:rPr>
      </w:pPr>
      <w:r>
        <w:rPr>
          <w:bCs/>
          <w:sz w:val="24"/>
        </w:rPr>
        <w:t>（1）结构</w:t>
      </w:r>
    </w:p>
    <w:p>
      <w:pPr>
        <w:spacing w:line="360" w:lineRule="auto"/>
        <w:rPr>
          <w:bCs/>
          <w:sz w:val="24"/>
        </w:rPr>
      </w:pPr>
      <w:r>
        <w:rPr>
          <w:bCs/>
          <w:sz w:val="24"/>
        </w:rPr>
        <w:t>线圈具体见第</w:t>
      </w:r>
      <w:r>
        <w:rPr>
          <w:rFonts w:hint="eastAsia"/>
          <w:bCs/>
          <w:sz w:val="24"/>
        </w:rPr>
        <w:t>二部分</w:t>
      </w:r>
      <w:r>
        <w:rPr>
          <w:bCs/>
          <w:sz w:val="24"/>
        </w:rPr>
        <w:t>主要技术参数。</w:t>
      </w:r>
    </w:p>
    <w:p>
      <w:pPr>
        <w:spacing w:line="360" w:lineRule="auto"/>
        <w:rPr>
          <w:bCs/>
          <w:sz w:val="24"/>
        </w:rPr>
      </w:pPr>
      <w:r>
        <w:rPr>
          <w:bCs/>
          <w:sz w:val="24"/>
        </w:rPr>
        <w:t>（2）铜导线</w:t>
      </w:r>
    </w:p>
    <w:p>
      <w:pPr>
        <w:spacing w:line="360" w:lineRule="auto"/>
        <w:rPr>
          <w:bCs/>
          <w:sz w:val="24"/>
        </w:rPr>
      </w:pPr>
      <w:r>
        <w:rPr>
          <w:rFonts w:hint="eastAsia"/>
          <w:bCs/>
          <w:sz w:val="24"/>
        </w:rPr>
        <w:t>①</w:t>
      </w:r>
      <w:r>
        <w:rPr>
          <w:bCs/>
          <w:sz w:val="24"/>
        </w:rPr>
        <w:t xml:space="preserve"> 导线规格：主线圈导线为外方内圆的TU1铜管，规格见主要参数；</w:t>
      </w:r>
    </w:p>
    <w:p>
      <w:pPr>
        <w:spacing w:line="360" w:lineRule="auto"/>
        <w:rPr>
          <w:bCs/>
          <w:sz w:val="24"/>
        </w:rPr>
      </w:pPr>
      <w:r>
        <w:rPr>
          <w:rFonts w:hint="eastAsia"/>
          <w:bCs/>
          <w:sz w:val="24"/>
        </w:rPr>
        <w:t>②</w:t>
      </w:r>
      <w:r>
        <w:rPr>
          <w:bCs/>
          <w:sz w:val="24"/>
        </w:rPr>
        <w:t xml:space="preserve"> 铜导线表面及内孔尺寸检验：铜管的外表尺寸，其偏差均应小于0.1mm；采用压缩空气吹钢球的方法对铜管的内孔尺寸，进行检查，钢球的直径为实际孔径的90％。</w:t>
      </w:r>
    </w:p>
    <w:p>
      <w:pPr>
        <w:spacing w:line="360" w:lineRule="auto"/>
        <w:rPr>
          <w:bCs/>
          <w:sz w:val="24"/>
        </w:rPr>
      </w:pPr>
      <w:r>
        <w:rPr>
          <w:rFonts w:hint="eastAsia"/>
          <w:bCs/>
          <w:sz w:val="24"/>
        </w:rPr>
        <w:t>③</w:t>
      </w:r>
      <w:r>
        <w:rPr>
          <w:bCs/>
          <w:sz w:val="24"/>
        </w:rPr>
        <w:t xml:space="preserve"> 电气检验：20℃时的电阻率为 0.0172Ω·mm2 /m。</w:t>
      </w:r>
    </w:p>
    <w:p>
      <w:pPr>
        <w:spacing w:line="360" w:lineRule="auto"/>
        <w:rPr>
          <w:bCs/>
          <w:sz w:val="24"/>
        </w:rPr>
      </w:pPr>
      <w:r>
        <w:rPr>
          <w:rFonts w:hint="eastAsia"/>
          <w:bCs/>
          <w:sz w:val="24"/>
        </w:rPr>
        <w:t>④</w:t>
      </w:r>
      <w:r>
        <w:rPr>
          <w:bCs/>
          <w:sz w:val="24"/>
        </w:rPr>
        <w:t xml:space="preserve"> 水压及水流量试验：对铜管做15kg/cm2水压试验,保持压力一小时, 不应有明显的水压降；水流量测定。具体实验方法及数据应在图纸上明确标明。</w:t>
      </w:r>
    </w:p>
    <w:p>
      <w:pPr>
        <w:spacing w:line="360" w:lineRule="auto"/>
        <w:rPr>
          <w:bCs/>
          <w:sz w:val="24"/>
        </w:rPr>
      </w:pPr>
      <w:r>
        <w:rPr>
          <w:bCs/>
          <w:sz w:val="24"/>
        </w:rPr>
        <w:t>有关铜管的所有检验均由厂家负责。但厂家在绕制线圈前必须测量其电阻以及规定水压下的水流量并作记录。</w:t>
      </w:r>
    </w:p>
    <w:p>
      <w:pPr>
        <w:spacing w:line="360" w:lineRule="auto"/>
        <w:rPr>
          <w:bCs/>
          <w:sz w:val="24"/>
        </w:rPr>
      </w:pPr>
      <w:r>
        <w:rPr>
          <w:bCs/>
          <w:sz w:val="24"/>
        </w:rPr>
        <w:t>以上相关检验在质量跟踪卡上有记录。</w:t>
      </w:r>
    </w:p>
    <w:p>
      <w:pPr>
        <w:spacing w:line="360" w:lineRule="auto"/>
        <w:rPr>
          <w:bCs/>
          <w:sz w:val="24"/>
        </w:rPr>
      </w:pPr>
      <w:r>
        <w:rPr>
          <w:bCs/>
          <w:sz w:val="24"/>
        </w:rPr>
        <w:t>（3） 绝缘材料</w:t>
      </w:r>
    </w:p>
    <w:p>
      <w:pPr>
        <w:spacing w:line="360" w:lineRule="auto"/>
        <w:rPr>
          <w:bCs/>
          <w:sz w:val="24"/>
        </w:rPr>
      </w:pPr>
      <w:bookmarkStart w:id="1" w:name="OLE_LINK517"/>
      <w:r>
        <w:rPr>
          <w:rFonts w:hint="eastAsia"/>
          <w:bCs/>
          <w:sz w:val="24"/>
        </w:rPr>
        <w:t>①</w:t>
      </w:r>
      <w:r>
        <w:rPr>
          <w:bCs/>
          <w:sz w:val="24"/>
        </w:rPr>
        <w:t xml:space="preserve"> 绝缘等级为F级。</w:t>
      </w:r>
    </w:p>
    <w:p>
      <w:pPr>
        <w:spacing w:line="360" w:lineRule="auto"/>
        <w:rPr>
          <w:bCs/>
          <w:sz w:val="24"/>
        </w:rPr>
      </w:pPr>
      <w:r>
        <w:rPr>
          <w:rFonts w:hint="eastAsia"/>
          <w:bCs/>
          <w:sz w:val="24"/>
        </w:rPr>
        <w:t>②</w:t>
      </w:r>
      <w:r>
        <w:rPr>
          <w:bCs/>
          <w:sz w:val="24"/>
        </w:rPr>
        <w:t xml:space="preserve"> 具体绝缘材料名称及规格按图纸要求。</w:t>
      </w:r>
    </w:p>
    <w:p>
      <w:pPr>
        <w:spacing w:line="360" w:lineRule="auto"/>
        <w:rPr>
          <w:bCs/>
          <w:sz w:val="24"/>
        </w:rPr>
      </w:pPr>
      <w:r>
        <w:rPr>
          <w:rFonts w:hint="eastAsia"/>
          <w:bCs/>
          <w:sz w:val="24"/>
        </w:rPr>
        <w:t>③</w:t>
      </w:r>
      <w:r>
        <w:rPr>
          <w:bCs/>
          <w:sz w:val="24"/>
        </w:rPr>
        <w:t xml:space="preserve"> 其它材料按国家标准执行。</w:t>
      </w:r>
    </w:p>
    <w:bookmarkEnd w:id="1"/>
    <w:p>
      <w:pPr>
        <w:spacing w:line="360" w:lineRule="auto"/>
        <w:rPr>
          <w:bCs/>
          <w:sz w:val="24"/>
        </w:rPr>
      </w:pPr>
      <w:r>
        <w:rPr>
          <w:bCs/>
          <w:sz w:val="24"/>
        </w:rPr>
        <w:t>（4） 绕制及浇注</w:t>
      </w:r>
    </w:p>
    <w:p>
      <w:pPr>
        <w:spacing w:line="360" w:lineRule="auto"/>
        <w:rPr>
          <w:bCs/>
          <w:sz w:val="24"/>
        </w:rPr>
      </w:pPr>
      <w:bookmarkStart w:id="2" w:name="OLE_LINK519"/>
      <w:bookmarkStart w:id="3" w:name="OLE_LINK518"/>
      <w:r>
        <w:rPr>
          <w:rFonts w:hint="eastAsia"/>
          <w:bCs/>
          <w:sz w:val="24"/>
        </w:rPr>
        <w:t>①</w:t>
      </w:r>
      <w:r>
        <w:rPr>
          <w:bCs/>
          <w:sz w:val="24"/>
        </w:rPr>
        <w:t xml:space="preserve"> 双方协商选择适当的绝缘结构。</w:t>
      </w:r>
    </w:p>
    <w:p>
      <w:pPr>
        <w:spacing w:line="360" w:lineRule="auto"/>
        <w:rPr>
          <w:bCs/>
          <w:sz w:val="24"/>
        </w:rPr>
      </w:pPr>
      <w:r>
        <w:rPr>
          <w:rFonts w:hint="eastAsia"/>
          <w:bCs/>
          <w:sz w:val="24"/>
        </w:rPr>
        <w:t>②</w:t>
      </w:r>
      <w:r>
        <w:rPr>
          <w:bCs/>
          <w:sz w:val="24"/>
        </w:rPr>
        <w:t xml:space="preserve"> 双方协商选择适当的尺寸公差。</w:t>
      </w:r>
    </w:p>
    <w:p>
      <w:pPr>
        <w:spacing w:line="360" w:lineRule="auto"/>
        <w:rPr>
          <w:bCs/>
          <w:sz w:val="24"/>
        </w:rPr>
      </w:pPr>
      <w:r>
        <w:rPr>
          <w:rFonts w:hint="eastAsia"/>
          <w:bCs/>
          <w:sz w:val="24"/>
        </w:rPr>
        <w:t>③</w:t>
      </w:r>
      <w:r>
        <w:rPr>
          <w:bCs/>
          <w:sz w:val="24"/>
        </w:rPr>
        <w:t xml:space="preserve"> 电连接排电流密度应小于2A/mm</w:t>
      </w:r>
      <w:r>
        <w:rPr>
          <w:bCs/>
          <w:sz w:val="24"/>
          <w:vertAlign w:val="superscript"/>
        </w:rPr>
        <w:t>2</w:t>
      </w:r>
      <w:r>
        <w:rPr>
          <w:bCs/>
          <w:sz w:val="24"/>
        </w:rPr>
        <w:t>。</w:t>
      </w:r>
    </w:p>
    <w:p>
      <w:pPr>
        <w:spacing w:line="360" w:lineRule="auto"/>
        <w:rPr>
          <w:bCs/>
          <w:sz w:val="24"/>
        </w:rPr>
      </w:pPr>
      <w:r>
        <w:rPr>
          <w:rFonts w:hint="eastAsia"/>
          <w:bCs/>
          <w:sz w:val="24"/>
        </w:rPr>
        <w:t>④</w:t>
      </w:r>
      <w:r>
        <w:rPr>
          <w:bCs/>
          <w:sz w:val="24"/>
        </w:rPr>
        <w:t xml:space="preserve"> 浇注的线圈应透明。</w:t>
      </w:r>
    </w:p>
    <w:p>
      <w:pPr>
        <w:spacing w:line="360" w:lineRule="auto"/>
        <w:rPr>
          <w:bCs/>
          <w:sz w:val="24"/>
        </w:rPr>
      </w:pPr>
      <w:r>
        <w:rPr>
          <w:rFonts w:hint="eastAsia"/>
          <w:bCs/>
          <w:sz w:val="24"/>
        </w:rPr>
        <w:t>⑤</w:t>
      </w:r>
      <w:r>
        <w:rPr>
          <w:bCs/>
          <w:sz w:val="24"/>
        </w:rPr>
        <w:t xml:space="preserve"> 线圈应在无金属碎屑、无粉尘、无焊接和无化学蒸发气体的环境中加工。</w:t>
      </w:r>
    </w:p>
    <w:p>
      <w:pPr>
        <w:spacing w:line="360" w:lineRule="auto"/>
        <w:rPr>
          <w:bCs/>
          <w:sz w:val="24"/>
        </w:rPr>
      </w:pPr>
      <w:r>
        <w:rPr>
          <w:rFonts w:hint="eastAsia"/>
          <w:bCs/>
          <w:sz w:val="24"/>
        </w:rPr>
        <w:t>⑥</w:t>
      </w:r>
      <w:r>
        <w:rPr>
          <w:bCs/>
          <w:sz w:val="24"/>
        </w:rPr>
        <w:t xml:space="preserve"> 线圈加工完成后应妥善保管，以防损伤和污染。</w:t>
      </w:r>
    </w:p>
    <w:p>
      <w:pPr>
        <w:spacing w:line="360" w:lineRule="auto"/>
        <w:rPr>
          <w:bCs/>
          <w:sz w:val="24"/>
        </w:rPr>
      </w:pPr>
      <w:r>
        <w:rPr>
          <w:rFonts w:hint="eastAsia"/>
          <w:bCs/>
          <w:sz w:val="24"/>
        </w:rPr>
        <w:t>⑦</w:t>
      </w:r>
      <w:r>
        <w:rPr>
          <w:bCs/>
          <w:sz w:val="24"/>
        </w:rPr>
        <w:t xml:space="preserve"> 每路水出水口包温控开关和PT100，</w:t>
      </w:r>
      <w:bookmarkStart w:id="4" w:name="OLE_LINK96"/>
      <w:bookmarkStart w:id="5" w:name="OLE_LINK97"/>
      <w:r>
        <w:rPr>
          <w:rFonts w:hint="eastAsia"/>
          <w:bCs/>
          <w:sz w:val="24"/>
        </w:rPr>
        <w:t>采用常闭75℃的温控开关（外壳为塑料材质）。</w:t>
      </w:r>
      <w:bookmarkEnd w:id="4"/>
      <w:bookmarkEnd w:id="5"/>
    </w:p>
    <w:p>
      <w:pPr>
        <w:spacing w:line="360" w:lineRule="auto"/>
        <w:rPr>
          <w:bCs/>
          <w:sz w:val="24"/>
        </w:rPr>
      </w:pPr>
      <w:r>
        <w:rPr>
          <w:rFonts w:hint="eastAsia"/>
          <w:bCs/>
          <w:sz w:val="24"/>
        </w:rPr>
        <w:t>⑧</w:t>
      </w:r>
      <w:r>
        <w:rPr>
          <w:bCs/>
          <w:sz w:val="24"/>
        </w:rPr>
        <w:t>按图纸要求焊接卡套式的水接头。</w:t>
      </w:r>
    </w:p>
    <w:bookmarkEnd w:id="2"/>
    <w:bookmarkEnd w:id="3"/>
    <w:p>
      <w:pPr>
        <w:spacing w:line="360" w:lineRule="auto"/>
        <w:rPr>
          <w:bCs/>
          <w:sz w:val="24"/>
        </w:rPr>
      </w:pPr>
      <w:r>
        <w:rPr>
          <w:bCs/>
          <w:sz w:val="24"/>
        </w:rPr>
        <w:t>（5） 检验</w:t>
      </w:r>
    </w:p>
    <w:p>
      <w:pPr>
        <w:spacing w:line="360" w:lineRule="auto"/>
        <w:rPr>
          <w:bCs/>
          <w:sz w:val="24"/>
        </w:rPr>
      </w:pPr>
      <w:bookmarkStart w:id="6" w:name="OLE_LINK521"/>
      <w:bookmarkStart w:id="7" w:name="OLE_LINK520"/>
      <w:bookmarkStart w:id="8" w:name="OLE_LINK523"/>
      <w:bookmarkStart w:id="9" w:name="OLE_LINK522"/>
      <w:r>
        <w:rPr>
          <w:rFonts w:hint="eastAsia"/>
          <w:bCs/>
          <w:sz w:val="24"/>
        </w:rPr>
        <w:t>①</w:t>
      </w:r>
      <w:bookmarkEnd w:id="6"/>
      <w:bookmarkEnd w:id="7"/>
      <w:r>
        <w:rPr>
          <w:bCs/>
          <w:sz w:val="24"/>
        </w:rPr>
        <w:t xml:space="preserve"> 内孔尺寸检验：绕制好的线圈采用压缩空气吹钢球的方法进行检查，钢球的直径为实际孔径的60％。</w:t>
      </w:r>
    </w:p>
    <w:p>
      <w:pPr>
        <w:spacing w:line="360" w:lineRule="auto"/>
        <w:rPr>
          <w:bCs/>
          <w:sz w:val="24"/>
        </w:rPr>
      </w:pPr>
      <w:r>
        <w:rPr>
          <w:rFonts w:hint="eastAsia"/>
          <w:bCs/>
          <w:sz w:val="24"/>
        </w:rPr>
        <w:t>②</w:t>
      </w:r>
      <w:r>
        <w:rPr>
          <w:bCs/>
          <w:sz w:val="24"/>
        </w:rPr>
        <w:t xml:space="preserve"> 水压试验。对线圈做15kg/cm</w:t>
      </w:r>
      <w:r>
        <w:rPr>
          <w:bCs/>
          <w:sz w:val="24"/>
          <w:vertAlign w:val="superscript"/>
        </w:rPr>
        <w:t>2</w:t>
      </w:r>
      <w:r>
        <w:rPr>
          <w:bCs/>
          <w:sz w:val="24"/>
        </w:rPr>
        <w:t>水压试验,保持压力一小时, 不应有明显的水压降。</w:t>
      </w:r>
    </w:p>
    <w:p>
      <w:pPr>
        <w:spacing w:line="360" w:lineRule="auto"/>
        <w:rPr>
          <w:bCs/>
          <w:sz w:val="24"/>
        </w:rPr>
      </w:pPr>
      <w:r>
        <w:rPr>
          <w:rFonts w:hint="eastAsia"/>
          <w:bCs/>
          <w:sz w:val="24"/>
        </w:rPr>
        <w:t>③</w:t>
      </w:r>
      <w:r>
        <w:rPr>
          <w:bCs/>
          <w:sz w:val="24"/>
        </w:rPr>
        <w:t xml:space="preserve"> 水流量测定。</w:t>
      </w:r>
    </w:p>
    <w:p>
      <w:pPr>
        <w:spacing w:line="360" w:lineRule="auto"/>
        <w:rPr>
          <w:bCs/>
          <w:sz w:val="24"/>
        </w:rPr>
      </w:pPr>
      <w:r>
        <w:rPr>
          <w:rFonts w:hint="eastAsia"/>
          <w:bCs/>
          <w:sz w:val="24"/>
        </w:rPr>
        <w:t>④</w:t>
      </w:r>
      <w:r>
        <w:rPr>
          <w:bCs/>
          <w:sz w:val="24"/>
        </w:rPr>
        <w:t xml:space="preserve"> 线圈电阻测量。</w:t>
      </w:r>
    </w:p>
    <w:p>
      <w:pPr>
        <w:spacing w:line="360" w:lineRule="auto"/>
        <w:rPr>
          <w:bCs/>
          <w:sz w:val="24"/>
        </w:rPr>
      </w:pPr>
      <w:r>
        <w:rPr>
          <w:rFonts w:hint="eastAsia"/>
          <w:bCs/>
          <w:sz w:val="24"/>
        </w:rPr>
        <w:t>⑤ 线圈</w:t>
      </w:r>
      <w:bookmarkStart w:id="10" w:name="OLE_LINK482"/>
      <w:bookmarkStart w:id="11" w:name="OLE_LINK481"/>
      <w:r>
        <w:rPr>
          <w:rFonts w:hint="eastAsia"/>
          <w:bCs/>
          <w:sz w:val="24"/>
        </w:rPr>
        <w:t>对地1000V高压测试</w:t>
      </w:r>
      <w:bookmarkEnd w:id="10"/>
      <w:bookmarkEnd w:id="11"/>
      <w:r>
        <w:rPr>
          <w:rFonts w:hint="eastAsia"/>
          <w:bCs/>
          <w:sz w:val="24"/>
        </w:rPr>
        <w:t>。</w:t>
      </w:r>
    </w:p>
    <w:p>
      <w:pPr>
        <w:spacing w:line="360" w:lineRule="auto"/>
        <w:rPr>
          <w:bCs/>
          <w:sz w:val="24"/>
        </w:rPr>
      </w:pPr>
      <w:bookmarkStart w:id="12" w:name="OLE_LINK130"/>
      <w:bookmarkStart w:id="13" w:name="OLE_LINK129"/>
      <w:r>
        <w:rPr>
          <w:rFonts w:hint="eastAsia"/>
          <w:bCs/>
          <w:sz w:val="24"/>
        </w:rPr>
        <w:t>⑥ 线圈匝间短路测试，保证线圈在高压情况下的良好绝缘。</w:t>
      </w:r>
      <w:bookmarkEnd w:id="12"/>
      <w:bookmarkEnd w:id="13"/>
    </w:p>
    <w:p>
      <w:pPr>
        <w:spacing w:line="360" w:lineRule="auto"/>
        <w:rPr>
          <w:bCs/>
          <w:sz w:val="24"/>
        </w:rPr>
      </w:pPr>
      <w:r>
        <w:rPr>
          <w:rFonts w:hint="eastAsia"/>
          <w:bCs/>
          <w:sz w:val="24"/>
        </w:rPr>
        <w:t>⑦ 所有尺寸符合图纸。</w:t>
      </w:r>
    </w:p>
    <w:p>
      <w:pPr>
        <w:spacing w:line="360" w:lineRule="auto"/>
        <w:rPr>
          <w:bCs/>
          <w:sz w:val="24"/>
        </w:rPr>
      </w:pPr>
      <w:r>
        <w:rPr>
          <w:rFonts w:hint="eastAsia"/>
          <w:bCs/>
          <w:sz w:val="24"/>
        </w:rPr>
        <w:t>⑧ 标记明显、耐久。</w:t>
      </w:r>
    </w:p>
    <w:bookmarkEnd w:id="8"/>
    <w:bookmarkEnd w:id="9"/>
    <w:p>
      <w:pPr>
        <w:spacing w:line="360" w:lineRule="auto"/>
        <w:rPr>
          <w:bCs/>
          <w:sz w:val="24"/>
        </w:rPr>
      </w:pPr>
      <w:r>
        <w:rPr>
          <w:bCs/>
          <w:sz w:val="24"/>
        </w:rPr>
        <w:t>4. 装配</w:t>
      </w:r>
    </w:p>
    <w:p>
      <w:pPr>
        <w:spacing w:line="360" w:lineRule="auto"/>
        <w:rPr>
          <w:bCs/>
          <w:sz w:val="24"/>
        </w:rPr>
      </w:pPr>
      <w:r>
        <w:rPr>
          <w:bCs/>
          <w:sz w:val="24"/>
        </w:rPr>
        <w:t>装配之前设计人员相关人员应协同制造厂的相关人员对所有协作加工的磁铁部件进行全面的复检，只有复检合格的部件才能作为总装部件。</w:t>
      </w:r>
    </w:p>
    <w:p>
      <w:pPr>
        <w:spacing w:line="360" w:lineRule="auto"/>
        <w:rPr>
          <w:bCs/>
          <w:sz w:val="24"/>
        </w:rPr>
      </w:pPr>
      <w:r>
        <w:rPr>
          <w:bCs/>
          <w:sz w:val="24"/>
        </w:rPr>
        <w:t>（1）磁铁装配包括以下主要元件：铁芯；线圈及其支撑件；电源母线板和连接板；温控开关元件及接线端子(另预留4路)；水冷件；支架及吊钩试装；准直靶标座。</w:t>
      </w:r>
    </w:p>
    <w:p>
      <w:pPr>
        <w:spacing w:line="360" w:lineRule="auto"/>
        <w:rPr>
          <w:bCs/>
          <w:sz w:val="24"/>
        </w:rPr>
      </w:pPr>
      <w:r>
        <w:rPr>
          <w:bCs/>
          <w:sz w:val="24"/>
        </w:rPr>
        <w:t>（2）挑选、调整各部件，使整个磁铁结构紧凑。</w:t>
      </w:r>
    </w:p>
    <w:p>
      <w:pPr>
        <w:spacing w:line="360" w:lineRule="auto"/>
        <w:rPr>
          <w:bCs/>
          <w:sz w:val="24"/>
        </w:rPr>
      </w:pPr>
      <w:r>
        <w:rPr>
          <w:bCs/>
          <w:sz w:val="24"/>
        </w:rPr>
        <w:t>（3）按图纸要求焊接准直靶标座、打接地螺孔并攻丝。</w:t>
      </w:r>
    </w:p>
    <w:p>
      <w:pPr>
        <w:spacing w:line="360" w:lineRule="auto"/>
        <w:rPr>
          <w:bCs/>
          <w:sz w:val="24"/>
        </w:rPr>
      </w:pPr>
      <w:r>
        <w:rPr>
          <w:bCs/>
          <w:sz w:val="24"/>
        </w:rPr>
        <w:t>（4）装配完成后进行机械调整和测量；机械调整和测量完成后进行性能测试，机械测量和性能测试均应有检验报告。</w:t>
      </w:r>
    </w:p>
    <w:p>
      <w:pPr>
        <w:spacing w:line="360" w:lineRule="auto"/>
        <w:rPr>
          <w:bCs/>
          <w:sz w:val="24"/>
        </w:rPr>
      </w:pPr>
      <w:r>
        <w:rPr>
          <w:bCs/>
          <w:sz w:val="24"/>
        </w:rPr>
        <w:t>（5）装配完成且性能测试合格后，各部件均应在醒目位置做明显的、永久性的编号标志，以便下次拆卸安装。</w:t>
      </w:r>
    </w:p>
    <w:p>
      <w:pPr>
        <w:spacing w:line="360" w:lineRule="auto"/>
        <w:rPr>
          <w:bCs/>
          <w:sz w:val="24"/>
        </w:rPr>
      </w:pPr>
      <w:r>
        <w:rPr>
          <w:bCs/>
          <w:sz w:val="24"/>
        </w:rPr>
        <w:t>（6）检验合格后按规定的颜色喷漆，喷漆时注意保护极面、螺孔以及定位面和基准槽。</w:t>
      </w:r>
    </w:p>
    <w:p>
      <w:pPr>
        <w:spacing w:line="360" w:lineRule="auto"/>
        <w:rPr>
          <w:bCs/>
          <w:sz w:val="24"/>
        </w:rPr>
      </w:pPr>
      <w:r>
        <w:rPr>
          <w:bCs/>
          <w:sz w:val="24"/>
        </w:rPr>
        <w:t>（7）按图纸要求安装温控开关元件及接线端子。</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采购项目售后服务要求（包括质保期、维修响应时间等）</w:t>
      </w:r>
    </w:p>
    <w:p>
      <w:pPr>
        <w:spacing w:line="360" w:lineRule="auto"/>
        <w:ind w:firstLine="480" w:firstLineChars="200"/>
        <w:rPr>
          <w:sz w:val="24"/>
          <w:u w:val="single"/>
        </w:rPr>
      </w:pPr>
      <w:r>
        <w:rPr>
          <w:rFonts w:hint="eastAsia"/>
          <w:sz w:val="24"/>
          <w:u w:val="single"/>
        </w:rPr>
        <w:t>整个系统自货物最终验收之日起至少1年内，在此期间乙方应保证本合同产品具有图纸、技术规格书及有关技术文件所规定的质量要求。如果在上述质保期内，产品全部或某些部分被发现质量缺陷，甲方将立即通知乙方，并提出处理方法;乙方在接到通知之日起，48小时内答复或赶到现场进行修理或返厂维修，费用由乙方负责。乙方维修有质量缺陷产品的期间，则质保期相应顺延。</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采购项目交货要求</w:t>
      </w:r>
    </w:p>
    <w:p>
      <w:pPr>
        <w:spacing w:line="360" w:lineRule="auto"/>
        <w:ind w:firstLine="482" w:firstLineChars="200"/>
        <w:rPr>
          <w:sz w:val="24"/>
          <w:u w:val="single"/>
        </w:rPr>
      </w:pPr>
      <w:r>
        <w:rPr>
          <w:b/>
          <w:sz w:val="24"/>
        </w:rPr>
        <w:t>1、交货时间：</w:t>
      </w:r>
      <w:r>
        <w:rPr>
          <w:sz w:val="24"/>
          <w:u w:val="single"/>
        </w:rPr>
        <w:t xml:space="preserve"> </w:t>
      </w:r>
      <w:bookmarkStart w:id="14" w:name="_Hlk154740543"/>
      <w:r>
        <w:rPr>
          <w:rFonts w:hint="eastAsia"/>
          <w:sz w:val="24"/>
          <w:u w:val="single"/>
        </w:rPr>
        <w:t>合同签订后</w:t>
      </w:r>
      <w:r>
        <w:rPr>
          <w:sz w:val="24"/>
          <w:u w:val="single"/>
        </w:rPr>
        <w:t>5</w:t>
      </w:r>
      <w:r>
        <w:rPr>
          <w:rFonts w:hint="eastAsia"/>
          <w:sz w:val="24"/>
          <w:u w:val="single"/>
        </w:rPr>
        <w:t>个月。</w:t>
      </w:r>
      <w:bookmarkEnd w:id="14"/>
    </w:p>
    <w:p>
      <w:pPr>
        <w:spacing w:line="360" w:lineRule="auto"/>
        <w:ind w:firstLine="482" w:firstLineChars="200"/>
        <w:rPr>
          <w:sz w:val="24"/>
          <w:u w:val="single"/>
        </w:rPr>
      </w:pPr>
      <w:r>
        <w:rPr>
          <w:b/>
          <w:sz w:val="24"/>
        </w:rPr>
        <w:t>2、交货地点：</w:t>
      </w:r>
      <w:r>
        <w:rPr>
          <w:sz w:val="24"/>
          <w:u w:val="single"/>
        </w:rPr>
        <w:t xml:space="preserve"> </w:t>
      </w:r>
      <w:r>
        <w:rPr>
          <w:rFonts w:hint="eastAsia"/>
          <w:bCs/>
          <w:sz w:val="24"/>
          <w:u w:val="single"/>
        </w:rPr>
        <w:t>兰州市城关区南昌路5</w:t>
      </w:r>
      <w:r>
        <w:rPr>
          <w:bCs/>
          <w:sz w:val="24"/>
          <w:u w:val="single"/>
        </w:rPr>
        <w:t>09</w:t>
      </w:r>
      <w:r>
        <w:rPr>
          <w:rFonts w:hint="eastAsia"/>
          <w:bCs/>
          <w:sz w:val="24"/>
          <w:u w:val="single"/>
        </w:rPr>
        <w:t>号或甲方指定地点，乙方无条件承担磁场测量、二次或多次削斜后测量及最终运往加速器</w:t>
      </w:r>
      <w:r>
        <w:rPr>
          <w:rFonts w:hint="eastAsia"/>
          <w:sz w:val="24"/>
          <w:u w:val="single"/>
        </w:rPr>
        <w:t>现场的费用（含装卸及转运）。</w:t>
      </w:r>
      <w:r>
        <w:rPr>
          <w:sz w:val="24"/>
          <w:u w:val="single"/>
        </w:rPr>
        <w:t xml:space="preserve">                 </w:t>
      </w:r>
    </w:p>
    <w:p>
      <w:pPr>
        <w:pStyle w:val="7"/>
        <w:numPr>
          <w:ilvl w:val="0"/>
          <w:numId w:val="2"/>
        </w:numPr>
        <w:spacing w:before="156" w:beforeLines="50" w:after="156" w:afterLines="50" w:line="360" w:lineRule="auto"/>
        <w:ind w:firstLineChars="0"/>
        <w:rPr>
          <w:rFonts w:hint="eastAsia" w:ascii="Times New Roman" w:hAnsi="Times New Roman"/>
          <w:b/>
          <w:sz w:val="24"/>
        </w:rPr>
      </w:pPr>
      <w:r>
        <w:rPr>
          <w:rFonts w:hint="eastAsia" w:ascii="Times New Roman" w:hAnsi="Times New Roman"/>
          <w:b/>
          <w:sz w:val="24"/>
        </w:rPr>
        <w:t>甲方拒收一切不合格产品；不得转包，铁芯及线圈不得外协加工。</w:t>
      </w:r>
    </w:p>
    <w:p>
      <w:bookmarkStart w:id="15" w:name="_GoBack"/>
      <w:bookmarkEnd w:id="15"/>
    </w:p>
    <w:sectPr>
      <w:headerReference r:id="rId3" w:type="defaul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7E41517D"/>
    <w:multiLevelType w:val="multilevel"/>
    <w:tmpl w:val="7E41517D"/>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TIzZGUxMzUyYzc4ODFmYzlkNjk5ZTYzODY2NmIifQ=="/>
  </w:docVars>
  <w:rsids>
    <w:rsidRoot w:val="72E047FF"/>
    <w:rsid w:val="72E04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List Paragraph"/>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2024-05-07T10:56:00Z</dcterms:created>
  <dc:creator>Robin</dc:creator>
  <cp:lastModifiedBy>Robin</cp:lastModifiedBy>
  <dcterms:modified xsi:type="dcterms:W3CDTF">2024-05-07T10:57:03Z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F882B7DE30F14F37983DAE8CE6774977_11</vt:lpwstr>
  </property>
</Properties>
</file>