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版本号：N510184202600018520260902001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国省干线多功能交调站建设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N5101842026000185</w:t>
      </w:r>
    </w:p>
    <w:p>
      <w:pPr>
        <w:pStyle w:val="null3"/>
        <w:jc w:val="left"/>
        <w:outlineLvl w:val="2"/>
      </w:pPr>
      <w:r>
        <w:rPr>
          <w:rFonts w:ascii="仿宋_GB2312" w:hAnsi="仿宋_GB2312" w:cs="仿宋_GB2312" w:eastAsia="仿宋_GB2312"/>
          <w:sz w:val="28"/>
          <w:b/>
        </w:rPr>
        <w:t>崇州市交通运输事务中心</w:t>
      </w:r>
    </w:p>
    <w:p>
      <w:pPr>
        <w:pStyle w:val="null3"/>
        <w:jc w:val="center"/>
        <w:outlineLvl w:val="2"/>
      </w:pPr>
      <w:r>
        <w:rPr>
          <w:rFonts w:ascii="仿宋_GB2312" w:hAnsi="仿宋_GB2312" w:cs="仿宋_GB2312" w:eastAsia="仿宋_GB2312"/>
          <w:sz w:val="28"/>
          <w:b/>
        </w:rPr>
        <w:t>中招财智工程咨询（四川）有限公司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中招财智工程咨询（四川）有限公司</w:t>
      </w:r>
      <w:r>
        <w:rPr>
          <w:rFonts w:ascii="仿宋_GB2312" w:hAnsi="仿宋_GB2312" w:cs="仿宋_GB2312" w:eastAsia="仿宋_GB2312"/>
        </w:rPr>
        <w:t xml:space="preserve"> （以下简称“代理机构”）受 </w:t>
      </w:r>
      <w:r>
        <w:rPr>
          <w:rFonts w:ascii="仿宋_GB2312" w:hAnsi="仿宋_GB2312" w:cs="仿宋_GB2312" w:eastAsia="仿宋_GB2312"/>
        </w:rPr>
        <w:t>崇州市交通运输事务中心</w:t>
      </w:r>
      <w:r>
        <w:rPr>
          <w:rFonts w:ascii="仿宋_GB2312" w:hAnsi="仿宋_GB2312" w:cs="仿宋_GB2312" w:eastAsia="仿宋_GB2312"/>
        </w:rPr>
        <w:t xml:space="preserve"> 委托，拟对 </w:t>
      </w:r>
      <w:r>
        <w:rPr>
          <w:rFonts w:ascii="仿宋_GB2312" w:hAnsi="仿宋_GB2312" w:cs="仿宋_GB2312" w:eastAsia="仿宋_GB2312"/>
        </w:rPr>
        <w:t>国省干线多功能交调站建设</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成都市崇州市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N5101842026000185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国省干线多功能交调站建设</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G318成温邛快速路梁景村段新建Ⅱ类（6车道）多功能交通量调查站设备、升级车牌识别设备和S401成都平原城市群联络线街子段Ⅱ类（6车道）多功能交通量调查站升级车牌识别设备。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崇州市交通运输事务中心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崇州市崇阳街道永安西路26号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028-82233117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中招财智工程咨询（四川）有限公司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四川省成都市双流区东升街道龙桥路6号宗申塞纳维132-501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028-86958918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代理服务费收费标准：按照国家发展改革委关于进一步放开建设项目专业服务价格的通知（发改价格〔2015〕299号）和成本加合理利润的原则，代理服务费定额收取人民币6000元（大写：人民币陆仟元整）。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崇州市交通运输事务中心</w:t>
      </w:r>
      <w:r>
        <w:rPr>
          <w:rFonts w:ascii="仿宋_GB2312" w:hAnsi="仿宋_GB2312" w:cs="仿宋_GB2312" w:eastAsia="仿宋_GB2312"/>
        </w:rPr>
        <w:t xml:space="preserve"> 和 </w:t>
      </w:r>
      <w:r>
        <w:rPr>
          <w:rFonts w:ascii="仿宋_GB2312" w:hAnsi="仿宋_GB2312" w:cs="仿宋_GB2312" w:eastAsia="仿宋_GB2312"/>
        </w:rPr>
        <w:t>中招财智工程咨询（四川）有限公司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崇州市交通运输事务中心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中招财智工程咨询（四川）有限公司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按采购人要求执行。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 号）、《政府采购需求管理办法》（财库〔2021〕22 号）的要求以及磋商文件要求、供应商的响应文件及承诺、签订的合同、国家及行业相关规范标准进行验收。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崇州市交通运输事务中心</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中招财智工程咨询（四川）有限公司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中招财智工程咨询（四川）有限公司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联系人：余先生</w:t>
      </w:r>
    </w:p>
    <w:p>
      <w:pPr>
        <w:pStyle w:val="null3"/>
        <w:jc w:val="left"/>
      </w:pPr>
      <w:r>
        <w:rPr>
          <w:rFonts w:ascii="仿宋_GB2312" w:hAnsi="仿宋_GB2312" w:cs="仿宋_GB2312" w:eastAsia="仿宋_GB2312"/>
        </w:rPr>
        <w:t>联系电话：028-82233117</w:t>
      </w:r>
    </w:p>
    <w:p>
      <w:pPr>
        <w:pStyle w:val="null3"/>
        <w:jc w:val="left"/>
      </w:pPr>
      <w:r>
        <w:rPr>
          <w:rFonts w:ascii="仿宋_GB2312" w:hAnsi="仿宋_GB2312" w:cs="仿宋_GB2312" w:eastAsia="仿宋_GB2312"/>
        </w:rPr>
        <w:t>地址：崇州市崇阳街道永安西路26号</w:t>
      </w:r>
    </w:p>
    <w:p>
      <w:pPr>
        <w:pStyle w:val="null3"/>
        <w:jc w:val="left"/>
      </w:pPr>
      <w:r>
        <w:rPr>
          <w:rFonts w:ascii="仿宋_GB2312" w:hAnsi="仿宋_GB2312" w:cs="仿宋_GB2312" w:eastAsia="仿宋_GB2312"/>
        </w:rPr>
        <w:t>邮编：611230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联系人：牟老师</w:t>
      </w:r>
    </w:p>
    <w:p>
      <w:pPr>
        <w:pStyle w:val="null3"/>
        <w:jc w:val="left"/>
      </w:pPr>
      <w:r>
        <w:rPr>
          <w:rFonts w:ascii="仿宋_GB2312" w:hAnsi="仿宋_GB2312" w:cs="仿宋_GB2312" w:eastAsia="仿宋_GB2312"/>
        </w:rPr>
        <w:t>联系电话：028-86958918</w:t>
      </w:r>
    </w:p>
    <w:p>
      <w:pPr>
        <w:pStyle w:val="null3"/>
        <w:jc w:val="left"/>
      </w:pPr>
      <w:r>
        <w:rPr>
          <w:rFonts w:ascii="仿宋_GB2312" w:hAnsi="仿宋_GB2312" w:cs="仿宋_GB2312" w:eastAsia="仿宋_GB2312"/>
        </w:rPr>
        <w:t>地址：四川省成都市双流区东升街道龙桥路6号宗申塞纳维132-501</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380,000.00</w:t>
      </w:r>
    </w:p>
    <w:p>
      <w:pPr>
        <w:pStyle w:val="null3"/>
        <w:jc w:val="left"/>
      </w:pPr>
      <w:r>
        <w:rPr>
          <w:rFonts w:ascii="仿宋_GB2312" w:hAnsi="仿宋_GB2312" w:cs="仿宋_GB2312" w:eastAsia="仿宋_GB2312"/>
        </w:rPr>
        <w:t>采购包最高限价（元）: 380,000.00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视频微波组合交调设备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163,050.00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视频监测设备</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8,950.00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机箱及防雷</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交调设备辅材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高清摄像机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46,000.00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多合一补光灯</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融合处理器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终端服务器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车牌识别设备辅材</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视频微波组合交调设备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163,050.00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视频监测设备</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8,950.00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机箱及防雷</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交调设备辅材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高清摄像机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46,000.00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多合一补光灯</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融合处理器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终端服务器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车牌识别设备辅材</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视频微波组合交调设备</w:t>
            </w:r>
          </w:p>
        </w:tc>
        <w:tc>
          <w:tcPr>
            <w:tcW w:type="dxa" w:w="2492"/>
          </w:tcPr>
          <w:p>
            <w:pPr>
              <w:pStyle w:val="null3"/>
              <w:jc w:val="left"/>
            </w:pPr>
            <w:r>
              <w:rPr>
                <w:rFonts w:ascii="仿宋_GB2312" w:hAnsi="仿宋_GB2312" w:cs="仿宋_GB2312" w:eastAsia="仿宋_GB2312"/>
              </w:rPr>
              <w:t>视频微波组合交调设备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标的名称：视频微波组合交调设备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视频微波组合交调设备</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交调设备符合</w:t>
            </w:r>
            <w:r>
              <w:rPr>
                <w:rFonts w:ascii="仿宋_GB2312" w:hAnsi="仿宋_GB2312" w:cs="仿宋_GB2312" w:eastAsia="仿宋_GB2312"/>
                <w:sz w:val="21"/>
                <w:color w:val="000000"/>
              </w:rPr>
              <w:t>JT/T 1008.1-2015《公路交通情况调查设备 第1部分：技术条件》有关规定，功能等级为I级，技术类型采用波频类设备。</w:t>
            </w:r>
            <w:r>
              <w:br/>
            </w:r>
            <w:r>
              <w:rPr>
                <w:rFonts w:ascii="仿宋_GB2312" w:hAnsi="仿宋_GB2312" w:cs="仿宋_GB2312" w:eastAsia="仿宋_GB2312"/>
                <w:sz w:val="21"/>
                <w:color w:val="000000"/>
              </w:rPr>
              <w:t>2.设备包含微波传感器、高清摄像机（内置或外置）、前端处理器；</w:t>
            </w:r>
            <w:r>
              <w:br/>
            </w:r>
            <w:r>
              <w:rPr>
                <w:rFonts w:ascii="仿宋_GB2312" w:hAnsi="仿宋_GB2312" w:cs="仿宋_GB2312" w:eastAsia="仿宋_GB2312"/>
                <w:sz w:val="21"/>
                <w:color w:val="000000"/>
              </w:rPr>
              <w:t>3.采集的分车型车流量等数据，回传至交调系统。</w:t>
            </w:r>
            <w:r>
              <w:br/>
            </w:r>
            <w:r>
              <w:rPr>
                <w:rFonts w:ascii="仿宋_GB2312" w:hAnsi="仿宋_GB2312" w:cs="仿宋_GB2312" w:eastAsia="仿宋_GB2312"/>
                <w:sz w:val="21"/>
                <w:color w:val="000000"/>
              </w:rPr>
              <w:t>4.地点车速采集设备符合 JT/T 1008.1-2015《公路交通情况调查设备 第1部分：技术条件》有关规定，技术类型为非接触式动态检测设备。</w:t>
            </w:r>
            <w:r>
              <w:br/>
            </w:r>
            <w:r>
              <w:rPr>
                <w:rFonts w:ascii="仿宋_GB2312" w:hAnsi="仿宋_GB2312" w:cs="仿宋_GB2312" w:eastAsia="仿宋_GB2312"/>
                <w:sz w:val="21"/>
                <w:color w:val="000000"/>
              </w:rPr>
              <w:t>5.单车地点车速实时回传至交调系统。</w:t>
            </w:r>
            <w:r>
              <w:br/>
            </w:r>
            <w:r>
              <w:rPr>
                <w:rFonts w:ascii="仿宋_GB2312" w:hAnsi="仿宋_GB2312" w:cs="仿宋_GB2312" w:eastAsia="仿宋_GB2312"/>
                <w:sz w:val="21"/>
                <w:color w:val="000000"/>
              </w:rPr>
              <w:t>6.按需配置测速单元数量，确保覆盖该路段的所有车道，实现单个机动车的速度采集。</w:t>
            </w:r>
            <w:r>
              <w:br/>
            </w:r>
            <w:r>
              <w:rPr>
                <w:rFonts w:ascii="仿宋_GB2312" w:hAnsi="仿宋_GB2312" w:cs="仿宋_GB2312" w:eastAsia="仿宋_GB2312"/>
                <w:sz w:val="21"/>
                <w:color w:val="000000"/>
              </w:rPr>
              <w:t>7.检测范围：支持 6～8 车道，具备车辆跨道行驶处理能力；</w:t>
            </w:r>
            <w:r>
              <w:br/>
            </w:r>
            <w:r>
              <w:rPr>
                <w:rFonts w:ascii="仿宋_GB2312" w:hAnsi="仿宋_GB2312" w:cs="仿宋_GB2312" w:eastAsia="仿宋_GB2312"/>
                <w:sz w:val="21"/>
                <w:color w:val="000000"/>
              </w:rPr>
              <w:t>8.波频类交调设备温度分类为J级；</w:t>
            </w:r>
            <w:r>
              <w:br/>
            </w:r>
            <w:r>
              <w:rPr>
                <w:rFonts w:ascii="仿宋_GB2312" w:hAnsi="仿宋_GB2312" w:cs="仿宋_GB2312" w:eastAsia="仿宋_GB2312"/>
                <w:sz w:val="21"/>
                <w:color w:val="000000"/>
              </w:rPr>
              <w:t>9.波频类交调设备</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相对</w:t>
            </w:r>
            <w:r>
              <w:rPr>
                <w:rFonts w:ascii="仿宋_GB2312" w:hAnsi="仿宋_GB2312" w:cs="仿宋_GB2312" w:eastAsia="仿宋_GB2312"/>
                <w:sz w:val="21"/>
                <w:color w:val="000000"/>
              </w:rPr>
              <w:t>湿度：</w:t>
            </w:r>
            <w:r>
              <w:rPr>
                <w:rFonts w:ascii="仿宋_GB2312" w:hAnsi="仿宋_GB2312" w:cs="仿宋_GB2312" w:eastAsia="仿宋_GB2312"/>
                <w:sz w:val="21"/>
                <w:color w:val="000000"/>
              </w:rPr>
              <w:t>10%～95%RH</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无凝露</w:t>
            </w:r>
            <w:r>
              <w:rPr>
                <w:rFonts w:ascii="仿宋_GB2312" w:hAnsi="仿宋_GB2312" w:cs="仿宋_GB2312" w:eastAsia="仿宋_GB2312"/>
                <w:sz w:val="21"/>
                <w:color w:val="000000"/>
              </w:rPr>
              <w:t>），</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JT/T817-2025《公路机电系统设备通用技术规范》湿热试验要求。</w:t>
            </w:r>
          </w:p>
          <w:p>
            <w:pPr>
              <w:pStyle w:val="null3"/>
              <w:jc w:val="left"/>
            </w:pPr>
            <w:r>
              <w:rPr>
                <w:rFonts w:ascii="仿宋_GB2312" w:hAnsi="仿宋_GB2312" w:cs="仿宋_GB2312" w:eastAsia="仿宋_GB2312"/>
                <w:sz w:val="21"/>
                <w:color w:val="000000"/>
              </w:rPr>
              <w:t>10.设备电源：交流电压 220×（1±15%） V 、频率 50HZ、可支持后备UPS供电；功耗：≤30W；</w:t>
            </w:r>
            <w:r>
              <w:br/>
            </w:r>
            <w:r>
              <w:rPr>
                <w:rFonts w:ascii="仿宋_GB2312" w:hAnsi="仿宋_GB2312" w:cs="仿宋_GB2312" w:eastAsia="仿宋_GB2312"/>
                <w:sz w:val="21"/>
                <w:color w:val="000000"/>
              </w:rPr>
              <w:t>11.设备的存储容量：配置CF存储卡，容量≥16GB；</w:t>
            </w:r>
            <w:r>
              <w:br/>
            </w:r>
            <w:r>
              <w:rPr>
                <w:rFonts w:ascii="仿宋_GB2312" w:hAnsi="仿宋_GB2312" w:cs="仿宋_GB2312" w:eastAsia="仿宋_GB2312"/>
                <w:sz w:val="21"/>
                <w:color w:val="000000"/>
              </w:rPr>
              <w:t>12.设备数据传输时间间隔：实时至60分钟可预设；</w:t>
            </w:r>
            <w:r>
              <w:br/>
            </w:r>
            <w:r>
              <w:rPr>
                <w:rFonts w:ascii="仿宋_GB2312" w:hAnsi="仿宋_GB2312" w:cs="仿宋_GB2312" w:eastAsia="仿宋_GB2312"/>
                <w:sz w:val="21"/>
                <w:color w:val="000000"/>
              </w:rPr>
              <w:t>13.设备数据格式：符合JT/T 1008.1-2015《公路交通情况调查设备 第1部分：技术条件》标准规定，数据交换文件支持文本文件类型；</w:t>
            </w:r>
            <w:r>
              <w:br/>
            </w:r>
            <w:r>
              <w:rPr>
                <w:rFonts w:ascii="仿宋_GB2312" w:hAnsi="仿宋_GB2312" w:cs="仿宋_GB2312" w:eastAsia="仿宋_GB2312"/>
                <w:sz w:val="21"/>
                <w:color w:val="000000"/>
              </w:rPr>
              <w:t>14.设备通信协议：标准 IP 地址和 TCP/IP协议支持标准串行通讯协议，设备具备串行通信接口或 USB 接口，串行通信接口使用 RS-232C 阴性插座或RS-485阳性插座，USB 接口采用A型USB 插座，串行通信接口使用2路RS232异步全双工串口，可转接光缆或无线（4G/5G）传输，串行通信接口与外部的连接便于安装和维护，符合GB/T3453-1994标准规定；</w:t>
            </w:r>
            <w:r>
              <w:br/>
            </w:r>
            <w:r>
              <w:rPr>
                <w:rFonts w:ascii="仿宋_GB2312" w:hAnsi="仿宋_GB2312" w:cs="仿宋_GB2312" w:eastAsia="仿宋_GB2312"/>
                <w:sz w:val="21"/>
                <w:color w:val="000000"/>
              </w:rPr>
              <w:t>15.设备保护措施：</w:t>
            </w:r>
            <w:r>
              <w:rPr>
                <w:rFonts w:ascii="仿宋_GB2312" w:hAnsi="仿宋_GB2312" w:cs="仿宋_GB2312" w:eastAsia="仿宋_GB2312"/>
                <w:sz w:val="21"/>
                <w:color w:val="000000"/>
              </w:rPr>
              <w:t>本项目外场设备防雷、过电压、电磁干扰防护满足</w:t>
            </w:r>
            <w:r>
              <w:rPr>
                <w:rFonts w:ascii="仿宋_GB2312" w:hAnsi="仿宋_GB2312" w:cs="仿宋_GB2312" w:eastAsia="仿宋_GB2312"/>
                <w:sz w:val="21"/>
                <w:color w:val="000000"/>
              </w:rPr>
              <w:t>JT/T 817?20</w:t>
            </w:r>
            <w:r>
              <w:rPr>
                <w:rFonts w:ascii="仿宋_GB2312" w:hAnsi="仿宋_GB2312" w:cs="仿宋_GB2312" w:eastAsia="仿宋_GB2312"/>
                <w:sz w:val="21"/>
                <w:color w:val="000000"/>
              </w:rPr>
              <w:t>25《公路机电系统设备通用技术规范》</w:t>
            </w:r>
            <w:r>
              <w:rPr>
                <w:rFonts w:ascii="仿宋_GB2312" w:hAnsi="仿宋_GB2312" w:cs="仿宋_GB2312" w:eastAsia="仿宋_GB2312"/>
                <w:sz w:val="21"/>
                <w:color w:val="000000"/>
              </w:rPr>
              <w:t>要求：防雷与电压保护：电源端口浪涌抗扰度不低于</w:t>
            </w:r>
            <w:r>
              <w:rPr>
                <w:rFonts w:ascii="仿宋_GB2312" w:hAnsi="仿宋_GB2312" w:cs="仿宋_GB2312" w:eastAsia="仿宋_GB2312"/>
                <w:sz w:val="21"/>
                <w:color w:val="000000"/>
              </w:rPr>
              <w:t>4级，网络信号端口浪涌抗扰度不低于3级</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16.设备在正常工作状态下，当供电中断后恢复正常供电时，设备能自行恢复至正常工作状态，具备实时和服务器检测连接状态功能和断电续传功能，具备支持不少于24小时工作的备用电源；</w:t>
            </w:r>
            <w:r>
              <w:br/>
            </w:r>
            <w:r>
              <w:rPr>
                <w:rFonts w:ascii="仿宋_GB2312" w:hAnsi="仿宋_GB2312" w:cs="仿宋_GB2312" w:eastAsia="仿宋_GB2312"/>
                <w:sz w:val="21"/>
                <w:color w:val="000000"/>
              </w:rPr>
              <w:t>17.提供自动化站点交调数据的实时刷新及自动传输；</w:t>
            </w:r>
            <w:r>
              <w:br/>
            </w:r>
            <w:r>
              <w:rPr>
                <w:rFonts w:ascii="仿宋_GB2312" w:hAnsi="仿宋_GB2312" w:cs="仿宋_GB2312" w:eastAsia="仿宋_GB2312"/>
                <w:sz w:val="21"/>
                <w:color w:val="000000"/>
              </w:rPr>
              <w:t>18.设备的平均无故障间隔时间（MTBF）不小于 20000小时；</w:t>
            </w:r>
            <w:r>
              <w:br/>
            </w:r>
            <w:r>
              <w:rPr>
                <w:rFonts w:ascii="仿宋_GB2312" w:hAnsi="仿宋_GB2312" w:cs="仿宋_GB2312" w:eastAsia="仿宋_GB2312"/>
                <w:sz w:val="21"/>
                <w:color w:val="000000"/>
              </w:rPr>
              <w:t>19.具备通信异常、断电故障自检功能可实现通讯中断恢复功能；</w:t>
            </w:r>
            <w:r>
              <w:br/>
            </w:r>
            <w:r>
              <w:rPr>
                <w:rFonts w:ascii="仿宋_GB2312" w:hAnsi="仿宋_GB2312" w:cs="仿宋_GB2312" w:eastAsia="仿宋_GB2312"/>
                <w:sz w:val="21"/>
                <w:color w:val="000000"/>
              </w:rPr>
              <w:t>20.外壳的防护等级不低于IP55；</w:t>
            </w:r>
            <w:r>
              <w:br/>
            </w:r>
            <w:r>
              <w:rPr>
                <w:rFonts w:ascii="仿宋_GB2312" w:hAnsi="仿宋_GB2312" w:cs="仿宋_GB2312" w:eastAsia="仿宋_GB2312"/>
                <w:sz w:val="21"/>
                <w:color w:val="000000"/>
              </w:rPr>
              <w:t>21.摄像机像素≥200万；</w:t>
            </w:r>
          </w:p>
          <w:p>
            <w:pPr>
              <w:pStyle w:val="null3"/>
              <w:jc w:val="left"/>
            </w:pPr>
            <w:r>
              <w:rPr>
                <w:rFonts w:ascii="仿宋_GB2312" w:hAnsi="仿宋_GB2312" w:cs="仿宋_GB2312" w:eastAsia="仿宋_GB2312"/>
                <w:sz w:val="21"/>
                <w:color w:val="000000"/>
              </w:rPr>
              <w:t>22.摄像机制式：全制式，不低于 1080i 50/60fps或1080p 25/30fps。</w:t>
            </w:r>
            <w:r>
              <w:br/>
            </w:r>
            <w:r>
              <w:rPr>
                <w:rFonts w:ascii="仿宋_GB2312" w:hAnsi="仿宋_GB2312" w:cs="仿宋_GB2312" w:eastAsia="仿宋_GB2312"/>
                <w:sz w:val="24"/>
              </w:rPr>
              <w:t>▲</w:t>
            </w:r>
            <w:r>
              <w:rPr>
                <w:rFonts w:ascii="仿宋_GB2312" w:hAnsi="仿宋_GB2312" w:cs="仿宋_GB2312" w:eastAsia="仿宋_GB2312"/>
                <w:sz w:val="21"/>
                <w:color w:val="000000"/>
              </w:rPr>
              <w:t>23.自动汇总交通量采集要求交通量数据精度：≥95%；（</w:t>
            </w:r>
            <w:r>
              <w:rPr>
                <w:rFonts w:ascii="仿宋_GB2312" w:hAnsi="仿宋_GB2312" w:cs="仿宋_GB2312" w:eastAsia="仿宋_GB2312"/>
                <w:sz w:val="21"/>
                <w:b/>
                <w:color w:val="000000"/>
              </w:rPr>
              <w:t>提供国家认可的第三方检验检测机构出具的检验检测报告并进行电子签章。</w:t>
            </w:r>
            <w:r>
              <w:rPr>
                <w:rFonts w:ascii="仿宋_GB2312" w:hAnsi="仿宋_GB2312" w:cs="仿宋_GB2312" w:eastAsia="仿宋_GB2312"/>
                <w:sz w:val="21"/>
                <w:color w:val="000000"/>
              </w:rPr>
              <w:t>）</w:t>
            </w:r>
            <w:r>
              <w:br/>
            </w:r>
            <w:r>
              <w:rPr>
                <w:rFonts w:ascii="仿宋_GB2312" w:hAnsi="仿宋_GB2312" w:cs="仿宋_GB2312" w:eastAsia="仿宋_GB2312"/>
                <w:sz w:val="24"/>
              </w:rPr>
              <w:t>▲</w:t>
            </w:r>
            <w:r>
              <w:rPr>
                <w:rFonts w:ascii="仿宋_GB2312" w:hAnsi="仿宋_GB2312" w:cs="仿宋_GB2312" w:eastAsia="仿宋_GB2312"/>
                <w:sz w:val="21"/>
                <w:color w:val="000000"/>
              </w:rPr>
              <w:t>24.机动车车型采集要求单类车型数据精度：≥90%；（</w:t>
            </w:r>
            <w:r>
              <w:rPr>
                <w:rFonts w:ascii="仿宋_GB2312" w:hAnsi="仿宋_GB2312" w:cs="仿宋_GB2312" w:eastAsia="仿宋_GB2312"/>
                <w:sz w:val="21"/>
                <w:b/>
                <w:color w:val="000000"/>
              </w:rPr>
              <w:t>提供国家认可的第三方检验检测机构出具的检验检测报告并进行电子签章。</w:t>
            </w:r>
            <w:r>
              <w:rPr>
                <w:rFonts w:ascii="仿宋_GB2312" w:hAnsi="仿宋_GB2312" w:cs="仿宋_GB2312" w:eastAsia="仿宋_GB2312"/>
                <w:sz w:val="21"/>
                <w:color w:val="000000"/>
              </w:rPr>
              <w:t>）</w:t>
            </w:r>
            <w:r>
              <w:br/>
            </w:r>
            <w:r>
              <w:rPr>
                <w:rFonts w:ascii="仿宋_GB2312" w:hAnsi="仿宋_GB2312" w:cs="仿宋_GB2312" w:eastAsia="仿宋_GB2312"/>
                <w:sz w:val="24"/>
              </w:rPr>
              <w:t>▲</w:t>
            </w:r>
            <w:r>
              <w:rPr>
                <w:rFonts w:ascii="仿宋_GB2312" w:hAnsi="仿宋_GB2312" w:cs="仿宋_GB2312" w:eastAsia="仿宋_GB2312"/>
                <w:sz w:val="21"/>
                <w:color w:val="000000"/>
              </w:rPr>
              <w:t>25.地点车速采集要求地点车速数据精度：≥92%。（</w:t>
            </w:r>
            <w:r>
              <w:rPr>
                <w:rFonts w:ascii="仿宋_GB2312" w:hAnsi="仿宋_GB2312" w:cs="仿宋_GB2312" w:eastAsia="仿宋_GB2312"/>
                <w:sz w:val="21"/>
                <w:b/>
                <w:color w:val="000000"/>
              </w:rPr>
              <w:t>提供国家认可的第三方检验检测机构出具的检验检测报告并进行电子签章。</w:t>
            </w: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rPr>
        <w:t>标的名称：视频监测设备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视频监测设备</w:t>
            </w:r>
          </w:p>
        </w:tc>
        <w:tc>
          <w:tcPr>
            <w:tcW w:type="dxa" w:w="5814"/>
          </w:tcPr>
          <w:p>
            <w:pPr>
              <w:pStyle w:val="null3"/>
              <w:jc w:val="left"/>
            </w:pPr>
            <w:r>
              <w:rPr>
                <w:rFonts w:ascii="仿宋_GB2312" w:hAnsi="仿宋_GB2312" w:cs="仿宋_GB2312" w:eastAsia="仿宋_GB2312"/>
                <w:sz w:val="21"/>
                <w:color w:val="000000"/>
              </w:rPr>
              <w:t>1.符合</w:t>
            </w:r>
            <w:r>
              <w:rPr>
                <w:rFonts w:ascii="仿宋_GB2312" w:hAnsi="仿宋_GB2312" w:cs="仿宋_GB2312" w:eastAsia="仿宋_GB2312"/>
                <w:sz w:val="21"/>
                <w:color w:val="000000"/>
              </w:rPr>
              <w:t>GB/T 28059.1</w:t>
            </w:r>
            <w:r>
              <w:rPr>
                <w:rFonts w:ascii="仿宋_GB2312" w:hAnsi="仿宋_GB2312" w:cs="仿宋_GB2312" w:eastAsia="仿宋_GB2312"/>
                <w:sz w:val="21"/>
                <w:color w:val="000000"/>
              </w:rPr>
              <w:t>-</w:t>
            </w:r>
            <w:r>
              <w:rPr>
                <w:rFonts w:ascii="仿宋_GB2312" w:hAnsi="仿宋_GB2312" w:cs="仿宋_GB2312" w:eastAsia="仿宋_GB2312"/>
                <w:sz w:val="21"/>
                <w:color w:val="000000"/>
              </w:rPr>
              <w:t>2023</w:t>
            </w:r>
            <w:r>
              <w:rPr>
                <w:rFonts w:ascii="仿宋_GB2312" w:hAnsi="仿宋_GB2312" w:cs="仿宋_GB2312" w:eastAsia="仿宋_GB2312"/>
                <w:sz w:val="21"/>
                <w:color w:val="000000"/>
              </w:rPr>
              <w:t>《</w:t>
            </w:r>
            <w:r>
              <w:rPr>
                <w:rFonts w:ascii="仿宋_GB2312" w:hAnsi="仿宋_GB2312" w:cs="仿宋_GB2312" w:eastAsia="仿宋_GB2312"/>
                <w:sz w:val="21"/>
                <w:color w:val="000000"/>
              </w:rPr>
              <w:t>公路网图像信息管理系统</w:t>
            </w:r>
            <w:r>
              <w:rPr>
                <w:rFonts w:ascii="仿宋_GB2312" w:hAnsi="仿宋_GB2312" w:cs="仿宋_GB2312" w:eastAsia="仿宋_GB2312"/>
                <w:sz w:val="21"/>
                <w:color w:val="000000"/>
              </w:rPr>
              <w:t>平台互联技术规范</w:t>
            </w:r>
            <w:r>
              <w:rPr>
                <w:rFonts w:ascii="仿宋_GB2312" w:hAnsi="仿宋_GB2312" w:cs="仿宋_GB2312" w:eastAsia="仿宋_GB2312"/>
                <w:sz w:val="21"/>
                <w:color w:val="000000"/>
              </w:rPr>
              <w:t>第</w:t>
            </w:r>
            <w:r>
              <w:rPr>
                <w:rFonts w:ascii="仿宋_GB2312" w:hAnsi="仿宋_GB2312" w:cs="仿宋_GB2312" w:eastAsia="仿宋_GB2312"/>
                <w:sz w:val="21"/>
                <w:color w:val="000000"/>
              </w:rPr>
              <w:t>1部分：总则</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GB/T 28059.2</w:t>
            </w:r>
            <w:r>
              <w:rPr>
                <w:rFonts w:ascii="仿宋_GB2312" w:hAnsi="仿宋_GB2312" w:cs="仿宋_GB2312" w:eastAsia="仿宋_GB2312"/>
                <w:sz w:val="21"/>
                <w:color w:val="000000"/>
              </w:rPr>
              <w:t>-</w:t>
            </w:r>
            <w:r>
              <w:rPr>
                <w:rFonts w:ascii="仿宋_GB2312" w:hAnsi="仿宋_GB2312" w:cs="仿宋_GB2312" w:eastAsia="仿宋_GB2312"/>
                <w:sz w:val="21"/>
                <w:color w:val="000000"/>
              </w:rPr>
              <w:t>2023</w:t>
            </w:r>
            <w:r>
              <w:rPr>
                <w:rFonts w:ascii="仿宋_GB2312" w:hAnsi="仿宋_GB2312" w:cs="仿宋_GB2312" w:eastAsia="仿宋_GB2312"/>
                <w:sz w:val="21"/>
                <w:color w:val="000000"/>
              </w:rPr>
              <w:t>《</w:t>
            </w:r>
            <w:r>
              <w:rPr>
                <w:rFonts w:ascii="仿宋_GB2312" w:hAnsi="仿宋_GB2312" w:cs="仿宋_GB2312" w:eastAsia="仿宋_GB2312"/>
                <w:sz w:val="21"/>
                <w:color w:val="000000"/>
              </w:rPr>
              <w:t>公路网图像信息管理系统</w:t>
            </w:r>
            <w:r>
              <w:rPr>
                <w:rFonts w:ascii="仿宋_GB2312" w:hAnsi="仿宋_GB2312" w:cs="仿宋_GB2312" w:eastAsia="仿宋_GB2312"/>
                <w:sz w:val="21"/>
                <w:color w:val="000000"/>
              </w:rPr>
              <w:t>平台互联技术规范</w:t>
            </w:r>
            <w:r>
              <w:rPr>
                <w:rFonts w:ascii="仿宋_GB2312" w:hAnsi="仿宋_GB2312" w:cs="仿宋_GB2312" w:eastAsia="仿宋_GB2312"/>
                <w:sz w:val="21"/>
                <w:color w:val="000000"/>
              </w:rPr>
              <w:t>第</w:t>
            </w:r>
            <w:r>
              <w:rPr>
                <w:rFonts w:ascii="仿宋_GB2312" w:hAnsi="仿宋_GB2312" w:cs="仿宋_GB2312" w:eastAsia="仿宋_GB2312"/>
                <w:sz w:val="21"/>
                <w:color w:val="000000"/>
              </w:rPr>
              <w:t>2部分：视频格式与编码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GB/T 28059.3</w:t>
            </w:r>
            <w:r>
              <w:rPr>
                <w:rFonts w:ascii="仿宋_GB2312" w:hAnsi="仿宋_GB2312" w:cs="仿宋_GB2312" w:eastAsia="仿宋_GB2312"/>
                <w:sz w:val="21"/>
                <w:color w:val="000000"/>
              </w:rPr>
              <w:t>-</w:t>
            </w:r>
            <w:r>
              <w:rPr>
                <w:rFonts w:ascii="仿宋_GB2312" w:hAnsi="仿宋_GB2312" w:cs="仿宋_GB2312" w:eastAsia="仿宋_GB2312"/>
                <w:sz w:val="21"/>
                <w:color w:val="000000"/>
              </w:rPr>
              <w:t>2023</w:t>
            </w:r>
            <w:r>
              <w:rPr>
                <w:rFonts w:ascii="仿宋_GB2312" w:hAnsi="仿宋_GB2312" w:cs="仿宋_GB2312" w:eastAsia="仿宋_GB2312"/>
                <w:sz w:val="21"/>
                <w:color w:val="000000"/>
              </w:rPr>
              <w:t>《</w:t>
            </w:r>
            <w:r>
              <w:rPr>
                <w:rFonts w:ascii="仿宋_GB2312" w:hAnsi="仿宋_GB2312" w:cs="仿宋_GB2312" w:eastAsia="仿宋_GB2312"/>
                <w:sz w:val="21"/>
                <w:color w:val="000000"/>
              </w:rPr>
              <w:t>公路网图像信息管理系统</w:t>
            </w:r>
            <w:r>
              <w:rPr>
                <w:rFonts w:ascii="仿宋_GB2312" w:hAnsi="仿宋_GB2312" w:cs="仿宋_GB2312" w:eastAsia="仿宋_GB2312"/>
                <w:sz w:val="21"/>
                <w:color w:val="000000"/>
              </w:rPr>
              <w:t>平台互联技术规范</w:t>
            </w:r>
            <w:r>
              <w:rPr>
                <w:rFonts w:ascii="仿宋_GB2312" w:hAnsi="仿宋_GB2312" w:cs="仿宋_GB2312" w:eastAsia="仿宋_GB2312"/>
                <w:sz w:val="21"/>
                <w:color w:val="000000"/>
              </w:rPr>
              <w:t>第</w:t>
            </w:r>
            <w:r>
              <w:rPr>
                <w:rFonts w:ascii="仿宋_GB2312" w:hAnsi="仿宋_GB2312" w:cs="仿宋_GB2312" w:eastAsia="仿宋_GB2312"/>
                <w:sz w:val="21"/>
                <w:color w:val="000000"/>
              </w:rPr>
              <w:t>3部分：接口与通信控制协议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GB/T 28059.4</w:t>
            </w:r>
            <w:r>
              <w:rPr>
                <w:rFonts w:ascii="仿宋_GB2312" w:hAnsi="仿宋_GB2312" w:cs="仿宋_GB2312" w:eastAsia="仿宋_GB2312"/>
                <w:sz w:val="21"/>
                <w:color w:val="000000"/>
              </w:rPr>
              <w:t>-</w:t>
            </w:r>
            <w:r>
              <w:rPr>
                <w:rFonts w:ascii="仿宋_GB2312" w:hAnsi="仿宋_GB2312" w:cs="仿宋_GB2312" w:eastAsia="仿宋_GB2312"/>
                <w:sz w:val="21"/>
                <w:color w:val="000000"/>
              </w:rPr>
              <w:t>2023</w:t>
            </w:r>
            <w:r>
              <w:rPr>
                <w:rFonts w:ascii="仿宋_GB2312" w:hAnsi="仿宋_GB2312" w:cs="仿宋_GB2312" w:eastAsia="仿宋_GB2312"/>
                <w:sz w:val="21"/>
              </w:rPr>
              <w:t>《公路网图像信息管理系统平台互联技术规范</w:t>
            </w:r>
            <w:r>
              <w:rPr>
                <w:rFonts w:ascii="仿宋_GB2312" w:hAnsi="仿宋_GB2312" w:cs="仿宋_GB2312" w:eastAsia="仿宋_GB2312"/>
                <w:sz w:val="21"/>
              </w:rPr>
              <w:t>第</w:t>
            </w:r>
            <w:r>
              <w:rPr>
                <w:rFonts w:ascii="仿宋_GB2312" w:hAnsi="仿宋_GB2312" w:cs="仿宋_GB2312" w:eastAsia="仿宋_GB2312"/>
                <w:sz w:val="21"/>
              </w:rPr>
              <w:t>4部分：用户及设备管理</w:t>
            </w:r>
            <w:r>
              <w:rPr>
                <w:rFonts w:ascii="仿宋_GB2312" w:hAnsi="仿宋_GB2312" w:cs="仿宋_GB2312" w:eastAsia="仿宋_GB2312"/>
                <w:sz w:val="21"/>
              </w:rPr>
              <w:t>》</w:t>
            </w:r>
            <w:r>
              <w:rPr>
                <w:rFonts w:ascii="仿宋_GB2312" w:hAnsi="仿宋_GB2312" w:cs="仿宋_GB2312" w:eastAsia="仿宋_GB2312"/>
                <w:sz w:val="21"/>
                <w:color w:val="000000"/>
              </w:rPr>
              <w:t>有关规定。</w:t>
            </w:r>
            <w:r>
              <w:br/>
            </w:r>
            <w:r>
              <w:rPr>
                <w:rFonts w:ascii="仿宋_GB2312" w:hAnsi="仿宋_GB2312" w:cs="仿宋_GB2312" w:eastAsia="仿宋_GB2312"/>
                <w:sz w:val="21"/>
                <w:color w:val="000000"/>
              </w:rPr>
              <w:t>2.视频监测设备采集的视频数据，实时接入视频监测系统，供视频监测系统调取。</w:t>
            </w:r>
            <w:r>
              <w:br/>
            </w:r>
            <w:r>
              <w:rPr>
                <w:rFonts w:ascii="仿宋_GB2312" w:hAnsi="仿宋_GB2312" w:cs="仿宋_GB2312" w:eastAsia="仿宋_GB2312"/>
                <w:sz w:val="21"/>
                <w:color w:val="000000"/>
              </w:rPr>
              <w:t>3.图像传感器：不低于1/1.8＂Progressive Scan CMOS，像素≥500万；</w:t>
            </w:r>
            <w:r>
              <w:br/>
            </w:r>
            <w:r>
              <w:rPr>
                <w:rFonts w:ascii="仿宋_GB2312" w:hAnsi="仿宋_GB2312" w:cs="仿宋_GB2312" w:eastAsia="仿宋_GB2312"/>
                <w:sz w:val="21"/>
                <w:color w:val="000000"/>
              </w:rPr>
              <w:t>4.视频压缩：H.265/H.264/MJPEG；</w:t>
            </w:r>
            <w:r>
              <w:br/>
            </w:r>
            <w:r>
              <w:rPr>
                <w:rFonts w:ascii="仿宋_GB2312" w:hAnsi="仿宋_GB2312" w:cs="仿宋_GB2312" w:eastAsia="仿宋_GB2312"/>
                <w:sz w:val="21"/>
                <w:color w:val="000000"/>
              </w:rPr>
              <w:t>5.数字变焦：≥16 倍；</w:t>
            </w:r>
            <w:r>
              <w:br/>
            </w:r>
            <w:r>
              <w:rPr>
                <w:rFonts w:ascii="仿宋_GB2312" w:hAnsi="仿宋_GB2312" w:cs="仿宋_GB2312" w:eastAsia="仿宋_GB2312"/>
                <w:sz w:val="21"/>
                <w:color w:val="000000"/>
              </w:rPr>
              <w:t>6.光学变焦：≥32 倍；</w:t>
            </w:r>
            <w:r>
              <w:br/>
            </w:r>
            <w:r>
              <w:rPr>
                <w:rFonts w:ascii="仿宋_GB2312" w:hAnsi="仿宋_GB2312" w:cs="仿宋_GB2312" w:eastAsia="仿宋_GB2312"/>
                <w:sz w:val="21"/>
                <w:color w:val="000000"/>
              </w:rPr>
              <w:t>7.水平及垂直范围：水平360°；垂直- 15°～ 90°（自动翻转）；</w:t>
            </w:r>
            <w:r>
              <w:br/>
            </w:r>
            <w:r>
              <w:rPr>
                <w:rFonts w:ascii="仿宋_GB2312" w:hAnsi="仿宋_GB2312" w:cs="仿宋_GB2312" w:eastAsia="仿宋_GB2312"/>
                <w:sz w:val="21"/>
                <w:color w:val="000000"/>
              </w:rPr>
              <w:t>8.用编程接口：支持软件集成的开放式API，满足GB/T28181-2022协议《公共安全视频监控联网系统信息传输、交换、控制技术要求》，支持第三方管理平台接入；</w:t>
            </w:r>
            <w:r>
              <w:br/>
            </w:r>
            <w:r>
              <w:rPr>
                <w:rFonts w:ascii="仿宋_GB2312" w:hAnsi="仿宋_GB2312" w:cs="仿宋_GB2312" w:eastAsia="仿宋_GB2312"/>
                <w:sz w:val="21"/>
                <w:color w:val="000000"/>
              </w:rPr>
              <w:t>9.安全防护：支持MAC 地址绑定、HTTPS 加密、IEEE 802. 1x网络访问控制、IP 地址过滤；</w:t>
            </w:r>
            <w:r>
              <w:br/>
            </w:r>
            <w:r>
              <w:rPr>
                <w:rFonts w:ascii="仿宋_GB2312" w:hAnsi="仿宋_GB2312" w:cs="仿宋_GB2312" w:eastAsia="仿宋_GB2312"/>
                <w:sz w:val="21"/>
                <w:color w:val="000000"/>
              </w:rPr>
              <w:t>10.符合GB/T28181-2022联网标准；</w:t>
            </w:r>
            <w:r>
              <w:br/>
            </w:r>
            <w:r>
              <w:rPr>
                <w:rFonts w:ascii="仿宋_GB2312" w:hAnsi="仿宋_GB2312" w:cs="仿宋_GB2312" w:eastAsia="仿宋_GB2312"/>
                <w:sz w:val="21"/>
                <w:color w:val="000000"/>
              </w:rPr>
              <w:t>11.工作温度和湿度：工作温度：-40℃～70℃；</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相对</w:t>
            </w:r>
            <w:r>
              <w:rPr>
                <w:rFonts w:ascii="仿宋_GB2312" w:hAnsi="仿宋_GB2312" w:cs="仿宋_GB2312" w:eastAsia="仿宋_GB2312"/>
                <w:sz w:val="21"/>
                <w:color w:val="000000"/>
              </w:rPr>
              <w:t>湿度：</w:t>
            </w:r>
            <w:r>
              <w:rPr>
                <w:rFonts w:ascii="仿宋_GB2312" w:hAnsi="仿宋_GB2312" w:cs="仿宋_GB2312" w:eastAsia="仿宋_GB2312"/>
                <w:sz w:val="21"/>
                <w:color w:val="000000"/>
              </w:rPr>
              <w:t>10%?95%RH</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无凝露</w:t>
            </w:r>
            <w:r>
              <w:rPr>
                <w:rFonts w:ascii="仿宋_GB2312" w:hAnsi="仿宋_GB2312" w:cs="仿宋_GB2312" w:eastAsia="仿宋_GB2312"/>
                <w:sz w:val="21"/>
                <w:color w:val="000000"/>
              </w:rPr>
              <w:t>），</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JT/T817-2025《公路机电系统设备通用技术规范》湿热试验要求。</w:t>
            </w:r>
            <w:r>
              <w:br/>
            </w:r>
            <w:r>
              <w:rPr>
                <w:rFonts w:ascii="仿宋_GB2312" w:hAnsi="仿宋_GB2312" w:cs="仿宋_GB2312" w:eastAsia="仿宋_GB2312"/>
                <w:sz w:val="21"/>
                <w:color w:val="000000"/>
              </w:rPr>
              <w:t>12.防护等级：不低于IP67；不低于6000V防雷、防浪涌、防突波；</w:t>
            </w:r>
            <w:r>
              <w:br/>
            </w:r>
            <w:r>
              <w:rPr>
                <w:rFonts w:ascii="仿宋_GB2312" w:hAnsi="仿宋_GB2312" w:cs="仿宋_GB2312" w:eastAsia="仿宋_GB2312"/>
                <w:sz w:val="21"/>
                <w:color w:val="000000"/>
              </w:rPr>
              <w:t>13.安装要求：与交调设备同址安装，满足道路监控要求；</w:t>
            </w:r>
            <w:r>
              <w:br/>
            </w:r>
            <w:r>
              <w:rPr>
                <w:rFonts w:ascii="仿宋_GB2312" w:hAnsi="仿宋_GB2312" w:cs="仿宋_GB2312" w:eastAsia="仿宋_GB2312"/>
                <w:sz w:val="21"/>
                <w:color w:val="000000"/>
              </w:rPr>
              <w:t>14.配置TF存储卡，容量≥256GB；</w:t>
            </w:r>
            <w:r>
              <w:br/>
            </w:r>
            <w:r>
              <w:rPr>
                <w:rFonts w:ascii="仿宋_GB2312" w:hAnsi="仿宋_GB2312" w:cs="仿宋_GB2312" w:eastAsia="仿宋_GB2312"/>
                <w:sz w:val="21"/>
                <w:color w:val="000000"/>
              </w:rPr>
              <w:t>15.支持远程修改视频图像文字标注，支持时钟同步功能。</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交换机</w:t>
            </w:r>
          </w:p>
        </w:tc>
        <w:tc>
          <w:tcPr>
            <w:tcW w:type="dxa" w:w="5814"/>
          </w:tcPr>
          <w:p>
            <w:pPr>
              <w:pStyle w:val="null3"/>
              <w:jc w:val="left"/>
            </w:pPr>
            <w:r>
              <w:rPr>
                <w:rFonts w:ascii="仿宋_GB2312" w:hAnsi="仿宋_GB2312" w:cs="仿宋_GB2312" w:eastAsia="仿宋_GB2312"/>
                <w:sz w:val="21"/>
                <w:color w:val="000000"/>
              </w:rPr>
              <w:t>1.物理接口≥8口， RJ45接口10/100 Base-T、全双工、自协商；</w:t>
            </w:r>
            <w:r>
              <w:br/>
            </w:r>
            <w:r>
              <w:rPr>
                <w:rFonts w:ascii="仿宋_GB2312" w:hAnsi="仿宋_GB2312" w:cs="仿宋_GB2312" w:eastAsia="仿宋_GB2312"/>
                <w:sz w:val="21"/>
                <w:color w:val="000000"/>
              </w:rPr>
              <w:t>2.包转发率：≥2Mpps；</w:t>
            </w:r>
            <w:r>
              <w:br/>
            </w:r>
            <w:r>
              <w:rPr>
                <w:rFonts w:ascii="仿宋_GB2312" w:hAnsi="仿宋_GB2312" w:cs="仿宋_GB2312" w:eastAsia="仿宋_GB2312"/>
                <w:sz w:val="21"/>
                <w:color w:val="000000"/>
              </w:rPr>
              <w:t>3.传输方式：存储转发。</w:t>
            </w:r>
          </w:p>
        </w:tc>
      </w:tr>
    </w:tbl>
    <w:p>
      <w:pPr>
        <w:pStyle w:val="null3"/>
        <w:jc w:val="left"/>
      </w:pPr>
      <w:r>
        <w:rPr>
          <w:rFonts w:ascii="仿宋_GB2312" w:hAnsi="仿宋_GB2312" w:cs="仿宋_GB2312" w:eastAsia="仿宋_GB2312"/>
        </w:rPr>
        <w:t>标的名称：机箱及防雷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机箱及防雷</w:t>
            </w:r>
          </w:p>
        </w:tc>
        <w:tc>
          <w:tcPr>
            <w:tcW w:type="dxa" w:w="5814"/>
          </w:tcPr>
          <w:p>
            <w:pPr>
              <w:pStyle w:val="null3"/>
              <w:jc w:val="left"/>
            </w:pPr>
            <w:r>
              <w:rPr>
                <w:rFonts w:ascii="仿宋_GB2312" w:hAnsi="仿宋_GB2312" w:cs="仿宋_GB2312" w:eastAsia="仿宋_GB2312"/>
                <w:sz w:val="21"/>
                <w:color w:val="000000"/>
              </w:rPr>
              <w:t>1.进出口堵漏泥密封；</w:t>
            </w:r>
            <w:r>
              <w:br/>
            </w:r>
            <w:r>
              <w:rPr>
                <w:rFonts w:ascii="仿宋_GB2312" w:hAnsi="仿宋_GB2312" w:cs="仿宋_GB2312" w:eastAsia="仿宋_GB2312"/>
                <w:sz w:val="21"/>
                <w:color w:val="000000"/>
              </w:rPr>
              <w:t>2.立体顶盖防止雨水积聚，不低于 IP65 级；</w:t>
            </w:r>
            <w:r>
              <w:br/>
            </w:r>
            <w:r>
              <w:rPr>
                <w:rFonts w:ascii="仿宋_GB2312" w:hAnsi="仿宋_GB2312" w:cs="仿宋_GB2312" w:eastAsia="仿宋_GB2312"/>
                <w:sz w:val="21"/>
                <w:color w:val="000000"/>
              </w:rPr>
              <w:t>3.前门为带锁的钢质门，对重要设备可起保安作用；柜内在安装层板为活动可调节；配有通风槽；外壳及连接件的防护层色泽均匀、无划伤、无裂痕、无机体 裸露等缺陷；</w:t>
            </w:r>
            <w:r>
              <w:br/>
            </w:r>
            <w:r>
              <w:rPr>
                <w:rFonts w:ascii="仿宋_GB2312" w:hAnsi="仿宋_GB2312" w:cs="仿宋_GB2312" w:eastAsia="仿宋_GB2312"/>
                <w:sz w:val="21"/>
                <w:color w:val="000000"/>
              </w:rPr>
              <w:t>4.联合接地电阻＜4Ω。</w:t>
            </w:r>
          </w:p>
        </w:tc>
      </w:tr>
    </w:tbl>
    <w:p>
      <w:pPr>
        <w:pStyle w:val="null3"/>
        <w:jc w:val="left"/>
      </w:pPr>
      <w:r>
        <w:rPr>
          <w:rFonts w:ascii="仿宋_GB2312" w:hAnsi="仿宋_GB2312" w:cs="仿宋_GB2312" w:eastAsia="仿宋_GB2312"/>
        </w:rPr>
        <w:t>标的名称：交调设备辅材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交调设备辅材</w:t>
            </w:r>
          </w:p>
        </w:tc>
        <w:tc>
          <w:tcPr>
            <w:tcW w:type="dxa" w:w="5814"/>
          </w:tcPr>
          <w:p>
            <w:pPr>
              <w:pStyle w:val="null3"/>
              <w:jc w:val="left"/>
            </w:pPr>
            <w:r>
              <w:rPr>
                <w:rFonts w:ascii="仿宋_GB2312" w:hAnsi="仿宋_GB2312" w:cs="仿宋_GB2312" w:eastAsia="仿宋_GB2312"/>
                <w:sz w:val="21"/>
                <w:color w:val="000000"/>
              </w:rPr>
              <w:t>1.L杆：数量：2根；规格：高度6.5m～7m，横杆长度≥10m；L杆主立柱不小于Ф219×6无缝钢管，采用法兰连接；采用Q235材质，整体热浸锌；</w:t>
            </w:r>
            <w:r>
              <w:br/>
            </w:r>
            <w:r>
              <w:rPr>
                <w:rFonts w:ascii="仿宋_GB2312" w:hAnsi="仿宋_GB2312" w:cs="仿宋_GB2312" w:eastAsia="仿宋_GB2312"/>
                <w:sz w:val="21"/>
                <w:color w:val="000000"/>
              </w:rPr>
              <w:t>2.L杆基础：数量：2个；基础尺寸：1.5m×1.5m×1.5m;混凝土标号：C25；</w:t>
            </w:r>
            <w:r>
              <w:rPr>
                <w:rFonts w:ascii="仿宋_GB2312" w:hAnsi="仿宋_GB2312" w:cs="仿宋_GB2312" w:eastAsia="仿宋_GB2312"/>
                <w:sz w:val="21"/>
                <w:color w:val="000000"/>
              </w:rPr>
              <w:t>钢筋采用</w:t>
            </w:r>
            <w:r>
              <w:rPr>
                <w:rFonts w:ascii="仿宋_GB2312" w:hAnsi="仿宋_GB2312" w:cs="仿宋_GB2312" w:eastAsia="仿宋_GB2312"/>
                <w:sz w:val="21"/>
                <w:color w:val="000000"/>
              </w:rPr>
              <w:t>HPB235(</w:t>
            </w:r>
            <w:r>
              <w:rPr>
                <w:rFonts w:ascii="仿宋_GB2312" w:hAnsi="仿宋_GB2312" w:cs="仿宋_GB2312" w:eastAsia="仿宋_GB2312"/>
                <w:sz w:val="21"/>
                <w:color w:val="000000"/>
              </w:rPr>
              <w:t>Ф</w:t>
            </w:r>
            <w:r>
              <w:rPr>
                <w:rFonts w:ascii="仿宋_GB2312" w:hAnsi="仿宋_GB2312" w:cs="仿宋_GB2312" w:eastAsia="仿宋_GB2312"/>
                <w:sz w:val="21"/>
                <w:color w:val="000000"/>
              </w:rPr>
              <w:t>),钢材:Q235-B</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要求：安装牢靠、稳固，防锈蚀，基础基底整平、夯实，夯实度与路基相同，控制标高；</w:t>
            </w:r>
            <w:r>
              <w:br/>
            </w:r>
            <w:r>
              <w:rPr>
                <w:rFonts w:ascii="仿宋_GB2312" w:hAnsi="仿宋_GB2312" w:cs="仿宋_GB2312" w:eastAsia="仿宋_GB2312"/>
                <w:sz w:val="21"/>
                <w:color w:val="000000"/>
              </w:rPr>
              <w:t>3.辅材包含水晶头、电缆线、胶带、抱箍、螺栓等紧固件。</w:t>
            </w:r>
          </w:p>
        </w:tc>
      </w:tr>
    </w:tbl>
    <w:p>
      <w:pPr>
        <w:pStyle w:val="null3"/>
        <w:jc w:val="left"/>
      </w:pPr>
      <w:r>
        <w:rPr>
          <w:rFonts w:ascii="仿宋_GB2312" w:hAnsi="仿宋_GB2312" w:cs="仿宋_GB2312" w:eastAsia="仿宋_GB2312"/>
        </w:rPr>
        <w:t>标的名称：高清摄像机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高清摄像机</w:t>
            </w:r>
          </w:p>
        </w:tc>
        <w:tc>
          <w:tcPr>
            <w:tcW w:type="dxa" w:w="5814"/>
          </w:tcPr>
          <w:p>
            <w:pPr>
              <w:pStyle w:val="null3"/>
              <w:jc w:val="left"/>
            </w:pPr>
            <w:r>
              <w:rPr>
                <w:rFonts w:ascii="仿宋_GB2312" w:hAnsi="仿宋_GB2312" w:cs="仿宋_GB2312" w:eastAsia="仿宋_GB2312"/>
                <w:sz w:val="21"/>
                <w:color w:val="000000"/>
              </w:rPr>
              <w:t>1.符合 GB/T 28649-2012《机动车号牌自动识别系统》、JT/T 604</w:t>
            </w:r>
            <w:r>
              <w:rPr>
                <w:rFonts w:ascii="仿宋_GB2312" w:hAnsi="仿宋_GB2312" w:cs="仿宋_GB2312" w:eastAsia="仿宋_GB2312"/>
                <w:sz w:val="32"/>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《汽车号牌视频自动识别系统》有关规定。</w:t>
            </w:r>
            <w:r>
              <w:br/>
            </w:r>
            <w:r>
              <w:rPr>
                <w:rFonts w:ascii="仿宋_GB2312" w:hAnsi="仿宋_GB2312" w:cs="仿宋_GB2312" w:eastAsia="仿宋_GB2312"/>
                <w:sz w:val="21"/>
                <w:color w:val="000000"/>
              </w:rPr>
              <w:t>2.采集车辆行驶方向、车道号、过车时间、号牌号码、号牌颜色、车辆速度，其号牌采集车头车牌信息。</w:t>
            </w:r>
            <w:r>
              <w:br/>
            </w:r>
            <w:r>
              <w:rPr>
                <w:rFonts w:ascii="仿宋_GB2312" w:hAnsi="仿宋_GB2312" w:cs="仿宋_GB2312" w:eastAsia="仿宋_GB2312"/>
                <w:sz w:val="21"/>
                <w:color w:val="000000"/>
              </w:rPr>
              <w:t>3.能识别 GA 36 -2018《中华人民共和国机动车号牌》相关规定要求的号牌颜色、字符。</w:t>
            </w:r>
            <w:r>
              <w:br/>
            </w:r>
            <w:r>
              <w:rPr>
                <w:rFonts w:ascii="仿宋_GB2312" w:hAnsi="仿宋_GB2312" w:cs="仿宋_GB2312" w:eastAsia="仿宋_GB2312"/>
                <w:sz w:val="21"/>
                <w:color w:val="000000"/>
              </w:rPr>
              <w:t>4.车牌数据脱敏满足 JT/T 1480-2023《交通运输数据脱敏指南》 相关规定要求。</w:t>
            </w:r>
            <w:r>
              <w:br/>
            </w:r>
            <w:r>
              <w:rPr>
                <w:rFonts w:ascii="仿宋_GB2312" w:hAnsi="仿宋_GB2312" w:cs="仿宋_GB2312" w:eastAsia="仿宋_GB2312"/>
                <w:sz w:val="21"/>
                <w:color w:val="000000"/>
              </w:rPr>
              <w:t>5.单车车牌采集数据实时回传至交调系统。</w:t>
            </w:r>
            <w:r>
              <w:br/>
            </w:r>
            <w:r>
              <w:rPr>
                <w:rFonts w:ascii="仿宋_GB2312" w:hAnsi="仿宋_GB2312" w:cs="仿宋_GB2312" w:eastAsia="仿宋_GB2312"/>
                <w:sz w:val="21"/>
                <w:color w:val="000000"/>
              </w:rPr>
              <w:t>6.采集的单车照片数据，实时接入交调系统，供交调系统调取。</w:t>
            </w:r>
            <w:r>
              <w:br/>
            </w:r>
            <w:r>
              <w:rPr>
                <w:rFonts w:ascii="仿宋_GB2312" w:hAnsi="仿宋_GB2312" w:cs="仿宋_GB2312" w:eastAsia="仿宋_GB2312"/>
                <w:sz w:val="21"/>
                <w:color w:val="000000"/>
              </w:rPr>
              <w:t>7.分辨率：≥900Ｗ像素；成像原理：为 CMOS 成像，确保车速≤140km/h 可检出。</w:t>
            </w:r>
            <w:r>
              <w:br/>
            </w:r>
            <w:r>
              <w:rPr>
                <w:rFonts w:ascii="仿宋_GB2312" w:hAnsi="仿宋_GB2312" w:cs="仿宋_GB2312" w:eastAsia="仿宋_GB2312"/>
                <w:sz w:val="21"/>
                <w:color w:val="000000"/>
              </w:rPr>
              <w:t>8.抓拍摄像机视频，动态标注显示实时采集、融合的车牌、车速、日累计流量、车型（如有）信息。标注文字的样式、大小、颜色等符合 JT/T 1389.1-2021《交通运输视频图像文字信息标注规范 第1部分：总则》有关规定。</w:t>
            </w:r>
            <w:r>
              <w:br/>
            </w:r>
            <w:r>
              <w:rPr>
                <w:rFonts w:ascii="仿宋_GB2312" w:hAnsi="仿宋_GB2312" w:cs="仿宋_GB2312" w:eastAsia="仿宋_GB2312"/>
                <w:sz w:val="21"/>
                <w:color w:val="000000"/>
              </w:rPr>
              <w:t>9.抓拍摄像机采集的视频数据，实时接入视频监测系统，供视频监测系统调取。</w:t>
            </w:r>
            <w:r>
              <w:br/>
            </w:r>
            <w:r>
              <w:rPr>
                <w:rFonts w:ascii="仿宋_GB2312" w:hAnsi="仿宋_GB2312" w:cs="仿宋_GB2312" w:eastAsia="仿宋_GB2312"/>
                <w:sz w:val="21"/>
                <w:color w:val="000000"/>
              </w:rPr>
              <w:t>10.压缩输出码率 32 Kbps～16M bps。</w:t>
            </w:r>
            <w:r>
              <w:br/>
            </w:r>
            <w:r>
              <w:rPr>
                <w:rFonts w:ascii="仿宋_GB2312" w:hAnsi="仿宋_GB2312" w:cs="仿宋_GB2312" w:eastAsia="仿宋_GB2312"/>
                <w:sz w:val="21"/>
                <w:color w:val="000000"/>
              </w:rPr>
              <w:t>11.支持协议：TCP/IP,HTTP,DHCP,DNS,RTP,RTSP,NTP,支持FTP上传图片。</w:t>
            </w:r>
            <w:r>
              <w:br/>
            </w:r>
            <w:r>
              <w:rPr>
                <w:rFonts w:ascii="仿宋_GB2312" w:hAnsi="仿宋_GB2312" w:cs="仿宋_GB2312" w:eastAsia="仿宋_GB2312"/>
                <w:sz w:val="21"/>
                <w:color w:val="000000"/>
              </w:rPr>
              <w:t>12.车辆图像捕获率：指统计时间内有效抓拍机动车图片数量（不计重复图片）与实际通过机动车数量的百分比。采用非视频外部触发，捕获率≥99％。</w:t>
            </w:r>
            <w:r>
              <w:br/>
            </w:r>
            <w:r>
              <w:rPr>
                <w:rFonts w:ascii="仿宋_GB2312" w:hAnsi="仿宋_GB2312" w:cs="仿宋_GB2312" w:eastAsia="仿宋_GB2312"/>
                <w:sz w:val="21"/>
                <w:color w:val="000000"/>
              </w:rPr>
              <w:t>13.机动车号牌识别准确率：指号牌信息识别正确的车辆数与号牌信息记录有效车辆数的百分比。车头全景图像像素不小于 300万，白天≥95％，夜间≥90％。</w:t>
            </w:r>
          </w:p>
        </w:tc>
      </w:tr>
    </w:tbl>
    <w:p>
      <w:pPr>
        <w:pStyle w:val="null3"/>
        <w:jc w:val="left"/>
      </w:pPr>
      <w:r>
        <w:rPr>
          <w:rFonts w:ascii="仿宋_GB2312" w:hAnsi="仿宋_GB2312" w:cs="仿宋_GB2312" w:eastAsia="仿宋_GB2312"/>
        </w:rPr>
        <w:t>标的名称：多合一补光灯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多合一补光灯</w:t>
            </w:r>
          </w:p>
        </w:tc>
        <w:tc>
          <w:tcPr>
            <w:tcW w:type="dxa" w:w="5814"/>
          </w:tcPr>
          <w:p>
            <w:pPr>
              <w:pStyle w:val="null3"/>
              <w:jc w:val="left"/>
            </w:pPr>
            <w:r>
              <w:rPr>
                <w:rFonts w:ascii="仿宋_GB2312" w:hAnsi="仿宋_GB2312" w:cs="仿宋_GB2312" w:eastAsia="仿宋_GB2312"/>
                <w:sz w:val="21"/>
                <w:color w:val="000000"/>
              </w:rPr>
              <w:t>1.补光距离：16m～25m；</w:t>
            </w:r>
            <w:r>
              <w:br/>
            </w:r>
            <w:r>
              <w:rPr>
                <w:rFonts w:ascii="仿宋_GB2312" w:hAnsi="仿宋_GB2312" w:cs="仿宋_GB2312" w:eastAsia="仿宋_GB2312"/>
                <w:sz w:val="21"/>
                <w:color w:val="000000"/>
              </w:rPr>
              <w:t>2.支持自闪、跟随、自动频闪（外部摄像机触发）模式；</w:t>
            </w:r>
            <w:r>
              <w:br/>
            </w:r>
            <w:r>
              <w:rPr>
                <w:rFonts w:ascii="仿宋_GB2312" w:hAnsi="仿宋_GB2312" w:cs="仿宋_GB2312" w:eastAsia="仿宋_GB2312"/>
                <w:sz w:val="21"/>
                <w:color w:val="000000"/>
              </w:rPr>
              <w:t>3.支持爆闪功能，爆闪持续时间、延迟时间及最小间隔时间可设；</w:t>
            </w:r>
            <w:r>
              <w:br/>
            </w:r>
            <w:r>
              <w:rPr>
                <w:rFonts w:ascii="仿宋_GB2312" w:hAnsi="仿宋_GB2312" w:cs="仿宋_GB2312" w:eastAsia="仿宋_GB2312"/>
                <w:sz w:val="21"/>
                <w:color w:val="000000"/>
              </w:rPr>
              <w:t>4.支持远程显示补光灯故障、正常、开启、关闭工作状态；</w:t>
            </w:r>
            <w:r>
              <w:br/>
            </w:r>
            <w:r>
              <w:rPr>
                <w:rFonts w:ascii="仿宋_GB2312" w:hAnsi="仿宋_GB2312" w:cs="仿宋_GB2312" w:eastAsia="仿宋_GB2312"/>
                <w:sz w:val="21"/>
                <w:color w:val="000000"/>
              </w:rPr>
              <w:t>5.支持倍频设置功能检查，支持倍频1～15 可调；</w:t>
            </w:r>
            <w:r>
              <w:br/>
            </w:r>
            <w:r>
              <w:rPr>
                <w:rFonts w:ascii="仿宋_GB2312" w:hAnsi="仿宋_GB2312" w:cs="仿宋_GB2312" w:eastAsia="仿宋_GB2312"/>
                <w:sz w:val="21"/>
                <w:color w:val="000000"/>
              </w:rPr>
              <w:t>6.频闪响时间≤20 μs；</w:t>
            </w:r>
            <w:r>
              <w:br/>
            </w:r>
            <w:r>
              <w:rPr>
                <w:rFonts w:ascii="仿宋_GB2312" w:hAnsi="仿宋_GB2312" w:cs="仿宋_GB2312" w:eastAsia="仿宋_GB2312"/>
                <w:sz w:val="21"/>
                <w:color w:val="000000"/>
              </w:rPr>
              <w:t>7.防护等级不低于IP66。</w:t>
            </w:r>
          </w:p>
        </w:tc>
      </w:tr>
    </w:tbl>
    <w:p>
      <w:pPr>
        <w:pStyle w:val="null3"/>
        <w:jc w:val="left"/>
      </w:pPr>
      <w:r>
        <w:rPr>
          <w:rFonts w:ascii="仿宋_GB2312" w:hAnsi="仿宋_GB2312" w:cs="仿宋_GB2312" w:eastAsia="仿宋_GB2312"/>
        </w:rPr>
        <w:t>标的名称：融合处理器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融合处理器</w:t>
            </w:r>
          </w:p>
        </w:tc>
        <w:tc>
          <w:tcPr>
            <w:tcW w:type="dxa" w:w="5814"/>
          </w:tcPr>
          <w:p>
            <w:pPr>
              <w:pStyle w:val="null3"/>
              <w:jc w:val="left"/>
            </w:pPr>
            <w:r>
              <w:rPr>
                <w:rFonts w:ascii="仿宋_GB2312" w:hAnsi="仿宋_GB2312" w:cs="仿宋_GB2312" w:eastAsia="仿宋_GB2312"/>
                <w:sz w:val="21"/>
                <w:color w:val="000000"/>
              </w:rPr>
              <w:t>1.负责接收来自各个车牌识别摄像机的数据，按照要求的通讯协议和数据格式打包上传；</w:t>
            </w:r>
            <w:r>
              <w:br/>
            </w:r>
            <w:r>
              <w:rPr>
                <w:rFonts w:ascii="仿宋_GB2312" w:hAnsi="仿宋_GB2312" w:cs="仿宋_GB2312" w:eastAsia="仿宋_GB2312"/>
                <w:sz w:val="21"/>
                <w:color w:val="000000"/>
              </w:rPr>
              <w:t>2.安装于户外机箱内，防护等级不低于IP66；</w:t>
            </w:r>
            <w:r>
              <w:br/>
            </w:r>
            <w:r>
              <w:rPr>
                <w:rFonts w:ascii="仿宋_GB2312" w:hAnsi="仿宋_GB2312" w:cs="仿宋_GB2312" w:eastAsia="仿宋_GB2312"/>
                <w:sz w:val="21"/>
                <w:color w:val="000000"/>
              </w:rPr>
              <w:t>3.传输方式：单车实时推送、信息汇总推送；</w:t>
            </w:r>
            <w:r>
              <w:br/>
            </w:r>
            <w:r>
              <w:rPr>
                <w:rFonts w:ascii="仿宋_GB2312" w:hAnsi="仿宋_GB2312" w:cs="仿宋_GB2312" w:eastAsia="仿宋_GB2312"/>
                <w:sz w:val="21"/>
                <w:color w:val="000000"/>
              </w:rPr>
              <w:t>4.数据传输：符合《公路交通情况调查设备 第2部分：通信协议》（JT/T 1008.2-2015）；</w:t>
            </w:r>
            <w:r>
              <w:br/>
            </w:r>
            <w:r>
              <w:rPr>
                <w:rFonts w:ascii="仿宋_GB2312" w:hAnsi="仿宋_GB2312" w:cs="仿宋_GB2312" w:eastAsia="仿宋_GB2312"/>
                <w:sz w:val="21"/>
                <w:color w:val="000000"/>
              </w:rPr>
              <w:t>5.多地址发送功能：具备多地址数据上传功能。</w:t>
            </w:r>
          </w:p>
        </w:tc>
      </w:tr>
    </w:tbl>
    <w:p>
      <w:pPr>
        <w:pStyle w:val="null3"/>
        <w:jc w:val="left"/>
      </w:pPr>
      <w:r>
        <w:rPr>
          <w:rFonts w:ascii="仿宋_GB2312" w:hAnsi="仿宋_GB2312" w:cs="仿宋_GB2312" w:eastAsia="仿宋_GB2312"/>
        </w:rPr>
        <w:t>标的名称：终端服务器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终端服务器</w:t>
            </w:r>
          </w:p>
        </w:tc>
        <w:tc>
          <w:tcPr>
            <w:tcW w:type="dxa" w:w="5814"/>
          </w:tcPr>
          <w:p>
            <w:pPr>
              <w:pStyle w:val="null3"/>
              <w:jc w:val="left"/>
            </w:pPr>
            <w:r>
              <w:rPr>
                <w:rFonts w:ascii="仿宋_GB2312" w:hAnsi="仿宋_GB2312" w:cs="仿宋_GB2312" w:eastAsia="仿宋_GB2312"/>
                <w:sz w:val="21"/>
                <w:color w:val="000000"/>
              </w:rPr>
              <w:t>1.坚固紧凑无风扇设计，体积小巧，适合在路边机柜及抱杆机柜使用，单面接口设计，更便于施工操作；</w:t>
            </w:r>
            <w:r>
              <w:br/>
            </w:r>
            <w:r>
              <w:rPr>
                <w:rFonts w:ascii="仿宋_GB2312" w:hAnsi="仿宋_GB2312" w:cs="仿宋_GB2312" w:eastAsia="仿宋_GB2312"/>
                <w:sz w:val="21"/>
                <w:color w:val="000000"/>
              </w:rPr>
              <w:t>2.嵌入式操作系统，支持不低于4TB硬盘存储，图片与录像可设置配额，支持对通行车辆的信息（记录和图片、录像）存储；</w:t>
            </w:r>
            <w:r>
              <w:br/>
            </w:r>
            <w:r>
              <w:rPr>
                <w:rFonts w:ascii="仿宋_GB2312" w:hAnsi="仿宋_GB2312" w:cs="仿宋_GB2312" w:eastAsia="仿宋_GB2312"/>
                <w:sz w:val="21"/>
                <w:color w:val="000000"/>
              </w:rPr>
              <w:t>3.可配置多种字符叠加、图片合成模式，支持区间测速功能。</w:t>
            </w:r>
          </w:p>
        </w:tc>
      </w:tr>
    </w:tbl>
    <w:p>
      <w:pPr>
        <w:pStyle w:val="null3"/>
        <w:jc w:val="left"/>
      </w:pPr>
      <w:r>
        <w:rPr>
          <w:rFonts w:ascii="仿宋_GB2312" w:hAnsi="仿宋_GB2312" w:cs="仿宋_GB2312" w:eastAsia="仿宋_GB2312"/>
        </w:rPr>
        <w:t>标的名称：车牌识别设备辅材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车牌识别设备辅材</w:t>
            </w:r>
          </w:p>
        </w:tc>
        <w:tc>
          <w:tcPr>
            <w:tcW w:type="dxa" w:w="5814"/>
          </w:tcPr>
          <w:p>
            <w:pPr>
              <w:pStyle w:val="null3"/>
              <w:jc w:val="left"/>
            </w:pPr>
            <w:r>
              <w:rPr>
                <w:rFonts w:ascii="仿宋_GB2312" w:hAnsi="仿宋_GB2312" w:cs="仿宋_GB2312" w:eastAsia="仿宋_GB2312"/>
                <w:sz w:val="21"/>
                <w:color w:val="000000"/>
              </w:rPr>
              <w:t>1.包含水晶头、电缆线、胶带、抱箍、螺栓等紧固件。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1.本项目货物到货后，按采购人要求安装、调试、后台数据处理等。</w:t>
            </w:r>
          </w:p>
          <w:p>
            <w:pPr>
              <w:pStyle w:val="null3"/>
              <w:jc w:val="left"/>
            </w:pPr>
            <w:r>
              <w:rPr>
                <w:rFonts w:ascii="仿宋_GB2312" w:hAnsi="仿宋_GB2312" w:cs="仿宋_GB2312" w:eastAsia="仿宋_GB2312"/>
              </w:rPr>
              <w:t>2.本项目货物质保期3年，质保期内容：</w:t>
            </w:r>
          </w:p>
          <w:p>
            <w:pPr>
              <w:pStyle w:val="null3"/>
              <w:jc w:val="left"/>
            </w:pPr>
            <w:r>
              <w:rPr>
                <w:rFonts w:ascii="仿宋_GB2312" w:hAnsi="仿宋_GB2312" w:cs="仿宋_GB2312" w:eastAsia="仿宋_GB2312"/>
              </w:rPr>
              <w:t>2.1故障处理</w:t>
            </w:r>
          </w:p>
          <w:p>
            <w:pPr>
              <w:pStyle w:val="null3"/>
              <w:jc w:val="left"/>
            </w:pPr>
            <w:r>
              <w:rPr>
                <w:rFonts w:ascii="仿宋_GB2312" w:hAnsi="仿宋_GB2312" w:cs="仿宋_GB2312" w:eastAsia="仿宋_GB2312"/>
              </w:rPr>
              <w:t>（1）备品备件。成交供应商应备足备品备件，并将其放置于采购人指定场所，“先换后修”及时恢复运行。</w:t>
            </w:r>
          </w:p>
          <w:p>
            <w:pPr>
              <w:pStyle w:val="null3"/>
              <w:jc w:val="left"/>
            </w:pPr>
            <w:r>
              <w:rPr>
                <w:rFonts w:ascii="仿宋_GB2312" w:hAnsi="仿宋_GB2312" w:cs="仿宋_GB2312" w:eastAsia="仿宋_GB2312"/>
              </w:rPr>
              <w:t>（2）恢复时限。发现异常或故障后在30 分钟内响应，系统平台、软件、数据故障及异常在5 个小时内排除并恢复功能；外场设备故障在5 个日历天内排除并恢复功能。</w:t>
            </w:r>
          </w:p>
          <w:p>
            <w:pPr>
              <w:pStyle w:val="null3"/>
              <w:jc w:val="left"/>
            </w:pPr>
            <w:r>
              <w:rPr>
                <w:rFonts w:ascii="仿宋_GB2312" w:hAnsi="仿宋_GB2312" w:cs="仿宋_GB2312" w:eastAsia="仿宋_GB2312"/>
              </w:rPr>
              <w:t>2.2技术支持要求</w:t>
            </w:r>
          </w:p>
          <w:p>
            <w:pPr>
              <w:pStyle w:val="null3"/>
              <w:jc w:val="left"/>
            </w:pPr>
            <w:r>
              <w:rPr>
                <w:rFonts w:ascii="仿宋_GB2312" w:hAnsi="仿宋_GB2312" w:cs="仿宋_GB2312" w:eastAsia="仿宋_GB2312"/>
              </w:rPr>
              <w:t>（1）供应商提供资料包括：技术咨询、技术资料、设备技术说明书、使用说明书、维护说明书等。</w:t>
            </w:r>
          </w:p>
          <w:p>
            <w:pPr>
              <w:pStyle w:val="null3"/>
              <w:jc w:val="left"/>
            </w:pPr>
            <w:r>
              <w:rPr>
                <w:rFonts w:ascii="仿宋_GB2312" w:hAnsi="仿宋_GB2312" w:cs="仿宋_GB2312" w:eastAsia="仿宋_GB2312"/>
              </w:rPr>
              <w:t>（2）供应商提供7×24 小时的在线技术支持，保证采购人关于设备设施的技术性问题得到及时、有效地解决。</w:t>
            </w:r>
          </w:p>
          <w:p>
            <w:pPr>
              <w:pStyle w:val="null3"/>
              <w:jc w:val="left"/>
            </w:pPr>
            <w:r>
              <w:rPr>
                <w:rFonts w:ascii="仿宋_GB2312" w:hAnsi="仿宋_GB2312" w:cs="仿宋_GB2312" w:eastAsia="仿宋_GB2312"/>
              </w:rPr>
              <w:t>3.本项目报价是供应商完成本项目所有内容的报价，包括：货物成本、运输、安装调试、利润、保险、风险、税金等一切费用。供应商应根据本项目的实际情况与自身现实情况，并充分考虑不确定性因素可能导致的风险自行填报。若因供应商原因造成的漏报、错报而导致本项目无法履行的，由供应商负责，采购人不再承担任何费用。</w:t>
            </w:r>
          </w:p>
          <w:p>
            <w:pPr>
              <w:pStyle w:val="null3"/>
              <w:jc w:val="left"/>
            </w:pPr>
            <w:r>
              <w:rPr>
                <w:rFonts w:ascii="仿宋_GB2312" w:hAnsi="仿宋_GB2312" w:cs="仿宋_GB2312" w:eastAsia="仿宋_GB2312"/>
              </w:rPr>
              <w:t>4.供应商提供的货物是主流品牌、厂家生产的合格全新产品（含零部件、配件等），符合或优于国家（行业）相关标准，满足本项目采购文件的参数要求和技术指标，且权属清楚，不得侵害他人的知识产权。</w:t>
            </w:r>
          </w:p>
          <w:p>
            <w:pPr>
              <w:pStyle w:val="null3"/>
              <w:jc w:val="left"/>
            </w:pPr>
            <w:r>
              <w:rPr>
                <w:rFonts w:ascii="仿宋_GB2312" w:hAnsi="仿宋_GB2312" w:cs="仿宋_GB2312" w:eastAsia="仿宋_GB2312"/>
              </w:rPr>
              <w:t>5.本项目所涉及的国家标准、行业标准等，若在项目招标阶段或项目执行阶段，有新标准发布时，直接按发布的新标准实施，本采购文件或签订的政府采购合同不再就此进行调整。</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合同签订生效之日起60日内完成</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崇州市采购人指定地点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1付款条件：合同签订后，供应商向采购提供完税发票后，达到该付款条件起10个工作日内，支付合同总金额的30.00%</w:t>
            </w:r>
          </w:p>
          <w:p>
            <w:pPr>
              <w:pStyle w:val="null3"/>
              <w:jc w:val="left"/>
            </w:pPr>
            <w:r>
              <w:rPr>
                <w:rFonts w:ascii="仿宋_GB2312" w:hAnsi="仿宋_GB2312" w:cs="仿宋_GB2312" w:eastAsia="仿宋_GB2312"/>
              </w:rPr>
              <w:t>2付款条件：所有货物到货安装、调试完毕且验收合格，供应商向采购提供完税发票后，达到该付款条件起10个工作日内，支付合同总金额的70.00%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 号）、《政府采购需求管理办法》（财库〔2021〕22 号）的要求以及磋商文件要求、供应商的响应文件及承诺、签订的合同、国家及行业相关规范标准进行验收。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本项目所有货物质保期限为3年，货物符合实行国家“三包”（包修、包换、包退）规定的，应执行“三包”规定。</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1.违约责任：（1）采购人和成交供应商双方必须遵守合同并执行合同中的各项规定，保证本合同的正常履行。 （2）因国家政策调整、公共利益需要导致采购人无法履行合同义务的，采购人可书面通知成交供应商解除或变更合同，双方协商解决后续事宜。 （3）如因成交供应商工作人员在履行职务过程中的疏忽、失职、过错等故意或者过失原因给甲方造成损失或侵害，但不限于采购人本身的财产损失、由此而导致的采购人对任何第三方的法律责任等，成交供应商对此均应承担全部的赔偿责任。 2.解决争议的方法：（1）在执行本合同中发生的或与本合同有关的争端，双方应通过友好协商解决，经协商不能达成协议时，可依法向采购人所在地的人民法院提起诉讼。 （2）在诉讼期间，除正在进行诉讼部分外，合同其他部分继续执行。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符合采购⽂件规定的实质性要求</w:t>
            </w:r>
          </w:p>
        </w:tc>
        <w:tc>
          <w:tcPr>
            <w:tcW w:type="dxa" w:w="3322"/>
          </w:tcPr>
          <w:p>
            <w:pPr>
              <w:pStyle w:val="null3"/>
              <w:jc w:val="left"/>
            </w:pPr>
            <w:r>
              <w:rPr>
                <w:rFonts w:ascii="仿宋_GB2312" w:hAnsi="仿宋_GB2312" w:cs="仿宋_GB2312" w:eastAsia="仿宋_GB2312"/>
              </w:rPr>
              <w:t>凡涉及要求供应商提供相关承诺函或证明材料的实质性要求内容，供应商均需按采购⽂件的相关实质性要求提供相关承诺函或证明材料</w:t>
            </w:r>
          </w:p>
        </w:tc>
        <w:tc>
          <w:tcPr>
            <w:tcW w:type="dxa" w:w="1661"/>
          </w:tcPr>
          <w:p>
            <w:pPr>
              <w:pStyle w:val="null3"/>
              <w:jc w:val="left"/>
            </w:pPr>
            <w:r>
              <w:rPr>
                <w:rFonts w:ascii="仿宋_GB2312" w:hAnsi="仿宋_GB2312" w:cs="仿宋_GB2312" w:eastAsia="仿宋_GB2312"/>
              </w:rPr>
              <w:t>供应商认为可以提供的其他证明材料.docx,供应商应提交的相关证明材料,服务应答表,产品技术参数应答表.docx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不属于采购文件规定的无效响应或响应文件无效情形</w:t>
            </w:r>
          </w:p>
        </w:tc>
        <w:tc>
          <w:tcPr>
            <w:tcW w:type="dxa" w:w="3322"/>
          </w:tcPr>
          <w:p>
            <w:pPr>
              <w:pStyle w:val="null3"/>
              <w:jc w:val="left"/>
            </w:pPr>
            <w:r>
              <w:rPr>
                <w:rFonts w:ascii="仿宋_GB2312" w:hAnsi="仿宋_GB2312" w:cs="仿宋_GB2312" w:eastAsia="仿宋_GB2312"/>
              </w:rPr>
              <w:t>供应商不存在采购文件规定的无效响应或响应文件无效情形。</w:t>
            </w:r>
          </w:p>
        </w:tc>
        <w:tc>
          <w:tcPr>
            <w:tcW w:type="dxa" w:w="1661"/>
          </w:tcPr>
          <w:p>
            <w:pPr>
              <w:pStyle w:val="null3"/>
              <w:jc w:val="left"/>
            </w:pPr>
            <w:r>
              <w:rPr>
                <w:rFonts w:ascii="仿宋_GB2312" w:hAnsi="仿宋_GB2312" w:cs="仿宋_GB2312" w:eastAsia="仿宋_GB2312"/>
              </w:rPr>
              <w:t>供应商认为可以提供的其他证明材料.docx,供应商应提交的相关证明材料,服务应答表,产品技术参数应答表.docx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报价分</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详见附件：供应商认为可以提供的其他证明材料.docx</w:t>
      </w:r>
    </w:p>
    <w:p>
      <w:pPr>
        <w:pStyle w:val="null3"/>
        <w:ind w:firstLine="960"/>
        <w:jc w:val="left"/>
      </w:pPr>
      <w:r>
        <w:rPr>
          <w:rFonts w:ascii="仿宋_GB2312" w:hAnsi="仿宋_GB2312" w:cs="仿宋_GB2312" w:eastAsia="仿宋_GB2312"/>
        </w:rPr>
        <w:t>详见附件：产品技术参数应答表.docx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