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overflowPunct/>
        <w:topLinePunct w:val="0"/>
        <w:bidi w:val="0"/>
        <w:adjustRightInd/>
        <w:snapToGrid/>
        <w:spacing w:line="420" w:lineRule="exact"/>
        <w:ind w:left="321" w:hanging="321" w:hangingChars="100"/>
        <w:jc w:val="center"/>
        <w:rPr>
          <w:rFonts w:hint="eastAsia"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br w:type="textWrapping"/>
      </w:r>
      <w:r>
        <w:rPr>
          <w:rFonts w:hint="eastAsia" w:ascii="宋体" w:hAnsi="宋体" w:cs="宋体"/>
          <w:b/>
          <w:bCs/>
          <w:color w:val="000000"/>
          <w:sz w:val="32"/>
          <w:szCs w:val="32"/>
          <w:highlight w:val="none"/>
          <w:lang w:eastAsia="zh-CN"/>
        </w:rPr>
        <w:t>服务需求及技术要求</w:t>
      </w:r>
    </w:p>
    <w:p>
      <w:pPr>
        <w:pageBreakBefore w:val="0"/>
        <w:kinsoku/>
        <w:overflowPunct/>
        <w:topLinePunct w:val="0"/>
        <w:bidi w:val="0"/>
        <w:adjustRightInd/>
        <w:snapToGrid/>
        <w:spacing w:line="420" w:lineRule="exact"/>
        <w:jc w:val="center"/>
        <w:rPr>
          <w:rFonts w:hint="eastAsia" w:ascii="宋体" w:hAnsi="宋体" w:cs="宋体"/>
          <w:b/>
          <w:bCs/>
          <w:color w:val="000000"/>
          <w:sz w:val="32"/>
          <w:szCs w:val="32"/>
          <w:highlight w:val="none"/>
          <w:lang w:eastAsia="zh-CN"/>
        </w:rPr>
      </w:pPr>
    </w:p>
    <w:p>
      <w:pPr>
        <w:pageBreakBefore w:val="0"/>
        <w:kinsoku/>
        <w:overflowPunct/>
        <w:topLinePunct w:val="0"/>
        <w:bidi w:val="0"/>
        <w:adjustRightInd/>
        <w:snapToGrid/>
        <w:spacing w:line="420" w:lineRule="exact"/>
        <w:jc w:val="both"/>
        <w:rPr>
          <w:b/>
          <w:bCs/>
          <w:color w:val="000000"/>
          <w:szCs w:val="21"/>
          <w:highlight w:val="none"/>
        </w:rPr>
      </w:pPr>
      <w:r>
        <w:rPr>
          <w:rFonts w:hint="eastAsia"/>
          <w:b/>
          <w:bCs/>
          <w:color w:val="000000"/>
          <w:szCs w:val="21"/>
          <w:highlight w:val="none"/>
        </w:rPr>
        <w:t>一、项目背景</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按照国务院安委办〔2012〕37 号文件要求，化工园区要按照“分类控制、分级管理、分步实施”的要求，结合园区产业结构、产业链特点、安全风险类型等实际情况，逐步推进园区封闭化管理。安庆市高新区道路封闭管理及视频监控设备自2019年至今，历经2年多的建设、升级、更新，目前已覆盖高新区主要干道及路口，经过1年的建设已形成一套完整的工作体系。现如今大量设备、设施即将超出建设厂家的质保期。</w:t>
      </w:r>
    </w:p>
    <w:p>
      <w:pPr>
        <w:pageBreakBefore w:val="0"/>
        <w:kinsoku/>
        <w:overflowPunct/>
        <w:topLinePunct w:val="0"/>
        <w:bidi w:val="0"/>
        <w:adjustRightInd/>
        <w:snapToGrid/>
        <w:spacing w:line="420" w:lineRule="exact"/>
        <w:rPr>
          <w:b/>
          <w:bCs/>
          <w:color w:val="000000"/>
          <w:szCs w:val="21"/>
          <w:highlight w:val="none"/>
        </w:rPr>
      </w:pPr>
      <w:r>
        <w:rPr>
          <w:rFonts w:hint="eastAsia"/>
          <w:b/>
          <w:bCs/>
          <w:color w:val="000000"/>
          <w:szCs w:val="21"/>
          <w:highlight w:val="none"/>
        </w:rPr>
        <w:t>二、维护范围</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强弱电部分维护内容</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负责强弱电设备的日常维护与保养包括但不限于：设备控制箱、漏电保护器、空调、杆件及基础、管道、接线井（含井盖）、线缆、光缆及网络通信设备、取配电设施及涉及的全部设施及配件。</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岗亭安全岛、手孔井及墙垛维护内容</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负责日常维护与保养包括但不限于：岗亭安全岛、手孔井及墙垛及涉及的全部设施及配件。</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3</w:t>
      </w:r>
      <w:r>
        <w:rPr>
          <w:rFonts w:hint="eastAsia"/>
          <w:color w:val="000000"/>
          <w:szCs w:val="21"/>
          <w:highlight w:val="none"/>
          <w:lang w:val="en-US" w:eastAsia="zh-CN"/>
        </w:rPr>
        <w:t>、</w:t>
      </w:r>
      <w:r>
        <w:rPr>
          <w:rFonts w:hint="eastAsia"/>
          <w:color w:val="000000"/>
          <w:szCs w:val="21"/>
          <w:highlight w:val="none"/>
        </w:rPr>
        <w:t>交通设施维护内容</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对于交通设施系统外场设备的日常维护与保养包括但不限于：</w:t>
      </w:r>
      <w:r>
        <w:rPr>
          <w:rFonts w:hint="eastAsia"/>
          <w:color w:val="000000"/>
          <w:szCs w:val="21"/>
          <w:highlight w:val="none"/>
          <w:lang w:val="en-US" w:eastAsia="zh-CN"/>
        </w:rPr>
        <w:t>道路护栏、</w:t>
      </w:r>
      <w:r>
        <w:rPr>
          <w:rFonts w:hint="eastAsia"/>
          <w:color w:val="000000"/>
          <w:szCs w:val="21"/>
          <w:highlight w:val="none"/>
        </w:rPr>
        <w:t>道闸、电动伸缩门、岗亭、支架、监控杆件及基础、壁挂箱、管道、接线井、线缆、光缆及网络通信设备、取配电设施、交通安全设施（警示桩、阴拦柱、减速带、道杆反光贴、路面爆闪灯）及监控系统涉及的全部设施及配件的维修。</w:t>
      </w:r>
      <w:bookmarkStart w:id="0" w:name="5.设备维护人员工作职责"/>
      <w:bookmarkEnd w:id="0"/>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4</w:t>
      </w:r>
      <w:r>
        <w:rPr>
          <w:rFonts w:hint="eastAsia"/>
          <w:color w:val="000000"/>
          <w:szCs w:val="21"/>
          <w:highlight w:val="none"/>
          <w:lang w:val="en-US" w:eastAsia="zh-CN"/>
        </w:rPr>
        <w:t>、</w:t>
      </w:r>
      <w:r>
        <w:rPr>
          <w:rFonts w:hint="eastAsia"/>
          <w:color w:val="000000"/>
          <w:szCs w:val="21"/>
          <w:highlight w:val="none"/>
        </w:rPr>
        <w:t>视频监控系统维护内容</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对于视频监控系统外场设备的日常维护与保养包括但不限于：摄像机及云台、支架、监控杆件及基础、壁挂箱、管道、接线井、线缆、光缆及网络通信设备、取配电设施及监控系统涉及的全部设施及配件的维修。</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5</w:t>
      </w:r>
      <w:r>
        <w:rPr>
          <w:rFonts w:hint="eastAsia"/>
          <w:color w:val="000000"/>
          <w:szCs w:val="21"/>
          <w:highlight w:val="none"/>
          <w:lang w:val="en-US" w:eastAsia="zh-CN"/>
        </w:rPr>
        <w:t>、</w:t>
      </w:r>
      <w:r>
        <w:rPr>
          <w:rFonts w:hint="eastAsia"/>
          <w:color w:val="000000"/>
          <w:szCs w:val="21"/>
          <w:highlight w:val="none"/>
        </w:rPr>
        <w:t>标线标牌、杆件及杆件维护</w:t>
      </w:r>
    </w:p>
    <w:p>
      <w:pPr>
        <w:pageBreakBefore w:val="0"/>
        <w:kinsoku/>
        <w:overflowPunct/>
        <w:topLinePunct w:val="0"/>
        <w:bidi w:val="0"/>
        <w:adjustRightInd/>
        <w:snapToGrid/>
        <w:spacing w:line="420" w:lineRule="exact"/>
        <w:ind w:firstLine="420" w:firstLineChars="200"/>
        <w:rPr>
          <w:rFonts w:hint="eastAsia"/>
          <w:color w:val="000000"/>
          <w:szCs w:val="21"/>
          <w:highlight w:val="none"/>
        </w:rPr>
      </w:pPr>
      <w:r>
        <w:rPr>
          <w:rFonts w:hint="eastAsia"/>
          <w:color w:val="000000"/>
          <w:szCs w:val="21"/>
          <w:highlight w:val="none"/>
        </w:rPr>
        <w:t>安庆市高新区封闭交通工程中，地面箭头标线 140平方米；地面网格线 16平方米；入口指示牌标志板2.4*2.8m的4块；让行禁止左转标志2.1*1m 的17块，柱式标杆φ114*5*3970cm的25块，悬臂式标杆φ273*13*8000cm的9套等。主要是对高新区道路及主要干道标线标牌，对偏移、有歧义的标牌进行矫正和更换、响应高新区安监要求补充标线标牌、对磨损严重的标线标牌进行更换。</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6</w:t>
      </w:r>
      <w:r>
        <w:rPr>
          <w:rFonts w:hint="eastAsia"/>
          <w:color w:val="000000"/>
          <w:szCs w:val="21"/>
          <w:highlight w:val="none"/>
          <w:lang w:val="en-US" w:eastAsia="zh-CN"/>
        </w:rPr>
        <w:t>、</w:t>
      </w:r>
      <w:r>
        <w:rPr>
          <w:rFonts w:hint="eastAsia"/>
          <w:color w:val="000000"/>
          <w:szCs w:val="21"/>
          <w:highlight w:val="none"/>
        </w:rPr>
        <w:t>道路工程</w:t>
      </w:r>
    </w:p>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安庆市高</w:t>
      </w:r>
      <w:r>
        <w:rPr>
          <w:rFonts w:hint="eastAsia" w:ascii="宋体" w:hAnsi="宋体" w:cs="宋体"/>
          <w:color w:val="000000"/>
          <w:szCs w:val="21"/>
          <w:highlight w:val="none"/>
        </w:rPr>
        <w:t>新区封闭交通工程中，</w:t>
      </w:r>
      <w:r>
        <w:rPr>
          <w:rFonts w:hint="eastAsia"/>
          <w:color w:val="000000"/>
          <w:szCs w:val="21"/>
          <w:highlight w:val="none"/>
        </w:rPr>
        <w:t>4cm厚SBS细粒式沥青混凝土（碎石玄武岩）380平方米；粘层 390平方米；20cm厚4.5%水泥稳定碎石基层390平方米；荷兰砖（30*30*8cm)铺砌（人行道）880平方米等等。主要是对本工程所涉及的主要干道路面状况、路面改造工程、对磨损严重的路面进行修缮。</w:t>
      </w:r>
    </w:p>
    <w:p>
      <w:pPr>
        <w:pageBreakBefore w:val="0"/>
        <w:numPr>
          <w:ilvl w:val="0"/>
          <w:numId w:val="1"/>
        </w:numPr>
        <w:kinsoku/>
        <w:overflowPunct/>
        <w:topLinePunct w:val="0"/>
        <w:bidi w:val="0"/>
        <w:adjustRightInd/>
        <w:snapToGrid/>
        <w:spacing w:line="420" w:lineRule="exact"/>
        <w:rPr>
          <w:rFonts w:hint="eastAsia"/>
          <w:b/>
          <w:color w:val="000000"/>
          <w:szCs w:val="21"/>
          <w:highlight w:val="none"/>
        </w:rPr>
      </w:pPr>
      <w:r>
        <w:rPr>
          <w:rFonts w:hint="eastAsia"/>
          <w:b/>
          <w:color w:val="000000"/>
          <w:szCs w:val="21"/>
          <w:highlight w:val="none"/>
        </w:rPr>
        <w:t>日常维护清单</w:t>
      </w:r>
    </w:p>
    <w:p>
      <w:pPr>
        <w:pageBreakBefore w:val="0"/>
        <w:numPr>
          <w:ilvl w:val="0"/>
          <w:numId w:val="0"/>
        </w:numPr>
        <w:kinsoku/>
        <w:overflowPunct/>
        <w:topLinePunct w:val="0"/>
        <w:bidi w:val="0"/>
        <w:adjustRightInd/>
        <w:snapToGrid/>
        <w:spacing w:line="420" w:lineRule="exact"/>
        <w:ind w:left="422" w:hanging="422" w:hangingChars="200"/>
        <w:rPr>
          <w:color w:val="000000"/>
          <w:szCs w:val="21"/>
          <w:highlight w:val="none"/>
        </w:rPr>
      </w:pPr>
      <w:r>
        <w:rPr>
          <w:rFonts w:hint="eastAsia" w:ascii="Times New Roman" w:hAnsi="Times New Roman" w:eastAsia="宋体" w:cs="Times New Roman"/>
          <w:b/>
          <w:color w:val="000000"/>
          <w:kern w:val="2"/>
          <w:sz w:val="21"/>
          <w:szCs w:val="21"/>
          <w:highlight w:val="none"/>
          <w:lang w:val="en-US" w:eastAsia="zh-CN" w:bidi="ar-SA"/>
        </w:rPr>
        <w:t>（一）一期清单</w:t>
      </w:r>
      <w:r>
        <w:rPr>
          <w:rFonts w:hint="eastAsia" w:ascii="Times New Roman" w:hAnsi="Times New Roman" w:eastAsia="宋体" w:cs="Times New Roman"/>
          <w:b/>
          <w:color w:val="000000"/>
          <w:kern w:val="2"/>
          <w:sz w:val="21"/>
          <w:szCs w:val="21"/>
          <w:highlight w:val="none"/>
          <w:lang w:val="en-US" w:eastAsia="zh-CN" w:bidi="ar-SA"/>
        </w:rPr>
        <w:br w:type="textWrapping"/>
      </w:r>
      <w:r>
        <w:rPr>
          <w:rFonts w:hint="eastAsia" w:ascii="Times New Roman" w:hAnsi="Times New Roman" w:eastAsia="宋体" w:cs="Times New Roman"/>
          <w:color w:val="000000"/>
          <w:kern w:val="2"/>
          <w:sz w:val="21"/>
          <w:szCs w:val="21"/>
          <w:highlight w:val="none"/>
          <w:lang w:val="en-US" w:eastAsia="zh-CN" w:bidi="ar-SA"/>
        </w:rPr>
        <w:t>1、强弱电部分</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8"/>
        <w:gridCol w:w="4824"/>
        <w:gridCol w:w="1081"/>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项目名称</w:t>
            </w:r>
          </w:p>
        </w:tc>
        <w:tc>
          <w:tcPr>
            <w:tcW w:w="523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项目特征描述</w:t>
            </w:r>
          </w:p>
        </w:tc>
        <w:tc>
          <w:tcPr>
            <w:tcW w:w="115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计量单位</w:t>
            </w:r>
          </w:p>
        </w:tc>
        <w:tc>
          <w:tcPr>
            <w:tcW w:w="967"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维护量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岗亭控制箱ALG1</w:t>
            </w:r>
          </w:p>
        </w:tc>
        <w:tc>
          <w:tcPr>
            <w:tcW w:w="5232" w:type="dxa"/>
            <w:noWrap w:val="0"/>
            <w:vAlign w:val="center"/>
          </w:tcPr>
          <w:p>
            <w:pPr>
              <w:pageBreakBefore w:val="0"/>
              <w:widowControl/>
              <w:kinsoku/>
              <w:overflowPunct/>
              <w:topLinePunct w:val="0"/>
              <w:bidi w:val="0"/>
              <w:adjustRightInd/>
              <w:snapToGrid/>
              <w:spacing w:line="240" w:lineRule="auto"/>
              <w:textAlignment w:val="center"/>
              <w:rPr>
                <w:color w:val="000000"/>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名称：岗亭控制箱ALG1</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规格材质： 不锈钢材质</w:t>
            </w:r>
          </w:p>
        </w:tc>
        <w:tc>
          <w:tcPr>
            <w:tcW w:w="115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台</w:t>
            </w:r>
          </w:p>
        </w:tc>
        <w:tc>
          <w:tcPr>
            <w:tcW w:w="967"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岗亭控制箱ALG2</w:t>
            </w:r>
          </w:p>
        </w:tc>
        <w:tc>
          <w:tcPr>
            <w:tcW w:w="5232" w:type="dxa"/>
            <w:noWrap w:val="0"/>
            <w:vAlign w:val="center"/>
          </w:tcPr>
          <w:p>
            <w:pPr>
              <w:pageBreakBefore w:val="0"/>
              <w:widowControl/>
              <w:kinsoku/>
              <w:overflowPunct/>
              <w:topLinePunct w:val="0"/>
              <w:bidi w:val="0"/>
              <w:adjustRightInd/>
              <w:snapToGrid/>
              <w:spacing w:line="240" w:lineRule="auto"/>
              <w:textAlignment w:val="center"/>
              <w:rPr>
                <w:color w:val="000000"/>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名称：岗亭控制箱ALG2</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规格：不锈钢材质</w:t>
            </w:r>
          </w:p>
        </w:tc>
        <w:tc>
          <w:tcPr>
            <w:tcW w:w="115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台</w:t>
            </w:r>
          </w:p>
        </w:tc>
        <w:tc>
          <w:tcPr>
            <w:tcW w:w="967"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电动伸缩门控制箱ALD1</w:t>
            </w:r>
          </w:p>
        </w:tc>
        <w:tc>
          <w:tcPr>
            <w:tcW w:w="5232" w:type="dxa"/>
            <w:noWrap w:val="0"/>
            <w:vAlign w:val="center"/>
          </w:tcPr>
          <w:p>
            <w:pPr>
              <w:pageBreakBefore w:val="0"/>
              <w:widowControl/>
              <w:kinsoku/>
              <w:overflowPunct/>
              <w:topLinePunct w:val="0"/>
              <w:bidi w:val="0"/>
              <w:adjustRightInd/>
              <w:snapToGrid/>
              <w:spacing w:line="240" w:lineRule="auto"/>
              <w:textAlignment w:val="center"/>
              <w:rPr>
                <w:color w:val="000000"/>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名称：电动伸缩门控制箱ALD1</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规格：不锈钢材质 双开门，防护等级IP65；含内部元器件</w:t>
            </w:r>
          </w:p>
        </w:tc>
        <w:tc>
          <w:tcPr>
            <w:tcW w:w="115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台</w:t>
            </w:r>
          </w:p>
        </w:tc>
        <w:tc>
          <w:tcPr>
            <w:tcW w:w="967"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电动伸缩门控制箱ALD2</w:t>
            </w:r>
          </w:p>
        </w:tc>
        <w:tc>
          <w:tcPr>
            <w:tcW w:w="5232" w:type="dxa"/>
            <w:noWrap w:val="0"/>
            <w:vAlign w:val="center"/>
          </w:tcPr>
          <w:p>
            <w:pPr>
              <w:pageBreakBefore w:val="0"/>
              <w:widowControl/>
              <w:kinsoku/>
              <w:overflowPunct/>
              <w:topLinePunct w:val="0"/>
              <w:bidi w:val="0"/>
              <w:adjustRightInd/>
              <w:snapToGrid/>
              <w:spacing w:line="240" w:lineRule="auto"/>
              <w:textAlignment w:val="center"/>
              <w:rPr>
                <w:color w:val="000000"/>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名称：电动伸缩门控制箱ALD2</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规格：不锈钢材质 双开门，防护等级IP65；含内部元器件</w:t>
            </w:r>
          </w:p>
        </w:tc>
        <w:tc>
          <w:tcPr>
            <w:tcW w:w="115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台</w:t>
            </w:r>
          </w:p>
        </w:tc>
        <w:tc>
          <w:tcPr>
            <w:tcW w:w="967"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视频线UTP-6</w:t>
            </w:r>
          </w:p>
        </w:tc>
        <w:tc>
          <w:tcPr>
            <w:tcW w:w="5232" w:type="dxa"/>
            <w:noWrap w:val="0"/>
            <w:vAlign w:val="center"/>
          </w:tcPr>
          <w:p>
            <w:pPr>
              <w:pageBreakBefore w:val="0"/>
              <w:widowControl/>
              <w:kinsoku/>
              <w:overflowPunct/>
              <w:topLinePunct w:val="0"/>
              <w:bidi w:val="0"/>
              <w:adjustRightInd/>
              <w:snapToGrid/>
              <w:spacing w:line="240" w:lineRule="auto"/>
              <w:textAlignment w:val="center"/>
              <w:rPr>
                <w:color w:val="000000"/>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名称：视频线UTP-6</w:t>
            </w:r>
          </w:p>
        </w:tc>
        <w:tc>
          <w:tcPr>
            <w:tcW w:w="115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m</w:t>
            </w:r>
          </w:p>
        </w:tc>
        <w:tc>
          <w:tcPr>
            <w:tcW w:w="967"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340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2611"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电力电缆VV-3*2.5</w:t>
            </w:r>
          </w:p>
        </w:tc>
        <w:tc>
          <w:tcPr>
            <w:tcW w:w="5232" w:type="dxa"/>
            <w:noWrap w:val="0"/>
            <w:vAlign w:val="center"/>
          </w:tcPr>
          <w:p>
            <w:pPr>
              <w:pageBreakBefore w:val="0"/>
              <w:widowControl/>
              <w:kinsoku/>
              <w:overflowPunct/>
              <w:topLinePunct w:val="0"/>
              <w:bidi w:val="0"/>
              <w:adjustRightInd/>
              <w:snapToGrid/>
              <w:spacing w:line="240" w:lineRule="auto"/>
              <w:textAlignment w:val="center"/>
              <w:rPr>
                <w:color w:val="000000"/>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名称：电力电缆</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型号：VV-3*2.5</w:t>
            </w:r>
          </w:p>
        </w:tc>
        <w:tc>
          <w:tcPr>
            <w:tcW w:w="115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m</w:t>
            </w:r>
          </w:p>
        </w:tc>
        <w:tc>
          <w:tcPr>
            <w:tcW w:w="967"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350</w:t>
            </w:r>
          </w:p>
        </w:tc>
      </w:tr>
    </w:tbl>
    <w:p>
      <w:pPr>
        <w:pageBreakBefore w:val="0"/>
        <w:kinsoku/>
        <w:overflowPunct/>
        <w:topLinePunct w:val="0"/>
        <w:bidi w:val="0"/>
        <w:adjustRightInd/>
        <w:snapToGrid/>
        <w:spacing w:line="420" w:lineRule="exact"/>
        <w:ind w:firstLine="420" w:firstLineChars="200"/>
        <w:rPr>
          <w:bCs/>
          <w:szCs w:val="21"/>
          <w:highlight w:val="none"/>
        </w:rPr>
      </w:pPr>
      <w:r>
        <w:rPr>
          <w:rFonts w:hint="eastAsia"/>
          <w:color w:val="000000"/>
          <w:szCs w:val="21"/>
          <w:highlight w:val="none"/>
        </w:rPr>
        <w:t>2、</w:t>
      </w:r>
      <w:r>
        <w:rPr>
          <w:rFonts w:hint="eastAsia"/>
          <w:bCs/>
          <w:szCs w:val="21"/>
          <w:highlight w:val="none"/>
        </w:rPr>
        <w:t>岗亭安全岛、手孔井及墙垛维护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1"/>
        <w:gridCol w:w="4894"/>
        <w:gridCol w:w="1066"/>
        <w:gridCol w:w="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259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项目名称</w:t>
            </w:r>
          </w:p>
        </w:tc>
        <w:tc>
          <w:tcPr>
            <w:tcW w:w="5256"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项目特征描述</w:t>
            </w:r>
          </w:p>
        </w:tc>
        <w:tc>
          <w:tcPr>
            <w:tcW w:w="1128"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计量单位</w:t>
            </w:r>
          </w:p>
        </w:tc>
        <w:tc>
          <w:tcPr>
            <w:tcW w:w="97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维护量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块料楼地面</w:t>
            </w:r>
          </w:p>
        </w:tc>
        <w:tc>
          <w:tcPr>
            <w:tcW w:w="5256" w:type="dxa"/>
            <w:noWrap w:val="0"/>
            <w:vAlign w:val="center"/>
          </w:tcPr>
          <w:p>
            <w:pPr>
              <w:pageBreakBefore w:val="0"/>
              <w:widowControl/>
              <w:kinsoku/>
              <w:overflowPunct/>
              <w:topLinePunct w:val="0"/>
              <w:bidi w:val="0"/>
              <w:adjustRightInd/>
              <w:snapToGrid/>
              <w:spacing w:line="240" w:lineRule="auto"/>
              <w:textAlignment w:val="center"/>
              <w:rPr>
                <w:bCs/>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找平层厚度、砂浆配合比：2cm厚度 1:3水泥砂浆</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面层材料品种、规格、颜色：3cm厚防滑荷兰砖</w:t>
            </w:r>
          </w:p>
        </w:tc>
        <w:tc>
          <w:tcPr>
            <w:tcW w:w="112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bCs/>
                <w:szCs w:val="21"/>
                <w:highlight w:val="none"/>
              </w:rPr>
            </w:pPr>
            <w:r>
              <w:rPr>
                <w:rFonts w:hint="eastAsia"/>
                <w:color w:val="000000"/>
                <w:szCs w:val="21"/>
                <w:highlight w:val="none"/>
              </w:rPr>
              <w:t>㎡</w:t>
            </w:r>
          </w:p>
        </w:tc>
        <w:tc>
          <w:tcPr>
            <w:tcW w:w="97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安全岛刷黑色反光漆</w:t>
            </w:r>
          </w:p>
        </w:tc>
        <w:tc>
          <w:tcPr>
            <w:tcW w:w="5256" w:type="dxa"/>
            <w:noWrap w:val="0"/>
            <w:vAlign w:val="center"/>
          </w:tcPr>
          <w:p>
            <w:pPr>
              <w:pageBreakBefore w:val="0"/>
              <w:widowControl/>
              <w:kinsoku/>
              <w:overflowPunct/>
              <w:topLinePunct w:val="0"/>
              <w:bidi w:val="0"/>
              <w:adjustRightInd/>
              <w:snapToGrid/>
              <w:spacing w:line="240" w:lineRule="auto"/>
              <w:textAlignment w:val="center"/>
              <w:rPr>
                <w:bCs/>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名称：安全岛刷黑色反光漆</w:t>
            </w:r>
          </w:p>
        </w:tc>
        <w:tc>
          <w:tcPr>
            <w:tcW w:w="112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bCs/>
                <w:szCs w:val="21"/>
                <w:highlight w:val="none"/>
              </w:rPr>
            </w:pPr>
            <w:r>
              <w:rPr>
                <w:rFonts w:hint="eastAsia"/>
                <w:color w:val="000000"/>
                <w:szCs w:val="21"/>
                <w:highlight w:val="none"/>
              </w:rPr>
              <w:t>㎡</w:t>
            </w:r>
          </w:p>
        </w:tc>
        <w:tc>
          <w:tcPr>
            <w:tcW w:w="97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安全岛刷黄色反光漆</w:t>
            </w:r>
          </w:p>
        </w:tc>
        <w:tc>
          <w:tcPr>
            <w:tcW w:w="5256" w:type="dxa"/>
            <w:noWrap w:val="0"/>
            <w:vAlign w:val="center"/>
          </w:tcPr>
          <w:p>
            <w:pPr>
              <w:pageBreakBefore w:val="0"/>
              <w:widowControl/>
              <w:kinsoku/>
              <w:overflowPunct/>
              <w:topLinePunct w:val="0"/>
              <w:bidi w:val="0"/>
              <w:adjustRightInd/>
              <w:snapToGrid/>
              <w:spacing w:line="240" w:lineRule="auto"/>
              <w:textAlignment w:val="center"/>
              <w:rPr>
                <w:bCs/>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名称：安全岛刷黄色反光漆</w:t>
            </w:r>
          </w:p>
        </w:tc>
        <w:tc>
          <w:tcPr>
            <w:tcW w:w="112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bCs/>
                <w:szCs w:val="21"/>
                <w:highlight w:val="none"/>
              </w:rPr>
            </w:pPr>
            <w:r>
              <w:rPr>
                <w:rFonts w:hint="eastAsia"/>
                <w:color w:val="000000"/>
                <w:szCs w:val="21"/>
                <w:highlight w:val="none"/>
              </w:rPr>
              <w:t>㎡</w:t>
            </w:r>
          </w:p>
        </w:tc>
        <w:tc>
          <w:tcPr>
            <w:tcW w:w="97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机动车道手孔井</w:t>
            </w:r>
          </w:p>
        </w:tc>
        <w:tc>
          <w:tcPr>
            <w:tcW w:w="5256" w:type="dxa"/>
            <w:noWrap w:val="0"/>
            <w:vAlign w:val="center"/>
          </w:tcPr>
          <w:p>
            <w:pPr>
              <w:pageBreakBefore w:val="0"/>
              <w:widowControl/>
              <w:kinsoku/>
              <w:overflowPunct/>
              <w:topLinePunct w:val="0"/>
              <w:bidi w:val="0"/>
              <w:adjustRightInd/>
              <w:snapToGrid/>
              <w:spacing w:line="240" w:lineRule="auto"/>
              <w:textAlignment w:val="center"/>
              <w:rPr>
                <w:bCs/>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名称：机动车道手孔井</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规格：500*500*1400</w:t>
            </w:r>
          </w:p>
        </w:tc>
        <w:tc>
          <w:tcPr>
            <w:tcW w:w="1128"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座</w:t>
            </w:r>
          </w:p>
        </w:tc>
        <w:tc>
          <w:tcPr>
            <w:tcW w:w="97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墙垛</w:t>
            </w:r>
          </w:p>
        </w:tc>
        <w:tc>
          <w:tcPr>
            <w:tcW w:w="5256" w:type="dxa"/>
            <w:noWrap w:val="0"/>
            <w:vAlign w:val="center"/>
          </w:tcPr>
          <w:p>
            <w:pPr>
              <w:pageBreakBefore w:val="0"/>
              <w:widowControl/>
              <w:kinsoku/>
              <w:overflowPunct/>
              <w:topLinePunct w:val="0"/>
              <w:bidi w:val="0"/>
              <w:adjustRightInd/>
              <w:snapToGrid/>
              <w:spacing w:line="240" w:lineRule="auto"/>
              <w:textAlignment w:val="center"/>
              <w:rPr>
                <w:bCs/>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名称：墙垛</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墙垛采用M7.5水泥砂浆砌筑</w:t>
            </w:r>
            <w:r>
              <w:rPr>
                <w:rFonts w:hint="eastAsia"/>
                <w:color w:val="000000"/>
                <w:szCs w:val="21"/>
                <w:highlight w:val="none"/>
              </w:rPr>
              <w:br w:type="textWrapping"/>
            </w:r>
            <w:r>
              <w:rPr>
                <w:rFonts w:hint="eastAsia"/>
                <w:color w:val="000000"/>
                <w:szCs w:val="21"/>
                <w:highlight w:val="none"/>
              </w:rPr>
              <w:t>3</w:t>
            </w:r>
            <w:r>
              <w:rPr>
                <w:rFonts w:hint="eastAsia"/>
                <w:color w:val="000000"/>
                <w:szCs w:val="21"/>
                <w:highlight w:val="none"/>
                <w:lang w:val="en-US" w:eastAsia="zh-CN"/>
              </w:rPr>
              <w:t>、</w:t>
            </w:r>
            <w:r>
              <w:rPr>
                <w:rFonts w:hint="eastAsia"/>
                <w:color w:val="000000"/>
                <w:szCs w:val="21"/>
                <w:highlight w:val="none"/>
              </w:rPr>
              <w:t>砖采用：页岩砖</w:t>
            </w:r>
          </w:p>
        </w:tc>
        <w:tc>
          <w:tcPr>
            <w:tcW w:w="112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bCs/>
                <w:szCs w:val="21"/>
                <w:highlight w:val="none"/>
              </w:rPr>
            </w:pPr>
            <w:r>
              <w:rPr>
                <w:rFonts w:hint="eastAsia"/>
                <w:color w:val="000000"/>
                <w:szCs w:val="21"/>
                <w:highlight w:val="none"/>
              </w:rPr>
              <w:t>m³</w:t>
            </w:r>
          </w:p>
        </w:tc>
        <w:tc>
          <w:tcPr>
            <w:tcW w:w="97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墙垛安全岛刷</w:t>
            </w:r>
          </w:p>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黑色反光漆</w:t>
            </w:r>
          </w:p>
        </w:tc>
        <w:tc>
          <w:tcPr>
            <w:tcW w:w="5256" w:type="dxa"/>
            <w:noWrap w:val="0"/>
            <w:vAlign w:val="center"/>
          </w:tcPr>
          <w:p>
            <w:pPr>
              <w:pageBreakBefore w:val="0"/>
              <w:widowControl/>
              <w:kinsoku/>
              <w:overflowPunct/>
              <w:topLinePunct w:val="0"/>
              <w:bidi w:val="0"/>
              <w:adjustRightInd/>
              <w:snapToGrid/>
              <w:spacing w:line="240" w:lineRule="auto"/>
              <w:textAlignment w:val="center"/>
              <w:rPr>
                <w:bCs/>
                <w:szCs w:val="21"/>
                <w:highlight w:val="none"/>
              </w:rPr>
            </w:pPr>
            <w:r>
              <w:rPr>
                <w:rFonts w:hint="eastAsia"/>
                <w:color w:val="000000"/>
                <w:szCs w:val="21"/>
                <w:highlight w:val="none"/>
              </w:rPr>
              <w:t>1</w:t>
            </w:r>
            <w:r>
              <w:rPr>
                <w:rFonts w:hint="eastAsia"/>
                <w:color w:val="000000"/>
                <w:szCs w:val="21"/>
                <w:highlight w:val="none"/>
                <w:lang w:eastAsia="zh-CN"/>
              </w:rPr>
              <w:t>、</w:t>
            </w:r>
            <w:r>
              <w:rPr>
                <w:rFonts w:hint="eastAsia"/>
                <w:color w:val="000000"/>
                <w:szCs w:val="21"/>
                <w:highlight w:val="none"/>
              </w:rPr>
              <w:t>名称：安全岛刷黑色反光漆</w:t>
            </w:r>
          </w:p>
        </w:tc>
        <w:tc>
          <w:tcPr>
            <w:tcW w:w="112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bCs/>
                <w:szCs w:val="21"/>
                <w:highlight w:val="none"/>
              </w:rPr>
            </w:pPr>
            <w:r>
              <w:rPr>
                <w:rFonts w:hint="eastAsia"/>
                <w:color w:val="000000"/>
                <w:szCs w:val="21"/>
                <w:highlight w:val="none"/>
              </w:rPr>
              <w:t>㎡</w:t>
            </w:r>
          </w:p>
        </w:tc>
        <w:tc>
          <w:tcPr>
            <w:tcW w:w="97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墙垛安全岛刷</w:t>
            </w:r>
          </w:p>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黄色反光漆</w:t>
            </w:r>
          </w:p>
        </w:tc>
        <w:tc>
          <w:tcPr>
            <w:tcW w:w="5256" w:type="dxa"/>
            <w:noWrap w:val="0"/>
            <w:vAlign w:val="center"/>
          </w:tcPr>
          <w:p>
            <w:pPr>
              <w:pageBreakBefore w:val="0"/>
              <w:widowControl/>
              <w:kinsoku/>
              <w:overflowPunct/>
              <w:topLinePunct w:val="0"/>
              <w:bidi w:val="0"/>
              <w:adjustRightInd/>
              <w:snapToGrid/>
              <w:spacing w:line="240" w:lineRule="auto"/>
              <w:textAlignment w:val="center"/>
              <w:rPr>
                <w:bCs/>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名称：安全岛刷黄色反光漆</w:t>
            </w:r>
          </w:p>
        </w:tc>
        <w:tc>
          <w:tcPr>
            <w:tcW w:w="112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bCs/>
                <w:szCs w:val="21"/>
                <w:highlight w:val="none"/>
              </w:rPr>
            </w:pPr>
            <w:r>
              <w:rPr>
                <w:rFonts w:hint="eastAsia"/>
                <w:color w:val="000000"/>
                <w:szCs w:val="21"/>
                <w:highlight w:val="none"/>
              </w:rPr>
              <w:t>㎡</w:t>
            </w:r>
          </w:p>
        </w:tc>
        <w:tc>
          <w:tcPr>
            <w:tcW w:w="979" w:type="dxa"/>
            <w:noWrap w:val="0"/>
            <w:vAlign w:val="center"/>
          </w:tcPr>
          <w:p>
            <w:pPr>
              <w:pageBreakBefore w:val="0"/>
              <w:widowControl/>
              <w:kinsoku/>
              <w:overflowPunct/>
              <w:topLinePunct w:val="0"/>
              <w:bidi w:val="0"/>
              <w:adjustRightInd/>
              <w:snapToGrid/>
              <w:spacing w:line="240" w:lineRule="auto"/>
              <w:jc w:val="center"/>
              <w:textAlignment w:val="center"/>
              <w:rPr>
                <w:bCs/>
                <w:szCs w:val="21"/>
                <w:highlight w:val="none"/>
              </w:rPr>
            </w:pPr>
            <w:r>
              <w:rPr>
                <w:rFonts w:hint="eastAsia"/>
                <w:color w:val="000000"/>
                <w:szCs w:val="21"/>
                <w:highlight w:val="none"/>
              </w:rPr>
              <w:t>18</w:t>
            </w:r>
          </w:p>
        </w:tc>
      </w:tr>
    </w:tbl>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color w:val="000000"/>
          <w:szCs w:val="21"/>
          <w:highlight w:val="none"/>
        </w:rPr>
        <w:t>3、交通设施维护</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6"/>
        <w:gridCol w:w="5769"/>
        <w:gridCol w:w="1089"/>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项目名称</w:t>
            </w:r>
          </w:p>
        </w:tc>
        <w:tc>
          <w:tcPr>
            <w:tcW w:w="576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项目特征描述</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计量单位</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维护量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岗亭</w:t>
            </w:r>
          </w:p>
        </w:tc>
        <w:tc>
          <w:tcPr>
            <w:tcW w:w="576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w:t>
            </w:r>
            <w:r>
              <w:rPr>
                <w:rFonts w:hint="eastAsia"/>
                <w:color w:val="000000"/>
                <w:szCs w:val="21"/>
                <w:highlight w:val="none"/>
                <w:lang w:val="en-US" w:eastAsia="zh-CN"/>
              </w:rPr>
              <w:t>、</w:t>
            </w:r>
            <w:r>
              <w:rPr>
                <w:rFonts w:hint="eastAsia"/>
                <w:color w:val="000000"/>
                <w:szCs w:val="21"/>
                <w:highlight w:val="none"/>
              </w:rPr>
              <w:t>名称：岗亭；</w:t>
            </w:r>
            <w:r>
              <w:rPr>
                <w:rFonts w:hint="eastAsia"/>
                <w:color w:val="000000"/>
                <w:szCs w:val="21"/>
                <w:highlight w:val="none"/>
              </w:rPr>
              <w:br w:type="textWrapping"/>
            </w:r>
            <w:r>
              <w:rPr>
                <w:rFonts w:hint="eastAsia"/>
                <w:color w:val="000000"/>
                <w:szCs w:val="21"/>
                <w:highlight w:val="none"/>
              </w:rPr>
              <w:t>2</w:t>
            </w:r>
            <w:r>
              <w:rPr>
                <w:rFonts w:hint="eastAsia"/>
                <w:color w:val="000000"/>
                <w:szCs w:val="21"/>
                <w:highlight w:val="none"/>
                <w:lang w:val="en-US" w:eastAsia="zh-CN"/>
              </w:rPr>
              <w:t>、</w:t>
            </w:r>
            <w:r>
              <w:rPr>
                <w:rFonts w:hint="eastAsia"/>
                <w:color w:val="000000"/>
                <w:szCs w:val="21"/>
                <w:highlight w:val="none"/>
              </w:rPr>
              <w:t>做法、材质及尺寸说明：采用铝合金彩钢成品岗亭，要求有360°视角、钢化玻璃，内部尺寸1.5*1.7*2.4米;岗亭内含工作台面、控制柜、开关插座、抽屉、键盘、节能灯、漏电保护器、暗敷线路、品牌空调等全套设备。</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套</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警示桩</w:t>
            </w:r>
          </w:p>
        </w:tc>
        <w:tc>
          <w:tcPr>
            <w:tcW w:w="576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1、名称：警示桩；</w:t>
            </w:r>
            <w:r>
              <w:rPr>
                <w:rFonts w:hint="eastAsia"/>
                <w:color w:val="000000"/>
                <w:szCs w:val="21"/>
                <w:highlight w:val="none"/>
              </w:rPr>
              <w:br w:type="textWrapping"/>
            </w:r>
            <w:r>
              <w:rPr>
                <w:rFonts w:hint="eastAsia"/>
                <w:color w:val="000000"/>
                <w:szCs w:val="21"/>
                <w:highlight w:val="none"/>
              </w:rPr>
              <w:t>2、材质及样式：φ245*800圆管，上部贴红色反光膜，下部采用5mm厚钢板。</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个</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阻拦柱</w:t>
            </w:r>
          </w:p>
        </w:tc>
        <w:tc>
          <w:tcPr>
            <w:tcW w:w="576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1、名称：阻拦柱（地上部分600mm）；</w:t>
            </w:r>
            <w:r>
              <w:rPr>
                <w:rFonts w:hint="eastAsia"/>
                <w:color w:val="000000"/>
                <w:szCs w:val="21"/>
                <w:highlight w:val="none"/>
              </w:rPr>
              <w:br w:type="textWrapping"/>
            </w:r>
            <w:r>
              <w:rPr>
                <w:rFonts w:hint="eastAsia"/>
                <w:color w:val="000000"/>
                <w:szCs w:val="21"/>
                <w:highlight w:val="none"/>
              </w:rPr>
              <w:t>2、材质及样式：φ114*600圆管，白色喷漆，表面贴反光膜。</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个</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127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减速带</w:t>
            </w:r>
          </w:p>
        </w:tc>
        <w:tc>
          <w:tcPr>
            <w:tcW w:w="576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1、名称：减速带；</w:t>
            </w:r>
            <w:r>
              <w:rPr>
                <w:rFonts w:hint="eastAsia"/>
                <w:color w:val="000000"/>
                <w:szCs w:val="21"/>
                <w:highlight w:val="none"/>
              </w:rPr>
              <w:br w:type="textWrapping"/>
            </w:r>
            <w:r>
              <w:rPr>
                <w:rFonts w:hint="eastAsia"/>
                <w:color w:val="000000"/>
                <w:szCs w:val="21"/>
                <w:highlight w:val="none"/>
              </w:rPr>
              <w:t>2、材质及样式：铸铁不锈钢材质，黄黑相间颜色，宽度＜30cm，厚度不超过5cm。</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m</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快速防砸道闸</w:t>
            </w:r>
          </w:p>
        </w:tc>
        <w:tc>
          <w:tcPr>
            <w:tcW w:w="576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1、名称：快速防砸道闸；</w:t>
            </w:r>
            <w:r>
              <w:rPr>
                <w:rFonts w:hint="eastAsia"/>
                <w:color w:val="000000"/>
                <w:szCs w:val="21"/>
                <w:highlight w:val="none"/>
              </w:rPr>
              <w:br w:type="textWrapping"/>
            </w:r>
            <w:r>
              <w:rPr>
                <w:rFonts w:hint="eastAsia"/>
                <w:color w:val="000000"/>
                <w:szCs w:val="21"/>
                <w:highlight w:val="none"/>
              </w:rPr>
              <w:t>2、型号参数：具体参数详见图纸；</w:t>
            </w:r>
            <w:r>
              <w:rPr>
                <w:rFonts w:hint="eastAsia"/>
                <w:color w:val="000000"/>
                <w:szCs w:val="21"/>
                <w:highlight w:val="none"/>
              </w:rPr>
              <w:br w:type="textWrapping"/>
            </w:r>
            <w:r>
              <w:rPr>
                <w:rFonts w:hint="eastAsia"/>
                <w:color w:val="000000"/>
                <w:szCs w:val="21"/>
                <w:highlight w:val="none"/>
              </w:rPr>
              <w:t>3、道闸含监控终端设备（电源适配器(进线AC220V/出线DC12V)、插排、终端箱(长x宽x厚:600x600x150)、光纤收发器、浪涌保护器）；</w:t>
            </w:r>
            <w:r>
              <w:rPr>
                <w:rFonts w:hint="eastAsia"/>
                <w:color w:val="000000"/>
                <w:szCs w:val="21"/>
                <w:highlight w:val="none"/>
              </w:rPr>
              <w:br w:type="textWrapping"/>
            </w:r>
            <w:r>
              <w:rPr>
                <w:rFonts w:hint="eastAsia"/>
                <w:color w:val="000000"/>
                <w:szCs w:val="21"/>
                <w:highlight w:val="none"/>
              </w:rPr>
              <w:t>3、出入口智能车牌识别一体机。</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套</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电动伸缩门</w:t>
            </w:r>
          </w:p>
        </w:tc>
        <w:tc>
          <w:tcPr>
            <w:tcW w:w="5769" w:type="dxa"/>
            <w:noWrap w:val="0"/>
            <w:vAlign w:val="center"/>
          </w:tcPr>
          <w:p>
            <w:pPr>
              <w:pageBreakBefore w:val="0"/>
              <w:widowControl/>
              <w:numPr>
                <w:ilvl w:val="0"/>
                <w:numId w:val="2"/>
              </w:numPr>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名称：电动伸缩门；</w:t>
            </w:r>
            <w:r>
              <w:rPr>
                <w:rFonts w:hint="eastAsia"/>
                <w:color w:val="000000"/>
                <w:szCs w:val="21"/>
                <w:highlight w:val="none"/>
              </w:rPr>
              <w:br w:type="textWrapping"/>
            </w:r>
            <w:r>
              <w:rPr>
                <w:rFonts w:hint="eastAsia"/>
                <w:color w:val="000000"/>
                <w:szCs w:val="21"/>
                <w:highlight w:val="none"/>
              </w:rPr>
              <w:t>2、参数指标：高度及宽度：高度H：1.5米，宽度W:475 mm、宽度W1 :55 mm、宽度W2:265mm、宽度W3:372 mm、宽度W4：615mm，宽度W5:35 mm；采用有轨式；</w:t>
            </w:r>
            <w:r>
              <w:rPr>
                <w:rFonts w:hint="eastAsia"/>
                <w:color w:val="000000"/>
                <w:szCs w:val="21"/>
                <w:highlight w:val="none"/>
              </w:rPr>
              <w:br w:type="textWrapping"/>
            </w:r>
            <w:r>
              <w:rPr>
                <w:rFonts w:hint="eastAsia"/>
                <w:color w:val="000000"/>
                <w:szCs w:val="21"/>
                <w:highlight w:val="none"/>
              </w:rPr>
              <w:t>3、主材采用：中国6063亚铝；</w:t>
            </w:r>
            <w:r>
              <w:rPr>
                <w:rFonts w:hint="eastAsia"/>
                <w:color w:val="000000"/>
                <w:szCs w:val="21"/>
                <w:highlight w:val="none"/>
              </w:rPr>
              <w:br w:type="textWrapping"/>
            </w:r>
            <w:r>
              <w:rPr>
                <w:rFonts w:hint="eastAsia"/>
                <w:color w:val="000000"/>
                <w:szCs w:val="21"/>
                <w:highlight w:val="none"/>
              </w:rPr>
              <w:t>4、电机参数：电源220V，控制5-12V，电流2.5A，功率300W，频率50HZ，绝缘E级，环境-30℃～50℃，绝缘30m；</w:t>
            </w:r>
            <w:r>
              <w:rPr>
                <w:rFonts w:hint="eastAsia"/>
                <w:color w:val="000000"/>
                <w:szCs w:val="21"/>
                <w:highlight w:val="none"/>
              </w:rPr>
              <w:br w:type="textWrapping"/>
            </w:r>
            <w:r>
              <w:rPr>
                <w:rFonts w:hint="eastAsia"/>
                <w:color w:val="000000"/>
                <w:szCs w:val="21"/>
                <w:highlight w:val="none"/>
              </w:rPr>
              <w:t>5、含机柜、电源适配器(进线AC220V/出线DC12V)、插排、终端箱(长x宽x厚:400x300x150)、电动伸缩门控制无线发射接收器、浪涌保护器；</w:t>
            </w:r>
          </w:p>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6、电动伸缩门两侧立柱12个。</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m</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电动伸缩门监控摄像机杆</w:t>
            </w:r>
          </w:p>
        </w:tc>
        <w:tc>
          <w:tcPr>
            <w:tcW w:w="576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1、名称：摄像机杆；</w:t>
            </w:r>
            <w:r>
              <w:rPr>
                <w:rFonts w:hint="eastAsia"/>
                <w:color w:val="000000"/>
                <w:szCs w:val="21"/>
                <w:highlight w:val="none"/>
              </w:rPr>
              <w:br w:type="textWrapping"/>
            </w:r>
            <w:r>
              <w:rPr>
                <w:rFonts w:hint="eastAsia"/>
                <w:color w:val="000000"/>
                <w:szCs w:val="21"/>
                <w:highlight w:val="none"/>
              </w:rPr>
              <w:t>2、型号规格：高度4米，Φ150钢管变Φ120钢管变径接头杆；顶封板Φ100厚3mm。</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套</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6"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岗亭控制柜</w:t>
            </w:r>
          </w:p>
        </w:tc>
        <w:tc>
          <w:tcPr>
            <w:tcW w:w="576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1、600*600*1200不锈钢机柜：8台；</w:t>
            </w:r>
            <w:r>
              <w:rPr>
                <w:rFonts w:hint="eastAsia"/>
                <w:color w:val="000000"/>
                <w:szCs w:val="21"/>
                <w:highlight w:val="none"/>
              </w:rPr>
              <w:br w:type="textWrapping"/>
            </w:r>
            <w:r>
              <w:rPr>
                <w:rFonts w:hint="eastAsia"/>
                <w:color w:val="000000"/>
                <w:szCs w:val="21"/>
                <w:highlight w:val="none"/>
              </w:rPr>
              <w:t>2、管理电脑：8台；</w:t>
            </w:r>
            <w:r>
              <w:rPr>
                <w:rFonts w:hint="eastAsia"/>
                <w:color w:val="000000"/>
                <w:szCs w:val="21"/>
                <w:highlight w:val="none"/>
              </w:rPr>
              <w:br w:type="textWrapping"/>
            </w:r>
            <w:r>
              <w:rPr>
                <w:rFonts w:hint="eastAsia"/>
                <w:color w:val="000000"/>
                <w:szCs w:val="21"/>
                <w:highlight w:val="none"/>
              </w:rPr>
              <w:t>3、存储设备（8T）：8台；</w:t>
            </w:r>
            <w:r>
              <w:rPr>
                <w:rFonts w:hint="eastAsia"/>
                <w:color w:val="000000"/>
                <w:szCs w:val="21"/>
                <w:highlight w:val="none"/>
              </w:rPr>
              <w:br w:type="textWrapping"/>
            </w:r>
            <w:r>
              <w:rPr>
                <w:rFonts w:hint="eastAsia"/>
                <w:color w:val="000000"/>
                <w:szCs w:val="21"/>
                <w:highlight w:val="none"/>
              </w:rPr>
              <w:t>4、16口网络交换机：8台；</w:t>
            </w:r>
            <w:r>
              <w:rPr>
                <w:rFonts w:hint="eastAsia"/>
                <w:color w:val="000000"/>
                <w:szCs w:val="21"/>
                <w:highlight w:val="none"/>
              </w:rPr>
              <w:br w:type="textWrapping"/>
            </w:r>
            <w:r>
              <w:rPr>
                <w:rFonts w:hint="eastAsia"/>
                <w:color w:val="000000"/>
                <w:szCs w:val="21"/>
                <w:highlight w:val="none"/>
              </w:rPr>
              <w:t>5、光电传换器：18台；</w:t>
            </w:r>
            <w:r>
              <w:rPr>
                <w:rFonts w:hint="eastAsia"/>
                <w:color w:val="000000"/>
                <w:szCs w:val="21"/>
                <w:highlight w:val="none"/>
              </w:rPr>
              <w:br w:type="textWrapping"/>
            </w:r>
            <w:r>
              <w:rPr>
                <w:rFonts w:hint="eastAsia"/>
                <w:color w:val="000000"/>
                <w:szCs w:val="21"/>
                <w:highlight w:val="none"/>
              </w:rPr>
              <w:t>6、4口光纤盒：8台；</w:t>
            </w:r>
            <w:r>
              <w:rPr>
                <w:rFonts w:hint="eastAsia"/>
                <w:color w:val="000000"/>
                <w:szCs w:val="21"/>
                <w:highlight w:val="none"/>
              </w:rPr>
              <w:br w:type="textWrapping"/>
            </w:r>
            <w:r>
              <w:rPr>
                <w:rFonts w:hint="eastAsia"/>
                <w:color w:val="000000"/>
                <w:szCs w:val="21"/>
                <w:highlight w:val="none"/>
              </w:rPr>
              <w:t>7浪涌保护器：8个。</w:t>
            </w:r>
          </w:p>
        </w:tc>
        <w:tc>
          <w:tcPr>
            <w:tcW w:w="1089"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项</w:t>
            </w:r>
          </w:p>
        </w:tc>
        <w:tc>
          <w:tcPr>
            <w:tcW w:w="912"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8</w:t>
            </w:r>
          </w:p>
        </w:tc>
      </w:tr>
    </w:tbl>
    <w:p>
      <w:pPr>
        <w:pageBreakBefore w:val="0"/>
        <w:kinsoku/>
        <w:overflowPunct/>
        <w:topLinePunct w:val="0"/>
        <w:bidi w:val="0"/>
        <w:adjustRightInd/>
        <w:snapToGrid/>
        <w:spacing w:line="420" w:lineRule="exact"/>
        <w:ind w:firstLine="420" w:firstLineChars="200"/>
        <w:rPr>
          <w:color w:val="000000"/>
          <w:szCs w:val="21"/>
          <w:highlight w:val="none"/>
        </w:rPr>
      </w:pPr>
      <w:r>
        <w:rPr>
          <w:rFonts w:hint="eastAsia"/>
          <w:szCs w:val="21"/>
          <w:highlight w:val="none"/>
        </w:rPr>
        <w:t>4、视频监控系统维护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8"/>
        <w:gridCol w:w="5762"/>
        <w:gridCol w:w="1073"/>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项目名称</w:t>
            </w:r>
          </w:p>
        </w:tc>
        <w:tc>
          <w:tcPr>
            <w:tcW w:w="6204"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项目特征描述</w:t>
            </w:r>
          </w:p>
        </w:tc>
        <w:tc>
          <w:tcPr>
            <w:tcW w:w="1140"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计量单位</w:t>
            </w:r>
          </w:p>
        </w:tc>
        <w:tc>
          <w:tcPr>
            <w:tcW w:w="943"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维护量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视频监控</w:t>
            </w:r>
          </w:p>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智能化设备</w:t>
            </w:r>
          </w:p>
        </w:tc>
        <w:tc>
          <w:tcPr>
            <w:tcW w:w="6204"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1、400万1/3”CMOS  ICR180度广角筒型网络摄像机：36套；</w:t>
            </w:r>
            <w:r>
              <w:rPr>
                <w:rFonts w:hint="eastAsia"/>
                <w:color w:val="000000"/>
                <w:szCs w:val="21"/>
                <w:highlight w:val="none"/>
              </w:rPr>
              <w:br w:type="textWrapping"/>
            </w:r>
            <w:r>
              <w:rPr>
                <w:rFonts w:hint="eastAsia"/>
                <w:color w:val="000000"/>
                <w:szCs w:val="21"/>
                <w:highlight w:val="none"/>
              </w:rPr>
              <w:t>2、枪型监控摄像机：6套；</w:t>
            </w:r>
            <w:r>
              <w:rPr>
                <w:rFonts w:hint="eastAsia"/>
                <w:color w:val="000000"/>
                <w:szCs w:val="21"/>
                <w:highlight w:val="none"/>
              </w:rPr>
              <w:br w:type="textWrapping"/>
            </w:r>
            <w:r>
              <w:rPr>
                <w:rFonts w:hint="eastAsia"/>
                <w:color w:val="000000"/>
                <w:szCs w:val="21"/>
                <w:highlight w:val="none"/>
              </w:rPr>
              <w:t>3、补光灯：6套；</w:t>
            </w:r>
            <w:r>
              <w:rPr>
                <w:rFonts w:hint="eastAsia"/>
                <w:color w:val="000000"/>
                <w:szCs w:val="21"/>
                <w:highlight w:val="none"/>
              </w:rPr>
              <w:br w:type="textWrapping"/>
            </w:r>
            <w:r>
              <w:rPr>
                <w:rFonts w:hint="eastAsia"/>
                <w:color w:val="000000"/>
                <w:szCs w:val="21"/>
                <w:highlight w:val="none"/>
              </w:rPr>
              <w:t>4、8口网络交换机（汇聚机）：1台；</w:t>
            </w:r>
            <w:r>
              <w:rPr>
                <w:rFonts w:hint="eastAsia"/>
                <w:color w:val="000000"/>
                <w:szCs w:val="21"/>
                <w:highlight w:val="none"/>
              </w:rPr>
              <w:br w:type="textWrapping"/>
            </w:r>
            <w:r>
              <w:rPr>
                <w:rFonts w:hint="eastAsia"/>
                <w:color w:val="000000"/>
                <w:szCs w:val="21"/>
                <w:highlight w:val="none"/>
              </w:rPr>
              <w:t>5、24口网络交换机：3台；</w:t>
            </w:r>
            <w:r>
              <w:rPr>
                <w:rFonts w:hint="eastAsia"/>
                <w:color w:val="000000"/>
                <w:szCs w:val="21"/>
                <w:highlight w:val="none"/>
              </w:rPr>
              <w:br w:type="textWrapping"/>
            </w:r>
            <w:r>
              <w:rPr>
                <w:rFonts w:hint="eastAsia"/>
                <w:color w:val="000000"/>
                <w:szCs w:val="21"/>
                <w:highlight w:val="none"/>
              </w:rPr>
              <w:t>6、解码器：1台；</w:t>
            </w:r>
            <w:r>
              <w:rPr>
                <w:rFonts w:hint="eastAsia"/>
                <w:color w:val="000000"/>
                <w:szCs w:val="21"/>
                <w:highlight w:val="none"/>
              </w:rPr>
              <w:br w:type="textWrapping"/>
            </w:r>
            <w:r>
              <w:rPr>
                <w:rFonts w:hint="eastAsia"/>
                <w:color w:val="000000"/>
                <w:szCs w:val="21"/>
                <w:highlight w:val="none"/>
              </w:rPr>
              <w:t>7、存储设备（100T）：1台；</w:t>
            </w:r>
            <w:r>
              <w:rPr>
                <w:rFonts w:hint="eastAsia"/>
                <w:color w:val="000000"/>
                <w:szCs w:val="21"/>
                <w:highlight w:val="none"/>
              </w:rPr>
              <w:br w:type="textWrapping"/>
            </w:r>
            <w:r>
              <w:rPr>
                <w:rFonts w:hint="eastAsia"/>
                <w:color w:val="000000"/>
                <w:szCs w:val="21"/>
                <w:highlight w:val="none"/>
              </w:rPr>
              <w:t>8、光纤收发器：39台</w:t>
            </w:r>
            <w:r>
              <w:rPr>
                <w:rFonts w:hint="eastAsia"/>
                <w:color w:val="000000"/>
                <w:szCs w:val="21"/>
                <w:highlight w:val="none"/>
              </w:rPr>
              <w:br w:type="textWrapping"/>
            </w:r>
            <w:r>
              <w:rPr>
                <w:rFonts w:hint="eastAsia"/>
                <w:color w:val="000000"/>
                <w:szCs w:val="21"/>
                <w:highlight w:val="none"/>
              </w:rPr>
              <w:t>9、42寸液晶监视器：2台；</w:t>
            </w:r>
            <w:r>
              <w:rPr>
                <w:rFonts w:hint="eastAsia"/>
                <w:color w:val="000000"/>
                <w:szCs w:val="21"/>
                <w:highlight w:val="none"/>
              </w:rPr>
              <w:br w:type="textWrapping"/>
            </w:r>
            <w:r>
              <w:rPr>
                <w:rFonts w:hint="eastAsia"/>
                <w:color w:val="000000"/>
                <w:szCs w:val="21"/>
                <w:highlight w:val="none"/>
              </w:rPr>
              <w:t>10、主控电脑：1台；</w:t>
            </w:r>
            <w:r>
              <w:rPr>
                <w:rFonts w:hint="eastAsia"/>
                <w:color w:val="000000"/>
                <w:szCs w:val="21"/>
                <w:highlight w:val="none"/>
              </w:rPr>
              <w:br w:type="textWrapping"/>
            </w:r>
            <w:r>
              <w:rPr>
                <w:rFonts w:hint="eastAsia"/>
                <w:color w:val="000000"/>
                <w:szCs w:val="21"/>
                <w:highlight w:val="none"/>
              </w:rPr>
              <w:t>11、800*600*1600不锈钢机柜：1台；</w:t>
            </w:r>
            <w:r>
              <w:rPr>
                <w:rFonts w:hint="eastAsia"/>
                <w:color w:val="000000"/>
                <w:szCs w:val="21"/>
                <w:highlight w:val="none"/>
              </w:rPr>
              <w:br w:type="textWrapping"/>
            </w:r>
            <w:r>
              <w:rPr>
                <w:rFonts w:hint="eastAsia"/>
                <w:color w:val="000000"/>
                <w:szCs w:val="21"/>
                <w:highlight w:val="none"/>
              </w:rPr>
              <w:t>12、浪涌保护器：1套。</w:t>
            </w:r>
          </w:p>
        </w:tc>
        <w:tc>
          <w:tcPr>
            <w:tcW w:w="1140"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项</w:t>
            </w:r>
          </w:p>
        </w:tc>
        <w:tc>
          <w:tcPr>
            <w:tcW w:w="943" w:type="dxa"/>
            <w:noWrap w:val="0"/>
            <w:vAlign w:val="center"/>
          </w:tcPr>
          <w:p>
            <w:pPr>
              <w:pageBreakBefore w:val="0"/>
              <w:widowControl/>
              <w:kinsoku/>
              <w:overflowPunct/>
              <w:topLinePunct w:val="0"/>
              <w:bidi w:val="0"/>
              <w:adjustRightInd/>
              <w:snapToGrid/>
              <w:spacing w:line="240" w:lineRule="auto"/>
              <w:jc w:val="center"/>
              <w:textAlignment w:val="center"/>
              <w:rPr>
                <w:color w:val="000000"/>
                <w:szCs w:val="21"/>
                <w:highlight w:val="none"/>
              </w:rPr>
            </w:pPr>
            <w:r>
              <w:rPr>
                <w:rFonts w:hint="eastAsia"/>
                <w:color w:val="000000"/>
                <w:szCs w:val="21"/>
                <w:highlight w:val="none"/>
              </w:rPr>
              <w:t>1</w:t>
            </w:r>
          </w:p>
        </w:tc>
      </w:tr>
    </w:tbl>
    <w:p>
      <w:pPr>
        <w:pStyle w:val="10"/>
        <w:pageBreakBefore w:val="0"/>
        <w:kinsoku/>
        <w:overflowPunct/>
        <w:topLinePunct w:val="0"/>
        <w:bidi w:val="0"/>
        <w:adjustRightInd/>
        <w:snapToGrid/>
        <w:spacing w:line="420" w:lineRule="exact"/>
        <w:ind w:left="0" w:leftChars="0" w:firstLine="420" w:firstLineChars="200"/>
        <w:rPr>
          <w:sz w:val="21"/>
          <w:szCs w:val="21"/>
          <w:highlight w:val="none"/>
          <w:lang w:eastAsia="zh-CN"/>
        </w:rPr>
      </w:pPr>
      <w:r>
        <w:rPr>
          <w:rFonts w:hint="eastAsia"/>
          <w:color w:val="000000"/>
          <w:sz w:val="21"/>
          <w:szCs w:val="21"/>
          <w:highlight w:val="none"/>
          <w:lang w:eastAsia="zh-CN"/>
        </w:rPr>
        <w:t>5、</w:t>
      </w:r>
      <w:r>
        <w:rPr>
          <w:rFonts w:hint="eastAsia"/>
          <w:sz w:val="21"/>
          <w:szCs w:val="21"/>
          <w:highlight w:val="none"/>
          <w:lang w:eastAsia="zh-CN"/>
        </w:rPr>
        <w:t>标线标牌、杆件及杆件维护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9"/>
        <w:gridCol w:w="5458"/>
        <w:gridCol w:w="995"/>
        <w:gridCol w:w="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2023"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项目名称</w:t>
            </w:r>
          </w:p>
        </w:tc>
        <w:tc>
          <w:tcPr>
            <w:tcW w:w="5940"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项目特征描述</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计量单位</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维护量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地面箭头标线</w:t>
            </w:r>
          </w:p>
        </w:tc>
        <w:tc>
          <w:tcPr>
            <w:tcW w:w="5940" w:type="dxa"/>
            <w:noWrap w:val="0"/>
            <w:vAlign w:val="center"/>
          </w:tcPr>
          <w:p>
            <w:pPr>
              <w:pageBreakBefore w:val="0"/>
              <w:widowControl/>
              <w:kinsoku/>
              <w:overflowPunct/>
              <w:topLinePunct w:val="0"/>
              <w:bidi w:val="0"/>
              <w:adjustRightInd/>
              <w:snapToGrid/>
              <w:spacing w:line="240" w:lineRule="auto"/>
              <w:textAlignment w:val="center"/>
              <w:rPr>
                <w:rFonts w:hint="eastAsia"/>
                <w:szCs w:val="21"/>
                <w:highlight w:val="none"/>
              </w:rPr>
            </w:pPr>
            <w:r>
              <w:rPr>
                <w:rFonts w:hint="eastAsia"/>
                <w:color w:val="000000"/>
                <w:szCs w:val="21"/>
                <w:highlight w:val="none"/>
              </w:rPr>
              <w:t>1、材料品种：热熔反光型标线；</w:t>
            </w:r>
            <w:r>
              <w:rPr>
                <w:rFonts w:hint="eastAsia"/>
                <w:color w:val="000000"/>
                <w:szCs w:val="21"/>
                <w:highlight w:val="none"/>
              </w:rPr>
              <w:br w:type="textWrapping"/>
            </w:r>
            <w:r>
              <w:rPr>
                <w:rFonts w:hint="eastAsia"/>
                <w:color w:val="000000"/>
                <w:szCs w:val="21"/>
                <w:highlight w:val="none"/>
              </w:rPr>
              <w:t>2、工艺：标线涂层厚度均匀，无起泡，开裂，发粘，脱落等现象；标线涂料中应混合占总重量18%的玻璃微珠，同时，在刮涂施工作业时，标线表面还应均撒0.3～0.34Kg/㎡的玻璃微珠。</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地面网格线</w:t>
            </w:r>
          </w:p>
        </w:tc>
        <w:tc>
          <w:tcPr>
            <w:tcW w:w="5940" w:type="dxa"/>
            <w:noWrap w:val="0"/>
            <w:vAlign w:val="center"/>
          </w:tcPr>
          <w:p>
            <w:pPr>
              <w:pageBreakBefore w:val="0"/>
              <w:widowControl/>
              <w:kinsoku/>
              <w:overflowPunct/>
              <w:topLinePunct w:val="0"/>
              <w:bidi w:val="0"/>
              <w:adjustRightInd/>
              <w:snapToGrid/>
              <w:spacing w:line="240" w:lineRule="auto"/>
              <w:textAlignment w:val="center"/>
              <w:rPr>
                <w:rFonts w:hint="eastAsia"/>
                <w:szCs w:val="21"/>
                <w:highlight w:val="none"/>
              </w:rPr>
            </w:pPr>
            <w:r>
              <w:rPr>
                <w:rFonts w:hint="eastAsia"/>
                <w:color w:val="000000"/>
                <w:szCs w:val="21"/>
                <w:highlight w:val="none"/>
              </w:rPr>
              <w:t>1、名称：地面网格线；</w:t>
            </w:r>
            <w:r>
              <w:rPr>
                <w:rFonts w:hint="eastAsia"/>
                <w:color w:val="000000"/>
                <w:szCs w:val="21"/>
                <w:highlight w:val="none"/>
              </w:rPr>
              <w:br w:type="textWrapping"/>
            </w:r>
            <w:r>
              <w:rPr>
                <w:rFonts w:hint="eastAsia"/>
                <w:color w:val="000000"/>
                <w:szCs w:val="21"/>
                <w:highlight w:val="none"/>
              </w:rPr>
              <w:t>2、颜色：黄色。</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园区专用车道2.5*2.5m</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2、规格尺寸：2.5*2.5m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园区专用车道2.5*4.2</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2、规格尺寸：2.5*4.2m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入口指示牌标志板2.4*2.8m</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2、规格尺寸：2.4*2.8m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入口指示牌标志板2*2.8m</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2、规格尺寸：2*2.8m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入口指示牌标志板1.5*2.8m</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2、规格尺寸：1.5*2.8m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入口指示牌标志板1.2*2.8m</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2、规格尺寸：1.2*2.8m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让行禁止左转标志2.1*1m</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2、规格尺寸：2.1*1m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限速、机动车、非机动车标志标志板1*1.5m</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2、规格尺寸：1*1.5m</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柱式标杆</w:t>
            </w: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φ114*5*3970</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1、柱式标杆,钢管立柱：φ114*5*3970</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悬臂式标杆</w:t>
            </w: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φ273*13*6700</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1、F型标杆,钢管立柱：φ273*13*6700mm</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悬臂式标杆</w:t>
            </w: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φ273*13*7000</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1、F型标杆,钢管立柱：φ273*13*7000mm</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悬臂式标杆</w:t>
            </w: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φ273*13*8000</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1、F型标杆,钢管立柱：φ273*13*8000mm</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3"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双F悬臂式标杆</w:t>
            </w: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φ377*10*8000</w:t>
            </w:r>
          </w:p>
        </w:tc>
        <w:tc>
          <w:tcPr>
            <w:tcW w:w="594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1、双悬臂,钢管立柱：φ377*10*8000mm</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套</w:t>
            </w:r>
          </w:p>
        </w:tc>
        <w:tc>
          <w:tcPr>
            <w:tcW w:w="93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2</w:t>
            </w:r>
          </w:p>
        </w:tc>
      </w:tr>
    </w:tbl>
    <w:p>
      <w:pPr>
        <w:pStyle w:val="15"/>
        <w:pageBreakBefore w:val="0"/>
        <w:kinsoku/>
        <w:overflowPunct/>
        <w:topLinePunct w:val="0"/>
        <w:autoSpaceDE w:val="0"/>
        <w:autoSpaceDN w:val="0"/>
        <w:bidi w:val="0"/>
        <w:adjustRightInd/>
        <w:snapToGrid/>
        <w:spacing w:line="420" w:lineRule="exact"/>
        <w:jc w:val="left"/>
        <w:rPr>
          <w:szCs w:val="21"/>
          <w:highlight w:val="none"/>
        </w:rPr>
      </w:pPr>
      <w:r>
        <w:rPr>
          <w:rFonts w:hint="eastAsia"/>
          <w:szCs w:val="21"/>
          <w:highlight w:val="none"/>
        </w:rPr>
        <w:t>6、道路工程</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7"/>
        <w:gridCol w:w="4976"/>
        <w:gridCol w:w="992"/>
        <w:gridCol w:w="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5"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项目名称</w:t>
            </w:r>
          </w:p>
        </w:tc>
        <w:tc>
          <w:tcPr>
            <w:tcW w:w="5400"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项目特征描述</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计量单位</w:t>
            </w:r>
          </w:p>
        </w:tc>
        <w:tc>
          <w:tcPr>
            <w:tcW w:w="91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维护量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5"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4cm厚SBS细粒式</w:t>
            </w: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沥青混凝土</w:t>
            </w:r>
          </w:p>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（碎石玄武岩）</w:t>
            </w:r>
          </w:p>
        </w:tc>
        <w:tc>
          <w:tcPr>
            <w:tcW w:w="540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1、沥青砼型号：细粒式SBS改性沥青砼(AC-13C)（碎石玄武岩），聚酯纤维掺入量0.35%；</w:t>
            </w:r>
            <w:r>
              <w:rPr>
                <w:rFonts w:hint="eastAsia"/>
                <w:color w:val="000000"/>
                <w:szCs w:val="21"/>
                <w:highlight w:val="none"/>
              </w:rPr>
              <w:br w:type="textWrapping"/>
            </w:r>
            <w:r>
              <w:rPr>
                <w:rFonts w:hint="eastAsia"/>
                <w:color w:val="000000"/>
                <w:szCs w:val="21"/>
                <w:highlight w:val="none"/>
              </w:rPr>
              <w:t>2、厚度：4cm</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1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5"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粘层</w:t>
            </w:r>
          </w:p>
        </w:tc>
        <w:tc>
          <w:tcPr>
            <w:tcW w:w="5400" w:type="dxa"/>
            <w:noWrap w:val="0"/>
            <w:vAlign w:val="center"/>
          </w:tcPr>
          <w:p>
            <w:pPr>
              <w:pageBreakBefore w:val="0"/>
              <w:widowControl/>
              <w:kinsoku/>
              <w:overflowPunct/>
              <w:topLinePunct w:val="0"/>
              <w:bidi w:val="0"/>
              <w:adjustRightInd/>
              <w:snapToGrid/>
              <w:spacing w:line="240" w:lineRule="auto"/>
              <w:textAlignment w:val="center"/>
              <w:rPr>
                <w:rFonts w:hint="eastAsia"/>
                <w:szCs w:val="21"/>
                <w:highlight w:val="none"/>
              </w:rPr>
            </w:pPr>
            <w:r>
              <w:rPr>
                <w:rFonts w:hint="eastAsia"/>
                <w:color w:val="000000"/>
                <w:szCs w:val="21"/>
                <w:highlight w:val="none"/>
              </w:rPr>
              <w:t>1、沥青品种：改性PC-3乳化沥青</w:t>
            </w:r>
            <w:r>
              <w:rPr>
                <w:rFonts w:hint="eastAsia"/>
                <w:color w:val="000000"/>
                <w:szCs w:val="21"/>
                <w:highlight w:val="none"/>
              </w:rPr>
              <w:br w:type="textWrapping"/>
            </w:r>
            <w:r>
              <w:rPr>
                <w:rFonts w:hint="eastAsia"/>
                <w:color w:val="000000"/>
                <w:szCs w:val="21"/>
                <w:highlight w:val="none"/>
              </w:rPr>
              <w:t>2、用油量：0.5L/㎡</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1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5"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6cm厚中粒式</w:t>
            </w:r>
          </w:p>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沥青混凝土</w:t>
            </w:r>
          </w:p>
        </w:tc>
        <w:tc>
          <w:tcPr>
            <w:tcW w:w="540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1、沥青品种：AC-20C中粒式沥青混凝土（抗车辙剂掺入量0.4%）</w:t>
            </w:r>
            <w:r>
              <w:rPr>
                <w:rFonts w:hint="eastAsia"/>
                <w:color w:val="000000"/>
                <w:szCs w:val="21"/>
                <w:highlight w:val="none"/>
              </w:rPr>
              <w:br w:type="textWrapping"/>
            </w:r>
            <w:r>
              <w:rPr>
                <w:rFonts w:hint="eastAsia"/>
                <w:color w:val="000000"/>
                <w:szCs w:val="21"/>
                <w:highlight w:val="none"/>
              </w:rPr>
              <w:t>2、厚度:6cm</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1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5"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粘层</w:t>
            </w:r>
          </w:p>
        </w:tc>
        <w:tc>
          <w:tcPr>
            <w:tcW w:w="5400" w:type="dxa"/>
            <w:noWrap w:val="0"/>
            <w:vAlign w:val="center"/>
          </w:tcPr>
          <w:p>
            <w:pPr>
              <w:pageBreakBefore w:val="0"/>
              <w:widowControl/>
              <w:kinsoku/>
              <w:overflowPunct/>
              <w:topLinePunct w:val="0"/>
              <w:bidi w:val="0"/>
              <w:adjustRightInd/>
              <w:snapToGrid/>
              <w:spacing w:line="240" w:lineRule="auto"/>
              <w:textAlignment w:val="center"/>
              <w:rPr>
                <w:rFonts w:hint="eastAsia"/>
                <w:szCs w:val="21"/>
                <w:highlight w:val="none"/>
              </w:rPr>
            </w:pPr>
            <w:r>
              <w:rPr>
                <w:rFonts w:hint="eastAsia"/>
                <w:color w:val="000000"/>
                <w:szCs w:val="21"/>
                <w:highlight w:val="none"/>
              </w:rPr>
              <w:t>1、沥青品种：PC-3乳化沥青</w:t>
            </w:r>
            <w:r>
              <w:rPr>
                <w:rFonts w:hint="eastAsia"/>
                <w:color w:val="000000"/>
                <w:szCs w:val="21"/>
                <w:highlight w:val="none"/>
              </w:rPr>
              <w:br w:type="textWrapping"/>
            </w:r>
            <w:r>
              <w:rPr>
                <w:rFonts w:hint="eastAsia"/>
                <w:color w:val="000000"/>
                <w:szCs w:val="21"/>
                <w:highlight w:val="none"/>
              </w:rPr>
              <w:t>2、用油量：0.5L/㎡</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1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5"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20cm厚4.5%</w:t>
            </w:r>
          </w:p>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水泥稳定碎石基层</w:t>
            </w:r>
          </w:p>
        </w:tc>
        <w:tc>
          <w:tcPr>
            <w:tcW w:w="540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1、材料品种：水泥稳定碎石成品混合料</w:t>
            </w:r>
            <w:r>
              <w:rPr>
                <w:rFonts w:hint="eastAsia"/>
                <w:color w:val="000000"/>
                <w:szCs w:val="21"/>
                <w:highlight w:val="none"/>
              </w:rPr>
              <w:br w:type="textWrapping"/>
            </w:r>
            <w:r>
              <w:rPr>
                <w:rFonts w:hint="eastAsia"/>
                <w:color w:val="000000"/>
                <w:szCs w:val="21"/>
                <w:highlight w:val="none"/>
              </w:rPr>
              <w:t>2、厚度：20cm</w:t>
            </w:r>
            <w:r>
              <w:rPr>
                <w:rFonts w:hint="eastAsia"/>
                <w:color w:val="000000"/>
                <w:szCs w:val="21"/>
                <w:highlight w:val="none"/>
              </w:rPr>
              <w:br w:type="textWrapping"/>
            </w:r>
            <w:r>
              <w:rPr>
                <w:rFonts w:hint="eastAsia"/>
                <w:color w:val="000000"/>
                <w:szCs w:val="21"/>
                <w:highlight w:val="none"/>
              </w:rPr>
              <w:t>3、水泥剂量：4.5%（42.5级水泥）</w:t>
            </w:r>
            <w:r>
              <w:rPr>
                <w:rFonts w:hint="eastAsia"/>
                <w:color w:val="000000"/>
                <w:szCs w:val="21"/>
                <w:highlight w:val="none"/>
              </w:rPr>
              <w:br w:type="textWrapping"/>
            </w:r>
            <w:r>
              <w:rPr>
                <w:rFonts w:hint="eastAsia"/>
                <w:color w:val="000000"/>
                <w:szCs w:val="21"/>
                <w:highlight w:val="none"/>
              </w:rPr>
              <w:t>4、石料规格：最大粒径不大于31.5mm</w:t>
            </w:r>
            <w:r>
              <w:rPr>
                <w:rFonts w:hint="eastAsia"/>
                <w:color w:val="000000"/>
                <w:szCs w:val="21"/>
                <w:highlight w:val="none"/>
              </w:rPr>
              <w:br w:type="textWrapping"/>
            </w:r>
            <w:r>
              <w:rPr>
                <w:rFonts w:hint="eastAsia"/>
                <w:color w:val="000000"/>
                <w:szCs w:val="21"/>
                <w:highlight w:val="none"/>
              </w:rPr>
              <w:t>5、运距：集中厂拌、摊铺机摊铺，运距</w:t>
            </w:r>
            <w:r>
              <w:rPr>
                <w:rFonts w:hint="eastAsia"/>
                <w:color w:val="000000"/>
                <w:szCs w:val="21"/>
                <w:highlight w:val="none"/>
                <w:lang w:eastAsia="zh-CN"/>
              </w:rPr>
              <w:t>供应商</w:t>
            </w:r>
            <w:r>
              <w:rPr>
                <w:rFonts w:hint="eastAsia"/>
                <w:color w:val="000000"/>
                <w:szCs w:val="21"/>
                <w:highlight w:val="none"/>
              </w:rPr>
              <w:t>自行考虑</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1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5"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20cm厚4.5%</w:t>
            </w:r>
          </w:p>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水泥稳定碎石基层</w:t>
            </w:r>
          </w:p>
        </w:tc>
        <w:tc>
          <w:tcPr>
            <w:tcW w:w="540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1、材料品种：水泥稳定碎石成品混合料</w:t>
            </w:r>
            <w:r>
              <w:rPr>
                <w:rFonts w:hint="eastAsia"/>
                <w:color w:val="000000"/>
                <w:szCs w:val="21"/>
                <w:highlight w:val="none"/>
              </w:rPr>
              <w:br w:type="textWrapping"/>
            </w:r>
            <w:r>
              <w:rPr>
                <w:rFonts w:hint="eastAsia"/>
                <w:color w:val="000000"/>
                <w:szCs w:val="21"/>
                <w:highlight w:val="none"/>
              </w:rPr>
              <w:t>2、厚度：20cm</w:t>
            </w:r>
            <w:r>
              <w:rPr>
                <w:rFonts w:hint="eastAsia"/>
                <w:color w:val="000000"/>
                <w:szCs w:val="21"/>
                <w:highlight w:val="none"/>
              </w:rPr>
              <w:br w:type="textWrapping"/>
            </w:r>
            <w:r>
              <w:rPr>
                <w:rFonts w:hint="eastAsia"/>
                <w:color w:val="000000"/>
                <w:szCs w:val="21"/>
                <w:highlight w:val="none"/>
              </w:rPr>
              <w:t>3、水泥剂量：4.5%（42.5级水泥）</w:t>
            </w:r>
            <w:r>
              <w:rPr>
                <w:rFonts w:hint="eastAsia"/>
                <w:color w:val="000000"/>
                <w:szCs w:val="21"/>
                <w:highlight w:val="none"/>
              </w:rPr>
              <w:br w:type="textWrapping"/>
            </w:r>
            <w:r>
              <w:rPr>
                <w:rFonts w:hint="eastAsia"/>
                <w:color w:val="000000"/>
                <w:szCs w:val="21"/>
                <w:highlight w:val="none"/>
              </w:rPr>
              <w:t>4、石料规格：最大粒径不大于31.5mm</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1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5"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荷兰砖（30*30*8cm)</w:t>
            </w:r>
          </w:p>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铺砌（人行道）</w:t>
            </w:r>
          </w:p>
        </w:tc>
        <w:tc>
          <w:tcPr>
            <w:tcW w:w="5400" w:type="dxa"/>
            <w:noWrap w:val="0"/>
            <w:vAlign w:val="center"/>
          </w:tcPr>
          <w:p>
            <w:pPr>
              <w:pageBreakBefore w:val="0"/>
              <w:widowControl/>
              <w:kinsoku/>
              <w:overflowPunct/>
              <w:topLinePunct w:val="0"/>
              <w:bidi w:val="0"/>
              <w:adjustRightInd/>
              <w:snapToGrid/>
              <w:spacing w:line="240" w:lineRule="auto"/>
              <w:textAlignment w:val="center"/>
              <w:rPr>
                <w:szCs w:val="21"/>
                <w:highlight w:val="none"/>
              </w:rPr>
            </w:pPr>
            <w:r>
              <w:rPr>
                <w:rFonts w:hint="eastAsia"/>
                <w:color w:val="000000"/>
                <w:szCs w:val="21"/>
                <w:highlight w:val="none"/>
              </w:rPr>
              <w:t>1、材料品种：荷兰砖（30*30*8cm)</w:t>
            </w:r>
            <w:r>
              <w:rPr>
                <w:rFonts w:hint="eastAsia"/>
                <w:color w:val="000000"/>
                <w:szCs w:val="21"/>
                <w:highlight w:val="none"/>
              </w:rPr>
              <w:br w:type="textWrapping"/>
            </w:r>
            <w:r>
              <w:rPr>
                <w:rFonts w:hint="eastAsia"/>
                <w:color w:val="000000"/>
                <w:szCs w:val="21"/>
                <w:highlight w:val="none"/>
              </w:rPr>
              <w:t>2、规格：300×300×80mm</w:t>
            </w:r>
            <w:r>
              <w:rPr>
                <w:rFonts w:hint="eastAsia"/>
                <w:color w:val="000000"/>
                <w:szCs w:val="21"/>
                <w:highlight w:val="none"/>
              </w:rPr>
              <w:br w:type="textWrapping"/>
            </w:r>
            <w:r>
              <w:rPr>
                <w:rFonts w:hint="eastAsia"/>
                <w:color w:val="000000"/>
                <w:szCs w:val="21"/>
                <w:highlight w:val="none"/>
              </w:rPr>
              <w:t>3、结合层：30厚1：5干硬性水泥砂浆</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color w:val="000000"/>
                <w:szCs w:val="21"/>
                <w:highlight w:val="none"/>
              </w:rPr>
              <w:t>㎡</w:t>
            </w:r>
          </w:p>
        </w:tc>
        <w:tc>
          <w:tcPr>
            <w:tcW w:w="91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880</w:t>
            </w:r>
          </w:p>
        </w:tc>
      </w:tr>
    </w:tbl>
    <w:p>
      <w:pPr>
        <w:pageBreakBefore w:val="0"/>
        <w:kinsoku/>
        <w:overflowPunct/>
        <w:topLinePunct w:val="0"/>
        <w:bidi w:val="0"/>
        <w:adjustRightInd/>
        <w:snapToGrid/>
        <w:spacing w:line="420" w:lineRule="exact"/>
        <w:ind w:firstLine="420" w:firstLineChars="200"/>
        <w:rPr>
          <w:rFonts w:ascii="宋体" w:hAnsi="宋体" w:cs="宋体"/>
          <w:highlight w:val="none"/>
        </w:rPr>
      </w:pPr>
      <w:r>
        <w:rPr>
          <w:rFonts w:hint="eastAsia" w:ascii="宋体" w:hAnsi="宋体" w:cs="宋体"/>
          <w:highlight w:val="none"/>
        </w:rPr>
        <w:t>7、岗亭水马、防撞桶维护</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1"/>
        <w:gridCol w:w="4862"/>
        <w:gridCol w:w="1139"/>
        <w:gridCol w:w="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1"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项目名称</w:t>
            </w:r>
          </w:p>
        </w:tc>
        <w:tc>
          <w:tcPr>
            <w:tcW w:w="4862"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项目特征描述</w:t>
            </w:r>
          </w:p>
        </w:tc>
        <w:tc>
          <w:tcPr>
            <w:tcW w:w="113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计量单位</w:t>
            </w:r>
          </w:p>
        </w:tc>
        <w:tc>
          <w:tcPr>
            <w:tcW w:w="880"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color w:val="000000"/>
                <w:szCs w:val="21"/>
                <w:highlight w:val="none"/>
              </w:rPr>
              <w:t>维护量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1"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szCs w:val="21"/>
                <w:highlight w:val="none"/>
              </w:rPr>
              <w:t>水马</w:t>
            </w:r>
          </w:p>
        </w:tc>
        <w:tc>
          <w:tcPr>
            <w:tcW w:w="4862" w:type="dxa"/>
            <w:noWrap w:val="0"/>
            <w:vAlign w:val="center"/>
          </w:tcPr>
          <w:p>
            <w:pPr>
              <w:pageBreakBefore w:val="0"/>
              <w:widowControl/>
              <w:numPr>
                <w:ilvl w:val="0"/>
                <w:numId w:val="3"/>
              </w:numPr>
              <w:kinsoku/>
              <w:overflowPunct/>
              <w:topLinePunct w:val="0"/>
              <w:bidi w:val="0"/>
              <w:adjustRightInd/>
              <w:snapToGrid/>
              <w:spacing w:line="240" w:lineRule="auto"/>
              <w:textAlignment w:val="center"/>
              <w:rPr>
                <w:rFonts w:hint="eastAsia"/>
                <w:highlight w:val="none"/>
              </w:rPr>
            </w:pPr>
            <w:r>
              <w:rPr>
                <w:rFonts w:hint="eastAsia"/>
                <w:highlight w:val="none"/>
              </w:rPr>
              <w:t>规格：120cm*60cm</w:t>
            </w:r>
          </w:p>
          <w:p>
            <w:pPr>
              <w:pageBreakBefore w:val="0"/>
              <w:widowControl/>
              <w:numPr>
                <w:ilvl w:val="0"/>
                <w:numId w:val="3"/>
              </w:numPr>
              <w:kinsoku/>
              <w:overflowPunct/>
              <w:topLinePunct w:val="0"/>
              <w:bidi w:val="0"/>
              <w:adjustRightInd/>
              <w:snapToGrid/>
              <w:spacing w:line="240" w:lineRule="auto"/>
              <w:textAlignment w:val="center"/>
              <w:rPr>
                <w:rFonts w:hint="eastAsia"/>
                <w:highlight w:val="none"/>
              </w:rPr>
            </w:pPr>
            <w:r>
              <w:rPr>
                <w:rFonts w:hint="eastAsia"/>
                <w:highlight w:val="none"/>
              </w:rPr>
              <w:t>材质：PE塑料</w:t>
            </w:r>
          </w:p>
        </w:tc>
        <w:tc>
          <w:tcPr>
            <w:tcW w:w="113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szCs w:val="21"/>
                <w:highlight w:val="none"/>
              </w:rPr>
              <w:t>个</w:t>
            </w:r>
          </w:p>
        </w:tc>
        <w:tc>
          <w:tcPr>
            <w:tcW w:w="880"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szCs w:val="21"/>
                <w:highlight w:val="none"/>
              </w:rPr>
              <w:t>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61" w:type="dxa"/>
            <w:noWrap w:val="0"/>
            <w:vAlign w:val="center"/>
          </w:tcPr>
          <w:p>
            <w:pPr>
              <w:pageBreakBefore w:val="0"/>
              <w:widowControl/>
              <w:kinsoku/>
              <w:overflowPunct/>
              <w:topLinePunct w:val="0"/>
              <w:bidi w:val="0"/>
              <w:adjustRightInd/>
              <w:snapToGrid/>
              <w:spacing w:line="240" w:lineRule="auto"/>
              <w:jc w:val="center"/>
              <w:textAlignment w:val="center"/>
              <w:rPr>
                <w:rFonts w:hint="eastAsia"/>
                <w:szCs w:val="21"/>
                <w:highlight w:val="none"/>
              </w:rPr>
            </w:pPr>
            <w:r>
              <w:rPr>
                <w:rFonts w:hint="eastAsia"/>
                <w:szCs w:val="21"/>
                <w:highlight w:val="none"/>
              </w:rPr>
              <w:t>防撞桶</w:t>
            </w:r>
          </w:p>
        </w:tc>
        <w:tc>
          <w:tcPr>
            <w:tcW w:w="4862" w:type="dxa"/>
            <w:noWrap w:val="0"/>
            <w:vAlign w:val="center"/>
          </w:tcPr>
          <w:p>
            <w:pPr>
              <w:pageBreakBefore w:val="0"/>
              <w:widowControl/>
              <w:numPr>
                <w:ilvl w:val="0"/>
                <w:numId w:val="4"/>
              </w:numPr>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规格：80cm*60cm</w:t>
            </w:r>
          </w:p>
          <w:p>
            <w:pPr>
              <w:pageBreakBefore w:val="0"/>
              <w:widowControl/>
              <w:numPr>
                <w:ilvl w:val="0"/>
                <w:numId w:val="4"/>
              </w:numPr>
              <w:kinsoku/>
              <w:overflowPunct/>
              <w:topLinePunct w:val="0"/>
              <w:bidi w:val="0"/>
              <w:adjustRightInd/>
              <w:snapToGrid/>
              <w:spacing w:line="240" w:lineRule="auto"/>
              <w:textAlignment w:val="center"/>
              <w:rPr>
                <w:szCs w:val="21"/>
                <w:highlight w:val="none"/>
              </w:rPr>
            </w:pPr>
            <w:r>
              <w:rPr>
                <w:rFonts w:hint="eastAsia"/>
                <w:highlight w:val="none"/>
              </w:rPr>
              <w:t>材质：PE塑料</w:t>
            </w:r>
          </w:p>
        </w:tc>
        <w:tc>
          <w:tcPr>
            <w:tcW w:w="1139"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szCs w:val="21"/>
                <w:highlight w:val="none"/>
              </w:rPr>
              <w:t>个</w:t>
            </w:r>
          </w:p>
        </w:tc>
        <w:tc>
          <w:tcPr>
            <w:tcW w:w="880" w:type="dxa"/>
            <w:noWrap w:val="0"/>
            <w:vAlign w:val="center"/>
          </w:tcPr>
          <w:p>
            <w:pPr>
              <w:pageBreakBefore w:val="0"/>
              <w:widowControl/>
              <w:kinsoku/>
              <w:overflowPunct/>
              <w:topLinePunct w:val="0"/>
              <w:bidi w:val="0"/>
              <w:adjustRightInd/>
              <w:snapToGrid/>
              <w:spacing w:line="240" w:lineRule="auto"/>
              <w:jc w:val="center"/>
              <w:textAlignment w:val="center"/>
              <w:rPr>
                <w:szCs w:val="21"/>
                <w:highlight w:val="none"/>
              </w:rPr>
            </w:pPr>
            <w:r>
              <w:rPr>
                <w:rFonts w:hint="eastAsia"/>
                <w:szCs w:val="21"/>
                <w:highlight w:val="none"/>
              </w:rPr>
              <w:t>71</w:t>
            </w:r>
          </w:p>
        </w:tc>
      </w:tr>
    </w:tbl>
    <w:p>
      <w:pPr>
        <w:pageBreakBefore w:val="0"/>
        <w:kinsoku/>
        <w:overflowPunct/>
        <w:topLinePunct w:val="0"/>
        <w:bidi w:val="0"/>
        <w:adjustRightInd/>
        <w:snapToGrid/>
        <w:spacing w:line="420" w:lineRule="exact"/>
        <w:ind w:firstLine="420" w:firstLineChars="200"/>
        <w:rPr>
          <w:rFonts w:hint="eastAsia" w:ascii="宋体" w:hAnsi="宋体" w:cs="宋体"/>
          <w:highlight w:val="none"/>
          <w:lang w:val="en-US" w:eastAsia="zh-CN"/>
        </w:rPr>
      </w:pPr>
      <w:r>
        <w:rPr>
          <w:rFonts w:hint="eastAsia" w:ascii="宋体" w:hAnsi="宋体" w:cs="宋体"/>
          <w:highlight w:val="none"/>
          <w:lang w:val="en-US" w:eastAsia="zh-CN"/>
        </w:rPr>
        <w:t>注：供应商除了对水马和防撞桶进行正常维护工作，还需一年更换一次全新的水马和防撞桶。</w:t>
      </w:r>
    </w:p>
    <w:p>
      <w:pPr>
        <w:pageBreakBefore w:val="0"/>
        <w:kinsoku/>
        <w:overflowPunct/>
        <w:topLinePunct w:val="0"/>
        <w:bidi w:val="0"/>
        <w:adjustRightInd/>
        <w:snapToGrid/>
        <w:spacing w:line="420" w:lineRule="exact"/>
        <w:rPr>
          <w:rFonts w:hint="eastAsia" w:ascii="宋体" w:hAnsi="宋体" w:cs="宋体"/>
          <w:b/>
          <w:bCs/>
          <w:highlight w:val="none"/>
          <w:lang w:val="en-US" w:eastAsia="zh-CN"/>
        </w:rPr>
      </w:pPr>
      <w:r>
        <w:rPr>
          <w:rFonts w:hint="eastAsia" w:ascii="宋体" w:hAnsi="宋体" w:cs="宋体"/>
          <w:b/>
          <w:bCs/>
          <w:highlight w:val="none"/>
          <w:lang w:val="en-US" w:eastAsia="zh-CN"/>
        </w:rPr>
        <w:t>（二）二期清单</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8"/>
        <w:gridCol w:w="4965"/>
        <w:gridCol w:w="1106"/>
        <w:gridCol w:w="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项目名称</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项目特征描述</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计量单位</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维护量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爆闪灯</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闸机杆爆闪灯</w:t>
            </w:r>
          </w:p>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护栏爆闪灯</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台</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闸机杆</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闸机杆 3.5米，4米</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个</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警示灯</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警示防水灯（含一期  每根3米 24V）</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个</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防撞桶</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800*600防撞桶</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个</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防撞柱</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防撞柱114MM</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个</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水马</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1200*600</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个</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园区指标牌</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导引牌、指引牌、提示牌 匹配现场原有标牌</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个</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摄像机</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摄像机除尘</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个</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移动门</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移动伸缩门</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米</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道路护栏</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道路护栏</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米</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人行道护栏</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曙光路</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根</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2405"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减速带</w:t>
            </w:r>
          </w:p>
        </w:tc>
        <w:tc>
          <w:tcPr>
            <w:tcW w:w="5232"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钢制</w:t>
            </w:r>
          </w:p>
        </w:tc>
        <w:tc>
          <w:tcPr>
            <w:tcW w:w="1152"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米</w:t>
            </w:r>
          </w:p>
        </w:tc>
        <w:tc>
          <w:tcPr>
            <w:tcW w:w="967"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500</w:t>
            </w:r>
          </w:p>
        </w:tc>
      </w:tr>
    </w:tbl>
    <w:p>
      <w:pPr>
        <w:pageBreakBefore w:val="0"/>
        <w:kinsoku/>
        <w:overflowPunct/>
        <w:topLinePunct w:val="0"/>
        <w:bidi w:val="0"/>
        <w:adjustRightInd/>
        <w:snapToGrid/>
        <w:spacing w:line="420" w:lineRule="exact"/>
        <w:rPr>
          <w:rFonts w:hint="eastAsia" w:ascii="宋体" w:hAnsi="宋体" w:cs="宋体"/>
          <w:b/>
          <w:bCs/>
          <w:highlight w:val="none"/>
        </w:rPr>
      </w:pPr>
      <w:r>
        <w:rPr>
          <w:rFonts w:hint="eastAsia" w:ascii="宋体" w:hAnsi="宋体" w:cs="宋体"/>
          <w:b/>
          <w:bCs/>
          <w:highlight w:val="none"/>
        </w:rPr>
        <w:t>四、易损件清单</w:t>
      </w:r>
    </w:p>
    <w:tbl>
      <w:tblPr>
        <w:tblStyle w:val="12"/>
        <w:tblW w:w="9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2122"/>
        <w:gridCol w:w="5899"/>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序号</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项目名称</w:t>
            </w:r>
          </w:p>
        </w:tc>
        <w:tc>
          <w:tcPr>
            <w:tcW w:w="58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项目特征描述</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计量单位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8" w:type="dxa"/>
            <w:gridSpan w:val="4"/>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b/>
                <w:bCs/>
                <w:color w:val="000000"/>
                <w:szCs w:val="21"/>
                <w:highlight w:val="none"/>
              </w:rPr>
              <w:t>一、道闸维护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闸杆内夹板</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靠近机箱部分</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闸杆外夹板</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固定闸杆外部分</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三联按钮</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接收板</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遥控接收板</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发射器</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遥控发射器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快速道闸机芯</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1秒、3秒起落</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道闸电机电容</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交流电机电容、直流电机电容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道闸控制盒</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全系列道闸控制盒</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霍尔开关</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霍尔开关 （需区分左右向）</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地感线圈切割制作</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含地感线</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车辆检测器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单环路</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5G雷达探测器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5G安装立柱</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车牌识别摄像机</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全系列摄像机</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补光灯</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全系列补光灯</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T33机箱</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空机箱，内部配件</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T27机箱</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空机箱，内部配件</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T33前门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LCD液晶显示屏</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T33一体机</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全套设备，含摄像机、立柱、补光灯，道闸等</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安装调试</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8" w:type="dxa"/>
            <w:gridSpan w:val="4"/>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b/>
                <w:bCs/>
                <w:color w:val="000000"/>
                <w:szCs w:val="21"/>
                <w:highlight w:val="none"/>
              </w:rPr>
              <w:t>二、伸缩门维护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更换电路板</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一体化感应板</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接收器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控制盒</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铝合金</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直径胶</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8" w:type="dxa"/>
            <w:gridSpan w:val="4"/>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b/>
                <w:bCs/>
                <w:color w:val="000000"/>
                <w:szCs w:val="21"/>
                <w:highlight w:val="none"/>
              </w:rPr>
              <w:t>三、交通辅件易损补充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警示桩</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阻拦柱</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减速带</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隔离护栏</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警示桶</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警示灯</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反光贴</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地面箭头标线</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地面网格线</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入口指示牌标志板2.4*2.8m</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2、规格尺寸：2.4*2.8m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入口指示牌标志板2*2.8m</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2、规格尺寸：2*2.8m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入口指示牌标志板1.5*2.8m</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2、规格尺寸：1.5*2.8m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入口指示牌标志板1.2*2.8m</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2、规格尺寸：1.2*2.8m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让行禁止左转标志2.1*1m</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2、规格尺寸：2.1*1m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限速、机动车、非机动车标志标志板1*1.5m</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1、材质：铝合金</w:t>
            </w:r>
            <w:r>
              <w:rPr>
                <w:rFonts w:hint="eastAsia"/>
                <w:color w:val="000000"/>
                <w:szCs w:val="21"/>
                <w:highlight w:val="none"/>
              </w:rPr>
              <w:br w:type="textWrapping"/>
            </w:r>
            <w:r>
              <w:rPr>
                <w:rFonts w:hint="eastAsia"/>
                <w:color w:val="000000"/>
                <w:szCs w:val="21"/>
                <w:highlight w:val="none"/>
              </w:rPr>
              <w:t>2、规格尺寸：1*1.5m</w:t>
            </w:r>
            <w:r>
              <w:rPr>
                <w:rFonts w:hint="eastAsia"/>
                <w:color w:val="000000"/>
                <w:szCs w:val="21"/>
                <w:highlight w:val="none"/>
              </w:rPr>
              <w:br w:type="textWrapping"/>
            </w:r>
            <w:r>
              <w:rPr>
                <w:rFonts w:hint="eastAsia"/>
                <w:color w:val="000000"/>
                <w:szCs w:val="21"/>
                <w:highlight w:val="none"/>
              </w:rPr>
              <w:t>3、板面反光膜等级：三类膜</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柱式标杆φ114*5*3970</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1、柱式标杆,钢管立柱：φ114*5*3970</w:t>
            </w:r>
            <w:r>
              <w:rPr>
                <w:rFonts w:hint="eastAsia"/>
                <w:color w:val="000000"/>
                <w:szCs w:val="21"/>
                <w:highlight w:val="none"/>
              </w:rPr>
              <w:br w:type="textWrapping"/>
            </w:r>
            <w:r>
              <w:rPr>
                <w:rFonts w:hint="eastAsia"/>
                <w:color w:val="000000"/>
                <w:szCs w:val="21"/>
                <w:highlight w:val="none"/>
              </w:rPr>
              <w:t>2、标杆制作及安装等详见交通图纸</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悬臂式标杆φ273*13*6700</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1、F型标杆,钢管立柱：φ273*13*6700mm</w:t>
            </w:r>
            <w:r>
              <w:rPr>
                <w:rFonts w:hint="eastAsia"/>
                <w:color w:val="000000"/>
                <w:szCs w:val="21"/>
                <w:highlight w:val="none"/>
              </w:rPr>
              <w:br w:type="textWrapping"/>
            </w:r>
            <w:r>
              <w:rPr>
                <w:rFonts w:hint="eastAsia"/>
                <w:color w:val="000000"/>
                <w:szCs w:val="21"/>
                <w:highlight w:val="none"/>
              </w:rPr>
              <w:t>2、标杆制作及安装等详见交通图纸</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悬臂式标杆φ273*13*7000</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1、F型标杆,钢管立柱：φ273*13*7000mm</w:t>
            </w:r>
            <w:r>
              <w:rPr>
                <w:rFonts w:hint="eastAsia"/>
                <w:color w:val="000000"/>
                <w:szCs w:val="21"/>
                <w:highlight w:val="none"/>
              </w:rPr>
              <w:br w:type="textWrapping"/>
            </w:r>
            <w:r>
              <w:rPr>
                <w:rFonts w:hint="eastAsia"/>
                <w:color w:val="000000"/>
                <w:szCs w:val="21"/>
                <w:highlight w:val="none"/>
              </w:rPr>
              <w:t>2、标杆制作及安装等详见交通图纸</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悬臂式标杆φ273*13*8000</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1、F型标杆,钢管立柱：φ273*13*8000mm</w:t>
            </w:r>
            <w:r>
              <w:rPr>
                <w:rFonts w:hint="eastAsia"/>
                <w:color w:val="000000"/>
                <w:szCs w:val="21"/>
                <w:highlight w:val="none"/>
              </w:rPr>
              <w:br w:type="textWrapping"/>
            </w:r>
            <w:r>
              <w:rPr>
                <w:rFonts w:hint="eastAsia"/>
                <w:color w:val="000000"/>
                <w:szCs w:val="21"/>
                <w:highlight w:val="none"/>
              </w:rPr>
              <w:t>2、标杆制作及安装等详见交通图纸</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双F悬臂式标杆φ377*10*8000</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1、双悬臂,钢管立柱：φ377*10*8000mm</w:t>
            </w:r>
            <w:r>
              <w:rPr>
                <w:rFonts w:hint="eastAsia"/>
                <w:color w:val="000000"/>
                <w:szCs w:val="21"/>
                <w:highlight w:val="none"/>
              </w:rPr>
              <w:br w:type="textWrapping"/>
            </w:r>
            <w:r>
              <w:rPr>
                <w:rFonts w:hint="eastAsia"/>
                <w:color w:val="000000"/>
                <w:szCs w:val="21"/>
                <w:highlight w:val="none"/>
              </w:rPr>
              <w:t>2、标杆制作及安装等详见交通图纸</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路面刻痕</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路面刻痕</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8" w:type="dxa"/>
            <w:gridSpan w:val="4"/>
            <w:noWrap w:val="0"/>
            <w:vAlign w:val="center"/>
          </w:tcPr>
          <w:p>
            <w:pPr>
              <w:pageBreakBefore w:val="0"/>
              <w:widowControl/>
              <w:kinsoku/>
              <w:overflowPunct/>
              <w:topLinePunct w:val="0"/>
              <w:bidi w:val="0"/>
              <w:adjustRightInd/>
              <w:snapToGrid/>
              <w:spacing w:line="240" w:lineRule="auto"/>
              <w:jc w:val="center"/>
              <w:textAlignment w:val="center"/>
              <w:rPr>
                <w:rFonts w:hint="eastAsia" w:ascii="宋体" w:hAnsi="宋体" w:cs="宋体"/>
                <w:color w:val="000000"/>
                <w:kern w:val="0"/>
                <w:szCs w:val="21"/>
                <w:highlight w:val="none"/>
                <w:lang w:bidi="ar"/>
              </w:rPr>
            </w:pPr>
            <w:r>
              <w:rPr>
                <w:rFonts w:hint="eastAsia" w:ascii="宋体" w:hAnsi="宋体" w:cs="宋体"/>
                <w:b/>
                <w:bCs/>
                <w:color w:val="000000"/>
                <w:kern w:val="0"/>
                <w:szCs w:val="21"/>
                <w:highlight w:val="none"/>
                <w:lang w:bidi="ar"/>
              </w:rPr>
              <w:t>四、岗亭及视频设备维护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岗亭控制箱ALG1</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1、名称：岗亭控制箱ALG1</w:t>
            </w:r>
            <w:r>
              <w:rPr>
                <w:rFonts w:hint="eastAsia"/>
                <w:color w:val="000000"/>
                <w:szCs w:val="21"/>
                <w:highlight w:val="none"/>
              </w:rPr>
              <w:br w:type="textWrapping"/>
            </w:r>
            <w:r>
              <w:rPr>
                <w:rFonts w:hint="eastAsia"/>
                <w:color w:val="000000"/>
                <w:szCs w:val="21"/>
                <w:highlight w:val="none"/>
              </w:rPr>
              <w:t>2、规格材质： 不锈钢材质</w:t>
            </w:r>
            <w:r>
              <w:rPr>
                <w:rFonts w:hint="eastAsia"/>
                <w:color w:val="000000"/>
                <w:szCs w:val="21"/>
                <w:highlight w:val="none"/>
              </w:rPr>
              <w:br w:type="textWrapping"/>
            </w:r>
            <w:r>
              <w:rPr>
                <w:rFonts w:hint="eastAsia"/>
                <w:color w:val="000000"/>
                <w:szCs w:val="21"/>
                <w:highlight w:val="none"/>
              </w:rPr>
              <w:t>3、安装方式：嵌入式安装</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岗亭控制箱ALG2</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1、名称：岗亭控制箱ALG2</w:t>
            </w:r>
            <w:r>
              <w:rPr>
                <w:rFonts w:hint="eastAsia"/>
                <w:color w:val="000000"/>
                <w:szCs w:val="21"/>
                <w:highlight w:val="none"/>
              </w:rPr>
              <w:br w:type="textWrapping"/>
            </w:r>
            <w:r>
              <w:rPr>
                <w:rFonts w:hint="eastAsia"/>
                <w:color w:val="000000"/>
                <w:szCs w:val="21"/>
                <w:highlight w:val="none"/>
              </w:rPr>
              <w:t>2、规格：不锈钢材质</w:t>
            </w:r>
            <w:r>
              <w:rPr>
                <w:rFonts w:hint="eastAsia"/>
                <w:color w:val="000000"/>
                <w:szCs w:val="21"/>
                <w:highlight w:val="none"/>
              </w:rPr>
              <w:br w:type="textWrapping"/>
            </w:r>
            <w:r>
              <w:rPr>
                <w:rFonts w:hint="eastAsia"/>
                <w:color w:val="000000"/>
                <w:szCs w:val="21"/>
                <w:highlight w:val="none"/>
              </w:rPr>
              <w:t>3、安装方式：嵌入式安装</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电动伸缩门控制箱ALD1</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1、名称：电动伸缩门控制箱ALD1</w:t>
            </w:r>
            <w:r>
              <w:rPr>
                <w:rFonts w:hint="eastAsia"/>
                <w:color w:val="000000"/>
                <w:szCs w:val="21"/>
                <w:highlight w:val="none"/>
              </w:rPr>
              <w:br w:type="textWrapping"/>
            </w:r>
            <w:r>
              <w:rPr>
                <w:rFonts w:hint="eastAsia"/>
                <w:color w:val="000000"/>
                <w:szCs w:val="21"/>
                <w:highlight w:val="none"/>
              </w:rPr>
              <w:t>2、规格：不锈钢材质 双开门，防护等级IP65；含内部元器件</w:t>
            </w:r>
            <w:r>
              <w:rPr>
                <w:rFonts w:hint="eastAsia"/>
                <w:color w:val="000000"/>
                <w:szCs w:val="21"/>
                <w:highlight w:val="none"/>
              </w:rPr>
              <w:br w:type="textWrapping"/>
            </w:r>
            <w:r>
              <w:rPr>
                <w:rFonts w:hint="eastAsia"/>
                <w:color w:val="000000"/>
                <w:szCs w:val="21"/>
                <w:highlight w:val="none"/>
              </w:rPr>
              <w:t>3、安装方式：落地安装</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电动伸缩门控制箱ALD2</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1、名称：电动伸缩门控制箱ALD2</w:t>
            </w:r>
            <w:r>
              <w:rPr>
                <w:rFonts w:hint="eastAsia"/>
                <w:color w:val="000000"/>
                <w:szCs w:val="21"/>
                <w:highlight w:val="none"/>
              </w:rPr>
              <w:br w:type="textWrapping"/>
            </w:r>
            <w:r>
              <w:rPr>
                <w:rFonts w:hint="eastAsia"/>
                <w:color w:val="000000"/>
                <w:szCs w:val="21"/>
                <w:highlight w:val="none"/>
              </w:rPr>
              <w:t>2、规格：不锈钢材质 双开门，防护等级IP65；含内部元器件</w:t>
            </w:r>
            <w:r>
              <w:rPr>
                <w:rFonts w:hint="eastAsia"/>
                <w:color w:val="000000"/>
                <w:szCs w:val="21"/>
                <w:highlight w:val="none"/>
              </w:rPr>
              <w:br w:type="textWrapping"/>
            </w:r>
            <w:r>
              <w:rPr>
                <w:rFonts w:hint="eastAsia"/>
                <w:color w:val="000000"/>
                <w:szCs w:val="21"/>
                <w:highlight w:val="none"/>
              </w:rPr>
              <w:t>3、安装方式：落地安装</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空调加氟</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网络摄像机</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400万1/3”CMOS  ICR180度广角筒型网络摄像机</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管理电脑</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存储设备（8T）</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16口网络交换机</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光电传换器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4口光纤盒</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浪涌保护器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枪型监控摄像机</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补光灯</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8口网络交换机</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24口网络交换机</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光纤收发器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42寸液晶监视器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漏电保护器</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空调</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系统调试</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安全岛刷黑色反光漆</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安全岛刷黄色反光漆</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8" w:type="dxa"/>
            <w:gridSpan w:val="4"/>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b/>
                <w:bCs/>
                <w:color w:val="000000"/>
                <w:szCs w:val="21"/>
                <w:highlight w:val="none"/>
              </w:rPr>
              <w:t>五、管线、材料及施工类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电力电缆VV-3*2.5</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材料含施工费用</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电力电缆VV-3*4</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材料含施工费用</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电力电缆VV-3*10</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材料含施工费用</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电力电缆VV-3*16</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材料含施工费用</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电力电缆VV-4*16</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材料含施工费用</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电力电缆VV-3*25</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材料含施工费用</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视频线UTP-6</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材料含施工费用</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手井制作（配合500*500井盖）</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含材料及施工，深 80 公分</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五防铸铁井盖（500*500）</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含材料及安装</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绿化带内手孔井</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机动车道手孔井</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总等电位联结箱MEB</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1、名称：总等电位联结箱MEB</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接地极</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1、名称：接地极-50*50*5-2500mm热镀锌接地角钢</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接地母线-40*4热镀锌扁钢</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1、名称：接地母线-40*4热镀锌扁钢</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接地母线-50*5热镀锌扁钢</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1、名称：-50*5热镀锌扁钢</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接地装置调试</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1、名称：接地装置调试</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人行道板破复</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深 20 公分，含道板砖恢复</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绿化带破复</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深 20 公分，含绿化恢复</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水泥路面破复</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深 15 公分，含水泥路面恢复</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沥青路面破复</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深 15 公分，含沥青路面恢复</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C25 商品混凝土</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含材料、浇捣等</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C30 商品混凝土</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含材料、浇捣等</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绿化带及道板砖内杆件</w:t>
            </w:r>
            <w:r>
              <w:rPr>
                <w:rFonts w:hint="eastAsia"/>
                <w:color w:val="000000"/>
                <w:szCs w:val="21"/>
                <w:highlight w:val="none"/>
              </w:rPr>
              <w:br w:type="textWrapping"/>
            </w:r>
            <w:r>
              <w:rPr>
                <w:rFonts w:hint="eastAsia"/>
                <w:color w:val="000000"/>
                <w:szCs w:val="21"/>
                <w:highlight w:val="none"/>
              </w:rPr>
              <w:t>基础挖掘</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含挖掘及垃圾清运</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水泥路面杆件基础挖掘</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含挖掘及垃圾清运</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沥青路面杆件基础挖掘</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含挖掘及垃圾清运</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疏通旧管道</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按管道长度计算</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横臂钻孔</w:t>
            </w:r>
          </w:p>
        </w:tc>
        <w:tc>
          <w:tcPr>
            <w:tcW w:w="5899" w:type="dxa"/>
            <w:noWrap w:val="0"/>
            <w:vAlign w:val="center"/>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8" w:type="dxa"/>
            <w:gridSpan w:val="4"/>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b/>
                <w:bCs/>
                <w:color w:val="000000"/>
                <w:szCs w:val="21"/>
                <w:highlight w:val="none"/>
              </w:rPr>
              <w:t>六、拆除、安装施工类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监控等相机拆除、</w:t>
            </w: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安装</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卡口等补光灯拆除、安装</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 米以下横臂杆件</w:t>
            </w: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拆除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5米至8米以下横臂杆件拆除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8米至10米以下横臂杆件拆除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6</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T 型杆件拆除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7</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地埋线路抽除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8</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杆件内线路抽除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9</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架空线路拆除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10</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壁挂箱拆除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落地机柜拆除</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含拆除并运输至甲方指定的收集点。</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8" w:type="dxa"/>
            <w:gridSpan w:val="4"/>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b/>
                <w:bCs/>
                <w:color w:val="000000"/>
                <w:szCs w:val="21"/>
                <w:highlight w:val="none"/>
              </w:rPr>
              <w:t>七、其他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系统外场设备保洁</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含机柜、摄像机除尘</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点位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外场设备故障排查</w:t>
            </w:r>
          </w:p>
        </w:tc>
        <w:tc>
          <w:tcPr>
            <w:tcW w:w="5899" w:type="dxa"/>
            <w:noWrap w:val="0"/>
            <w:vAlign w:val="bottom"/>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点位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3</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外场设备遮挡树木修剪</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r>
              <w:rPr>
                <w:rFonts w:hint="eastAsia"/>
                <w:color w:val="000000"/>
                <w:szCs w:val="21"/>
                <w:highlight w:val="none"/>
              </w:rPr>
              <w:t>以</w:t>
            </w:r>
            <w:r>
              <w:rPr>
                <w:rFonts w:hint="eastAsia"/>
                <w:color w:val="000000"/>
                <w:szCs w:val="21"/>
                <w:highlight w:val="none"/>
                <w:lang w:eastAsia="zh-CN"/>
              </w:rPr>
              <w:t>采购人</w:t>
            </w:r>
            <w:r>
              <w:rPr>
                <w:rFonts w:hint="eastAsia"/>
                <w:color w:val="000000"/>
                <w:szCs w:val="21"/>
                <w:highlight w:val="none"/>
              </w:rPr>
              <w:t>通知记录为准</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点位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排插</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eastAsia"/>
                <w:color w:val="000000"/>
                <w:szCs w:val="21"/>
                <w:highlight w:val="none"/>
              </w:rPr>
            </w:pP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8" w:type="dxa"/>
            <w:gridSpan w:val="4"/>
            <w:noWrap w:val="0"/>
            <w:vAlign w:val="center"/>
          </w:tcPr>
          <w:p>
            <w:pPr>
              <w:pageBreakBefore w:val="0"/>
              <w:widowControl/>
              <w:kinsoku/>
              <w:overflowPunct/>
              <w:topLinePunct w:val="0"/>
              <w:bidi w:val="0"/>
              <w:adjustRightInd/>
              <w:snapToGrid/>
              <w:spacing w:line="240" w:lineRule="auto"/>
              <w:jc w:val="center"/>
              <w:textAlignment w:val="center"/>
              <w:rPr>
                <w:rFonts w:hint="default" w:eastAsia="宋体"/>
                <w:color w:val="000000"/>
                <w:szCs w:val="21"/>
                <w:highlight w:val="none"/>
                <w:lang w:val="en-US" w:eastAsia="zh-CN"/>
              </w:rPr>
            </w:pPr>
            <w:r>
              <w:rPr>
                <w:rFonts w:hint="eastAsia"/>
                <w:b/>
                <w:bCs/>
                <w:color w:val="000000"/>
                <w:szCs w:val="21"/>
                <w:highlight w:val="none"/>
              </w:rPr>
              <w:t>七、</w:t>
            </w:r>
            <w:r>
              <w:rPr>
                <w:rFonts w:hint="eastAsia"/>
                <w:b/>
                <w:bCs/>
                <w:color w:val="000000"/>
                <w:szCs w:val="21"/>
                <w:highlight w:val="none"/>
                <w:lang w:val="en-US" w:eastAsia="zh-CN"/>
              </w:rPr>
              <w:t>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ageBreakBefore w:val="0"/>
              <w:widowControl/>
              <w:kinsoku/>
              <w:overflowPunct/>
              <w:topLinePunct w:val="0"/>
              <w:bidi w:val="0"/>
              <w:adjustRightInd/>
              <w:snapToGrid/>
              <w:spacing w:line="240" w:lineRule="auto"/>
              <w:jc w:val="center"/>
              <w:textAlignment w:val="center"/>
              <w:rPr>
                <w:rFonts w:hint="eastAsia" w:eastAsia="宋体"/>
                <w:color w:val="000000"/>
                <w:szCs w:val="21"/>
                <w:highlight w:val="none"/>
                <w:lang w:val="en-US" w:eastAsia="zh-CN"/>
              </w:rPr>
            </w:pPr>
            <w:r>
              <w:rPr>
                <w:rFonts w:hint="eastAsia"/>
                <w:color w:val="000000"/>
                <w:szCs w:val="21"/>
                <w:highlight w:val="none"/>
                <w:lang w:val="en-US" w:eastAsia="zh-CN"/>
              </w:rPr>
              <w:t>1</w:t>
            </w:r>
          </w:p>
        </w:tc>
        <w:tc>
          <w:tcPr>
            <w:tcW w:w="2122" w:type="dxa"/>
            <w:noWrap w:val="0"/>
            <w:vAlign w:val="center"/>
          </w:tcPr>
          <w:p>
            <w:pPr>
              <w:pageBreakBefore w:val="0"/>
              <w:widowControl/>
              <w:kinsoku/>
              <w:overflowPunct/>
              <w:topLinePunct w:val="0"/>
              <w:bidi w:val="0"/>
              <w:adjustRightInd/>
              <w:snapToGrid/>
              <w:spacing w:line="240" w:lineRule="auto"/>
              <w:jc w:val="center"/>
              <w:textAlignment w:val="center"/>
              <w:rPr>
                <w:rFonts w:hint="default" w:eastAsia="宋体"/>
                <w:color w:val="000000"/>
                <w:szCs w:val="21"/>
                <w:highlight w:val="none"/>
                <w:lang w:val="en-US" w:eastAsia="zh-CN"/>
              </w:rPr>
            </w:pPr>
            <w:r>
              <w:rPr>
                <w:rFonts w:hint="eastAsia"/>
                <w:color w:val="000000"/>
                <w:szCs w:val="21"/>
                <w:highlight w:val="none"/>
                <w:lang w:val="en-US" w:eastAsia="zh-CN"/>
              </w:rPr>
              <w:t>道路护栏</w:t>
            </w:r>
          </w:p>
        </w:tc>
        <w:tc>
          <w:tcPr>
            <w:tcW w:w="5899" w:type="dxa"/>
            <w:noWrap w:val="0"/>
            <w:vAlign w:val="top"/>
          </w:tcPr>
          <w:p>
            <w:pPr>
              <w:pageBreakBefore w:val="0"/>
              <w:widowControl/>
              <w:kinsoku/>
              <w:overflowPunct/>
              <w:topLinePunct w:val="0"/>
              <w:bidi w:val="0"/>
              <w:adjustRightInd/>
              <w:snapToGrid/>
              <w:spacing w:line="240" w:lineRule="auto"/>
              <w:textAlignment w:val="center"/>
              <w:rPr>
                <w:rFonts w:hint="default" w:eastAsia="宋体"/>
                <w:color w:val="000000"/>
                <w:szCs w:val="21"/>
                <w:highlight w:val="none"/>
                <w:lang w:val="en-US" w:eastAsia="zh-CN"/>
              </w:rPr>
            </w:pPr>
            <w:r>
              <w:rPr>
                <w:rFonts w:hint="eastAsia"/>
                <w:color w:val="000000"/>
                <w:szCs w:val="21"/>
                <w:highlight w:val="none"/>
                <w:lang w:val="en-US" w:eastAsia="zh-CN"/>
              </w:rPr>
              <w:t>由南到北6公里道路上护栏维护（与原规格一致）</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default" w:eastAsia="宋体"/>
                <w:color w:val="00000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eastAsia="宋体" w:cs="宋体"/>
                <w:b w:val="0"/>
                <w:bCs/>
                <w:color w:val="000000"/>
                <w:kern w:val="0"/>
                <w:sz w:val="21"/>
                <w:szCs w:val="21"/>
                <w:highlight w:val="none"/>
                <w:vertAlign w:val="baseline"/>
                <w:lang w:val="en-US" w:eastAsia="zh-CN" w:bidi="ar-SA"/>
              </w:rPr>
            </w:pPr>
            <w:r>
              <w:rPr>
                <w:rFonts w:hint="eastAsia" w:ascii="宋体" w:hAnsi="宋体" w:eastAsia="宋体" w:cs="宋体"/>
                <w:b w:val="0"/>
                <w:bCs/>
                <w:color w:val="000000"/>
                <w:kern w:val="0"/>
                <w:sz w:val="21"/>
                <w:szCs w:val="21"/>
                <w:highlight w:val="none"/>
                <w:vertAlign w:val="baseline"/>
                <w:lang w:val="en-US" w:eastAsia="zh-CN" w:bidi="ar-SA"/>
              </w:rPr>
              <w:t>2</w:t>
            </w:r>
          </w:p>
        </w:tc>
        <w:tc>
          <w:tcPr>
            <w:tcW w:w="2122" w:type="dxa"/>
            <w:noWrap w:val="0"/>
            <w:vAlign w:val="center"/>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eastAsia" w:ascii="宋体" w:hAnsi="宋体" w:eastAsia="宋体" w:cs="宋体"/>
                <w:b w:val="0"/>
                <w:bCs/>
                <w:color w:val="000000"/>
                <w:kern w:val="0"/>
                <w:sz w:val="21"/>
                <w:szCs w:val="21"/>
                <w:highlight w:val="none"/>
                <w:vertAlign w:val="baseline"/>
                <w:lang w:val="en-US" w:eastAsia="zh-CN" w:bidi="ar-SA"/>
              </w:rPr>
            </w:pPr>
            <w:r>
              <w:rPr>
                <w:rFonts w:hint="eastAsia" w:ascii="宋体" w:hAnsi="宋体" w:eastAsia="宋体" w:cs="宋体"/>
                <w:b w:val="0"/>
                <w:bCs/>
                <w:color w:val="000000"/>
                <w:sz w:val="21"/>
                <w:szCs w:val="21"/>
                <w:highlight w:val="none"/>
                <w:vertAlign w:val="baseline"/>
                <w:lang w:val="en-US" w:eastAsia="zh-CN"/>
              </w:rPr>
              <w:t>警示灯</w:t>
            </w:r>
          </w:p>
        </w:tc>
        <w:tc>
          <w:tcPr>
            <w:tcW w:w="5899" w:type="dxa"/>
            <w:noWrap w:val="0"/>
            <w:vAlign w:val="center"/>
          </w:tcPr>
          <w:p>
            <w:pPr>
              <w:pStyle w:val="4"/>
              <w:pageBreakBefore w:val="0"/>
              <w:numPr>
                <w:ilvl w:val="0"/>
                <w:numId w:val="0"/>
              </w:numPr>
              <w:kinsoku/>
              <w:overflowPunct/>
              <w:topLinePunct w:val="0"/>
              <w:bidi w:val="0"/>
              <w:adjustRightInd/>
              <w:snapToGrid/>
              <w:spacing w:line="240" w:lineRule="auto"/>
              <w:ind w:left="0" w:leftChars="0" w:firstLine="0" w:firstLineChars="0"/>
              <w:jc w:val="left"/>
              <w:rPr>
                <w:rFonts w:hint="eastAsia" w:ascii="宋体" w:hAnsi="宋体" w:eastAsia="宋体" w:cs="宋体"/>
                <w:b w:val="0"/>
                <w:bCs/>
                <w:color w:val="000000"/>
                <w:kern w:val="0"/>
                <w:sz w:val="21"/>
                <w:szCs w:val="21"/>
                <w:highlight w:val="none"/>
                <w:vertAlign w:val="baseline"/>
                <w:lang w:val="en-US" w:eastAsia="zh-CN" w:bidi="ar-SA"/>
              </w:rPr>
            </w:pPr>
            <w:r>
              <w:rPr>
                <w:rFonts w:hint="eastAsia" w:ascii="宋体" w:hAnsi="宋体" w:eastAsia="宋体" w:cs="宋体"/>
                <w:b w:val="0"/>
                <w:bCs/>
                <w:color w:val="000000"/>
                <w:sz w:val="21"/>
                <w:szCs w:val="21"/>
                <w:highlight w:val="none"/>
                <w:vertAlign w:val="baseline"/>
                <w:lang w:val="en-US" w:eastAsia="zh-CN"/>
              </w:rPr>
              <w:t>警示防水灯（含一期  每根3米 24V）</w:t>
            </w:r>
          </w:p>
        </w:tc>
        <w:tc>
          <w:tcPr>
            <w:tcW w:w="1068" w:type="dxa"/>
            <w:noWrap w:val="0"/>
            <w:vAlign w:val="center"/>
          </w:tcPr>
          <w:p>
            <w:pPr>
              <w:pageBreakBefore w:val="0"/>
              <w:widowControl/>
              <w:kinsoku/>
              <w:overflowPunct/>
              <w:topLinePunct w:val="0"/>
              <w:bidi w:val="0"/>
              <w:adjustRightInd/>
              <w:snapToGrid/>
              <w:spacing w:line="240" w:lineRule="auto"/>
              <w:jc w:val="center"/>
              <w:textAlignment w:val="center"/>
              <w:rPr>
                <w:rFonts w:hint="default"/>
                <w:color w:val="000000"/>
                <w:szCs w:val="21"/>
                <w:highlight w:val="none"/>
                <w:lang w:val="en-US" w:eastAsia="zh-CN"/>
              </w:rPr>
            </w:pPr>
            <w:r>
              <w:rPr>
                <w:rFonts w:hint="eastAsia"/>
                <w:color w:val="000000"/>
                <w:szCs w:val="21"/>
                <w:highlight w:val="none"/>
                <w:lang w:val="en-US" w:eastAsia="zh-CN"/>
              </w:rPr>
              <w:t>根</w:t>
            </w:r>
          </w:p>
        </w:tc>
      </w:tr>
    </w:tbl>
    <w:p>
      <w:pPr>
        <w:pageBreakBefore w:val="0"/>
        <w:kinsoku/>
        <w:overflowPunct/>
        <w:topLinePunct w:val="0"/>
        <w:bidi w:val="0"/>
        <w:adjustRightInd/>
        <w:snapToGrid/>
        <w:spacing w:line="420" w:lineRule="exact"/>
        <w:rPr>
          <w:rFonts w:hint="eastAsia" w:ascii="宋体" w:hAnsi="宋体" w:cs="宋体"/>
          <w:b/>
          <w:bCs/>
          <w:highlight w:val="none"/>
        </w:rPr>
      </w:pPr>
      <w:r>
        <w:rPr>
          <w:rFonts w:hint="eastAsia" w:ascii="宋体" w:hAnsi="宋体" w:cs="宋体"/>
          <w:b/>
          <w:bCs/>
          <w:highlight w:val="none"/>
          <w:lang w:val="en-US" w:eastAsia="zh-CN"/>
        </w:rPr>
        <w:t>注：园区内因交通事故造成的损坏，由采购人协助施工方进行追偿。</w:t>
      </w:r>
      <w:r>
        <w:rPr>
          <w:rFonts w:hint="eastAsia" w:ascii="宋体" w:hAnsi="宋体" w:cs="宋体"/>
          <w:b/>
          <w:bCs/>
          <w:highlight w:val="none"/>
          <w:lang w:val="en-US" w:eastAsia="zh-CN"/>
        </w:rPr>
        <w:br w:type="textWrapping"/>
      </w:r>
      <w:r>
        <w:rPr>
          <w:rFonts w:hint="eastAsia" w:ascii="宋体" w:hAnsi="宋体" w:cs="宋体"/>
          <w:b/>
          <w:bCs/>
          <w:highlight w:val="none"/>
        </w:rPr>
        <w:t>五、考核方案</w:t>
      </w:r>
    </w:p>
    <w:p>
      <w:pPr>
        <w:pageBreakBefore w:val="0"/>
        <w:kinsoku/>
        <w:wordWrap w:val="0"/>
        <w:overflowPunct/>
        <w:topLinePunct w:val="0"/>
        <w:bidi w:val="0"/>
        <w:adjustRightInd/>
        <w:snapToGrid/>
        <w:spacing w:line="420" w:lineRule="exact"/>
        <w:jc w:val="right"/>
        <w:rPr>
          <w:rFonts w:ascii="宋体" w:hAnsi="宋体"/>
          <w:color w:val="000000"/>
          <w:szCs w:val="21"/>
          <w:highlight w:val="none"/>
        </w:rPr>
      </w:pPr>
      <w:r>
        <w:rPr>
          <w:rFonts w:hint="eastAsia" w:ascii="宋体" w:hAnsi="宋体"/>
          <w:color w:val="000000"/>
          <w:szCs w:val="21"/>
          <w:highlight w:val="none"/>
        </w:rPr>
        <w:t>考核时间：2022年  月  日</w:t>
      </w:r>
    </w:p>
    <w:tbl>
      <w:tblPr>
        <w:tblStyle w:val="12"/>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85"/>
        <w:gridCol w:w="2631"/>
        <w:gridCol w:w="3513"/>
        <w:gridCol w:w="756"/>
        <w:gridCol w:w="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09"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序号</w:t>
            </w:r>
          </w:p>
        </w:tc>
        <w:tc>
          <w:tcPr>
            <w:tcW w:w="1085"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维护内容</w:t>
            </w:r>
          </w:p>
        </w:tc>
        <w:tc>
          <w:tcPr>
            <w:tcW w:w="6144" w:type="dxa"/>
            <w:gridSpan w:val="2"/>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评分标准</w:t>
            </w:r>
          </w:p>
        </w:tc>
        <w:tc>
          <w:tcPr>
            <w:tcW w:w="756"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扣分</w:t>
            </w:r>
          </w:p>
        </w:tc>
        <w:tc>
          <w:tcPr>
            <w:tcW w:w="731"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709"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1</w:t>
            </w:r>
          </w:p>
        </w:tc>
        <w:tc>
          <w:tcPr>
            <w:tcW w:w="1085" w:type="dxa"/>
            <w:vMerge w:val="restart"/>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外场、设备维护</w:t>
            </w:r>
          </w:p>
        </w:tc>
        <w:tc>
          <w:tcPr>
            <w:tcW w:w="6144" w:type="dxa"/>
            <w:gridSpan w:val="2"/>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每月度根据巡检维保人员要求配备项目经理1名，其他维护人员2名及以上，未能按照</w:t>
            </w:r>
            <w:r>
              <w:rPr>
                <w:rFonts w:hint="eastAsia"/>
                <w:color w:val="000000"/>
                <w:szCs w:val="21"/>
                <w:highlight w:val="none"/>
                <w:lang w:eastAsia="zh-CN"/>
              </w:rPr>
              <w:t>采购人</w:t>
            </w:r>
            <w:r>
              <w:rPr>
                <w:rFonts w:hint="eastAsia"/>
                <w:color w:val="000000"/>
                <w:szCs w:val="21"/>
                <w:highlight w:val="none"/>
              </w:rPr>
              <w:t>要求，扣2分。</w:t>
            </w:r>
          </w:p>
        </w:tc>
        <w:tc>
          <w:tcPr>
            <w:tcW w:w="756" w:type="dxa"/>
            <w:vMerge w:val="restart"/>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c>
          <w:tcPr>
            <w:tcW w:w="731" w:type="dxa"/>
            <w:vMerge w:val="restart"/>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2</w:t>
            </w:r>
          </w:p>
        </w:tc>
        <w:tc>
          <w:tcPr>
            <w:tcW w:w="1085" w:type="dxa"/>
            <w:vMerge w:val="continue"/>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tc>
        <w:tc>
          <w:tcPr>
            <w:tcW w:w="6144" w:type="dxa"/>
            <w:gridSpan w:val="2"/>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每月度巡检一次，每发现一件/次扣1分。</w:t>
            </w:r>
          </w:p>
        </w:tc>
        <w:tc>
          <w:tcPr>
            <w:tcW w:w="756" w:type="dxa"/>
            <w:vMerge w:val="continue"/>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c>
          <w:tcPr>
            <w:tcW w:w="731" w:type="dxa"/>
            <w:vMerge w:val="continue"/>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tcBorders>
              <w:bottom w:val="single" w:color="auto" w:sz="4" w:space="0"/>
            </w:tcBorders>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3</w:t>
            </w:r>
          </w:p>
        </w:tc>
        <w:tc>
          <w:tcPr>
            <w:tcW w:w="1085" w:type="dxa"/>
            <w:vMerge w:val="continue"/>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tc>
        <w:tc>
          <w:tcPr>
            <w:tcW w:w="6144" w:type="dxa"/>
            <w:gridSpan w:val="2"/>
            <w:tcBorders>
              <w:bottom w:val="single" w:color="auto" w:sz="4" w:space="0"/>
            </w:tcBorders>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按照招标文件规定的时限修复，每拖延一天扣1分，依次类推。</w:t>
            </w:r>
          </w:p>
        </w:tc>
        <w:tc>
          <w:tcPr>
            <w:tcW w:w="756" w:type="dxa"/>
            <w:tcBorders>
              <w:bottom w:val="single" w:color="auto" w:sz="4" w:space="0"/>
            </w:tcBorders>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c>
          <w:tcPr>
            <w:tcW w:w="731" w:type="dxa"/>
            <w:tcBorders>
              <w:bottom w:val="single" w:color="auto" w:sz="4" w:space="0"/>
            </w:tcBorders>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Merge w:val="restart"/>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4</w:t>
            </w:r>
          </w:p>
        </w:tc>
        <w:tc>
          <w:tcPr>
            <w:tcW w:w="1085" w:type="dxa"/>
            <w:vMerge w:val="continue"/>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tc>
        <w:tc>
          <w:tcPr>
            <w:tcW w:w="6144" w:type="dxa"/>
            <w:gridSpan w:val="2"/>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易损件的更换和补充（包含减速带、警示桩等等）及时，每延迟一天扣1分，依次类推。</w:t>
            </w:r>
          </w:p>
        </w:tc>
        <w:tc>
          <w:tcPr>
            <w:tcW w:w="756" w:type="dxa"/>
            <w:vMerge w:val="restart"/>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c>
          <w:tcPr>
            <w:tcW w:w="731" w:type="dxa"/>
            <w:vMerge w:val="restart"/>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709" w:type="dxa"/>
            <w:vMerge w:val="continue"/>
            <w:noWrap w:val="0"/>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tc>
        <w:tc>
          <w:tcPr>
            <w:tcW w:w="1085" w:type="dxa"/>
            <w:vMerge w:val="continue"/>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tc>
        <w:tc>
          <w:tcPr>
            <w:tcW w:w="6144" w:type="dxa"/>
            <w:gridSpan w:val="2"/>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在维保期间，按</w:t>
            </w:r>
            <w:r>
              <w:rPr>
                <w:rFonts w:hint="eastAsia"/>
                <w:color w:val="000000"/>
                <w:szCs w:val="21"/>
                <w:highlight w:val="none"/>
                <w:lang w:eastAsia="zh-CN"/>
              </w:rPr>
              <w:t>采购人</w:t>
            </w:r>
            <w:r>
              <w:rPr>
                <w:rFonts w:hint="eastAsia"/>
                <w:color w:val="000000"/>
                <w:szCs w:val="21"/>
                <w:highlight w:val="none"/>
              </w:rPr>
              <w:t>指定的通讯方式发送维保指令未回复的，每发生一次，扣0.5分，如造成严重后果的，视情扣5—10分，并承担相应法律责任。</w:t>
            </w:r>
          </w:p>
        </w:tc>
        <w:tc>
          <w:tcPr>
            <w:tcW w:w="756" w:type="dxa"/>
            <w:vMerge w:val="continue"/>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c>
          <w:tcPr>
            <w:tcW w:w="731" w:type="dxa"/>
            <w:vMerge w:val="continue"/>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709"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5</w:t>
            </w:r>
          </w:p>
        </w:tc>
        <w:tc>
          <w:tcPr>
            <w:tcW w:w="1085" w:type="dxa"/>
            <w:vMerge w:val="continue"/>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tc>
        <w:tc>
          <w:tcPr>
            <w:tcW w:w="6144" w:type="dxa"/>
            <w:gridSpan w:val="2"/>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撞杆修复时间白天6－8个小时内更换，夜间8－12个小时内更换，延迟一次扣1分，未及时更换造成交通事故的，扣10-20分。</w:t>
            </w:r>
          </w:p>
        </w:tc>
        <w:tc>
          <w:tcPr>
            <w:tcW w:w="756" w:type="dxa"/>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c>
          <w:tcPr>
            <w:tcW w:w="731" w:type="dxa"/>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6</w:t>
            </w:r>
          </w:p>
        </w:tc>
        <w:tc>
          <w:tcPr>
            <w:tcW w:w="1085" w:type="dxa"/>
            <w:vMerge w:val="continue"/>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tc>
        <w:tc>
          <w:tcPr>
            <w:tcW w:w="6144" w:type="dxa"/>
            <w:gridSpan w:val="2"/>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因修复或设备故障，造成投诉和不良影响的，每发生一次扣2分。</w:t>
            </w:r>
          </w:p>
        </w:tc>
        <w:tc>
          <w:tcPr>
            <w:tcW w:w="756" w:type="dxa"/>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c>
          <w:tcPr>
            <w:tcW w:w="731" w:type="dxa"/>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ign w:val="center"/>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r>
              <w:rPr>
                <w:rFonts w:hint="eastAsia"/>
                <w:color w:val="000000"/>
                <w:szCs w:val="21"/>
                <w:highlight w:val="none"/>
              </w:rPr>
              <w:t>7</w:t>
            </w:r>
          </w:p>
        </w:tc>
        <w:tc>
          <w:tcPr>
            <w:tcW w:w="1085" w:type="dxa"/>
            <w:vMerge w:val="continue"/>
            <w:noWrap w:val="0"/>
            <w:vAlign w:val="top"/>
          </w:tcPr>
          <w:p>
            <w:pPr>
              <w:pageBreakBefore w:val="0"/>
              <w:widowControl/>
              <w:kinsoku/>
              <w:overflowPunct/>
              <w:topLinePunct w:val="0"/>
              <w:bidi w:val="0"/>
              <w:adjustRightInd/>
              <w:snapToGrid/>
              <w:spacing w:line="240" w:lineRule="auto"/>
              <w:jc w:val="center"/>
              <w:textAlignment w:val="center"/>
              <w:rPr>
                <w:rFonts w:hint="eastAsia"/>
                <w:color w:val="000000"/>
                <w:szCs w:val="21"/>
                <w:highlight w:val="none"/>
              </w:rPr>
            </w:pPr>
          </w:p>
        </w:tc>
        <w:tc>
          <w:tcPr>
            <w:tcW w:w="6144" w:type="dxa"/>
            <w:gridSpan w:val="2"/>
            <w:noWrap w:val="0"/>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因基础设备未及时修复，造成社会车辆未经授权进入园区，每发生一次扣1分。</w:t>
            </w:r>
          </w:p>
        </w:tc>
        <w:tc>
          <w:tcPr>
            <w:tcW w:w="756" w:type="dxa"/>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c>
          <w:tcPr>
            <w:tcW w:w="731" w:type="dxa"/>
            <w:noWrap/>
            <w:vAlign w:val="center"/>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7938" w:type="dxa"/>
            <w:gridSpan w:val="4"/>
            <w:noWrap/>
            <w:vAlign w:val="top"/>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外场巡检考核总得分：</w:t>
            </w:r>
          </w:p>
        </w:tc>
        <w:tc>
          <w:tcPr>
            <w:tcW w:w="1487" w:type="dxa"/>
            <w:gridSpan w:val="2"/>
            <w:noWrap/>
            <w:vAlign w:val="top"/>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25" w:type="dxa"/>
            <w:gridSpan w:val="3"/>
            <w:noWrap w:val="0"/>
            <w:vAlign w:val="top"/>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项目负责人（签字）：</w:t>
            </w:r>
          </w:p>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年  月  日</w:t>
            </w:r>
          </w:p>
        </w:tc>
        <w:tc>
          <w:tcPr>
            <w:tcW w:w="5000" w:type="dxa"/>
            <w:gridSpan w:val="3"/>
            <w:noWrap w:val="0"/>
            <w:vAlign w:val="top"/>
          </w:tcPr>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主管部门（盖章）</w:t>
            </w:r>
          </w:p>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p>
          <w:p>
            <w:pPr>
              <w:pageBreakBefore w:val="0"/>
              <w:widowControl/>
              <w:kinsoku/>
              <w:overflowPunct/>
              <w:topLinePunct w:val="0"/>
              <w:bidi w:val="0"/>
              <w:adjustRightInd/>
              <w:snapToGrid/>
              <w:spacing w:line="240" w:lineRule="auto"/>
              <w:jc w:val="left"/>
              <w:textAlignment w:val="center"/>
              <w:rPr>
                <w:rFonts w:hint="eastAsia"/>
                <w:color w:val="000000"/>
                <w:szCs w:val="21"/>
                <w:highlight w:val="none"/>
              </w:rPr>
            </w:pPr>
            <w:r>
              <w:rPr>
                <w:rFonts w:hint="eastAsia"/>
                <w:color w:val="000000"/>
                <w:szCs w:val="21"/>
                <w:highlight w:val="none"/>
              </w:rPr>
              <w:t>年  月  日</w:t>
            </w:r>
          </w:p>
        </w:tc>
      </w:tr>
    </w:tbl>
    <w:p>
      <w:pPr>
        <w:pStyle w:val="3"/>
        <w:pageBreakBefore w:val="0"/>
        <w:numPr>
          <w:ilvl w:val="0"/>
          <w:numId w:val="5"/>
        </w:numPr>
        <w:kinsoku/>
        <w:overflowPunct/>
        <w:topLinePunct w:val="0"/>
        <w:bidi w:val="0"/>
        <w:adjustRightInd/>
        <w:snapToGrid/>
        <w:spacing w:before="0" w:line="420" w:lineRule="exact"/>
        <w:jc w:val="both"/>
        <w:rPr>
          <w:rFonts w:hint="eastAsia" w:ascii="宋体" w:hAnsi="宋体" w:cs="宋体"/>
          <w:b w:val="0"/>
          <w:color w:val="000000"/>
          <w:sz w:val="21"/>
          <w:szCs w:val="21"/>
          <w:highlight w:val="none"/>
        </w:rPr>
      </w:pPr>
      <w:r>
        <w:rPr>
          <w:rFonts w:hint="eastAsia" w:ascii="宋体" w:hAnsi="宋体" w:cs="宋体"/>
          <w:bCs/>
          <w:kern w:val="2"/>
          <w:sz w:val="21"/>
          <w:szCs w:val="21"/>
          <w:highlight w:val="none"/>
        </w:rPr>
        <w:t>人员</w:t>
      </w:r>
      <w:r>
        <w:rPr>
          <w:rFonts w:hint="eastAsia" w:ascii="宋体" w:hAnsi="宋体" w:cs="宋体"/>
          <w:bCs/>
          <w:kern w:val="2"/>
          <w:sz w:val="21"/>
          <w:szCs w:val="21"/>
          <w:highlight w:val="none"/>
          <w:lang w:val="en-US" w:eastAsia="zh-CN"/>
        </w:rPr>
        <w:t>及</w:t>
      </w:r>
      <w:r>
        <w:rPr>
          <w:rFonts w:hint="eastAsia" w:ascii="宋体" w:hAnsi="宋体" w:cs="宋体"/>
          <w:bCs/>
          <w:kern w:val="2"/>
          <w:sz w:val="21"/>
          <w:szCs w:val="21"/>
          <w:highlight w:val="none"/>
        </w:rPr>
        <w:t>车辆要求：</w:t>
      </w:r>
      <w:r>
        <w:rPr>
          <w:rFonts w:hint="eastAsia" w:cs="宋体"/>
          <w:b w:val="0"/>
          <w:color w:val="000000"/>
          <w:sz w:val="21"/>
          <w:szCs w:val="21"/>
          <w:highlight w:val="none"/>
          <w:lang w:eastAsia="zh-CN"/>
        </w:rPr>
        <w:t>供应商</w:t>
      </w:r>
      <w:r>
        <w:rPr>
          <w:rFonts w:hint="eastAsia" w:ascii="宋体" w:hAnsi="宋体" w:cs="宋体"/>
          <w:b w:val="0"/>
          <w:color w:val="000000"/>
          <w:sz w:val="21"/>
          <w:szCs w:val="21"/>
          <w:highlight w:val="none"/>
        </w:rPr>
        <w:t>需配备 1 名项目经理，具有较强的协调组织能力；还需配备一支施工队伍及车辆，确保易损设备24小时内完成更换维护。</w:t>
      </w:r>
    </w:p>
    <w:p>
      <w:pPr>
        <w:pStyle w:val="4"/>
        <w:pageBreakBefore w:val="0"/>
        <w:numPr>
          <w:ilvl w:val="0"/>
          <w:numId w:val="0"/>
        </w:numPr>
        <w:kinsoku/>
        <w:overflowPunct/>
        <w:topLinePunct w:val="0"/>
        <w:bidi w:val="0"/>
        <w:adjustRightInd/>
        <w:snapToGrid/>
        <w:spacing w:line="420" w:lineRule="exact"/>
        <w:ind w:firstLine="0"/>
        <w:rPr>
          <w:rFonts w:hint="default" w:hAnsi="宋体" w:cs="宋体"/>
          <w:b/>
          <w:color w:val="000000"/>
          <w:sz w:val="21"/>
          <w:szCs w:val="21"/>
          <w:highlight w:val="none"/>
          <w:lang w:val="en-US" w:eastAsia="zh-CN"/>
        </w:rPr>
      </w:pPr>
      <w:r>
        <w:rPr>
          <w:rFonts w:hint="eastAsia" w:hAnsi="宋体" w:cs="宋体"/>
          <w:b/>
          <w:color w:val="000000"/>
          <w:sz w:val="21"/>
          <w:szCs w:val="21"/>
          <w:highlight w:val="none"/>
          <w:lang w:val="en-US" w:eastAsia="zh-CN"/>
        </w:rPr>
        <w:t>七、提供备件要求：</w:t>
      </w:r>
      <w:r>
        <w:rPr>
          <w:rFonts w:hint="eastAsia" w:hAnsi="宋体" w:cs="宋体"/>
          <w:b/>
          <w:color w:val="000000"/>
          <w:kern w:val="0"/>
          <w:sz w:val="21"/>
          <w:szCs w:val="21"/>
          <w:highlight w:val="none"/>
          <w:lang w:val="en-US" w:eastAsia="zh-CN" w:bidi="ar-SA"/>
        </w:rPr>
        <w:t>供应商</w:t>
      </w:r>
      <w:r>
        <w:rPr>
          <w:rFonts w:hint="eastAsia" w:ascii="宋体" w:hAnsi="宋体" w:eastAsia="宋体" w:cs="宋体"/>
          <w:b/>
          <w:color w:val="000000"/>
          <w:kern w:val="0"/>
          <w:sz w:val="21"/>
          <w:szCs w:val="21"/>
          <w:highlight w:val="none"/>
          <w:lang w:val="en-US" w:eastAsia="zh-CN" w:bidi="ar-SA"/>
        </w:rPr>
        <w:t>需提前准备以下备件，</w:t>
      </w:r>
      <w:r>
        <w:rPr>
          <w:rFonts w:hint="eastAsia" w:ascii="宋体" w:hAnsi="宋体" w:cs="宋体"/>
          <w:b/>
          <w:color w:val="000000"/>
          <w:kern w:val="0"/>
          <w:sz w:val="21"/>
          <w:szCs w:val="21"/>
          <w:highlight w:val="none"/>
          <w:lang w:val="en-US" w:eastAsia="zh-CN" w:bidi="ar-SA"/>
        </w:rPr>
        <w:t>成交</w:t>
      </w:r>
      <w:r>
        <w:rPr>
          <w:rFonts w:hint="eastAsia" w:ascii="宋体" w:hAnsi="宋体" w:eastAsia="宋体" w:cs="宋体"/>
          <w:b/>
          <w:color w:val="000000"/>
          <w:kern w:val="0"/>
          <w:sz w:val="21"/>
          <w:szCs w:val="21"/>
          <w:highlight w:val="none"/>
          <w:lang w:val="en-US" w:eastAsia="zh-CN" w:bidi="ar-SA"/>
        </w:rPr>
        <w:t>后7个工作日内交到指定仓库,以便随时进行备件更换。</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7200"/>
        <w:gridCol w:w="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序号</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名称</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电配套电机（与设备配套）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控制器（与设备配套）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3</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雷达（与设备配套）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4</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闸机杆（与设备配套）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5</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核心交换机（与设备配套）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6</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识别相机（与设备配套）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eastAsia"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7</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屏显控制板（与设备配套）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eastAsia"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8</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闸机显示屏（与设备配套）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eastAsia"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9</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eastAsia"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闸机扩音喇叭（与设备配套）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eastAsia"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10</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平台应急服务器（系统备份随时应急替换）</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11</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钢制减速带</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12</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普通减速带</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13</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1.3米护栏</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eastAsia"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14</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护栏立柱</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15</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安防筒型摄像头（与设备配套）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16</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安防球型摄像头（与设备配套）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17</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分布式终端盒（与设备配套）</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18</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爆闪灯</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19</w:t>
            </w:r>
          </w:p>
        </w:tc>
        <w:tc>
          <w:tcPr>
            <w:tcW w:w="7200" w:type="dxa"/>
            <w:noWrap w:val="0"/>
            <w:vAlign w:val="center"/>
          </w:tcPr>
          <w:p>
            <w:pPr>
              <w:pStyle w:val="4"/>
              <w:pageBreakBefore w:val="0"/>
              <w:numPr>
                <w:ilvl w:val="0"/>
                <w:numId w:val="0"/>
              </w:numPr>
              <w:kinsoku/>
              <w:overflowPunct/>
              <w:topLinePunct w:val="0"/>
              <w:bidi w:val="0"/>
              <w:adjustRightInd/>
              <w:snapToGrid/>
              <w:spacing w:line="240" w:lineRule="auto"/>
              <w:jc w:val="left"/>
              <w:rPr>
                <w:rFonts w:hint="eastAsia" w:ascii="宋体" w:hAnsi="宋体" w:eastAsia="宋体" w:cs="宋体"/>
                <w:b w:val="0"/>
                <w:bCs/>
                <w:color w:val="000000"/>
                <w:sz w:val="21"/>
                <w:szCs w:val="21"/>
                <w:highlight w:val="none"/>
                <w:vertAlign w:val="baseline"/>
                <w:lang w:val="en-US" w:eastAsia="zh-CN"/>
              </w:rPr>
            </w:pPr>
            <w:r>
              <w:rPr>
                <w:rFonts w:hint="eastAsia" w:ascii="宋体" w:hAnsi="宋体" w:eastAsia="宋体" w:cs="宋体"/>
                <w:b w:val="0"/>
                <w:bCs/>
                <w:color w:val="000000"/>
                <w:sz w:val="21"/>
                <w:szCs w:val="21"/>
                <w:highlight w:val="none"/>
                <w:vertAlign w:val="baseline"/>
                <w:lang w:val="en-US" w:eastAsia="zh-CN"/>
              </w:rPr>
              <w:t>警示防水灯（含一期  每根3米 24V）</w:t>
            </w:r>
          </w:p>
        </w:tc>
        <w:tc>
          <w:tcPr>
            <w:tcW w:w="903" w:type="dxa"/>
            <w:noWrap w:val="0"/>
            <w:vAlign w:val="center"/>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20</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水马</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21</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防撞桶</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ind w:left="0" w:leftChars="0" w:firstLine="0" w:firstLineChars="0"/>
              <w:jc w:val="center"/>
              <w:rPr>
                <w:rFonts w:hint="default" w:ascii="宋体" w:hAnsi="宋体" w:cs="宋体"/>
                <w:b w:val="0"/>
                <w:bCs/>
                <w:color w:val="000000"/>
                <w:kern w:val="0"/>
                <w:sz w:val="21"/>
                <w:szCs w:val="21"/>
                <w:highlight w:val="none"/>
                <w:vertAlign w:val="baseline"/>
                <w:lang w:val="en-US" w:eastAsia="zh-CN" w:bidi="ar-SA"/>
              </w:rPr>
            </w:pPr>
            <w:r>
              <w:rPr>
                <w:rFonts w:hint="eastAsia" w:hAnsi="宋体" w:cs="宋体"/>
                <w:b w:val="0"/>
                <w:bCs/>
                <w:color w:val="000000"/>
                <w:sz w:val="21"/>
                <w:szCs w:val="21"/>
                <w:highlight w:val="none"/>
                <w:vertAlign w:val="baseline"/>
                <w:lang w:val="en-US" w:eastAsia="zh-CN"/>
              </w:rPr>
              <w:t>22</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伸缩1.2米护栏</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23</w:t>
            </w:r>
          </w:p>
        </w:tc>
        <w:tc>
          <w:tcPr>
            <w:tcW w:w="7200" w:type="dxa"/>
            <w:noWrap w:val="0"/>
            <w:vAlign w:val="top"/>
          </w:tcPr>
          <w:p>
            <w:pPr>
              <w:pStyle w:val="4"/>
              <w:pageBreakBefore w:val="0"/>
              <w:numPr>
                <w:ilvl w:val="0"/>
                <w:numId w:val="0"/>
              </w:numPr>
              <w:kinsoku/>
              <w:overflowPunct/>
              <w:topLinePunct w:val="0"/>
              <w:bidi w:val="0"/>
              <w:adjustRightInd/>
              <w:snapToGrid/>
              <w:spacing w:line="240" w:lineRule="auto"/>
              <w:jc w:val="left"/>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配电箱</w:t>
            </w:r>
          </w:p>
        </w:tc>
        <w:tc>
          <w:tcPr>
            <w:tcW w:w="903" w:type="dxa"/>
            <w:noWrap w:val="0"/>
            <w:vAlign w:val="top"/>
          </w:tcPr>
          <w:p>
            <w:pPr>
              <w:pStyle w:val="4"/>
              <w:pageBreakBefore w:val="0"/>
              <w:numPr>
                <w:ilvl w:val="0"/>
                <w:numId w:val="0"/>
              </w:numPr>
              <w:kinsoku/>
              <w:overflowPunct/>
              <w:topLinePunct w:val="0"/>
              <w:bidi w:val="0"/>
              <w:adjustRightInd/>
              <w:snapToGrid/>
              <w:spacing w:line="240" w:lineRule="auto"/>
              <w:jc w:val="center"/>
              <w:rPr>
                <w:rFonts w:hint="default" w:hAnsi="宋体" w:cs="宋体"/>
                <w:b w:val="0"/>
                <w:bCs/>
                <w:color w:val="000000"/>
                <w:sz w:val="21"/>
                <w:szCs w:val="21"/>
                <w:highlight w:val="none"/>
                <w:vertAlign w:val="baseline"/>
                <w:lang w:val="en-US" w:eastAsia="zh-CN"/>
              </w:rPr>
            </w:pPr>
            <w:r>
              <w:rPr>
                <w:rFonts w:hint="eastAsia" w:hAnsi="宋体" w:cs="宋体"/>
                <w:b w:val="0"/>
                <w:bCs/>
                <w:color w:val="000000"/>
                <w:sz w:val="21"/>
                <w:szCs w:val="21"/>
                <w:highlight w:val="none"/>
                <w:vertAlign w:val="baseline"/>
                <w:lang w:val="en-US" w:eastAsia="zh-CN"/>
              </w:rPr>
              <w:t>1</w:t>
            </w:r>
          </w:p>
        </w:tc>
      </w:tr>
    </w:tbl>
    <w:p>
      <w:pPr>
        <w:pageBreakBefore w:val="0"/>
        <w:kinsoku/>
        <w:overflowPunct/>
        <w:topLinePunct w:val="0"/>
        <w:bidi w:val="0"/>
        <w:adjustRightInd/>
        <w:snapToGrid/>
        <w:spacing w:line="420" w:lineRule="exact"/>
        <w:rPr>
          <w:rFonts w:hint="eastAsia" w:hAnsi="宋体" w:cs="宋体"/>
          <w:b/>
          <w:bCs/>
          <w:szCs w:val="21"/>
          <w:highlight w:val="none"/>
          <w:lang w:val="en-US" w:eastAsia="zh-CN"/>
        </w:rPr>
      </w:pPr>
      <w:r>
        <w:rPr>
          <w:rFonts w:hint="eastAsia" w:hAnsi="宋体" w:cs="宋体"/>
          <w:b/>
          <w:bCs/>
          <w:szCs w:val="21"/>
          <w:highlight w:val="none"/>
          <w:lang w:val="en-US" w:eastAsia="zh-CN"/>
        </w:rPr>
        <w:t>八、售后服务</w:t>
      </w:r>
    </w:p>
    <w:p>
      <w:pPr>
        <w:pStyle w:val="3"/>
        <w:pageBreakBefore w:val="0"/>
        <w:kinsoku/>
        <w:overflowPunct/>
        <w:topLinePunct w:val="0"/>
        <w:bidi w:val="0"/>
        <w:adjustRightInd/>
        <w:snapToGrid/>
        <w:spacing w:before="0" w:line="420" w:lineRule="exact"/>
        <w:ind w:firstLine="420" w:firstLineChars="200"/>
        <w:jc w:val="left"/>
        <w:rPr>
          <w:rFonts w:hint="eastAsia" w:ascii="Times New Roman" w:hAnsi="宋体" w:eastAsia="宋体" w:cs="宋体"/>
          <w:b w:val="0"/>
          <w:bCs w:val="0"/>
          <w:kern w:val="2"/>
          <w:sz w:val="21"/>
          <w:szCs w:val="21"/>
          <w:highlight w:val="none"/>
          <w:lang w:val="en-US" w:eastAsia="zh-CN" w:bidi="ar-SA"/>
        </w:rPr>
      </w:pPr>
      <w:r>
        <w:rPr>
          <w:rFonts w:hint="eastAsia" w:ascii="宋体" w:hAnsi="宋体" w:eastAsia="宋体" w:cs="宋体"/>
          <w:b w:val="0"/>
          <w:bCs w:val="0"/>
          <w:color w:val="000000"/>
          <w:kern w:val="2"/>
          <w:sz w:val="21"/>
          <w:szCs w:val="21"/>
          <w:highlight w:val="none"/>
          <w:lang w:val="en-US" w:eastAsia="zh-CN" w:bidi="ar-SA"/>
        </w:rPr>
        <w:t>1、</w:t>
      </w:r>
      <w:r>
        <w:rPr>
          <w:rFonts w:hint="eastAsia" w:ascii="宋体" w:hAnsi="宋体" w:cs="宋体"/>
          <w:b w:val="0"/>
          <w:bCs w:val="0"/>
          <w:color w:val="000000"/>
          <w:kern w:val="2"/>
          <w:sz w:val="21"/>
          <w:szCs w:val="21"/>
          <w:highlight w:val="none"/>
          <w:lang w:val="en-US" w:eastAsia="zh-CN" w:bidi="ar-SA"/>
        </w:rPr>
        <w:t>供应商</w:t>
      </w:r>
      <w:r>
        <w:rPr>
          <w:rFonts w:hint="eastAsia" w:ascii="宋体" w:hAnsi="宋体" w:eastAsia="宋体" w:cs="宋体"/>
          <w:b w:val="0"/>
          <w:bCs w:val="0"/>
          <w:color w:val="000000"/>
          <w:kern w:val="2"/>
          <w:sz w:val="21"/>
          <w:szCs w:val="21"/>
          <w:highlight w:val="none"/>
          <w:lang w:val="en-US" w:eastAsia="zh-CN" w:bidi="ar-SA"/>
        </w:rPr>
        <w:t>需确定固定抢修电话，确保7×24小时畅通，并在24小时内完成“安庆高新区封闭交通工程运维服务项目</w:t>
      </w:r>
      <w:r>
        <w:rPr>
          <w:rFonts w:hint="eastAsia" w:ascii="Times New Roman" w:hAnsi="宋体" w:eastAsia="宋体" w:cs="宋体"/>
          <w:b w:val="0"/>
          <w:bCs w:val="0"/>
          <w:kern w:val="2"/>
          <w:sz w:val="21"/>
          <w:szCs w:val="21"/>
          <w:highlight w:val="none"/>
          <w:lang w:val="en-US" w:eastAsia="zh-CN" w:bidi="ar-SA"/>
        </w:rPr>
        <w:t>”范围内的易损件更换维护工作。如因为</w:t>
      </w:r>
      <w:r>
        <w:rPr>
          <w:rFonts w:hint="eastAsia" w:ascii="Times New Roman" w:hAnsi="宋体" w:cs="宋体"/>
          <w:b w:val="0"/>
          <w:bCs w:val="0"/>
          <w:kern w:val="2"/>
          <w:sz w:val="21"/>
          <w:szCs w:val="21"/>
          <w:highlight w:val="none"/>
          <w:lang w:val="en-US" w:eastAsia="zh-CN" w:bidi="ar-SA"/>
        </w:rPr>
        <w:t>成交供应商</w:t>
      </w:r>
      <w:r>
        <w:rPr>
          <w:rFonts w:hint="eastAsia" w:ascii="Times New Roman" w:hAnsi="宋体" w:eastAsia="宋体" w:cs="宋体"/>
          <w:b w:val="0"/>
          <w:bCs w:val="0"/>
          <w:kern w:val="2"/>
          <w:sz w:val="21"/>
          <w:szCs w:val="21"/>
          <w:highlight w:val="none"/>
          <w:lang w:val="en-US" w:eastAsia="zh-CN" w:bidi="ar-SA"/>
        </w:rPr>
        <w:t>维护不到位等原因造成较大事故或较大经济损失的，由</w:t>
      </w:r>
      <w:r>
        <w:rPr>
          <w:rFonts w:hint="eastAsia" w:ascii="Times New Roman" w:hAnsi="宋体" w:cs="宋体"/>
          <w:b w:val="0"/>
          <w:bCs w:val="0"/>
          <w:kern w:val="2"/>
          <w:sz w:val="21"/>
          <w:szCs w:val="21"/>
          <w:highlight w:val="none"/>
          <w:lang w:val="en-US" w:eastAsia="zh-CN" w:bidi="ar-SA"/>
        </w:rPr>
        <w:t>成交供应商</w:t>
      </w:r>
      <w:r>
        <w:rPr>
          <w:rFonts w:hint="eastAsia" w:ascii="Times New Roman" w:hAnsi="宋体" w:eastAsia="宋体" w:cs="宋体"/>
          <w:b w:val="0"/>
          <w:bCs w:val="0"/>
          <w:kern w:val="2"/>
          <w:sz w:val="21"/>
          <w:szCs w:val="21"/>
          <w:highlight w:val="none"/>
          <w:lang w:val="en-US" w:eastAsia="zh-CN" w:bidi="ar-SA"/>
        </w:rPr>
        <w:t xml:space="preserve">承担。                                              </w:t>
      </w:r>
    </w:p>
    <w:p>
      <w:pPr>
        <w:pStyle w:val="3"/>
        <w:pageBreakBefore w:val="0"/>
        <w:kinsoku/>
        <w:overflowPunct/>
        <w:topLinePunct w:val="0"/>
        <w:bidi w:val="0"/>
        <w:adjustRightInd/>
        <w:snapToGrid/>
        <w:spacing w:before="0" w:line="420" w:lineRule="exact"/>
        <w:ind w:firstLine="420" w:firstLineChars="200"/>
        <w:jc w:val="left"/>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color w:val="000000"/>
          <w:kern w:val="2"/>
          <w:sz w:val="21"/>
          <w:szCs w:val="21"/>
          <w:highlight w:val="none"/>
          <w:lang w:val="en-US" w:eastAsia="zh-CN" w:bidi="ar-SA"/>
        </w:rPr>
        <w:t>2、</w:t>
      </w:r>
      <w:r>
        <w:rPr>
          <w:rFonts w:hint="eastAsia" w:ascii="宋体" w:hAnsi="宋体" w:cs="宋体"/>
          <w:b w:val="0"/>
          <w:bCs w:val="0"/>
          <w:color w:val="000000"/>
          <w:kern w:val="2"/>
          <w:sz w:val="21"/>
          <w:szCs w:val="21"/>
          <w:highlight w:val="none"/>
          <w:lang w:val="en-US" w:eastAsia="zh-CN" w:bidi="ar-SA"/>
        </w:rPr>
        <w:t>成交供应商</w:t>
      </w:r>
      <w:r>
        <w:rPr>
          <w:rFonts w:hint="eastAsia" w:ascii="宋体" w:hAnsi="宋体" w:eastAsia="宋体" w:cs="宋体"/>
          <w:b w:val="0"/>
          <w:bCs w:val="0"/>
          <w:color w:val="000000"/>
          <w:kern w:val="2"/>
          <w:sz w:val="21"/>
          <w:szCs w:val="21"/>
          <w:highlight w:val="none"/>
          <w:lang w:val="en-US" w:eastAsia="zh-CN" w:bidi="ar-SA"/>
        </w:rPr>
        <w:t xml:space="preserve">每天需要巡检护栏及封闭化一、二期设备运转情况形成报告。                     </w:t>
      </w:r>
    </w:p>
    <w:p>
      <w:pPr>
        <w:pStyle w:val="3"/>
        <w:pageBreakBefore w:val="0"/>
        <w:kinsoku/>
        <w:overflowPunct/>
        <w:topLinePunct w:val="0"/>
        <w:bidi w:val="0"/>
        <w:adjustRightInd/>
        <w:snapToGrid/>
        <w:spacing w:before="0" w:line="420" w:lineRule="exact"/>
        <w:ind w:firstLine="420" w:firstLineChars="200"/>
        <w:jc w:val="left"/>
        <w:rPr>
          <w:rFonts w:hint="eastAsia" w:cs="宋体"/>
          <w:b w:val="0"/>
          <w:bCs w:val="0"/>
          <w:color w:val="000000"/>
          <w:kern w:val="2"/>
          <w:sz w:val="21"/>
          <w:szCs w:val="21"/>
          <w:highlight w:val="none"/>
          <w:lang w:val="en-US" w:eastAsia="zh-CN" w:bidi="ar-SA"/>
        </w:rPr>
      </w:pPr>
      <w:r>
        <w:rPr>
          <w:rFonts w:hint="eastAsia" w:ascii="宋体" w:hAnsi="宋体" w:eastAsia="宋体" w:cs="宋体"/>
          <w:b w:val="0"/>
          <w:bCs w:val="0"/>
          <w:color w:val="000000"/>
          <w:kern w:val="2"/>
          <w:sz w:val="21"/>
          <w:szCs w:val="21"/>
          <w:highlight w:val="none"/>
          <w:lang w:val="en-US" w:eastAsia="zh-CN" w:bidi="ar-SA"/>
        </w:rPr>
        <w:t>3、</w:t>
      </w:r>
      <w:r>
        <w:rPr>
          <w:rFonts w:hint="eastAsia" w:ascii="Times New Roman" w:hAnsi="宋体" w:cs="宋体"/>
          <w:b w:val="0"/>
          <w:bCs w:val="0"/>
          <w:kern w:val="2"/>
          <w:sz w:val="21"/>
          <w:szCs w:val="21"/>
          <w:highlight w:val="none"/>
          <w:lang w:val="en-US" w:eastAsia="zh-CN" w:bidi="ar-SA"/>
        </w:rPr>
        <w:t>成交供应商</w:t>
      </w:r>
      <w:r>
        <w:rPr>
          <w:rFonts w:hint="eastAsia" w:ascii="Times New Roman" w:hAnsi="宋体" w:eastAsia="宋体" w:cs="宋体"/>
          <w:b w:val="0"/>
          <w:bCs w:val="0"/>
          <w:kern w:val="2"/>
          <w:sz w:val="21"/>
          <w:szCs w:val="21"/>
          <w:highlight w:val="none"/>
          <w:lang w:val="en-US" w:eastAsia="zh-CN" w:bidi="ar-SA"/>
        </w:rPr>
        <w:t>成交后7个工作日内把备用件移交到</w:t>
      </w:r>
      <w:r>
        <w:rPr>
          <w:rFonts w:hint="eastAsia" w:ascii="Times New Roman" w:hAnsi="宋体" w:cs="宋体"/>
          <w:b w:val="0"/>
          <w:bCs w:val="0"/>
          <w:kern w:val="2"/>
          <w:sz w:val="21"/>
          <w:szCs w:val="21"/>
          <w:highlight w:val="none"/>
          <w:lang w:val="en-US" w:eastAsia="zh-CN" w:bidi="ar-SA"/>
        </w:rPr>
        <w:t>采购人</w:t>
      </w:r>
      <w:r>
        <w:rPr>
          <w:rFonts w:hint="eastAsia" w:ascii="Times New Roman" w:hAnsi="宋体" w:eastAsia="宋体" w:cs="宋体"/>
          <w:b w:val="0"/>
          <w:bCs w:val="0"/>
          <w:kern w:val="2"/>
          <w:sz w:val="21"/>
          <w:szCs w:val="21"/>
          <w:highlight w:val="none"/>
          <w:lang w:val="en-US" w:eastAsia="zh-CN" w:bidi="ar-SA"/>
        </w:rPr>
        <w:t xml:space="preserve">指定仓库，方便及时维修。 </w:t>
      </w:r>
      <w:r>
        <w:rPr>
          <w:rFonts w:hint="eastAsia" w:cs="宋体"/>
          <w:b w:val="0"/>
          <w:bCs w:val="0"/>
          <w:color w:val="000000"/>
          <w:kern w:val="2"/>
          <w:sz w:val="21"/>
          <w:szCs w:val="21"/>
          <w:highlight w:val="none"/>
          <w:lang w:val="en-US" w:eastAsia="zh-CN" w:bidi="ar-SA"/>
        </w:rPr>
        <w:t xml:space="preserve">            </w:t>
      </w:r>
    </w:p>
    <w:p>
      <w:pPr>
        <w:pStyle w:val="3"/>
        <w:pageBreakBefore w:val="0"/>
        <w:kinsoku/>
        <w:overflowPunct/>
        <w:topLinePunct w:val="0"/>
        <w:bidi w:val="0"/>
        <w:adjustRightInd/>
        <w:snapToGrid/>
        <w:spacing w:before="0" w:line="420" w:lineRule="exact"/>
        <w:jc w:val="left"/>
        <w:rPr>
          <w:rFonts w:hint="eastAsia" w:ascii="Times New Roman" w:hAnsi="宋体" w:eastAsia="宋体" w:cs="宋体"/>
          <w:b/>
          <w:bCs/>
          <w:kern w:val="2"/>
          <w:sz w:val="21"/>
          <w:szCs w:val="21"/>
          <w:highlight w:val="none"/>
          <w:lang w:val="en-US" w:eastAsia="zh-CN" w:bidi="ar-SA"/>
        </w:rPr>
      </w:pPr>
      <w:r>
        <w:rPr>
          <w:rFonts w:hint="eastAsia" w:ascii="Times New Roman" w:hAnsi="宋体" w:eastAsia="宋体" w:cs="宋体"/>
          <w:b/>
          <w:bCs/>
          <w:kern w:val="2"/>
          <w:sz w:val="21"/>
          <w:szCs w:val="21"/>
          <w:highlight w:val="none"/>
          <w:lang w:val="en-US" w:eastAsia="zh-CN" w:bidi="ar-SA"/>
        </w:rPr>
        <w:t>九、报价要求</w:t>
      </w:r>
    </w:p>
    <w:p>
      <w:pPr>
        <w:pStyle w:val="3"/>
        <w:pageBreakBefore w:val="0"/>
        <w:kinsoku/>
        <w:overflowPunct/>
        <w:topLinePunct w:val="0"/>
        <w:bidi w:val="0"/>
        <w:adjustRightInd/>
        <w:snapToGrid/>
        <w:spacing w:before="0" w:line="420" w:lineRule="exact"/>
        <w:ind w:firstLine="420" w:firstLineChars="200"/>
        <w:jc w:val="left"/>
        <w:rPr>
          <w:rFonts w:hint="eastAsia" w:ascii="Times New Roman" w:cs="宋体"/>
          <w:b w:val="0"/>
          <w:bCs w:val="0"/>
          <w:kern w:val="2"/>
          <w:sz w:val="21"/>
          <w:szCs w:val="21"/>
          <w:highlight w:val="none"/>
          <w:lang w:val="en-US" w:eastAsia="zh-CN" w:bidi="ar-SA"/>
        </w:rPr>
      </w:pPr>
      <w:r>
        <w:rPr>
          <w:rFonts w:hint="eastAsia" w:ascii="Times New Roman" w:hAnsi="宋体" w:eastAsia="宋体" w:cs="宋体"/>
          <w:b w:val="0"/>
          <w:bCs w:val="0"/>
          <w:kern w:val="2"/>
          <w:sz w:val="21"/>
          <w:szCs w:val="21"/>
          <w:highlight w:val="none"/>
          <w:lang w:val="zh-CN" w:eastAsia="zh-CN" w:bidi="ar-SA"/>
        </w:rPr>
        <w:t>本项目按总价报价，其总价报价应包含为完成本项目</w:t>
      </w:r>
      <w:r>
        <w:rPr>
          <w:rFonts w:hint="eastAsia" w:ascii="Times New Roman" w:hAnsi="宋体" w:eastAsia="宋体" w:cs="宋体"/>
          <w:b w:val="0"/>
          <w:bCs w:val="0"/>
          <w:kern w:val="2"/>
          <w:sz w:val="21"/>
          <w:szCs w:val="21"/>
          <w:highlight w:val="none"/>
          <w:lang w:val="en-US" w:eastAsia="zh-CN" w:bidi="ar-SA"/>
        </w:rPr>
        <w:t>日常维护清单范围内所有项目的维护费、易损设备维修及更换费（含更换的易损设备费用）、日常巡检以及人为产生的设备道闸损坏进行代理追偿后实施维修所产生的人工费、材料费、备件费、交通费、管理费、税金、利润</w:t>
      </w:r>
      <w:r>
        <w:rPr>
          <w:rFonts w:hint="eastAsia" w:ascii="Times New Roman" w:hAnsi="宋体" w:eastAsia="宋体" w:cs="宋体"/>
          <w:b w:val="0"/>
          <w:bCs w:val="0"/>
          <w:kern w:val="2"/>
          <w:sz w:val="21"/>
          <w:szCs w:val="21"/>
          <w:highlight w:val="none"/>
          <w:lang w:val="zh-CN" w:eastAsia="zh-CN" w:bidi="ar-SA"/>
        </w:rPr>
        <w:t>等</w:t>
      </w:r>
      <w:r>
        <w:rPr>
          <w:rFonts w:hint="eastAsia" w:ascii="Times New Roman" w:hAnsi="宋体" w:eastAsia="宋体" w:cs="宋体"/>
          <w:b w:val="0"/>
          <w:bCs w:val="0"/>
          <w:kern w:val="2"/>
          <w:sz w:val="21"/>
          <w:szCs w:val="21"/>
          <w:highlight w:val="none"/>
          <w:lang w:val="en-US" w:eastAsia="zh-CN" w:bidi="ar-SA"/>
        </w:rPr>
        <w:t>一切费用及不可预见的其他费用</w:t>
      </w:r>
      <w:r>
        <w:rPr>
          <w:rFonts w:hint="eastAsia" w:ascii="Times New Roman" w:hAnsi="宋体" w:eastAsia="宋体" w:cs="宋体"/>
          <w:b w:val="0"/>
          <w:bCs w:val="0"/>
          <w:kern w:val="2"/>
          <w:sz w:val="21"/>
          <w:szCs w:val="21"/>
          <w:highlight w:val="none"/>
          <w:lang w:val="zh-CN" w:eastAsia="zh-CN" w:bidi="ar-SA"/>
        </w:rPr>
        <w:t>。</w:t>
      </w:r>
      <w:r>
        <w:rPr>
          <w:rFonts w:hint="eastAsia" w:ascii="Times New Roman" w:hAnsi="宋体" w:cs="宋体"/>
          <w:b w:val="0"/>
          <w:bCs w:val="0"/>
          <w:kern w:val="2"/>
          <w:sz w:val="21"/>
          <w:szCs w:val="21"/>
          <w:highlight w:val="none"/>
          <w:lang w:val="en-US" w:eastAsia="zh-CN" w:bidi="ar-SA"/>
        </w:rPr>
        <w:t>供应商谈判</w:t>
      </w:r>
      <w:r>
        <w:rPr>
          <w:rFonts w:hint="eastAsia" w:ascii="Times New Roman" w:hAnsi="宋体" w:eastAsia="宋体" w:cs="宋体"/>
          <w:b w:val="0"/>
          <w:bCs w:val="0"/>
          <w:kern w:val="2"/>
          <w:sz w:val="21"/>
          <w:szCs w:val="21"/>
          <w:highlight w:val="none"/>
          <w:lang w:val="en-US" w:eastAsia="zh-CN" w:bidi="ar-SA"/>
        </w:rPr>
        <w:t>前应对本项目实施现场进行充分踏勘，做出理性的判断和估价。一旦成交，其日常维护清单中维护量是否发生变化，本项目总价均不作任何调整。</w:t>
      </w:r>
      <w:r>
        <w:rPr>
          <w:rFonts w:hint="eastAsia" w:ascii="Times New Roman" w:cs="宋体"/>
          <w:b w:val="0"/>
          <w:bCs w:val="0"/>
          <w:kern w:val="2"/>
          <w:sz w:val="21"/>
          <w:szCs w:val="21"/>
          <w:highlight w:val="none"/>
          <w:lang w:val="en-US" w:eastAsia="zh-CN" w:bidi="ar-SA"/>
        </w:rPr>
        <w:t xml:space="preserve">               </w:t>
      </w:r>
    </w:p>
    <w:p>
      <w:pPr>
        <w:pStyle w:val="3"/>
        <w:pageBreakBefore w:val="0"/>
        <w:kinsoku/>
        <w:overflowPunct/>
        <w:topLinePunct w:val="0"/>
        <w:bidi w:val="0"/>
        <w:adjustRightInd/>
        <w:snapToGrid/>
        <w:spacing w:before="0" w:line="420" w:lineRule="exact"/>
        <w:jc w:val="left"/>
        <w:rPr>
          <w:rFonts w:hint="eastAsia" w:ascii="宋体" w:hAnsi="宋体" w:cs="宋体"/>
          <w:b w:val="0"/>
          <w:color w:val="000000"/>
          <w:sz w:val="21"/>
          <w:szCs w:val="21"/>
          <w:highlight w:val="none"/>
        </w:rPr>
      </w:pPr>
      <w:r>
        <w:rPr>
          <w:rFonts w:hint="eastAsia" w:ascii="Times New Roman" w:hAnsi="宋体" w:eastAsia="宋体" w:cs="宋体"/>
          <w:b/>
          <w:bCs/>
          <w:kern w:val="2"/>
          <w:sz w:val="21"/>
          <w:szCs w:val="21"/>
          <w:highlight w:val="none"/>
          <w:lang w:val="en-US" w:eastAsia="zh-CN" w:bidi="ar-SA"/>
        </w:rPr>
        <w:t>十、其他要求</w:t>
      </w:r>
      <w:r>
        <w:rPr>
          <w:rFonts w:hint="eastAsia" w:ascii="Times New Roman" w:hAnsi="宋体" w:eastAsia="宋体" w:cs="宋体"/>
          <w:b/>
          <w:bCs/>
          <w:kern w:val="2"/>
          <w:sz w:val="21"/>
          <w:szCs w:val="21"/>
          <w:highlight w:val="none"/>
          <w:lang w:val="en-US" w:eastAsia="zh-CN" w:bidi="ar-SA"/>
        </w:rPr>
        <w:br w:type="textWrapping"/>
      </w:r>
      <w:r>
        <w:rPr>
          <w:rFonts w:hint="eastAsia" w:ascii="Times New Roman" w:cs="宋体"/>
          <w:b/>
          <w:bCs/>
          <w:kern w:val="2"/>
          <w:sz w:val="21"/>
          <w:szCs w:val="21"/>
          <w:highlight w:val="none"/>
          <w:lang w:val="en-US" w:eastAsia="zh-CN" w:bidi="ar-SA"/>
        </w:rPr>
        <w:t xml:space="preserve">   </w:t>
      </w:r>
      <w:r>
        <w:rPr>
          <w:rFonts w:hint="eastAsia" w:ascii="宋体" w:hAnsi="宋体" w:eastAsia="宋体" w:cs="宋体"/>
          <w:b w:val="0"/>
          <w:kern w:val="2"/>
          <w:sz w:val="21"/>
          <w:szCs w:val="21"/>
          <w:highlight w:val="none"/>
          <w:lang w:val="en-US" w:eastAsia="zh-CN" w:bidi="ar-SA"/>
        </w:rPr>
        <w:t>1、闸杆、设备赔付协调要求</w:t>
      </w:r>
      <w:r>
        <w:rPr>
          <w:rFonts w:hint="eastAsia" w:hAnsi="宋体" w:cs="宋体"/>
          <w:color w:val="000000"/>
          <w:sz w:val="21"/>
          <w:szCs w:val="21"/>
          <w:highlight w:val="none"/>
        </w:rPr>
        <w:br w:type="textWrapping"/>
      </w:r>
      <w:r>
        <w:rPr>
          <w:rFonts w:hint="eastAsia" w:cs="宋体"/>
          <w:color w:val="000000"/>
          <w:sz w:val="21"/>
          <w:szCs w:val="21"/>
          <w:highlight w:val="none"/>
          <w:lang w:val="en-US" w:eastAsia="zh-CN"/>
        </w:rPr>
        <w:t xml:space="preserve">  </w:t>
      </w:r>
      <w:r>
        <w:rPr>
          <w:rFonts w:hint="eastAsia" w:ascii="宋体" w:hAnsi="宋体" w:cs="宋体"/>
          <w:b w:val="0"/>
          <w:color w:val="000000"/>
          <w:sz w:val="21"/>
          <w:szCs w:val="21"/>
          <w:highlight w:val="none"/>
        </w:rPr>
        <w:t>（1）</w:t>
      </w:r>
      <w:r>
        <w:rPr>
          <w:rFonts w:hint="eastAsia" w:cs="宋体"/>
          <w:b w:val="0"/>
          <w:color w:val="000000"/>
          <w:sz w:val="21"/>
          <w:szCs w:val="21"/>
          <w:highlight w:val="none"/>
          <w:lang w:eastAsia="zh-CN"/>
        </w:rPr>
        <w:t>供应商</w:t>
      </w:r>
      <w:r>
        <w:rPr>
          <w:rFonts w:hint="eastAsia" w:ascii="宋体" w:hAnsi="宋体" w:cs="宋体"/>
          <w:b w:val="0"/>
          <w:color w:val="000000"/>
          <w:sz w:val="21"/>
          <w:szCs w:val="21"/>
          <w:highlight w:val="none"/>
        </w:rPr>
        <w:t>负责协助</w:t>
      </w:r>
      <w:r>
        <w:rPr>
          <w:rFonts w:hint="eastAsia" w:cs="宋体"/>
          <w:b w:val="0"/>
          <w:color w:val="000000"/>
          <w:sz w:val="21"/>
          <w:szCs w:val="21"/>
          <w:highlight w:val="none"/>
          <w:lang w:eastAsia="zh-CN"/>
        </w:rPr>
        <w:t>采购人</w:t>
      </w:r>
      <w:r>
        <w:rPr>
          <w:rFonts w:hint="eastAsia" w:ascii="宋体" w:hAnsi="宋体" w:cs="宋体"/>
          <w:b w:val="0"/>
          <w:color w:val="000000"/>
          <w:sz w:val="21"/>
          <w:szCs w:val="21"/>
          <w:highlight w:val="none"/>
        </w:rPr>
        <w:t>实施理赔追偿工作。</w:t>
      </w:r>
    </w:p>
    <w:p>
      <w:pPr>
        <w:pStyle w:val="11"/>
        <w:pageBreakBefore w:val="0"/>
        <w:kinsoku/>
        <w:overflowPunct/>
        <w:topLinePunct w:val="0"/>
        <w:bidi w:val="0"/>
        <w:adjustRightInd/>
        <w:snapToGrid/>
        <w:spacing w:line="420" w:lineRule="exact"/>
        <w:ind w:firstLine="420" w:firstLineChars="200"/>
        <w:rPr>
          <w:rFonts w:hint="eastAsia" w:hAnsi="宋体" w:cs="宋体"/>
          <w:kern w:val="2"/>
          <w:sz w:val="21"/>
          <w:szCs w:val="21"/>
          <w:highlight w:val="none"/>
        </w:rPr>
      </w:pPr>
      <w:r>
        <w:rPr>
          <w:rFonts w:hint="eastAsia" w:hAnsi="宋体" w:cs="宋体"/>
          <w:color w:val="000000"/>
          <w:sz w:val="21"/>
          <w:szCs w:val="21"/>
          <w:highlight w:val="none"/>
        </w:rPr>
        <w:fldChar w:fldCharType="begin"/>
      </w:r>
      <w:r>
        <w:rPr>
          <w:rFonts w:hint="eastAsia" w:hAnsi="宋体" w:cs="宋体"/>
          <w:color w:val="000000"/>
          <w:sz w:val="21"/>
          <w:szCs w:val="21"/>
          <w:highlight w:val="none"/>
        </w:rPr>
        <w:instrText xml:space="preserve"> = 1 \* GB3 \* MERGEFORMAT </w:instrText>
      </w:r>
      <w:r>
        <w:rPr>
          <w:rFonts w:hint="eastAsia" w:hAnsi="宋体" w:cs="宋体"/>
          <w:color w:val="000000"/>
          <w:sz w:val="21"/>
          <w:szCs w:val="21"/>
          <w:highlight w:val="none"/>
        </w:rPr>
        <w:fldChar w:fldCharType="separate"/>
      </w:r>
      <w:r>
        <w:rPr>
          <w:rFonts w:hint="eastAsia" w:hAnsi="宋体" w:cs="宋体"/>
          <w:color w:val="000000"/>
          <w:sz w:val="21"/>
          <w:szCs w:val="21"/>
          <w:highlight w:val="none"/>
        </w:rPr>
        <w:t>①</w:t>
      </w:r>
      <w:r>
        <w:rPr>
          <w:rFonts w:hint="eastAsia" w:hAnsi="宋体" w:cs="宋体"/>
          <w:color w:val="000000"/>
          <w:sz w:val="21"/>
          <w:szCs w:val="21"/>
          <w:highlight w:val="none"/>
        </w:rPr>
        <w:fldChar w:fldCharType="end"/>
      </w:r>
      <w:r>
        <w:rPr>
          <w:rFonts w:hint="eastAsia" w:hAnsi="宋体" w:cs="宋体"/>
          <w:color w:val="000000"/>
          <w:sz w:val="21"/>
          <w:szCs w:val="21"/>
          <w:highlight w:val="none"/>
        </w:rPr>
        <w:t>肇事者损</w:t>
      </w:r>
      <w:r>
        <w:rPr>
          <w:rFonts w:hint="eastAsia" w:hAnsi="宋体" w:cs="宋体"/>
          <w:kern w:val="2"/>
          <w:sz w:val="21"/>
          <w:szCs w:val="21"/>
          <w:highlight w:val="none"/>
        </w:rPr>
        <w:t>坏道闸杆件及设备，应通过报警，走保险理赔方式。</w:t>
      </w:r>
      <w:r>
        <w:rPr>
          <w:rFonts w:hint="eastAsia" w:hAnsi="宋体" w:cs="宋体"/>
          <w:kern w:val="2"/>
          <w:sz w:val="21"/>
          <w:szCs w:val="21"/>
          <w:highlight w:val="none"/>
          <w:lang w:eastAsia="zh-CN"/>
        </w:rPr>
        <w:t>供应商</w:t>
      </w:r>
      <w:r>
        <w:rPr>
          <w:rFonts w:hint="eastAsia" w:hAnsi="宋体" w:cs="宋体"/>
          <w:kern w:val="2"/>
          <w:sz w:val="21"/>
          <w:szCs w:val="21"/>
          <w:highlight w:val="none"/>
        </w:rPr>
        <w:t>负责恢复现场，</w:t>
      </w:r>
      <w:r>
        <w:rPr>
          <w:rFonts w:hint="eastAsia" w:hAnsi="宋体" w:cs="宋体"/>
          <w:kern w:val="2"/>
          <w:sz w:val="21"/>
          <w:szCs w:val="21"/>
          <w:highlight w:val="none"/>
          <w:lang w:eastAsia="zh-CN"/>
        </w:rPr>
        <w:t>采购人</w:t>
      </w:r>
      <w:r>
        <w:rPr>
          <w:rFonts w:hint="eastAsia" w:hAnsi="宋体" w:cs="宋体"/>
          <w:kern w:val="2"/>
          <w:sz w:val="21"/>
          <w:szCs w:val="21"/>
          <w:highlight w:val="none"/>
        </w:rPr>
        <w:t>不再另行支付此项费用；非机动车肇事者损坏道闸杆件及设备的，由</w:t>
      </w:r>
      <w:r>
        <w:rPr>
          <w:rFonts w:hint="eastAsia" w:hAnsi="宋体" w:cs="宋体"/>
          <w:kern w:val="2"/>
          <w:sz w:val="21"/>
          <w:szCs w:val="21"/>
          <w:highlight w:val="none"/>
          <w:lang w:eastAsia="zh-CN"/>
        </w:rPr>
        <w:t>供应商</w:t>
      </w:r>
      <w:r>
        <w:rPr>
          <w:rFonts w:hint="eastAsia" w:hAnsi="宋体" w:cs="宋体"/>
          <w:kern w:val="2"/>
          <w:sz w:val="21"/>
          <w:szCs w:val="21"/>
          <w:highlight w:val="none"/>
        </w:rPr>
        <w:t>代表</w:t>
      </w:r>
      <w:r>
        <w:rPr>
          <w:rFonts w:hint="eastAsia" w:hAnsi="宋体" w:cs="宋体"/>
          <w:kern w:val="2"/>
          <w:sz w:val="21"/>
          <w:szCs w:val="21"/>
          <w:highlight w:val="none"/>
          <w:lang w:eastAsia="zh-CN"/>
        </w:rPr>
        <w:t>采购人</w:t>
      </w:r>
      <w:r>
        <w:rPr>
          <w:rFonts w:hint="eastAsia" w:hAnsi="宋体" w:cs="宋体"/>
          <w:kern w:val="2"/>
          <w:sz w:val="21"/>
          <w:szCs w:val="21"/>
          <w:highlight w:val="none"/>
        </w:rPr>
        <w:t>负责追偿到位。</w:t>
      </w:r>
    </w:p>
    <w:p>
      <w:pPr>
        <w:pStyle w:val="11"/>
        <w:pageBreakBefore w:val="0"/>
        <w:kinsoku/>
        <w:overflowPunct/>
        <w:topLinePunct w:val="0"/>
        <w:bidi w:val="0"/>
        <w:adjustRightInd/>
        <w:snapToGrid/>
        <w:spacing w:line="420" w:lineRule="exact"/>
        <w:ind w:firstLine="420" w:firstLineChars="200"/>
        <w:rPr>
          <w:rFonts w:hAnsi="宋体" w:cs="宋体"/>
          <w:kern w:val="2"/>
          <w:sz w:val="21"/>
          <w:szCs w:val="21"/>
          <w:highlight w:val="none"/>
        </w:rPr>
      </w:pPr>
      <w:r>
        <w:rPr>
          <w:rFonts w:hint="eastAsia" w:hAnsi="宋体" w:cs="宋体"/>
          <w:kern w:val="2"/>
          <w:sz w:val="21"/>
          <w:szCs w:val="21"/>
          <w:highlight w:val="none"/>
        </w:rPr>
        <w:fldChar w:fldCharType="begin"/>
      </w:r>
      <w:r>
        <w:rPr>
          <w:rFonts w:hint="eastAsia" w:hAnsi="宋体" w:cs="宋体"/>
          <w:kern w:val="2"/>
          <w:sz w:val="21"/>
          <w:szCs w:val="21"/>
          <w:highlight w:val="none"/>
        </w:rPr>
        <w:instrText xml:space="preserve"> = 2 \* GB3 \* MERGEFORMAT </w:instrText>
      </w:r>
      <w:r>
        <w:rPr>
          <w:rFonts w:hint="eastAsia" w:hAnsi="宋体" w:cs="宋体"/>
          <w:kern w:val="2"/>
          <w:sz w:val="21"/>
          <w:szCs w:val="21"/>
          <w:highlight w:val="none"/>
        </w:rPr>
        <w:fldChar w:fldCharType="separate"/>
      </w:r>
      <w:r>
        <w:rPr>
          <w:rFonts w:hint="eastAsia" w:hAnsi="宋体" w:cs="宋体"/>
          <w:kern w:val="2"/>
          <w:sz w:val="21"/>
          <w:szCs w:val="21"/>
          <w:highlight w:val="none"/>
        </w:rPr>
        <w:t>②</w:t>
      </w:r>
      <w:r>
        <w:rPr>
          <w:rFonts w:hint="eastAsia" w:hAnsi="宋体" w:cs="宋体"/>
          <w:kern w:val="2"/>
          <w:sz w:val="21"/>
          <w:szCs w:val="21"/>
          <w:highlight w:val="none"/>
        </w:rPr>
        <w:fldChar w:fldCharType="end"/>
      </w:r>
      <w:r>
        <w:rPr>
          <w:rFonts w:hint="eastAsia" w:hAnsi="宋体" w:cs="宋体"/>
          <w:kern w:val="2"/>
          <w:sz w:val="21"/>
          <w:szCs w:val="21"/>
          <w:highlight w:val="none"/>
        </w:rPr>
        <w:t>针对闸杆损坏肇事逃逸等情况无法赔付的且未造成严重损失的，由</w:t>
      </w:r>
      <w:r>
        <w:rPr>
          <w:rFonts w:hint="eastAsia" w:hAnsi="宋体" w:cs="宋体"/>
          <w:kern w:val="2"/>
          <w:sz w:val="21"/>
          <w:szCs w:val="21"/>
          <w:highlight w:val="none"/>
          <w:lang w:eastAsia="zh-CN"/>
        </w:rPr>
        <w:t>供应商</w:t>
      </w:r>
      <w:r>
        <w:rPr>
          <w:rFonts w:hint="eastAsia" w:hAnsi="宋体" w:cs="宋体"/>
          <w:kern w:val="2"/>
          <w:sz w:val="21"/>
          <w:szCs w:val="21"/>
          <w:highlight w:val="none"/>
        </w:rPr>
        <w:t>负责维修处理。损失较大的由双方共同协商处理解决。</w:t>
      </w:r>
    </w:p>
    <w:p>
      <w:pPr>
        <w:pStyle w:val="11"/>
        <w:pageBreakBefore w:val="0"/>
        <w:numPr>
          <w:ilvl w:val="0"/>
          <w:numId w:val="6"/>
        </w:numPr>
        <w:kinsoku/>
        <w:overflowPunct/>
        <w:topLinePunct w:val="0"/>
        <w:bidi w:val="0"/>
        <w:adjustRightInd/>
        <w:snapToGrid/>
        <w:spacing w:line="420" w:lineRule="exact"/>
        <w:ind w:firstLine="420" w:firstLineChars="200"/>
        <w:rPr>
          <w:rFonts w:hint="eastAsia" w:hAnsi="宋体" w:cs="宋体"/>
          <w:kern w:val="2"/>
          <w:sz w:val="21"/>
          <w:szCs w:val="21"/>
          <w:highlight w:val="none"/>
        </w:rPr>
      </w:pPr>
      <w:r>
        <w:rPr>
          <w:rFonts w:hint="eastAsia" w:hAnsi="宋体" w:cs="宋体"/>
          <w:kern w:val="2"/>
          <w:sz w:val="21"/>
          <w:szCs w:val="21"/>
          <w:highlight w:val="none"/>
          <w:lang w:eastAsia="zh-CN"/>
        </w:rPr>
        <w:t>供应商</w:t>
      </w:r>
      <w:r>
        <w:rPr>
          <w:rFonts w:hint="eastAsia" w:hAnsi="宋体" w:cs="宋体"/>
          <w:kern w:val="2"/>
          <w:sz w:val="21"/>
          <w:szCs w:val="21"/>
          <w:highlight w:val="none"/>
        </w:rPr>
        <w:t>需统筹使用理赔费用，负责在24小时内完成封闭闸口的设施维修。</w:t>
      </w:r>
    </w:p>
    <w:p>
      <w:pPr>
        <w:pStyle w:val="11"/>
        <w:pageBreakBefore w:val="0"/>
        <w:numPr>
          <w:ilvl w:val="0"/>
          <w:numId w:val="6"/>
        </w:numPr>
        <w:kinsoku/>
        <w:overflowPunct/>
        <w:topLinePunct w:val="0"/>
        <w:bidi w:val="0"/>
        <w:adjustRightInd/>
        <w:snapToGrid/>
        <w:spacing w:line="420" w:lineRule="exact"/>
        <w:ind w:firstLine="420" w:firstLineChars="200"/>
        <w:rPr>
          <w:rFonts w:hint="eastAsia" w:hAnsi="宋体" w:cs="宋体"/>
          <w:kern w:val="2"/>
          <w:sz w:val="21"/>
          <w:szCs w:val="21"/>
          <w:highlight w:val="none"/>
        </w:rPr>
      </w:pPr>
      <w:r>
        <w:rPr>
          <w:rFonts w:hint="eastAsia" w:hAnsi="宋体" w:cs="宋体"/>
          <w:color w:val="000000"/>
          <w:sz w:val="21"/>
          <w:szCs w:val="21"/>
          <w:highlight w:val="none"/>
        </w:rPr>
        <w:t>针对设备道闸等易损件的维护检修，如出现交通事故等不可抗力因素造成易损件清单以外的设施损坏，另行协商结算。</w:t>
      </w:r>
    </w:p>
    <w:p>
      <w:pPr>
        <w:pStyle w:val="4"/>
        <w:pageBreakBefore w:val="0"/>
        <w:kinsoku/>
        <w:overflowPunct/>
        <w:topLinePunct w:val="0"/>
        <w:bidi w:val="0"/>
        <w:adjustRightInd/>
        <w:snapToGrid/>
        <w:spacing w:line="420" w:lineRule="exact"/>
        <w:ind w:firstLine="409" w:firstLineChars="195"/>
        <w:rPr>
          <w:rFonts w:hint="eastAsia" w:hAnsi="宋体" w:cs="宋体"/>
          <w:color w:val="000000"/>
          <w:sz w:val="21"/>
          <w:szCs w:val="21"/>
          <w:highlight w:val="none"/>
        </w:rPr>
      </w:pPr>
      <w:r>
        <w:rPr>
          <w:rFonts w:hint="eastAsia" w:hAnsi="宋体" w:cs="宋体"/>
          <w:color w:val="000000"/>
          <w:sz w:val="21"/>
          <w:szCs w:val="21"/>
          <w:highlight w:val="none"/>
        </w:rPr>
        <w:t>2、</w:t>
      </w:r>
      <w:r>
        <w:rPr>
          <w:rFonts w:hint="eastAsia" w:hAnsi="宋体" w:cs="宋体"/>
          <w:color w:val="000000"/>
          <w:sz w:val="21"/>
          <w:szCs w:val="21"/>
          <w:highlight w:val="none"/>
          <w:lang w:eastAsia="zh-CN"/>
        </w:rPr>
        <w:t>供应商</w:t>
      </w:r>
      <w:r>
        <w:rPr>
          <w:rFonts w:hint="eastAsia" w:hAnsi="宋体" w:cs="宋体"/>
          <w:color w:val="000000"/>
          <w:sz w:val="21"/>
          <w:szCs w:val="21"/>
          <w:highlight w:val="none"/>
        </w:rPr>
        <w:t>每个月日常维护检修的次数不得少于两次。</w:t>
      </w:r>
    </w:p>
    <w:p>
      <w:pPr>
        <w:pStyle w:val="11"/>
        <w:pageBreakBefore w:val="0"/>
        <w:kinsoku/>
        <w:overflowPunct/>
        <w:topLinePunct w:val="0"/>
        <w:bidi w:val="0"/>
        <w:adjustRightInd/>
        <w:snapToGrid/>
        <w:spacing w:line="420" w:lineRule="exact"/>
        <w:ind w:firstLine="420" w:firstLineChars="200"/>
        <w:rPr>
          <w:rFonts w:hint="eastAsia" w:hAnsi="宋体" w:cs="宋体"/>
          <w:kern w:val="2"/>
          <w:sz w:val="21"/>
          <w:szCs w:val="21"/>
          <w:highlight w:val="none"/>
        </w:rPr>
      </w:pPr>
      <w:r>
        <w:rPr>
          <w:rFonts w:hint="eastAsia" w:hAnsi="宋体" w:cs="宋体"/>
          <w:kern w:val="2"/>
          <w:sz w:val="21"/>
          <w:szCs w:val="21"/>
          <w:highlight w:val="none"/>
        </w:rPr>
        <w:t>3、</w:t>
      </w:r>
      <w:r>
        <w:rPr>
          <w:rFonts w:hint="eastAsia" w:hAnsi="宋体" w:cs="宋体"/>
          <w:kern w:val="2"/>
          <w:sz w:val="21"/>
          <w:szCs w:val="21"/>
          <w:highlight w:val="none"/>
          <w:lang w:eastAsia="zh-CN"/>
        </w:rPr>
        <w:t>供应商</w:t>
      </w:r>
      <w:r>
        <w:rPr>
          <w:rFonts w:hint="eastAsia" w:hAnsi="宋体" w:cs="宋体"/>
          <w:kern w:val="2"/>
          <w:sz w:val="21"/>
          <w:szCs w:val="21"/>
          <w:highlight w:val="none"/>
        </w:rPr>
        <w:t>在服务期内实际产生金额达到合同金额的80%时，需及时以书面形式向</w:t>
      </w:r>
      <w:r>
        <w:rPr>
          <w:rFonts w:hint="eastAsia" w:hAnsi="宋体" w:cs="宋体"/>
          <w:kern w:val="2"/>
          <w:sz w:val="21"/>
          <w:szCs w:val="21"/>
          <w:highlight w:val="none"/>
          <w:lang w:eastAsia="zh-CN"/>
        </w:rPr>
        <w:t>采购人</w:t>
      </w:r>
      <w:r>
        <w:rPr>
          <w:rFonts w:hint="eastAsia" w:hAnsi="宋体" w:cs="宋体"/>
          <w:kern w:val="2"/>
          <w:sz w:val="21"/>
          <w:szCs w:val="21"/>
          <w:highlight w:val="none"/>
        </w:rPr>
        <w:t>提交报告，并说明情况。</w:t>
      </w:r>
    </w:p>
    <w:p>
      <w:pPr>
        <w:pStyle w:val="11"/>
        <w:pageBreakBefore w:val="0"/>
        <w:kinsoku/>
        <w:overflowPunct/>
        <w:topLinePunct w:val="0"/>
        <w:bidi w:val="0"/>
        <w:adjustRightInd/>
        <w:snapToGrid/>
        <w:spacing w:line="420" w:lineRule="exact"/>
        <w:ind w:firstLine="420" w:firstLineChars="200"/>
        <w:rPr>
          <w:rFonts w:hint="eastAsia" w:hAnsi="宋体" w:cs="宋体"/>
          <w:kern w:val="2"/>
          <w:sz w:val="21"/>
          <w:szCs w:val="21"/>
          <w:highlight w:val="none"/>
        </w:rPr>
      </w:pPr>
      <w:r>
        <w:rPr>
          <w:rFonts w:hint="eastAsia" w:hAnsi="宋体" w:cs="宋体"/>
          <w:kern w:val="2"/>
          <w:sz w:val="21"/>
          <w:szCs w:val="21"/>
          <w:highlight w:val="none"/>
        </w:rPr>
        <w:t>4、易损件清单单项维护金额达到5万元的，将不计入本项目服务范围，</w:t>
      </w:r>
      <w:r>
        <w:rPr>
          <w:rFonts w:hint="eastAsia" w:hAnsi="宋体" w:cs="宋体"/>
          <w:kern w:val="2"/>
          <w:sz w:val="21"/>
          <w:szCs w:val="21"/>
          <w:highlight w:val="none"/>
          <w:lang w:eastAsia="zh-CN"/>
        </w:rPr>
        <w:t>供应商</w:t>
      </w:r>
      <w:r>
        <w:rPr>
          <w:rFonts w:hint="eastAsia" w:hAnsi="宋体" w:cs="宋体"/>
          <w:kern w:val="2"/>
          <w:sz w:val="21"/>
          <w:szCs w:val="21"/>
          <w:highlight w:val="none"/>
        </w:rPr>
        <w:t>须向</w:t>
      </w:r>
      <w:r>
        <w:rPr>
          <w:rFonts w:hint="eastAsia" w:hAnsi="宋体" w:cs="宋体"/>
          <w:kern w:val="2"/>
          <w:sz w:val="21"/>
          <w:szCs w:val="21"/>
          <w:highlight w:val="none"/>
          <w:lang w:eastAsia="zh-CN"/>
        </w:rPr>
        <w:t>采购人</w:t>
      </w:r>
      <w:r>
        <w:rPr>
          <w:rFonts w:hint="eastAsia" w:hAnsi="宋体" w:cs="宋体"/>
          <w:kern w:val="2"/>
          <w:sz w:val="21"/>
          <w:szCs w:val="21"/>
          <w:highlight w:val="none"/>
        </w:rPr>
        <w:t>另行报批，经</w:t>
      </w:r>
      <w:r>
        <w:rPr>
          <w:rFonts w:hint="eastAsia" w:hAnsi="宋体" w:cs="宋体"/>
          <w:kern w:val="2"/>
          <w:sz w:val="21"/>
          <w:szCs w:val="21"/>
          <w:highlight w:val="none"/>
          <w:lang w:eastAsia="zh-CN"/>
        </w:rPr>
        <w:t>采购人</w:t>
      </w:r>
      <w:r>
        <w:rPr>
          <w:rFonts w:hint="eastAsia" w:hAnsi="宋体" w:cs="宋体"/>
          <w:kern w:val="2"/>
          <w:sz w:val="21"/>
          <w:szCs w:val="21"/>
          <w:highlight w:val="none"/>
        </w:rPr>
        <w:t>同意方可实施。</w:t>
      </w:r>
    </w:p>
    <w:p>
      <w:pPr>
        <w:pStyle w:val="11"/>
        <w:pageBreakBefore w:val="0"/>
        <w:kinsoku/>
        <w:overflowPunct/>
        <w:topLinePunct w:val="0"/>
        <w:bidi w:val="0"/>
        <w:adjustRightInd/>
        <w:snapToGrid/>
        <w:spacing w:line="420" w:lineRule="exact"/>
        <w:ind w:firstLine="420" w:firstLineChars="200"/>
        <w:rPr>
          <w:rFonts w:hint="default" w:hAnsi="宋体" w:eastAsia="宋体" w:cs="宋体"/>
          <w:kern w:val="2"/>
          <w:sz w:val="21"/>
          <w:szCs w:val="21"/>
          <w:highlight w:val="none"/>
          <w:lang w:val="en-US" w:eastAsia="zh-CN"/>
        </w:rPr>
      </w:pPr>
      <w:r>
        <w:rPr>
          <w:rFonts w:hint="eastAsia" w:hAnsi="宋体" w:cs="宋体"/>
          <w:kern w:val="2"/>
          <w:sz w:val="21"/>
          <w:szCs w:val="21"/>
          <w:highlight w:val="none"/>
        </w:rPr>
        <w:t>5、每批次发生易损件维修前，</w:t>
      </w:r>
      <w:r>
        <w:rPr>
          <w:rFonts w:hint="eastAsia" w:hAnsi="宋体" w:cs="宋体"/>
          <w:kern w:val="2"/>
          <w:sz w:val="21"/>
          <w:szCs w:val="21"/>
          <w:highlight w:val="none"/>
          <w:lang w:eastAsia="zh-CN"/>
        </w:rPr>
        <w:t>供应商</w:t>
      </w:r>
      <w:r>
        <w:rPr>
          <w:rFonts w:hint="eastAsia" w:hAnsi="宋体" w:cs="宋体"/>
          <w:kern w:val="2"/>
          <w:sz w:val="21"/>
          <w:szCs w:val="21"/>
          <w:highlight w:val="none"/>
        </w:rPr>
        <w:t>应书面上报</w:t>
      </w:r>
      <w:r>
        <w:rPr>
          <w:rFonts w:hint="eastAsia" w:hAnsi="宋体" w:cs="宋体"/>
          <w:kern w:val="2"/>
          <w:sz w:val="21"/>
          <w:szCs w:val="21"/>
          <w:highlight w:val="none"/>
          <w:lang w:eastAsia="zh-CN"/>
        </w:rPr>
        <w:t>采购人</w:t>
      </w:r>
      <w:r>
        <w:rPr>
          <w:rFonts w:hint="eastAsia" w:hAnsi="宋体" w:cs="宋体"/>
          <w:kern w:val="2"/>
          <w:sz w:val="21"/>
          <w:szCs w:val="21"/>
          <w:highlight w:val="none"/>
        </w:rPr>
        <w:t>，并经</w:t>
      </w:r>
      <w:r>
        <w:rPr>
          <w:rFonts w:hint="eastAsia" w:hAnsi="宋体" w:cs="宋体"/>
          <w:kern w:val="2"/>
          <w:sz w:val="21"/>
          <w:szCs w:val="21"/>
          <w:highlight w:val="none"/>
          <w:lang w:eastAsia="zh-CN"/>
        </w:rPr>
        <w:t>采购人</w:t>
      </w:r>
      <w:r>
        <w:rPr>
          <w:rFonts w:hint="eastAsia" w:hAnsi="宋体" w:cs="宋体"/>
          <w:kern w:val="2"/>
          <w:sz w:val="21"/>
          <w:szCs w:val="21"/>
          <w:highlight w:val="none"/>
        </w:rPr>
        <w:t>书面确认后，方可实施维修。</w:t>
      </w:r>
      <w:r>
        <w:rPr>
          <w:rFonts w:hint="eastAsia" w:hAnsi="宋体" w:cs="宋体"/>
          <w:kern w:val="2"/>
          <w:sz w:val="21"/>
          <w:szCs w:val="21"/>
          <w:highlight w:val="none"/>
        </w:rPr>
        <w:br w:type="textWrapping"/>
      </w:r>
      <w:r>
        <w:rPr>
          <w:rFonts w:hint="eastAsia" w:hAnsi="宋体" w:cs="宋体"/>
          <w:kern w:val="2"/>
          <w:sz w:val="21"/>
          <w:szCs w:val="21"/>
          <w:highlight w:val="none"/>
          <w:lang w:val="en-US" w:eastAsia="zh-CN"/>
        </w:rPr>
        <w:t xml:space="preserve">    6、</w:t>
      </w:r>
      <w:r>
        <w:rPr>
          <w:rFonts w:hint="eastAsia" w:hAnsi="宋体" w:cs="宋体"/>
          <w:kern w:val="2"/>
          <w:sz w:val="21"/>
          <w:szCs w:val="21"/>
          <w:highlight w:val="none"/>
          <w:lang w:eastAsia="zh-CN"/>
        </w:rPr>
        <w:t>供应商</w:t>
      </w:r>
      <w:r>
        <w:rPr>
          <w:rFonts w:hint="eastAsia" w:hAnsi="宋体" w:cs="宋体"/>
          <w:kern w:val="2"/>
          <w:sz w:val="21"/>
          <w:szCs w:val="21"/>
          <w:highlight w:val="none"/>
          <w:lang w:val="en-US" w:eastAsia="zh-CN"/>
        </w:rPr>
        <w:t>维护易损件的规格须与原标准规格一致，若因为规格不一致而引起的一切后果，均由供应商承担。</w:t>
      </w:r>
      <w:r>
        <w:rPr>
          <w:rFonts w:hint="eastAsia" w:hAnsi="宋体" w:cs="宋体"/>
          <w:kern w:val="2"/>
          <w:sz w:val="21"/>
          <w:szCs w:val="21"/>
          <w:highlight w:val="none"/>
          <w:lang w:val="en-US" w:eastAsia="zh-CN"/>
        </w:rPr>
        <w:br w:type="textWrapping"/>
      </w:r>
      <w:r>
        <w:rPr>
          <w:rFonts w:hint="eastAsia" w:hAnsi="宋体" w:cs="宋体"/>
          <w:kern w:val="2"/>
          <w:sz w:val="21"/>
          <w:szCs w:val="21"/>
          <w:highlight w:val="none"/>
          <w:lang w:val="en-US" w:eastAsia="zh-CN"/>
        </w:rPr>
        <w:t xml:space="preserve">    7、供应商需要交付确认表，保证交付前及到期后项目正常使用完好。</w:t>
      </w:r>
    </w:p>
    <w:p>
      <w:pPr>
        <w:pageBreakBefore w:val="0"/>
        <w:kinsoku/>
        <w:overflowPunct/>
        <w:topLinePunct w:val="0"/>
        <w:bidi w:val="0"/>
        <w:adjustRightInd/>
        <w:snapToGrid/>
        <w:spacing w:line="420" w:lineRule="exact"/>
        <w:rPr>
          <w:rFonts w:hint="eastAsia" w:ascii="宋体" w:hAnsi="宋体" w:eastAsia="宋体" w:cs="宋体"/>
          <w:b/>
          <w:bCs/>
          <w:color w:val="000000"/>
          <w:szCs w:val="21"/>
          <w:highlight w:val="none"/>
          <w:lang w:eastAsia="zh-CN"/>
        </w:rPr>
      </w:pPr>
      <w:r>
        <w:rPr>
          <w:rFonts w:hint="eastAsia" w:ascii="宋体" w:hAnsi="宋体" w:cs="宋体"/>
          <w:b/>
          <w:bCs/>
          <w:color w:val="000000"/>
          <w:kern w:val="0"/>
          <w:szCs w:val="21"/>
          <w:highlight w:val="none"/>
        </w:rPr>
        <w:t>十</w:t>
      </w:r>
      <w:r>
        <w:rPr>
          <w:rFonts w:hint="eastAsia" w:ascii="宋体" w:hAnsi="宋体" w:cs="宋体"/>
          <w:b/>
          <w:bCs/>
          <w:color w:val="000000"/>
          <w:kern w:val="0"/>
          <w:szCs w:val="21"/>
          <w:highlight w:val="none"/>
          <w:lang w:val="en-US" w:eastAsia="zh-CN"/>
        </w:rPr>
        <w:t>一</w:t>
      </w:r>
      <w:r>
        <w:rPr>
          <w:rFonts w:hint="eastAsia" w:ascii="宋体" w:hAnsi="宋体" w:cs="宋体"/>
          <w:b/>
          <w:bCs/>
          <w:color w:val="000000"/>
          <w:kern w:val="0"/>
          <w:szCs w:val="21"/>
          <w:highlight w:val="none"/>
        </w:rPr>
        <w:t>、</w:t>
      </w:r>
      <w:r>
        <w:rPr>
          <w:rFonts w:hint="eastAsia" w:ascii="宋体" w:hAnsi="宋体" w:cs="宋体"/>
          <w:b/>
          <w:bCs/>
          <w:color w:val="000000"/>
          <w:szCs w:val="21"/>
          <w:highlight w:val="none"/>
        </w:rPr>
        <w:t>付款方式</w:t>
      </w:r>
    </w:p>
    <w:p>
      <w:pPr>
        <w:spacing w:line="360" w:lineRule="auto"/>
        <w:ind w:firstLine="420" w:firstLineChars="200"/>
        <w:rPr>
          <w:rFonts w:ascii="宋体" w:hAnsi="宋体" w:cs="宋体"/>
          <w:b/>
          <w:bCs/>
          <w:color w:val="000000"/>
          <w:highlight w:val="none"/>
        </w:rPr>
      </w:pPr>
      <w:r>
        <w:rPr>
          <w:rFonts w:hint="eastAsia" w:hAnsi="宋体" w:cs="宋体"/>
          <w:sz w:val="21"/>
          <w:szCs w:val="21"/>
          <w:highlight w:val="none"/>
          <w:lang w:val="en-US" w:eastAsia="zh-CN"/>
        </w:rPr>
        <w:t>本项目实行预付款制度。成交供应商须向采购人提供银行、保险公司、担保公司等金融机构出具的预付款保函或其他担保措施。</w:t>
      </w:r>
      <w:r>
        <w:rPr>
          <w:rFonts w:hint="eastAsia" w:ascii="宋体" w:hAnsi="宋体" w:eastAsia="宋体" w:cs="宋体"/>
          <w:szCs w:val="21"/>
          <w:highlight w:val="none"/>
          <w:lang w:val="en-US" w:eastAsia="zh-CN"/>
        </w:rPr>
        <w:t>双方签订合同后五个工作日内预付40%合同款。每半年维护费用按合同价款的30%支付。合同期内每半年考核评分在85</w:t>
      </w:r>
      <w:r>
        <w:rPr>
          <w:rFonts w:hint="eastAsia" w:ascii="宋体" w:hAnsi="宋体" w:eastAsia="宋体" w:cs="宋体"/>
          <w:szCs w:val="21"/>
          <w:highlight w:val="none"/>
        </w:rPr>
        <w:t>分及以上，则</w:t>
      </w:r>
      <w:r>
        <w:rPr>
          <w:rFonts w:hint="eastAsia" w:ascii="宋体" w:hAnsi="宋体" w:eastAsia="宋体" w:cs="宋体"/>
          <w:szCs w:val="21"/>
          <w:highlight w:val="none"/>
          <w:lang w:val="en-US" w:eastAsia="zh-CN"/>
        </w:rPr>
        <w:t>半年</w:t>
      </w:r>
      <w:r>
        <w:rPr>
          <w:rFonts w:hint="eastAsia" w:ascii="宋体" w:hAnsi="宋体" w:eastAsia="宋体" w:cs="宋体"/>
          <w:szCs w:val="21"/>
          <w:highlight w:val="none"/>
        </w:rPr>
        <w:t>维护费</w:t>
      </w:r>
      <w:r>
        <w:rPr>
          <w:rFonts w:hint="eastAsia" w:ascii="宋体" w:hAnsi="宋体" w:eastAsia="宋体" w:cs="宋体"/>
          <w:szCs w:val="21"/>
          <w:highlight w:val="none"/>
          <w:lang w:eastAsia="zh-CN"/>
        </w:rPr>
        <w:t>用</w:t>
      </w:r>
      <w:r>
        <w:rPr>
          <w:rFonts w:hint="eastAsia" w:ascii="宋体" w:hAnsi="宋体" w:eastAsia="宋体" w:cs="宋体"/>
          <w:szCs w:val="21"/>
          <w:highlight w:val="none"/>
        </w:rPr>
        <w:t>按全额支付；如低于</w:t>
      </w:r>
      <w:r>
        <w:rPr>
          <w:rFonts w:hint="eastAsia" w:ascii="宋体" w:hAnsi="宋体" w:eastAsia="宋体" w:cs="宋体"/>
          <w:szCs w:val="21"/>
          <w:highlight w:val="none"/>
          <w:lang w:val="en-US" w:eastAsia="zh-CN"/>
        </w:rPr>
        <w:t>85</w:t>
      </w:r>
      <w:r>
        <w:rPr>
          <w:rFonts w:hint="eastAsia" w:ascii="宋体" w:hAnsi="宋体" w:eastAsia="宋体" w:cs="宋体"/>
          <w:szCs w:val="21"/>
          <w:highlight w:val="none"/>
        </w:rPr>
        <w:t>分的，按500元</w:t>
      </w:r>
      <w:r>
        <w:rPr>
          <w:rFonts w:hint="eastAsia" w:ascii="宋体" w:hAnsi="宋体" w:eastAsia="宋体" w:cs="宋体"/>
          <w:szCs w:val="21"/>
          <w:highlight w:val="none"/>
          <w:lang w:val="en-US" w:eastAsia="zh-CN"/>
        </w:rPr>
        <w:t>/分</w:t>
      </w:r>
      <w:r>
        <w:rPr>
          <w:rFonts w:hint="eastAsia" w:ascii="宋体" w:hAnsi="宋体" w:eastAsia="宋体" w:cs="宋体"/>
          <w:szCs w:val="21"/>
          <w:highlight w:val="none"/>
        </w:rPr>
        <w:t>扣除罚款后支付</w:t>
      </w:r>
      <w:r>
        <w:rPr>
          <w:rFonts w:hint="eastAsia" w:ascii="宋体" w:hAnsi="宋体" w:eastAsia="宋体" w:cs="宋体"/>
          <w:szCs w:val="21"/>
          <w:highlight w:val="none"/>
          <w:lang w:val="en-US" w:eastAsia="zh-CN"/>
        </w:rPr>
        <w:t>该半年</w:t>
      </w:r>
      <w:r>
        <w:rPr>
          <w:rFonts w:hint="eastAsia" w:ascii="宋体" w:hAnsi="宋体" w:eastAsia="宋体" w:cs="宋体"/>
          <w:szCs w:val="21"/>
          <w:highlight w:val="none"/>
        </w:rPr>
        <w:t>维护费用。</w:t>
      </w:r>
    </w:p>
    <w:p>
      <w:bookmarkStart w:id="1" w:name="_GoBack"/>
      <w:bookmarkEnd w:id="1"/>
    </w:p>
    <w:sectPr>
      <w:pgSz w:w="11906" w:h="16838"/>
      <w:pgMar w:top="1134"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D688EB"/>
    <w:multiLevelType w:val="singleLevel"/>
    <w:tmpl w:val="B1D688EB"/>
    <w:lvl w:ilvl="0" w:tentative="0">
      <w:start w:val="6"/>
      <w:numFmt w:val="chineseCounting"/>
      <w:suff w:val="nothing"/>
      <w:lvlText w:val="%1、"/>
      <w:lvlJc w:val="left"/>
      <w:rPr>
        <w:rFonts w:hint="eastAsia"/>
        <w:b/>
        <w:bCs/>
      </w:rPr>
    </w:lvl>
  </w:abstractNum>
  <w:abstractNum w:abstractNumId="1">
    <w:nsid w:val="D7FFB33E"/>
    <w:multiLevelType w:val="singleLevel"/>
    <w:tmpl w:val="D7FFB33E"/>
    <w:lvl w:ilvl="0" w:tentative="0">
      <w:start w:val="2"/>
      <w:numFmt w:val="decimal"/>
      <w:suff w:val="nothing"/>
      <w:lvlText w:val="（%1）"/>
      <w:lvlJc w:val="left"/>
    </w:lvl>
  </w:abstractNum>
  <w:abstractNum w:abstractNumId="2">
    <w:nsid w:val="F084CC1B"/>
    <w:multiLevelType w:val="singleLevel"/>
    <w:tmpl w:val="F084CC1B"/>
    <w:lvl w:ilvl="0" w:tentative="0">
      <w:start w:val="1"/>
      <w:numFmt w:val="decimal"/>
      <w:suff w:val="nothing"/>
      <w:lvlText w:val="%1、"/>
      <w:lvlJc w:val="left"/>
    </w:lvl>
  </w:abstractNum>
  <w:abstractNum w:abstractNumId="3">
    <w:nsid w:val="2DCE589C"/>
    <w:multiLevelType w:val="singleLevel"/>
    <w:tmpl w:val="2DCE589C"/>
    <w:lvl w:ilvl="0" w:tentative="0">
      <w:start w:val="1"/>
      <w:numFmt w:val="decimal"/>
      <w:suff w:val="nothing"/>
      <w:lvlText w:val="%1、"/>
      <w:lvlJc w:val="left"/>
    </w:lvl>
  </w:abstractNum>
  <w:abstractNum w:abstractNumId="4">
    <w:nsid w:val="6F6AE8F2"/>
    <w:multiLevelType w:val="singleLevel"/>
    <w:tmpl w:val="6F6AE8F2"/>
    <w:lvl w:ilvl="0" w:tentative="0">
      <w:start w:val="1"/>
      <w:numFmt w:val="decimal"/>
      <w:suff w:val="nothing"/>
      <w:lvlText w:val="%1、"/>
      <w:lvlJc w:val="left"/>
    </w:lvl>
  </w:abstractNum>
  <w:abstractNum w:abstractNumId="5">
    <w:nsid w:val="776D6FEE"/>
    <w:multiLevelType w:val="singleLevel"/>
    <w:tmpl w:val="776D6FEE"/>
    <w:lvl w:ilvl="0" w:tentative="0">
      <w:start w:val="3"/>
      <w:numFmt w:val="chineseCounting"/>
      <w:suff w:val="nothing"/>
      <w:lvlText w:val="%1、"/>
      <w:lvlJc w:val="left"/>
      <w:rPr>
        <w:rFonts w:hint="eastAsia"/>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ViOTI1YjMzNzU1MGU0NTliYzYxY2RiZWM1MzEwMGQifQ=="/>
  </w:docVars>
  <w:rsids>
    <w:rsidRoot w:val="0AB26AD4"/>
    <w:rsid w:val="0AB26AD4"/>
    <w:rsid w:val="4EE25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qFormat/>
    <w:uiPriority w:val="0"/>
    <w:pPr>
      <w:keepNext/>
      <w:keepLines/>
      <w:autoSpaceDE w:val="0"/>
      <w:autoSpaceDN w:val="0"/>
      <w:adjustRightInd w:val="0"/>
      <w:spacing w:before="120" w:line="360" w:lineRule="auto"/>
      <w:jc w:val="center"/>
      <w:outlineLvl w:val="1"/>
    </w:pPr>
    <w:rPr>
      <w:rFonts w:ascii="Arial" w:hAnsi="Arial"/>
      <w:b/>
      <w:kern w:val="0"/>
      <w:sz w:val="32"/>
      <w:szCs w:val="20"/>
    </w:rPr>
  </w:style>
  <w:style w:type="character" w:default="1" w:styleId="14">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customStyle="1" w:styleId="2">
    <w:name w:val="正文 New"/>
    <w:basedOn w:val="1"/>
    <w:qFormat/>
    <w:uiPriority w:val="0"/>
    <w:pPr>
      <w:spacing w:before="100" w:beforeAutospacing="1" w:after="100" w:afterAutospacing="1" w:line="440" w:lineRule="exact"/>
      <w:ind w:left="357" w:hanging="357"/>
    </w:pPr>
    <w:rPr>
      <w:szCs w:val="21"/>
    </w:rPr>
  </w:style>
  <w:style w:type="paragraph" w:styleId="4">
    <w:name w:val="Normal Indent"/>
    <w:basedOn w:val="1"/>
    <w:next w:val="5"/>
    <w:qFormat/>
    <w:uiPriority w:val="0"/>
    <w:pPr>
      <w:autoSpaceDE w:val="0"/>
      <w:autoSpaceDN w:val="0"/>
      <w:adjustRightInd w:val="0"/>
      <w:ind w:firstLine="420"/>
      <w:jc w:val="left"/>
    </w:pPr>
    <w:rPr>
      <w:rFonts w:ascii="宋体"/>
      <w:kern w:val="0"/>
      <w:sz w:val="24"/>
      <w:szCs w:val="20"/>
    </w:rPr>
  </w:style>
  <w:style w:type="paragraph" w:styleId="5">
    <w:name w:val="Body Text First Indent 2"/>
    <w:basedOn w:val="6"/>
    <w:next w:val="8"/>
    <w:unhideWhenUsed/>
    <w:qFormat/>
    <w:uiPriority w:val="99"/>
    <w:pPr>
      <w:ind w:firstLine="420"/>
    </w:pPr>
  </w:style>
  <w:style w:type="paragraph" w:styleId="6">
    <w:name w:val="Body Text Indent"/>
    <w:basedOn w:val="1"/>
    <w:next w:val="7"/>
    <w:qFormat/>
    <w:uiPriority w:val="0"/>
    <w:pPr>
      <w:spacing w:after="120"/>
      <w:ind w:left="420" w:leftChars="200"/>
    </w:pPr>
  </w:style>
  <w:style w:type="paragraph" w:styleId="7">
    <w:name w:val="envelope return"/>
    <w:basedOn w:val="1"/>
    <w:unhideWhenUsed/>
    <w:qFormat/>
    <w:uiPriority w:val="0"/>
    <w:pPr>
      <w:snapToGrid w:val="0"/>
      <w:spacing w:beforeLines="50" w:afterLines="50" w:line="360" w:lineRule="auto"/>
      <w:ind w:firstLine="480" w:firstLineChars="200"/>
    </w:pPr>
    <w:rPr>
      <w:rFonts w:ascii="Arial" w:hAnsi="Arial" w:cs="Arial"/>
      <w:sz w:val="24"/>
    </w:rPr>
  </w:style>
  <w:style w:type="paragraph" w:styleId="8">
    <w:name w:val="Body Text First Indent"/>
    <w:basedOn w:val="9"/>
    <w:next w:val="1"/>
    <w:qFormat/>
    <w:uiPriority w:val="0"/>
    <w:pPr>
      <w:tabs>
        <w:tab w:val="left" w:pos="567"/>
      </w:tabs>
      <w:spacing w:after="120"/>
      <w:ind w:firstLine="420" w:firstLineChars="100"/>
    </w:pPr>
  </w:style>
  <w:style w:type="paragraph" w:styleId="9">
    <w:name w:val="Body Text"/>
    <w:basedOn w:val="1"/>
    <w:next w:val="1"/>
    <w:qFormat/>
    <w:uiPriority w:val="0"/>
    <w:pPr>
      <w:tabs>
        <w:tab w:val="left" w:pos="567"/>
      </w:tabs>
      <w:spacing w:before="120" w:line="22" w:lineRule="atLeast"/>
    </w:pPr>
    <w:rPr>
      <w:rFonts w:ascii="宋体" w:hAnsi="宋体"/>
      <w:sz w:val="24"/>
    </w:rPr>
  </w:style>
  <w:style w:type="paragraph" w:styleId="10">
    <w:name w:val="table of authorities"/>
    <w:basedOn w:val="1"/>
    <w:next w:val="1"/>
    <w:unhideWhenUsed/>
    <w:qFormat/>
    <w:uiPriority w:val="0"/>
    <w:pPr>
      <w:autoSpaceDE w:val="0"/>
      <w:autoSpaceDN w:val="0"/>
      <w:ind w:left="420" w:leftChars="200"/>
      <w:jc w:val="left"/>
    </w:pPr>
    <w:rPr>
      <w:rFonts w:ascii="宋体" w:hAnsi="宋体" w:cs="宋体"/>
      <w:kern w:val="0"/>
      <w:sz w:val="22"/>
      <w:szCs w:val="22"/>
      <w:lang w:eastAsia="en-US"/>
    </w:rPr>
  </w:style>
  <w:style w:type="paragraph" w:styleId="11">
    <w:name w:val="Plain Text"/>
    <w:basedOn w:val="1"/>
    <w:next w:val="1"/>
    <w:qFormat/>
    <w:uiPriority w:val="0"/>
    <w:rPr>
      <w:rFonts w:ascii="宋体" w:hAnsi="Courier New"/>
      <w:szCs w:val="20"/>
    </w:rPr>
  </w:style>
  <w:style w:type="table" w:styleId="13">
    <w:name w:val="Table Grid"/>
    <w:basedOn w:val="1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2023-02-10T00:47:00Z</dcterms:created>
  <dc:creator>兔子爱上了窝边草</dc:creator>
  <cp:lastModifiedBy>兔子爱上了窝边草</cp:lastModifiedBy>
  <dcterms:modified xsi:type="dcterms:W3CDTF">2023-02-10T01:00:47Z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3B655FD254B94149B1EF9274185F2886</vt:lpwstr>
  </property>
</Properties>
</file>