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334DB">
      <w:pPr>
        <w:adjustRightInd w:val="0"/>
        <w:snapToGrid w:val="0"/>
        <w:spacing w:after="156" w:afterLines="50" w:line="360" w:lineRule="auto"/>
        <w:jc w:val="center"/>
        <w:outlineLvl w:val="0"/>
        <w:rPr>
          <w:rFonts w:eastAsia="黑体"/>
          <w:b/>
          <w:kern w:val="44"/>
          <w:sz w:val="48"/>
          <w:szCs w:val="20"/>
        </w:rPr>
      </w:pPr>
      <w:bookmarkStart w:id="2" w:name="_GoBack"/>
      <w:bookmarkEnd w:id="2"/>
      <w:bookmarkStart w:id="0" w:name="_Toc129880039"/>
      <w:bookmarkStart w:id="1" w:name="_Toc512937852"/>
      <w:r>
        <w:rPr>
          <w:b/>
          <w:sz w:val="30"/>
          <w:szCs w:val="30"/>
        </w:rPr>
        <w:t>第八部分 采购需求</w:t>
      </w:r>
      <w:bookmarkEnd w:id="0"/>
    </w:p>
    <w:bookmarkEnd w:id="1"/>
    <w:p w14:paraId="558F8AFB">
      <w:pPr>
        <w:adjustRightInd w:val="0"/>
        <w:snapToGrid w:val="0"/>
        <w:spacing w:before="156" w:beforeLines="50" w:after="156" w:afterLines="50" w:line="360" w:lineRule="auto"/>
        <w:jc w:val="center"/>
        <w:rPr>
          <w:b/>
          <w:sz w:val="24"/>
        </w:rPr>
      </w:pPr>
      <w:r>
        <w:rPr>
          <w:b/>
          <w:sz w:val="24"/>
        </w:rPr>
        <w:t>货物需求一览表</w:t>
      </w:r>
    </w:p>
    <w:p w14:paraId="6B030B7A">
      <w:pPr>
        <w:adjustRightInd w:val="0"/>
        <w:snapToGrid w:val="0"/>
        <w:jc w:val="center"/>
        <w:rPr>
          <w:b/>
          <w:sz w:val="30"/>
          <w:szCs w:val="30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25BF59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1A7C444A">
            <w:pPr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</w:tc>
        <w:tc>
          <w:tcPr>
            <w:tcW w:w="2357" w:type="dxa"/>
            <w:vAlign w:val="center"/>
          </w:tcPr>
          <w:p w14:paraId="740545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054E49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2470" w:type="dxa"/>
            <w:vAlign w:val="center"/>
          </w:tcPr>
          <w:p w14:paraId="2B97581C">
            <w:pPr>
              <w:jc w:val="center"/>
              <w:rPr>
                <w:sz w:val="24"/>
              </w:rPr>
            </w:pPr>
            <w:r>
              <w:rPr>
                <w:sz w:val="24"/>
              </w:rPr>
              <w:t>是否接受进口</w:t>
            </w:r>
          </w:p>
        </w:tc>
      </w:tr>
      <w:tr w14:paraId="576B5D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452EB8B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6503E858">
            <w:pPr>
              <w:jc w:val="center"/>
              <w:rPr>
                <w:sz w:val="24"/>
              </w:rPr>
            </w:pPr>
            <w:r>
              <w:rPr>
                <w:sz w:val="24"/>
              </w:rPr>
              <w:t>激光剥蚀-激光电离飞行时间质谱分析装置</w:t>
            </w:r>
          </w:p>
        </w:tc>
        <w:tc>
          <w:tcPr>
            <w:tcW w:w="1329" w:type="dxa"/>
            <w:vAlign w:val="center"/>
          </w:tcPr>
          <w:p w14:paraId="20D8D67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70" w:type="dxa"/>
            <w:vAlign w:val="center"/>
          </w:tcPr>
          <w:p w14:paraId="06DED9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否</w:t>
            </w:r>
          </w:p>
        </w:tc>
      </w:tr>
    </w:tbl>
    <w:p w14:paraId="6D52DEDB">
      <w:pPr>
        <w:adjustRightInd w:val="0"/>
        <w:snapToGrid w:val="0"/>
        <w:jc w:val="center"/>
        <w:rPr>
          <w:b/>
          <w:sz w:val="30"/>
          <w:szCs w:val="30"/>
        </w:rPr>
      </w:pPr>
    </w:p>
    <w:p w14:paraId="16F1D453">
      <w:pPr>
        <w:adjustRightInd w:val="0"/>
        <w:snapToGrid w:val="0"/>
        <w:jc w:val="center"/>
        <w:rPr>
          <w:b/>
          <w:sz w:val="30"/>
          <w:szCs w:val="30"/>
        </w:rPr>
      </w:pPr>
    </w:p>
    <w:p w14:paraId="097A3750">
      <w:pPr>
        <w:rPr>
          <w:sz w:val="24"/>
        </w:rPr>
      </w:pPr>
      <w:r>
        <w:rPr>
          <w:sz w:val="24"/>
        </w:rPr>
        <w:t>注：投标人须对上述投标内容中完整的一包或几包进行投标，不完整的投标将视为非响应性投标予以拒绝。</w:t>
      </w:r>
    </w:p>
    <w:p w14:paraId="08EF972C">
      <w:pPr>
        <w:adjustRightInd w:val="0"/>
        <w:snapToGrid w:val="0"/>
        <w:rPr>
          <w:szCs w:val="21"/>
        </w:rPr>
      </w:pPr>
    </w:p>
    <w:p w14:paraId="4351A673">
      <w:pPr>
        <w:adjustRightInd w:val="0"/>
        <w:snapToGrid w:val="0"/>
        <w:rPr>
          <w:szCs w:val="21"/>
        </w:rPr>
      </w:pPr>
    </w:p>
    <w:p w14:paraId="2D886E4D">
      <w:pPr>
        <w:adjustRightInd w:val="0"/>
        <w:snapToGrid w:val="0"/>
        <w:rPr>
          <w:szCs w:val="21"/>
        </w:rPr>
      </w:pPr>
    </w:p>
    <w:p w14:paraId="30217010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30"/>
          <w:szCs w:val="30"/>
        </w:rPr>
        <w:br w:type="page"/>
      </w:r>
      <w:r>
        <w:rPr>
          <w:b/>
          <w:sz w:val="28"/>
          <w:szCs w:val="28"/>
        </w:rPr>
        <w:t>一、总则</w:t>
      </w:r>
    </w:p>
    <w:p w14:paraId="26D3E9F1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1、投标要求</w:t>
      </w:r>
    </w:p>
    <w:p w14:paraId="1A6435A8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1.1  投标人在准备投标书时，务必在所提供的商品的技术规格文件中，标明型号、商标名称、目录号。</w:t>
      </w:r>
    </w:p>
    <w:p w14:paraId="75A3DEDD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61648CD9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1.3  投标人提供的产品样本，必须是“原件”而非复印件，图表、简图、电路图以及印刷电路板图等都应清晰易读。</w:t>
      </w:r>
    </w:p>
    <w:p w14:paraId="352BAC19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411ED9EB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2、评标标准</w:t>
      </w:r>
    </w:p>
    <w:p w14:paraId="41A78CA9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6CCCB083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</w:t>
      </w:r>
    </w:p>
    <w:p w14:paraId="35E3632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2.3  为便于用户进行接收仪器的准备工作，卖方应在合同生效后</w:t>
      </w:r>
      <w:r>
        <w:rPr>
          <w:b/>
          <w:sz w:val="24"/>
        </w:rPr>
        <w:t>60</w:t>
      </w:r>
      <w:r>
        <w:rPr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750989F3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653BA8A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30B19DD2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3、工作条件</w:t>
      </w:r>
    </w:p>
    <w:p w14:paraId="61E5012D"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除非在技术规格中另有说明，所有仪器、设备和系统都应符合下列要求： </w:t>
      </w:r>
    </w:p>
    <w:p w14:paraId="79A02D93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3.1  适于在气温为摄氏</w:t>
      </w:r>
      <w:r>
        <w:rPr>
          <w:b/>
          <w:sz w:val="24"/>
        </w:rPr>
        <w:t>-40℃～＋50℃</w:t>
      </w:r>
      <w:r>
        <w:rPr>
          <w:sz w:val="24"/>
        </w:rPr>
        <w:t>和相对湿度为</w:t>
      </w:r>
      <w:r>
        <w:rPr>
          <w:b/>
          <w:sz w:val="24"/>
        </w:rPr>
        <w:t>90％</w:t>
      </w:r>
      <w:r>
        <w:rPr>
          <w:sz w:val="24"/>
        </w:rPr>
        <w:t>的环境条件下运输和贮存。</w:t>
      </w:r>
    </w:p>
    <w:p w14:paraId="74CA3559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3.2  适于在电源</w:t>
      </w:r>
      <w:r>
        <w:rPr>
          <w:b/>
          <w:sz w:val="24"/>
        </w:rPr>
        <w:t>220V（</w:t>
      </w:r>
      <w:r>
        <w:rPr>
          <w:b/>
          <w:sz w:val="24"/>
        </w:rPr>
        <w:sym w:font="Symbol" w:char="F0B1"/>
      </w:r>
      <w:r>
        <w:rPr>
          <w:b/>
          <w:sz w:val="24"/>
        </w:rPr>
        <w:t>10％）/50Hz</w:t>
      </w:r>
      <w:r>
        <w:rPr>
          <w:sz w:val="24"/>
        </w:rPr>
        <w:t>、气温摄氏</w:t>
      </w:r>
      <w:r>
        <w:rPr>
          <w:b/>
          <w:sz w:val="24"/>
        </w:rPr>
        <w:t>+15℃～＋30℃</w:t>
      </w:r>
      <w:r>
        <w:rPr>
          <w:sz w:val="24"/>
        </w:rPr>
        <w:t>和相对湿度小于</w:t>
      </w:r>
      <w:r>
        <w:rPr>
          <w:b/>
          <w:sz w:val="24"/>
        </w:rPr>
        <w:t>80％</w:t>
      </w:r>
      <w:r>
        <w:rPr>
          <w:sz w:val="24"/>
        </w:rPr>
        <w:t>的环境条件下运行。</w:t>
      </w:r>
      <w:r>
        <w:rPr>
          <w:b/>
          <w:sz w:val="24"/>
        </w:rPr>
        <w:t>能够连续正常工作。</w:t>
      </w:r>
    </w:p>
    <w:p w14:paraId="54F642C9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3.3  配置符合中国有关标准要求的插头，如果没有这样的插头，则需提供适当的转换插座。</w:t>
      </w:r>
    </w:p>
    <w:p w14:paraId="5ED888A5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0A0E028E">
      <w:pPr>
        <w:rPr>
          <w:rFonts w:eastAsia="黑体"/>
          <w:b/>
          <w:bCs/>
          <w:kern w:val="44"/>
          <w:sz w:val="24"/>
        </w:rPr>
      </w:pPr>
    </w:p>
    <w:p w14:paraId="720E7283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4、验收标准</w:t>
      </w:r>
    </w:p>
    <w:p w14:paraId="7474CE21"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除非在技术规格中另有说明，所有仪器、设备和系统按下列要求进行验收： </w:t>
      </w:r>
    </w:p>
    <w:p w14:paraId="1AFBFAB0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756A5361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E579A8C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6E478F2B">
      <w:pPr>
        <w:pStyle w:val="20"/>
        <w:spacing w:line="360" w:lineRule="auto"/>
        <w:ind w:left="410" w:hanging="410" w:hangingChars="170"/>
        <w:rPr>
          <w:rFonts w:ascii="Times New Roman" w:hAnsi="Times New Roman"/>
          <w:b/>
          <w:sz w:val="24"/>
          <w:szCs w:val="24"/>
        </w:rPr>
      </w:pPr>
    </w:p>
    <w:p w14:paraId="695920E8">
      <w:pPr>
        <w:adjustRightInd w:val="0"/>
        <w:snapToGrid w:val="0"/>
        <w:spacing w:line="360" w:lineRule="auto"/>
        <w:rPr>
          <w:b/>
          <w:sz w:val="24"/>
        </w:rPr>
      </w:pPr>
      <w:r>
        <w:rPr>
          <w:b/>
          <w:bCs/>
          <w:sz w:val="24"/>
        </w:rPr>
        <w:t>5、本采购需求书中标注“</w:t>
      </w:r>
      <w:r>
        <w:rPr>
          <w:rFonts w:hint="eastAsia" w:ascii="宋体" w:hAnsi="宋体" w:cs="宋体"/>
          <w:b/>
          <w:bCs/>
          <w:sz w:val="24"/>
        </w:rPr>
        <w:t>★</w:t>
      </w:r>
      <w:r>
        <w:rPr>
          <w:b/>
          <w:bCs/>
          <w:sz w:val="24"/>
        </w:rPr>
        <w:t>”号技术条款的为实质性要求，不满足其投标将视为无效投标被拒绝。</w:t>
      </w:r>
    </w:p>
    <w:p w14:paraId="668C54ED">
      <w:pPr>
        <w:adjustRightInd w:val="0"/>
        <w:snapToGrid w:val="0"/>
        <w:spacing w:line="360" w:lineRule="auto"/>
        <w:rPr>
          <w:b/>
          <w:sz w:val="24"/>
        </w:rPr>
      </w:pPr>
    </w:p>
    <w:p w14:paraId="0FEA73D3">
      <w:pPr>
        <w:adjustRightInd w:val="0"/>
        <w:snapToGrid w:val="0"/>
        <w:spacing w:line="360" w:lineRule="auto"/>
        <w:rPr>
          <w:b/>
          <w:sz w:val="24"/>
        </w:rPr>
      </w:pPr>
      <w:r>
        <w:rPr>
          <w:b/>
          <w:sz w:val="24"/>
        </w:rPr>
        <w:t>6、如在具体技术规格中有本总则不一致之处，以具体技术规格中的要求为准。</w:t>
      </w:r>
    </w:p>
    <w:p w14:paraId="6C2C5C66">
      <w:pPr>
        <w:adjustRightInd w:val="0"/>
        <w:snapToGrid w:val="0"/>
        <w:spacing w:line="360" w:lineRule="auto"/>
        <w:rPr>
          <w:b/>
          <w:sz w:val="28"/>
          <w:szCs w:val="28"/>
        </w:rPr>
      </w:pPr>
      <w:r>
        <w:rPr>
          <w:b/>
          <w:sz w:val="28"/>
        </w:rPr>
        <w:br w:type="page"/>
      </w:r>
      <w:r>
        <w:rPr>
          <w:b/>
          <w:sz w:val="28"/>
          <w:szCs w:val="28"/>
        </w:rPr>
        <w:t>二、具体技术规格</w:t>
      </w:r>
    </w:p>
    <w:p w14:paraId="7F09D648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激光剥蚀-激光电离飞行时间质谱分析装置</w:t>
      </w:r>
    </w:p>
    <w:p w14:paraId="1C28FB05">
      <w:pPr>
        <w:rPr>
          <w:b/>
          <w:sz w:val="24"/>
        </w:rPr>
      </w:pPr>
    </w:p>
    <w:p w14:paraId="0A0B90FB">
      <w:pPr>
        <w:rPr>
          <w:b/>
          <w:sz w:val="24"/>
        </w:rPr>
      </w:pPr>
    </w:p>
    <w:p w14:paraId="0298FBD7">
      <w:pPr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技术要求：</w:t>
      </w:r>
    </w:p>
    <w:p w14:paraId="34C6D8B0">
      <w:pPr>
        <w:rPr>
          <w:b/>
          <w:sz w:val="24"/>
        </w:rPr>
      </w:pPr>
    </w:p>
    <w:p w14:paraId="76F7C353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b/>
          <w:sz w:val="24"/>
        </w:rPr>
        <w:t>工作条件：</w:t>
      </w:r>
    </w:p>
    <w:p w14:paraId="6F5BA518">
      <w:pPr>
        <w:spacing w:line="360" w:lineRule="auto"/>
        <w:rPr>
          <w:sz w:val="24"/>
        </w:rPr>
      </w:pPr>
      <w:r>
        <w:rPr>
          <w:sz w:val="24"/>
        </w:rPr>
        <w:t>1.1 见总则第3条。</w:t>
      </w:r>
    </w:p>
    <w:p w14:paraId="0B5AA465">
      <w:pPr>
        <w:spacing w:line="360" w:lineRule="auto"/>
        <w:ind w:left="435" w:firstLine="240"/>
        <w:rPr>
          <w:sz w:val="24"/>
        </w:rPr>
      </w:pPr>
    </w:p>
    <w:p w14:paraId="7B49C4F6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b/>
          <w:sz w:val="24"/>
        </w:rPr>
        <w:t>设备用途：</w:t>
      </w:r>
    </w:p>
    <w:p w14:paraId="2C070E4B">
      <w:pPr>
        <w:pStyle w:val="22"/>
        <w:spacing w:line="360" w:lineRule="auto"/>
        <w:ind w:firstLine="482" w:firstLineChars="200"/>
        <w:rPr>
          <w:sz w:val="24"/>
        </w:rPr>
      </w:pPr>
      <w:r>
        <w:rPr>
          <w:b/>
          <w:sz w:val="24"/>
        </w:rPr>
        <w:t>该仪器为激光剥蚀-激光电离飞行时间质谱一体机（非简单联用型）</w:t>
      </w:r>
      <w:r>
        <w:rPr>
          <w:sz w:val="24"/>
        </w:rPr>
        <w:t>，分析对象为固体样品中的矿物和矿物中的流体包裹体</w:t>
      </w:r>
      <w:r>
        <w:rPr>
          <w:rFonts w:hint="eastAsia"/>
          <w:sz w:val="24"/>
        </w:rPr>
        <w:t>。该仪器</w:t>
      </w:r>
      <w:r>
        <w:rPr>
          <w:sz w:val="24"/>
        </w:rPr>
        <w:t>通过激光剥蚀提取样品再电离两步，使样品电离</w:t>
      </w:r>
      <w:r>
        <w:rPr>
          <w:rFonts w:hint="eastAsia"/>
          <w:sz w:val="24"/>
        </w:rPr>
        <w:t>，</w:t>
      </w:r>
      <w:r>
        <w:rPr>
          <w:sz w:val="24"/>
        </w:rPr>
        <w:t>生成的离子进入飞行时间质谱仪中，进行分离、定性和定量分析。核心部件包括：两个激光器（或一个激光器实现两种功能）、真空状态下带离子源的样品室和一个飞行时间质谱仪。</w:t>
      </w:r>
    </w:p>
    <w:p w14:paraId="1FC050D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仪器可以</w:t>
      </w:r>
      <w:r>
        <w:rPr>
          <w:sz w:val="24"/>
        </w:rPr>
        <w:t>准确测定矿物和单个流体包裹体中全谱元素（Li-U）含量和</w:t>
      </w:r>
      <w:r>
        <w:rPr>
          <w:rFonts w:hint="eastAsia"/>
          <w:sz w:val="24"/>
        </w:rPr>
        <w:t>U-Pb同位素</w:t>
      </w:r>
      <w:r>
        <w:rPr>
          <w:sz w:val="24"/>
        </w:rPr>
        <w:t>，包括传统LA-ICP-MS不能准确测定的矿化剂（挥发份）元素C、O、N、F、Cl、S、I以及金属元素Si、K、Ca、Mg、Cr、Fe等。</w:t>
      </w:r>
    </w:p>
    <w:p w14:paraId="1B9522B1">
      <w:pPr>
        <w:spacing w:line="360" w:lineRule="auto"/>
        <w:rPr>
          <w:sz w:val="24"/>
        </w:rPr>
      </w:pPr>
    </w:p>
    <w:p w14:paraId="48782A17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b/>
          <w:sz w:val="24"/>
        </w:rPr>
        <w:t>技术规格：</w:t>
      </w:r>
    </w:p>
    <w:p w14:paraId="16255F78">
      <w:pPr>
        <w:adjustRightInd w:val="0"/>
        <w:spacing w:before="120" w:line="300" w:lineRule="auto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3.1 激光剥蚀部分</w:t>
      </w:r>
    </w:p>
    <w:p w14:paraId="7172D3A5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3.1.1 激光波长：短脉冲皮秒或飞秒，波长≤343nm，脉宽≤350fs。</w:t>
      </w:r>
    </w:p>
    <w:p w14:paraId="7067A5BC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3.1.2 能量范围：1～100%连续可调，能量稳定性≤2% RMS。</w:t>
      </w:r>
    </w:p>
    <w:p w14:paraId="7E27B6D1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3.1.3 重复频率：≥100 Hz。</w:t>
      </w:r>
    </w:p>
    <w:p w14:paraId="7651B75B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3.1.4束斑尺寸：1-150 μm 连续可调；</w:t>
      </w:r>
    </w:p>
    <w:p w14:paraId="62F64C60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3.1.5束斑形状：方形或方、圆形可通过软件选择更改，剥蚀坑形状规则，平底剥蚀坑。</w:t>
      </w:r>
    </w:p>
    <w:p w14:paraId="4D78E5D5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3.1.6 剥蚀深度：聚焦到样品表面后，60</w:t>
      </w:r>
      <w:r>
        <w:rPr>
          <w:rFonts w:hint="eastAsia" w:eastAsiaTheme="minorEastAsia"/>
          <w:sz w:val="24"/>
        </w:rPr>
        <w:t xml:space="preserve"> </w:t>
      </w:r>
      <w:r>
        <w:rPr>
          <w:rFonts w:eastAsiaTheme="minorEastAsia"/>
          <w:sz w:val="24"/>
        </w:rPr>
        <w:t>μm束斑条件下，单孔持续剥蚀深度≥40 μm。</w:t>
      </w:r>
    </w:p>
    <w:p w14:paraId="08F4D96B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3.1.7 高能量激光器，最大束斑条件下（≥150</w:t>
      </w:r>
      <w:r>
        <w:rPr>
          <w:rFonts w:hint="eastAsia" w:eastAsiaTheme="minorEastAsia"/>
          <w:sz w:val="24"/>
        </w:rPr>
        <w:t xml:space="preserve"> </w:t>
      </w:r>
      <w:r>
        <w:rPr>
          <w:rFonts w:eastAsiaTheme="minorEastAsia"/>
          <w:sz w:val="24"/>
        </w:rPr>
        <w:t>μm），聚焦到样品表面的能量，不低于3 J/cm</w:t>
      </w:r>
      <w:r>
        <w:rPr>
          <w:rFonts w:eastAsiaTheme="minorEastAsia"/>
          <w:sz w:val="24"/>
          <w:vertAlign w:val="superscript"/>
        </w:rPr>
        <w:t>2</w:t>
      </w:r>
      <w:r>
        <w:rPr>
          <w:rFonts w:hint="eastAsia" w:eastAsiaTheme="minorEastAsia"/>
          <w:sz w:val="24"/>
        </w:rPr>
        <w:t>，</w:t>
      </w:r>
      <w:r>
        <w:rPr>
          <w:rFonts w:eastAsiaTheme="minorEastAsia"/>
          <w:sz w:val="24"/>
        </w:rPr>
        <w:t>能正常剥动NIST系列硅酸盐玻璃；</w:t>
      </w:r>
    </w:p>
    <w:p w14:paraId="4F7B9196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3.1.8 </w:t>
      </w:r>
      <w:r>
        <w:rPr>
          <w:sz w:val="24"/>
        </w:rPr>
        <w:t>≥</w:t>
      </w:r>
      <w:r>
        <w:rPr>
          <w:rFonts w:eastAsiaTheme="minorEastAsia"/>
          <w:sz w:val="24"/>
        </w:rPr>
        <w:t>44μm束斑条件下，能有效剥蚀石英和萤石；</w:t>
      </w:r>
    </w:p>
    <w:p w14:paraId="3A30D6B6">
      <w:pPr>
        <w:spacing w:before="120" w:line="300" w:lineRule="auto"/>
        <w:rPr>
          <w:sz w:val="24"/>
        </w:rPr>
      </w:pPr>
      <w:r>
        <w:rPr>
          <w:sz w:val="24"/>
        </w:rPr>
        <w:t>#</w:t>
      </w:r>
      <w:r>
        <w:rPr>
          <w:rFonts w:eastAsiaTheme="minorEastAsia"/>
          <w:sz w:val="24"/>
        </w:rPr>
        <w:t>3.1.9</w:t>
      </w:r>
      <w:r>
        <w:rPr>
          <w:sz w:val="24"/>
        </w:rPr>
        <w:t>飞秒激光剥蚀单元可</w:t>
      </w:r>
      <w:r>
        <w:rPr>
          <w:sz w:val="24"/>
          <w:highlight w:val="none"/>
        </w:rPr>
        <w:t>独立运行，支持与</w:t>
      </w:r>
      <w:r>
        <w:rPr>
          <w:rFonts w:hint="eastAsia"/>
          <w:sz w:val="24"/>
          <w:highlight w:val="none"/>
        </w:rPr>
        <w:t>主流</w:t>
      </w:r>
      <w:r>
        <w:rPr>
          <w:sz w:val="24"/>
          <w:highlight w:val="none"/>
        </w:rPr>
        <w:t xml:space="preserve"> ICP-MS、MC-ICP-MS 等质谱设备联用，实现连续做样无人值守。</w:t>
      </w:r>
    </w:p>
    <w:p w14:paraId="79DCF44A">
      <w:pPr>
        <w:adjustRightInd w:val="0"/>
        <w:spacing w:before="120" w:line="300" w:lineRule="auto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3.2 激光电离部分</w:t>
      </w:r>
    </w:p>
    <w:p w14:paraId="14960B79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3.2.1 电离方式和路径：激光多光子电离。</w:t>
      </w:r>
    </w:p>
    <w:p w14:paraId="0618C310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3.2.2 激光波长：≤343nm，</w:t>
      </w:r>
    </w:p>
    <w:p w14:paraId="09685EF2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hint="eastAsia" w:eastAsiaTheme="minorEastAsia"/>
          <w:sz w:val="24"/>
        </w:rPr>
        <w:t>3.2.3 高能量激光器，电离效率高，</w:t>
      </w:r>
      <w:r>
        <w:rPr>
          <w:rFonts w:eastAsiaTheme="minorEastAsia"/>
          <w:sz w:val="24"/>
        </w:rPr>
        <w:t>功率密度不低于5*10</w:t>
      </w:r>
      <w:r>
        <w:rPr>
          <w:rFonts w:eastAsiaTheme="minorEastAsia"/>
          <w:sz w:val="24"/>
          <w:vertAlign w:val="superscript"/>
        </w:rPr>
        <w:t>10</w:t>
      </w:r>
      <w:r>
        <w:rPr>
          <w:rFonts w:eastAsiaTheme="minorEastAsia"/>
          <w:sz w:val="24"/>
        </w:rPr>
        <w:t xml:space="preserve"> W/cm</w:t>
      </w:r>
      <w:r>
        <w:rPr>
          <w:rFonts w:eastAsiaTheme="minorEastAsia"/>
          <w:sz w:val="24"/>
          <w:vertAlign w:val="superscript"/>
        </w:rPr>
        <w:t>2</w:t>
      </w:r>
      <w:r>
        <w:rPr>
          <w:rFonts w:eastAsiaTheme="minorEastAsia"/>
          <w:sz w:val="24"/>
        </w:rPr>
        <w:t>；</w:t>
      </w:r>
    </w:p>
    <w:p w14:paraId="54EA7F0C">
      <w:pPr>
        <w:adjustRightInd w:val="0"/>
        <w:spacing w:before="120" w:line="300" w:lineRule="auto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3.3 飞行时间质谱部分</w:t>
      </w:r>
    </w:p>
    <w:p w14:paraId="57408D96">
      <w:pPr>
        <w:adjustRightInd w:val="0"/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3.3.1 分析类型：无机物和有机物。</w:t>
      </w:r>
    </w:p>
    <w:p w14:paraId="57D8692B">
      <w:pPr>
        <w:spacing w:before="120" w:line="300" w:lineRule="auto"/>
        <w:rPr>
          <w:rFonts w:eastAsiaTheme="minorEastAsia"/>
          <w:sz w:val="24"/>
        </w:rPr>
      </w:pPr>
      <w:r>
        <w:rPr>
          <w:rFonts w:hint="eastAsia" w:ascii="宋体" w:hAnsi="宋体" w:cs="宋体"/>
          <w:b/>
          <w:bCs/>
          <w:sz w:val="24"/>
        </w:rPr>
        <w:t>★</w:t>
      </w:r>
      <w:r>
        <w:rPr>
          <w:b/>
          <w:bCs/>
          <w:sz w:val="24"/>
        </w:rPr>
        <w:t>3.</w:t>
      </w:r>
      <w:r>
        <w:rPr>
          <w:rFonts w:eastAsiaTheme="minorEastAsia"/>
          <w:sz w:val="24"/>
        </w:rPr>
        <w:t>3.2 分析元素范围：Li ~ U，包括C、N、O、F、Cl、S 等元素。</w:t>
      </w:r>
    </w:p>
    <w:p w14:paraId="0C746674">
      <w:pPr>
        <w:spacing w:before="120" w:line="300" w:lineRule="auto"/>
        <w:rPr>
          <w:rFonts w:eastAsiaTheme="minorEastAsia"/>
          <w:sz w:val="24"/>
        </w:rPr>
      </w:pPr>
      <w:r>
        <w:rPr>
          <w:rFonts w:hint="eastAsia" w:ascii="宋体" w:hAnsi="宋体" w:cs="宋体"/>
          <w:b/>
          <w:bCs/>
          <w:sz w:val="24"/>
        </w:rPr>
        <w:t>★</w:t>
      </w:r>
      <w:r>
        <w:rPr>
          <w:b/>
          <w:bCs/>
          <w:sz w:val="24"/>
        </w:rPr>
        <w:t>3.</w:t>
      </w:r>
      <w:r>
        <w:rPr>
          <w:rFonts w:eastAsiaTheme="minorEastAsia"/>
          <w:sz w:val="24"/>
        </w:rPr>
        <w:t>3.3 质量范围：1~20000Th。</w:t>
      </w:r>
    </w:p>
    <w:p w14:paraId="14AD60E6">
      <w:pPr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3.3.4 质谱仪真空度：1*10</w:t>
      </w:r>
      <w:r>
        <w:rPr>
          <w:rFonts w:eastAsiaTheme="minorEastAsia"/>
          <w:sz w:val="24"/>
          <w:vertAlign w:val="superscript"/>
        </w:rPr>
        <w:t>-7</w:t>
      </w:r>
      <w:r>
        <w:rPr>
          <w:rFonts w:eastAsiaTheme="minorEastAsia"/>
          <w:sz w:val="24"/>
        </w:rPr>
        <w:t xml:space="preserve"> mbar。</w:t>
      </w:r>
    </w:p>
    <w:p w14:paraId="34ED2EBB">
      <w:pPr>
        <w:spacing w:before="120" w:line="300" w:lineRule="auto"/>
        <w:rPr>
          <w:rFonts w:eastAsiaTheme="minorEastAsia"/>
          <w:sz w:val="24"/>
        </w:rPr>
      </w:pPr>
      <w:r>
        <w:rPr>
          <w:rFonts w:hint="eastAsia" w:ascii="宋体" w:hAnsi="宋体" w:cs="宋体"/>
          <w:b/>
          <w:bCs/>
          <w:sz w:val="24"/>
        </w:rPr>
        <w:t>★</w:t>
      </w:r>
      <w:r>
        <w:rPr>
          <w:b/>
          <w:bCs/>
          <w:sz w:val="24"/>
        </w:rPr>
        <w:t>3.</w:t>
      </w:r>
      <w:r>
        <w:rPr>
          <w:rFonts w:eastAsiaTheme="minorEastAsia"/>
          <w:sz w:val="24"/>
        </w:rPr>
        <w:t>3.5 整机分辨率：标准模式：700 – 1100 Th/Th；高分辨率模式：3000 – 7000 Th/Th。</w:t>
      </w:r>
    </w:p>
    <w:p w14:paraId="686E4EDF">
      <w:pPr>
        <w:spacing w:before="120" w:line="300" w:lineRule="auto"/>
        <w:rPr>
          <w:rFonts w:eastAsiaTheme="minorEastAsia"/>
          <w:sz w:val="24"/>
        </w:rPr>
      </w:pPr>
      <w:r>
        <w:rPr>
          <w:rFonts w:hint="eastAsia" w:ascii="宋体" w:hAnsi="宋体" w:cs="宋体"/>
          <w:b/>
          <w:bCs/>
          <w:sz w:val="24"/>
        </w:rPr>
        <w:t>★</w:t>
      </w:r>
      <w:r>
        <w:rPr>
          <w:b/>
          <w:bCs/>
          <w:sz w:val="24"/>
        </w:rPr>
        <w:t>3.</w:t>
      </w:r>
      <w:r>
        <w:rPr>
          <w:rFonts w:eastAsiaTheme="minorEastAsia"/>
          <w:sz w:val="24"/>
        </w:rPr>
        <w:t>3.6 精度：可实现包括C、N、O、F、Cl、S 等在内的全谱元素分析，以NIST硅酸盐玻璃为例，微区分析误差≤10%；可测量U-Pb同位素，以锆石为例，微区分析年龄误差≤3%。</w:t>
      </w:r>
    </w:p>
    <w:p w14:paraId="235F0D98">
      <w:pPr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3.3.7 检出限：100s of ppb。（对Li、Cs 等元素检出限＜10ppb；对Be、Co 等元素检出限＜100 ppb，测试条件为NIST 玻璃样品、5 秒积分时间）。</w:t>
      </w:r>
    </w:p>
    <w:p w14:paraId="0B1C1A6D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</w:rPr>
        <w:t>★</w:t>
      </w:r>
      <w:r>
        <w:rPr>
          <w:rFonts w:eastAsiaTheme="minorEastAsia"/>
          <w:sz w:val="24"/>
        </w:rPr>
        <w:t xml:space="preserve">3.3.8 </w:t>
      </w:r>
      <w:r>
        <w:rPr>
          <w:rFonts w:eastAsiaTheme="minorEastAsia"/>
          <w:sz w:val="24"/>
          <w:highlight w:val="none"/>
        </w:rPr>
        <w:t>干扰控制：氧化物离子比例CeO</w:t>
      </w:r>
      <w:r>
        <w:rPr>
          <w:rFonts w:eastAsia="MS Gothic"/>
          <w:sz w:val="24"/>
          <w:highlight w:val="none"/>
        </w:rPr>
        <w:t>⁺</w:t>
      </w:r>
      <w:r>
        <w:rPr>
          <w:rFonts w:eastAsiaTheme="minorEastAsia"/>
          <w:sz w:val="24"/>
          <w:highlight w:val="none"/>
        </w:rPr>
        <w:t>/Ce</w:t>
      </w:r>
      <w:r>
        <w:rPr>
          <w:rFonts w:eastAsia="MS Gothic"/>
          <w:sz w:val="24"/>
          <w:highlight w:val="none"/>
        </w:rPr>
        <w:t>⁺</w:t>
      </w:r>
      <w:r>
        <w:rPr>
          <w:rFonts w:eastAsiaTheme="minorEastAsia"/>
          <w:sz w:val="24"/>
          <w:highlight w:val="none"/>
        </w:rPr>
        <w:t>＜2.6%，双电荷离子比例Ba²</w:t>
      </w:r>
      <w:r>
        <w:rPr>
          <w:rFonts w:eastAsia="MS Gothic"/>
          <w:sz w:val="24"/>
          <w:highlight w:val="none"/>
        </w:rPr>
        <w:t>⁺</w:t>
      </w:r>
      <w:r>
        <w:rPr>
          <w:rFonts w:eastAsiaTheme="minorEastAsia"/>
          <w:sz w:val="24"/>
          <w:highlight w:val="none"/>
        </w:rPr>
        <w:t>/Ba</w:t>
      </w:r>
      <w:r>
        <w:rPr>
          <w:rFonts w:eastAsia="MS Gothic"/>
          <w:sz w:val="24"/>
          <w:highlight w:val="none"/>
        </w:rPr>
        <w:t>⁺</w:t>
      </w:r>
      <w:r>
        <w:rPr>
          <w:rFonts w:eastAsiaTheme="minorEastAsia"/>
          <w:sz w:val="24"/>
          <w:highlight w:val="none"/>
        </w:rPr>
        <w:t xml:space="preserve"> &lt;1.2%</w:t>
      </w:r>
    </w:p>
    <w:p w14:paraId="60F4A47E">
      <w:pPr>
        <w:adjustRightInd w:val="0"/>
        <w:spacing w:before="120" w:line="300" w:lineRule="auto"/>
        <w:rPr>
          <w:rFonts w:eastAsiaTheme="minorEastAsia"/>
          <w:b/>
          <w:bCs/>
          <w:sz w:val="28"/>
          <w:szCs w:val="28"/>
          <w:highlight w:val="none"/>
        </w:rPr>
      </w:pPr>
      <w:r>
        <w:rPr>
          <w:rFonts w:eastAsiaTheme="minorEastAsia"/>
          <w:b/>
          <w:bCs/>
          <w:sz w:val="28"/>
          <w:szCs w:val="28"/>
          <w:highlight w:val="none"/>
        </w:rPr>
        <w:t>3.4 样品仓部分</w:t>
      </w:r>
    </w:p>
    <w:p w14:paraId="64466FD4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3.4.1 可分析样品类型：支持固体样品和粉末样品。</w:t>
      </w:r>
    </w:p>
    <w:p w14:paraId="1C90DF7F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3.4.2 样品夹具类型：能兼容常规光薄片和靶的尺寸，支持大块样品、压片样品、异形样品、冷/热镶嵌样品、空气敏感样品。</w:t>
      </w:r>
    </w:p>
    <w:p w14:paraId="3E1B066C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3.4.3 样品台尺寸：不小于80mm x 80 mm x 29 mm，支持多个光薄片、或光薄片+靶组合。</w:t>
      </w:r>
    </w:p>
    <w:p w14:paraId="33EB1D3E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3.4.4 样品台：移动分辨率≤1 μm，三轴联动系统重复定位精度≤1 μm。</w:t>
      </w:r>
    </w:p>
    <w:p w14:paraId="12212C8B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3.4.5 样品室真空度：0.2 mbar（20pa）。</w:t>
      </w:r>
    </w:p>
    <w:p w14:paraId="248A0638">
      <w:pPr>
        <w:spacing w:before="120" w:line="300" w:lineRule="auto"/>
        <w:ind w:right="666"/>
        <w:rPr>
          <w:rFonts w:eastAsiaTheme="minorEastAsia"/>
          <w:sz w:val="24"/>
          <w:highlight w:val="none"/>
        </w:rPr>
      </w:pPr>
    </w:p>
    <w:p w14:paraId="5309CEF1">
      <w:pPr>
        <w:spacing w:before="120" w:line="300" w:lineRule="auto"/>
        <w:ind w:right="666"/>
        <w:rPr>
          <w:rFonts w:eastAsiaTheme="minorEastAsia"/>
          <w:b/>
          <w:bCs/>
          <w:sz w:val="28"/>
          <w:szCs w:val="28"/>
          <w:highlight w:val="none"/>
        </w:rPr>
      </w:pPr>
      <w:r>
        <w:rPr>
          <w:rFonts w:eastAsiaTheme="minorEastAsia"/>
          <w:b/>
          <w:bCs/>
          <w:sz w:val="28"/>
          <w:szCs w:val="28"/>
          <w:highlight w:val="none"/>
        </w:rPr>
        <w:t>3.5 观察系统</w:t>
      </w:r>
    </w:p>
    <w:p w14:paraId="6A4A6444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#</w:t>
      </w:r>
      <w:r>
        <w:rPr>
          <w:rFonts w:eastAsiaTheme="minorEastAsia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3.5.1能实现10μm左右大小流</w:t>
      </w:r>
      <w:r>
        <w:rPr>
          <w:rFonts w:eastAsiaTheme="minorEastAsia"/>
          <w:sz w:val="24"/>
          <w:highlight w:val="none"/>
        </w:rPr>
        <w:t>体包裹体的清晰观察和成像，分辨率接近1μm（提供</w:t>
      </w:r>
      <w:r>
        <w:rPr>
          <w:rFonts w:hint="eastAsia" w:eastAsiaTheme="minorEastAsia"/>
          <w:sz w:val="24"/>
          <w:highlight w:val="none"/>
        </w:rPr>
        <w:t>10微米流体包裹体照片</w:t>
      </w:r>
      <w:r>
        <w:rPr>
          <w:rFonts w:eastAsiaTheme="minorEastAsia"/>
          <w:sz w:val="24"/>
          <w:highlight w:val="none"/>
        </w:rPr>
        <w:t>）；</w:t>
      </w:r>
    </w:p>
    <w:p w14:paraId="3EB670D4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sz w:val="24"/>
          <w:highlight w:val="none"/>
        </w:rPr>
        <w:t>#</w:t>
      </w:r>
      <w:r>
        <w:rPr>
          <w:rFonts w:eastAsiaTheme="minorEastAsia"/>
          <w:sz w:val="24"/>
          <w:highlight w:val="none"/>
        </w:rPr>
        <w:t>3.5.2 相机具备红外功能，能实现不透明矿物黑钨矿、辉锑矿中包裹体的清晰观察和分析（提供红外辉锑矿</w:t>
      </w:r>
      <w:r>
        <w:rPr>
          <w:rFonts w:hint="eastAsia" w:eastAsiaTheme="minorEastAsia"/>
          <w:sz w:val="24"/>
          <w:highlight w:val="none"/>
        </w:rPr>
        <w:t>中</w:t>
      </w:r>
      <w:r>
        <w:rPr>
          <w:rFonts w:eastAsiaTheme="minorEastAsia"/>
          <w:sz w:val="24"/>
          <w:highlight w:val="none"/>
        </w:rPr>
        <w:t>包裹体镜下照片）；</w:t>
      </w:r>
    </w:p>
    <w:p w14:paraId="7C6ADCD4">
      <w:pPr>
        <w:spacing w:line="360" w:lineRule="auto"/>
        <w:rPr>
          <w:rFonts w:hint="eastAsia"/>
          <w:sz w:val="24"/>
          <w:highlight w:val="none"/>
        </w:rPr>
      </w:pPr>
      <w:r>
        <w:rPr>
          <w:rFonts w:eastAsiaTheme="minorEastAsia"/>
          <w:sz w:val="24"/>
          <w:highlight w:val="none"/>
        </w:rPr>
        <w:t>3.5.3 相机和软件反应速度快，</w:t>
      </w:r>
      <w:r>
        <w:rPr>
          <w:rFonts w:hint="eastAsia" w:eastAsiaTheme="minorEastAsia"/>
          <w:sz w:val="24"/>
          <w:highlight w:val="none"/>
        </w:rPr>
        <w:t>能实现</w:t>
      </w:r>
      <w:r>
        <w:rPr>
          <w:rFonts w:eastAsiaTheme="minorEastAsia"/>
          <w:sz w:val="24"/>
          <w:highlight w:val="none"/>
        </w:rPr>
        <w:t>动态实时捕捉，更换视域，显示系统延迟不超过一秒；</w:t>
      </w:r>
    </w:p>
    <w:p w14:paraId="0AC08786">
      <w:pPr>
        <w:adjustRightInd w:val="0"/>
        <w:spacing w:before="120" w:line="300" w:lineRule="auto"/>
        <w:rPr>
          <w:rFonts w:eastAsiaTheme="minorEastAsia"/>
          <w:b/>
          <w:bCs/>
          <w:sz w:val="28"/>
          <w:szCs w:val="28"/>
          <w:highlight w:val="none"/>
        </w:rPr>
      </w:pPr>
      <w:r>
        <w:rPr>
          <w:rFonts w:hint="eastAsia" w:eastAsiaTheme="minorEastAsia"/>
          <w:b/>
          <w:bCs/>
          <w:sz w:val="28"/>
          <w:szCs w:val="28"/>
          <w:highlight w:val="none"/>
        </w:rPr>
        <w:t>3.6</w:t>
      </w:r>
      <w:r>
        <w:rPr>
          <w:rFonts w:eastAsiaTheme="minorEastAsia"/>
          <w:b/>
          <w:bCs/>
          <w:sz w:val="28"/>
          <w:szCs w:val="28"/>
          <w:highlight w:val="none"/>
        </w:rPr>
        <w:t xml:space="preserve"> 工作站、软件和数据处理系统</w:t>
      </w:r>
    </w:p>
    <w:p w14:paraId="1BD050F0">
      <w:pPr>
        <w:tabs>
          <w:tab w:val="left" w:pos="360"/>
          <w:tab w:val="left" w:pos="720"/>
        </w:tabs>
        <w:spacing w:before="120" w:line="300" w:lineRule="auto"/>
        <w:rPr>
          <w:rFonts w:hint="eastAsia"/>
          <w:bCs/>
          <w:kern w:val="0"/>
          <w:position w:val="2"/>
          <w:sz w:val="24"/>
          <w:highlight w:val="none"/>
        </w:rPr>
      </w:pPr>
      <w:r>
        <w:rPr>
          <w:rFonts w:hint="eastAsia"/>
          <w:bCs/>
          <w:kern w:val="0"/>
          <w:position w:val="2"/>
          <w:sz w:val="24"/>
          <w:highlight w:val="none"/>
        </w:rPr>
        <w:t>通过高集成度软件对仪器实现一体化管理和控制，实现对各级硬件系统的控制和交互。</w:t>
      </w:r>
    </w:p>
    <w:p w14:paraId="22FFB191">
      <w:pPr>
        <w:tabs>
          <w:tab w:val="left" w:pos="360"/>
          <w:tab w:val="left" w:pos="720"/>
        </w:tabs>
        <w:spacing w:before="120" w:line="300" w:lineRule="auto"/>
        <w:rPr>
          <w:rFonts w:hint="eastAsia" w:eastAsiaTheme="minorEastAsia"/>
          <w:sz w:val="24"/>
          <w:highlight w:val="none"/>
        </w:rPr>
      </w:pPr>
      <w:r>
        <w:rPr>
          <w:rFonts w:hint="eastAsia"/>
          <w:bCs/>
          <w:kern w:val="0"/>
          <w:position w:val="2"/>
          <w:sz w:val="24"/>
          <w:highlight w:val="none"/>
        </w:rPr>
        <w:t>3.6.1</w:t>
      </w:r>
      <w:r>
        <w:rPr>
          <w:bCs/>
          <w:kern w:val="0"/>
          <w:position w:val="2"/>
          <w:sz w:val="24"/>
          <w:highlight w:val="none"/>
        </w:rPr>
        <w:t>配置</w:t>
      </w:r>
      <w:r>
        <w:rPr>
          <w:bCs/>
          <w:kern w:val="0"/>
          <w:position w:val="2"/>
          <w:sz w:val="24"/>
          <w:highlight w:val="none"/>
          <w:lang w:eastAsia="zh-Hans"/>
        </w:rPr>
        <w:t>高性能工作站</w:t>
      </w:r>
      <w:r>
        <w:rPr>
          <w:bCs/>
          <w:kern w:val="0"/>
          <w:position w:val="2"/>
          <w:sz w:val="24"/>
          <w:highlight w:val="none"/>
        </w:rPr>
        <w:t>（</w:t>
      </w:r>
      <w:r>
        <w:rPr>
          <w:bCs/>
          <w:kern w:val="0"/>
          <w:position w:val="2"/>
          <w:sz w:val="24"/>
          <w:highlight w:val="none"/>
          <w:lang w:eastAsia="zh-Hans"/>
        </w:rPr>
        <w:t>配置</w:t>
      </w:r>
      <w:r>
        <w:rPr>
          <w:rFonts w:hint="eastAsia"/>
          <w:bCs/>
          <w:kern w:val="0"/>
          <w:position w:val="2"/>
          <w:sz w:val="24"/>
          <w:highlight w:val="none"/>
        </w:rPr>
        <w:t>高性能主流CPU</w:t>
      </w:r>
      <w:r>
        <w:rPr>
          <w:bCs/>
          <w:kern w:val="0"/>
          <w:position w:val="2"/>
          <w:sz w:val="24"/>
          <w:highlight w:val="none"/>
          <w:lang w:eastAsia="zh-Hans"/>
        </w:rPr>
        <w:t>处理器，内存</w:t>
      </w:r>
      <w:r>
        <w:rPr>
          <w:rFonts w:hint="eastAsia" w:ascii="宋体" w:hAnsi="宋体"/>
          <w:bCs/>
          <w:kern w:val="0"/>
          <w:position w:val="2"/>
          <w:sz w:val="24"/>
          <w:highlight w:val="none"/>
          <w:lang w:eastAsia="zh-Hans"/>
        </w:rPr>
        <w:t>≥</w:t>
      </w:r>
      <w:r>
        <w:rPr>
          <w:bCs/>
          <w:kern w:val="0"/>
          <w:position w:val="2"/>
          <w:sz w:val="24"/>
          <w:highlight w:val="none"/>
          <w:lang w:eastAsia="zh-Hans"/>
        </w:rPr>
        <w:t>32G，</w:t>
      </w:r>
      <w:r>
        <w:rPr>
          <w:rFonts w:hint="eastAsia" w:ascii="宋体" w:hAnsi="宋体"/>
          <w:bCs/>
          <w:kern w:val="0"/>
          <w:position w:val="2"/>
          <w:sz w:val="24"/>
          <w:highlight w:val="none"/>
          <w:lang w:eastAsia="zh-Hans"/>
        </w:rPr>
        <w:t>≥</w:t>
      </w:r>
      <w:r>
        <w:rPr>
          <w:bCs/>
          <w:kern w:val="0"/>
          <w:position w:val="2"/>
          <w:sz w:val="24"/>
          <w:highlight w:val="none"/>
          <w:lang w:eastAsia="zh-Hans"/>
        </w:rPr>
        <w:t>16G独立显卡，</w:t>
      </w:r>
      <w:r>
        <w:rPr>
          <w:rFonts w:hint="eastAsia" w:ascii="宋体" w:hAnsi="宋体"/>
          <w:bCs/>
          <w:kern w:val="0"/>
          <w:position w:val="2"/>
          <w:sz w:val="24"/>
          <w:highlight w:val="none"/>
          <w:lang w:eastAsia="zh-Hans"/>
        </w:rPr>
        <w:t>≥</w:t>
      </w:r>
      <w:r>
        <w:rPr>
          <w:bCs/>
          <w:kern w:val="0"/>
          <w:position w:val="2"/>
          <w:sz w:val="24"/>
          <w:highlight w:val="none"/>
          <w:lang w:eastAsia="zh-Hans"/>
        </w:rPr>
        <w:t>512G NVME固态硬盘+1T SSD固态硬盘</w:t>
      </w:r>
      <w:r>
        <w:rPr>
          <w:bCs/>
          <w:kern w:val="0"/>
          <w:position w:val="2"/>
          <w:sz w:val="24"/>
          <w:highlight w:val="none"/>
        </w:rPr>
        <w:t>）；</w:t>
      </w:r>
    </w:p>
    <w:p w14:paraId="37BBF4EB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eastAsiaTheme="minorEastAsia"/>
          <w:sz w:val="24"/>
          <w:highlight w:val="none"/>
        </w:rPr>
        <w:t>3</w:t>
      </w:r>
      <w:r>
        <w:rPr>
          <w:rFonts w:eastAsiaTheme="minorEastAsia"/>
          <w:sz w:val="24"/>
          <w:highlight w:val="none"/>
        </w:rPr>
        <w:t>.</w:t>
      </w:r>
      <w:r>
        <w:rPr>
          <w:rFonts w:hint="eastAsia" w:eastAsiaTheme="minorEastAsia"/>
          <w:sz w:val="24"/>
          <w:highlight w:val="none"/>
        </w:rPr>
        <w:t>6.2</w:t>
      </w:r>
      <w:r>
        <w:rPr>
          <w:rFonts w:eastAsiaTheme="minorEastAsia"/>
          <w:sz w:val="24"/>
          <w:highlight w:val="none"/>
        </w:rPr>
        <w:t>基于Windows 11 系统，采用模块化设计，涵盖仪器控制、方法编辑、样品分析、数据处理和结果输出等模块。支持通过</w:t>
      </w:r>
      <w:r>
        <w:rPr>
          <w:rFonts w:hint="eastAsia" w:eastAsiaTheme="minorEastAsia"/>
          <w:sz w:val="24"/>
          <w:highlight w:val="none"/>
        </w:rPr>
        <w:t>工作站</w:t>
      </w:r>
      <w:r>
        <w:rPr>
          <w:rFonts w:eastAsiaTheme="minorEastAsia"/>
          <w:sz w:val="24"/>
          <w:highlight w:val="none"/>
        </w:rPr>
        <w:t>对剥蚀激光和电离激光参数、质量分析器等的状态、参数进行监控和全面控制，可自动优化激光参数、自动调谐质量分析器，且优化模式可自定义。</w:t>
      </w:r>
    </w:p>
    <w:p w14:paraId="235E39E9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eastAsiaTheme="minorEastAsia"/>
          <w:sz w:val="24"/>
          <w:highlight w:val="none"/>
        </w:rPr>
        <w:t>3</w:t>
      </w:r>
      <w:r>
        <w:rPr>
          <w:rFonts w:eastAsiaTheme="minorEastAsia"/>
          <w:sz w:val="24"/>
          <w:highlight w:val="none"/>
        </w:rPr>
        <w:t>.</w:t>
      </w:r>
      <w:r>
        <w:rPr>
          <w:rFonts w:hint="eastAsia" w:eastAsiaTheme="minorEastAsia"/>
          <w:sz w:val="24"/>
          <w:highlight w:val="none"/>
        </w:rPr>
        <w:t>6.3</w:t>
      </w:r>
      <w:r>
        <w:rPr>
          <w:rFonts w:eastAsiaTheme="minorEastAsia"/>
          <w:sz w:val="24"/>
          <w:highlight w:val="none"/>
        </w:rPr>
        <w:t>软件可以对质谱谱图数据进行采集，并且实现采集方法的编辑，包括采样次数、采样时间、保存路径等，保存的数据信息包括样本信息、TOF质谱数据、采集方法等。</w:t>
      </w:r>
    </w:p>
    <w:p w14:paraId="778154B4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eastAsiaTheme="minorEastAsia"/>
          <w:sz w:val="24"/>
          <w:highlight w:val="none"/>
        </w:rPr>
        <w:t>3</w:t>
      </w:r>
      <w:r>
        <w:rPr>
          <w:rFonts w:eastAsiaTheme="minorEastAsia"/>
          <w:sz w:val="24"/>
          <w:highlight w:val="none"/>
        </w:rPr>
        <w:t>.</w:t>
      </w:r>
      <w:r>
        <w:rPr>
          <w:rFonts w:hint="eastAsia" w:eastAsiaTheme="minorEastAsia"/>
          <w:sz w:val="24"/>
          <w:highlight w:val="none"/>
        </w:rPr>
        <w:t>6.4</w:t>
      </w:r>
      <w:r>
        <w:rPr>
          <w:rFonts w:eastAsiaTheme="minorEastAsia"/>
          <w:sz w:val="24"/>
          <w:highlight w:val="none"/>
        </w:rPr>
        <w:t xml:space="preserve"> 数据校正与处理：具备外标校准、同位素稀释校准功能，可自动完成内标校正和干扰校正。能进行同位素比值测量，同位素比值精密度如107Ag/108Ag 的RSD ≤ 1%；支持谱库查询，可快速辨认元素及干扰峰，便于未知样品分析。</w:t>
      </w:r>
    </w:p>
    <w:p w14:paraId="3C46AC65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eastAsiaTheme="minorEastAsia"/>
          <w:sz w:val="24"/>
          <w:highlight w:val="none"/>
        </w:rPr>
        <w:t>3</w:t>
      </w:r>
      <w:r>
        <w:rPr>
          <w:rFonts w:eastAsiaTheme="minorEastAsia"/>
          <w:sz w:val="24"/>
          <w:highlight w:val="none"/>
        </w:rPr>
        <w:t>.</w:t>
      </w:r>
      <w:r>
        <w:rPr>
          <w:rFonts w:hint="eastAsia" w:eastAsiaTheme="minorEastAsia"/>
          <w:sz w:val="24"/>
          <w:highlight w:val="none"/>
        </w:rPr>
        <w:t>6.5</w:t>
      </w:r>
      <w:r>
        <w:rPr>
          <w:rFonts w:eastAsiaTheme="minorEastAsia"/>
          <w:sz w:val="24"/>
          <w:highlight w:val="none"/>
        </w:rPr>
        <w:t xml:space="preserve"> 质量控制与报告：内置全面质量控制程序，包含样品检查、回收检查、校准失效检查等。可无限制运行样品分析，生成标准化报表，支持数据密码保护；部分高端软件具备远程诊断和远程数据处理能力，方便设备维护与数据共享。</w:t>
      </w:r>
    </w:p>
    <w:p w14:paraId="71555F78">
      <w:pPr>
        <w:spacing w:before="120" w:line="300" w:lineRule="auto"/>
        <w:rPr>
          <w:rFonts w:eastAsiaTheme="minorEastAsia"/>
          <w:sz w:val="24"/>
          <w:highlight w:val="none"/>
        </w:rPr>
      </w:pPr>
      <w:r>
        <w:rPr>
          <w:rFonts w:hint="eastAsia" w:eastAsiaTheme="minorEastAsia"/>
          <w:sz w:val="24"/>
          <w:highlight w:val="none"/>
        </w:rPr>
        <w:t>3</w:t>
      </w:r>
      <w:r>
        <w:rPr>
          <w:rFonts w:eastAsiaTheme="minorEastAsia"/>
          <w:sz w:val="24"/>
          <w:highlight w:val="none"/>
        </w:rPr>
        <w:t>.</w:t>
      </w:r>
      <w:r>
        <w:rPr>
          <w:rFonts w:hint="eastAsia" w:eastAsiaTheme="minorEastAsia"/>
          <w:sz w:val="24"/>
          <w:highlight w:val="none"/>
        </w:rPr>
        <w:t>6.6</w:t>
      </w:r>
      <w:r>
        <w:rPr>
          <w:rFonts w:eastAsiaTheme="minorEastAsia"/>
          <w:sz w:val="24"/>
          <w:highlight w:val="none"/>
        </w:rPr>
        <w:t xml:space="preserve"> 软件支持全谱多元素平面和深度三维分布效果图。</w:t>
      </w:r>
    </w:p>
    <w:p w14:paraId="368D7D03">
      <w:pPr>
        <w:spacing w:line="360" w:lineRule="auto"/>
        <w:rPr>
          <w:sz w:val="24"/>
        </w:rPr>
      </w:pPr>
    </w:p>
    <w:p w14:paraId="5EC576A6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b/>
          <w:sz w:val="24"/>
        </w:rPr>
        <w:t>产品配置要求（以实现仪器的正常功能和指标参数为准）</w:t>
      </w:r>
    </w:p>
    <w:p w14:paraId="67813E76">
      <w:pPr>
        <w:numPr>
          <w:ilvl w:val="1"/>
          <w:numId w:val="3"/>
        </w:numPr>
        <w:spacing w:before="120" w:line="300" w:lineRule="auto"/>
        <w:ind w:left="0" w:firstLine="0"/>
        <w:rPr>
          <w:sz w:val="24"/>
        </w:rPr>
      </w:pPr>
      <w:r>
        <w:rPr>
          <w:sz w:val="24"/>
        </w:rPr>
        <w:t xml:space="preserve"> 产品主体部分说明</w:t>
      </w:r>
    </w:p>
    <w:p w14:paraId="21135039">
      <w:pPr>
        <w:spacing w:before="120" w:line="300" w:lineRule="auto"/>
        <w:rPr>
          <w:sz w:val="24"/>
        </w:rPr>
      </w:pPr>
      <w:r>
        <w:rPr>
          <w:sz w:val="24"/>
        </w:rPr>
        <w:t>4.1.1一台剥蚀激光器（皮秒或飞秒）；</w:t>
      </w:r>
    </w:p>
    <w:p w14:paraId="1AEC5952">
      <w:pPr>
        <w:spacing w:before="120" w:line="300" w:lineRule="auto"/>
        <w:rPr>
          <w:sz w:val="24"/>
        </w:rPr>
      </w:pPr>
      <w:r>
        <w:rPr>
          <w:rFonts w:hint="eastAsia"/>
          <w:sz w:val="24"/>
        </w:rPr>
        <w:t>4.1.2</w:t>
      </w:r>
      <w:r>
        <w:rPr>
          <w:sz w:val="24"/>
        </w:rPr>
        <w:t xml:space="preserve">一台电离激光器； </w:t>
      </w:r>
    </w:p>
    <w:p w14:paraId="00948140">
      <w:pPr>
        <w:spacing w:before="120" w:line="30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4.1.</w:t>
      </w:r>
      <w:r>
        <w:rPr>
          <w:rFonts w:hint="eastAsia" w:eastAsiaTheme="minorEastAsia"/>
          <w:sz w:val="24"/>
        </w:rPr>
        <w:t>3</w:t>
      </w:r>
      <w:r>
        <w:rPr>
          <w:rFonts w:eastAsiaTheme="minorEastAsia"/>
          <w:sz w:val="24"/>
        </w:rPr>
        <w:t>真空系统：采用四级真空设计，含机械泵和多个涡轮分子泵，泵的启停由软件自动控制，配备过载保护和故障安全连锁体系，防止真空异常损坏设备。</w:t>
      </w:r>
    </w:p>
    <w:p w14:paraId="7D5F090D">
      <w:pPr>
        <w:spacing w:before="120" w:line="300" w:lineRule="auto"/>
        <w:rPr>
          <w:sz w:val="24"/>
        </w:rPr>
      </w:pPr>
      <w:r>
        <w:rPr>
          <w:sz w:val="24"/>
        </w:rPr>
        <w:t>4.1.</w:t>
      </w:r>
      <w:r>
        <w:rPr>
          <w:rFonts w:hint="eastAsia"/>
          <w:sz w:val="24"/>
        </w:rPr>
        <w:t>4</w:t>
      </w:r>
      <w:r>
        <w:rPr>
          <w:rFonts w:eastAsiaTheme="minorEastAsia"/>
          <w:sz w:val="24"/>
        </w:rPr>
        <w:t>主机一套，含飞行时间质谱检测器、</w:t>
      </w:r>
      <w:r>
        <w:rPr>
          <w:bCs/>
          <w:kern w:val="0"/>
          <w:position w:val="2"/>
          <w:sz w:val="24"/>
        </w:rPr>
        <w:t>激光电离真空样品仓等</w:t>
      </w:r>
      <w:r>
        <w:rPr>
          <w:rFonts w:eastAsiaTheme="minorEastAsia"/>
          <w:sz w:val="24"/>
        </w:rPr>
        <w:t>。</w:t>
      </w:r>
    </w:p>
    <w:p w14:paraId="2EBDBC04">
      <w:pPr>
        <w:spacing w:before="120" w:line="300" w:lineRule="auto"/>
        <w:rPr>
          <w:rFonts w:eastAsiaTheme="minorEastAsia"/>
          <w:sz w:val="24"/>
        </w:rPr>
      </w:pPr>
      <w:r>
        <w:rPr>
          <w:sz w:val="24"/>
        </w:rPr>
        <w:t>4.1.</w:t>
      </w:r>
      <w:r>
        <w:rPr>
          <w:rFonts w:hint="eastAsia"/>
          <w:sz w:val="24"/>
        </w:rPr>
        <w:t>5</w:t>
      </w:r>
      <w:r>
        <w:rPr>
          <w:rFonts w:eastAsiaTheme="minorEastAsia"/>
          <w:sz w:val="24"/>
        </w:rPr>
        <w:t xml:space="preserve"> 分析软件一套。</w:t>
      </w:r>
    </w:p>
    <w:p w14:paraId="5D7A906E">
      <w:pPr>
        <w:spacing w:before="120" w:line="300" w:lineRule="auto"/>
        <w:rPr>
          <w:rFonts w:eastAsiaTheme="minorEastAsia"/>
          <w:sz w:val="24"/>
        </w:rPr>
      </w:pPr>
      <w:r>
        <w:rPr>
          <w:sz w:val="24"/>
        </w:rPr>
        <w:t>4.1.</w:t>
      </w:r>
      <w:r>
        <w:rPr>
          <w:rFonts w:hint="eastAsia"/>
          <w:sz w:val="24"/>
        </w:rPr>
        <w:t>6</w:t>
      </w:r>
      <w:r>
        <w:rPr>
          <w:rFonts w:eastAsiaTheme="minorEastAsia"/>
          <w:sz w:val="24"/>
        </w:rPr>
        <w:t xml:space="preserve"> 样品移动台一套（激光剥蚀单元独立使用应配置两套），可选夹具或支架不少于</w:t>
      </w:r>
      <w:r>
        <w:rPr>
          <w:rFonts w:hint="eastAsia" w:eastAsiaTheme="minorEastAsia"/>
          <w:sz w:val="24"/>
        </w:rPr>
        <w:t>3套</w:t>
      </w:r>
      <w:r>
        <w:rPr>
          <w:rFonts w:eastAsiaTheme="minorEastAsia"/>
          <w:sz w:val="24"/>
        </w:rPr>
        <w:t>。</w:t>
      </w:r>
    </w:p>
    <w:p w14:paraId="2AD4BEF7">
      <w:pPr>
        <w:spacing w:before="120" w:line="300" w:lineRule="auto"/>
        <w:rPr>
          <w:sz w:val="24"/>
          <w:highlight w:val="yellow"/>
        </w:rPr>
      </w:pPr>
    </w:p>
    <w:p w14:paraId="14AF71F4">
      <w:pPr>
        <w:spacing w:before="120" w:line="300" w:lineRule="auto"/>
        <w:rPr>
          <w:sz w:val="24"/>
        </w:rPr>
      </w:pPr>
      <w:r>
        <w:rPr>
          <w:sz w:val="24"/>
        </w:rPr>
        <w:t>4.2  要求的附件、专用工具和消耗品</w:t>
      </w:r>
    </w:p>
    <w:p w14:paraId="4797DD22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4.2.1</w:t>
      </w:r>
      <w:r>
        <w:rPr>
          <w:bCs/>
          <w:kern w:val="0"/>
          <w:position w:val="2"/>
          <w:sz w:val="24"/>
        </w:rPr>
        <w:t>安调工具包，1套；</w:t>
      </w:r>
    </w:p>
    <w:p w14:paraId="0F16A6D4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4.2.2</w:t>
      </w:r>
      <w:r>
        <w:rPr>
          <w:bCs/>
          <w:kern w:val="0"/>
          <w:position w:val="2"/>
          <w:sz w:val="24"/>
        </w:rPr>
        <w:t>操作手册，1份；</w:t>
      </w:r>
    </w:p>
    <w:p w14:paraId="3AF90EA7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4.2.3</w:t>
      </w:r>
      <w:r>
        <w:rPr>
          <w:bCs/>
          <w:kern w:val="0"/>
          <w:position w:val="2"/>
          <w:sz w:val="24"/>
        </w:rPr>
        <w:t>维修手册，1份；</w:t>
      </w:r>
    </w:p>
    <w:p w14:paraId="4777976E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4.2.4</w:t>
      </w:r>
      <w:r>
        <w:rPr>
          <w:bCs/>
          <w:kern w:val="0"/>
          <w:position w:val="2"/>
          <w:sz w:val="24"/>
        </w:rPr>
        <w:t>安装手册，1份；</w:t>
      </w:r>
    </w:p>
    <w:p w14:paraId="000EF65A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4.2.5</w:t>
      </w:r>
      <w:r>
        <w:rPr>
          <w:bCs/>
          <w:kern w:val="0"/>
          <w:position w:val="2"/>
          <w:sz w:val="24"/>
        </w:rPr>
        <w:t>气路软管，1套；</w:t>
      </w:r>
    </w:p>
    <w:p w14:paraId="2D679D65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4.2.6</w:t>
      </w:r>
      <w:r>
        <w:rPr>
          <w:bCs/>
          <w:kern w:val="0"/>
          <w:position w:val="2"/>
          <w:sz w:val="24"/>
        </w:rPr>
        <w:t>信号平滑器，1个；</w:t>
      </w:r>
    </w:p>
    <w:p w14:paraId="1B20CA03">
      <w:pPr>
        <w:spacing w:before="120" w:line="300" w:lineRule="auto"/>
        <w:rPr>
          <w:bCs/>
          <w:kern w:val="0"/>
          <w:position w:val="2"/>
          <w:sz w:val="24"/>
        </w:rPr>
      </w:pPr>
      <w:r>
        <w:rPr>
          <w:rFonts w:hint="eastAsia"/>
          <w:bCs/>
          <w:kern w:val="0"/>
          <w:position w:val="2"/>
          <w:sz w:val="24"/>
        </w:rPr>
        <w:t>4.2.7</w:t>
      </w:r>
      <w:r>
        <w:rPr>
          <w:bCs/>
          <w:kern w:val="0"/>
          <w:position w:val="2"/>
          <w:sz w:val="24"/>
        </w:rPr>
        <w:t>快速样品引入附件，1套；</w:t>
      </w:r>
    </w:p>
    <w:p w14:paraId="119C5B6D">
      <w:pPr>
        <w:spacing w:before="120" w:line="300" w:lineRule="auto"/>
        <w:rPr>
          <w:sz w:val="24"/>
        </w:rPr>
      </w:pPr>
      <w:r>
        <w:rPr>
          <w:rFonts w:hint="eastAsia"/>
          <w:bCs/>
          <w:kern w:val="0"/>
          <w:position w:val="2"/>
          <w:sz w:val="24"/>
        </w:rPr>
        <w:t>4.2.8</w:t>
      </w:r>
      <w:r>
        <w:rPr>
          <w:sz w:val="24"/>
        </w:rPr>
        <w:t>常规机械泵，泵油三个月至半年需更换：</w:t>
      </w:r>
    </w:p>
    <w:p w14:paraId="32AF1712">
      <w:pPr>
        <w:pStyle w:val="67"/>
        <w:spacing w:before="120" w:line="300" w:lineRule="auto"/>
        <w:ind w:left="420" w:leftChars="200" w:righ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若1L/次，需配机械泵泵油 10L；</w:t>
      </w:r>
    </w:p>
    <w:p w14:paraId="549E171A">
      <w:pPr>
        <w:pStyle w:val="67"/>
        <w:spacing w:before="120" w:line="300" w:lineRule="auto"/>
        <w:ind w:left="420" w:leftChars="200" w:righ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若≤0.5L/次，需配机械泵泵油 5L；</w:t>
      </w:r>
    </w:p>
    <w:p w14:paraId="253049FB">
      <w:pPr>
        <w:spacing w:before="120" w:line="300" w:lineRule="auto"/>
        <w:ind w:left="204" w:leftChars="97" w:firstLine="652" w:firstLineChars="272"/>
        <w:rPr>
          <w:sz w:val="24"/>
        </w:rPr>
      </w:pPr>
    </w:p>
    <w:p w14:paraId="45B1C415">
      <w:pPr>
        <w:spacing w:before="120" w:line="300" w:lineRule="auto"/>
        <w:ind w:left="523" w:hanging="523" w:hangingChars="218"/>
        <w:rPr>
          <w:sz w:val="24"/>
        </w:rPr>
      </w:pPr>
      <w:r>
        <w:rPr>
          <w:sz w:val="24"/>
        </w:rPr>
        <w:t xml:space="preserve">4.3 其它保证仪器设备的正常运行和常规保养所需的附件、专用工具和消耗品。(由投标人提供，请参考总则第2.1条) </w:t>
      </w:r>
    </w:p>
    <w:p w14:paraId="63B81EF0">
      <w:pPr>
        <w:spacing w:line="360" w:lineRule="auto"/>
        <w:rPr>
          <w:sz w:val="24"/>
        </w:rPr>
      </w:pPr>
    </w:p>
    <w:p w14:paraId="562B3142">
      <w:pPr>
        <w:spacing w:line="360" w:lineRule="auto"/>
        <w:rPr>
          <w:b/>
          <w:sz w:val="24"/>
        </w:rPr>
      </w:pPr>
      <w:r>
        <w:rPr>
          <w:b/>
          <w:sz w:val="24"/>
        </w:rPr>
        <w:t>（二）质保及售后服务：</w:t>
      </w:r>
    </w:p>
    <w:p w14:paraId="39332021">
      <w:pPr>
        <w:spacing w:before="120" w:line="300" w:lineRule="auto"/>
        <w:rPr>
          <w:sz w:val="24"/>
        </w:rPr>
      </w:pPr>
      <w:r>
        <w:rPr>
          <w:sz w:val="24"/>
        </w:rPr>
        <w:t>1 设备安装调试</w:t>
      </w:r>
    </w:p>
    <w:p w14:paraId="343E23B6">
      <w:pPr>
        <w:spacing w:before="120" w:line="300" w:lineRule="auto"/>
        <w:rPr>
          <w:sz w:val="24"/>
        </w:rPr>
      </w:pPr>
      <w:r>
        <w:rPr>
          <w:sz w:val="24"/>
        </w:rPr>
        <w:t>1.1供应商提供仪器的现场安装调试，并达到投标书指标要求的技术性能。如果由于仪器本身原因，而在三十天内调试没有通过，用户有权要求退货并要求赔偿损失，或要求供应商更换一套新的相同型号或符合技术性能的仪器设备。</w:t>
      </w:r>
    </w:p>
    <w:p w14:paraId="18852C1D">
      <w:pPr>
        <w:spacing w:before="120" w:line="300" w:lineRule="auto"/>
        <w:rPr>
          <w:sz w:val="24"/>
        </w:rPr>
      </w:pPr>
      <w:r>
        <w:rPr>
          <w:sz w:val="24"/>
        </w:rPr>
        <w:t>1.2 安装调试应在现场具备安装条件后两周内完成。</w:t>
      </w:r>
    </w:p>
    <w:p w14:paraId="5AB6E418">
      <w:pPr>
        <w:spacing w:before="120" w:line="300" w:lineRule="auto"/>
        <w:rPr>
          <w:sz w:val="24"/>
        </w:rPr>
      </w:pPr>
      <w:r>
        <w:rPr>
          <w:sz w:val="24"/>
        </w:rPr>
        <w:t>2  技术培训</w:t>
      </w:r>
    </w:p>
    <w:p w14:paraId="50B08BCF">
      <w:pPr>
        <w:pStyle w:val="22"/>
        <w:spacing w:before="120" w:line="300" w:lineRule="auto"/>
        <w:rPr>
          <w:sz w:val="24"/>
        </w:rPr>
      </w:pPr>
      <w:r>
        <w:rPr>
          <w:sz w:val="24"/>
        </w:rPr>
        <w:t>2.1 到货安装调试完成，由专业工程师于现场，免费提供一次系统的使用培训服务。经过培训，仪器管理人员（不少于2人）应能熟练掌握仪器使用的方法，独立完成日常维护工作，并能及时排除大部分日常故障。</w:t>
      </w:r>
    </w:p>
    <w:p w14:paraId="30043CF9">
      <w:pPr>
        <w:spacing w:before="120" w:line="300" w:lineRule="auto"/>
        <w:rPr>
          <w:sz w:val="24"/>
        </w:rPr>
      </w:pPr>
      <w:r>
        <w:rPr>
          <w:sz w:val="24"/>
          <w:szCs w:val="20"/>
        </w:rPr>
        <w:t xml:space="preserve">2.2 </w:t>
      </w:r>
      <w:r>
        <w:rPr>
          <w:sz w:val="24"/>
        </w:rPr>
        <w:t>安装半年内，采购人根据需求，可要求供货商另外提供一次现场培训。培训内容包括仪器原理、基本操作、日常仪器维护等。</w:t>
      </w:r>
    </w:p>
    <w:p w14:paraId="510DAF12">
      <w:pPr>
        <w:spacing w:before="120" w:line="300" w:lineRule="auto"/>
        <w:rPr>
          <w:sz w:val="24"/>
          <w:highlight w:val="none"/>
        </w:rPr>
      </w:pPr>
      <w:r>
        <w:rPr>
          <w:sz w:val="24"/>
          <w:highlight w:val="none"/>
        </w:rPr>
        <w:t xml:space="preserve">3 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</w:t>
      </w:r>
    </w:p>
    <w:p w14:paraId="1C9E516F">
      <w:pPr>
        <w:spacing w:before="120" w:line="300" w:lineRule="auto"/>
        <w:rPr>
          <w:sz w:val="24"/>
          <w:highlight w:val="none"/>
        </w:rPr>
      </w:pPr>
      <w:r>
        <w:rPr>
          <w:sz w:val="24"/>
          <w:highlight w:val="none"/>
        </w:rPr>
        <w:t>3.1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期：仪器安装调试合格，验收后三年。</w:t>
      </w:r>
    </w:p>
    <w:p w14:paraId="0F535EDF">
      <w:pPr>
        <w:spacing w:before="120" w:line="300" w:lineRule="auto"/>
        <w:rPr>
          <w:sz w:val="24"/>
          <w:highlight w:val="none"/>
        </w:rPr>
      </w:pPr>
      <w:r>
        <w:rPr>
          <w:sz w:val="24"/>
          <w:highlight w:val="none"/>
        </w:rPr>
        <w:t>3.2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期内，一切服务费用（包括零配件的费用及运费）由投标方承担。</w:t>
      </w:r>
    </w:p>
    <w:p w14:paraId="53C62C7E">
      <w:pPr>
        <w:spacing w:before="120" w:line="300" w:lineRule="auto"/>
        <w:rPr>
          <w:sz w:val="24"/>
          <w:highlight w:val="none"/>
        </w:rPr>
      </w:pPr>
      <w:r>
        <w:rPr>
          <w:sz w:val="24"/>
          <w:highlight w:val="none"/>
        </w:rPr>
        <w:t>3.3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期内及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期之后，投标方负责设备的所有相关软件，在最新版本发布后免费升级。</w:t>
      </w:r>
    </w:p>
    <w:p w14:paraId="6E0D9031">
      <w:pPr>
        <w:spacing w:before="120" w:line="300" w:lineRule="auto"/>
        <w:rPr>
          <w:sz w:val="24"/>
        </w:rPr>
      </w:pPr>
      <w:r>
        <w:rPr>
          <w:sz w:val="24"/>
          <w:highlight w:val="none"/>
        </w:rPr>
        <w:t>3.4在</w:t>
      </w:r>
      <w:r>
        <w:rPr>
          <w:rFonts w:hint="eastAsia"/>
          <w:sz w:val="24"/>
          <w:highlight w:val="none"/>
        </w:rPr>
        <w:t>质保</w:t>
      </w:r>
      <w:r>
        <w:rPr>
          <w:sz w:val="24"/>
          <w:highlight w:val="none"/>
        </w:rPr>
        <w:t>期过后，卖方继续向买方提供及时有效的售后服务和零备件供应，卖方应承诺保证零备件供应期不少于</w:t>
      </w:r>
      <w:r>
        <w:rPr>
          <w:sz w:val="24"/>
        </w:rPr>
        <w:t>15年。</w:t>
      </w:r>
    </w:p>
    <w:p w14:paraId="23E303BF">
      <w:pPr>
        <w:spacing w:before="120" w:line="300" w:lineRule="auto"/>
        <w:rPr>
          <w:sz w:val="24"/>
        </w:rPr>
      </w:pPr>
      <w:r>
        <w:rPr>
          <w:sz w:val="24"/>
        </w:rPr>
        <w:t>4 维修响应时间</w:t>
      </w:r>
    </w:p>
    <w:p w14:paraId="3086DFAE">
      <w:pPr>
        <w:spacing w:before="120" w:line="300" w:lineRule="auto"/>
        <w:ind w:firstLine="480" w:firstLineChars="200"/>
        <w:rPr>
          <w:sz w:val="24"/>
        </w:rPr>
      </w:pPr>
      <w:r>
        <w:rPr>
          <w:sz w:val="24"/>
        </w:rPr>
        <w:t>卖方接到故障报告后，</w:t>
      </w:r>
      <w:r>
        <w:rPr>
          <w:rFonts w:hint="eastAsia"/>
          <w:sz w:val="24"/>
        </w:rPr>
        <w:t>应在8小时内电话响应</w:t>
      </w:r>
      <w:r>
        <w:rPr>
          <w:sz w:val="24"/>
        </w:rPr>
        <w:t>，如无法通过电话解决故障，</w:t>
      </w:r>
      <w:r>
        <w:rPr>
          <w:rFonts w:hint="eastAsia"/>
          <w:sz w:val="24"/>
        </w:rPr>
        <w:t>需</w:t>
      </w:r>
      <w:r>
        <w:rPr>
          <w:sz w:val="24"/>
        </w:rPr>
        <w:t>在48小时内派工程师到现场解决问题。</w:t>
      </w:r>
    </w:p>
    <w:p w14:paraId="7B61F47B">
      <w:pPr>
        <w:spacing w:before="120" w:line="300" w:lineRule="auto"/>
        <w:rPr>
          <w:sz w:val="24"/>
        </w:rPr>
      </w:pPr>
      <w:r>
        <w:rPr>
          <w:sz w:val="24"/>
        </w:rPr>
        <w:t>5 要求卖方提供的其它技术服务内容</w:t>
      </w:r>
    </w:p>
    <w:p w14:paraId="45B7A243">
      <w:pPr>
        <w:spacing w:before="120" w:line="30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供应商应具备本项目设备安装调试、运行维护及技术支持能力。应配备不少于3名经过设备制造商或相关技术培训的售后服务工程师，并提供相关培训证明或能够证明其技术服务能力的材料</w:t>
      </w:r>
      <w:r>
        <w:rPr>
          <w:sz w:val="24"/>
          <w:highlight w:val="none"/>
        </w:rPr>
        <w:t>。</w:t>
      </w:r>
    </w:p>
    <w:p w14:paraId="238864A7">
      <w:pPr>
        <w:spacing w:before="120" w:line="300" w:lineRule="auto"/>
        <w:rPr>
          <w:b/>
          <w:sz w:val="24"/>
        </w:rPr>
      </w:pPr>
    </w:p>
    <w:p w14:paraId="41CA781D">
      <w:pPr>
        <w:spacing w:line="360" w:lineRule="auto"/>
        <w:rPr>
          <w:b/>
          <w:sz w:val="24"/>
        </w:rPr>
      </w:pPr>
      <w:r>
        <w:rPr>
          <w:b/>
          <w:sz w:val="24"/>
        </w:rPr>
        <w:t>（三） 订货数量：</w:t>
      </w:r>
    </w:p>
    <w:p w14:paraId="2E026B94">
      <w:pPr>
        <w:spacing w:before="120" w:line="300" w:lineRule="auto"/>
        <w:rPr>
          <w:sz w:val="24"/>
        </w:rPr>
      </w:pPr>
      <w:r>
        <w:rPr>
          <w:sz w:val="24"/>
        </w:rPr>
        <w:t xml:space="preserve"> 1 台。</w:t>
      </w:r>
    </w:p>
    <w:p w14:paraId="14A4A2DC">
      <w:pPr>
        <w:spacing w:line="360" w:lineRule="auto"/>
        <w:rPr>
          <w:sz w:val="24"/>
        </w:rPr>
      </w:pPr>
    </w:p>
    <w:p w14:paraId="64029C11">
      <w:pPr>
        <w:spacing w:line="360" w:lineRule="auto"/>
        <w:rPr>
          <w:b/>
          <w:sz w:val="24"/>
        </w:rPr>
      </w:pPr>
      <w:r>
        <w:rPr>
          <w:b/>
          <w:sz w:val="24"/>
        </w:rPr>
        <w:t>（四）交货日期和交货地点（项目现场）：</w:t>
      </w:r>
    </w:p>
    <w:p w14:paraId="5CE2FFE1">
      <w:pPr>
        <w:spacing w:before="120" w:line="300" w:lineRule="auto"/>
        <w:rPr>
          <w:sz w:val="24"/>
        </w:rPr>
      </w:pPr>
      <w:r>
        <w:rPr>
          <w:sz w:val="24"/>
        </w:rPr>
        <w:t>1. 交货日期：合同签订后6个月内。</w:t>
      </w:r>
    </w:p>
    <w:p w14:paraId="0BA41884">
      <w:pPr>
        <w:spacing w:before="120" w:line="300" w:lineRule="auto"/>
        <w:rPr>
          <w:sz w:val="24"/>
        </w:rPr>
      </w:pPr>
      <w:r>
        <w:rPr>
          <w:sz w:val="24"/>
        </w:rPr>
        <w:t xml:space="preserve">2. 交货地点：中国科学院地球化学研究所 D1栋二楼。  </w:t>
      </w:r>
    </w:p>
    <w:p w14:paraId="50FC6FF1">
      <w:pPr>
        <w:spacing w:line="360" w:lineRule="auto"/>
        <w:rPr>
          <w:sz w:val="24"/>
        </w:rPr>
      </w:pPr>
    </w:p>
    <w:p w14:paraId="535321FF">
      <w:pPr>
        <w:spacing w:line="360" w:lineRule="auto"/>
        <w:rPr>
          <w:sz w:val="24"/>
        </w:rPr>
      </w:pPr>
      <w:r>
        <w:rPr>
          <w:b/>
          <w:bCs/>
          <w:sz w:val="24"/>
        </w:rPr>
        <w:t xml:space="preserve">（五）付款方式： </w:t>
      </w:r>
      <w:r>
        <w:rPr>
          <w:sz w:val="24"/>
        </w:rPr>
        <w:t xml:space="preserve">                                        </w:t>
      </w:r>
    </w:p>
    <w:p w14:paraId="64631372">
      <w:pPr>
        <w:spacing w:line="360" w:lineRule="auto"/>
        <w:rPr>
          <w:sz w:val="24"/>
        </w:rPr>
      </w:pPr>
      <w:r>
        <w:rPr>
          <w:sz w:val="24"/>
        </w:rPr>
        <w:t>本合同履约保证金为合同总价款 5%，乙方须于合同生效后 5 日内足额缴至甲方账户，未完成履约担保提交前，甲方有权不予支付任何款项</w:t>
      </w:r>
      <w:r>
        <w:rPr>
          <w:rFonts w:hint="eastAsia"/>
          <w:sz w:val="24"/>
        </w:rPr>
        <w:t>。</w:t>
      </w:r>
      <w:r>
        <w:rPr>
          <w:sz w:val="24"/>
        </w:rPr>
        <w:t>履约保证金于设备最终验收合格、乙方全部履行供货调试义务后 30 日内无息退还</w:t>
      </w:r>
      <w:r>
        <w:rPr>
          <w:rFonts w:hint="eastAsia"/>
          <w:sz w:val="24"/>
        </w:rPr>
        <w:t>。</w:t>
      </w:r>
    </w:p>
    <w:p w14:paraId="521A8F60">
      <w:pPr>
        <w:spacing w:before="120" w:line="300" w:lineRule="auto"/>
        <w:rPr>
          <w:sz w:val="24"/>
        </w:rPr>
      </w:pPr>
      <w:r>
        <w:rPr>
          <w:sz w:val="24"/>
        </w:rPr>
        <w:t>1. 合同签订30天内，预付</w:t>
      </w:r>
      <w:r>
        <w:rPr>
          <w:rFonts w:hint="eastAsia"/>
          <w:sz w:val="24"/>
        </w:rPr>
        <w:t>40</w:t>
      </w:r>
      <w:r>
        <w:rPr>
          <w:sz w:val="24"/>
        </w:rPr>
        <w:t>%</w:t>
      </w:r>
      <w:r>
        <w:rPr>
          <w:rFonts w:hint="eastAsia"/>
          <w:sz w:val="24"/>
        </w:rPr>
        <w:t>合同款</w:t>
      </w:r>
      <w:r>
        <w:rPr>
          <w:sz w:val="24"/>
        </w:rPr>
        <w:t>；</w:t>
      </w:r>
    </w:p>
    <w:p w14:paraId="6E8059EB">
      <w:pPr>
        <w:spacing w:before="120" w:line="300" w:lineRule="auto"/>
        <w:rPr>
          <w:sz w:val="24"/>
        </w:rPr>
      </w:pPr>
      <w:r>
        <w:rPr>
          <w:sz w:val="24"/>
        </w:rPr>
        <w:t xml:space="preserve">2. </w:t>
      </w:r>
      <w:r>
        <w:rPr>
          <w:rFonts w:hint="eastAsia"/>
          <w:sz w:val="24"/>
        </w:rPr>
        <w:t>到货后，</w:t>
      </w:r>
      <w:r>
        <w:rPr>
          <w:sz w:val="24"/>
        </w:rPr>
        <w:t>支付合同总价款的</w:t>
      </w:r>
      <w:r>
        <w:rPr>
          <w:rFonts w:hint="eastAsia"/>
          <w:sz w:val="24"/>
        </w:rPr>
        <w:t>40</w:t>
      </w:r>
      <w:r>
        <w:rPr>
          <w:sz w:val="24"/>
        </w:rPr>
        <w:t>%</w:t>
      </w:r>
      <w:r>
        <w:rPr>
          <w:rFonts w:hint="eastAsia"/>
          <w:sz w:val="24"/>
        </w:rPr>
        <w:t>；</w:t>
      </w:r>
    </w:p>
    <w:p w14:paraId="232A30B4">
      <w:pPr>
        <w:spacing w:before="120" w:line="300" w:lineRule="auto"/>
        <w:rPr>
          <w:sz w:val="24"/>
        </w:rPr>
      </w:pPr>
      <w:r>
        <w:rPr>
          <w:sz w:val="24"/>
        </w:rPr>
        <w:t>3.</w:t>
      </w:r>
      <w:r>
        <w:rPr>
          <w:rFonts w:hint="eastAsia"/>
          <w:sz w:val="24"/>
        </w:rPr>
        <w:t xml:space="preserve"> 仪器</w:t>
      </w:r>
      <w:r>
        <w:rPr>
          <w:sz w:val="24"/>
        </w:rPr>
        <w:t>合格、技术验收后，</w:t>
      </w:r>
      <w:r>
        <w:rPr>
          <w:rFonts w:hint="eastAsia"/>
          <w:sz w:val="24"/>
        </w:rPr>
        <w:t>支付尾</w:t>
      </w:r>
      <w:r>
        <w:rPr>
          <w:sz w:val="24"/>
        </w:rPr>
        <w:t>款</w:t>
      </w:r>
      <w:r>
        <w:rPr>
          <w:rFonts w:hint="eastAsia"/>
          <w:sz w:val="24"/>
        </w:rPr>
        <w:t>。</w:t>
      </w:r>
    </w:p>
    <w:p w14:paraId="3039DFE9">
      <w:pPr>
        <w:spacing w:line="360" w:lineRule="auto"/>
        <w:rPr>
          <w:sz w:val="24"/>
        </w:rPr>
      </w:pPr>
    </w:p>
    <w:p w14:paraId="3183F061">
      <w:pPr>
        <w:spacing w:line="360" w:lineRule="auto"/>
        <w:rPr>
          <w:b/>
          <w:sz w:val="24"/>
        </w:rPr>
      </w:pPr>
      <w:r>
        <w:rPr>
          <w:b/>
          <w:sz w:val="24"/>
        </w:rPr>
        <w:t>（六）执行的相关标准</w:t>
      </w:r>
    </w:p>
    <w:p w14:paraId="064DB2AB">
      <w:pPr>
        <w:widowControl/>
        <w:spacing w:before="120" w:line="300" w:lineRule="auto"/>
        <w:rPr>
          <w:b/>
          <w:sz w:val="30"/>
          <w:szCs w:val="30"/>
        </w:rPr>
      </w:pPr>
      <w:r>
        <w:rPr>
          <w:sz w:val="24"/>
        </w:rPr>
        <w:t>设备的设计、制造、检验试验等符合相关的国际/国家最新版本标准。当标准条款发生冲突时，以严格的为准。</w:t>
      </w:r>
    </w:p>
    <w:p w14:paraId="2C943286">
      <w:pPr>
        <w:widowControl/>
        <w:spacing w:line="360" w:lineRule="atLeast"/>
        <w:jc w:val="center"/>
        <w:rPr>
          <w:b/>
          <w:sz w:val="24"/>
        </w:rPr>
      </w:pP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09BADC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8E1C1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59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09AA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2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17CDA"/>
    <w:rsid w:val="0002309C"/>
    <w:rsid w:val="00027C8D"/>
    <w:rsid w:val="00033E3C"/>
    <w:rsid w:val="00034C59"/>
    <w:rsid w:val="00040005"/>
    <w:rsid w:val="000435E3"/>
    <w:rsid w:val="00052FC7"/>
    <w:rsid w:val="000543E7"/>
    <w:rsid w:val="0006010D"/>
    <w:rsid w:val="00063CDF"/>
    <w:rsid w:val="00064319"/>
    <w:rsid w:val="000668DC"/>
    <w:rsid w:val="00075C86"/>
    <w:rsid w:val="00081ADD"/>
    <w:rsid w:val="00083D69"/>
    <w:rsid w:val="000969BB"/>
    <w:rsid w:val="000973D2"/>
    <w:rsid w:val="000A0D5A"/>
    <w:rsid w:val="000A7E64"/>
    <w:rsid w:val="000B009D"/>
    <w:rsid w:val="000B12EC"/>
    <w:rsid w:val="000B636A"/>
    <w:rsid w:val="000B6A3E"/>
    <w:rsid w:val="000C1F98"/>
    <w:rsid w:val="000C325D"/>
    <w:rsid w:val="000C505C"/>
    <w:rsid w:val="000D1A3C"/>
    <w:rsid w:val="000E0B0C"/>
    <w:rsid w:val="000E12AF"/>
    <w:rsid w:val="000E17D4"/>
    <w:rsid w:val="000E4DA9"/>
    <w:rsid w:val="000E736F"/>
    <w:rsid w:val="000F0348"/>
    <w:rsid w:val="000F0512"/>
    <w:rsid w:val="000F3AB5"/>
    <w:rsid w:val="000F4571"/>
    <w:rsid w:val="00101FA6"/>
    <w:rsid w:val="00103352"/>
    <w:rsid w:val="00105333"/>
    <w:rsid w:val="00107AF4"/>
    <w:rsid w:val="001140D0"/>
    <w:rsid w:val="001235CA"/>
    <w:rsid w:val="001249C1"/>
    <w:rsid w:val="00130EDF"/>
    <w:rsid w:val="00136F3B"/>
    <w:rsid w:val="00137D93"/>
    <w:rsid w:val="00141D35"/>
    <w:rsid w:val="001437EA"/>
    <w:rsid w:val="001444BD"/>
    <w:rsid w:val="00144505"/>
    <w:rsid w:val="00144DDA"/>
    <w:rsid w:val="001458A6"/>
    <w:rsid w:val="0014761F"/>
    <w:rsid w:val="00153F11"/>
    <w:rsid w:val="00154444"/>
    <w:rsid w:val="00154F47"/>
    <w:rsid w:val="00155A34"/>
    <w:rsid w:val="00157325"/>
    <w:rsid w:val="00163E8D"/>
    <w:rsid w:val="00164E27"/>
    <w:rsid w:val="00173056"/>
    <w:rsid w:val="0018672D"/>
    <w:rsid w:val="001921CA"/>
    <w:rsid w:val="00193883"/>
    <w:rsid w:val="00194900"/>
    <w:rsid w:val="00196C58"/>
    <w:rsid w:val="001A0E56"/>
    <w:rsid w:val="001A0FA5"/>
    <w:rsid w:val="001A1192"/>
    <w:rsid w:val="001A6E63"/>
    <w:rsid w:val="001B195C"/>
    <w:rsid w:val="001B548B"/>
    <w:rsid w:val="001B62CC"/>
    <w:rsid w:val="001B66E1"/>
    <w:rsid w:val="001B6E57"/>
    <w:rsid w:val="001C22AC"/>
    <w:rsid w:val="001C5192"/>
    <w:rsid w:val="001D1CB3"/>
    <w:rsid w:val="001D414C"/>
    <w:rsid w:val="001D48BC"/>
    <w:rsid w:val="001D7301"/>
    <w:rsid w:val="001E1467"/>
    <w:rsid w:val="001E152C"/>
    <w:rsid w:val="001E3480"/>
    <w:rsid w:val="001F18B7"/>
    <w:rsid w:val="001F1D2B"/>
    <w:rsid w:val="001F5FAD"/>
    <w:rsid w:val="001F64A0"/>
    <w:rsid w:val="001F79B6"/>
    <w:rsid w:val="00201DEB"/>
    <w:rsid w:val="002024C7"/>
    <w:rsid w:val="00206639"/>
    <w:rsid w:val="00206D30"/>
    <w:rsid w:val="00210962"/>
    <w:rsid w:val="0021259E"/>
    <w:rsid w:val="00213C28"/>
    <w:rsid w:val="00224FE7"/>
    <w:rsid w:val="0023232E"/>
    <w:rsid w:val="00233C8A"/>
    <w:rsid w:val="00240E7B"/>
    <w:rsid w:val="00245239"/>
    <w:rsid w:val="00247ED0"/>
    <w:rsid w:val="00251DB7"/>
    <w:rsid w:val="00256491"/>
    <w:rsid w:val="002630C9"/>
    <w:rsid w:val="002672D1"/>
    <w:rsid w:val="00275598"/>
    <w:rsid w:val="002761A3"/>
    <w:rsid w:val="00277806"/>
    <w:rsid w:val="0028124D"/>
    <w:rsid w:val="00282A80"/>
    <w:rsid w:val="00282F14"/>
    <w:rsid w:val="00282F9F"/>
    <w:rsid w:val="002841F2"/>
    <w:rsid w:val="002872A9"/>
    <w:rsid w:val="002905F2"/>
    <w:rsid w:val="00292E0B"/>
    <w:rsid w:val="002A0CBA"/>
    <w:rsid w:val="002B44BD"/>
    <w:rsid w:val="002B6E7A"/>
    <w:rsid w:val="002B7380"/>
    <w:rsid w:val="002C47B5"/>
    <w:rsid w:val="002C4B56"/>
    <w:rsid w:val="002D1C19"/>
    <w:rsid w:val="002D5C47"/>
    <w:rsid w:val="002D6107"/>
    <w:rsid w:val="002E03AA"/>
    <w:rsid w:val="002E34AD"/>
    <w:rsid w:val="002E6A76"/>
    <w:rsid w:val="002F1704"/>
    <w:rsid w:val="002F3AB3"/>
    <w:rsid w:val="002F6DE0"/>
    <w:rsid w:val="002F6FCA"/>
    <w:rsid w:val="002F7EF8"/>
    <w:rsid w:val="002F7F80"/>
    <w:rsid w:val="00301191"/>
    <w:rsid w:val="003057C1"/>
    <w:rsid w:val="0030766E"/>
    <w:rsid w:val="00307C3A"/>
    <w:rsid w:val="0032018A"/>
    <w:rsid w:val="0032169D"/>
    <w:rsid w:val="00322611"/>
    <w:rsid w:val="0032319F"/>
    <w:rsid w:val="003248D5"/>
    <w:rsid w:val="00326D72"/>
    <w:rsid w:val="00326F2B"/>
    <w:rsid w:val="0033189B"/>
    <w:rsid w:val="00334AA9"/>
    <w:rsid w:val="00335101"/>
    <w:rsid w:val="0033727D"/>
    <w:rsid w:val="0034040F"/>
    <w:rsid w:val="003442AE"/>
    <w:rsid w:val="0034443A"/>
    <w:rsid w:val="003474B8"/>
    <w:rsid w:val="00351CB8"/>
    <w:rsid w:val="00353E66"/>
    <w:rsid w:val="00357C16"/>
    <w:rsid w:val="003637C6"/>
    <w:rsid w:val="003732CC"/>
    <w:rsid w:val="00373B63"/>
    <w:rsid w:val="00374F9A"/>
    <w:rsid w:val="00382C0C"/>
    <w:rsid w:val="00386477"/>
    <w:rsid w:val="00386E6C"/>
    <w:rsid w:val="003944C7"/>
    <w:rsid w:val="00397F24"/>
    <w:rsid w:val="003A2286"/>
    <w:rsid w:val="003A298A"/>
    <w:rsid w:val="003B4F45"/>
    <w:rsid w:val="003B5FC6"/>
    <w:rsid w:val="003B6193"/>
    <w:rsid w:val="003C0652"/>
    <w:rsid w:val="003C172D"/>
    <w:rsid w:val="003C7092"/>
    <w:rsid w:val="003C785A"/>
    <w:rsid w:val="003D2B81"/>
    <w:rsid w:val="003E0DCE"/>
    <w:rsid w:val="003F5F7A"/>
    <w:rsid w:val="003F6625"/>
    <w:rsid w:val="004043A2"/>
    <w:rsid w:val="00404A3C"/>
    <w:rsid w:val="00404EA5"/>
    <w:rsid w:val="00415144"/>
    <w:rsid w:val="00420D92"/>
    <w:rsid w:val="00421F2C"/>
    <w:rsid w:val="0042297A"/>
    <w:rsid w:val="00427D18"/>
    <w:rsid w:val="00433C0B"/>
    <w:rsid w:val="004362C7"/>
    <w:rsid w:val="0044106E"/>
    <w:rsid w:val="004432B3"/>
    <w:rsid w:val="00443F85"/>
    <w:rsid w:val="00446E68"/>
    <w:rsid w:val="00447503"/>
    <w:rsid w:val="00457522"/>
    <w:rsid w:val="0046038A"/>
    <w:rsid w:val="00471176"/>
    <w:rsid w:val="00484FF8"/>
    <w:rsid w:val="00494EBD"/>
    <w:rsid w:val="004A0EB1"/>
    <w:rsid w:val="004A3B49"/>
    <w:rsid w:val="004A5C14"/>
    <w:rsid w:val="004B3476"/>
    <w:rsid w:val="004B36B8"/>
    <w:rsid w:val="004C387C"/>
    <w:rsid w:val="004D0AB9"/>
    <w:rsid w:val="004D1D83"/>
    <w:rsid w:val="004E042A"/>
    <w:rsid w:val="004E4504"/>
    <w:rsid w:val="004F0FDE"/>
    <w:rsid w:val="004F191B"/>
    <w:rsid w:val="004F3E07"/>
    <w:rsid w:val="004F7B5D"/>
    <w:rsid w:val="005023D6"/>
    <w:rsid w:val="00504FD3"/>
    <w:rsid w:val="00512882"/>
    <w:rsid w:val="005143FF"/>
    <w:rsid w:val="00516FEB"/>
    <w:rsid w:val="005239BF"/>
    <w:rsid w:val="005244F5"/>
    <w:rsid w:val="00524665"/>
    <w:rsid w:val="00526178"/>
    <w:rsid w:val="0052633D"/>
    <w:rsid w:val="00542354"/>
    <w:rsid w:val="00543C0A"/>
    <w:rsid w:val="0054699B"/>
    <w:rsid w:val="00546BA1"/>
    <w:rsid w:val="005515EB"/>
    <w:rsid w:val="0055226E"/>
    <w:rsid w:val="00552E7C"/>
    <w:rsid w:val="00553DD2"/>
    <w:rsid w:val="005556F4"/>
    <w:rsid w:val="005601D0"/>
    <w:rsid w:val="00560FEA"/>
    <w:rsid w:val="005613B2"/>
    <w:rsid w:val="0056304A"/>
    <w:rsid w:val="0057066D"/>
    <w:rsid w:val="00572671"/>
    <w:rsid w:val="00584BF2"/>
    <w:rsid w:val="00591688"/>
    <w:rsid w:val="005916DF"/>
    <w:rsid w:val="00594753"/>
    <w:rsid w:val="00595627"/>
    <w:rsid w:val="00595D3F"/>
    <w:rsid w:val="00595EAC"/>
    <w:rsid w:val="005A2F5B"/>
    <w:rsid w:val="005A52D6"/>
    <w:rsid w:val="005C554B"/>
    <w:rsid w:val="005C574A"/>
    <w:rsid w:val="005C746F"/>
    <w:rsid w:val="005D09A0"/>
    <w:rsid w:val="005D479D"/>
    <w:rsid w:val="005D6422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1681D"/>
    <w:rsid w:val="006177BB"/>
    <w:rsid w:val="006225E2"/>
    <w:rsid w:val="0062676A"/>
    <w:rsid w:val="0063113F"/>
    <w:rsid w:val="00640DB1"/>
    <w:rsid w:val="006416E9"/>
    <w:rsid w:val="0064545D"/>
    <w:rsid w:val="00646C82"/>
    <w:rsid w:val="00647CD5"/>
    <w:rsid w:val="00650F8F"/>
    <w:rsid w:val="006548A6"/>
    <w:rsid w:val="00655478"/>
    <w:rsid w:val="00663974"/>
    <w:rsid w:val="00664D7F"/>
    <w:rsid w:val="00673641"/>
    <w:rsid w:val="00680982"/>
    <w:rsid w:val="0068267D"/>
    <w:rsid w:val="006858B6"/>
    <w:rsid w:val="0069730F"/>
    <w:rsid w:val="006A1779"/>
    <w:rsid w:val="006A377B"/>
    <w:rsid w:val="006B0930"/>
    <w:rsid w:val="006B47A9"/>
    <w:rsid w:val="006B5DC1"/>
    <w:rsid w:val="006C4384"/>
    <w:rsid w:val="006C5135"/>
    <w:rsid w:val="006C546E"/>
    <w:rsid w:val="006D29F2"/>
    <w:rsid w:val="006E200B"/>
    <w:rsid w:val="006E2DE0"/>
    <w:rsid w:val="006E5A8E"/>
    <w:rsid w:val="006E7B3D"/>
    <w:rsid w:val="0070081C"/>
    <w:rsid w:val="007036CA"/>
    <w:rsid w:val="00707FD5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2FEF"/>
    <w:rsid w:val="00755A4F"/>
    <w:rsid w:val="0075674B"/>
    <w:rsid w:val="00761F2B"/>
    <w:rsid w:val="00763B74"/>
    <w:rsid w:val="00763B8C"/>
    <w:rsid w:val="00772DFD"/>
    <w:rsid w:val="007731D0"/>
    <w:rsid w:val="00775B16"/>
    <w:rsid w:val="00785A0A"/>
    <w:rsid w:val="00787CED"/>
    <w:rsid w:val="007967F8"/>
    <w:rsid w:val="007A3772"/>
    <w:rsid w:val="007B6DFC"/>
    <w:rsid w:val="007C2696"/>
    <w:rsid w:val="007C2F5E"/>
    <w:rsid w:val="007C4C31"/>
    <w:rsid w:val="007C5EA5"/>
    <w:rsid w:val="007D381E"/>
    <w:rsid w:val="007D3EE2"/>
    <w:rsid w:val="007E03CA"/>
    <w:rsid w:val="007E6193"/>
    <w:rsid w:val="007F2F97"/>
    <w:rsid w:val="007F30CC"/>
    <w:rsid w:val="007F387D"/>
    <w:rsid w:val="007F7152"/>
    <w:rsid w:val="008156CB"/>
    <w:rsid w:val="008203E6"/>
    <w:rsid w:val="00822633"/>
    <w:rsid w:val="0082283E"/>
    <w:rsid w:val="00825633"/>
    <w:rsid w:val="00830107"/>
    <w:rsid w:val="00831B02"/>
    <w:rsid w:val="00833174"/>
    <w:rsid w:val="0083489E"/>
    <w:rsid w:val="00835158"/>
    <w:rsid w:val="0083662B"/>
    <w:rsid w:val="00846609"/>
    <w:rsid w:val="00852958"/>
    <w:rsid w:val="0085467F"/>
    <w:rsid w:val="00856202"/>
    <w:rsid w:val="00864F77"/>
    <w:rsid w:val="008661F8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20FE"/>
    <w:rsid w:val="008C36D3"/>
    <w:rsid w:val="008D0675"/>
    <w:rsid w:val="008D1425"/>
    <w:rsid w:val="008D2736"/>
    <w:rsid w:val="008D3BC8"/>
    <w:rsid w:val="008D5ECA"/>
    <w:rsid w:val="008D6F23"/>
    <w:rsid w:val="008E31E2"/>
    <w:rsid w:val="008E5EB5"/>
    <w:rsid w:val="008F04C7"/>
    <w:rsid w:val="008F21A5"/>
    <w:rsid w:val="008F2440"/>
    <w:rsid w:val="00914619"/>
    <w:rsid w:val="009202C8"/>
    <w:rsid w:val="009246BA"/>
    <w:rsid w:val="00930CDE"/>
    <w:rsid w:val="00935AA1"/>
    <w:rsid w:val="009450D7"/>
    <w:rsid w:val="009451DC"/>
    <w:rsid w:val="009467F2"/>
    <w:rsid w:val="00947958"/>
    <w:rsid w:val="0095655E"/>
    <w:rsid w:val="00956752"/>
    <w:rsid w:val="00960BFE"/>
    <w:rsid w:val="00961DB6"/>
    <w:rsid w:val="00966DE4"/>
    <w:rsid w:val="009718ED"/>
    <w:rsid w:val="0097297B"/>
    <w:rsid w:val="00975187"/>
    <w:rsid w:val="0098154C"/>
    <w:rsid w:val="0098549E"/>
    <w:rsid w:val="009857EF"/>
    <w:rsid w:val="009932CE"/>
    <w:rsid w:val="009941D8"/>
    <w:rsid w:val="009946EB"/>
    <w:rsid w:val="009A2C18"/>
    <w:rsid w:val="009B36A1"/>
    <w:rsid w:val="009C0A0B"/>
    <w:rsid w:val="009C14BD"/>
    <w:rsid w:val="009C74D1"/>
    <w:rsid w:val="009D09ED"/>
    <w:rsid w:val="009D1AF8"/>
    <w:rsid w:val="009D32B1"/>
    <w:rsid w:val="009E0E8F"/>
    <w:rsid w:val="009E1C84"/>
    <w:rsid w:val="009E32D4"/>
    <w:rsid w:val="009E4080"/>
    <w:rsid w:val="009E4DCB"/>
    <w:rsid w:val="009E580F"/>
    <w:rsid w:val="009F530B"/>
    <w:rsid w:val="009F5A6A"/>
    <w:rsid w:val="00A00BDC"/>
    <w:rsid w:val="00A01B3A"/>
    <w:rsid w:val="00A0205F"/>
    <w:rsid w:val="00A04E9D"/>
    <w:rsid w:val="00A05F91"/>
    <w:rsid w:val="00A06893"/>
    <w:rsid w:val="00A14987"/>
    <w:rsid w:val="00A21886"/>
    <w:rsid w:val="00A25682"/>
    <w:rsid w:val="00A2638C"/>
    <w:rsid w:val="00A27417"/>
    <w:rsid w:val="00A27AFD"/>
    <w:rsid w:val="00A354A8"/>
    <w:rsid w:val="00A4031E"/>
    <w:rsid w:val="00A442C7"/>
    <w:rsid w:val="00A44A2B"/>
    <w:rsid w:val="00A46F60"/>
    <w:rsid w:val="00A53234"/>
    <w:rsid w:val="00A5508D"/>
    <w:rsid w:val="00A56EE9"/>
    <w:rsid w:val="00A56F9C"/>
    <w:rsid w:val="00A57F47"/>
    <w:rsid w:val="00A66EA3"/>
    <w:rsid w:val="00A8225A"/>
    <w:rsid w:val="00A928E0"/>
    <w:rsid w:val="00A92A15"/>
    <w:rsid w:val="00AA029F"/>
    <w:rsid w:val="00AA7A0D"/>
    <w:rsid w:val="00AB113B"/>
    <w:rsid w:val="00AD2FD2"/>
    <w:rsid w:val="00AD41E6"/>
    <w:rsid w:val="00AD4883"/>
    <w:rsid w:val="00AD4ECF"/>
    <w:rsid w:val="00AD70C8"/>
    <w:rsid w:val="00AE094D"/>
    <w:rsid w:val="00AE39FA"/>
    <w:rsid w:val="00AE3FF1"/>
    <w:rsid w:val="00AE5797"/>
    <w:rsid w:val="00AE7F45"/>
    <w:rsid w:val="00AF2B1E"/>
    <w:rsid w:val="00AF6067"/>
    <w:rsid w:val="00B01174"/>
    <w:rsid w:val="00B04039"/>
    <w:rsid w:val="00B07AAD"/>
    <w:rsid w:val="00B11380"/>
    <w:rsid w:val="00B15273"/>
    <w:rsid w:val="00B16887"/>
    <w:rsid w:val="00B1746F"/>
    <w:rsid w:val="00B27A2B"/>
    <w:rsid w:val="00B31F00"/>
    <w:rsid w:val="00B351A2"/>
    <w:rsid w:val="00B41959"/>
    <w:rsid w:val="00B41D33"/>
    <w:rsid w:val="00B42C18"/>
    <w:rsid w:val="00B43CF7"/>
    <w:rsid w:val="00B44327"/>
    <w:rsid w:val="00B53944"/>
    <w:rsid w:val="00B60ECA"/>
    <w:rsid w:val="00B61FDD"/>
    <w:rsid w:val="00B67E52"/>
    <w:rsid w:val="00B758E7"/>
    <w:rsid w:val="00B75B80"/>
    <w:rsid w:val="00B7759A"/>
    <w:rsid w:val="00B81149"/>
    <w:rsid w:val="00B8672D"/>
    <w:rsid w:val="00B94FB1"/>
    <w:rsid w:val="00BA7F53"/>
    <w:rsid w:val="00BB1C98"/>
    <w:rsid w:val="00BC1440"/>
    <w:rsid w:val="00BC7FBC"/>
    <w:rsid w:val="00BD11D6"/>
    <w:rsid w:val="00BD2A3B"/>
    <w:rsid w:val="00BD646D"/>
    <w:rsid w:val="00BD6A33"/>
    <w:rsid w:val="00BD7ED0"/>
    <w:rsid w:val="00BE01B1"/>
    <w:rsid w:val="00BE12F0"/>
    <w:rsid w:val="00BE5E06"/>
    <w:rsid w:val="00BE643E"/>
    <w:rsid w:val="00BE7CED"/>
    <w:rsid w:val="00BF59BF"/>
    <w:rsid w:val="00C0232A"/>
    <w:rsid w:val="00C056B5"/>
    <w:rsid w:val="00C05F16"/>
    <w:rsid w:val="00C10630"/>
    <w:rsid w:val="00C12939"/>
    <w:rsid w:val="00C14E3B"/>
    <w:rsid w:val="00C23BA4"/>
    <w:rsid w:val="00C23F34"/>
    <w:rsid w:val="00C241B2"/>
    <w:rsid w:val="00C24609"/>
    <w:rsid w:val="00C271AF"/>
    <w:rsid w:val="00C27A10"/>
    <w:rsid w:val="00C34485"/>
    <w:rsid w:val="00C40AB3"/>
    <w:rsid w:val="00C43805"/>
    <w:rsid w:val="00C43E24"/>
    <w:rsid w:val="00C45235"/>
    <w:rsid w:val="00C54174"/>
    <w:rsid w:val="00C60EF2"/>
    <w:rsid w:val="00C615B2"/>
    <w:rsid w:val="00C702F0"/>
    <w:rsid w:val="00C74553"/>
    <w:rsid w:val="00C76158"/>
    <w:rsid w:val="00C8112C"/>
    <w:rsid w:val="00C84C38"/>
    <w:rsid w:val="00C87EF4"/>
    <w:rsid w:val="00C94B83"/>
    <w:rsid w:val="00CA0EA5"/>
    <w:rsid w:val="00CA3754"/>
    <w:rsid w:val="00CA623E"/>
    <w:rsid w:val="00CA630F"/>
    <w:rsid w:val="00CB4EB2"/>
    <w:rsid w:val="00CB7A41"/>
    <w:rsid w:val="00CC50EC"/>
    <w:rsid w:val="00CC7A0B"/>
    <w:rsid w:val="00CD0A52"/>
    <w:rsid w:val="00CD0EEF"/>
    <w:rsid w:val="00CD64CD"/>
    <w:rsid w:val="00CE2041"/>
    <w:rsid w:val="00CE2328"/>
    <w:rsid w:val="00CE3059"/>
    <w:rsid w:val="00CE3D48"/>
    <w:rsid w:val="00CE4960"/>
    <w:rsid w:val="00CE56FA"/>
    <w:rsid w:val="00CE5B6F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0794"/>
    <w:rsid w:val="00D6263A"/>
    <w:rsid w:val="00D6312E"/>
    <w:rsid w:val="00D75701"/>
    <w:rsid w:val="00D778D7"/>
    <w:rsid w:val="00D80BB4"/>
    <w:rsid w:val="00D83934"/>
    <w:rsid w:val="00D861C3"/>
    <w:rsid w:val="00D862C1"/>
    <w:rsid w:val="00D9122F"/>
    <w:rsid w:val="00D91A0C"/>
    <w:rsid w:val="00D9239C"/>
    <w:rsid w:val="00D95955"/>
    <w:rsid w:val="00D972F1"/>
    <w:rsid w:val="00D979AB"/>
    <w:rsid w:val="00DA590C"/>
    <w:rsid w:val="00DA703D"/>
    <w:rsid w:val="00DB54CF"/>
    <w:rsid w:val="00DC1546"/>
    <w:rsid w:val="00DD2172"/>
    <w:rsid w:val="00DD4A09"/>
    <w:rsid w:val="00DD4C25"/>
    <w:rsid w:val="00DD6A1F"/>
    <w:rsid w:val="00DD7245"/>
    <w:rsid w:val="00DE4C00"/>
    <w:rsid w:val="00DE5C67"/>
    <w:rsid w:val="00DF2449"/>
    <w:rsid w:val="00DF7ACF"/>
    <w:rsid w:val="00E004CA"/>
    <w:rsid w:val="00E015AB"/>
    <w:rsid w:val="00E03391"/>
    <w:rsid w:val="00E0373B"/>
    <w:rsid w:val="00E04EC3"/>
    <w:rsid w:val="00E07308"/>
    <w:rsid w:val="00E12829"/>
    <w:rsid w:val="00E14474"/>
    <w:rsid w:val="00E179B5"/>
    <w:rsid w:val="00E26286"/>
    <w:rsid w:val="00E30AC2"/>
    <w:rsid w:val="00E33D84"/>
    <w:rsid w:val="00E34813"/>
    <w:rsid w:val="00E356D2"/>
    <w:rsid w:val="00E401B3"/>
    <w:rsid w:val="00E458DA"/>
    <w:rsid w:val="00E46C72"/>
    <w:rsid w:val="00E5687E"/>
    <w:rsid w:val="00E62562"/>
    <w:rsid w:val="00E639CC"/>
    <w:rsid w:val="00E63D5B"/>
    <w:rsid w:val="00E671AD"/>
    <w:rsid w:val="00E80099"/>
    <w:rsid w:val="00E83E40"/>
    <w:rsid w:val="00E857B8"/>
    <w:rsid w:val="00E907E5"/>
    <w:rsid w:val="00E943B8"/>
    <w:rsid w:val="00EA11F7"/>
    <w:rsid w:val="00EA20B9"/>
    <w:rsid w:val="00EA4549"/>
    <w:rsid w:val="00EB706F"/>
    <w:rsid w:val="00ED0B37"/>
    <w:rsid w:val="00ED22DF"/>
    <w:rsid w:val="00ED4C66"/>
    <w:rsid w:val="00ED6781"/>
    <w:rsid w:val="00EE2462"/>
    <w:rsid w:val="00EE4768"/>
    <w:rsid w:val="00EE4BD8"/>
    <w:rsid w:val="00EE6E08"/>
    <w:rsid w:val="00EF3685"/>
    <w:rsid w:val="00EF5BA0"/>
    <w:rsid w:val="00EF5BA2"/>
    <w:rsid w:val="00F000D8"/>
    <w:rsid w:val="00F13600"/>
    <w:rsid w:val="00F15FC0"/>
    <w:rsid w:val="00F17042"/>
    <w:rsid w:val="00F175D1"/>
    <w:rsid w:val="00F17730"/>
    <w:rsid w:val="00F21DA9"/>
    <w:rsid w:val="00F22A75"/>
    <w:rsid w:val="00F3059E"/>
    <w:rsid w:val="00F30C1E"/>
    <w:rsid w:val="00F3185D"/>
    <w:rsid w:val="00F31ADF"/>
    <w:rsid w:val="00F35217"/>
    <w:rsid w:val="00F35C50"/>
    <w:rsid w:val="00F37B8F"/>
    <w:rsid w:val="00F4157F"/>
    <w:rsid w:val="00F42D68"/>
    <w:rsid w:val="00F436FE"/>
    <w:rsid w:val="00F45517"/>
    <w:rsid w:val="00F500D2"/>
    <w:rsid w:val="00F51A9D"/>
    <w:rsid w:val="00F51E1D"/>
    <w:rsid w:val="00F56311"/>
    <w:rsid w:val="00F57792"/>
    <w:rsid w:val="00F60048"/>
    <w:rsid w:val="00F609E4"/>
    <w:rsid w:val="00F60A13"/>
    <w:rsid w:val="00F6185A"/>
    <w:rsid w:val="00F6491C"/>
    <w:rsid w:val="00F67016"/>
    <w:rsid w:val="00F73FE2"/>
    <w:rsid w:val="00F74944"/>
    <w:rsid w:val="00F8497C"/>
    <w:rsid w:val="00F91E41"/>
    <w:rsid w:val="00F95833"/>
    <w:rsid w:val="00FA0107"/>
    <w:rsid w:val="00FA238D"/>
    <w:rsid w:val="00FA3835"/>
    <w:rsid w:val="00FA6816"/>
    <w:rsid w:val="00FB5D79"/>
    <w:rsid w:val="00FC4125"/>
    <w:rsid w:val="00FE3D91"/>
    <w:rsid w:val="00FE48FD"/>
    <w:rsid w:val="00FE55D2"/>
    <w:rsid w:val="00FF5179"/>
    <w:rsid w:val="00FF728E"/>
    <w:rsid w:val="020B291A"/>
    <w:rsid w:val="03920355"/>
    <w:rsid w:val="051B3A05"/>
    <w:rsid w:val="053E2C54"/>
    <w:rsid w:val="05BC0BF8"/>
    <w:rsid w:val="06F02823"/>
    <w:rsid w:val="06F757B1"/>
    <w:rsid w:val="075C5D77"/>
    <w:rsid w:val="0762073E"/>
    <w:rsid w:val="08CE0793"/>
    <w:rsid w:val="08D86F1C"/>
    <w:rsid w:val="09120680"/>
    <w:rsid w:val="09A45050"/>
    <w:rsid w:val="09FA1199"/>
    <w:rsid w:val="0A5B05D9"/>
    <w:rsid w:val="0ADF594B"/>
    <w:rsid w:val="0AE0030A"/>
    <w:rsid w:val="0BA90827"/>
    <w:rsid w:val="0BDC31C7"/>
    <w:rsid w:val="0C47788B"/>
    <w:rsid w:val="0C721436"/>
    <w:rsid w:val="0D117AAE"/>
    <w:rsid w:val="0D515D8F"/>
    <w:rsid w:val="0D6B0DE4"/>
    <w:rsid w:val="0D8A6F81"/>
    <w:rsid w:val="0E172CF1"/>
    <w:rsid w:val="0E39045D"/>
    <w:rsid w:val="0E6179B4"/>
    <w:rsid w:val="0E936CC2"/>
    <w:rsid w:val="0EE967FA"/>
    <w:rsid w:val="0F167845"/>
    <w:rsid w:val="0F4075C9"/>
    <w:rsid w:val="0F4672D5"/>
    <w:rsid w:val="0F4E40DD"/>
    <w:rsid w:val="0F6F4465"/>
    <w:rsid w:val="10E279BE"/>
    <w:rsid w:val="122264FF"/>
    <w:rsid w:val="122E6778"/>
    <w:rsid w:val="124949E7"/>
    <w:rsid w:val="128B5428"/>
    <w:rsid w:val="12B534EB"/>
    <w:rsid w:val="12DA3BE0"/>
    <w:rsid w:val="13285904"/>
    <w:rsid w:val="13465DF0"/>
    <w:rsid w:val="139D57EB"/>
    <w:rsid w:val="15995D74"/>
    <w:rsid w:val="15D708BB"/>
    <w:rsid w:val="15F52619"/>
    <w:rsid w:val="17CB6513"/>
    <w:rsid w:val="17E30CEE"/>
    <w:rsid w:val="18420856"/>
    <w:rsid w:val="185D6BC0"/>
    <w:rsid w:val="199030D2"/>
    <w:rsid w:val="19AE7309"/>
    <w:rsid w:val="1A18361C"/>
    <w:rsid w:val="1A340CCE"/>
    <w:rsid w:val="1A902BB0"/>
    <w:rsid w:val="1B9E3D36"/>
    <w:rsid w:val="1BBA3A2F"/>
    <w:rsid w:val="1C686EB5"/>
    <w:rsid w:val="1C746B04"/>
    <w:rsid w:val="1C8F2A04"/>
    <w:rsid w:val="1D8B6157"/>
    <w:rsid w:val="20365C75"/>
    <w:rsid w:val="20863AF3"/>
    <w:rsid w:val="20CF69FF"/>
    <w:rsid w:val="20FD3BD3"/>
    <w:rsid w:val="218B2C39"/>
    <w:rsid w:val="22597BF6"/>
    <w:rsid w:val="227819CB"/>
    <w:rsid w:val="23256975"/>
    <w:rsid w:val="23423424"/>
    <w:rsid w:val="23EA6B2E"/>
    <w:rsid w:val="23FB4EBC"/>
    <w:rsid w:val="240C4724"/>
    <w:rsid w:val="243F7370"/>
    <w:rsid w:val="249F2119"/>
    <w:rsid w:val="24E93CA3"/>
    <w:rsid w:val="259E0257"/>
    <w:rsid w:val="26053E04"/>
    <w:rsid w:val="26B26BA7"/>
    <w:rsid w:val="26DD3CEE"/>
    <w:rsid w:val="271E423C"/>
    <w:rsid w:val="27466343"/>
    <w:rsid w:val="27C154A3"/>
    <w:rsid w:val="27F05BD9"/>
    <w:rsid w:val="28131A9F"/>
    <w:rsid w:val="28537F15"/>
    <w:rsid w:val="285745BD"/>
    <w:rsid w:val="289E73E3"/>
    <w:rsid w:val="291678C1"/>
    <w:rsid w:val="2A8E004C"/>
    <w:rsid w:val="2B3F259D"/>
    <w:rsid w:val="2B6A1BE2"/>
    <w:rsid w:val="2C083F8D"/>
    <w:rsid w:val="2CB90995"/>
    <w:rsid w:val="2D3C5A1F"/>
    <w:rsid w:val="2D5179CF"/>
    <w:rsid w:val="2DFE0923"/>
    <w:rsid w:val="2ED5581D"/>
    <w:rsid w:val="2F25260C"/>
    <w:rsid w:val="30607673"/>
    <w:rsid w:val="307750E9"/>
    <w:rsid w:val="308A097E"/>
    <w:rsid w:val="30B57D5D"/>
    <w:rsid w:val="30C23E8A"/>
    <w:rsid w:val="319039E6"/>
    <w:rsid w:val="32085AE3"/>
    <w:rsid w:val="32227714"/>
    <w:rsid w:val="327F0D3B"/>
    <w:rsid w:val="32E25230"/>
    <w:rsid w:val="331A4758"/>
    <w:rsid w:val="334D0383"/>
    <w:rsid w:val="33661445"/>
    <w:rsid w:val="3369385E"/>
    <w:rsid w:val="33B73A4E"/>
    <w:rsid w:val="33CA23C6"/>
    <w:rsid w:val="34236D71"/>
    <w:rsid w:val="3490277D"/>
    <w:rsid w:val="351101A8"/>
    <w:rsid w:val="35C0542C"/>
    <w:rsid w:val="35F4081D"/>
    <w:rsid w:val="372B2789"/>
    <w:rsid w:val="37CE32A7"/>
    <w:rsid w:val="384F06F9"/>
    <w:rsid w:val="38EF3C8A"/>
    <w:rsid w:val="395026E3"/>
    <w:rsid w:val="39A43A9C"/>
    <w:rsid w:val="3AC54CA3"/>
    <w:rsid w:val="3AE72E6B"/>
    <w:rsid w:val="3AFF33E8"/>
    <w:rsid w:val="3C2D3B80"/>
    <w:rsid w:val="3CF861D7"/>
    <w:rsid w:val="3D476359"/>
    <w:rsid w:val="3D9A658C"/>
    <w:rsid w:val="3DE10046"/>
    <w:rsid w:val="3DEE1D80"/>
    <w:rsid w:val="3DF338D5"/>
    <w:rsid w:val="3E375EB7"/>
    <w:rsid w:val="3EA378DA"/>
    <w:rsid w:val="3EF73899"/>
    <w:rsid w:val="3F0A7128"/>
    <w:rsid w:val="3F651E10"/>
    <w:rsid w:val="3F6F78D3"/>
    <w:rsid w:val="406E7B8B"/>
    <w:rsid w:val="426C16E4"/>
    <w:rsid w:val="429E3019"/>
    <w:rsid w:val="42D75573"/>
    <w:rsid w:val="42DD053E"/>
    <w:rsid w:val="43D85920"/>
    <w:rsid w:val="442F62DC"/>
    <w:rsid w:val="443B5FD6"/>
    <w:rsid w:val="4521341D"/>
    <w:rsid w:val="459220B9"/>
    <w:rsid w:val="45B24076"/>
    <w:rsid w:val="46DB7A17"/>
    <w:rsid w:val="48333FF5"/>
    <w:rsid w:val="485E6BC5"/>
    <w:rsid w:val="48E62910"/>
    <w:rsid w:val="48F2777D"/>
    <w:rsid w:val="49FA5FEB"/>
    <w:rsid w:val="4A3E0C6F"/>
    <w:rsid w:val="4AB1027E"/>
    <w:rsid w:val="4B914BF5"/>
    <w:rsid w:val="4C7D3400"/>
    <w:rsid w:val="4CB230FF"/>
    <w:rsid w:val="4CF56E86"/>
    <w:rsid w:val="4D413CB4"/>
    <w:rsid w:val="4E1A4EAE"/>
    <w:rsid w:val="4E9837C4"/>
    <w:rsid w:val="4EE564B0"/>
    <w:rsid w:val="4F3512E0"/>
    <w:rsid w:val="4F4915A7"/>
    <w:rsid w:val="4F8D414D"/>
    <w:rsid w:val="4FFC159D"/>
    <w:rsid w:val="51C413B8"/>
    <w:rsid w:val="51CD3614"/>
    <w:rsid w:val="51E90E1F"/>
    <w:rsid w:val="51ED6B61"/>
    <w:rsid w:val="522400A9"/>
    <w:rsid w:val="531539E5"/>
    <w:rsid w:val="535449BE"/>
    <w:rsid w:val="53D55AFF"/>
    <w:rsid w:val="53E24C4B"/>
    <w:rsid w:val="53FC6986"/>
    <w:rsid w:val="54A60BE9"/>
    <w:rsid w:val="559A7000"/>
    <w:rsid w:val="5628185A"/>
    <w:rsid w:val="56770AFB"/>
    <w:rsid w:val="56F22655"/>
    <w:rsid w:val="573C6F55"/>
    <w:rsid w:val="57957555"/>
    <w:rsid w:val="57D63A28"/>
    <w:rsid w:val="57F95C42"/>
    <w:rsid w:val="581B6CF3"/>
    <w:rsid w:val="58527420"/>
    <w:rsid w:val="585F0652"/>
    <w:rsid w:val="586A7D22"/>
    <w:rsid w:val="591A5625"/>
    <w:rsid w:val="5980136F"/>
    <w:rsid w:val="59DD58A1"/>
    <w:rsid w:val="5A181FC0"/>
    <w:rsid w:val="5A963B0E"/>
    <w:rsid w:val="5A967D4A"/>
    <w:rsid w:val="5AE900E2"/>
    <w:rsid w:val="5B50604C"/>
    <w:rsid w:val="5C50666A"/>
    <w:rsid w:val="5C7F1F93"/>
    <w:rsid w:val="5D724A23"/>
    <w:rsid w:val="5D89084C"/>
    <w:rsid w:val="5E72647F"/>
    <w:rsid w:val="5E834DD9"/>
    <w:rsid w:val="5F236DE7"/>
    <w:rsid w:val="5FEE7E35"/>
    <w:rsid w:val="608E3660"/>
    <w:rsid w:val="614C50B2"/>
    <w:rsid w:val="616441E1"/>
    <w:rsid w:val="617B7B59"/>
    <w:rsid w:val="61BF05CB"/>
    <w:rsid w:val="620B4DE2"/>
    <w:rsid w:val="621505DC"/>
    <w:rsid w:val="625D22A8"/>
    <w:rsid w:val="62914838"/>
    <w:rsid w:val="62D64207"/>
    <w:rsid w:val="63025693"/>
    <w:rsid w:val="63B079EF"/>
    <w:rsid w:val="63D62503"/>
    <w:rsid w:val="64187FBF"/>
    <w:rsid w:val="641F6922"/>
    <w:rsid w:val="64654C7D"/>
    <w:rsid w:val="648D7D30"/>
    <w:rsid w:val="657340D8"/>
    <w:rsid w:val="65C0401D"/>
    <w:rsid w:val="662648F8"/>
    <w:rsid w:val="665F1537"/>
    <w:rsid w:val="66952ECC"/>
    <w:rsid w:val="67D85B6C"/>
    <w:rsid w:val="68ED6A71"/>
    <w:rsid w:val="69317B0A"/>
    <w:rsid w:val="69EA2340"/>
    <w:rsid w:val="69F67FAD"/>
    <w:rsid w:val="69FC1BE0"/>
    <w:rsid w:val="6A941EA8"/>
    <w:rsid w:val="6A9734A6"/>
    <w:rsid w:val="6BFA67BA"/>
    <w:rsid w:val="6C67192F"/>
    <w:rsid w:val="6CE60189"/>
    <w:rsid w:val="6E04301E"/>
    <w:rsid w:val="6E2B5F27"/>
    <w:rsid w:val="6E313E22"/>
    <w:rsid w:val="6F0A44BC"/>
    <w:rsid w:val="6F135C55"/>
    <w:rsid w:val="6F215C44"/>
    <w:rsid w:val="6F5A2F04"/>
    <w:rsid w:val="6FDA0E9E"/>
    <w:rsid w:val="70854B44"/>
    <w:rsid w:val="715062E5"/>
    <w:rsid w:val="72933146"/>
    <w:rsid w:val="732820F7"/>
    <w:rsid w:val="734D446A"/>
    <w:rsid w:val="740972B4"/>
    <w:rsid w:val="746B0D64"/>
    <w:rsid w:val="74C80B12"/>
    <w:rsid w:val="759B0467"/>
    <w:rsid w:val="76261D92"/>
    <w:rsid w:val="765F4A43"/>
    <w:rsid w:val="76D161A2"/>
    <w:rsid w:val="774A1FD3"/>
    <w:rsid w:val="77FE4FE3"/>
    <w:rsid w:val="78542BE7"/>
    <w:rsid w:val="78C830A0"/>
    <w:rsid w:val="78D36201"/>
    <w:rsid w:val="792F1A3C"/>
    <w:rsid w:val="793270FF"/>
    <w:rsid w:val="79B5177D"/>
    <w:rsid w:val="79CD520C"/>
    <w:rsid w:val="79D044EF"/>
    <w:rsid w:val="7A463EB9"/>
    <w:rsid w:val="7A8377B3"/>
    <w:rsid w:val="7AB91175"/>
    <w:rsid w:val="7B021E4C"/>
    <w:rsid w:val="7BBD4F47"/>
    <w:rsid w:val="7C8D3E7E"/>
    <w:rsid w:val="7CC85951"/>
    <w:rsid w:val="7CD608CD"/>
    <w:rsid w:val="7CF229CE"/>
    <w:rsid w:val="7D9D4043"/>
    <w:rsid w:val="7E9D0BC6"/>
    <w:rsid w:val="7F2257ED"/>
    <w:rsid w:val="7F8942DD"/>
    <w:rsid w:val="7FD2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53"/>
    <w:qFormat/>
    <w:uiPriority w:val="0"/>
    <w:rPr>
      <w:rFonts w:ascii="Times New Roman" w:hAnsi="Times New Roman"/>
      <w:b/>
      <w:bCs/>
      <w:szCs w:val="24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99"/>
    <w:rPr>
      <w:sz w:val="21"/>
      <w:szCs w:val="21"/>
    </w:rPr>
  </w:style>
  <w:style w:type="character" w:customStyle="1" w:styleId="47">
    <w:name w:val="批注文字 Char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Char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Char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Char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Char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Char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批注主题 Char"/>
    <w:link w:val="37"/>
    <w:qFormat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4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5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6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7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8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9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0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1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2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3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4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5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6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7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8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9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0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1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72">
    <w:name w:val="_Style 7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A9A8C-1904-474D-B943-38B04B76AA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9</Pages>
  <Words>18218</Words>
  <Characters>19512</Characters>
  <Lines>350</Lines>
  <Paragraphs>98</Paragraphs>
  <TotalTime>51</TotalTime>
  <ScaleCrop>false</ScaleCrop>
  <LinksUpToDate>false</LinksUpToDate>
  <CharactersWithSpaces>19840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2026-07-29T04:23:00Z</dcterms:created>
  <dc:creator>caowuning</dc:creator>
  <cp:lastModifiedBy>Weiyu Duan</cp:lastModifiedBy>
  <cp:lastPrinted>2009-04-21T09:03:00Z</cp:lastPrinted>
  <dcterms:modified xsi:type="dcterms:W3CDTF">2026-08-05T02:48:55Z</dcterms:modified>
  <dc:title>北 京 市 政 府 采 购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16F47FF351934AF681B34081D492C2ED_13</vt:lpwstr>
  </property>
  <property fmtid="{D5CDD505-2E9C-101B-9397-08002B2CF9AE}" pid="4" name="KSOTemplateDocerSaveRecord">
    <vt:lpwstr>eyJoZGlkIjoiMTY5ZDVkNGViNDI2YWMwZWE1YmM5MGM5ZjEwZmIzYzgiLCJ1c2VySWQiOiIyMTUzODc5NTAifQ==</vt:lpwstr>
  </property>
</Properties>
</file>