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5BADF6">
      <w:pPr>
        <w:adjustRightInd w:val="0"/>
        <w:snapToGrid w:val="0"/>
        <w:spacing w:after="156" w:afterLines="50" w:line="360" w:lineRule="auto"/>
        <w:jc w:val="center"/>
        <w:outlineLvl w:val="0"/>
        <w:rPr>
          <w:rFonts w:hint="eastAsia" w:ascii="黑体" w:eastAsia="黑体"/>
          <w:b/>
          <w:kern w:val="44"/>
          <w:sz w:val="48"/>
          <w:szCs w:val="20"/>
          <w:highlight w:val="none"/>
        </w:rPr>
      </w:pPr>
      <w:bookmarkStart w:id="0" w:name="_Toc129880039"/>
      <w:r>
        <w:rPr>
          <w:rFonts w:hint="eastAsia" w:ascii="宋体" w:hAnsi="宋体"/>
          <w:b/>
          <w:sz w:val="30"/>
          <w:szCs w:val="30"/>
          <w:highlight w:val="none"/>
        </w:rPr>
        <w:t>第八部分 采购需求</w:t>
      </w:r>
      <w:bookmarkEnd w:id="0"/>
    </w:p>
    <w:p w14:paraId="0F425CD5">
      <w:pPr>
        <w:adjustRightInd w:val="0"/>
        <w:snapToGrid w:val="0"/>
        <w:spacing w:before="156" w:beforeLines="50" w:after="156" w:afterLines="50" w:line="360" w:lineRule="auto"/>
        <w:jc w:val="center"/>
        <w:rPr>
          <w:rFonts w:hint="eastAsia" w:ascii="宋体" w:hAnsi="宋体"/>
          <w:b/>
          <w:sz w:val="24"/>
          <w:highlight w:val="none"/>
        </w:rPr>
      </w:pPr>
      <w:r>
        <w:rPr>
          <w:rFonts w:hint="eastAsia" w:ascii="宋体" w:hAnsi="宋体"/>
          <w:b/>
          <w:sz w:val="24"/>
          <w:highlight w:val="none"/>
        </w:rPr>
        <w:t>货物需求一览表</w:t>
      </w:r>
    </w:p>
    <w:tbl>
      <w:tblPr>
        <w:tblStyle w:val="3"/>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00"/>
        <w:gridCol w:w="2585"/>
      </w:tblGrid>
      <w:tr w14:paraId="7C524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noWrap w:val="0"/>
            <w:vAlign w:val="center"/>
          </w:tcPr>
          <w:p w14:paraId="29C4B201">
            <w:pPr>
              <w:jc w:val="center"/>
              <w:rPr>
                <w:rFonts w:hint="eastAsia" w:ascii="宋体" w:hAnsi="宋体" w:cs="宋体"/>
                <w:sz w:val="24"/>
                <w:highlight w:val="none"/>
              </w:rPr>
            </w:pPr>
            <w:r>
              <w:rPr>
                <w:rFonts w:hint="eastAsia" w:ascii="宋体" w:hAnsi="宋体" w:cs="宋体"/>
                <w:sz w:val="24"/>
                <w:highlight w:val="none"/>
              </w:rPr>
              <w:t>包号</w:t>
            </w:r>
          </w:p>
        </w:tc>
        <w:tc>
          <w:tcPr>
            <w:tcW w:w="2640" w:type="dxa"/>
            <w:noWrap w:val="0"/>
            <w:vAlign w:val="center"/>
          </w:tcPr>
          <w:p w14:paraId="4E81DF70">
            <w:pPr>
              <w:jc w:val="center"/>
              <w:rPr>
                <w:rFonts w:hint="eastAsia" w:ascii="宋体" w:hAnsi="宋体" w:cs="宋体"/>
                <w:sz w:val="24"/>
                <w:highlight w:val="none"/>
              </w:rPr>
            </w:pPr>
            <w:r>
              <w:rPr>
                <w:rFonts w:hint="eastAsia" w:ascii="宋体" w:hAnsi="宋体" w:cs="宋体"/>
                <w:sz w:val="24"/>
                <w:highlight w:val="none"/>
              </w:rPr>
              <w:t>货物名称</w:t>
            </w:r>
          </w:p>
        </w:tc>
        <w:tc>
          <w:tcPr>
            <w:tcW w:w="635" w:type="dxa"/>
            <w:noWrap w:val="0"/>
            <w:vAlign w:val="center"/>
          </w:tcPr>
          <w:p w14:paraId="6747A071">
            <w:pPr>
              <w:jc w:val="center"/>
              <w:rPr>
                <w:rFonts w:hint="eastAsia" w:ascii="宋体" w:hAnsi="宋体" w:cs="宋体"/>
                <w:sz w:val="24"/>
                <w:highlight w:val="none"/>
              </w:rPr>
            </w:pPr>
            <w:r>
              <w:rPr>
                <w:rFonts w:hint="eastAsia" w:ascii="宋体" w:hAnsi="宋体" w:cs="宋体"/>
                <w:sz w:val="24"/>
                <w:highlight w:val="none"/>
              </w:rPr>
              <w:t>数量</w:t>
            </w:r>
          </w:p>
        </w:tc>
        <w:tc>
          <w:tcPr>
            <w:tcW w:w="1320" w:type="dxa"/>
            <w:noWrap w:val="0"/>
            <w:vAlign w:val="center"/>
          </w:tcPr>
          <w:p w14:paraId="6426DDE2">
            <w:pPr>
              <w:jc w:val="center"/>
              <w:rPr>
                <w:rFonts w:hint="eastAsia" w:ascii="宋体" w:hAnsi="宋体" w:cs="宋体"/>
                <w:sz w:val="24"/>
                <w:highlight w:val="none"/>
              </w:rPr>
            </w:pPr>
            <w:r>
              <w:rPr>
                <w:rFonts w:hint="eastAsia" w:ascii="宋体" w:hAnsi="宋体" w:cs="宋体"/>
                <w:sz w:val="24"/>
                <w:highlight w:val="none"/>
              </w:rPr>
              <w:t>交货期</w:t>
            </w:r>
          </w:p>
        </w:tc>
        <w:tc>
          <w:tcPr>
            <w:tcW w:w="1700" w:type="dxa"/>
            <w:noWrap w:val="0"/>
            <w:vAlign w:val="center"/>
          </w:tcPr>
          <w:p w14:paraId="6D1613BC">
            <w:pPr>
              <w:jc w:val="center"/>
              <w:rPr>
                <w:rFonts w:hint="eastAsia" w:ascii="宋体" w:hAnsi="宋体" w:cs="宋体"/>
                <w:sz w:val="24"/>
                <w:highlight w:val="none"/>
              </w:rPr>
            </w:pPr>
            <w:r>
              <w:rPr>
                <w:rFonts w:hint="eastAsia" w:ascii="宋体" w:hAnsi="宋体" w:cs="宋体"/>
                <w:sz w:val="24"/>
                <w:highlight w:val="none"/>
              </w:rPr>
              <w:t>指定到货港</w:t>
            </w:r>
          </w:p>
        </w:tc>
        <w:tc>
          <w:tcPr>
            <w:tcW w:w="2585" w:type="dxa"/>
            <w:noWrap w:val="0"/>
            <w:vAlign w:val="center"/>
          </w:tcPr>
          <w:p w14:paraId="7D1AF44B">
            <w:pPr>
              <w:jc w:val="center"/>
              <w:rPr>
                <w:rFonts w:hint="eastAsia" w:ascii="宋体" w:hAnsi="宋体" w:cs="宋体"/>
                <w:sz w:val="24"/>
                <w:highlight w:val="none"/>
                <w:shd w:val="pct10" w:color="auto" w:fill="FFFFFF"/>
              </w:rPr>
            </w:pPr>
            <w:r>
              <w:rPr>
                <w:rFonts w:hint="eastAsia" w:ascii="宋体" w:hAnsi="宋体" w:cs="宋体"/>
                <w:sz w:val="24"/>
                <w:highlight w:val="none"/>
              </w:rPr>
              <w:t>项目现场（交货地点）</w:t>
            </w:r>
          </w:p>
        </w:tc>
      </w:tr>
      <w:tr w14:paraId="6CA14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14:paraId="0D765312">
            <w:pPr>
              <w:jc w:val="center"/>
              <w:rPr>
                <w:rFonts w:hint="eastAsia" w:ascii="宋体" w:hAnsi="宋体" w:cs="宋体"/>
                <w:sz w:val="24"/>
                <w:highlight w:val="none"/>
              </w:rPr>
            </w:pPr>
            <w:r>
              <w:rPr>
                <w:rFonts w:hint="eastAsia" w:ascii="宋体" w:hAnsi="宋体" w:cs="宋体"/>
                <w:sz w:val="24"/>
                <w:highlight w:val="none"/>
              </w:rPr>
              <w:t>1</w:t>
            </w:r>
          </w:p>
        </w:tc>
        <w:tc>
          <w:tcPr>
            <w:tcW w:w="2640" w:type="dxa"/>
            <w:noWrap w:val="0"/>
            <w:vAlign w:val="center"/>
          </w:tcPr>
          <w:p w14:paraId="0F422C19">
            <w:pPr>
              <w:jc w:val="center"/>
              <w:rPr>
                <w:rFonts w:ascii="宋体" w:hAnsi="宋体" w:cs="宋体"/>
                <w:sz w:val="24"/>
                <w:highlight w:val="none"/>
              </w:rPr>
            </w:pPr>
            <w:r>
              <w:rPr>
                <w:rFonts w:hint="eastAsia"/>
                <w:sz w:val="24"/>
                <w:szCs w:val="32"/>
                <w:highlight w:val="none"/>
              </w:rPr>
              <w:t>液相色谱三重四级杆质谱联用</w:t>
            </w:r>
          </w:p>
        </w:tc>
        <w:tc>
          <w:tcPr>
            <w:tcW w:w="635" w:type="dxa"/>
            <w:noWrap w:val="0"/>
            <w:vAlign w:val="center"/>
          </w:tcPr>
          <w:p w14:paraId="003FC308">
            <w:pPr>
              <w:jc w:val="center"/>
              <w:rPr>
                <w:rFonts w:ascii="宋体" w:hAnsi="宋体" w:cs="宋体"/>
                <w:sz w:val="24"/>
                <w:highlight w:val="none"/>
              </w:rPr>
            </w:pPr>
            <w:r>
              <w:rPr>
                <w:rFonts w:hint="eastAsia" w:ascii="宋体" w:hAnsi="宋体" w:cs="宋体"/>
                <w:sz w:val="24"/>
                <w:highlight w:val="none"/>
              </w:rPr>
              <w:t>1套</w:t>
            </w:r>
          </w:p>
        </w:tc>
        <w:tc>
          <w:tcPr>
            <w:tcW w:w="1320" w:type="dxa"/>
            <w:noWrap w:val="0"/>
            <w:vAlign w:val="center"/>
          </w:tcPr>
          <w:p w14:paraId="09136F88">
            <w:pPr>
              <w:jc w:val="center"/>
              <w:rPr>
                <w:rFonts w:hint="eastAsia" w:ascii="宋体" w:hAnsi="宋体" w:cs="宋体"/>
                <w:sz w:val="24"/>
                <w:highlight w:val="none"/>
              </w:rPr>
            </w:pPr>
            <w:r>
              <w:rPr>
                <w:rFonts w:hint="eastAsia" w:ascii="宋体" w:hAnsi="宋体" w:cs="宋体"/>
                <w:sz w:val="24"/>
                <w:highlight w:val="none"/>
              </w:rPr>
              <w:t>45个工作日</w:t>
            </w:r>
          </w:p>
        </w:tc>
        <w:tc>
          <w:tcPr>
            <w:tcW w:w="1700" w:type="dxa"/>
            <w:noWrap w:val="0"/>
            <w:vAlign w:val="center"/>
          </w:tcPr>
          <w:p w14:paraId="0E01E034">
            <w:pPr>
              <w:jc w:val="center"/>
              <w:rPr>
                <w:rFonts w:hint="eastAsia" w:ascii="宋体" w:hAnsi="宋体" w:cs="宋体"/>
                <w:sz w:val="24"/>
                <w:highlight w:val="none"/>
              </w:rPr>
            </w:pPr>
            <w:r>
              <w:rPr>
                <w:rFonts w:hint="eastAsia" w:ascii="宋体" w:hAnsi="宋体" w:cs="宋体"/>
                <w:sz w:val="24"/>
                <w:highlight w:val="none"/>
              </w:rPr>
              <w:t>/</w:t>
            </w:r>
          </w:p>
        </w:tc>
        <w:tc>
          <w:tcPr>
            <w:tcW w:w="2585" w:type="dxa"/>
            <w:noWrap w:val="0"/>
            <w:vAlign w:val="center"/>
          </w:tcPr>
          <w:p w14:paraId="3451A1CE">
            <w:pPr>
              <w:jc w:val="center"/>
              <w:rPr>
                <w:rFonts w:hint="eastAsia" w:ascii="宋体" w:hAnsi="宋体" w:cs="宋体"/>
                <w:sz w:val="24"/>
                <w:highlight w:val="none"/>
              </w:rPr>
            </w:pPr>
            <w:r>
              <w:rPr>
                <w:rFonts w:hint="eastAsia" w:ascii="宋体" w:hAnsi="宋体" w:cs="宋体"/>
                <w:sz w:val="24"/>
                <w:highlight w:val="none"/>
              </w:rPr>
              <w:t>中国科学院昆明植物研究所指定地点</w:t>
            </w:r>
          </w:p>
        </w:tc>
      </w:tr>
    </w:tbl>
    <w:p w14:paraId="4710C2A8">
      <w:pPr>
        <w:adjustRightInd w:val="0"/>
        <w:snapToGrid w:val="0"/>
        <w:jc w:val="center"/>
        <w:rPr>
          <w:rFonts w:hint="eastAsia" w:ascii="宋体" w:hAnsi="宋体"/>
          <w:b/>
          <w:sz w:val="30"/>
          <w:szCs w:val="30"/>
          <w:highlight w:val="none"/>
        </w:rPr>
      </w:pPr>
    </w:p>
    <w:p w14:paraId="4162F754">
      <w:pPr>
        <w:rPr>
          <w:rFonts w:hint="eastAsia" w:ascii="Bookman Old Style" w:hAnsi="Bookman Old Style"/>
          <w:sz w:val="24"/>
          <w:highlight w:val="none"/>
        </w:rPr>
      </w:pPr>
      <w:r>
        <w:rPr>
          <w:rFonts w:hint="eastAsia"/>
          <w:sz w:val="24"/>
          <w:highlight w:val="none"/>
        </w:rPr>
        <w:t>注：投标人须对上述投标内容中完整的一包进行投标，</w:t>
      </w:r>
      <w:r>
        <w:rPr>
          <w:rFonts w:hint="eastAsia" w:ascii="Bookman Old Style" w:hAnsi="Bookman Old Style"/>
          <w:sz w:val="24"/>
          <w:highlight w:val="none"/>
        </w:rPr>
        <w:t>不完整的投标将视为非响应性投标予以拒绝。</w:t>
      </w:r>
    </w:p>
    <w:p w14:paraId="064D90AD">
      <w:pPr>
        <w:adjustRightInd w:val="0"/>
        <w:snapToGrid w:val="0"/>
        <w:rPr>
          <w:rFonts w:hint="eastAsia" w:ascii="宋体" w:hAnsi="宋体"/>
          <w:szCs w:val="21"/>
          <w:highlight w:val="none"/>
        </w:rPr>
      </w:pPr>
    </w:p>
    <w:p w14:paraId="15614A5F">
      <w:pPr>
        <w:adjustRightInd w:val="0"/>
        <w:snapToGrid w:val="0"/>
        <w:rPr>
          <w:rFonts w:hint="eastAsia" w:ascii="宋体" w:hAnsi="宋体"/>
          <w:szCs w:val="21"/>
          <w:highlight w:val="none"/>
        </w:rPr>
      </w:pPr>
    </w:p>
    <w:p w14:paraId="42E98FD1">
      <w:pPr>
        <w:adjustRightInd w:val="0"/>
        <w:snapToGrid w:val="0"/>
        <w:rPr>
          <w:rFonts w:hint="eastAsia" w:ascii="宋体" w:hAnsi="宋体"/>
          <w:szCs w:val="21"/>
          <w:highlight w:val="none"/>
        </w:rPr>
      </w:pPr>
    </w:p>
    <w:p w14:paraId="54F98779">
      <w:pPr>
        <w:adjustRightInd w:val="0"/>
        <w:snapToGrid w:val="0"/>
        <w:spacing w:line="360" w:lineRule="auto"/>
        <w:rPr>
          <w:rFonts w:ascii="宋体" w:hAnsi="宋体"/>
          <w:b/>
          <w:sz w:val="28"/>
          <w:szCs w:val="28"/>
          <w:highlight w:val="none"/>
        </w:rPr>
      </w:pPr>
      <w:r>
        <w:rPr>
          <w:rFonts w:ascii="宋体" w:hAnsi="宋体"/>
          <w:b/>
          <w:sz w:val="30"/>
          <w:szCs w:val="30"/>
          <w:highlight w:val="none"/>
        </w:rPr>
        <w:br w:type="page"/>
      </w:r>
      <w:r>
        <w:rPr>
          <w:rFonts w:hint="eastAsia" w:ascii="宋体" w:hAnsi="宋体"/>
          <w:b/>
          <w:sz w:val="28"/>
          <w:szCs w:val="28"/>
          <w:highlight w:val="none"/>
        </w:rPr>
        <w:t>一、总则</w:t>
      </w:r>
    </w:p>
    <w:p w14:paraId="07C8F4C8">
      <w:pPr>
        <w:adjustRightInd w:val="0"/>
        <w:snapToGrid w:val="0"/>
        <w:spacing w:line="360" w:lineRule="auto"/>
        <w:rPr>
          <w:rFonts w:ascii="宋体" w:hAnsi="宋体"/>
          <w:b/>
          <w:sz w:val="28"/>
          <w:szCs w:val="28"/>
          <w:highlight w:val="none"/>
        </w:rPr>
      </w:pPr>
      <w:r>
        <w:rPr>
          <w:rFonts w:ascii="宋体" w:hAnsi="宋体"/>
          <w:b/>
          <w:sz w:val="28"/>
          <w:szCs w:val="28"/>
          <w:highlight w:val="none"/>
        </w:rPr>
        <w:t>1</w:t>
      </w:r>
      <w:r>
        <w:rPr>
          <w:rFonts w:hint="eastAsia" w:ascii="宋体" w:hAnsi="宋体"/>
          <w:b/>
          <w:sz w:val="28"/>
          <w:szCs w:val="28"/>
          <w:highlight w:val="none"/>
        </w:rPr>
        <w:t>、投标要求</w:t>
      </w:r>
    </w:p>
    <w:p w14:paraId="75F64A74">
      <w:pPr>
        <w:spacing w:line="360" w:lineRule="auto"/>
        <w:ind w:left="554" w:hanging="554" w:hangingChars="231"/>
        <w:rPr>
          <w:rFonts w:hint="eastAsia" w:ascii="宋体" w:hAnsi="宋体"/>
          <w:sz w:val="24"/>
          <w:highlight w:val="none"/>
        </w:rPr>
      </w:pPr>
      <w:r>
        <w:rPr>
          <w:rFonts w:ascii="宋体" w:hAnsi="宋体"/>
          <w:sz w:val="24"/>
          <w:highlight w:val="none"/>
        </w:rPr>
        <w:t xml:space="preserve">1.1 </w:t>
      </w:r>
      <w:r>
        <w:rPr>
          <w:rFonts w:hint="eastAsia" w:ascii="宋体" w:hAnsi="宋体"/>
          <w:sz w:val="24"/>
          <w:highlight w:val="none"/>
        </w:rPr>
        <w:t xml:space="preserve"> 投标人在准备投标书时，务必在所提供的商品的技术规格文件中，标明型号、商标名称、目录号。</w:t>
      </w:r>
    </w:p>
    <w:p w14:paraId="1F360FDB">
      <w:pPr>
        <w:spacing w:line="360" w:lineRule="auto"/>
        <w:ind w:left="554" w:hanging="554" w:hangingChars="231"/>
        <w:rPr>
          <w:rFonts w:hint="eastAsia" w:ascii="宋体" w:hAnsi="宋体"/>
          <w:sz w:val="24"/>
          <w:highlight w:val="none"/>
        </w:rPr>
      </w:pPr>
      <w:r>
        <w:rPr>
          <w:rFonts w:hint="eastAsia" w:ascii="宋体" w:hAnsi="宋体"/>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0DD8246C">
      <w:pPr>
        <w:spacing w:line="360" w:lineRule="auto"/>
        <w:ind w:left="554" w:hanging="554" w:hangingChars="231"/>
        <w:rPr>
          <w:rFonts w:hint="eastAsia" w:ascii="宋体"/>
          <w:sz w:val="24"/>
          <w:highlight w:val="none"/>
        </w:rPr>
      </w:pPr>
      <w:r>
        <w:rPr>
          <w:rFonts w:hint="eastAsia" w:ascii="宋体" w:hAnsi="宋体"/>
          <w:sz w:val="24"/>
          <w:highlight w:val="none"/>
        </w:rPr>
        <w:t xml:space="preserve">1.3  </w:t>
      </w:r>
      <w:r>
        <w:rPr>
          <w:rFonts w:hint="eastAsia"/>
          <w:sz w:val="24"/>
          <w:highlight w:val="none"/>
        </w:rPr>
        <w:t>投标人提供的</w:t>
      </w:r>
      <w:r>
        <w:rPr>
          <w:rFonts w:hint="eastAsia" w:ascii="宋体"/>
          <w:sz w:val="24"/>
          <w:highlight w:val="none"/>
        </w:rPr>
        <w:t>产品</w:t>
      </w:r>
      <w:r>
        <w:rPr>
          <w:rFonts w:hint="eastAsia"/>
          <w:sz w:val="24"/>
          <w:highlight w:val="none"/>
        </w:rPr>
        <w:t>样本，必须是“原件”而非复印件，</w:t>
      </w:r>
      <w:r>
        <w:rPr>
          <w:rFonts w:hint="eastAsia" w:ascii="宋体"/>
          <w:sz w:val="24"/>
          <w:highlight w:val="none"/>
        </w:rPr>
        <w:t>图表、简图、电路图以及印刷电路板图等都应</w:t>
      </w:r>
      <w:r>
        <w:rPr>
          <w:rFonts w:hint="eastAsia"/>
          <w:sz w:val="24"/>
          <w:highlight w:val="none"/>
        </w:rPr>
        <w:t>清晰易读。买方有权</w:t>
      </w:r>
      <w:r>
        <w:rPr>
          <w:rFonts w:hint="eastAsia" w:ascii="宋体"/>
          <w:sz w:val="24"/>
          <w:highlight w:val="none"/>
        </w:rPr>
        <w:t>不付任何附加费用</w:t>
      </w:r>
      <w:r>
        <w:rPr>
          <w:rFonts w:hint="eastAsia"/>
          <w:sz w:val="24"/>
          <w:highlight w:val="none"/>
        </w:rPr>
        <w:t>复制这些资料</w:t>
      </w:r>
      <w:r>
        <w:rPr>
          <w:rFonts w:hint="eastAsia" w:ascii="宋体"/>
          <w:sz w:val="24"/>
          <w:highlight w:val="none"/>
        </w:rPr>
        <w:t>以供参考。</w:t>
      </w:r>
    </w:p>
    <w:p w14:paraId="59BDE6BE">
      <w:pPr>
        <w:spacing w:line="360" w:lineRule="auto"/>
        <w:ind w:left="554" w:hanging="554" w:hangingChars="231"/>
        <w:rPr>
          <w:rFonts w:hint="eastAsia" w:ascii="宋体"/>
          <w:sz w:val="24"/>
          <w:highlight w:val="none"/>
        </w:rPr>
      </w:pPr>
      <w:r>
        <w:rPr>
          <w:rFonts w:hint="eastAsia" w:ascii="宋体"/>
          <w:sz w:val="24"/>
          <w:highlight w:val="none"/>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27823DBA">
      <w:pPr>
        <w:adjustRightInd w:val="0"/>
        <w:snapToGrid w:val="0"/>
        <w:spacing w:line="360" w:lineRule="auto"/>
        <w:rPr>
          <w:rFonts w:ascii="宋体" w:hAnsi="宋体"/>
          <w:b/>
          <w:sz w:val="28"/>
          <w:szCs w:val="28"/>
          <w:highlight w:val="none"/>
        </w:rPr>
      </w:pPr>
      <w:r>
        <w:rPr>
          <w:rFonts w:hint="eastAsia" w:ascii="宋体" w:hAnsi="宋体"/>
          <w:b/>
          <w:sz w:val="28"/>
          <w:szCs w:val="28"/>
          <w:highlight w:val="none"/>
        </w:rPr>
        <w:t>2、评标标准</w:t>
      </w:r>
    </w:p>
    <w:p w14:paraId="5D227653">
      <w:pPr>
        <w:spacing w:line="360" w:lineRule="auto"/>
        <w:ind w:left="554" w:hanging="554" w:hangingChars="231"/>
        <w:rPr>
          <w:rFonts w:hint="eastAsia" w:ascii="宋体"/>
          <w:sz w:val="24"/>
          <w:highlight w:val="none"/>
        </w:rPr>
      </w:pPr>
      <w:r>
        <w:rPr>
          <w:rFonts w:ascii="宋体" w:hAnsi="宋体"/>
          <w:sz w:val="24"/>
          <w:highlight w:val="none"/>
        </w:rPr>
        <w:t>2.</w:t>
      </w:r>
      <w:r>
        <w:rPr>
          <w:rFonts w:hint="eastAsia" w:ascii="宋体" w:hAnsi="宋体"/>
          <w:sz w:val="24"/>
          <w:highlight w:val="none"/>
        </w:rPr>
        <w:t xml:space="preserve">1  </w:t>
      </w:r>
      <w:r>
        <w:rPr>
          <w:rFonts w:hint="eastAsia"/>
          <w:sz w:val="24"/>
          <w:highlight w:val="none"/>
        </w:rPr>
        <w:t>除招标文件中指定的附件和专用工具外，</w:t>
      </w:r>
      <w:r>
        <w:rPr>
          <w:rFonts w:hint="eastAsia" w:ascii="宋体"/>
          <w:sz w:val="24"/>
          <w:highlight w:val="none"/>
        </w:rPr>
        <w:t>投标人应提供仪器设备的正常运行和常规保养所需的全套标准附件、专用工具</w:t>
      </w:r>
      <w:r>
        <w:rPr>
          <w:rFonts w:hint="eastAsia"/>
          <w:sz w:val="24"/>
          <w:highlight w:val="none"/>
        </w:rPr>
        <w:t>和消耗品</w:t>
      </w:r>
      <w:r>
        <w:rPr>
          <w:rFonts w:hint="eastAsia" w:ascii="宋体"/>
          <w:sz w:val="24"/>
          <w:highlight w:val="none"/>
        </w:rPr>
        <w:t>。投标人在投标书中需列出这些附件和工具的数量和单价的清单，这些附件和工具的报价的总值需计入投标价中。</w:t>
      </w:r>
    </w:p>
    <w:p w14:paraId="097DC495">
      <w:pPr>
        <w:spacing w:line="360" w:lineRule="auto"/>
        <w:ind w:left="554" w:hanging="554" w:hangingChars="231"/>
        <w:rPr>
          <w:rFonts w:hint="eastAsia"/>
          <w:sz w:val="24"/>
          <w:highlight w:val="none"/>
        </w:rPr>
      </w:pPr>
      <w:r>
        <w:rPr>
          <w:rFonts w:hint="eastAsia" w:ascii="宋体" w:hAnsi="宋体"/>
          <w:sz w:val="24"/>
          <w:highlight w:val="none"/>
        </w:rPr>
        <w:t xml:space="preserve">2.2  </w:t>
      </w:r>
      <w:r>
        <w:rPr>
          <w:rFonts w:hint="eastAsia"/>
          <w:sz w:val="24"/>
          <w:highlight w:val="none"/>
        </w:rPr>
        <w:t>对于标书</w:t>
      </w:r>
      <w:r>
        <w:rPr>
          <w:rFonts w:hint="eastAsia" w:ascii="宋体"/>
          <w:sz w:val="24"/>
          <w:highlight w:val="none"/>
        </w:rPr>
        <w:t>技术规范中已列</w:t>
      </w:r>
      <w:r>
        <w:rPr>
          <w:rFonts w:hint="eastAsia"/>
          <w:sz w:val="24"/>
          <w:highlight w:val="none"/>
        </w:rPr>
        <w:t>出的作为查询选件的附件、零配件、专用工具和消耗品，投标书中</w:t>
      </w:r>
      <w:r>
        <w:rPr>
          <w:rFonts w:hint="eastAsia" w:ascii="宋体"/>
          <w:sz w:val="24"/>
          <w:highlight w:val="none"/>
        </w:rPr>
        <w:t>应列明其数量、单价、总价供买方参考。投标人也可推荐买方没有要求的附件或专用工具作为选件，并列明其数量、单价、总价供买方参考。选件价格不计入评标价中。</w:t>
      </w:r>
    </w:p>
    <w:p w14:paraId="5FDFC7F8">
      <w:pPr>
        <w:spacing w:line="360" w:lineRule="auto"/>
        <w:ind w:left="554" w:hanging="554" w:hangingChars="231"/>
        <w:rPr>
          <w:rFonts w:hint="eastAsia" w:ascii="宋体" w:hAnsi="宋体"/>
          <w:sz w:val="24"/>
          <w:highlight w:val="none"/>
        </w:rPr>
      </w:pPr>
      <w:r>
        <w:rPr>
          <w:rFonts w:hint="eastAsia" w:ascii="宋体" w:hAnsi="宋体"/>
          <w:sz w:val="24"/>
          <w:highlight w:val="none"/>
        </w:rPr>
        <w:t>2.3  为便于用户进行接收仪器的准备工作，卖方应在合同生效后</w:t>
      </w:r>
      <w:r>
        <w:rPr>
          <w:rFonts w:hint="eastAsia" w:ascii="宋体" w:hAnsi="宋体"/>
          <w:b/>
          <w:sz w:val="24"/>
          <w:highlight w:val="none"/>
        </w:rPr>
        <w:t>60</w:t>
      </w:r>
      <w:r>
        <w:rPr>
          <w:rFonts w:hint="eastAsia" w:ascii="宋体" w:hAnsi="宋体"/>
          <w:sz w:val="24"/>
          <w:highlight w:val="none"/>
        </w:rPr>
        <w:t>天内向用户提供一套完整的使用说明书、操作手册、维修及安装说明等文件。另一套完整上述资料应在交货时随货包装提供给用户，这些费用应计入投标价中。</w:t>
      </w:r>
    </w:p>
    <w:p w14:paraId="7C47D232">
      <w:pPr>
        <w:spacing w:line="360" w:lineRule="auto"/>
        <w:ind w:left="554" w:hanging="554" w:hangingChars="231"/>
        <w:rPr>
          <w:rFonts w:hint="eastAsia" w:ascii="宋体" w:hAnsi="宋体"/>
          <w:sz w:val="24"/>
          <w:highlight w:val="none"/>
        </w:rPr>
      </w:pPr>
      <w:r>
        <w:rPr>
          <w:rFonts w:hint="eastAsia" w:ascii="宋体" w:hAnsi="宋体"/>
          <w:sz w:val="24"/>
          <w:highlight w:val="none"/>
        </w:rPr>
        <w:t>2</w:t>
      </w:r>
      <w:r>
        <w:rPr>
          <w:rFonts w:ascii="宋体" w:hAnsi="宋体"/>
          <w:sz w:val="24"/>
          <w:highlight w:val="none"/>
        </w:rPr>
        <w:t>.</w:t>
      </w:r>
      <w:r>
        <w:rPr>
          <w:rFonts w:hint="eastAsia" w:ascii="宋体" w:hAnsi="宋体"/>
          <w:sz w:val="24"/>
          <w:highlight w:val="none"/>
        </w:rPr>
        <w:t>4</w:t>
      </w:r>
      <w:r>
        <w:rPr>
          <w:rFonts w:ascii="宋体" w:hAnsi="宋体"/>
          <w:sz w:val="24"/>
          <w:highlight w:val="none"/>
        </w:rPr>
        <w:t xml:space="preserve"> </w:t>
      </w:r>
      <w:r>
        <w:rPr>
          <w:rFonts w:hint="eastAsia" w:ascii="宋体" w:hAnsi="宋体"/>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14:paraId="4455E48B">
      <w:pPr>
        <w:spacing w:line="360" w:lineRule="auto"/>
        <w:ind w:left="554" w:hanging="554" w:hangingChars="231"/>
        <w:rPr>
          <w:rFonts w:ascii="宋体" w:hAnsi="宋体"/>
          <w:sz w:val="24"/>
          <w:highlight w:val="none"/>
        </w:rPr>
      </w:pPr>
      <w:r>
        <w:rPr>
          <w:rFonts w:ascii="宋体" w:hAnsi="宋体"/>
          <w:sz w:val="24"/>
          <w:highlight w:val="none"/>
        </w:rPr>
        <w:t>2.</w:t>
      </w:r>
      <w:r>
        <w:rPr>
          <w:rFonts w:hint="eastAsia" w:ascii="宋体" w:hAnsi="宋体"/>
          <w:sz w:val="24"/>
          <w:highlight w:val="none"/>
        </w:rPr>
        <w:t>5  制造厂家提供的培训指的是涉及货物的基本原理、操作使用和保养维修等有关内容的培训。培训教员的培训费、旅费、食宿费等费用和培训场地费及培训资料费均应由卖方支付。</w:t>
      </w:r>
    </w:p>
    <w:p w14:paraId="72D0270A">
      <w:pPr>
        <w:adjustRightInd w:val="0"/>
        <w:snapToGrid w:val="0"/>
        <w:spacing w:line="360" w:lineRule="auto"/>
        <w:rPr>
          <w:rFonts w:hint="eastAsia" w:ascii="宋体" w:hAnsi="宋体"/>
          <w:b/>
          <w:sz w:val="28"/>
          <w:szCs w:val="28"/>
          <w:highlight w:val="none"/>
        </w:rPr>
      </w:pPr>
      <w:r>
        <w:rPr>
          <w:rFonts w:hint="eastAsia" w:ascii="宋体" w:hAnsi="宋体"/>
          <w:b/>
          <w:sz w:val="28"/>
          <w:szCs w:val="28"/>
          <w:highlight w:val="none"/>
        </w:rPr>
        <w:t>3、工作条件</w:t>
      </w:r>
    </w:p>
    <w:p w14:paraId="6D4D63D1">
      <w:pPr>
        <w:spacing w:after="312" w:afterLines="100" w:line="360" w:lineRule="auto"/>
        <w:rPr>
          <w:rFonts w:hint="eastAsia" w:ascii="宋体" w:hAnsi="宋体"/>
          <w:sz w:val="24"/>
          <w:highlight w:val="none"/>
        </w:rPr>
      </w:pPr>
      <w:r>
        <w:rPr>
          <w:rFonts w:hint="eastAsia" w:ascii="宋体" w:hAnsi="宋体"/>
          <w:sz w:val="24"/>
          <w:highlight w:val="none"/>
        </w:rPr>
        <w:t>除非在技术规格中另有说明，所有仪器、设备和系统都应符合下列要求：</w:t>
      </w:r>
      <w:r>
        <w:rPr>
          <w:rFonts w:ascii="宋体" w:hAnsi="宋体"/>
          <w:sz w:val="24"/>
          <w:highlight w:val="none"/>
        </w:rPr>
        <w:t xml:space="preserve"> </w:t>
      </w:r>
    </w:p>
    <w:p w14:paraId="386084DE">
      <w:pPr>
        <w:spacing w:line="360" w:lineRule="auto"/>
        <w:ind w:left="554" w:hanging="554" w:hangingChars="231"/>
        <w:rPr>
          <w:rFonts w:hint="eastAsia" w:ascii="宋体" w:hAnsi="宋体"/>
          <w:sz w:val="24"/>
          <w:highlight w:val="none"/>
        </w:rPr>
      </w:pPr>
      <w:r>
        <w:rPr>
          <w:rFonts w:hint="eastAsia" w:ascii="宋体" w:hAnsi="宋体"/>
          <w:sz w:val="24"/>
          <w:highlight w:val="none"/>
        </w:rPr>
        <w:t>3.1  适于在气温为摄氏</w:t>
      </w:r>
      <w:r>
        <w:rPr>
          <w:rFonts w:ascii="宋体" w:hAnsi="宋体"/>
          <w:b/>
          <w:sz w:val="24"/>
          <w:highlight w:val="none"/>
        </w:rPr>
        <w:t>-40</w:t>
      </w:r>
      <w:r>
        <w:rPr>
          <w:rFonts w:hint="eastAsia" w:ascii="宋体" w:hAnsi="宋体"/>
          <w:b/>
          <w:sz w:val="24"/>
          <w:highlight w:val="none"/>
        </w:rPr>
        <w:t>℃～＋</w:t>
      </w:r>
      <w:r>
        <w:rPr>
          <w:rFonts w:ascii="宋体" w:hAnsi="宋体"/>
          <w:b/>
          <w:sz w:val="24"/>
          <w:highlight w:val="none"/>
        </w:rPr>
        <w:t>50</w:t>
      </w:r>
      <w:r>
        <w:rPr>
          <w:rFonts w:hint="eastAsia" w:ascii="宋体" w:hAnsi="宋体"/>
          <w:b/>
          <w:sz w:val="24"/>
          <w:highlight w:val="none"/>
        </w:rPr>
        <w:t>℃</w:t>
      </w:r>
      <w:r>
        <w:rPr>
          <w:rFonts w:hint="eastAsia" w:ascii="宋体" w:hAnsi="宋体"/>
          <w:sz w:val="24"/>
          <w:highlight w:val="none"/>
        </w:rPr>
        <w:t>和相对湿度为</w:t>
      </w:r>
      <w:r>
        <w:rPr>
          <w:rFonts w:ascii="宋体" w:hAnsi="宋体"/>
          <w:b/>
          <w:sz w:val="24"/>
          <w:highlight w:val="none"/>
        </w:rPr>
        <w:t>90</w:t>
      </w:r>
      <w:r>
        <w:rPr>
          <w:rFonts w:hint="eastAsia" w:ascii="宋体" w:hAnsi="宋体"/>
          <w:b/>
          <w:sz w:val="24"/>
          <w:highlight w:val="none"/>
        </w:rPr>
        <w:t>％</w:t>
      </w:r>
      <w:r>
        <w:rPr>
          <w:rFonts w:hint="eastAsia" w:ascii="宋体" w:hAnsi="宋体"/>
          <w:sz w:val="24"/>
          <w:highlight w:val="none"/>
        </w:rPr>
        <w:t>的环境条件下运输和贮存。</w:t>
      </w:r>
    </w:p>
    <w:p w14:paraId="5D8C94AB">
      <w:pPr>
        <w:spacing w:line="360" w:lineRule="auto"/>
        <w:ind w:left="554" w:hanging="554" w:hangingChars="231"/>
        <w:rPr>
          <w:rFonts w:hint="eastAsia" w:ascii="宋体" w:hAnsi="宋体"/>
          <w:sz w:val="24"/>
          <w:highlight w:val="none"/>
        </w:rPr>
      </w:pPr>
      <w:r>
        <w:rPr>
          <w:rFonts w:hint="eastAsia" w:ascii="宋体" w:hAnsi="宋体"/>
          <w:sz w:val="24"/>
          <w:highlight w:val="none"/>
        </w:rPr>
        <w:t>3.2  适于在电源</w:t>
      </w:r>
      <w:r>
        <w:rPr>
          <w:rFonts w:ascii="宋体" w:hAnsi="宋体"/>
          <w:b/>
          <w:sz w:val="24"/>
          <w:highlight w:val="none"/>
        </w:rPr>
        <w:t>220V</w:t>
      </w:r>
      <w:r>
        <w:rPr>
          <w:rFonts w:hint="eastAsia" w:ascii="宋体" w:hAnsi="宋体"/>
          <w:b/>
          <w:sz w:val="24"/>
          <w:highlight w:val="none"/>
        </w:rPr>
        <w:t>（</w:t>
      </w:r>
      <w:r>
        <w:rPr>
          <w:rFonts w:ascii="宋体" w:hAnsi="宋体"/>
          <w:b/>
          <w:sz w:val="24"/>
          <w:highlight w:val="none"/>
        </w:rPr>
        <w:sym w:font="Symbol" w:char="F0B1"/>
      </w:r>
      <w:r>
        <w:rPr>
          <w:rFonts w:ascii="宋体" w:hAnsi="宋体"/>
          <w:b/>
          <w:sz w:val="24"/>
          <w:highlight w:val="none"/>
        </w:rPr>
        <w:t>10</w:t>
      </w:r>
      <w:r>
        <w:rPr>
          <w:rFonts w:hint="eastAsia" w:ascii="宋体" w:hAnsi="宋体"/>
          <w:b/>
          <w:sz w:val="24"/>
          <w:highlight w:val="none"/>
        </w:rPr>
        <w:t>％）</w:t>
      </w:r>
      <w:r>
        <w:rPr>
          <w:rFonts w:ascii="宋体" w:hAnsi="宋体"/>
          <w:b/>
          <w:sz w:val="24"/>
          <w:highlight w:val="none"/>
        </w:rPr>
        <w:t>/50Hz</w:t>
      </w:r>
      <w:r>
        <w:rPr>
          <w:rFonts w:hint="eastAsia" w:ascii="宋体" w:hAnsi="宋体"/>
          <w:sz w:val="24"/>
          <w:highlight w:val="none"/>
        </w:rPr>
        <w:t>、气温摄氏</w:t>
      </w:r>
      <w:r>
        <w:rPr>
          <w:rFonts w:hint="eastAsia" w:ascii="宋体" w:hAnsi="宋体"/>
          <w:b/>
          <w:sz w:val="24"/>
          <w:highlight w:val="none"/>
        </w:rPr>
        <w:t>+1</w:t>
      </w:r>
      <w:r>
        <w:rPr>
          <w:rFonts w:ascii="宋体" w:hAnsi="宋体"/>
          <w:b/>
          <w:sz w:val="24"/>
          <w:highlight w:val="none"/>
        </w:rPr>
        <w:t>5</w:t>
      </w:r>
      <w:r>
        <w:rPr>
          <w:rFonts w:hint="eastAsia" w:ascii="宋体" w:hAnsi="宋体"/>
          <w:b/>
          <w:sz w:val="24"/>
          <w:highlight w:val="none"/>
        </w:rPr>
        <w:t>℃～＋3</w:t>
      </w:r>
      <w:r>
        <w:rPr>
          <w:rFonts w:ascii="宋体" w:hAnsi="宋体"/>
          <w:b/>
          <w:sz w:val="24"/>
          <w:highlight w:val="none"/>
        </w:rPr>
        <w:t>0</w:t>
      </w:r>
      <w:r>
        <w:rPr>
          <w:rFonts w:hint="eastAsia" w:ascii="宋体" w:hAnsi="宋体"/>
          <w:b/>
          <w:sz w:val="24"/>
          <w:highlight w:val="none"/>
        </w:rPr>
        <w:t>℃</w:t>
      </w:r>
      <w:r>
        <w:rPr>
          <w:rFonts w:hint="eastAsia" w:ascii="宋体" w:hAnsi="宋体"/>
          <w:sz w:val="24"/>
          <w:highlight w:val="none"/>
        </w:rPr>
        <w:t>和相对湿度小于</w:t>
      </w:r>
      <w:r>
        <w:rPr>
          <w:rFonts w:ascii="宋体" w:hAnsi="宋体"/>
          <w:b/>
          <w:sz w:val="24"/>
          <w:highlight w:val="none"/>
        </w:rPr>
        <w:t>8</w:t>
      </w:r>
      <w:r>
        <w:rPr>
          <w:rFonts w:hint="eastAsia" w:ascii="宋体" w:hAnsi="宋体"/>
          <w:b/>
          <w:sz w:val="24"/>
          <w:highlight w:val="none"/>
        </w:rPr>
        <w:t>0％</w:t>
      </w:r>
      <w:r>
        <w:rPr>
          <w:rFonts w:hint="eastAsia" w:ascii="宋体" w:hAnsi="宋体"/>
          <w:sz w:val="24"/>
          <w:highlight w:val="none"/>
        </w:rPr>
        <w:t>的环境条件下运行。</w:t>
      </w:r>
      <w:r>
        <w:rPr>
          <w:rFonts w:hint="eastAsia" w:ascii="宋体" w:hAnsi="宋体"/>
          <w:b/>
          <w:sz w:val="24"/>
          <w:highlight w:val="none"/>
        </w:rPr>
        <w:t>能够连续正常工作。</w:t>
      </w:r>
    </w:p>
    <w:p w14:paraId="75672690">
      <w:pPr>
        <w:spacing w:line="360" w:lineRule="auto"/>
        <w:ind w:left="554" w:hanging="554" w:hangingChars="231"/>
        <w:rPr>
          <w:rFonts w:hint="eastAsia" w:ascii="宋体" w:hAnsi="宋体"/>
          <w:sz w:val="24"/>
          <w:highlight w:val="none"/>
        </w:rPr>
      </w:pPr>
      <w:r>
        <w:rPr>
          <w:rFonts w:hint="eastAsia" w:ascii="宋体" w:hAnsi="宋体"/>
          <w:sz w:val="24"/>
          <w:highlight w:val="none"/>
        </w:rPr>
        <w:t>3.3  配置符合中国有关标准要求的插头，如果没有这样的插头，则需</w:t>
      </w:r>
      <w:r>
        <w:rPr>
          <w:rFonts w:hint="eastAsia" w:ascii="宋体"/>
          <w:sz w:val="24"/>
          <w:highlight w:val="none"/>
        </w:rPr>
        <w:t>提供适当的转</w:t>
      </w:r>
      <w:r>
        <w:rPr>
          <w:rFonts w:hint="eastAsia" w:ascii="宋体" w:hAnsi="宋体"/>
          <w:sz w:val="24"/>
          <w:highlight w:val="none"/>
        </w:rPr>
        <w:t>换插座。</w:t>
      </w:r>
    </w:p>
    <w:p w14:paraId="74F65B94">
      <w:pPr>
        <w:spacing w:line="360" w:lineRule="auto"/>
        <w:ind w:left="554" w:hanging="554" w:hangingChars="231"/>
        <w:rPr>
          <w:rFonts w:hint="eastAsia" w:ascii="宋体" w:hAnsi="宋体"/>
          <w:sz w:val="24"/>
          <w:highlight w:val="none"/>
        </w:rPr>
      </w:pPr>
      <w:r>
        <w:rPr>
          <w:rFonts w:hint="eastAsia" w:ascii="宋体" w:hAnsi="宋体"/>
          <w:sz w:val="24"/>
          <w:highlight w:val="none"/>
        </w:rPr>
        <w:t>3.4  如产品达不到上述要求，投标人应注明其偏差。如仪器设备需要特殊工作条件（如水、电源、磁场强度、温度、湿度、动强度等）投标人应在投标书中加以说明。</w:t>
      </w:r>
    </w:p>
    <w:p w14:paraId="708939D6">
      <w:pPr>
        <w:rPr>
          <w:rFonts w:hint="eastAsia" w:eastAsia="黑体"/>
          <w:b/>
          <w:bCs/>
          <w:kern w:val="44"/>
          <w:sz w:val="24"/>
          <w:highlight w:val="none"/>
        </w:rPr>
      </w:pPr>
    </w:p>
    <w:p w14:paraId="7CAE9FD8">
      <w:pPr>
        <w:adjustRightInd w:val="0"/>
        <w:snapToGrid w:val="0"/>
        <w:spacing w:line="360" w:lineRule="auto"/>
        <w:rPr>
          <w:rFonts w:hint="eastAsia" w:ascii="宋体" w:hAnsi="宋体"/>
          <w:b/>
          <w:sz w:val="28"/>
          <w:szCs w:val="28"/>
          <w:highlight w:val="none"/>
        </w:rPr>
      </w:pPr>
      <w:r>
        <w:rPr>
          <w:rFonts w:hint="eastAsia" w:ascii="宋体" w:hAnsi="宋体"/>
          <w:b/>
          <w:sz w:val="28"/>
          <w:szCs w:val="28"/>
          <w:highlight w:val="none"/>
        </w:rPr>
        <w:t>4、验收标准</w:t>
      </w:r>
    </w:p>
    <w:p w14:paraId="510EFB44">
      <w:pPr>
        <w:spacing w:after="312" w:afterLines="100" w:line="360" w:lineRule="auto"/>
        <w:rPr>
          <w:rFonts w:hint="eastAsia" w:ascii="宋体" w:hAnsi="宋体"/>
          <w:sz w:val="24"/>
          <w:highlight w:val="none"/>
        </w:rPr>
      </w:pPr>
      <w:r>
        <w:rPr>
          <w:rFonts w:hint="eastAsia" w:ascii="宋体" w:hAnsi="宋体"/>
          <w:sz w:val="24"/>
          <w:highlight w:val="none"/>
        </w:rPr>
        <w:t>除非另有说明，所有仪器、设备和系统按下列要求进行验收：</w:t>
      </w:r>
      <w:r>
        <w:rPr>
          <w:rFonts w:ascii="宋体" w:hAnsi="宋体"/>
          <w:sz w:val="24"/>
          <w:highlight w:val="none"/>
        </w:rPr>
        <w:t xml:space="preserve"> </w:t>
      </w:r>
    </w:p>
    <w:p w14:paraId="5B4B3C53">
      <w:pPr>
        <w:spacing w:line="360" w:lineRule="auto"/>
        <w:ind w:left="554" w:hanging="554" w:hangingChars="231"/>
        <w:rPr>
          <w:rFonts w:hint="eastAsia" w:ascii="宋体" w:hAnsi="宋体"/>
          <w:sz w:val="24"/>
          <w:highlight w:val="none"/>
        </w:rPr>
      </w:pPr>
      <w:r>
        <w:rPr>
          <w:rFonts w:hint="eastAsia" w:ascii="宋体" w:hAnsi="宋体"/>
          <w:sz w:val="24"/>
          <w:highlight w:val="none"/>
        </w:rPr>
        <w:t>4.1  仪器设备运抵安装现场后，买方将与卖方共同开箱验收</w:t>
      </w:r>
      <w:r>
        <w:rPr>
          <w:rFonts w:ascii="宋体" w:hAnsi="宋体"/>
          <w:sz w:val="24"/>
          <w:highlight w:val="none"/>
        </w:rPr>
        <w:t xml:space="preserve">, </w:t>
      </w:r>
      <w:r>
        <w:rPr>
          <w:rFonts w:hint="eastAsia" w:ascii="宋体" w:hAnsi="宋体"/>
          <w:sz w:val="24"/>
          <w:highlight w:val="none"/>
        </w:rPr>
        <w:t>如卖方届时不派人来</w:t>
      </w:r>
      <w:r>
        <w:rPr>
          <w:rFonts w:ascii="宋体" w:hAnsi="宋体"/>
          <w:sz w:val="24"/>
          <w:highlight w:val="none"/>
        </w:rPr>
        <w:t xml:space="preserve">, </w:t>
      </w:r>
      <w:r>
        <w:rPr>
          <w:rFonts w:hint="eastAsia" w:ascii="宋体" w:hAnsi="宋体"/>
          <w:sz w:val="24"/>
          <w:highlight w:val="none"/>
        </w:rPr>
        <w:t>则验收结果应以买方的验收报告为最终验收结果。验收时发现短缺、破损</w:t>
      </w:r>
      <w:r>
        <w:rPr>
          <w:rFonts w:ascii="宋体" w:hAnsi="宋体"/>
          <w:sz w:val="24"/>
          <w:highlight w:val="none"/>
        </w:rPr>
        <w:t xml:space="preserve">, </w:t>
      </w:r>
      <w:r>
        <w:rPr>
          <w:rFonts w:hint="eastAsia" w:ascii="宋体" w:hAnsi="宋体"/>
          <w:sz w:val="24"/>
          <w:highlight w:val="none"/>
        </w:rPr>
        <w:t>买方有权要求卖方负责更换。</w:t>
      </w:r>
    </w:p>
    <w:p w14:paraId="6F523F38">
      <w:pPr>
        <w:spacing w:line="360" w:lineRule="auto"/>
        <w:ind w:left="554" w:hanging="554" w:hangingChars="231"/>
        <w:rPr>
          <w:rFonts w:hint="eastAsia" w:ascii="宋体" w:hAnsi="宋体"/>
          <w:sz w:val="24"/>
          <w:highlight w:val="none"/>
        </w:rPr>
      </w:pPr>
      <w:r>
        <w:rPr>
          <w:rFonts w:hint="eastAsia" w:ascii="宋体" w:hAnsi="宋体"/>
          <w:sz w:val="24"/>
          <w:highlight w:val="none"/>
        </w:rPr>
        <w:t xml:space="preserve">4.2  </w:t>
      </w:r>
      <w:r>
        <w:rPr>
          <w:rFonts w:hint="eastAsia"/>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14:paraId="129881BE">
      <w:pPr>
        <w:spacing w:line="360" w:lineRule="auto"/>
        <w:ind w:left="554" w:hanging="554" w:hangingChars="231"/>
        <w:rPr>
          <w:rFonts w:hint="eastAsia" w:ascii="宋体" w:hAnsi="宋体"/>
          <w:sz w:val="24"/>
          <w:highlight w:val="none"/>
        </w:rPr>
      </w:pPr>
      <w:r>
        <w:rPr>
          <w:rFonts w:hint="eastAsia" w:ascii="宋体" w:hAnsi="宋体"/>
          <w:sz w:val="24"/>
          <w:highlight w:val="none"/>
        </w:rPr>
        <w:t xml:space="preserve">4.3  </w:t>
      </w:r>
      <w:r>
        <w:rPr>
          <w:rFonts w:ascii="宋体" w:hAnsi="宋体"/>
          <w:sz w:val="24"/>
          <w:highlight w:val="none"/>
        </w:rPr>
        <w:t>验收由采购人、中标人及相关人员依国家有关标准、合同及有关附件要求进行，验收完毕由采购人及中标人在验收报告上签名。</w:t>
      </w:r>
    </w:p>
    <w:p w14:paraId="6A38298D">
      <w:pPr>
        <w:pStyle w:val="2"/>
        <w:spacing w:line="360" w:lineRule="auto"/>
        <w:ind w:left="410" w:hanging="410" w:hangingChars="170"/>
        <w:rPr>
          <w:rFonts w:hint="eastAsia" w:hAnsi="宋体"/>
          <w:b/>
          <w:sz w:val="24"/>
          <w:szCs w:val="24"/>
          <w:highlight w:val="none"/>
        </w:rPr>
      </w:pPr>
    </w:p>
    <w:p w14:paraId="7A1E8841">
      <w:pPr>
        <w:adjustRightInd w:val="0"/>
        <w:snapToGrid w:val="0"/>
        <w:spacing w:line="360" w:lineRule="auto"/>
        <w:rPr>
          <w:rFonts w:hint="eastAsia" w:hAnsi="宋体"/>
          <w:b/>
          <w:sz w:val="24"/>
          <w:highlight w:val="none"/>
        </w:rPr>
      </w:pPr>
      <w:r>
        <w:rPr>
          <w:rFonts w:hint="eastAsia"/>
          <w:b/>
          <w:bCs/>
          <w:sz w:val="24"/>
          <w:highlight w:val="none"/>
        </w:rPr>
        <w:t>5、本采购需求书中标注“*”号技术条款的为实质性要求，不满足其投标将视为无效投标被拒绝。</w:t>
      </w:r>
    </w:p>
    <w:p w14:paraId="2023FFC8">
      <w:pPr>
        <w:adjustRightInd w:val="0"/>
        <w:snapToGrid w:val="0"/>
        <w:spacing w:line="360" w:lineRule="auto"/>
        <w:rPr>
          <w:rFonts w:hint="eastAsia" w:ascii="宋体" w:hAnsi="宋体"/>
          <w:b/>
          <w:sz w:val="24"/>
          <w:highlight w:val="none"/>
        </w:rPr>
      </w:pPr>
    </w:p>
    <w:p w14:paraId="7F5284C5">
      <w:pPr>
        <w:adjustRightInd w:val="0"/>
        <w:snapToGrid w:val="0"/>
        <w:spacing w:line="360" w:lineRule="auto"/>
        <w:rPr>
          <w:rFonts w:hint="eastAsia" w:ascii="宋体" w:hAnsi="宋体"/>
          <w:b/>
          <w:sz w:val="24"/>
          <w:highlight w:val="none"/>
        </w:rPr>
      </w:pPr>
      <w:r>
        <w:rPr>
          <w:rFonts w:hint="eastAsia" w:ascii="宋体" w:hAnsi="宋体"/>
          <w:b/>
          <w:sz w:val="24"/>
          <w:highlight w:val="none"/>
        </w:rPr>
        <w:t>6、如在具体规格要求中有本总则不一致之处，以具体规格中的要求为准。</w:t>
      </w:r>
    </w:p>
    <w:p w14:paraId="7D567076">
      <w:pPr>
        <w:adjustRightInd w:val="0"/>
        <w:snapToGrid w:val="0"/>
        <w:spacing w:line="360" w:lineRule="auto"/>
        <w:rPr>
          <w:rFonts w:hint="eastAsia" w:ascii="宋体" w:hAnsi="宋体"/>
          <w:b/>
          <w:sz w:val="28"/>
          <w:szCs w:val="28"/>
          <w:highlight w:val="none"/>
        </w:rPr>
      </w:pPr>
      <w:r>
        <w:rPr>
          <w:rFonts w:ascii="宋体" w:hAnsi="宋体"/>
          <w:b/>
          <w:sz w:val="28"/>
          <w:highlight w:val="none"/>
        </w:rPr>
        <w:br w:type="page"/>
      </w:r>
      <w:r>
        <w:rPr>
          <w:rFonts w:hint="eastAsia" w:ascii="宋体" w:hAnsi="宋体"/>
          <w:b/>
          <w:sz w:val="28"/>
          <w:szCs w:val="28"/>
          <w:highlight w:val="none"/>
        </w:rPr>
        <w:t>二、具体规格要求</w:t>
      </w:r>
    </w:p>
    <w:p w14:paraId="5781B1C1">
      <w:pPr>
        <w:spacing w:after="156" w:afterLines="50" w:line="360" w:lineRule="auto"/>
        <w:ind w:left="601" w:hanging="601"/>
        <w:rPr>
          <w:rFonts w:hint="eastAsia" w:cs="宋体"/>
          <w:bCs/>
          <w:color w:val="000000"/>
          <w:sz w:val="24"/>
          <w:highlight w:val="none"/>
        </w:rPr>
      </w:pPr>
      <w:r>
        <w:rPr>
          <w:rFonts w:hint="eastAsia" w:cs="宋体"/>
          <w:bCs/>
          <w:color w:val="000000"/>
          <w:sz w:val="24"/>
          <w:highlight w:val="none"/>
        </w:rPr>
        <w:t>一、</w:t>
      </w:r>
      <w:bookmarkStart w:id="1" w:name="_Toc175513259"/>
      <w:r>
        <w:rPr>
          <w:rFonts w:hint="eastAsia" w:cs="宋体"/>
          <w:bCs/>
          <w:color w:val="000000"/>
          <w:sz w:val="24"/>
          <w:highlight w:val="none"/>
        </w:rPr>
        <w:t>项目描述和内容概要</w:t>
      </w:r>
      <w:bookmarkEnd w:id="1"/>
      <w:r>
        <w:rPr>
          <w:rFonts w:hint="eastAsia" w:cs="宋体"/>
          <w:bCs/>
          <w:color w:val="000000"/>
          <w:sz w:val="24"/>
          <w:highlight w:val="none"/>
        </w:rPr>
        <w:t xml:space="preserve">：  </w:t>
      </w:r>
    </w:p>
    <w:p w14:paraId="09AAE94E">
      <w:pPr>
        <w:spacing w:after="156" w:afterLines="50" w:line="360" w:lineRule="auto"/>
        <w:ind w:firstLine="480" w:firstLineChars="200"/>
        <w:rPr>
          <w:rFonts w:hint="eastAsia" w:cs="宋体"/>
          <w:bCs/>
          <w:color w:val="000000"/>
          <w:sz w:val="24"/>
          <w:highlight w:val="none"/>
        </w:rPr>
      </w:pPr>
      <w:r>
        <w:rPr>
          <w:rFonts w:hint="eastAsia" w:cs="宋体"/>
          <w:bCs/>
          <w:color w:val="000000"/>
          <w:sz w:val="24"/>
          <w:highlight w:val="none"/>
        </w:rPr>
        <w:t>液相色谱三重四级杆质谱联用主要用于对菌种代谢产物进行定量分析，提供具体的化合物浓度数据及全面的代谢产物谱信息。通过识别菌种退化相关的代谢标记物，揭示理化环境、营养状态与生理阶段对细胞代谢活动的影响机制，为制定科学的菌种复壮措施提供数据支撑。</w:t>
      </w:r>
    </w:p>
    <w:p w14:paraId="0EF2485B">
      <w:pPr>
        <w:spacing w:after="156" w:afterLines="50" w:line="360" w:lineRule="auto"/>
        <w:ind w:left="601" w:hanging="601"/>
        <w:rPr>
          <w:rFonts w:hint="eastAsia" w:cs="宋体"/>
          <w:bCs/>
          <w:color w:val="000000"/>
          <w:sz w:val="24"/>
          <w:highlight w:val="none"/>
        </w:rPr>
      </w:pPr>
      <w:r>
        <w:rPr>
          <w:rFonts w:hint="eastAsia" w:cs="宋体"/>
          <w:bCs/>
          <w:color w:val="000000"/>
          <w:sz w:val="24"/>
          <w:highlight w:val="none"/>
        </w:rPr>
        <w:t xml:space="preserve"> 二、</w:t>
      </w:r>
      <w:bookmarkStart w:id="2" w:name="_Toc175513264"/>
      <w:bookmarkStart w:id="3" w:name="_Toc103094061"/>
      <w:r>
        <w:rPr>
          <w:rFonts w:hint="eastAsia" w:cs="宋体"/>
          <w:bCs/>
          <w:color w:val="000000"/>
          <w:sz w:val="24"/>
          <w:highlight w:val="none"/>
        </w:rPr>
        <w:t>项目技术</w:t>
      </w:r>
      <w:bookmarkEnd w:id="2"/>
      <w:bookmarkEnd w:id="3"/>
      <w:r>
        <w:rPr>
          <w:rFonts w:hint="eastAsia" w:cs="宋体"/>
          <w:bCs/>
          <w:color w:val="000000"/>
          <w:sz w:val="24"/>
          <w:highlight w:val="none"/>
        </w:rPr>
        <w:t>规格</w:t>
      </w:r>
    </w:p>
    <w:p w14:paraId="1E0F895D">
      <w:pPr>
        <w:adjustRightInd w:val="0"/>
        <w:snapToGrid w:val="0"/>
        <w:spacing w:line="360" w:lineRule="auto"/>
        <w:rPr>
          <w:rFonts w:hint="eastAsia"/>
          <w:color w:val="000000"/>
          <w:sz w:val="24"/>
          <w:highlight w:val="none"/>
        </w:rPr>
      </w:pPr>
      <w:r>
        <w:rPr>
          <w:rFonts w:hint="eastAsia"/>
          <w:color w:val="000000"/>
          <w:sz w:val="24"/>
          <w:highlight w:val="none"/>
        </w:rPr>
        <w:t>1.液相色谱部分</w:t>
      </w:r>
    </w:p>
    <w:p w14:paraId="4A165FDE">
      <w:pPr>
        <w:adjustRightInd w:val="0"/>
        <w:snapToGrid w:val="0"/>
        <w:spacing w:line="360" w:lineRule="auto"/>
        <w:rPr>
          <w:rFonts w:hint="eastAsia"/>
          <w:color w:val="000000"/>
          <w:sz w:val="24"/>
          <w:highlight w:val="none"/>
        </w:rPr>
      </w:pPr>
      <w:r>
        <w:rPr>
          <w:rFonts w:hint="eastAsia"/>
          <w:color w:val="000000"/>
          <w:sz w:val="24"/>
          <w:highlight w:val="none"/>
        </w:rPr>
        <w:t>1.1 系统要求: 超高效液相色谱主机一套（与质谱主机同一品牌），包含：二元高压输液泵、脱气机、高压混合器、输液泵自动清洗单元、柱温箱、自动进样器、网络化系统控制器；</w:t>
      </w:r>
    </w:p>
    <w:p w14:paraId="74EEC331">
      <w:pPr>
        <w:adjustRightInd w:val="0"/>
        <w:snapToGrid w:val="0"/>
        <w:spacing w:line="360" w:lineRule="auto"/>
        <w:rPr>
          <w:rFonts w:hint="eastAsia"/>
          <w:color w:val="000000"/>
          <w:sz w:val="24"/>
          <w:highlight w:val="none"/>
        </w:rPr>
      </w:pPr>
      <w:r>
        <w:rPr>
          <w:rFonts w:hint="eastAsia"/>
          <w:color w:val="000000"/>
          <w:sz w:val="24"/>
          <w:highlight w:val="none"/>
        </w:rPr>
        <w:t>1.2 二元高压梯度系统</w:t>
      </w:r>
    </w:p>
    <w:p w14:paraId="26321D38">
      <w:pPr>
        <w:adjustRightInd w:val="0"/>
        <w:snapToGrid w:val="0"/>
        <w:spacing w:line="360" w:lineRule="auto"/>
        <w:rPr>
          <w:rFonts w:hint="eastAsia"/>
          <w:color w:val="000000"/>
          <w:sz w:val="24"/>
          <w:highlight w:val="none"/>
        </w:rPr>
      </w:pPr>
      <w:r>
        <w:rPr>
          <w:rFonts w:hint="eastAsia"/>
          <w:color w:val="000000"/>
          <w:sz w:val="24"/>
          <w:highlight w:val="none"/>
        </w:rPr>
        <w:t>*1.2.1流速范围：0.0001-10.000mL/min，可实现0.1μL/min步进，最高耐压：≥18000psi</w:t>
      </w:r>
    </w:p>
    <w:p w14:paraId="3AC54337">
      <w:pPr>
        <w:adjustRightInd w:val="0"/>
        <w:snapToGrid w:val="0"/>
        <w:spacing w:line="360" w:lineRule="auto"/>
        <w:rPr>
          <w:rFonts w:hint="eastAsia"/>
          <w:color w:val="000000"/>
          <w:sz w:val="24"/>
          <w:highlight w:val="none"/>
        </w:rPr>
      </w:pPr>
      <w:r>
        <w:rPr>
          <w:rFonts w:hint="eastAsia"/>
          <w:color w:val="000000"/>
          <w:sz w:val="24"/>
          <w:highlight w:val="none"/>
        </w:rPr>
        <w:t>1.2.2流速准确度：≤1%</w:t>
      </w:r>
    </w:p>
    <w:p w14:paraId="63A2A028">
      <w:pPr>
        <w:adjustRightInd w:val="0"/>
        <w:snapToGrid w:val="0"/>
        <w:spacing w:line="360" w:lineRule="auto"/>
        <w:rPr>
          <w:rFonts w:hint="eastAsia"/>
          <w:color w:val="000000"/>
          <w:sz w:val="24"/>
          <w:highlight w:val="none"/>
        </w:rPr>
      </w:pPr>
      <w:r>
        <w:rPr>
          <w:rFonts w:hint="eastAsia"/>
          <w:color w:val="000000"/>
          <w:sz w:val="24"/>
          <w:highlight w:val="none"/>
        </w:rPr>
        <w:t>1.2.3流速精密度：≤0.062%</w:t>
      </w:r>
    </w:p>
    <w:p w14:paraId="2BD4857A">
      <w:pPr>
        <w:adjustRightInd w:val="0"/>
        <w:snapToGrid w:val="0"/>
        <w:spacing w:line="360" w:lineRule="auto"/>
        <w:rPr>
          <w:rFonts w:hint="eastAsia"/>
          <w:color w:val="000000"/>
          <w:sz w:val="24"/>
          <w:highlight w:val="none"/>
        </w:rPr>
      </w:pPr>
      <w:r>
        <w:rPr>
          <w:rFonts w:hint="eastAsia"/>
          <w:color w:val="000000"/>
          <w:sz w:val="24"/>
          <w:highlight w:val="none"/>
        </w:rPr>
        <w:t>1.2.4梯度变化步进：0.1%</w:t>
      </w:r>
    </w:p>
    <w:p w14:paraId="57647161">
      <w:pPr>
        <w:adjustRightInd w:val="0"/>
        <w:snapToGrid w:val="0"/>
        <w:spacing w:line="360" w:lineRule="auto"/>
        <w:rPr>
          <w:rFonts w:hint="eastAsia"/>
          <w:color w:val="000000"/>
          <w:sz w:val="24"/>
          <w:highlight w:val="none"/>
        </w:rPr>
      </w:pPr>
      <w:r>
        <w:rPr>
          <w:rFonts w:hint="eastAsia"/>
          <w:color w:val="000000"/>
          <w:sz w:val="24"/>
          <w:highlight w:val="none"/>
        </w:rPr>
        <w:t>1.2.5泵头清洗：自动标配</w:t>
      </w:r>
    </w:p>
    <w:p w14:paraId="70DE40F1">
      <w:pPr>
        <w:adjustRightInd w:val="0"/>
        <w:snapToGrid w:val="0"/>
        <w:spacing w:line="360" w:lineRule="auto"/>
        <w:rPr>
          <w:color w:val="000000"/>
          <w:sz w:val="24"/>
          <w:highlight w:val="none"/>
        </w:rPr>
      </w:pPr>
      <w:r>
        <w:rPr>
          <w:rFonts w:hint="eastAsia"/>
          <w:color w:val="000000"/>
          <w:sz w:val="24"/>
          <w:highlight w:val="none"/>
        </w:rPr>
        <w:t>1.2.6组成方式：两台独立高压送液泵构成的二元梯度系统</w:t>
      </w:r>
    </w:p>
    <w:p w14:paraId="7F0137A6">
      <w:pPr>
        <w:adjustRightInd w:val="0"/>
        <w:snapToGrid w:val="0"/>
        <w:spacing w:line="360" w:lineRule="auto"/>
        <w:rPr>
          <w:color w:val="000000"/>
          <w:sz w:val="24"/>
          <w:highlight w:val="none"/>
        </w:rPr>
      </w:pPr>
      <w:r>
        <w:rPr>
          <w:rFonts w:hint="eastAsia"/>
          <w:color w:val="000000"/>
          <w:sz w:val="24"/>
          <w:highlight w:val="none"/>
        </w:rPr>
        <w:t>*1.2.7 自我诊断/自我恢复：自动检测分析过程中意外混入的气泡，自动执行Purge，快速恢复至正常分析状态，防止样品损失，保护珍贵样品。</w:t>
      </w:r>
    </w:p>
    <w:p w14:paraId="531C4DE0">
      <w:pPr>
        <w:adjustRightInd w:val="0"/>
        <w:snapToGrid w:val="0"/>
        <w:spacing w:line="360" w:lineRule="auto"/>
        <w:rPr>
          <w:rFonts w:hint="eastAsia"/>
          <w:color w:val="000000"/>
          <w:sz w:val="24"/>
          <w:highlight w:val="none"/>
        </w:rPr>
      </w:pPr>
      <w:r>
        <w:rPr>
          <w:rFonts w:hint="eastAsia"/>
          <w:color w:val="000000"/>
          <w:sz w:val="24"/>
          <w:highlight w:val="none"/>
        </w:rPr>
        <w:t>#2.2.8 智能启动开机及智能关机：仪器可在设定的时间自行启动及关闭。</w:t>
      </w:r>
    </w:p>
    <w:p w14:paraId="1BCAD0CA">
      <w:pPr>
        <w:adjustRightInd w:val="0"/>
        <w:snapToGrid w:val="0"/>
        <w:spacing w:line="360" w:lineRule="auto"/>
        <w:rPr>
          <w:rFonts w:hint="eastAsia"/>
          <w:color w:val="000000"/>
          <w:sz w:val="24"/>
          <w:highlight w:val="none"/>
        </w:rPr>
      </w:pPr>
      <w:r>
        <w:rPr>
          <w:rFonts w:hint="eastAsia"/>
          <w:color w:val="000000"/>
          <w:sz w:val="24"/>
          <w:highlight w:val="none"/>
        </w:rPr>
        <w:t>#2.2.9智能流量控制功能：无需人员看守仪器，自动平衡色谱柱，流速可缓慢上升至设定值的一半，保持该流速至柱温箱到达“就绪”状态后，流速再缓慢上升至设定值，防止瞬间高压损害色谱柱，延长色谱柱使用寿命；智能运行样品分析及序列分析，色谱柱达到平衡状态后，可自动执行样品分析功能。</w:t>
      </w:r>
    </w:p>
    <w:p w14:paraId="3B206B48">
      <w:pPr>
        <w:adjustRightInd w:val="0"/>
        <w:snapToGrid w:val="0"/>
        <w:spacing w:line="360" w:lineRule="auto"/>
        <w:rPr>
          <w:rFonts w:hint="eastAsia"/>
          <w:color w:val="000000"/>
          <w:sz w:val="24"/>
          <w:highlight w:val="none"/>
        </w:rPr>
      </w:pPr>
      <w:r>
        <w:rPr>
          <w:rFonts w:hint="eastAsia"/>
          <w:color w:val="000000"/>
          <w:sz w:val="24"/>
          <w:highlight w:val="none"/>
        </w:rPr>
        <w:t>#2.2.10流动相精灵：自动计算批处理分析所需流动相总量，实时监测流动相余量并可推送提醒信息至智能终端；</w:t>
      </w:r>
    </w:p>
    <w:p w14:paraId="228C8CC3">
      <w:pPr>
        <w:adjustRightInd w:val="0"/>
        <w:snapToGrid w:val="0"/>
        <w:spacing w:line="360" w:lineRule="auto"/>
        <w:rPr>
          <w:rFonts w:hint="eastAsia"/>
          <w:color w:val="000000"/>
          <w:sz w:val="24"/>
          <w:highlight w:val="none"/>
        </w:rPr>
      </w:pPr>
      <w:r>
        <w:rPr>
          <w:rFonts w:hint="eastAsia"/>
          <w:color w:val="000000"/>
          <w:sz w:val="24"/>
          <w:highlight w:val="none"/>
        </w:rPr>
        <w:t>1.3在线脱气机</w:t>
      </w:r>
    </w:p>
    <w:p w14:paraId="232739ED">
      <w:pPr>
        <w:adjustRightInd w:val="0"/>
        <w:snapToGrid w:val="0"/>
        <w:spacing w:line="360" w:lineRule="auto"/>
        <w:rPr>
          <w:rFonts w:hint="eastAsia"/>
          <w:color w:val="000000"/>
          <w:sz w:val="24"/>
          <w:highlight w:val="none"/>
        </w:rPr>
      </w:pPr>
      <w:r>
        <w:rPr>
          <w:rFonts w:hint="eastAsia"/>
          <w:color w:val="000000"/>
          <w:sz w:val="24"/>
          <w:highlight w:val="none"/>
        </w:rPr>
        <w:t>1.3.1真空脱气流路数：≥3路</w:t>
      </w:r>
    </w:p>
    <w:p w14:paraId="7174F028">
      <w:pPr>
        <w:adjustRightInd w:val="0"/>
        <w:snapToGrid w:val="0"/>
        <w:spacing w:line="360" w:lineRule="auto"/>
        <w:rPr>
          <w:rFonts w:hint="eastAsia"/>
          <w:color w:val="000000"/>
          <w:sz w:val="24"/>
          <w:highlight w:val="none"/>
        </w:rPr>
      </w:pPr>
      <w:r>
        <w:rPr>
          <w:rFonts w:hint="eastAsia"/>
          <w:color w:val="000000"/>
          <w:sz w:val="24"/>
          <w:highlight w:val="none"/>
        </w:rPr>
        <w:t>1.4  可降温型自动进样器</w:t>
      </w:r>
    </w:p>
    <w:p w14:paraId="54A7D1FA">
      <w:pPr>
        <w:adjustRightInd w:val="0"/>
        <w:snapToGrid w:val="0"/>
        <w:spacing w:line="360" w:lineRule="auto"/>
        <w:rPr>
          <w:rFonts w:hint="eastAsia"/>
          <w:color w:val="000000"/>
          <w:sz w:val="24"/>
          <w:highlight w:val="none"/>
        </w:rPr>
      </w:pPr>
      <w:r>
        <w:rPr>
          <w:rFonts w:hint="eastAsia"/>
          <w:color w:val="000000"/>
          <w:sz w:val="24"/>
          <w:highlight w:val="none"/>
        </w:rPr>
        <w:t>1.4.1样品盘容量：1.5ml样品瓶大于110位</w:t>
      </w:r>
    </w:p>
    <w:p w14:paraId="5802CC01">
      <w:pPr>
        <w:adjustRightInd w:val="0"/>
        <w:snapToGrid w:val="0"/>
        <w:spacing w:line="360" w:lineRule="auto"/>
        <w:rPr>
          <w:rFonts w:hint="eastAsia"/>
          <w:color w:val="000000"/>
          <w:sz w:val="24"/>
          <w:highlight w:val="none"/>
        </w:rPr>
      </w:pPr>
      <w:r>
        <w:rPr>
          <w:rFonts w:hint="eastAsia"/>
          <w:color w:val="000000"/>
          <w:sz w:val="24"/>
          <w:highlight w:val="none"/>
        </w:rPr>
        <w:t>1.4.2进样范围：0.1~50μL</w:t>
      </w:r>
    </w:p>
    <w:p w14:paraId="355A9FB8">
      <w:pPr>
        <w:adjustRightInd w:val="0"/>
        <w:snapToGrid w:val="0"/>
        <w:spacing w:line="360" w:lineRule="auto"/>
        <w:rPr>
          <w:rFonts w:hint="eastAsia"/>
          <w:color w:val="000000"/>
          <w:sz w:val="24"/>
          <w:highlight w:val="none"/>
        </w:rPr>
      </w:pPr>
      <w:r>
        <w:rPr>
          <w:rFonts w:hint="eastAsia"/>
          <w:color w:val="000000"/>
          <w:sz w:val="24"/>
          <w:highlight w:val="none"/>
        </w:rPr>
        <w:t>1.4.3进样准确度：≤±1%</w:t>
      </w:r>
    </w:p>
    <w:p w14:paraId="30C055D2">
      <w:pPr>
        <w:adjustRightInd w:val="0"/>
        <w:snapToGrid w:val="0"/>
        <w:spacing w:line="360" w:lineRule="auto"/>
        <w:rPr>
          <w:rFonts w:hint="eastAsia"/>
          <w:color w:val="000000"/>
          <w:sz w:val="24"/>
          <w:highlight w:val="none"/>
        </w:rPr>
      </w:pPr>
      <w:r>
        <w:rPr>
          <w:rFonts w:hint="eastAsia"/>
          <w:color w:val="000000"/>
          <w:sz w:val="24"/>
          <w:highlight w:val="none"/>
        </w:rPr>
        <w:t>#1.4.4进样针清洗：自动（标配），可选清洗液3种以上。最大耐压：18000psi。交叉污染：咖啡因0.0015%以下（5µL进样,无清洗）。</w:t>
      </w:r>
    </w:p>
    <w:p w14:paraId="717C720D">
      <w:pPr>
        <w:adjustRightInd w:val="0"/>
        <w:snapToGrid w:val="0"/>
        <w:spacing w:line="360" w:lineRule="auto"/>
        <w:rPr>
          <w:rFonts w:hint="eastAsia"/>
          <w:color w:val="000000"/>
          <w:sz w:val="24"/>
          <w:highlight w:val="none"/>
        </w:rPr>
      </w:pPr>
      <w:r>
        <w:rPr>
          <w:rFonts w:hint="eastAsia"/>
          <w:color w:val="000000"/>
          <w:sz w:val="24"/>
          <w:highlight w:val="none"/>
        </w:rPr>
        <w:t>1.4.5温度控制：4</w:t>
      </w:r>
      <w:r>
        <w:rPr>
          <w:color w:val="000000"/>
          <w:sz w:val="24"/>
          <w:highlight w:val="none"/>
        </w:rPr>
        <w:t>~</w:t>
      </w:r>
      <w:r>
        <w:rPr>
          <w:rFonts w:hint="eastAsia"/>
          <w:color w:val="000000"/>
          <w:sz w:val="24"/>
          <w:highlight w:val="none"/>
        </w:rPr>
        <w:t>40度</w:t>
      </w:r>
    </w:p>
    <w:p w14:paraId="5D457BC7">
      <w:pPr>
        <w:adjustRightInd w:val="0"/>
        <w:snapToGrid w:val="0"/>
        <w:spacing w:line="360" w:lineRule="auto"/>
        <w:rPr>
          <w:rFonts w:hint="eastAsia"/>
          <w:color w:val="000000"/>
          <w:sz w:val="24"/>
          <w:highlight w:val="none"/>
        </w:rPr>
      </w:pPr>
      <w:r>
        <w:rPr>
          <w:rFonts w:hint="eastAsia"/>
          <w:color w:val="000000"/>
          <w:sz w:val="24"/>
          <w:highlight w:val="none"/>
        </w:rPr>
        <w:t>1.4.6进样精度：0.25% RSD以下</w:t>
      </w:r>
    </w:p>
    <w:p w14:paraId="4E3E1FF9">
      <w:pPr>
        <w:adjustRightInd w:val="0"/>
        <w:snapToGrid w:val="0"/>
        <w:spacing w:line="360" w:lineRule="auto"/>
        <w:rPr>
          <w:rFonts w:hint="eastAsia"/>
          <w:color w:val="000000"/>
          <w:sz w:val="24"/>
          <w:highlight w:val="none"/>
        </w:rPr>
      </w:pPr>
      <w:r>
        <w:rPr>
          <w:rFonts w:hint="eastAsia"/>
          <w:color w:val="000000"/>
          <w:sz w:val="24"/>
          <w:highlight w:val="none"/>
        </w:rPr>
        <w:t>1.4.7 进样速度：11秒完成10μL进样</w:t>
      </w:r>
    </w:p>
    <w:p w14:paraId="415BB9FE">
      <w:pPr>
        <w:adjustRightInd w:val="0"/>
        <w:snapToGrid w:val="0"/>
        <w:spacing w:line="360" w:lineRule="auto"/>
        <w:rPr>
          <w:rFonts w:hint="eastAsia"/>
          <w:color w:val="000000"/>
          <w:sz w:val="24"/>
          <w:highlight w:val="none"/>
        </w:rPr>
      </w:pPr>
      <w:r>
        <w:rPr>
          <w:rFonts w:hint="eastAsia"/>
          <w:color w:val="000000"/>
          <w:sz w:val="24"/>
          <w:highlight w:val="none"/>
        </w:rPr>
        <w:t>1.5柱温箱</w:t>
      </w:r>
    </w:p>
    <w:p w14:paraId="242F2064">
      <w:pPr>
        <w:adjustRightInd w:val="0"/>
        <w:snapToGrid w:val="0"/>
        <w:spacing w:line="360" w:lineRule="auto"/>
        <w:rPr>
          <w:rFonts w:hint="eastAsia"/>
          <w:color w:val="000000"/>
          <w:sz w:val="24"/>
          <w:highlight w:val="none"/>
        </w:rPr>
      </w:pPr>
      <w:r>
        <w:rPr>
          <w:rFonts w:hint="eastAsia"/>
          <w:color w:val="000000"/>
          <w:sz w:val="24"/>
          <w:highlight w:val="none"/>
        </w:rPr>
        <w:t>1.5.1温度控制范围: (室温+10)℃~80℃</w:t>
      </w:r>
    </w:p>
    <w:p w14:paraId="32D69EC8">
      <w:pPr>
        <w:adjustRightInd w:val="0"/>
        <w:snapToGrid w:val="0"/>
        <w:spacing w:line="360" w:lineRule="auto"/>
        <w:rPr>
          <w:rFonts w:hint="eastAsia"/>
          <w:color w:val="000000"/>
          <w:sz w:val="24"/>
          <w:highlight w:val="none"/>
        </w:rPr>
      </w:pPr>
      <w:r>
        <w:rPr>
          <w:rFonts w:hint="eastAsia"/>
          <w:color w:val="000000"/>
          <w:sz w:val="24"/>
          <w:highlight w:val="none"/>
        </w:rPr>
        <w:t>1.5.2控温准确度 ±0.5℃</w:t>
      </w:r>
    </w:p>
    <w:p w14:paraId="44830E81">
      <w:pPr>
        <w:adjustRightInd w:val="0"/>
        <w:snapToGrid w:val="0"/>
        <w:spacing w:line="360" w:lineRule="auto"/>
        <w:rPr>
          <w:rFonts w:hint="eastAsia"/>
          <w:color w:val="000000"/>
          <w:sz w:val="24"/>
          <w:highlight w:val="none"/>
        </w:rPr>
      </w:pPr>
      <w:r>
        <w:rPr>
          <w:rFonts w:hint="eastAsia"/>
          <w:color w:val="000000"/>
          <w:sz w:val="24"/>
          <w:highlight w:val="none"/>
        </w:rPr>
        <w:t>1.5.3柱容量：可放置5根4.6*300mm的色谱柱</w:t>
      </w:r>
    </w:p>
    <w:p w14:paraId="6B3E2457">
      <w:pPr>
        <w:adjustRightInd w:val="0"/>
        <w:snapToGrid w:val="0"/>
        <w:spacing w:line="360" w:lineRule="auto"/>
        <w:rPr>
          <w:rFonts w:hint="eastAsia"/>
          <w:color w:val="000000"/>
          <w:sz w:val="24"/>
          <w:highlight w:val="none"/>
        </w:rPr>
      </w:pPr>
      <w:r>
        <w:rPr>
          <w:rFonts w:hint="eastAsia"/>
          <w:color w:val="000000"/>
          <w:sz w:val="24"/>
          <w:highlight w:val="none"/>
        </w:rPr>
        <w:t>2：质谱部分</w:t>
      </w:r>
    </w:p>
    <w:p w14:paraId="7840A3FA">
      <w:pPr>
        <w:adjustRightInd w:val="0"/>
        <w:snapToGrid w:val="0"/>
        <w:spacing w:line="360" w:lineRule="auto"/>
        <w:rPr>
          <w:rFonts w:hint="eastAsia"/>
          <w:color w:val="000000"/>
          <w:sz w:val="24"/>
          <w:highlight w:val="none"/>
        </w:rPr>
      </w:pPr>
      <w:r>
        <w:rPr>
          <w:rFonts w:hint="eastAsia"/>
          <w:color w:val="000000"/>
          <w:sz w:val="24"/>
          <w:highlight w:val="none"/>
        </w:rPr>
        <w:t>2.1 产地：中国</w:t>
      </w:r>
    </w:p>
    <w:p w14:paraId="01BD154A">
      <w:pPr>
        <w:adjustRightInd w:val="0"/>
        <w:snapToGrid w:val="0"/>
        <w:spacing w:line="360" w:lineRule="auto"/>
        <w:rPr>
          <w:rFonts w:hint="eastAsia"/>
          <w:color w:val="000000"/>
          <w:sz w:val="24"/>
          <w:highlight w:val="none"/>
        </w:rPr>
      </w:pPr>
      <w:r>
        <w:rPr>
          <w:rFonts w:hint="eastAsia"/>
          <w:color w:val="000000"/>
          <w:sz w:val="24"/>
          <w:highlight w:val="none"/>
        </w:rPr>
        <w:t>2.2 质量范围m/z：5-2000</w:t>
      </w:r>
    </w:p>
    <w:p w14:paraId="39351934">
      <w:pPr>
        <w:adjustRightInd w:val="0"/>
        <w:snapToGrid w:val="0"/>
        <w:spacing w:line="360" w:lineRule="auto"/>
        <w:rPr>
          <w:rFonts w:hint="eastAsia"/>
          <w:color w:val="000000"/>
          <w:sz w:val="24"/>
          <w:highlight w:val="none"/>
        </w:rPr>
      </w:pPr>
      <w:r>
        <w:rPr>
          <w:rFonts w:hint="eastAsia"/>
          <w:color w:val="000000"/>
          <w:sz w:val="24"/>
          <w:highlight w:val="none"/>
        </w:rPr>
        <w:t xml:space="preserve">2.3 灵敏度： </w:t>
      </w:r>
    </w:p>
    <w:p w14:paraId="70E06E71">
      <w:pPr>
        <w:adjustRightInd w:val="0"/>
        <w:snapToGrid w:val="0"/>
        <w:spacing w:line="360" w:lineRule="auto"/>
        <w:rPr>
          <w:rFonts w:hint="eastAsia"/>
          <w:color w:val="000000"/>
          <w:sz w:val="24"/>
          <w:highlight w:val="none"/>
        </w:rPr>
      </w:pPr>
      <w:r>
        <w:rPr>
          <w:rFonts w:hint="eastAsia"/>
          <w:color w:val="000000"/>
          <w:sz w:val="24"/>
          <w:highlight w:val="none"/>
        </w:rPr>
        <w:t>*2.3.1 ESI源正离子方式：1pg利血平，MRM（609-&gt;195）,信噪比S/N&gt;500000:1（RMS）</w:t>
      </w:r>
    </w:p>
    <w:p w14:paraId="4C470443">
      <w:pPr>
        <w:adjustRightInd w:val="0"/>
        <w:snapToGrid w:val="0"/>
        <w:spacing w:line="360" w:lineRule="auto"/>
        <w:rPr>
          <w:rFonts w:hint="eastAsia"/>
          <w:color w:val="000000"/>
          <w:sz w:val="24"/>
          <w:highlight w:val="none"/>
        </w:rPr>
      </w:pPr>
      <w:r>
        <w:rPr>
          <w:rFonts w:hint="eastAsia"/>
          <w:color w:val="000000"/>
          <w:sz w:val="24"/>
          <w:highlight w:val="none"/>
        </w:rPr>
        <w:t>#2.3.2 ESI源正离子方式：利血平，MRM（609-&gt;195），仪器检出限IDL&lt;2fg</w:t>
      </w:r>
    </w:p>
    <w:p w14:paraId="2836E0BE">
      <w:pPr>
        <w:adjustRightInd w:val="0"/>
        <w:snapToGrid w:val="0"/>
        <w:spacing w:line="360" w:lineRule="auto"/>
        <w:rPr>
          <w:rFonts w:hint="eastAsia"/>
          <w:color w:val="000000"/>
          <w:sz w:val="24"/>
          <w:highlight w:val="none"/>
        </w:rPr>
      </w:pPr>
      <w:r>
        <w:rPr>
          <w:rFonts w:hint="eastAsia"/>
          <w:color w:val="000000"/>
          <w:sz w:val="24"/>
          <w:highlight w:val="none"/>
        </w:rPr>
        <w:t xml:space="preserve">2.3.3 APCI源正离子方式：50fg利血平MRM（609-&gt;195）,信噪比&gt;30000(RMS) </w:t>
      </w:r>
    </w:p>
    <w:p w14:paraId="6CA5B4AF">
      <w:pPr>
        <w:adjustRightInd w:val="0"/>
        <w:snapToGrid w:val="0"/>
        <w:spacing w:line="360" w:lineRule="auto"/>
        <w:rPr>
          <w:rFonts w:hint="eastAsia"/>
          <w:color w:val="000000"/>
          <w:sz w:val="24"/>
          <w:highlight w:val="none"/>
        </w:rPr>
      </w:pPr>
      <w:r>
        <w:rPr>
          <w:rFonts w:hint="eastAsia"/>
          <w:color w:val="000000"/>
          <w:sz w:val="24"/>
          <w:highlight w:val="none"/>
        </w:rPr>
        <w:t xml:space="preserve">#2.3.4 ESI源负离子方式 : 1pg 氯霉素，MRM（321-&gt;152），信噪比&gt;500000:1 (RMS) </w:t>
      </w:r>
    </w:p>
    <w:p w14:paraId="78338AFB">
      <w:pPr>
        <w:adjustRightInd w:val="0"/>
        <w:snapToGrid w:val="0"/>
        <w:spacing w:line="360" w:lineRule="auto"/>
        <w:rPr>
          <w:rFonts w:hint="eastAsia"/>
          <w:color w:val="000000"/>
          <w:sz w:val="24"/>
          <w:highlight w:val="none"/>
        </w:rPr>
      </w:pPr>
      <w:r>
        <w:rPr>
          <w:rFonts w:hint="eastAsia"/>
          <w:color w:val="000000"/>
          <w:sz w:val="24"/>
          <w:highlight w:val="none"/>
        </w:rPr>
        <w:t xml:space="preserve">     ESI源负离子方式：氯霉素，MRM（321-&gt;152），仪器检出限IDL&lt;2fg</w:t>
      </w:r>
    </w:p>
    <w:p w14:paraId="291966C4">
      <w:pPr>
        <w:adjustRightInd w:val="0"/>
        <w:snapToGrid w:val="0"/>
        <w:spacing w:line="360" w:lineRule="auto"/>
        <w:rPr>
          <w:rFonts w:hint="eastAsia"/>
          <w:color w:val="000000"/>
          <w:sz w:val="24"/>
          <w:highlight w:val="none"/>
        </w:rPr>
      </w:pPr>
      <w:r>
        <w:rPr>
          <w:rFonts w:hint="eastAsia"/>
          <w:color w:val="000000"/>
          <w:sz w:val="24"/>
          <w:highlight w:val="none"/>
        </w:rPr>
        <w:t>#2.4重复性：氯霉素，进样量50fg，6次重复进样，RSD≤2%。质谱分辨率（FWHM):样品(利血平)，结果m/z 609处FWHM≤0.4u。</w:t>
      </w:r>
    </w:p>
    <w:p w14:paraId="2D1A9E2B">
      <w:pPr>
        <w:adjustRightInd w:val="0"/>
        <w:snapToGrid w:val="0"/>
        <w:spacing w:line="360" w:lineRule="auto"/>
        <w:rPr>
          <w:rFonts w:hint="eastAsia"/>
          <w:color w:val="000000"/>
          <w:sz w:val="24"/>
          <w:highlight w:val="none"/>
        </w:rPr>
      </w:pPr>
      <w:r>
        <w:rPr>
          <w:rFonts w:hint="eastAsia"/>
          <w:color w:val="000000"/>
          <w:sz w:val="24"/>
          <w:highlight w:val="none"/>
        </w:rPr>
        <w:t>2.5质量准确度:样品(利血平)实测值与理论值之间的误差≤0.2u。</w:t>
      </w:r>
    </w:p>
    <w:p w14:paraId="50682BD1">
      <w:pPr>
        <w:adjustRightInd w:val="0"/>
        <w:snapToGrid w:val="0"/>
        <w:spacing w:line="360" w:lineRule="auto"/>
        <w:rPr>
          <w:rFonts w:hint="eastAsia"/>
          <w:color w:val="000000"/>
          <w:sz w:val="24"/>
          <w:highlight w:val="none"/>
        </w:rPr>
      </w:pPr>
      <w:r>
        <w:rPr>
          <w:rFonts w:hint="eastAsia"/>
          <w:color w:val="000000"/>
          <w:sz w:val="24"/>
          <w:highlight w:val="none"/>
        </w:rPr>
        <w:t>2.6定量重复性：分别进样4个硝基呋喃代谢物，进样量1pg，每种连续重复检测6次，RSD＜2%；</w:t>
      </w:r>
    </w:p>
    <w:p w14:paraId="215B2013">
      <w:pPr>
        <w:adjustRightInd w:val="0"/>
        <w:snapToGrid w:val="0"/>
        <w:spacing w:line="360" w:lineRule="auto"/>
        <w:rPr>
          <w:rFonts w:hint="eastAsia"/>
          <w:color w:val="000000"/>
          <w:sz w:val="24"/>
          <w:highlight w:val="none"/>
        </w:rPr>
      </w:pPr>
      <w:r>
        <w:rPr>
          <w:rFonts w:hint="eastAsia"/>
          <w:color w:val="000000"/>
          <w:sz w:val="24"/>
          <w:highlight w:val="none"/>
        </w:rPr>
        <w:t>*2.7质谱扫描速度:最小步径为0.1u，大于30000 u/sec。正负离子切换速度：不超过5ms(不损失灵敏度的情况下)，实现正、负离子同时采集。</w:t>
      </w:r>
    </w:p>
    <w:p w14:paraId="23EABAD1">
      <w:pPr>
        <w:adjustRightInd w:val="0"/>
        <w:snapToGrid w:val="0"/>
        <w:spacing w:line="360" w:lineRule="auto"/>
        <w:rPr>
          <w:rFonts w:hint="eastAsia"/>
          <w:color w:val="000000"/>
          <w:sz w:val="24"/>
          <w:highlight w:val="none"/>
        </w:rPr>
      </w:pPr>
      <w:r>
        <w:rPr>
          <w:rFonts w:hint="eastAsia"/>
          <w:color w:val="000000"/>
          <w:sz w:val="24"/>
          <w:highlight w:val="none"/>
        </w:rPr>
        <w:t>*2.8交叉污染cross talk（串扰）：&lt;0.0005%。质谱最小延迟时间：≤1msec。质谱MRM最小驻留时间（Dwell Time）：&lt;1msec。质量稳定性:＜0.05u/24hr。</w:t>
      </w:r>
    </w:p>
    <w:p w14:paraId="17D986AF">
      <w:pPr>
        <w:adjustRightInd w:val="0"/>
        <w:snapToGrid w:val="0"/>
        <w:spacing w:line="360" w:lineRule="auto"/>
        <w:rPr>
          <w:rFonts w:hint="eastAsia"/>
          <w:color w:val="000000"/>
          <w:sz w:val="24"/>
          <w:highlight w:val="none"/>
        </w:rPr>
      </w:pPr>
      <w:r>
        <w:rPr>
          <w:rFonts w:hint="eastAsia"/>
          <w:color w:val="000000"/>
          <w:sz w:val="24"/>
          <w:highlight w:val="none"/>
        </w:rPr>
        <w:t>2.9 MS到MS/MS切换时间：&lt;1msec</w:t>
      </w:r>
    </w:p>
    <w:p w14:paraId="082EFF73">
      <w:pPr>
        <w:adjustRightInd w:val="0"/>
        <w:snapToGrid w:val="0"/>
        <w:spacing w:line="360" w:lineRule="auto"/>
        <w:rPr>
          <w:rFonts w:hint="eastAsia"/>
          <w:color w:val="000000"/>
          <w:sz w:val="24"/>
          <w:highlight w:val="none"/>
        </w:rPr>
      </w:pPr>
      <w:r>
        <w:rPr>
          <w:rFonts w:hint="eastAsia"/>
          <w:color w:val="000000"/>
          <w:sz w:val="24"/>
          <w:highlight w:val="none"/>
        </w:rPr>
        <w:t>2.10 MRM通道数量：一次进样，不分时间段，可以至少同时检测30000个MRM离子对，并保证灵敏度和重现性不受损失。</w:t>
      </w:r>
    </w:p>
    <w:p w14:paraId="0A9AC7C9">
      <w:pPr>
        <w:adjustRightInd w:val="0"/>
        <w:snapToGrid w:val="0"/>
        <w:spacing w:line="360" w:lineRule="auto"/>
        <w:rPr>
          <w:rFonts w:hint="eastAsia"/>
          <w:color w:val="000000"/>
          <w:sz w:val="24"/>
          <w:highlight w:val="none"/>
        </w:rPr>
      </w:pPr>
      <w:r>
        <w:rPr>
          <w:rFonts w:hint="eastAsia"/>
          <w:color w:val="000000"/>
          <w:sz w:val="24"/>
          <w:highlight w:val="none"/>
        </w:rPr>
        <w:t xml:space="preserve">#2.11 MRM通道速度：&gt;500MRM/s（提供相应的证明文件） </w:t>
      </w:r>
    </w:p>
    <w:p w14:paraId="2B5EAD86">
      <w:pPr>
        <w:adjustRightInd w:val="0"/>
        <w:snapToGrid w:val="0"/>
        <w:spacing w:line="360" w:lineRule="auto"/>
        <w:rPr>
          <w:rFonts w:hint="eastAsia"/>
          <w:color w:val="000000"/>
          <w:sz w:val="24"/>
          <w:highlight w:val="none"/>
        </w:rPr>
      </w:pPr>
      <w:r>
        <w:rPr>
          <w:rFonts w:hint="eastAsia"/>
          <w:color w:val="000000"/>
          <w:sz w:val="24"/>
          <w:highlight w:val="none"/>
        </w:rPr>
        <w:t>2.12 MRM同步扫描：同步调查扫描在MRM或其它事件的同时，可触发产物离子扫描，同时实现定性定量；能自动按照离子对数目自动优化loop事件。</w:t>
      </w:r>
    </w:p>
    <w:p w14:paraId="6CAA9375">
      <w:pPr>
        <w:adjustRightInd w:val="0"/>
        <w:snapToGrid w:val="0"/>
        <w:spacing w:line="360" w:lineRule="auto"/>
        <w:rPr>
          <w:rFonts w:hint="eastAsia"/>
          <w:color w:val="000000"/>
          <w:sz w:val="24"/>
          <w:highlight w:val="none"/>
        </w:rPr>
      </w:pPr>
      <w:r>
        <w:rPr>
          <w:rFonts w:hint="eastAsia"/>
          <w:color w:val="000000"/>
          <w:sz w:val="24"/>
          <w:highlight w:val="none"/>
        </w:rPr>
        <w:t>2.13离子源：</w:t>
      </w:r>
    </w:p>
    <w:p w14:paraId="555352E3">
      <w:pPr>
        <w:adjustRightInd w:val="0"/>
        <w:snapToGrid w:val="0"/>
        <w:spacing w:line="360" w:lineRule="auto"/>
        <w:rPr>
          <w:rFonts w:hint="eastAsia"/>
          <w:color w:val="000000"/>
          <w:sz w:val="24"/>
          <w:highlight w:val="none"/>
        </w:rPr>
      </w:pPr>
      <w:r>
        <w:rPr>
          <w:rFonts w:hint="eastAsia"/>
          <w:color w:val="000000"/>
          <w:sz w:val="24"/>
          <w:highlight w:val="none"/>
        </w:rPr>
        <w:t>#2.13.1离子源接口: 离子源为独立电喷雾离子源，非复合源配置，具有真空锁定装置，离子源的清洁、维护、切换方便、快速，无需卸除质谱真空系统。可选配同一品牌的原位分析电离源，进一步扩展质谱应用。一针进样同时分析多组分化合物时，可以针对不同化合物设置不同的ESI离子源接口电压，以保证同时高灵敏度检测各个化合物。</w:t>
      </w:r>
    </w:p>
    <w:p w14:paraId="1A8A58F4">
      <w:pPr>
        <w:adjustRightInd w:val="0"/>
        <w:snapToGrid w:val="0"/>
        <w:spacing w:line="360" w:lineRule="auto"/>
        <w:rPr>
          <w:rFonts w:hint="eastAsia"/>
          <w:color w:val="000000"/>
          <w:sz w:val="24"/>
          <w:highlight w:val="none"/>
        </w:rPr>
      </w:pPr>
      <w:r>
        <w:rPr>
          <w:rFonts w:hint="eastAsia"/>
          <w:color w:val="000000"/>
          <w:sz w:val="24"/>
          <w:highlight w:val="none"/>
        </w:rPr>
        <w:t>2.13.2离子源流速范围：正/负ESI接口和正/负APCI接口：1μL/min～2000μL/min；</w:t>
      </w:r>
    </w:p>
    <w:p w14:paraId="1F8A3FB7">
      <w:pPr>
        <w:adjustRightInd w:val="0"/>
        <w:snapToGrid w:val="0"/>
        <w:spacing w:line="360" w:lineRule="auto"/>
        <w:rPr>
          <w:rFonts w:hint="eastAsia"/>
          <w:color w:val="000000"/>
          <w:sz w:val="24"/>
          <w:highlight w:val="none"/>
        </w:rPr>
      </w:pPr>
      <w:r>
        <w:rPr>
          <w:rFonts w:hint="eastAsia"/>
          <w:color w:val="000000"/>
          <w:sz w:val="24"/>
          <w:highlight w:val="none"/>
        </w:rPr>
        <w:t>2.13.3 ESI离子源加热气设计：独立的离子源加热辅助气设计，脱溶剂温度可达650°C，并可针对不同化合物设定不同的分析温度，保证获得最优的离子化效果。</w:t>
      </w:r>
    </w:p>
    <w:p w14:paraId="65AE64AF">
      <w:pPr>
        <w:adjustRightInd w:val="0"/>
        <w:snapToGrid w:val="0"/>
        <w:spacing w:line="360" w:lineRule="auto"/>
        <w:rPr>
          <w:rFonts w:hint="eastAsia"/>
          <w:color w:val="000000"/>
          <w:sz w:val="24"/>
          <w:highlight w:val="none"/>
        </w:rPr>
      </w:pPr>
      <w:r>
        <w:rPr>
          <w:rFonts w:hint="eastAsia"/>
          <w:color w:val="000000"/>
          <w:sz w:val="24"/>
          <w:highlight w:val="none"/>
        </w:rPr>
        <w:t>#2.14质量分析器：串联四极杆型质量分析器，双曲面全金属钼四极杆，不需要控温即可保证质量准确度的稳定性。</w:t>
      </w:r>
    </w:p>
    <w:p w14:paraId="78D49FD7">
      <w:pPr>
        <w:adjustRightInd w:val="0"/>
        <w:snapToGrid w:val="0"/>
        <w:spacing w:line="360" w:lineRule="auto"/>
        <w:rPr>
          <w:rFonts w:hint="eastAsia"/>
          <w:color w:val="000000"/>
          <w:sz w:val="24"/>
          <w:highlight w:val="none"/>
        </w:rPr>
      </w:pPr>
      <w:r>
        <w:rPr>
          <w:rFonts w:hint="eastAsia"/>
          <w:color w:val="000000"/>
          <w:sz w:val="24"/>
          <w:highlight w:val="none"/>
        </w:rPr>
        <w:t>2.14.1 Q1四极杆设计：Q1带有预四极杆和后四极杆用作离子聚焦和抗污染功能，有效降低中性分子引起的背景噪声。具备Q1扫描或Q1选择离子监测SIM功能，可任意设置。</w:t>
      </w:r>
    </w:p>
    <w:p w14:paraId="1CE00441">
      <w:pPr>
        <w:adjustRightInd w:val="0"/>
        <w:snapToGrid w:val="0"/>
        <w:spacing w:line="360" w:lineRule="auto"/>
        <w:rPr>
          <w:rFonts w:hint="eastAsia"/>
          <w:color w:val="000000"/>
          <w:sz w:val="24"/>
          <w:highlight w:val="none"/>
        </w:rPr>
      </w:pPr>
      <w:r>
        <w:rPr>
          <w:rFonts w:hint="eastAsia"/>
          <w:color w:val="000000"/>
          <w:sz w:val="24"/>
          <w:highlight w:val="none"/>
        </w:rPr>
        <w:t xml:space="preserve">#2.14.2 Q2碰撞室设计：碰撞室采用多极杆超快速碰撞室，实现快速MRM性能，同时采取曲线型加速电势场加碰撞气压控制，同时进行线性高压加速，可有效消除记忆效应和交叉污染。Q2碰撞室高压加速技术：在超高速扫描30000u/s的情况下高质量端的信号强度稳中有升，避免了因扫描速度加快造成的质量检测范围狭窄。Q3四极杆设计：Q3前端带有预四极杆用作离子聚焦和抗污染功能有效降低中性分子引起的背景噪声。 </w:t>
      </w:r>
    </w:p>
    <w:p w14:paraId="6156C683">
      <w:pPr>
        <w:adjustRightInd w:val="0"/>
        <w:snapToGrid w:val="0"/>
        <w:spacing w:line="360" w:lineRule="auto"/>
        <w:rPr>
          <w:rFonts w:hint="eastAsia"/>
          <w:color w:val="000000"/>
          <w:sz w:val="24"/>
          <w:highlight w:val="none"/>
        </w:rPr>
      </w:pPr>
      <w:r>
        <w:rPr>
          <w:rFonts w:hint="eastAsia"/>
          <w:color w:val="000000"/>
          <w:sz w:val="24"/>
          <w:highlight w:val="none"/>
        </w:rPr>
        <w:t>2.15 检测器</w:t>
      </w:r>
    </w:p>
    <w:p w14:paraId="2DB5C621">
      <w:pPr>
        <w:adjustRightInd w:val="0"/>
        <w:snapToGrid w:val="0"/>
        <w:spacing w:line="360" w:lineRule="auto"/>
        <w:rPr>
          <w:rFonts w:hint="eastAsia"/>
          <w:color w:val="000000"/>
          <w:sz w:val="24"/>
          <w:highlight w:val="none"/>
        </w:rPr>
      </w:pPr>
      <w:r>
        <w:rPr>
          <w:rFonts w:hint="eastAsia"/>
          <w:color w:val="000000"/>
          <w:sz w:val="24"/>
          <w:highlight w:val="none"/>
        </w:rPr>
        <w:t>2.15.1高灵敏度检测器：离轴连续打拿电子倍增器，动态范围：8×10</w:t>
      </w:r>
      <w:r>
        <w:rPr>
          <w:rFonts w:hint="eastAsia"/>
          <w:color w:val="000000"/>
          <w:sz w:val="24"/>
          <w:highlight w:val="none"/>
          <w:vertAlign w:val="superscript"/>
        </w:rPr>
        <w:t>6</w:t>
      </w:r>
      <w:r>
        <w:rPr>
          <w:rFonts w:hint="eastAsia"/>
          <w:color w:val="000000"/>
          <w:sz w:val="24"/>
          <w:highlight w:val="none"/>
        </w:rPr>
        <w:t>，检测器前端采用具备离子聚焦及中性噪音过滤功能的电子透镜设计，可大幅度降低背景噪音、提高离子响应值。</w:t>
      </w:r>
    </w:p>
    <w:p w14:paraId="71C76251">
      <w:pPr>
        <w:adjustRightInd w:val="0"/>
        <w:snapToGrid w:val="0"/>
        <w:spacing w:line="360" w:lineRule="auto"/>
        <w:rPr>
          <w:rFonts w:hint="eastAsia"/>
          <w:color w:val="000000"/>
          <w:sz w:val="24"/>
          <w:highlight w:val="none"/>
        </w:rPr>
      </w:pPr>
      <w:r>
        <w:rPr>
          <w:rFonts w:hint="eastAsia"/>
          <w:color w:val="000000"/>
          <w:sz w:val="24"/>
          <w:highlight w:val="none"/>
        </w:rPr>
        <w:t>2.15.2检测器：电子倍增器。</w:t>
      </w:r>
    </w:p>
    <w:p w14:paraId="55B0154F">
      <w:pPr>
        <w:adjustRightInd w:val="0"/>
        <w:snapToGrid w:val="0"/>
        <w:spacing w:line="360" w:lineRule="auto"/>
        <w:rPr>
          <w:rFonts w:hint="eastAsia"/>
          <w:color w:val="000000"/>
          <w:sz w:val="24"/>
          <w:highlight w:val="none"/>
        </w:rPr>
      </w:pPr>
      <w:r>
        <w:rPr>
          <w:rFonts w:hint="eastAsia"/>
          <w:color w:val="000000"/>
          <w:sz w:val="24"/>
          <w:highlight w:val="none"/>
        </w:rPr>
        <w:t>2.16质谱调谐和校正系统：可实现全自动质谱调谐和校正。</w:t>
      </w:r>
    </w:p>
    <w:p w14:paraId="24323F0B">
      <w:pPr>
        <w:adjustRightInd w:val="0"/>
        <w:snapToGrid w:val="0"/>
        <w:spacing w:line="360" w:lineRule="auto"/>
        <w:rPr>
          <w:rFonts w:hint="eastAsia"/>
          <w:color w:val="000000"/>
          <w:sz w:val="24"/>
          <w:highlight w:val="none"/>
        </w:rPr>
      </w:pPr>
      <w:r>
        <w:rPr>
          <w:rFonts w:hint="eastAsia"/>
          <w:color w:val="000000"/>
          <w:sz w:val="24"/>
          <w:highlight w:val="none"/>
        </w:rPr>
        <w:t>2.17操作软件：全中文界面质谱控制软件，支持Microsoft Windows 10以上中文操作环境，软件提供液相和质谱联用的全自动控制；用户界面可以实现高效能的仪器调谐和方法优化，包括碰撞气压力和碰撞能量的自动优化，并可利用优化参数方便地建立分析方法；可进行数据采集、数据处理、定量分析和定性分析；有建立数据库功能，谱库检索功能，自动校正和全自动分析功能，全自动定量软件。</w:t>
      </w:r>
    </w:p>
    <w:p w14:paraId="1140523B">
      <w:pPr>
        <w:adjustRightInd w:val="0"/>
        <w:snapToGrid w:val="0"/>
        <w:spacing w:line="360" w:lineRule="auto"/>
        <w:rPr>
          <w:rFonts w:hint="eastAsia"/>
          <w:color w:val="000000"/>
          <w:sz w:val="24"/>
          <w:highlight w:val="none"/>
        </w:rPr>
      </w:pPr>
      <w:r>
        <w:rPr>
          <w:rFonts w:hint="eastAsia"/>
          <w:color w:val="000000"/>
          <w:sz w:val="24"/>
          <w:highlight w:val="none"/>
        </w:rPr>
        <w:t>2.18质谱软件还可以自动MRM参数生成优化功能，不需要手动逐条输入MRM参数。可以不需要注射泵，直接液相联机柱上进样即可MRM自动优化。一键式触发全自动定量数据处理和报告功能。也可以采用手动模式修改MRM参数及其它定量批处理方法。</w:t>
      </w:r>
    </w:p>
    <w:p w14:paraId="5CFE74CE">
      <w:pPr>
        <w:adjustRightInd w:val="0"/>
        <w:snapToGrid w:val="0"/>
        <w:spacing w:line="360" w:lineRule="auto"/>
        <w:rPr>
          <w:rFonts w:hint="eastAsia"/>
          <w:color w:val="000000"/>
          <w:sz w:val="24"/>
          <w:highlight w:val="none"/>
        </w:rPr>
      </w:pPr>
      <w:r>
        <w:rPr>
          <w:rFonts w:hint="eastAsia"/>
          <w:color w:val="000000"/>
          <w:sz w:val="24"/>
          <w:highlight w:val="none"/>
        </w:rPr>
        <w:t>2.19提供中国农业部登记在册的500种以上农药质谱数据库及500种以上兽药质谱数据库，包括MRM参数，Q1电压设置、Q2碰撞能量及电压设置、Q3电压设置，参考定量离子对和定性离子对数据库。包含相关化合物的标准品参考标准曲线。</w:t>
      </w:r>
    </w:p>
    <w:p w14:paraId="1ACE28B1">
      <w:pPr>
        <w:adjustRightInd w:val="0"/>
        <w:snapToGrid w:val="0"/>
        <w:spacing w:line="360" w:lineRule="auto"/>
        <w:rPr>
          <w:rFonts w:hint="eastAsia"/>
          <w:color w:val="000000"/>
          <w:sz w:val="24"/>
          <w:highlight w:val="none"/>
        </w:rPr>
      </w:pPr>
      <w:r>
        <w:rPr>
          <w:rFonts w:hint="eastAsia"/>
          <w:color w:val="000000"/>
          <w:sz w:val="24"/>
          <w:highlight w:val="none"/>
        </w:rPr>
        <w:t>2.20质谱软件报告可中文显示，可自由添加、修改、提取化合物的信息，分析和处理方法。</w:t>
      </w:r>
    </w:p>
    <w:p w14:paraId="73789841">
      <w:pPr>
        <w:adjustRightInd w:val="0"/>
        <w:snapToGrid w:val="0"/>
        <w:spacing w:line="360" w:lineRule="auto"/>
        <w:rPr>
          <w:rFonts w:hint="eastAsia"/>
          <w:color w:val="000000"/>
          <w:sz w:val="24"/>
          <w:highlight w:val="none"/>
        </w:rPr>
      </w:pPr>
      <w:r>
        <w:rPr>
          <w:rFonts w:hint="eastAsia"/>
          <w:color w:val="000000"/>
          <w:sz w:val="24"/>
          <w:highlight w:val="none"/>
        </w:rPr>
        <w:t>#2.21 质谱软件或数据后处理软件具备智能积分算法技术。峰积分处理时，只需选择要使用的算法和模型，无需设置或调整积分参数。提高数据处理速度，减少人为错误(提供官方彩页或软件截图证明)。</w:t>
      </w:r>
    </w:p>
    <w:p w14:paraId="05D10FE8">
      <w:pPr>
        <w:adjustRightInd w:val="0"/>
        <w:snapToGrid w:val="0"/>
        <w:spacing w:line="360" w:lineRule="auto"/>
        <w:rPr>
          <w:rFonts w:hint="eastAsia"/>
          <w:color w:val="000000"/>
          <w:sz w:val="24"/>
          <w:highlight w:val="none"/>
        </w:rPr>
      </w:pPr>
      <w:r>
        <w:rPr>
          <w:rFonts w:hint="eastAsia"/>
          <w:color w:val="000000"/>
          <w:sz w:val="24"/>
          <w:highlight w:val="none"/>
        </w:rPr>
        <w:t>2.22扫描功能：具有全扫描(Full Scan)、选择离子扫描(SIM)、子离子扫描（Product Ion Scan）、母离子扫描：（Precursor Ion Scan）、中性丢失扫描（Neutral Loss Scan）、多反应监测扫描（MRM）、混合扫描（Mixed Scan Mode）、同步调查扫描（Synchronized Survey Scan）、正/负离子快速切换扫描。</w:t>
      </w:r>
    </w:p>
    <w:p w14:paraId="5EA0D987">
      <w:pPr>
        <w:adjustRightInd w:val="0"/>
        <w:snapToGrid w:val="0"/>
        <w:spacing w:line="360" w:lineRule="auto"/>
        <w:rPr>
          <w:rFonts w:hint="eastAsia"/>
          <w:color w:val="000000"/>
          <w:sz w:val="24"/>
          <w:highlight w:val="none"/>
        </w:rPr>
      </w:pPr>
      <w:r>
        <w:rPr>
          <w:rFonts w:hint="eastAsia"/>
          <w:color w:val="000000"/>
          <w:sz w:val="24"/>
          <w:highlight w:val="none"/>
        </w:rPr>
        <w:t>2.23自动调谐：在正离子和负离子模式均可以进行灵敏度和分辨率的自动优化，进行质量校正。</w:t>
      </w:r>
    </w:p>
    <w:p w14:paraId="59ED2CC2">
      <w:pPr>
        <w:adjustRightInd w:val="0"/>
        <w:snapToGrid w:val="0"/>
        <w:spacing w:line="360" w:lineRule="auto"/>
        <w:rPr>
          <w:rFonts w:hint="eastAsia"/>
          <w:color w:val="000000"/>
          <w:sz w:val="24"/>
          <w:highlight w:val="none"/>
        </w:rPr>
      </w:pPr>
      <w:r>
        <w:rPr>
          <w:rFonts w:hint="eastAsia"/>
          <w:color w:val="000000"/>
          <w:sz w:val="24"/>
          <w:highlight w:val="none"/>
        </w:rPr>
        <w:t>2.24台式计算机，配置为正版Windows操作系统，CPU: i9；内存：64G；硬盘：1T固态硬盘+5T机械硬盘；显卡：5070独立显卡；显示器：32寸以上宽屏液晶；A4彩色激光打印机。</w:t>
      </w:r>
    </w:p>
    <w:p w14:paraId="085F9772">
      <w:pPr>
        <w:adjustRightInd w:val="0"/>
        <w:snapToGrid w:val="0"/>
        <w:spacing w:line="360" w:lineRule="auto"/>
        <w:rPr>
          <w:color w:val="000000"/>
          <w:sz w:val="24"/>
          <w:highlight w:val="none"/>
        </w:rPr>
      </w:pPr>
      <w:r>
        <w:rPr>
          <w:rFonts w:hint="eastAsia"/>
          <w:color w:val="000000"/>
          <w:sz w:val="24"/>
          <w:highlight w:val="none"/>
        </w:rPr>
        <w:t>三、配置要求</w:t>
      </w:r>
    </w:p>
    <w:p w14:paraId="2DEBC125">
      <w:pPr>
        <w:adjustRightInd w:val="0"/>
        <w:snapToGrid w:val="0"/>
        <w:spacing w:line="360" w:lineRule="auto"/>
        <w:rPr>
          <w:color w:val="000000"/>
          <w:sz w:val="24"/>
          <w:highlight w:val="none"/>
        </w:rPr>
      </w:pPr>
      <w:r>
        <w:rPr>
          <w:rFonts w:hint="eastAsia"/>
          <w:color w:val="000000"/>
          <w:sz w:val="24"/>
          <w:highlight w:val="none"/>
        </w:rPr>
        <w:t>1. 主机配置要求</w:t>
      </w:r>
    </w:p>
    <w:p w14:paraId="1C24B96B">
      <w:pPr>
        <w:spacing w:line="360" w:lineRule="auto"/>
        <w:rPr>
          <w:sz w:val="24"/>
          <w:highlight w:val="none"/>
        </w:rPr>
      </w:pPr>
      <w:r>
        <w:rPr>
          <w:rFonts w:hint="eastAsia"/>
          <w:sz w:val="24"/>
          <w:highlight w:val="none"/>
        </w:rPr>
        <w:t>1.1 18000psi高压泵*2套</w:t>
      </w:r>
    </w:p>
    <w:p w14:paraId="3587509F">
      <w:pPr>
        <w:spacing w:line="360" w:lineRule="auto"/>
        <w:rPr>
          <w:rFonts w:hint="eastAsia"/>
          <w:sz w:val="24"/>
          <w:highlight w:val="none"/>
        </w:rPr>
      </w:pPr>
      <w:r>
        <w:rPr>
          <w:rFonts w:hint="eastAsia"/>
          <w:sz w:val="24"/>
          <w:highlight w:val="none"/>
        </w:rPr>
        <w:t>1.2五路在线脱气机1套</w:t>
      </w:r>
    </w:p>
    <w:p w14:paraId="0B40848C">
      <w:pPr>
        <w:spacing w:line="360" w:lineRule="auto"/>
        <w:rPr>
          <w:rFonts w:hint="eastAsia"/>
          <w:sz w:val="24"/>
          <w:highlight w:val="none"/>
        </w:rPr>
      </w:pPr>
      <w:r>
        <w:rPr>
          <w:rFonts w:hint="eastAsia"/>
          <w:sz w:val="24"/>
          <w:highlight w:val="none"/>
        </w:rPr>
        <w:t>1.3自动进样器降温型*1套</w:t>
      </w:r>
    </w:p>
    <w:p w14:paraId="03C3DFA7">
      <w:pPr>
        <w:spacing w:line="360" w:lineRule="auto"/>
        <w:rPr>
          <w:rFonts w:hint="eastAsia"/>
          <w:sz w:val="24"/>
          <w:highlight w:val="none"/>
        </w:rPr>
      </w:pPr>
      <w:r>
        <w:rPr>
          <w:rFonts w:hint="eastAsia"/>
          <w:sz w:val="24"/>
          <w:highlight w:val="none"/>
        </w:rPr>
        <w:t>1.4柱温箱*1套</w:t>
      </w:r>
    </w:p>
    <w:p w14:paraId="05A0C0C6">
      <w:pPr>
        <w:spacing w:line="360" w:lineRule="auto"/>
        <w:rPr>
          <w:rFonts w:hint="eastAsia"/>
          <w:color w:val="FF0000"/>
          <w:sz w:val="24"/>
          <w:highlight w:val="none"/>
        </w:rPr>
      </w:pPr>
      <w:r>
        <w:rPr>
          <w:rFonts w:hint="eastAsia"/>
          <w:sz w:val="24"/>
          <w:highlight w:val="none"/>
        </w:rPr>
        <w:t>1.5色谱柱C18柱，(2.0 mm I.D. ×50 mm, 小于2.2 um)一根</w:t>
      </w:r>
    </w:p>
    <w:p w14:paraId="11CECE9D">
      <w:pPr>
        <w:spacing w:line="360" w:lineRule="auto"/>
        <w:rPr>
          <w:rFonts w:hint="eastAsia"/>
          <w:sz w:val="24"/>
          <w:highlight w:val="none"/>
        </w:rPr>
      </w:pPr>
      <w:r>
        <w:rPr>
          <w:rFonts w:hint="eastAsia"/>
          <w:sz w:val="24"/>
          <w:highlight w:val="none"/>
        </w:rPr>
        <w:t>1.6 低延迟体积超高效混合器一套</w:t>
      </w:r>
    </w:p>
    <w:p w14:paraId="559B4AAE">
      <w:pPr>
        <w:spacing w:line="360" w:lineRule="auto"/>
        <w:rPr>
          <w:rFonts w:hint="eastAsia"/>
          <w:sz w:val="24"/>
          <w:highlight w:val="none"/>
        </w:rPr>
      </w:pPr>
      <w:r>
        <w:rPr>
          <w:rFonts w:hint="eastAsia"/>
          <w:sz w:val="24"/>
          <w:highlight w:val="none"/>
        </w:rPr>
        <w:t>1.7 超高压色谱方法与常规色谱方法转换软件一套（可嵌入）</w:t>
      </w:r>
    </w:p>
    <w:p w14:paraId="5478480D">
      <w:pPr>
        <w:spacing w:line="360" w:lineRule="auto"/>
        <w:rPr>
          <w:rFonts w:hint="eastAsia"/>
          <w:sz w:val="24"/>
          <w:highlight w:val="none"/>
        </w:rPr>
      </w:pPr>
      <w:r>
        <w:rPr>
          <w:rFonts w:hint="eastAsia"/>
          <w:sz w:val="24"/>
          <w:highlight w:val="none"/>
        </w:rPr>
        <w:t>1.8串接四极杆液质主机一台；</w:t>
      </w:r>
    </w:p>
    <w:p w14:paraId="7240ADE4">
      <w:pPr>
        <w:spacing w:line="360" w:lineRule="auto"/>
        <w:rPr>
          <w:rFonts w:hint="eastAsia"/>
          <w:sz w:val="24"/>
          <w:highlight w:val="none"/>
        </w:rPr>
      </w:pPr>
      <w:r>
        <w:rPr>
          <w:rFonts w:hint="eastAsia"/>
          <w:sz w:val="24"/>
          <w:highlight w:val="none"/>
        </w:rPr>
        <w:t>1.9液质接口离子源ESI源和APCI源一套；</w:t>
      </w:r>
    </w:p>
    <w:p w14:paraId="6CBFB8B6">
      <w:pPr>
        <w:spacing w:line="360" w:lineRule="auto"/>
        <w:rPr>
          <w:rFonts w:hint="eastAsia"/>
          <w:sz w:val="24"/>
          <w:highlight w:val="none"/>
        </w:rPr>
      </w:pPr>
      <w:r>
        <w:rPr>
          <w:rFonts w:hint="eastAsia"/>
          <w:sz w:val="24"/>
          <w:highlight w:val="none"/>
        </w:rPr>
        <w:t>1.</w:t>
      </w:r>
      <w:r>
        <w:rPr>
          <w:sz w:val="24"/>
          <w:highlight w:val="none"/>
        </w:rPr>
        <w:t>1</w:t>
      </w:r>
      <w:r>
        <w:rPr>
          <w:rFonts w:hint="eastAsia"/>
          <w:sz w:val="24"/>
          <w:highlight w:val="none"/>
        </w:rPr>
        <w:t>0计算机和打印机各一台；</w:t>
      </w:r>
    </w:p>
    <w:p w14:paraId="66A6CEFF">
      <w:pPr>
        <w:spacing w:line="360" w:lineRule="auto"/>
        <w:rPr>
          <w:rFonts w:hint="eastAsia"/>
          <w:sz w:val="24"/>
          <w:highlight w:val="none"/>
        </w:rPr>
      </w:pPr>
      <w:r>
        <w:rPr>
          <w:rFonts w:hint="eastAsia"/>
          <w:sz w:val="24"/>
          <w:highlight w:val="none"/>
        </w:rPr>
        <w:t>1.</w:t>
      </w:r>
      <w:r>
        <w:rPr>
          <w:sz w:val="24"/>
          <w:highlight w:val="none"/>
        </w:rPr>
        <w:t>1</w:t>
      </w:r>
      <w:r>
        <w:rPr>
          <w:rFonts w:hint="eastAsia"/>
          <w:sz w:val="24"/>
          <w:highlight w:val="none"/>
        </w:rPr>
        <w:t>1质谱控制软件一套；</w:t>
      </w:r>
    </w:p>
    <w:p w14:paraId="5D834376">
      <w:pPr>
        <w:spacing w:line="360" w:lineRule="auto"/>
        <w:rPr>
          <w:rFonts w:hint="eastAsia"/>
          <w:sz w:val="24"/>
          <w:highlight w:val="none"/>
        </w:rPr>
      </w:pPr>
      <w:r>
        <w:rPr>
          <w:rFonts w:hint="eastAsia"/>
          <w:sz w:val="24"/>
          <w:highlight w:val="none"/>
        </w:rPr>
        <w:t>1.</w:t>
      </w:r>
      <w:r>
        <w:rPr>
          <w:sz w:val="24"/>
          <w:highlight w:val="none"/>
        </w:rPr>
        <w:t>1</w:t>
      </w:r>
      <w:r>
        <w:rPr>
          <w:rFonts w:hint="eastAsia"/>
          <w:sz w:val="24"/>
          <w:highlight w:val="none"/>
        </w:rPr>
        <w:t>2包含两年消耗品包</w:t>
      </w:r>
    </w:p>
    <w:p w14:paraId="62B02134">
      <w:pPr>
        <w:spacing w:line="360" w:lineRule="auto"/>
        <w:rPr>
          <w:rFonts w:hint="eastAsia"/>
          <w:sz w:val="24"/>
          <w:highlight w:val="none"/>
        </w:rPr>
      </w:pPr>
      <w:r>
        <w:rPr>
          <w:rFonts w:hint="eastAsia"/>
          <w:sz w:val="24"/>
          <w:highlight w:val="none"/>
        </w:rPr>
        <w:t>1.</w:t>
      </w:r>
      <w:r>
        <w:rPr>
          <w:sz w:val="24"/>
          <w:highlight w:val="none"/>
        </w:rPr>
        <w:t>1</w:t>
      </w:r>
      <w:r>
        <w:rPr>
          <w:rFonts w:hint="eastAsia"/>
          <w:sz w:val="24"/>
          <w:highlight w:val="none"/>
        </w:rPr>
        <w:t>3液质配套用氮气发生器1台</w:t>
      </w:r>
    </w:p>
    <w:p w14:paraId="4AD5753D">
      <w:pPr>
        <w:spacing w:line="360" w:lineRule="auto"/>
        <w:rPr>
          <w:rFonts w:hint="eastAsia"/>
          <w:sz w:val="24"/>
          <w:highlight w:val="none"/>
        </w:rPr>
      </w:pPr>
      <w:r>
        <w:rPr>
          <w:rFonts w:hint="eastAsia"/>
          <w:sz w:val="24"/>
          <w:highlight w:val="none"/>
        </w:rPr>
        <w:t>1.</w:t>
      </w:r>
      <w:r>
        <w:rPr>
          <w:sz w:val="24"/>
          <w:highlight w:val="none"/>
        </w:rPr>
        <w:t>1</w:t>
      </w:r>
      <w:r>
        <w:rPr>
          <w:rFonts w:hint="eastAsia"/>
          <w:sz w:val="24"/>
          <w:highlight w:val="none"/>
        </w:rPr>
        <w:t>4原厂质谱中文工作站软件一套</w:t>
      </w:r>
    </w:p>
    <w:p w14:paraId="0E435BEF">
      <w:pPr>
        <w:spacing w:line="360" w:lineRule="auto"/>
        <w:rPr>
          <w:sz w:val="24"/>
          <w:highlight w:val="none"/>
        </w:rPr>
      </w:pPr>
      <w:r>
        <w:rPr>
          <w:rFonts w:hint="eastAsia"/>
          <w:sz w:val="24"/>
          <w:highlight w:val="none"/>
        </w:rPr>
        <w:t>1.</w:t>
      </w:r>
      <w:r>
        <w:rPr>
          <w:sz w:val="24"/>
          <w:highlight w:val="none"/>
        </w:rPr>
        <w:t>1</w:t>
      </w:r>
      <w:r>
        <w:rPr>
          <w:rFonts w:hint="eastAsia"/>
          <w:sz w:val="24"/>
          <w:highlight w:val="none"/>
        </w:rPr>
        <w:t>5中文串联质谱农残兽残数据库(包含中国农业部注册登记的</w:t>
      </w:r>
      <w:r>
        <w:rPr>
          <w:sz w:val="24"/>
          <w:highlight w:val="none"/>
        </w:rPr>
        <w:t>500</w:t>
      </w:r>
      <w:r>
        <w:rPr>
          <w:rFonts w:hint="eastAsia"/>
          <w:sz w:val="24"/>
          <w:highlight w:val="none"/>
        </w:rPr>
        <w:t>种农药以上)一套</w:t>
      </w:r>
    </w:p>
    <w:p w14:paraId="243B664B">
      <w:pPr>
        <w:spacing w:line="360" w:lineRule="auto"/>
        <w:rPr>
          <w:sz w:val="24"/>
          <w:highlight w:val="none"/>
        </w:rPr>
      </w:pPr>
      <w:r>
        <w:rPr>
          <w:rFonts w:hint="eastAsia"/>
          <w:sz w:val="24"/>
          <w:highlight w:val="none"/>
        </w:rPr>
        <w:t>1.16 2小时不间断电源（10Kva）1台</w:t>
      </w:r>
    </w:p>
    <w:p w14:paraId="74B422A3">
      <w:pPr>
        <w:spacing w:line="360" w:lineRule="auto"/>
        <w:rPr>
          <w:rFonts w:hint="eastAsia"/>
          <w:sz w:val="24"/>
          <w:highlight w:val="none"/>
        </w:rPr>
      </w:pPr>
      <w:r>
        <w:rPr>
          <w:rFonts w:hint="eastAsia"/>
          <w:sz w:val="24"/>
          <w:highlight w:val="none"/>
        </w:rPr>
        <w:t>1.17 氩气钢瓶和减压阀各1个</w:t>
      </w:r>
    </w:p>
    <w:p w14:paraId="754B8330">
      <w:pPr>
        <w:adjustRightInd w:val="0"/>
        <w:snapToGrid w:val="0"/>
        <w:spacing w:line="360" w:lineRule="auto"/>
        <w:rPr>
          <w:color w:val="000000"/>
          <w:sz w:val="24"/>
          <w:highlight w:val="none"/>
        </w:rPr>
      </w:pPr>
      <w:r>
        <w:rPr>
          <w:rFonts w:hint="eastAsia"/>
          <w:color w:val="000000"/>
          <w:sz w:val="24"/>
          <w:highlight w:val="none"/>
        </w:rPr>
        <w:t>三、售后及服务</w:t>
      </w:r>
    </w:p>
    <w:p w14:paraId="757813E3">
      <w:pPr>
        <w:adjustRightInd w:val="0"/>
        <w:snapToGrid w:val="0"/>
        <w:spacing w:line="360" w:lineRule="auto"/>
        <w:rPr>
          <w:color w:val="000000"/>
          <w:sz w:val="24"/>
          <w:highlight w:val="none"/>
        </w:rPr>
      </w:pPr>
      <w:r>
        <w:rPr>
          <w:rFonts w:hint="eastAsia"/>
          <w:color w:val="000000"/>
          <w:sz w:val="24"/>
          <w:highlight w:val="none"/>
        </w:rPr>
        <w:t xml:space="preserve">1. </w:t>
      </w:r>
      <w:r>
        <w:rPr>
          <w:color w:val="000000"/>
          <w:sz w:val="24"/>
          <w:highlight w:val="none"/>
        </w:rPr>
        <w:t>质保期</w:t>
      </w:r>
      <w:r>
        <w:rPr>
          <w:rFonts w:hint="eastAsia"/>
          <w:color w:val="000000"/>
          <w:sz w:val="24"/>
          <w:highlight w:val="none"/>
        </w:rPr>
        <w:t>2年，自</w:t>
      </w:r>
      <w:r>
        <w:rPr>
          <w:color w:val="000000"/>
          <w:sz w:val="24"/>
          <w:highlight w:val="none"/>
        </w:rPr>
        <w:t>验收合格签字之日起计算。</w:t>
      </w:r>
      <w:r>
        <w:rPr>
          <w:rFonts w:hint="eastAsia"/>
          <w:color w:val="000000"/>
          <w:sz w:val="24"/>
          <w:highlight w:val="none"/>
        </w:rPr>
        <w:t>质保期内公司负责工作站软件终身免费升级。</w:t>
      </w:r>
    </w:p>
    <w:p w14:paraId="6C82580D">
      <w:pPr>
        <w:adjustRightInd w:val="0"/>
        <w:snapToGrid w:val="0"/>
        <w:spacing w:line="360" w:lineRule="auto"/>
        <w:rPr>
          <w:color w:val="000000"/>
          <w:sz w:val="24"/>
          <w:highlight w:val="none"/>
        </w:rPr>
      </w:pPr>
      <w:r>
        <w:rPr>
          <w:rFonts w:hint="eastAsia"/>
          <w:color w:val="000000"/>
          <w:sz w:val="24"/>
          <w:highlight w:val="none"/>
        </w:rPr>
        <w:t>2. 到货后，仪器公司免费提供全面安装工具、并由仪器工程师免费安装。并</w:t>
      </w:r>
      <w:r>
        <w:rPr>
          <w:color w:val="000000"/>
          <w:sz w:val="24"/>
          <w:highlight w:val="none"/>
        </w:rPr>
        <w:t>免费上门为用户提供现场培训，确保用户掌握基本操作及日常维护与保养。</w:t>
      </w:r>
    </w:p>
    <w:p w14:paraId="4F48F01E">
      <w:pPr>
        <w:adjustRightInd w:val="0"/>
        <w:snapToGrid w:val="0"/>
        <w:spacing w:line="360" w:lineRule="auto"/>
        <w:rPr>
          <w:color w:val="000000"/>
          <w:sz w:val="24"/>
          <w:highlight w:val="none"/>
        </w:rPr>
      </w:pPr>
      <w:r>
        <w:rPr>
          <w:rFonts w:hint="eastAsia"/>
          <w:color w:val="000000"/>
          <w:sz w:val="24"/>
          <w:highlight w:val="none"/>
        </w:rPr>
        <w:t xml:space="preserve">3. </w:t>
      </w:r>
      <w:r>
        <w:rPr>
          <w:color w:val="000000"/>
          <w:sz w:val="24"/>
          <w:highlight w:val="none"/>
        </w:rPr>
        <w:t>维修人员接到报修通知后须在2小时内响应，</w:t>
      </w:r>
      <w:r>
        <w:rPr>
          <w:rFonts w:hint="eastAsia"/>
          <w:color w:val="000000"/>
          <w:sz w:val="24"/>
          <w:highlight w:val="none"/>
        </w:rPr>
        <w:t>8</w:t>
      </w:r>
      <w:r>
        <w:rPr>
          <w:color w:val="000000"/>
          <w:sz w:val="24"/>
          <w:highlight w:val="none"/>
        </w:rPr>
        <w:t>小时内提供有效故障解决方案并及时进行维修处理</w:t>
      </w:r>
      <w:r>
        <w:rPr>
          <w:rFonts w:hint="eastAsia"/>
          <w:color w:val="000000"/>
          <w:sz w:val="24"/>
          <w:highlight w:val="none"/>
        </w:rPr>
        <w:t>。必要时，</w:t>
      </w:r>
      <w:r>
        <w:rPr>
          <w:color w:val="000000"/>
          <w:sz w:val="24"/>
          <w:highlight w:val="none"/>
        </w:rPr>
        <w:t>在</w:t>
      </w:r>
      <w:r>
        <w:rPr>
          <w:rFonts w:hint="eastAsia"/>
          <w:color w:val="000000"/>
          <w:sz w:val="24"/>
          <w:highlight w:val="none"/>
        </w:rPr>
        <w:t>24</w:t>
      </w:r>
      <w:r>
        <w:rPr>
          <w:color w:val="000000"/>
          <w:sz w:val="24"/>
          <w:highlight w:val="none"/>
        </w:rPr>
        <w:t>个工作日内到达现场。</w:t>
      </w:r>
    </w:p>
    <w:p w14:paraId="73EA1CB2">
      <w:pPr>
        <w:spacing w:line="360" w:lineRule="auto"/>
        <w:rPr>
          <w:sz w:val="24"/>
          <w:highlight w:val="none"/>
        </w:rPr>
      </w:pPr>
      <w:r>
        <w:rPr>
          <w:rFonts w:hint="eastAsia"/>
          <w:color w:val="000000"/>
          <w:sz w:val="24"/>
          <w:highlight w:val="none"/>
        </w:rPr>
        <w:t xml:space="preserve">4. </w:t>
      </w:r>
      <w:r>
        <w:rPr>
          <w:sz w:val="24"/>
          <w:highlight w:val="none"/>
        </w:rPr>
        <w:t>提供配套的调试工具和其他专用工具，提供全套仪器操作说明书。</w:t>
      </w:r>
    </w:p>
    <w:p w14:paraId="77854D71">
      <w:pPr>
        <w:spacing w:line="360" w:lineRule="auto"/>
        <w:rPr>
          <w:rFonts w:hint="eastAsia"/>
          <w:b/>
          <w:bCs/>
          <w:sz w:val="24"/>
          <w:highlight w:val="none"/>
        </w:rPr>
      </w:pPr>
      <w:r>
        <w:rPr>
          <w:rFonts w:hint="eastAsia"/>
          <w:b/>
          <w:bCs/>
          <w:sz w:val="24"/>
          <w:highlight w:val="none"/>
        </w:rPr>
        <w:t>*5须提供承诺书，否则投标文件视为无效响应文件。</w:t>
      </w:r>
    </w:p>
    <w:p w14:paraId="02531C98">
      <w:pPr>
        <w:spacing w:line="360" w:lineRule="auto"/>
        <w:rPr>
          <w:sz w:val="24"/>
          <w:highlight w:val="none"/>
        </w:rPr>
      </w:pPr>
      <w:r>
        <w:rPr>
          <w:rFonts w:hint="eastAsia"/>
          <w:sz w:val="24"/>
          <w:highlight w:val="none"/>
        </w:rPr>
        <w:t>1）</w:t>
      </w:r>
      <w:r>
        <w:rPr>
          <w:sz w:val="24"/>
          <w:highlight w:val="none"/>
        </w:rPr>
        <w:t xml:space="preserve">供应商交付的产品不符合技术参数要求的，须在收到验收通知后7日内免费修复或更换；  </w:t>
      </w:r>
    </w:p>
    <w:p w14:paraId="18BE1468">
      <w:pPr>
        <w:spacing w:line="360" w:lineRule="auto"/>
        <w:rPr>
          <w:sz w:val="24"/>
          <w:highlight w:val="none"/>
        </w:rPr>
      </w:pPr>
      <w:r>
        <w:rPr>
          <w:rFonts w:hint="eastAsia"/>
          <w:sz w:val="24"/>
          <w:highlight w:val="none"/>
        </w:rPr>
        <w:t>2）</w:t>
      </w:r>
      <w:r>
        <w:rPr>
          <w:sz w:val="24"/>
          <w:highlight w:val="none"/>
        </w:rPr>
        <w:t xml:space="preserve">经两次以上维修仍不合格的或技术应用不符合招标技术参数要求的，采购方有权解除合同并要求返还全部款项；  </w:t>
      </w:r>
    </w:p>
    <w:p w14:paraId="23922739">
      <w:pPr>
        <w:spacing w:line="360" w:lineRule="auto"/>
        <w:rPr>
          <w:sz w:val="24"/>
          <w:highlight w:val="none"/>
        </w:rPr>
      </w:pPr>
      <w:r>
        <w:rPr>
          <w:rFonts w:hint="eastAsia"/>
          <w:sz w:val="24"/>
          <w:highlight w:val="none"/>
        </w:rPr>
        <w:t>3）</w:t>
      </w:r>
      <w:r>
        <w:rPr>
          <w:sz w:val="24"/>
          <w:highlight w:val="none"/>
        </w:rPr>
        <w:t xml:space="preserve">若经鉴定存在虚假技术响应（包括但不限于伪造检测报告、冒用认证证书），供应商除退还全部货款外，须按合同金额的30%支付违约金，并承担采购方因此遭受的全部损失；  </w:t>
      </w:r>
    </w:p>
    <w:p w14:paraId="73D3ECC1">
      <w:pPr>
        <w:spacing w:line="360" w:lineRule="auto"/>
        <w:rPr>
          <w:sz w:val="24"/>
          <w:highlight w:val="none"/>
        </w:rPr>
      </w:pPr>
      <w:r>
        <w:rPr>
          <w:rFonts w:hint="eastAsia"/>
          <w:sz w:val="24"/>
          <w:highlight w:val="none"/>
        </w:rPr>
        <w:t>4）</w:t>
      </w:r>
      <w:r>
        <w:rPr>
          <w:sz w:val="24"/>
          <w:highlight w:val="none"/>
        </w:rPr>
        <w:t>上述情形构成犯罪的，依法移交司法机关追究刑事责任。</w:t>
      </w:r>
    </w:p>
    <w:p w14:paraId="60101C9F">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456232"/>
    <w:rsid w:val="754562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99"/>
    <w:rPr>
      <w:rFonts w:ascii="宋体" w:hAnsi="Courier New"/>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2025-08-07T12:47:00Z</dcterms:created>
  <dc:creator>顾嘉宁</dc:creator>
  <cp:lastModifiedBy>顾嘉宁</cp:lastModifiedBy>
  <dcterms:modified xsi:type="dcterms:W3CDTF">2025-08-07T12:47:47Z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D8C70EE9E67B45B3A3D249432F5ED653_11</vt:lpwstr>
  </property>
  <property fmtid="{D5CDD505-2E9C-101B-9397-08002B2CF9AE}" pid="4" name="KSOTemplateDocerSaveRecord">
    <vt:lpwstr>eyJoZGlkIjoiM2FjYTIzZGUxMzUyYzc4ODFmYzlkNjk5ZTYzODY2NmIiLCJ1c2VySWQiOiIxNjYzMDExNDYwIn0=</vt:lpwstr>
  </property>
</Properties>
</file>