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CC280D4">
      <w:pPr>
        <w:rPr>
          <w:color w:val="auto"/>
        </w:rPr>
      </w:pPr>
      <w:bookmarkStart w:id="4" w:name="_GoBack"/>
      <w:bookmarkEnd w:id="4"/>
    </w:p>
    <w:p w14:paraId="67F9A53B">
      <w:pPr>
        <w:rPr>
          <w:color w:val="auto"/>
        </w:rPr>
      </w:pPr>
    </w:p>
    <w:p w14:paraId="57B9D387">
      <w:pPr>
        <w:rPr>
          <w:color w:val="auto"/>
        </w:rPr>
      </w:pPr>
    </w:p>
    <w:p w14:paraId="06951BF5">
      <w:pPr>
        <w:rPr>
          <w:color w:val="auto"/>
        </w:rPr>
      </w:pPr>
    </w:p>
    <w:p w14:paraId="0F5E27DA">
      <w:pPr>
        <w:rPr>
          <w:color w:val="auto"/>
        </w:rPr>
      </w:pPr>
    </w:p>
    <w:p w14:paraId="564B11B2">
      <w:pPr>
        <w:pStyle w:val="5"/>
        <w:rPr>
          <w:color w:val="auto"/>
        </w:rPr>
      </w:pPr>
    </w:p>
    <w:p w14:paraId="69B8504B">
      <w:pPr>
        <w:rPr>
          <w:color w:val="auto"/>
        </w:rPr>
      </w:pPr>
    </w:p>
    <w:p w14:paraId="094906BD">
      <w:pPr>
        <w:spacing w:line="300" w:lineRule="auto"/>
        <w:ind w:firstLine="3614" w:firstLineChars="500"/>
        <w:rPr>
          <w:rFonts w:hint="eastAsia" w:ascii="宋体" w:hAnsi="宋体"/>
          <w:b/>
          <w:bCs/>
          <w:color w:val="auto"/>
          <w:sz w:val="72"/>
          <w:szCs w:val="72"/>
        </w:rPr>
      </w:pPr>
      <w:r>
        <w:rPr>
          <w:rFonts w:hint="eastAsia" w:ascii="宋体" w:hAnsi="宋体"/>
          <w:b/>
          <w:bCs/>
          <w:color w:val="auto"/>
          <w:sz w:val="72"/>
          <w:szCs w:val="72"/>
        </w:rPr>
        <w:t>委</w:t>
      </w:r>
    </w:p>
    <w:p w14:paraId="23AAF305">
      <w:pPr>
        <w:spacing w:line="300" w:lineRule="auto"/>
        <w:ind w:firstLine="3614" w:firstLineChars="500"/>
        <w:rPr>
          <w:rFonts w:hint="eastAsia" w:ascii="宋体" w:hAnsi="宋体"/>
          <w:b/>
          <w:bCs/>
          <w:color w:val="auto"/>
          <w:sz w:val="72"/>
          <w:szCs w:val="72"/>
        </w:rPr>
      </w:pPr>
      <w:r>
        <w:rPr>
          <w:rFonts w:hint="eastAsia" w:ascii="宋体" w:hAnsi="宋体"/>
          <w:b/>
          <w:bCs/>
          <w:color w:val="auto"/>
          <w:sz w:val="72"/>
          <w:szCs w:val="72"/>
        </w:rPr>
        <w:t>托</w:t>
      </w:r>
    </w:p>
    <w:p w14:paraId="49F762A9">
      <w:pPr>
        <w:spacing w:line="300" w:lineRule="auto"/>
        <w:ind w:firstLine="3614" w:firstLineChars="500"/>
        <w:rPr>
          <w:rFonts w:hint="eastAsia" w:ascii="宋体" w:hAnsi="宋体"/>
          <w:b/>
          <w:bCs/>
          <w:color w:val="auto"/>
          <w:sz w:val="72"/>
          <w:szCs w:val="72"/>
        </w:rPr>
      </w:pPr>
      <w:r>
        <w:rPr>
          <w:rFonts w:hint="eastAsia" w:ascii="宋体" w:hAnsi="宋体"/>
          <w:b/>
          <w:bCs/>
          <w:color w:val="auto"/>
          <w:sz w:val="72"/>
          <w:szCs w:val="72"/>
        </w:rPr>
        <w:t>代</w:t>
      </w:r>
    </w:p>
    <w:p w14:paraId="0B6440EE">
      <w:pPr>
        <w:spacing w:line="300" w:lineRule="auto"/>
        <w:ind w:firstLine="3614" w:firstLineChars="500"/>
        <w:rPr>
          <w:rFonts w:hint="eastAsia" w:ascii="宋体" w:hAnsi="宋体"/>
          <w:b/>
          <w:bCs/>
          <w:color w:val="auto"/>
          <w:sz w:val="72"/>
          <w:szCs w:val="72"/>
        </w:rPr>
      </w:pPr>
      <w:r>
        <w:rPr>
          <w:rFonts w:hint="eastAsia" w:ascii="宋体" w:hAnsi="宋体"/>
          <w:b/>
          <w:bCs/>
          <w:color w:val="auto"/>
          <w:sz w:val="72"/>
          <w:szCs w:val="72"/>
        </w:rPr>
        <w:t>理</w:t>
      </w:r>
    </w:p>
    <w:p w14:paraId="53506441">
      <w:pPr>
        <w:spacing w:line="300" w:lineRule="auto"/>
        <w:ind w:firstLine="3614" w:firstLineChars="500"/>
        <w:rPr>
          <w:rFonts w:hint="eastAsia" w:ascii="宋体" w:hAnsi="宋体"/>
          <w:b/>
          <w:bCs/>
          <w:color w:val="auto"/>
          <w:sz w:val="72"/>
          <w:szCs w:val="72"/>
        </w:rPr>
      </w:pPr>
      <w:r>
        <w:rPr>
          <w:rFonts w:hint="eastAsia" w:ascii="宋体" w:hAnsi="宋体"/>
          <w:b/>
          <w:bCs/>
          <w:color w:val="auto"/>
          <w:sz w:val="72"/>
          <w:szCs w:val="72"/>
        </w:rPr>
        <w:t>协</w:t>
      </w:r>
    </w:p>
    <w:p w14:paraId="6FD0B363">
      <w:pPr>
        <w:spacing w:line="300" w:lineRule="auto"/>
        <w:ind w:firstLine="3614" w:firstLineChars="500"/>
        <w:rPr>
          <w:rFonts w:hint="eastAsia" w:ascii="宋体" w:hAnsi="宋体"/>
          <w:b/>
          <w:bCs/>
          <w:color w:val="auto"/>
          <w:sz w:val="72"/>
          <w:szCs w:val="72"/>
        </w:rPr>
      </w:pPr>
      <w:r>
        <w:rPr>
          <w:rFonts w:hint="eastAsia" w:ascii="宋体" w:hAnsi="宋体"/>
          <w:b/>
          <w:bCs/>
          <w:color w:val="auto"/>
          <w:sz w:val="72"/>
          <w:szCs w:val="72"/>
        </w:rPr>
        <w:t>议</w:t>
      </w:r>
    </w:p>
    <w:p w14:paraId="64FE1926">
      <w:pPr>
        <w:jc w:val="center"/>
        <w:rPr>
          <w:color w:val="auto"/>
        </w:rPr>
      </w:pPr>
    </w:p>
    <w:p w14:paraId="08779B91">
      <w:pPr>
        <w:jc w:val="center"/>
        <w:rPr>
          <w:color w:val="auto"/>
        </w:rPr>
      </w:pPr>
    </w:p>
    <w:p w14:paraId="464C80A5">
      <w:pPr>
        <w:jc w:val="center"/>
        <w:rPr>
          <w:color w:val="auto"/>
        </w:rPr>
      </w:pPr>
    </w:p>
    <w:p w14:paraId="7066DB9F">
      <w:pPr>
        <w:rPr>
          <w:color w:val="auto"/>
        </w:rPr>
      </w:pPr>
    </w:p>
    <w:p w14:paraId="57481F77">
      <w:pPr>
        <w:pStyle w:val="5"/>
        <w:rPr>
          <w:color w:val="auto"/>
        </w:rPr>
      </w:pPr>
    </w:p>
    <w:p w14:paraId="1BDDAE2D">
      <w:pPr>
        <w:rPr>
          <w:color w:val="auto"/>
        </w:rPr>
      </w:pPr>
    </w:p>
    <w:p w14:paraId="5DDE110A">
      <w:pPr>
        <w:spacing w:line="360" w:lineRule="auto"/>
        <w:ind w:left="1807" w:hanging="1807" w:hangingChars="500"/>
        <w:jc w:val="left"/>
        <w:rPr>
          <w:rFonts w:hint="eastAsia" w:ascii="宋体" w:hAnsi="宋体" w:eastAsia="宋体"/>
          <w:b/>
          <w:color w:val="auto"/>
          <w:sz w:val="36"/>
          <w:lang w:eastAsia="zh-CN"/>
        </w:rPr>
      </w:pPr>
      <w:r>
        <w:rPr>
          <w:rFonts w:hint="eastAsia" w:ascii="宋体" w:hAnsi="宋体"/>
          <w:b/>
          <w:color w:val="auto"/>
          <w:sz w:val="36"/>
        </w:rPr>
        <w:t>项目名称：</w:t>
      </w:r>
      <w:r>
        <w:rPr>
          <w:rFonts w:hint="eastAsia" w:ascii="宋体" w:hAnsi="宋体"/>
          <w:b/>
          <w:color w:val="auto"/>
          <w:sz w:val="36"/>
          <w:lang w:eastAsia="zh-CN"/>
        </w:rPr>
        <w:t>肇庆市鼎湖区人民法院电子卷宗随案同步生成及历史档案数字化服务项目</w:t>
      </w:r>
    </w:p>
    <w:p w14:paraId="5C7A7F53">
      <w:pPr>
        <w:spacing w:line="360" w:lineRule="auto"/>
        <w:jc w:val="left"/>
        <w:rPr>
          <w:rFonts w:hint="eastAsia" w:ascii="宋体" w:hAnsi="宋体"/>
          <w:b/>
          <w:color w:val="auto"/>
          <w:sz w:val="36"/>
        </w:rPr>
      </w:pPr>
      <w:r>
        <w:rPr>
          <w:rFonts w:hint="eastAsia" w:ascii="宋体" w:hAnsi="宋体"/>
          <w:b/>
          <w:color w:val="auto"/>
          <w:sz w:val="36"/>
        </w:rPr>
        <w:t>项目编号：440001-2026-32746</w:t>
      </w:r>
    </w:p>
    <w:p w14:paraId="5E9B1B86">
      <w:pPr>
        <w:spacing w:line="360" w:lineRule="auto"/>
        <w:jc w:val="left"/>
        <w:rPr>
          <w:rFonts w:hint="eastAsia" w:ascii="宋体" w:hAnsi="宋体" w:eastAsia="宋体"/>
          <w:b/>
          <w:color w:val="auto"/>
          <w:sz w:val="36"/>
          <w:lang w:eastAsia="zh-CN"/>
        </w:rPr>
      </w:pPr>
      <w:r>
        <w:rPr>
          <w:rFonts w:hint="eastAsia" w:ascii="宋体" w:hAnsi="宋体"/>
          <w:b/>
          <w:color w:val="auto"/>
          <w:sz w:val="36"/>
        </w:rPr>
        <w:t>委 托 人：</w:t>
      </w:r>
      <w:r>
        <w:rPr>
          <w:rFonts w:hint="eastAsia" w:ascii="宋体" w:hAnsi="宋体"/>
          <w:b/>
          <w:color w:val="auto"/>
          <w:sz w:val="36"/>
          <w:lang w:eastAsia="zh-CN"/>
        </w:rPr>
        <w:t>肇庆市鼎湖区人民法院</w:t>
      </w:r>
    </w:p>
    <w:p w14:paraId="7EA54590">
      <w:pPr>
        <w:spacing w:line="360" w:lineRule="auto"/>
        <w:ind w:right="-328" w:rightChars="-156"/>
        <w:jc w:val="left"/>
        <w:rPr>
          <w:rFonts w:hint="eastAsia" w:ascii="宋体" w:hAnsi="宋体"/>
          <w:b/>
          <w:color w:val="auto"/>
          <w:sz w:val="36"/>
        </w:rPr>
      </w:pPr>
      <w:r>
        <w:rPr>
          <w:rFonts w:hint="eastAsia" w:ascii="宋体" w:hAnsi="宋体"/>
          <w:b/>
          <w:color w:val="auto"/>
          <w:sz w:val="36"/>
        </w:rPr>
        <w:t>采购代理机构：肇庆市浩然招标代理有限公司</w:t>
      </w:r>
    </w:p>
    <w:p w14:paraId="0FBEF62A">
      <w:pPr>
        <w:outlineLvl w:val="1"/>
        <w:rPr>
          <w:rFonts w:hint="eastAsia" w:ascii="宋体" w:hAnsi="宋体"/>
          <w:color w:val="auto"/>
          <w:sz w:val="28"/>
        </w:rPr>
        <w:sectPr>
          <w:headerReference r:id="rId3" w:type="default"/>
          <w:footerReference r:id="rId4" w:type="default"/>
          <w:pgSz w:w="11850" w:h="16783"/>
          <w:pgMar w:top="1440" w:right="1797" w:bottom="1440" w:left="1797" w:header="851" w:footer="992" w:gutter="0"/>
          <w:cols w:space="425" w:num="1"/>
          <w:docGrid w:linePitch="312" w:charSpace="0"/>
        </w:sectPr>
      </w:pPr>
    </w:p>
    <w:p w14:paraId="41BA19F1">
      <w:pPr>
        <w:jc w:val="center"/>
        <w:outlineLvl w:val="1"/>
        <w:rPr>
          <w:rFonts w:hint="eastAsia" w:ascii="黑体" w:hAnsi="黑体" w:eastAsia="黑体"/>
          <w:color w:val="auto"/>
          <w:sz w:val="36"/>
          <w:szCs w:val="36"/>
        </w:rPr>
        <w:sectPr>
          <w:footerReference r:id="rId5" w:type="default"/>
          <w:pgSz w:w="11850" w:h="16783"/>
          <w:pgMar w:top="1440" w:right="1797" w:bottom="1440" w:left="1797" w:header="851" w:footer="992" w:gutter="0"/>
          <w:pgNumType w:start="1"/>
          <w:cols w:space="425" w:num="1"/>
          <w:docGrid w:linePitch="312" w:charSpace="0"/>
        </w:sectPr>
      </w:pPr>
    </w:p>
    <w:p w14:paraId="79B9933D">
      <w:pPr>
        <w:jc w:val="center"/>
        <w:outlineLvl w:val="1"/>
        <w:rPr>
          <w:rFonts w:hint="eastAsia" w:ascii="黑体" w:hAnsi="黑体" w:eastAsia="黑体"/>
          <w:color w:val="auto"/>
          <w:sz w:val="36"/>
          <w:szCs w:val="36"/>
        </w:rPr>
      </w:pPr>
      <w:r>
        <w:rPr>
          <w:rFonts w:hint="eastAsia" w:ascii="黑体" w:hAnsi="黑体" w:eastAsia="黑体"/>
          <w:color w:val="auto"/>
          <w:sz w:val="36"/>
          <w:szCs w:val="36"/>
        </w:rPr>
        <w:t>采购委托代理协议</w:t>
      </w:r>
    </w:p>
    <w:p w14:paraId="68F3F985">
      <w:pPr>
        <w:rPr>
          <w:rFonts w:ascii="宋体"/>
          <w:color w:val="auto"/>
          <w:szCs w:val="21"/>
        </w:rPr>
      </w:pPr>
    </w:p>
    <w:p w14:paraId="2E1DCB2C">
      <w:pPr>
        <w:spacing w:line="360" w:lineRule="auto"/>
        <w:ind w:firstLine="482"/>
        <w:outlineLvl w:val="1"/>
        <w:rPr>
          <w:rFonts w:ascii="宋体" w:cs="宋体"/>
          <w:b/>
          <w:color w:val="auto"/>
          <w:sz w:val="24"/>
        </w:rPr>
      </w:pPr>
      <w:r>
        <w:rPr>
          <w:rFonts w:hint="eastAsia" w:ascii="宋体" w:hAnsi="宋体" w:cs="宋体"/>
          <w:b/>
          <w:color w:val="auto"/>
          <w:sz w:val="24"/>
        </w:rPr>
        <w:t>甲方（委托方）：</w:t>
      </w:r>
      <w:r>
        <w:rPr>
          <w:rFonts w:hint="eastAsia" w:ascii="宋体" w:hAnsi="宋体" w:cs="宋体"/>
          <w:b/>
          <w:color w:val="auto"/>
          <w:sz w:val="24"/>
          <w:lang w:eastAsia="zh-CN"/>
        </w:rPr>
        <w:t>肇庆市鼎湖区人民法院</w:t>
      </w:r>
      <w:r>
        <w:rPr>
          <w:rFonts w:ascii="宋体" w:cs="宋体"/>
          <w:b/>
          <w:color w:val="auto"/>
          <w:sz w:val="24"/>
        </w:rPr>
        <w:t xml:space="preserve"> </w:t>
      </w:r>
    </w:p>
    <w:p w14:paraId="6DEAA216">
      <w:pPr>
        <w:spacing w:line="360" w:lineRule="auto"/>
        <w:ind w:firstLine="482"/>
        <w:outlineLvl w:val="1"/>
        <w:rPr>
          <w:rFonts w:ascii="宋体" w:cs="宋体"/>
          <w:b/>
          <w:color w:val="auto"/>
          <w:sz w:val="24"/>
        </w:rPr>
      </w:pPr>
      <w:r>
        <w:rPr>
          <w:rFonts w:hint="eastAsia" w:ascii="宋体" w:hAnsi="宋体" w:cs="宋体"/>
          <w:b/>
          <w:color w:val="auto"/>
          <w:sz w:val="24"/>
        </w:rPr>
        <w:t>乙方（受托方）：</w:t>
      </w:r>
      <w:r>
        <w:rPr>
          <w:rFonts w:hint="eastAsia" w:ascii="宋体" w:cs="宋体"/>
          <w:b/>
          <w:color w:val="auto"/>
          <w:sz w:val="24"/>
        </w:rPr>
        <w:t>肇庆市浩然招标代理有限公司</w:t>
      </w:r>
    </w:p>
    <w:p w14:paraId="70917A9A">
      <w:pPr>
        <w:spacing w:line="360" w:lineRule="auto"/>
        <w:ind w:firstLine="420" w:firstLineChars="200"/>
        <w:rPr>
          <w:rFonts w:ascii="宋体" w:cs="宋体"/>
          <w:color w:val="auto"/>
          <w:szCs w:val="21"/>
        </w:rPr>
      </w:pPr>
      <w:r>
        <w:rPr>
          <w:rFonts w:hint="eastAsia" w:ascii="宋体" w:hAnsi="宋体" w:cs="宋体"/>
          <w:color w:val="auto"/>
          <w:szCs w:val="21"/>
        </w:rPr>
        <w:t>甲方就</w:t>
      </w:r>
      <w:r>
        <w:rPr>
          <w:rFonts w:hint="eastAsia" w:ascii="宋体" w:hAnsi="宋体" w:cs="宋体"/>
          <w:color w:val="auto"/>
          <w:szCs w:val="21"/>
          <w:u w:val="single"/>
        </w:rPr>
        <w:t xml:space="preserve"> </w:t>
      </w:r>
      <w:r>
        <w:rPr>
          <w:rFonts w:hint="eastAsia" w:ascii="宋体" w:hAnsi="宋体" w:cs="宋体"/>
          <w:b/>
          <w:color w:val="auto"/>
          <w:szCs w:val="21"/>
          <w:u w:val="single"/>
          <w:lang w:eastAsia="zh-CN"/>
        </w:rPr>
        <w:t>肇庆市鼎湖区人民法院电子卷宗随案同步生成及历史档案数字化服务项目</w:t>
      </w:r>
      <w:r>
        <w:rPr>
          <w:rFonts w:hint="eastAsia" w:ascii="宋体" w:hAnsi="宋体" w:cs="宋体"/>
          <w:b/>
          <w:color w:val="auto"/>
          <w:szCs w:val="21"/>
          <w:u w:val="single"/>
        </w:rPr>
        <w:t xml:space="preserve"> </w:t>
      </w:r>
      <w:r>
        <w:rPr>
          <w:rFonts w:hint="eastAsia" w:ascii="宋体" w:hAnsi="宋体" w:cs="宋体"/>
          <w:bCs/>
          <w:color w:val="auto"/>
          <w:szCs w:val="21"/>
        </w:rPr>
        <w:t>项目</w:t>
      </w:r>
      <w:r>
        <w:rPr>
          <w:rFonts w:hint="eastAsia" w:ascii="宋体" w:hAnsi="宋体" w:cs="宋体"/>
          <w:color w:val="auto"/>
          <w:szCs w:val="21"/>
        </w:rPr>
        <w:t>（</w:t>
      </w:r>
      <w:r>
        <w:rPr>
          <w:rFonts w:hint="eastAsia" w:ascii="宋体" w:hAnsi="宋体" w:cs="宋体"/>
          <w:b/>
          <w:bCs/>
          <w:color w:val="auto"/>
          <w:szCs w:val="21"/>
        </w:rPr>
        <w:t>项目编号：</w:t>
      </w:r>
      <w:r>
        <w:rPr>
          <w:rFonts w:hint="eastAsia" w:ascii="宋体" w:hAnsi="宋体" w:cs="宋体"/>
          <w:b/>
          <w:bCs/>
          <w:color w:val="auto"/>
          <w:szCs w:val="21"/>
          <w:u w:val="single"/>
          <w:lang w:val="en-US" w:eastAsia="zh-CN"/>
        </w:rPr>
        <w:t>440001-2026-32746</w:t>
      </w:r>
      <w:r>
        <w:rPr>
          <w:rFonts w:hint="eastAsia" w:ascii="宋体" w:hAnsi="宋体" w:cs="宋体"/>
          <w:color w:val="auto"/>
          <w:szCs w:val="21"/>
        </w:rPr>
        <w:t>）委托乙方代理采购，乙方愿意接受甲方委托，预算金额：</w:t>
      </w:r>
      <w:r>
        <w:rPr>
          <w:rFonts w:hint="eastAsia" w:ascii="宋体" w:hAnsi="宋体" w:cs="宋体"/>
          <w:b/>
          <w:color w:val="auto"/>
          <w:szCs w:val="21"/>
          <w:u w:val="single"/>
        </w:rPr>
        <w:t>¥</w:t>
      </w:r>
      <w:r>
        <w:rPr>
          <w:rFonts w:hint="eastAsia" w:ascii="宋体" w:hAnsi="宋体" w:cs="宋体"/>
          <w:b/>
          <w:color w:val="auto"/>
          <w:szCs w:val="21"/>
          <w:u w:val="single"/>
          <w:lang w:val="en-US" w:eastAsia="zh-CN"/>
        </w:rPr>
        <w:t>1</w:t>
      </w:r>
      <w:r>
        <w:rPr>
          <w:rFonts w:hint="eastAsia" w:ascii="宋体" w:hAnsi="宋体" w:cs="宋体"/>
          <w:b/>
          <w:color w:val="auto"/>
          <w:szCs w:val="21"/>
          <w:u w:val="single"/>
        </w:rPr>
        <w:t>,</w:t>
      </w:r>
      <w:r>
        <w:rPr>
          <w:rFonts w:hint="eastAsia" w:ascii="宋体" w:hAnsi="宋体" w:cs="宋体"/>
          <w:b/>
          <w:color w:val="auto"/>
          <w:szCs w:val="21"/>
          <w:u w:val="single"/>
          <w:lang w:val="en-US" w:eastAsia="zh-CN"/>
        </w:rPr>
        <w:t>60</w:t>
      </w:r>
      <w:r>
        <w:rPr>
          <w:rFonts w:hint="eastAsia" w:ascii="宋体" w:hAnsi="宋体" w:cs="宋体"/>
          <w:b/>
          <w:color w:val="auto"/>
          <w:szCs w:val="21"/>
          <w:u w:val="single"/>
        </w:rPr>
        <w:t>0,000.00元</w:t>
      </w:r>
      <w:r>
        <w:rPr>
          <w:rFonts w:hint="eastAsia" w:ascii="宋体" w:hAnsi="宋体" w:cs="宋体"/>
          <w:bCs/>
          <w:color w:val="auto"/>
          <w:szCs w:val="21"/>
        </w:rPr>
        <w:t>。</w:t>
      </w:r>
      <w:r>
        <w:rPr>
          <w:rFonts w:hint="eastAsia" w:ascii="宋体" w:hAnsi="宋体" w:cs="宋体"/>
          <w:color w:val="auto"/>
          <w:szCs w:val="21"/>
        </w:rPr>
        <w:t>按照甲方依法确定的采购方式</w:t>
      </w:r>
      <w:r>
        <w:rPr>
          <w:rFonts w:ascii="宋体" w:hAnsi="宋体" w:cs="宋体"/>
          <w:color w:val="auto"/>
          <w:szCs w:val="21"/>
        </w:rPr>
        <w:t>--</w:t>
      </w:r>
      <w:r>
        <w:rPr>
          <w:rFonts w:ascii="宋体" w:hAnsi="宋体" w:cs="宋体"/>
          <w:b/>
          <w:color w:val="auto"/>
          <w:szCs w:val="21"/>
          <w:u w:val="single"/>
        </w:rPr>
        <w:t xml:space="preserve"> </w:t>
      </w:r>
      <w:bookmarkStart w:id="0" w:name="fsCcaigfs"/>
      <w:bookmarkEnd w:id="0"/>
      <w:r>
        <w:rPr>
          <w:rFonts w:ascii="宋体" w:hAnsi="宋体" w:cs="宋体"/>
          <w:b/>
          <w:color w:val="auto"/>
          <w:szCs w:val="21"/>
          <w:u w:val="single"/>
        </w:rPr>
        <w:t xml:space="preserve"> </w:t>
      </w:r>
      <w:r>
        <w:rPr>
          <w:rFonts w:hint="eastAsia" w:ascii="宋体" w:hAnsi="宋体" w:cs="宋体"/>
          <w:b/>
          <w:color w:val="auto"/>
          <w:szCs w:val="21"/>
          <w:u w:val="single"/>
        </w:rPr>
        <w:t>竞争性磋商</w:t>
      </w:r>
      <w:r>
        <w:rPr>
          <w:rFonts w:ascii="宋体" w:hAnsi="宋体" w:cs="宋体"/>
          <w:b/>
          <w:color w:val="auto"/>
          <w:szCs w:val="21"/>
          <w:u w:val="single"/>
        </w:rPr>
        <w:t xml:space="preserve">  </w:t>
      </w:r>
      <w:r>
        <w:rPr>
          <w:rFonts w:hint="eastAsia" w:ascii="宋体" w:hAnsi="宋体" w:cs="宋体"/>
          <w:color w:val="auto"/>
          <w:szCs w:val="21"/>
        </w:rPr>
        <w:t>方式和规定的程序组织采购活动。甲、乙双方都应自觉接受有关部门的监督管理，严格履行采购方式及采购程序规定，执行国家法律、法规，尊重国际惯例，确保落实采购公开透明、公平竞争、公正和诚实信用原则。甲方、乙方双方经协商一致，就有关事宜达成如下协议：</w:t>
      </w:r>
    </w:p>
    <w:p w14:paraId="76EA08AC">
      <w:pPr>
        <w:spacing w:line="360" w:lineRule="auto"/>
        <w:ind w:firstLine="482" w:firstLineChars="200"/>
        <w:outlineLvl w:val="0"/>
        <w:rPr>
          <w:rFonts w:ascii="宋体" w:cs="宋体"/>
          <w:b/>
          <w:color w:val="auto"/>
          <w:sz w:val="24"/>
        </w:rPr>
      </w:pPr>
      <w:r>
        <w:rPr>
          <w:rFonts w:hint="eastAsia" w:ascii="宋体" w:hAnsi="宋体" w:cs="宋体"/>
          <w:b/>
          <w:color w:val="auto"/>
          <w:sz w:val="24"/>
        </w:rPr>
        <w:t>一、双方的责任和义务</w:t>
      </w:r>
    </w:p>
    <w:p w14:paraId="44A785D1">
      <w:pPr>
        <w:spacing w:line="360" w:lineRule="auto"/>
        <w:ind w:firstLine="422" w:firstLineChars="200"/>
        <w:outlineLvl w:val="1"/>
        <w:rPr>
          <w:rFonts w:ascii="宋体" w:cs="宋体"/>
          <w:b/>
          <w:bCs/>
          <w:color w:val="auto"/>
          <w:szCs w:val="21"/>
        </w:rPr>
      </w:pPr>
      <w:r>
        <w:rPr>
          <w:rFonts w:hint="eastAsia" w:ascii="宋体" w:hAnsi="宋体" w:cs="宋体"/>
          <w:b/>
          <w:bCs/>
          <w:color w:val="auto"/>
          <w:szCs w:val="21"/>
        </w:rPr>
        <w:t>（一）甲方的责任和义务</w:t>
      </w:r>
    </w:p>
    <w:p w14:paraId="54AACC1D">
      <w:pPr>
        <w:spacing w:line="360" w:lineRule="auto"/>
        <w:ind w:firstLine="420" w:firstLineChars="200"/>
        <w:rPr>
          <w:rFonts w:ascii="宋体" w:cs="宋体"/>
          <w:color w:val="auto"/>
          <w:szCs w:val="21"/>
        </w:rPr>
      </w:pPr>
      <w:r>
        <w:rPr>
          <w:rFonts w:ascii="宋体" w:hAnsi="宋体" w:cs="宋体"/>
          <w:color w:val="auto"/>
          <w:szCs w:val="21"/>
        </w:rPr>
        <w:t>1</w:t>
      </w:r>
      <w:r>
        <w:rPr>
          <w:rFonts w:hint="eastAsia" w:ascii="宋体" w:hAnsi="宋体" w:cs="宋体"/>
          <w:color w:val="auto"/>
          <w:szCs w:val="21"/>
        </w:rPr>
        <w:t>、甲方是采购的主体，已落实采购所需的资金和采购计划。如前期须落实采购需求调查的已落实，并将有关材料复印件交到乙方。</w:t>
      </w:r>
    </w:p>
    <w:p w14:paraId="47928843">
      <w:pPr>
        <w:spacing w:line="360" w:lineRule="auto"/>
        <w:ind w:firstLine="420" w:firstLineChars="200"/>
        <w:rPr>
          <w:rFonts w:ascii="宋体" w:cs="宋体"/>
          <w:color w:val="auto"/>
          <w:szCs w:val="21"/>
        </w:rPr>
      </w:pPr>
      <w:r>
        <w:rPr>
          <w:rFonts w:ascii="宋体" w:hAnsi="宋体" w:cs="宋体"/>
          <w:color w:val="auto"/>
          <w:szCs w:val="21"/>
        </w:rPr>
        <w:t>2</w:t>
      </w:r>
      <w:r>
        <w:rPr>
          <w:rFonts w:hint="eastAsia" w:ascii="宋体" w:hAnsi="宋体" w:cs="宋体"/>
          <w:color w:val="auto"/>
          <w:szCs w:val="21"/>
        </w:rPr>
        <w:t>、甲方应当参照《中华人民共和国政府采购法》及执行采购有关法律法规的规定。</w:t>
      </w:r>
    </w:p>
    <w:p w14:paraId="6ED4CC48">
      <w:pPr>
        <w:spacing w:line="360" w:lineRule="auto"/>
        <w:ind w:firstLine="420" w:firstLineChars="200"/>
        <w:rPr>
          <w:rFonts w:ascii="宋体" w:cs="宋体"/>
          <w:color w:val="auto"/>
          <w:szCs w:val="21"/>
        </w:rPr>
      </w:pPr>
      <w:r>
        <w:rPr>
          <w:rFonts w:ascii="宋体" w:hAnsi="宋体" w:cs="宋体"/>
          <w:color w:val="auto"/>
          <w:szCs w:val="21"/>
        </w:rPr>
        <w:t>3</w:t>
      </w:r>
      <w:r>
        <w:rPr>
          <w:rFonts w:hint="eastAsia" w:ascii="宋体" w:hAnsi="宋体" w:cs="宋体"/>
          <w:color w:val="auto"/>
          <w:szCs w:val="21"/>
        </w:rPr>
        <w:t>、甲方根据《财政部关于加强政府采购活动内部控制管理的指导意见》（财库〔</w:t>
      </w:r>
      <w:r>
        <w:rPr>
          <w:rFonts w:ascii="宋体" w:hAnsi="宋体" w:cs="宋体"/>
          <w:color w:val="auto"/>
          <w:szCs w:val="21"/>
        </w:rPr>
        <w:t>2016</w:t>
      </w:r>
      <w:r>
        <w:rPr>
          <w:rFonts w:hint="eastAsia" w:ascii="宋体" w:hAnsi="宋体" w:cs="宋体"/>
          <w:color w:val="auto"/>
          <w:szCs w:val="21"/>
        </w:rPr>
        <w:t>〕</w:t>
      </w:r>
      <w:r>
        <w:rPr>
          <w:rFonts w:ascii="宋体" w:hAnsi="宋体" w:cs="宋体"/>
          <w:color w:val="auto"/>
          <w:szCs w:val="21"/>
        </w:rPr>
        <w:t>99</w:t>
      </w:r>
      <w:r>
        <w:rPr>
          <w:rFonts w:hint="eastAsia" w:ascii="宋体" w:hAnsi="宋体" w:cs="宋体"/>
          <w:color w:val="auto"/>
          <w:szCs w:val="21"/>
        </w:rPr>
        <w:t>号文）建立内部控制管理制度，并指定一位工作人员，作为甲方的项目负责人，代表甲方联系和处理采购过程中的有关具体事项。</w:t>
      </w:r>
    </w:p>
    <w:p w14:paraId="4310F9CA">
      <w:pPr>
        <w:spacing w:line="360" w:lineRule="auto"/>
        <w:ind w:firstLine="420" w:firstLineChars="200"/>
        <w:rPr>
          <w:rFonts w:ascii="宋体" w:cs="宋体"/>
          <w:color w:val="auto"/>
          <w:szCs w:val="21"/>
        </w:rPr>
      </w:pPr>
      <w:r>
        <w:rPr>
          <w:rFonts w:ascii="宋体" w:hAnsi="宋体" w:cs="宋体"/>
          <w:color w:val="auto"/>
          <w:szCs w:val="21"/>
        </w:rPr>
        <w:t>4</w:t>
      </w:r>
      <w:r>
        <w:rPr>
          <w:rFonts w:hint="eastAsia" w:ascii="宋体" w:hAnsi="宋体" w:cs="宋体"/>
          <w:color w:val="auto"/>
          <w:szCs w:val="21"/>
        </w:rPr>
        <w:t>、甲方应当根据《财政部关于进一步加强政府采购需求和履约验收管理的指导意见》，对采购标的的市场技术或者服务水平、供应、价格等情况进行市场调查，根据调查情况、资产配置标准等科学、合理地确定采购需求，进行价格测算，采购需求应当完整、明确。非单一产品采购项目，甲方应当在需求明确核心产品。根据《中华人民共和国政府采购法实施条例》第六十一条，如甲方需求存在不符合法律法规或其他违法行为，应当接受乙方建议改正，拒不改正的，由乙方向甲方的相关部门报告。</w:t>
      </w:r>
    </w:p>
    <w:p w14:paraId="6A2950F0">
      <w:pPr>
        <w:spacing w:line="360" w:lineRule="auto"/>
        <w:ind w:firstLine="420" w:firstLineChars="200"/>
        <w:rPr>
          <w:rFonts w:ascii="宋体" w:cs="宋体"/>
          <w:color w:val="auto"/>
          <w:szCs w:val="21"/>
        </w:rPr>
      </w:pPr>
      <w:r>
        <w:rPr>
          <w:rFonts w:ascii="宋体" w:hAnsi="宋体" w:cs="宋体"/>
          <w:color w:val="auto"/>
          <w:szCs w:val="21"/>
        </w:rPr>
        <w:t>5</w:t>
      </w:r>
      <w:r>
        <w:rPr>
          <w:rFonts w:hint="eastAsia" w:ascii="宋体" w:hAnsi="宋体" w:cs="宋体"/>
          <w:color w:val="auto"/>
          <w:szCs w:val="21"/>
        </w:rPr>
        <w:t>、甲方负责确认采购文件。乙方编制的采购文件须经甲方确认后方对外发布。</w:t>
      </w:r>
    </w:p>
    <w:p w14:paraId="06F5F803">
      <w:pPr>
        <w:spacing w:line="360" w:lineRule="auto"/>
        <w:ind w:firstLine="420" w:firstLineChars="200"/>
        <w:rPr>
          <w:rFonts w:ascii="宋体" w:cs="宋体"/>
          <w:color w:val="auto"/>
          <w:szCs w:val="21"/>
        </w:rPr>
      </w:pPr>
      <w:r>
        <w:rPr>
          <w:rFonts w:ascii="宋体" w:hAnsi="宋体" w:cs="宋体"/>
          <w:color w:val="auto"/>
          <w:szCs w:val="21"/>
        </w:rPr>
        <w:t>6</w:t>
      </w:r>
      <w:r>
        <w:rPr>
          <w:rFonts w:hint="eastAsia" w:ascii="宋体" w:hAnsi="宋体" w:cs="宋体"/>
          <w:color w:val="auto"/>
          <w:szCs w:val="21"/>
        </w:rPr>
        <w:t>、甲方参加唱价活动人员应在响应截止时间前到达唱价活动现场。若未能及时到达，乙方也将按时举行唱价活动。</w:t>
      </w:r>
    </w:p>
    <w:p w14:paraId="179E461B">
      <w:pPr>
        <w:spacing w:line="360" w:lineRule="auto"/>
        <w:ind w:firstLine="420" w:firstLineChars="200"/>
        <w:rPr>
          <w:rFonts w:ascii="宋体" w:cs="宋体"/>
          <w:color w:val="auto"/>
          <w:szCs w:val="21"/>
        </w:rPr>
      </w:pPr>
      <w:r>
        <w:rPr>
          <w:rFonts w:ascii="宋体" w:hAnsi="宋体" w:cs="宋体"/>
          <w:color w:val="auto"/>
          <w:szCs w:val="21"/>
        </w:rPr>
        <w:t>7</w:t>
      </w:r>
      <w:r>
        <w:rPr>
          <w:rFonts w:hint="eastAsia" w:ascii="宋体" w:hAnsi="宋体" w:cs="宋体"/>
          <w:color w:val="auto"/>
          <w:szCs w:val="21"/>
        </w:rPr>
        <w:t>、甲方应当按照法律法规要求选派代表参加项目评审工作。</w:t>
      </w:r>
    </w:p>
    <w:p w14:paraId="1D73C414">
      <w:pPr>
        <w:spacing w:line="360" w:lineRule="auto"/>
        <w:ind w:firstLine="420" w:firstLineChars="200"/>
        <w:rPr>
          <w:rFonts w:ascii="宋体" w:cs="宋体"/>
          <w:color w:val="auto"/>
          <w:szCs w:val="21"/>
        </w:rPr>
      </w:pPr>
      <w:r>
        <w:rPr>
          <w:rFonts w:hint="eastAsia" w:ascii="宋体" w:hAnsi="宋体" w:cs="宋体"/>
          <w:color w:val="auto"/>
          <w:szCs w:val="21"/>
        </w:rPr>
        <w:t>8、甲方应当自收到磋商报告之日起</w:t>
      </w:r>
      <w:r>
        <w:rPr>
          <w:rFonts w:ascii="宋体" w:hAnsi="宋体" w:cs="宋体"/>
          <w:color w:val="auto"/>
          <w:szCs w:val="21"/>
        </w:rPr>
        <w:t>5</w:t>
      </w:r>
      <w:r>
        <w:rPr>
          <w:rFonts w:hint="eastAsia" w:ascii="宋体" w:hAnsi="宋体" w:cs="宋体"/>
          <w:color w:val="auto"/>
          <w:szCs w:val="21"/>
        </w:rPr>
        <w:t>个工作日内，在磋商报告确定的成交候选人名单中按顺序确定成交人，并向乙方出具磋商结果确认函。如甲方</w:t>
      </w:r>
      <w:r>
        <w:rPr>
          <w:rFonts w:ascii="宋体" w:hAnsi="宋体" w:cs="宋体"/>
          <w:color w:val="auto"/>
          <w:szCs w:val="21"/>
        </w:rPr>
        <w:t>5</w:t>
      </w:r>
      <w:r>
        <w:rPr>
          <w:rFonts w:hint="eastAsia" w:ascii="宋体" w:hAnsi="宋体" w:cs="宋体"/>
          <w:color w:val="auto"/>
          <w:szCs w:val="21"/>
        </w:rPr>
        <w:t>个工作日内未按磋商报告推荐的成交候选人顺序确定成交人，又不能说明合法理由的，视同按磋商报告推荐的顺序确定排名第一的成交候选人为成交人，乙方将于上述2个工作日后发布结果公告。</w:t>
      </w:r>
    </w:p>
    <w:p w14:paraId="499FA416">
      <w:pPr>
        <w:spacing w:line="360" w:lineRule="auto"/>
        <w:ind w:firstLine="420" w:firstLineChars="200"/>
        <w:rPr>
          <w:rFonts w:ascii="宋体" w:cs="宋体"/>
          <w:color w:val="auto"/>
          <w:szCs w:val="21"/>
        </w:rPr>
      </w:pPr>
      <w:r>
        <w:rPr>
          <w:rFonts w:hint="eastAsia" w:ascii="宋体" w:hAnsi="宋体" w:cs="宋体"/>
          <w:color w:val="auto"/>
          <w:szCs w:val="21"/>
        </w:rPr>
        <w:t>9、甲方应对评审过程和未进行公告的评审结果保密。</w:t>
      </w:r>
    </w:p>
    <w:p w14:paraId="193D7AB7">
      <w:pPr>
        <w:spacing w:line="360" w:lineRule="auto"/>
        <w:ind w:firstLine="420" w:firstLineChars="200"/>
        <w:rPr>
          <w:rFonts w:ascii="宋体" w:cs="宋体"/>
          <w:color w:val="auto"/>
          <w:szCs w:val="21"/>
        </w:rPr>
      </w:pPr>
      <w:r>
        <w:rPr>
          <w:rFonts w:hint="eastAsia" w:ascii="宋体" w:hAnsi="宋体" w:cs="宋体"/>
          <w:color w:val="auto"/>
          <w:szCs w:val="21"/>
        </w:rPr>
        <w:t>10、甲方应在采购合同签订之日起7个工作日内将采购合同副本送乙方归档，并于2个工作日内完成合同备案。</w:t>
      </w:r>
    </w:p>
    <w:p w14:paraId="14F79108">
      <w:pPr>
        <w:spacing w:line="360" w:lineRule="auto"/>
        <w:ind w:firstLine="420" w:firstLineChars="200"/>
        <w:rPr>
          <w:rFonts w:ascii="宋体" w:cs="宋体"/>
          <w:color w:val="auto"/>
          <w:szCs w:val="21"/>
        </w:rPr>
      </w:pPr>
      <w:r>
        <w:rPr>
          <w:rFonts w:hint="eastAsia" w:ascii="宋体" w:hAnsi="宋体" w:cs="宋体"/>
          <w:color w:val="auto"/>
          <w:szCs w:val="21"/>
        </w:rPr>
        <w:t>11、甲方负责项目合同的履约验收工作。履约验收后将验收材料复印件交到乙方。</w:t>
      </w:r>
    </w:p>
    <w:p w14:paraId="65D0DE48">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12、根据《广东省财政厅关于进一步规范政府采购质疑答复工作的通知》（粤财采购〔2023〕3号）文件要求，甲方是政府采购质疑答复的责任主体。在供应商资质要求、采购需求、评分标准以及甲方未授权乙方答复咨询质疑或咨询质疑事项超出授权范围的询问或者质疑，由甲方负责答复。甲方应严格按照法律法规要求回复。询问、质疑答复内容不得涉及商业秘密。</w:t>
      </w:r>
    </w:p>
    <w:p w14:paraId="10470871">
      <w:pPr>
        <w:spacing w:line="360" w:lineRule="auto"/>
        <w:ind w:firstLine="422" w:firstLineChars="200"/>
        <w:outlineLvl w:val="1"/>
        <w:rPr>
          <w:rFonts w:ascii="宋体" w:cs="宋体"/>
          <w:b/>
          <w:bCs/>
          <w:color w:val="auto"/>
          <w:szCs w:val="21"/>
        </w:rPr>
      </w:pPr>
      <w:r>
        <w:rPr>
          <w:rFonts w:hint="eastAsia" w:ascii="宋体" w:hAnsi="宋体" w:cs="宋体"/>
          <w:b/>
          <w:bCs/>
          <w:color w:val="auto"/>
          <w:szCs w:val="21"/>
        </w:rPr>
        <w:t>（二）乙方的责任和义务</w:t>
      </w:r>
    </w:p>
    <w:p w14:paraId="1885728B">
      <w:pPr>
        <w:spacing w:line="360" w:lineRule="auto"/>
        <w:ind w:firstLine="420" w:firstLineChars="200"/>
        <w:rPr>
          <w:rFonts w:ascii="宋体" w:cs="宋体"/>
          <w:color w:val="auto"/>
          <w:szCs w:val="21"/>
        </w:rPr>
      </w:pPr>
      <w:r>
        <w:rPr>
          <w:rFonts w:ascii="宋体" w:hAnsi="宋体" w:cs="宋体"/>
          <w:color w:val="auto"/>
          <w:szCs w:val="21"/>
        </w:rPr>
        <w:t>1</w:t>
      </w:r>
      <w:r>
        <w:rPr>
          <w:rFonts w:hint="eastAsia" w:ascii="宋体" w:hAnsi="宋体" w:cs="宋体"/>
          <w:color w:val="auto"/>
          <w:szCs w:val="21"/>
        </w:rPr>
        <w:t>、乙方是代理机构，要树立服务意识，认真做好组织实施的工作。在本次采购的全过程应接受甲方和政府采购管理部门的监督，并在采购人委托的范围内依法开展采购活动。</w:t>
      </w:r>
    </w:p>
    <w:p w14:paraId="77C4CE6A">
      <w:pPr>
        <w:spacing w:line="360" w:lineRule="auto"/>
        <w:ind w:firstLine="420" w:firstLineChars="200"/>
        <w:rPr>
          <w:rFonts w:ascii="宋体" w:cs="宋体"/>
          <w:color w:val="auto"/>
          <w:szCs w:val="21"/>
        </w:rPr>
      </w:pPr>
      <w:r>
        <w:rPr>
          <w:rFonts w:ascii="宋体" w:hAnsi="宋体" w:cs="宋体"/>
          <w:color w:val="auto"/>
          <w:szCs w:val="21"/>
        </w:rPr>
        <w:t>2</w:t>
      </w:r>
      <w:r>
        <w:rPr>
          <w:rFonts w:hint="eastAsia" w:ascii="宋体" w:hAnsi="宋体" w:cs="宋体"/>
          <w:color w:val="auto"/>
          <w:szCs w:val="21"/>
        </w:rPr>
        <w:t>、乙方应充分发挥代理机构的职能，按照肇庆市财政局政府采购管理中心核准或甲方依法确定的采购方式和规定的程序及国家有关法律、法规的规定，根据甲方提供的采购项目的有关技术规格和指标参数以及相关服务、商务等材料和要求，负责编制、印刷、发售、修改、澄清、解释采购文件的各项工作。</w:t>
      </w:r>
    </w:p>
    <w:p w14:paraId="39804C82">
      <w:pPr>
        <w:spacing w:line="360" w:lineRule="auto"/>
        <w:ind w:firstLine="420" w:firstLineChars="200"/>
        <w:rPr>
          <w:rFonts w:ascii="宋体" w:cs="宋体"/>
          <w:color w:val="auto"/>
          <w:szCs w:val="21"/>
        </w:rPr>
      </w:pPr>
      <w:r>
        <w:rPr>
          <w:rFonts w:ascii="宋体" w:hAnsi="宋体" w:cs="宋体"/>
          <w:color w:val="auto"/>
          <w:szCs w:val="21"/>
        </w:rPr>
        <w:t>3</w:t>
      </w:r>
      <w:r>
        <w:rPr>
          <w:rFonts w:hint="eastAsia" w:ascii="宋体" w:hAnsi="宋体" w:cs="宋体"/>
          <w:color w:val="auto"/>
          <w:szCs w:val="21"/>
        </w:rPr>
        <w:t>、乙方负责接收和保管供应商递交的报价文件，并组织唱价活动。</w:t>
      </w:r>
    </w:p>
    <w:p w14:paraId="50205541">
      <w:pPr>
        <w:spacing w:line="360" w:lineRule="auto"/>
        <w:ind w:firstLine="420" w:firstLineChars="200"/>
        <w:rPr>
          <w:rFonts w:ascii="宋体" w:cs="宋体"/>
          <w:color w:val="auto"/>
          <w:szCs w:val="21"/>
        </w:rPr>
      </w:pPr>
      <w:r>
        <w:rPr>
          <w:rFonts w:ascii="宋体" w:hAnsi="宋体" w:cs="宋体"/>
          <w:color w:val="auto"/>
          <w:szCs w:val="21"/>
        </w:rPr>
        <w:t>4</w:t>
      </w:r>
      <w:r>
        <w:rPr>
          <w:rFonts w:hint="eastAsia" w:ascii="宋体" w:hAnsi="宋体" w:cs="宋体"/>
          <w:color w:val="auto"/>
          <w:szCs w:val="21"/>
        </w:rPr>
        <w:t>、除特殊项目外，一般项目在评审前1个工作日按有关规定从相关专业领域的专家中通过随机方式抽取确定评审专家。</w:t>
      </w:r>
    </w:p>
    <w:p w14:paraId="21A04CFC">
      <w:pPr>
        <w:spacing w:line="360" w:lineRule="auto"/>
        <w:ind w:firstLine="420" w:firstLineChars="200"/>
        <w:rPr>
          <w:rFonts w:ascii="宋体" w:cs="宋体"/>
          <w:color w:val="auto"/>
          <w:szCs w:val="21"/>
        </w:rPr>
      </w:pPr>
      <w:r>
        <w:rPr>
          <w:rFonts w:hint="eastAsia" w:ascii="宋体" w:hAnsi="宋体" w:cs="宋体"/>
          <w:color w:val="auto"/>
          <w:szCs w:val="21"/>
        </w:rPr>
        <w:t>5、乙方负责安排评审活动的有关事宜，组织磋商小组进行评审，并向甲方提交磋商小组出具的磋商报告。</w:t>
      </w:r>
    </w:p>
    <w:p w14:paraId="475084D3">
      <w:pPr>
        <w:spacing w:line="360" w:lineRule="auto"/>
        <w:ind w:firstLine="420" w:firstLineChars="200"/>
        <w:rPr>
          <w:rFonts w:ascii="宋体" w:cs="宋体"/>
          <w:color w:val="auto"/>
          <w:szCs w:val="21"/>
        </w:rPr>
      </w:pPr>
      <w:r>
        <w:rPr>
          <w:rFonts w:hint="eastAsia" w:ascii="宋体" w:hAnsi="宋体" w:cs="宋体"/>
          <w:color w:val="auto"/>
          <w:szCs w:val="21"/>
        </w:rPr>
        <w:t>6、根据甲方出具的磋商结果确认函，按有关规定进行公告，乙方负责将磋商结果通知成交人和未成交人。</w:t>
      </w:r>
    </w:p>
    <w:p w14:paraId="5C4CF68E">
      <w:pPr>
        <w:spacing w:line="360" w:lineRule="auto"/>
        <w:ind w:firstLine="420" w:firstLineChars="200"/>
        <w:rPr>
          <w:rFonts w:ascii="宋体" w:cs="宋体"/>
          <w:color w:val="auto"/>
          <w:szCs w:val="21"/>
        </w:rPr>
      </w:pPr>
      <w:r>
        <w:rPr>
          <w:rFonts w:hint="eastAsia" w:ascii="宋体" w:hAnsi="宋体" w:cs="宋体"/>
          <w:color w:val="auto"/>
          <w:szCs w:val="21"/>
        </w:rPr>
        <w:t>7、乙方应对评审过程和未进行公示公告的磋商结果保密。</w:t>
      </w:r>
    </w:p>
    <w:p w14:paraId="2DE67560">
      <w:pPr>
        <w:spacing w:line="360" w:lineRule="auto"/>
        <w:ind w:firstLine="420" w:firstLineChars="200"/>
        <w:rPr>
          <w:rFonts w:ascii="宋体" w:cs="宋体"/>
          <w:color w:val="auto"/>
          <w:szCs w:val="21"/>
        </w:rPr>
      </w:pPr>
      <w:r>
        <w:rPr>
          <w:rFonts w:hint="eastAsia" w:ascii="宋体" w:hAnsi="宋体" w:cs="宋体"/>
          <w:color w:val="auto"/>
          <w:szCs w:val="21"/>
        </w:rPr>
        <w:t>8、在采购程序性方面的询问或者质疑由乙方负责答复。乙方答复前将答复内容交甲方书面确认，如甲方在质疑答复期满未进行书面确认，由乙方将情况向甲方的本级人民政府财政部门报告。质疑答复内容不得涉及商业秘密。</w:t>
      </w:r>
    </w:p>
    <w:p w14:paraId="38961719">
      <w:pPr>
        <w:spacing w:line="360" w:lineRule="auto"/>
        <w:ind w:firstLine="420" w:firstLineChars="200"/>
        <w:rPr>
          <w:rFonts w:ascii="宋体" w:cs="宋体"/>
          <w:color w:val="auto"/>
          <w:szCs w:val="21"/>
        </w:rPr>
      </w:pPr>
      <w:r>
        <w:rPr>
          <w:rFonts w:hint="eastAsia" w:ascii="宋体" w:hAnsi="宋体" w:cs="宋体"/>
          <w:color w:val="auto"/>
          <w:szCs w:val="21"/>
        </w:rPr>
        <w:t>9、乙方协助甲方处理合同执行过程中遇到的问题。</w:t>
      </w:r>
    </w:p>
    <w:p w14:paraId="47437564">
      <w:pPr>
        <w:spacing w:line="360" w:lineRule="auto"/>
        <w:ind w:firstLine="420" w:firstLineChars="200"/>
        <w:rPr>
          <w:rFonts w:ascii="宋体" w:cs="宋体"/>
          <w:color w:val="auto"/>
          <w:szCs w:val="21"/>
        </w:rPr>
      </w:pPr>
      <w:r>
        <w:rPr>
          <w:rFonts w:hint="eastAsia" w:ascii="宋体" w:hAnsi="宋体" w:cs="宋体"/>
          <w:color w:val="auto"/>
          <w:szCs w:val="21"/>
        </w:rPr>
        <w:t>10、发出中标通知书后，乙方原则上不参与甲方草拟、签订、履约、验收合同等事项。</w:t>
      </w:r>
    </w:p>
    <w:p w14:paraId="44C86026">
      <w:pPr>
        <w:spacing w:line="360" w:lineRule="auto"/>
        <w:ind w:firstLine="482" w:firstLineChars="200"/>
        <w:outlineLvl w:val="0"/>
        <w:rPr>
          <w:rFonts w:ascii="宋体" w:cs="宋体"/>
          <w:b/>
          <w:color w:val="auto"/>
          <w:sz w:val="24"/>
        </w:rPr>
      </w:pPr>
      <w:r>
        <w:rPr>
          <w:rFonts w:hint="eastAsia" w:ascii="宋体" w:hAnsi="宋体" w:cs="宋体"/>
          <w:b/>
          <w:color w:val="auto"/>
          <w:sz w:val="24"/>
        </w:rPr>
        <w:t>二、工作原则和定标程序</w:t>
      </w:r>
    </w:p>
    <w:p w14:paraId="1B27C582">
      <w:pPr>
        <w:spacing w:line="360" w:lineRule="auto"/>
        <w:ind w:firstLine="420" w:firstLineChars="200"/>
        <w:outlineLvl w:val="1"/>
        <w:rPr>
          <w:rFonts w:ascii="宋体" w:cs="宋体"/>
          <w:color w:val="auto"/>
          <w:szCs w:val="21"/>
        </w:rPr>
      </w:pPr>
      <w:r>
        <w:rPr>
          <w:rFonts w:hint="eastAsia" w:ascii="宋体" w:hAnsi="宋体" w:cs="宋体"/>
          <w:color w:val="auto"/>
          <w:szCs w:val="21"/>
        </w:rPr>
        <w:t>（一）工作原则</w:t>
      </w:r>
    </w:p>
    <w:p w14:paraId="505E1F8A">
      <w:pPr>
        <w:spacing w:line="360" w:lineRule="auto"/>
        <w:ind w:firstLine="420" w:firstLineChars="200"/>
        <w:rPr>
          <w:rFonts w:ascii="宋体" w:cs="宋体"/>
          <w:color w:val="auto"/>
          <w:szCs w:val="21"/>
        </w:rPr>
      </w:pPr>
      <w:r>
        <w:rPr>
          <w:rFonts w:hint="eastAsia" w:ascii="宋体" w:hAnsi="宋体" w:cs="宋体"/>
          <w:color w:val="auto"/>
          <w:szCs w:val="21"/>
        </w:rPr>
        <w:t>甲乙双方本着密切配合、精心组织、保证质量、按期完成的原则，开展各项工作。</w:t>
      </w:r>
    </w:p>
    <w:p w14:paraId="0F7FF9BA">
      <w:pPr>
        <w:spacing w:line="360" w:lineRule="auto"/>
        <w:ind w:firstLine="420" w:firstLineChars="200"/>
        <w:outlineLvl w:val="1"/>
        <w:rPr>
          <w:rFonts w:ascii="宋体" w:cs="宋体"/>
          <w:color w:val="auto"/>
          <w:szCs w:val="21"/>
        </w:rPr>
      </w:pPr>
      <w:r>
        <w:rPr>
          <w:rFonts w:hint="eastAsia" w:ascii="宋体" w:hAnsi="宋体" w:cs="宋体"/>
          <w:color w:val="auto"/>
          <w:szCs w:val="21"/>
        </w:rPr>
        <w:t>（二）定标程序</w:t>
      </w:r>
    </w:p>
    <w:p w14:paraId="31A82482">
      <w:pPr>
        <w:spacing w:line="360" w:lineRule="auto"/>
        <w:ind w:firstLine="420" w:firstLineChars="200"/>
        <w:rPr>
          <w:rFonts w:ascii="宋体" w:cs="宋体"/>
          <w:color w:val="auto"/>
          <w:sz w:val="24"/>
        </w:rPr>
      </w:pPr>
      <w:r>
        <w:rPr>
          <w:rFonts w:hint="eastAsia" w:ascii="宋体" w:hAnsi="宋体" w:cs="宋体"/>
          <w:color w:val="auto"/>
          <w:szCs w:val="21"/>
        </w:rPr>
        <w:t>甲方根据磋商小组的磋商报告和推荐的成交候选人顺序依法确定成交人。</w:t>
      </w:r>
    </w:p>
    <w:p w14:paraId="08E22AEE">
      <w:pPr>
        <w:spacing w:line="360" w:lineRule="auto"/>
        <w:ind w:firstLine="482" w:firstLineChars="200"/>
        <w:outlineLvl w:val="0"/>
        <w:rPr>
          <w:rFonts w:hint="eastAsia" w:ascii="宋体" w:hAnsi="宋体" w:cs="宋体"/>
          <w:b/>
          <w:color w:val="auto"/>
          <w:sz w:val="24"/>
        </w:rPr>
      </w:pPr>
      <w:r>
        <w:rPr>
          <w:rFonts w:hint="eastAsia" w:ascii="宋体" w:hAnsi="宋体" w:cs="宋体"/>
          <w:b/>
          <w:color w:val="auto"/>
          <w:sz w:val="24"/>
        </w:rPr>
        <w:t>三、代理费用</w:t>
      </w:r>
    </w:p>
    <w:p w14:paraId="5C8EB74D">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1、乙方承担组织项目采购活动的全部费用</w:t>
      </w:r>
    </w:p>
    <w:p w14:paraId="74DD6CF2">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2、乙方向成交单位收取代理服务费，甲方不向乙方支付任何费用。</w:t>
      </w:r>
    </w:p>
    <w:p w14:paraId="73A3C179">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3、乙方收取代理服务费计算方式：本次服务费用按照定额收取，金额为</w:t>
      </w:r>
      <w:r>
        <w:rPr>
          <w:rFonts w:hint="eastAsia" w:ascii="宋体" w:hAnsi="宋体" w:cs="宋体"/>
          <w:color w:val="auto"/>
          <w:szCs w:val="21"/>
          <w:lang w:val="en-US" w:eastAsia="zh-CN"/>
        </w:rPr>
        <w:t>19</w:t>
      </w:r>
      <w:r>
        <w:rPr>
          <w:rFonts w:hint="eastAsia" w:ascii="宋体" w:hAnsi="宋体" w:cs="宋体"/>
          <w:color w:val="auto"/>
          <w:szCs w:val="21"/>
        </w:rPr>
        <w:t>,000元（以银行转账方式支付）。</w:t>
      </w:r>
    </w:p>
    <w:p w14:paraId="7BA941C0">
      <w:pPr>
        <w:spacing w:line="360" w:lineRule="auto"/>
        <w:ind w:firstLine="482" w:firstLineChars="200"/>
        <w:outlineLvl w:val="0"/>
        <w:rPr>
          <w:rFonts w:hint="eastAsia" w:ascii="宋体" w:hAnsi="宋体" w:cs="宋体"/>
          <w:b/>
          <w:color w:val="auto"/>
          <w:sz w:val="24"/>
        </w:rPr>
      </w:pPr>
      <w:r>
        <w:rPr>
          <w:rFonts w:hint="eastAsia" w:ascii="宋体" w:hAnsi="宋体" w:cs="宋体"/>
          <w:b/>
          <w:color w:val="auto"/>
          <w:sz w:val="24"/>
        </w:rPr>
        <w:t>四、其他条款</w:t>
      </w:r>
    </w:p>
    <w:p w14:paraId="2A84581D">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1、甲乙双方应遵守有关法律、法规、规章的规定和本协议的约定，否则，将承担相应的法律责任。因违约造成经济损失的，由违约方承担。</w:t>
      </w:r>
    </w:p>
    <w:p w14:paraId="194C1FC1">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2、因违约而引起的争议，双方应当协商解决，如不能达到一致时，提交政府采购管理部门协调，协商不成的，任何一方有权向甲方所在地人民法院提起诉讼。</w:t>
      </w:r>
    </w:p>
    <w:p w14:paraId="6C648B99">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3、本协议自甲、乙双方签字盖章之日起生效，代理期限至本项目采购合同签订之日止。</w:t>
      </w:r>
    </w:p>
    <w:p w14:paraId="39F8546F">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4、本协议一式</w:t>
      </w:r>
      <w:r>
        <w:rPr>
          <w:rFonts w:hint="eastAsia" w:ascii="宋体" w:hAnsi="宋体" w:cs="宋体"/>
          <w:color w:val="auto"/>
          <w:szCs w:val="21"/>
          <w:lang w:val="en-US" w:eastAsia="zh-CN"/>
        </w:rPr>
        <w:t>叁</w:t>
      </w:r>
      <w:r>
        <w:rPr>
          <w:rFonts w:hint="eastAsia" w:ascii="宋体" w:hAnsi="宋体" w:cs="宋体"/>
          <w:color w:val="auto"/>
          <w:szCs w:val="21"/>
        </w:rPr>
        <w:t>份，甲方执</w:t>
      </w:r>
      <w:r>
        <w:rPr>
          <w:rFonts w:hint="eastAsia" w:ascii="宋体" w:hAnsi="宋体" w:cs="宋体"/>
          <w:color w:val="auto"/>
          <w:szCs w:val="21"/>
          <w:lang w:val="en-US" w:eastAsia="zh-CN"/>
        </w:rPr>
        <w:t>贰</w:t>
      </w:r>
      <w:r>
        <w:rPr>
          <w:rFonts w:hint="eastAsia" w:ascii="宋体" w:hAnsi="宋体" w:cs="宋体"/>
          <w:color w:val="auto"/>
          <w:szCs w:val="21"/>
        </w:rPr>
        <w:t>份、乙方</w:t>
      </w:r>
      <w:r>
        <w:rPr>
          <w:rFonts w:hint="eastAsia" w:ascii="宋体" w:hAnsi="宋体" w:cs="宋体"/>
          <w:color w:val="auto"/>
          <w:szCs w:val="21"/>
          <w:lang w:val="en-US" w:eastAsia="zh-CN"/>
        </w:rPr>
        <w:t>壹</w:t>
      </w:r>
      <w:r>
        <w:rPr>
          <w:rFonts w:hint="eastAsia" w:ascii="宋体" w:hAnsi="宋体" w:cs="宋体"/>
          <w:color w:val="auto"/>
          <w:szCs w:val="21"/>
        </w:rPr>
        <w:t>份，每份均具有同等法律效力。</w:t>
      </w:r>
    </w:p>
    <w:p w14:paraId="38FACCA8">
      <w:pPr>
        <w:spacing w:line="360" w:lineRule="auto"/>
        <w:ind w:firstLine="420" w:firstLineChars="200"/>
        <w:rPr>
          <w:rFonts w:hint="eastAsia" w:ascii="宋体" w:hAnsi="宋体"/>
          <w:bCs/>
          <w:color w:val="auto"/>
          <w:sz w:val="24"/>
        </w:rPr>
      </w:pPr>
      <w:r>
        <w:rPr>
          <w:rFonts w:hint="eastAsia" w:ascii="宋体" w:hAnsi="宋体" w:cs="宋体"/>
          <w:color w:val="auto"/>
          <w:szCs w:val="21"/>
        </w:rPr>
        <w:t>5、其他未尽事宜由双方协商后解决。</w:t>
      </w:r>
      <w:bookmarkStart w:id="1" w:name="_Hlk164175286"/>
      <w:bookmarkStart w:id="2" w:name="_Hlk164175408"/>
    </w:p>
    <w:p w14:paraId="35B96AF0">
      <w:pPr>
        <w:spacing w:line="560" w:lineRule="exact"/>
        <w:ind w:firstLine="480"/>
        <w:jc w:val="left"/>
        <w:rPr>
          <w:rFonts w:hint="eastAsia" w:ascii="宋体" w:hAnsi="宋体"/>
          <w:bCs/>
          <w:color w:val="auto"/>
          <w:sz w:val="24"/>
        </w:rPr>
        <w:sectPr>
          <w:footerReference r:id="rId6" w:type="default"/>
          <w:pgSz w:w="11850" w:h="16783"/>
          <w:pgMar w:top="1440" w:right="1797" w:bottom="1440" w:left="1797" w:header="851" w:footer="992" w:gutter="0"/>
          <w:pgNumType w:fmt="decimal" w:start="1"/>
          <w:cols w:space="425" w:num="1"/>
          <w:docGrid w:linePitch="312" w:charSpace="0"/>
        </w:sectPr>
      </w:pPr>
    </w:p>
    <w:p w14:paraId="7C71AFA3">
      <w:pPr>
        <w:spacing w:line="560" w:lineRule="exact"/>
        <w:ind w:left="630" w:hanging="630" w:hangingChars="300"/>
        <w:rPr>
          <w:rFonts w:hint="eastAsia" w:ascii="宋体" w:hAnsi="宋体"/>
          <w:bCs/>
          <w:color w:val="auto"/>
          <w:szCs w:val="21"/>
        </w:rPr>
      </w:pPr>
    </w:p>
    <w:p w14:paraId="42A1197C">
      <w:pPr>
        <w:spacing w:line="560" w:lineRule="exact"/>
        <w:ind w:left="630" w:hanging="630" w:hangingChars="300"/>
        <w:rPr>
          <w:rFonts w:hint="eastAsia" w:ascii="宋体" w:hAnsi="宋体"/>
          <w:bCs/>
          <w:color w:val="auto"/>
          <w:szCs w:val="21"/>
        </w:rPr>
      </w:pPr>
      <w:r>
        <w:rPr>
          <w:rFonts w:hint="eastAsia" w:ascii="宋体" w:hAnsi="宋体"/>
          <w:bCs/>
          <w:color w:val="auto"/>
          <w:szCs w:val="21"/>
        </w:rPr>
        <w:t>甲方：</w:t>
      </w:r>
      <w:r>
        <w:rPr>
          <w:rFonts w:hint="eastAsia" w:ascii="宋体" w:hAnsi="宋体"/>
          <w:bCs/>
          <w:color w:val="auto"/>
          <w:szCs w:val="21"/>
          <w:lang w:eastAsia="zh-CN"/>
        </w:rPr>
        <w:t>肇庆市鼎湖区人民法院</w:t>
      </w:r>
      <w:r>
        <w:rPr>
          <w:rFonts w:hint="eastAsia" w:ascii="宋体" w:hAnsi="宋体"/>
          <w:bCs/>
          <w:color w:val="auto"/>
          <w:szCs w:val="21"/>
        </w:rPr>
        <w:t>（公章）</w:t>
      </w:r>
    </w:p>
    <w:p w14:paraId="74436B2F">
      <w:pPr>
        <w:spacing w:line="560" w:lineRule="exact"/>
        <w:rPr>
          <w:rFonts w:hint="eastAsia" w:ascii="宋体" w:hAnsi="宋体"/>
          <w:bCs/>
          <w:color w:val="auto"/>
          <w:szCs w:val="21"/>
        </w:rPr>
      </w:pPr>
    </w:p>
    <w:p w14:paraId="24F906C7">
      <w:pPr>
        <w:spacing w:line="560" w:lineRule="exact"/>
        <w:rPr>
          <w:rFonts w:hint="eastAsia" w:ascii="宋体" w:hAnsi="宋体"/>
          <w:bCs/>
          <w:color w:val="auto"/>
          <w:szCs w:val="21"/>
        </w:rPr>
      </w:pPr>
      <w:r>
        <w:rPr>
          <w:rFonts w:hint="eastAsia" w:ascii="宋体" w:hAnsi="宋体"/>
          <w:bCs/>
          <w:color w:val="auto"/>
          <w:szCs w:val="21"/>
        </w:rPr>
        <w:t>法定代表人或授权代表（签字或盖私章）</w:t>
      </w:r>
    </w:p>
    <w:p w14:paraId="5EFC1421">
      <w:pPr>
        <w:spacing w:line="560" w:lineRule="exact"/>
        <w:rPr>
          <w:rFonts w:hint="eastAsia" w:ascii="宋体" w:hAnsi="宋体"/>
          <w:bCs/>
          <w:color w:val="auto"/>
          <w:szCs w:val="21"/>
        </w:rPr>
      </w:pPr>
    </w:p>
    <w:p w14:paraId="17CCD547">
      <w:pPr>
        <w:spacing w:line="560" w:lineRule="exact"/>
        <w:ind w:left="630" w:hanging="630" w:hangingChars="300"/>
        <w:rPr>
          <w:rFonts w:hint="eastAsia" w:ascii="宋体" w:hAnsi="宋体" w:eastAsia="宋体"/>
          <w:bCs/>
          <w:color w:val="auto"/>
          <w:szCs w:val="21"/>
          <w:lang w:val="en-US" w:eastAsia="zh-CN"/>
        </w:rPr>
      </w:pPr>
      <w:r>
        <w:rPr>
          <w:rFonts w:hint="eastAsia" w:ascii="宋体" w:hAnsi="宋体"/>
          <w:bCs/>
          <w:color w:val="auto"/>
          <w:szCs w:val="21"/>
        </w:rPr>
        <w:t>地址：肇庆市鼎湖区</w:t>
      </w:r>
      <w:r>
        <w:rPr>
          <w:rFonts w:hint="eastAsia" w:ascii="宋体" w:hAnsi="宋体"/>
          <w:bCs/>
          <w:color w:val="auto"/>
          <w:szCs w:val="21"/>
          <w:lang w:val="en-US" w:eastAsia="zh-CN"/>
        </w:rPr>
        <w:t>桂城街道宝鼎路60号</w:t>
      </w:r>
    </w:p>
    <w:p w14:paraId="1F02008E">
      <w:pPr>
        <w:spacing w:line="560" w:lineRule="exact"/>
        <w:rPr>
          <w:rFonts w:hint="eastAsia" w:ascii="宋体" w:hAnsi="宋体"/>
          <w:bCs/>
          <w:color w:val="auto"/>
          <w:szCs w:val="21"/>
        </w:rPr>
      </w:pPr>
    </w:p>
    <w:p w14:paraId="61420F4A">
      <w:pPr>
        <w:spacing w:line="560" w:lineRule="exact"/>
        <w:rPr>
          <w:rFonts w:hint="default" w:ascii="宋体" w:hAnsi="宋体" w:eastAsia="宋体"/>
          <w:bCs/>
          <w:color w:val="auto"/>
          <w:szCs w:val="21"/>
          <w:lang w:val="en-US" w:eastAsia="zh-CN"/>
        </w:rPr>
      </w:pPr>
      <w:r>
        <w:rPr>
          <w:rFonts w:hint="eastAsia" w:ascii="宋体" w:hAnsi="宋体"/>
          <w:bCs/>
          <w:color w:val="auto"/>
          <w:szCs w:val="21"/>
        </w:rPr>
        <w:t>联系人</w:t>
      </w:r>
      <w:r>
        <w:rPr>
          <w:rFonts w:hint="eastAsia" w:ascii="宋体" w:hAnsi="宋体"/>
          <w:bCs/>
          <w:color w:val="auto"/>
          <w:szCs w:val="21"/>
          <w:lang w:eastAsia="zh-CN"/>
        </w:rPr>
        <w:t>：</w:t>
      </w:r>
      <w:r>
        <w:rPr>
          <w:rFonts w:hint="eastAsia" w:ascii="宋体" w:hAnsi="宋体"/>
          <w:bCs/>
          <w:color w:val="auto"/>
          <w:szCs w:val="21"/>
          <w:lang w:val="en-US" w:eastAsia="zh-CN"/>
        </w:rPr>
        <w:t>宋先生</w:t>
      </w:r>
    </w:p>
    <w:p w14:paraId="5EFF1C70">
      <w:pPr>
        <w:spacing w:line="560" w:lineRule="exact"/>
        <w:rPr>
          <w:rFonts w:hint="eastAsia" w:ascii="宋体" w:hAnsi="宋体"/>
          <w:bCs/>
          <w:color w:val="auto"/>
          <w:szCs w:val="21"/>
        </w:rPr>
      </w:pPr>
      <w:r>
        <w:rPr>
          <w:rFonts w:hint="eastAsia" w:ascii="宋体" w:hAnsi="宋体"/>
          <w:bCs/>
          <w:color w:val="auto"/>
          <w:szCs w:val="21"/>
        </w:rPr>
        <w:t>电话：</w:t>
      </w:r>
      <w:bookmarkEnd w:id="1"/>
      <w:r>
        <w:rPr>
          <w:rFonts w:hint="eastAsia" w:ascii="宋体" w:hAnsi="宋体"/>
          <w:bCs/>
          <w:color w:val="auto"/>
          <w:szCs w:val="21"/>
        </w:rPr>
        <w:t>0758-2625703</w:t>
      </w:r>
    </w:p>
    <w:p w14:paraId="27B7C35F">
      <w:pPr>
        <w:spacing w:line="560" w:lineRule="exact"/>
        <w:rPr>
          <w:rFonts w:hint="eastAsia" w:ascii="宋体" w:hAnsi="宋体"/>
          <w:bCs/>
          <w:color w:val="auto"/>
          <w:szCs w:val="21"/>
        </w:rPr>
      </w:pPr>
      <w:r>
        <w:rPr>
          <w:rFonts w:hint="eastAsia" w:ascii="宋体" w:hAnsi="宋体"/>
          <w:bCs/>
          <w:color w:val="auto"/>
          <w:szCs w:val="21"/>
        </w:rPr>
        <w:t>签订日期：2026年   月   日</w:t>
      </w:r>
    </w:p>
    <w:p w14:paraId="2049D6EB">
      <w:pPr>
        <w:spacing w:line="560" w:lineRule="exact"/>
        <w:ind w:left="840" w:leftChars="100" w:hanging="630" w:hangingChars="300"/>
        <w:rPr>
          <w:rFonts w:ascii="宋体" w:hAnsi="宋体"/>
          <w:bCs/>
          <w:color w:val="auto"/>
          <w:szCs w:val="21"/>
        </w:rPr>
      </w:pPr>
      <w:bookmarkStart w:id="3" w:name="_Hlk164175305"/>
    </w:p>
    <w:p w14:paraId="113BE820">
      <w:pPr>
        <w:spacing w:line="560" w:lineRule="exact"/>
        <w:ind w:left="840" w:leftChars="100" w:hanging="630" w:hangingChars="300"/>
        <w:rPr>
          <w:rFonts w:ascii="宋体" w:hAnsi="宋体"/>
          <w:bCs/>
          <w:color w:val="auto"/>
          <w:szCs w:val="21"/>
        </w:rPr>
      </w:pPr>
    </w:p>
    <w:p w14:paraId="4B6F7AB1">
      <w:pPr>
        <w:spacing w:line="560" w:lineRule="exact"/>
        <w:ind w:left="840" w:leftChars="100" w:hanging="630" w:hangingChars="300"/>
        <w:rPr>
          <w:rFonts w:ascii="宋体" w:hAnsi="宋体"/>
          <w:bCs/>
          <w:color w:val="auto"/>
          <w:szCs w:val="21"/>
        </w:rPr>
      </w:pPr>
    </w:p>
    <w:p w14:paraId="1D4EAB45">
      <w:pPr>
        <w:spacing w:line="560" w:lineRule="exact"/>
        <w:ind w:left="840" w:leftChars="100" w:hanging="630" w:hangingChars="300"/>
        <w:rPr>
          <w:rFonts w:ascii="宋体" w:hAnsi="宋体"/>
          <w:bCs/>
          <w:color w:val="auto"/>
          <w:szCs w:val="21"/>
        </w:rPr>
      </w:pPr>
    </w:p>
    <w:p w14:paraId="4B3CB734">
      <w:pPr>
        <w:spacing w:line="560" w:lineRule="exact"/>
        <w:ind w:left="840" w:leftChars="100" w:hanging="630" w:hangingChars="300"/>
        <w:rPr>
          <w:rFonts w:ascii="宋体" w:hAnsi="宋体"/>
          <w:bCs/>
          <w:color w:val="auto"/>
          <w:szCs w:val="21"/>
        </w:rPr>
      </w:pPr>
    </w:p>
    <w:p w14:paraId="550CD1F5">
      <w:pPr>
        <w:spacing w:line="560" w:lineRule="exact"/>
        <w:ind w:left="840" w:leftChars="100" w:hanging="630" w:hangingChars="300"/>
        <w:rPr>
          <w:rFonts w:hint="eastAsia" w:ascii="宋体" w:hAnsi="宋体"/>
          <w:bCs/>
          <w:color w:val="auto"/>
          <w:szCs w:val="21"/>
        </w:rPr>
      </w:pPr>
    </w:p>
    <w:p w14:paraId="22F97769">
      <w:pPr>
        <w:spacing w:line="560" w:lineRule="exact"/>
        <w:ind w:left="840" w:leftChars="100" w:hanging="630" w:hangingChars="300"/>
        <w:rPr>
          <w:rFonts w:hint="eastAsia" w:ascii="宋体" w:hAnsi="宋体"/>
          <w:bCs/>
          <w:color w:val="auto"/>
          <w:szCs w:val="21"/>
        </w:rPr>
      </w:pPr>
    </w:p>
    <w:p w14:paraId="3F9B1CC2">
      <w:pPr>
        <w:spacing w:line="560" w:lineRule="exact"/>
        <w:ind w:firstLine="210" w:firstLineChars="100"/>
        <w:rPr>
          <w:rFonts w:hint="eastAsia" w:ascii="宋体" w:hAnsi="宋体"/>
          <w:bCs/>
          <w:color w:val="auto"/>
          <w:szCs w:val="21"/>
        </w:rPr>
      </w:pPr>
      <w:r>
        <w:rPr>
          <w:rFonts w:hint="eastAsia" w:ascii="宋体" w:hAnsi="宋体"/>
          <w:bCs/>
          <w:color w:val="auto"/>
          <w:szCs w:val="21"/>
        </w:rPr>
        <w:t xml:space="preserve">乙方：肇庆市浩然招标代理有限公司 </w:t>
      </w:r>
    </w:p>
    <w:p w14:paraId="470B37DE">
      <w:pPr>
        <w:spacing w:line="560" w:lineRule="exact"/>
        <w:ind w:left="840" w:leftChars="300" w:hanging="210" w:hangingChars="100"/>
        <w:rPr>
          <w:rFonts w:hint="eastAsia" w:ascii="宋体" w:hAnsi="宋体"/>
          <w:bCs/>
          <w:color w:val="auto"/>
          <w:szCs w:val="21"/>
        </w:rPr>
      </w:pPr>
      <w:r>
        <w:rPr>
          <w:rFonts w:hint="eastAsia" w:ascii="宋体" w:hAnsi="宋体"/>
          <w:bCs/>
          <w:color w:val="auto"/>
          <w:szCs w:val="21"/>
        </w:rPr>
        <w:t>（公章）</w:t>
      </w:r>
    </w:p>
    <w:p w14:paraId="63474D8B">
      <w:pPr>
        <w:spacing w:line="560" w:lineRule="exact"/>
        <w:ind w:firstLine="210" w:firstLineChars="100"/>
        <w:rPr>
          <w:rFonts w:hint="eastAsia" w:ascii="宋体" w:hAnsi="宋体"/>
          <w:bCs/>
          <w:color w:val="auto"/>
          <w:szCs w:val="21"/>
        </w:rPr>
      </w:pPr>
      <w:r>
        <w:rPr>
          <w:rFonts w:hint="eastAsia" w:ascii="宋体" w:hAnsi="宋体"/>
          <w:bCs/>
          <w:color w:val="auto"/>
          <w:szCs w:val="21"/>
        </w:rPr>
        <w:t>法定代表人或授权代表（签字或盖私章）</w:t>
      </w:r>
    </w:p>
    <w:p w14:paraId="55D5959A">
      <w:pPr>
        <w:spacing w:line="560" w:lineRule="exact"/>
        <w:ind w:left="840" w:leftChars="100" w:hanging="630" w:hangingChars="300"/>
        <w:rPr>
          <w:rFonts w:hint="eastAsia" w:ascii="宋体" w:hAnsi="宋体"/>
          <w:bCs/>
          <w:color w:val="auto"/>
          <w:szCs w:val="21"/>
        </w:rPr>
      </w:pPr>
    </w:p>
    <w:p w14:paraId="12DE0D93">
      <w:pPr>
        <w:spacing w:line="560" w:lineRule="exact"/>
        <w:ind w:left="840" w:leftChars="100" w:hanging="630" w:hangingChars="300"/>
        <w:rPr>
          <w:rFonts w:hint="eastAsia" w:ascii="宋体" w:hAnsi="宋体"/>
          <w:bCs/>
          <w:color w:val="auto"/>
          <w:szCs w:val="21"/>
        </w:rPr>
      </w:pPr>
      <w:r>
        <w:rPr>
          <w:rFonts w:hint="eastAsia" w:ascii="宋体" w:hAnsi="宋体"/>
          <w:bCs/>
          <w:color w:val="auto"/>
          <w:szCs w:val="21"/>
        </w:rPr>
        <w:t>地址：肇庆市端州区建设二路80号智联梦工场C3幢三层307房</w:t>
      </w:r>
    </w:p>
    <w:p w14:paraId="7C0D7D72">
      <w:pPr>
        <w:spacing w:line="560" w:lineRule="exact"/>
        <w:ind w:left="840" w:leftChars="100" w:hanging="630" w:hangingChars="300"/>
        <w:rPr>
          <w:rFonts w:hint="eastAsia" w:ascii="宋体" w:hAnsi="宋体"/>
          <w:bCs/>
          <w:color w:val="auto"/>
          <w:szCs w:val="21"/>
        </w:rPr>
      </w:pPr>
      <w:r>
        <w:rPr>
          <w:rFonts w:hint="eastAsia" w:ascii="宋体" w:hAnsi="宋体"/>
          <w:bCs/>
          <w:color w:val="auto"/>
          <w:szCs w:val="21"/>
        </w:rPr>
        <w:t>联系人：冯先生</w:t>
      </w:r>
    </w:p>
    <w:p w14:paraId="11ABA6E0">
      <w:pPr>
        <w:spacing w:line="560" w:lineRule="exact"/>
        <w:ind w:left="840" w:leftChars="100" w:hanging="630" w:hangingChars="300"/>
        <w:rPr>
          <w:rFonts w:hint="eastAsia" w:ascii="宋体" w:hAnsi="宋体"/>
          <w:bCs/>
          <w:color w:val="auto"/>
          <w:szCs w:val="21"/>
        </w:rPr>
      </w:pPr>
      <w:r>
        <w:rPr>
          <w:rFonts w:hint="eastAsia" w:ascii="宋体" w:hAnsi="宋体"/>
          <w:bCs/>
          <w:color w:val="auto"/>
          <w:szCs w:val="21"/>
        </w:rPr>
        <w:t>电话：13760067250</w:t>
      </w:r>
      <w:bookmarkEnd w:id="2"/>
      <w:bookmarkEnd w:id="3"/>
    </w:p>
    <w:p w14:paraId="5EE06864">
      <w:pPr>
        <w:spacing w:line="560" w:lineRule="exact"/>
        <w:ind w:left="840" w:leftChars="100" w:hanging="630" w:hangingChars="300"/>
        <w:rPr>
          <w:color w:val="auto"/>
        </w:rPr>
      </w:pPr>
      <w:r>
        <w:rPr>
          <w:rFonts w:hint="eastAsia" w:ascii="宋体" w:hAnsi="宋体"/>
          <w:bCs/>
          <w:color w:val="auto"/>
          <w:szCs w:val="21"/>
        </w:rPr>
        <w:t>签订日期：2026年  月   日</w:t>
      </w:r>
    </w:p>
    <w:sectPr>
      <w:type w:val="continuous"/>
      <w:pgSz w:w="11850" w:h="16783"/>
      <w:pgMar w:top="1440" w:right="1797" w:bottom="1440" w:left="1797" w:header="851" w:footer="992" w:gutter="0"/>
      <w:pgNumType w:fmt="decimal"/>
      <w:cols w:equalWidth="0" w:num="2">
        <w:col w:w="3915" w:space="425"/>
        <w:col w:w="3915"/>
      </w:cols>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252C0">
    <w:pPr>
      <w:pStyle w:val="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453E3">
    <w:pPr>
      <w:pStyle w:val="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F532D">
    <w:pPr>
      <w:pStyle w:val="6"/>
      <w:ind w:firstLine="360"/>
    </w:pPr>
    <w:r>
      <w:rPr>
        <w:sz w:val="18"/>
      </w:rPr>
      <w:pict>
        <v:shape id="_x0000_s3076" o:spid="_x0000_s3076"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53B1F2CF">
                <w:pPr>
                  <w:pStyle w:val="6"/>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w:t>
                </w:r>
                <w: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A9FA4">
    <w:pPr>
      <w:pStyle w:val="7"/>
      <w:pBdr>
        <w:bottom w:val="none" w:color="auto" w:sz="0" w:space="0"/>
      </w:pBd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NotTrackMoves/>
  <w:documentProtection w:enforcement="0"/>
  <w:defaultTabStop w:val="420"/>
  <w:drawingGridVerticalSpacing w:val="156"/>
  <w:noPunctuationKerning w:val="1"/>
  <w:characterSpacingControl w:val="compressPunctuation"/>
  <w:noLineBreaksAfter w:lang="zh-CN" w:val="$([{£¥·‘“〈《「『【〔〖〝﹙﹛﹝＄（．［｛￡￥"/>
  <w:noLineBreaksBefore w:lang="zh-CN" w:val="!%),.:;&gt;?]}¢¨°·ˇˉ―‖’”…‰′″›℃∶、。〃〉》」』】〕〗〞︶︺︾﹀﹄﹚﹜﹞！＂％＇），．：；？］｀｜｝～￠"/>
  <w:hdrShapeDefaults>
    <o:shapelayout v:ext="edit">
      <o:idmap v:ext="edit" data="1,3"/>
    </o:shapelayout>
  </w:hdrShapeDefaults>
  <w:compat>
    <w:spaceForUL/>
    <w:balanceSingleByteDoubleByteWidth/>
    <w:doNotLeaveBackslashAlon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jZlZjMwMDhhMTJkMDEwODliZjgwMTExOGMxYTlhNmMifQ=="/>
  </w:docVars>
  <w:rsids>
    <w:rsidRoot w:val="0077570F"/>
    <w:rsid w:val="00005153"/>
    <w:rsid w:val="00006819"/>
    <w:rsid w:val="00010324"/>
    <w:rsid w:val="000228CB"/>
    <w:rsid w:val="00024BD6"/>
    <w:rsid w:val="000305E8"/>
    <w:rsid w:val="0003145B"/>
    <w:rsid w:val="00032479"/>
    <w:rsid w:val="00035E33"/>
    <w:rsid w:val="00062C0E"/>
    <w:rsid w:val="00065D6B"/>
    <w:rsid w:val="0007057A"/>
    <w:rsid w:val="00071560"/>
    <w:rsid w:val="000B32E8"/>
    <w:rsid w:val="000B56D1"/>
    <w:rsid w:val="000D0BF9"/>
    <w:rsid w:val="000D3109"/>
    <w:rsid w:val="000E595C"/>
    <w:rsid w:val="000F2CF9"/>
    <w:rsid w:val="000F5682"/>
    <w:rsid w:val="00112CB8"/>
    <w:rsid w:val="001232E6"/>
    <w:rsid w:val="00144F88"/>
    <w:rsid w:val="001520E5"/>
    <w:rsid w:val="001632CD"/>
    <w:rsid w:val="001875C6"/>
    <w:rsid w:val="001A6BE3"/>
    <w:rsid w:val="001B4804"/>
    <w:rsid w:val="001B7647"/>
    <w:rsid w:val="001B7EAD"/>
    <w:rsid w:val="001D09DA"/>
    <w:rsid w:val="001D1148"/>
    <w:rsid w:val="002145DA"/>
    <w:rsid w:val="00230024"/>
    <w:rsid w:val="00240150"/>
    <w:rsid w:val="00244B16"/>
    <w:rsid w:val="0025794D"/>
    <w:rsid w:val="002675CC"/>
    <w:rsid w:val="002808D0"/>
    <w:rsid w:val="002942DD"/>
    <w:rsid w:val="00295C17"/>
    <w:rsid w:val="002A4E05"/>
    <w:rsid w:val="002A70B2"/>
    <w:rsid w:val="002B4233"/>
    <w:rsid w:val="002B5668"/>
    <w:rsid w:val="002C5126"/>
    <w:rsid w:val="002E53A9"/>
    <w:rsid w:val="002E7E1B"/>
    <w:rsid w:val="002F134E"/>
    <w:rsid w:val="002F6994"/>
    <w:rsid w:val="00303D62"/>
    <w:rsid w:val="00325E4F"/>
    <w:rsid w:val="00331237"/>
    <w:rsid w:val="00331B42"/>
    <w:rsid w:val="00333273"/>
    <w:rsid w:val="00352758"/>
    <w:rsid w:val="0039213F"/>
    <w:rsid w:val="003A3818"/>
    <w:rsid w:val="003A547C"/>
    <w:rsid w:val="003A7EEA"/>
    <w:rsid w:val="003B25A9"/>
    <w:rsid w:val="003C5724"/>
    <w:rsid w:val="003F0812"/>
    <w:rsid w:val="003F4340"/>
    <w:rsid w:val="00400B17"/>
    <w:rsid w:val="0042284A"/>
    <w:rsid w:val="004303BE"/>
    <w:rsid w:val="00450B60"/>
    <w:rsid w:val="004518EB"/>
    <w:rsid w:val="00451BE1"/>
    <w:rsid w:val="004944C9"/>
    <w:rsid w:val="004B32A2"/>
    <w:rsid w:val="004B6DD9"/>
    <w:rsid w:val="004D0151"/>
    <w:rsid w:val="004E09F4"/>
    <w:rsid w:val="004E7729"/>
    <w:rsid w:val="004F09D4"/>
    <w:rsid w:val="004F1226"/>
    <w:rsid w:val="004F7757"/>
    <w:rsid w:val="0050425F"/>
    <w:rsid w:val="005058C6"/>
    <w:rsid w:val="005142FA"/>
    <w:rsid w:val="005237AC"/>
    <w:rsid w:val="005446E0"/>
    <w:rsid w:val="00544866"/>
    <w:rsid w:val="00547433"/>
    <w:rsid w:val="005778F4"/>
    <w:rsid w:val="00581ACE"/>
    <w:rsid w:val="005824AD"/>
    <w:rsid w:val="005B01BA"/>
    <w:rsid w:val="005B528C"/>
    <w:rsid w:val="005C23F5"/>
    <w:rsid w:val="005C5A23"/>
    <w:rsid w:val="005C5AC3"/>
    <w:rsid w:val="005C5E83"/>
    <w:rsid w:val="005F3820"/>
    <w:rsid w:val="00615ABF"/>
    <w:rsid w:val="00622207"/>
    <w:rsid w:val="006416D2"/>
    <w:rsid w:val="00647310"/>
    <w:rsid w:val="00660D35"/>
    <w:rsid w:val="00661D29"/>
    <w:rsid w:val="00675521"/>
    <w:rsid w:val="00697350"/>
    <w:rsid w:val="006A31AD"/>
    <w:rsid w:val="006A32B5"/>
    <w:rsid w:val="006A5745"/>
    <w:rsid w:val="006A62C8"/>
    <w:rsid w:val="006D5F95"/>
    <w:rsid w:val="006E7A2F"/>
    <w:rsid w:val="00703079"/>
    <w:rsid w:val="00703149"/>
    <w:rsid w:val="00724263"/>
    <w:rsid w:val="00730CF3"/>
    <w:rsid w:val="007472E1"/>
    <w:rsid w:val="00756BFC"/>
    <w:rsid w:val="0077570F"/>
    <w:rsid w:val="0079679D"/>
    <w:rsid w:val="007A2ECD"/>
    <w:rsid w:val="007B3424"/>
    <w:rsid w:val="007B50E7"/>
    <w:rsid w:val="007B6A71"/>
    <w:rsid w:val="007C0FC7"/>
    <w:rsid w:val="007D7678"/>
    <w:rsid w:val="00810595"/>
    <w:rsid w:val="00812ED1"/>
    <w:rsid w:val="0081782D"/>
    <w:rsid w:val="00826EC3"/>
    <w:rsid w:val="00862910"/>
    <w:rsid w:val="00884EB6"/>
    <w:rsid w:val="00895833"/>
    <w:rsid w:val="008A4139"/>
    <w:rsid w:val="008A4BFC"/>
    <w:rsid w:val="008C72A7"/>
    <w:rsid w:val="008D5B12"/>
    <w:rsid w:val="008D6241"/>
    <w:rsid w:val="008D6A16"/>
    <w:rsid w:val="008E0AC3"/>
    <w:rsid w:val="008E20D6"/>
    <w:rsid w:val="00900567"/>
    <w:rsid w:val="00902EBE"/>
    <w:rsid w:val="0092194E"/>
    <w:rsid w:val="00936784"/>
    <w:rsid w:val="009402BD"/>
    <w:rsid w:val="0094463F"/>
    <w:rsid w:val="00944806"/>
    <w:rsid w:val="00950B18"/>
    <w:rsid w:val="0097193D"/>
    <w:rsid w:val="00976043"/>
    <w:rsid w:val="009822C9"/>
    <w:rsid w:val="00992275"/>
    <w:rsid w:val="0099715F"/>
    <w:rsid w:val="009B7512"/>
    <w:rsid w:val="009E066E"/>
    <w:rsid w:val="009E515D"/>
    <w:rsid w:val="009F66DD"/>
    <w:rsid w:val="00A01CA9"/>
    <w:rsid w:val="00A053EB"/>
    <w:rsid w:val="00A13189"/>
    <w:rsid w:val="00A31635"/>
    <w:rsid w:val="00A31E17"/>
    <w:rsid w:val="00A508BA"/>
    <w:rsid w:val="00A51916"/>
    <w:rsid w:val="00A56F7D"/>
    <w:rsid w:val="00A73301"/>
    <w:rsid w:val="00A80A67"/>
    <w:rsid w:val="00A96335"/>
    <w:rsid w:val="00AA3836"/>
    <w:rsid w:val="00AB4B2B"/>
    <w:rsid w:val="00AB5812"/>
    <w:rsid w:val="00AD46EB"/>
    <w:rsid w:val="00AE635F"/>
    <w:rsid w:val="00AF6FBF"/>
    <w:rsid w:val="00B0190C"/>
    <w:rsid w:val="00B03634"/>
    <w:rsid w:val="00B12589"/>
    <w:rsid w:val="00B202C8"/>
    <w:rsid w:val="00B2635A"/>
    <w:rsid w:val="00B409DC"/>
    <w:rsid w:val="00B413A7"/>
    <w:rsid w:val="00B67B09"/>
    <w:rsid w:val="00B831CB"/>
    <w:rsid w:val="00B849A6"/>
    <w:rsid w:val="00B95018"/>
    <w:rsid w:val="00BB1FE8"/>
    <w:rsid w:val="00BC74A6"/>
    <w:rsid w:val="00BE1736"/>
    <w:rsid w:val="00BE1A01"/>
    <w:rsid w:val="00BE331E"/>
    <w:rsid w:val="00C0426A"/>
    <w:rsid w:val="00C044AA"/>
    <w:rsid w:val="00C062F8"/>
    <w:rsid w:val="00C13A2F"/>
    <w:rsid w:val="00C16F7C"/>
    <w:rsid w:val="00C22F14"/>
    <w:rsid w:val="00C50A90"/>
    <w:rsid w:val="00C67E80"/>
    <w:rsid w:val="00C81002"/>
    <w:rsid w:val="00C96B6A"/>
    <w:rsid w:val="00CA21FC"/>
    <w:rsid w:val="00CA6583"/>
    <w:rsid w:val="00CB6B09"/>
    <w:rsid w:val="00CC36AF"/>
    <w:rsid w:val="00CD46EE"/>
    <w:rsid w:val="00CE1111"/>
    <w:rsid w:val="00CE4935"/>
    <w:rsid w:val="00CF20D1"/>
    <w:rsid w:val="00CF670F"/>
    <w:rsid w:val="00D076F3"/>
    <w:rsid w:val="00D07AF1"/>
    <w:rsid w:val="00D11E01"/>
    <w:rsid w:val="00D24EC0"/>
    <w:rsid w:val="00D2662E"/>
    <w:rsid w:val="00D30B77"/>
    <w:rsid w:val="00D555CF"/>
    <w:rsid w:val="00D607F1"/>
    <w:rsid w:val="00D669E6"/>
    <w:rsid w:val="00D87D54"/>
    <w:rsid w:val="00DA0627"/>
    <w:rsid w:val="00DA38F6"/>
    <w:rsid w:val="00DA7357"/>
    <w:rsid w:val="00DB1602"/>
    <w:rsid w:val="00DB5C82"/>
    <w:rsid w:val="00DB7E23"/>
    <w:rsid w:val="00DE2FB8"/>
    <w:rsid w:val="00DF65CF"/>
    <w:rsid w:val="00E07A5F"/>
    <w:rsid w:val="00E13C1A"/>
    <w:rsid w:val="00E33008"/>
    <w:rsid w:val="00E34736"/>
    <w:rsid w:val="00E42234"/>
    <w:rsid w:val="00E4360D"/>
    <w:rsid w:val="00E5247A"/>
    <w:rsid w:val="00E60D0D"/>
    <w:rsid w:val="00E71876"/>
    <w:rsid w:val="00E87280"/>
    <w:rsid w:val="00EA3BEA"/>
    <w:rsid w:val="00EB1D30"/>
    <w:rsid w:val="00EC329F"/>
    <w:rsid w:val="00ED2E38"/>
    <w:rsid w:val="00ED6999"/>
    <w:rsid w:val="00EE0D2A"/>
    <w:rsid w:val="00EE0E82"/>
    <w:rsid w:val="00EE5EB7"/>
    <w:rsid w:val="00EF30F3"/>
    <w:rsid w:val="00F10277"/>
    <w:rsid w:val="00F13C95"/>
    <w:rsid w:val="00F2134E"/>
    <w:rsid w:val="00F33550"/>
    <w:rsid w:val="00F45AC4"/>
    <w:rsid w:val="00F721CF"/>
    <w:rsid w:val="00F731AC"/>
    <w:rsid w:val="00F8573F"/>
    <w:rsid w:val="00F963C4"/>
    <w:rsid w:val="00FA09DC"/>
    <w:rsid w:val="00FA1868"/>
    <w:rsid w:val="00FB2B19"/>
    <w:rsid w:val="00FB7D11"/>
    <w:rsid w:val="00FC20DE"/>
    <w:rsid w:val="00FE3DF7"/>
    <w:rsid w:val="00FE7909"/>
    <w:rsid w:val="026A1437"/>
    <w:rsid w:val="02D447E6"/>
    <w:rsid w:val="033B5B7D"/>
    <w:rsid w:val="03B34FA0"/>
    <w:rsid w:val="04D439D9"/>
    <w:rsid w:val="04F526D5"/>
    <w:rsid w:val="04F544F7"/>
    <w:rsid w:val="05130001"/>
    <w:rsid w:val="0518580F"/>
    <w:rsid w:val="060A0D38"/>
    <w:rsid w:val="066906D8"/>
    <w:rsid w:val="0670547F"/>
    <w:rsid w:val="06BF3643"/>
    <w:rsid w:val="0788227F"/>
    <w:rsid w:val="086D0107"/>
    <w:rsid w:val="09694196"/>
    <w:rsid w:val="097E3822"/>
    <w:rsid w:val="0A590C06"/>
    <w:rsid w:val="0AA35D97"/>
    <w:rsid w:val="0AE70F2C"/>
    <w:rsid w:val="0B5C0C56"/>
    <w:rsid w:val="0BED7339"/>
    <w:rsid w:val="0D14277A"/>
    <w:rsid w:val="0D357CEB"/>
    <w:rsid w:val="0F49619F"/>
    <w:rsid w:val="0F763B9E"/>
    <w:rsid w:val="0FE60784"/>
    <w:rsid w:val="100B7D9E"/>
    <w:rsid w:val="10A25D6E"/>
    <w:rsid w:val="10B978BF"/>
    <w:rsid w:val="11033175"/>
    <w:rsid w:val="117D2A94"/>
    <w:rsid w:val="12424364"/>
    <w:rsid w:val="127B477E"/>
    <w:rsid w:val="12AB3EBD"/>
    <w:rsid w:val="14543E24"/>
    <w:rsid w:val="1462173A"/>
    <w:rsid w:val="15047715"/>
    <w:rsid w:val="15D93267"/>
    <w:rsid w:val="16860086"/>
    <w:rsid w:val="17300ED4"/>
    <w:rsid w:val="191F31CB"/>
    <w:rsid w:val="1B1D775A"/>
    <w:rsid w:val="1D0D0381"/>
    <w:rsid w:val="1EFC36C1"/>
    <w:rsid w:val="1F54739E"/>
    <w:rsid w:val="1FB021B1"/>
    <w:rsid w:val="1FBB215C"/>
    <w:rsid w:val="20234B6C"/>
    <w:rsid w:val="2245209A"/>
    <w:rsid w:val="22CD0DE4"/>
    <w:rsid w:val="22EF51E3"/>
    <w:rsid w:val="22FA5B71"/>
    <w:rsid w:val="23B63D70"/>
    <w:rsid w:val="24AA6EF2"/>
    <w:rsid w:val="2543314E"/>
    <w:rsid w:val="271B2D57"/>
    <w:rsid w:val="27FD1DFF"/>
    <w:rsid w:val="281318C7"/>
    <w:rsid w:val="28485DA6"/>
    <w:rsid w:val="28AB7E55"/>
    <w:rsid w:val="28CE60E5"/>
    <w:rsid w:val="29EC17D9"/>
    <w:rsid w:val="2A01761D"/>
    <w:rsid w:val="2A8F7079"/>
    <w:rsid w:val="2AE1634D"/>
    <w:rsid w:val="2C214469"/>
    <w:rsid w:val="2DDA6326"/>
    <w:rsid w:val="2E206CE0"/>
    <w:rsid w:val="2E5C51CB"/>
    <w:rsid w:val="2EE47B19"/>
    <w:rsid w:val="30270329"/>
    <w:rsid w:val="30427468"/>
    <w:rsid w:val="30CA5BA3"/>
    <w:rsid w:val="30DC61A7"/>
    <w:rsid w:val="311741D6"/>
    <w:rsid w:val="31870992"/>
    <w:rsid w:val="3199614E"/>
    <w:rsid w:val="31A0226A"/>
    <w:rsid w:val="327D6F54"/>
    <w:rsid w:val="32B17A38"/>
    <w:rsid w:val="32EA057A"/>
    <w:rsid w:val="3462279D"/>
    <w:rsid w:val="34D24A2C"/>
    <w:rsid w:val="352F3435"/>
    <w:rsid w:val="35327830"/>
    <w:rsid w:val="3761380F"/>
    <w:rsid w:val="37B92198"/>
    <w:rsid w:val="37D4147C"/>
    <w:rsid w:val="39BE65DA"/>
    <w:rsid w:val="3A566E8E"/>
    <w:rsid w:val="3B405B93"/>
    <w:rsid w:val="3BE8054A"/>
    <w:rsid w:val="3C1362D9"/>
    <w:rsid w:val="3CF37426"/>
    <w:rsid w:val="3D452A59"/>
    <w:rsid w:val="3DF54B0E"/>
    <w:rsid w:val="3F967D7D"/>
    <w:rsid w:val="3F9C03CE"/>
    <w:rsid w:val="41347D81"/>
    <w:rsid w:val="41477116"/>
    <w:rsid w:val="4153394F"/>
    <w:rsid w:val="416E3358"/>
    <w:rsid w:val="42ED79AD"/>
    <w:rsid w:val="43716BFE"/>
    <w:rsid w:val="45EC3A2B"/>
    <w:rsid w:val="46741E4D"/>
    <w:rsid w:val="46A1659A"/>
    <w:rsid w:val="46C634A8"/>
    <w:rsid w:val="47071050"/>
    <w:rsid w:val="47AC52E4"/>
    <w:rsid w:val="47BE39F1"/>
    <w:rsid w:val="48C113ED"/>
    <w:rsid w:val="49AF6F30"/>
    <w:rsid w:val="49D11C72"/>
    <w:rsid w:val="4A785027"/>
    <w:rsid w:val="4C5478AD"/>
    <w:rsid w:val="4D43674A"/>
    <w:rsid w:val="4DAF0082"/>
    <w:rsid w:val="4E5C696B"/>
    <w:rsid w:val="4EB6202F"/>
    <w:rsid w:val="4FEA236C"/>
    <w:rsid w:val="4FF350F5"/>
    <w:rsid w:val="501D152F"/>
    <w:rsid w:val="502F71A3"/>
    <w:rsid w:val="504A70AE"/>
    <w:rsid w:val="50964C87"/>
    <w:rsid w:val="52393C5C"/>
    <w:rsid w:val="528A1057"/>
    <w:rsid w:val="541B2CB4"/>
    <w:rsid w:val="556100D0"/>
    <w:rsid w:val="55B33C1E"/>
    <w:rsid w:val="55C81342"/>
    <w:rsid w:val="55D53954"/>
    <w:rsid w:val="55EB6982"/>
    <w:rsid w:val="57241047"/>
    <w:rsid w:val="573A7C55"/>
    <w:rsid w:val="58681C68"/>
    <w:rsid w:val="5994336E"/>
    <w:rsid w:val="59C1682F"/>
    <w:rsid w:val="59CB1484"/>
    <w:rsid w:val="59E92304"/>
    <w:rsid w:val="5A617691"/>
    <w:rsid w:val="5B5E1E12"/>
    <w:rsid w:val="5C9E0E30"/>
    <w:rsid w:val="5CB62283"/>
    <w:rsid w:val="5E107B48"/>
    <w:rsid w:val="5F6D5B36"/>
    <w:rsid w:val="5F912626"/>
    <w:rsid w:val="605F0408"/>
    <w:rsid w:val="606D0DB3"/>
    <w:rsid w:val="61C269E5"/>
    <w:rsid w:val="629209C1"/>
    <w:rsid w:val="63A07973"/>
    <w:rsid w:val="6459168D"/>
    <w:rsid w:val="66576E55"/>
    <w:rsid w:val="66980909"/>
    <w:rsid w:val="67212929"/>
    <w:rsid w:val="679113F7"/>
    <w:rsid w:val="685533F1"/>
    <w:rsid w:val="68DC1A18"/>
    <w:rsid w:val="6A576597"/>
    <w:rsid w:val="6AA87B05"/>
    <w:rsid w:val="6AE96F78"/>
    <w:rsid w:val="6B9B3ECF"/>
    <w:rsid w:val="6C736E80"/>
    <w:rsid w:val="6DBB6209"/>
    <w:rsid w:val="6F06113C"/>
    <w:rsid w:val="6F7F20D9"/>
    <w:rsid w:val="713204CE"/>
    <w:rsid w:val="713902CF"/>
    <w:rsid w:val="71995F66"/>
    <w:rsid w:val="71E9087E"/>
    <w:rsid w:val="749A00F8"/>
    <w:rsid w:val="74DC152F"/>
    <w:rsid w:val="74F70081"/>
    <w:rsid w:val="75355623"/>
    <w:rsid w:val="75A650DD"/>
    <w:rsid w:val="76836307"/>
    <w:rsid w:val="77312EF8"/>
    <w:rsid w:val="77566BB6"/>
    <w:rsid w:val="77A25DB2"/>
    <w:rsid w:val="783C2AF8"/>
    <w:rsid w:val="78C3154B"/>
    <w:rsid w:val="78D96E5A"/>
    <w:rsid w:val="7A447EA8"/>
    <w:rsid w:val="7ADD4435"/>
    <w:rsid w:val="7B3B4B4C"/>
    <w:rsid w:val="7BBC24DC"/>
    <w:rsid w:val="7BC54DD4"/>
    <w:rsid w:val="7C3735CD"/>
    <w:rsid w:val="7D74168F"/>
    <w:rsid w:val="7D767F88"/>
    <w:rsid w:val="7DF43B03"/>
    <w:rsid w:val="7F5B22E6"/>
    <w:rsid w:val="7FE1631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ocked="1"/>
    <w:lsdException w:qFormat="1" w:unhideWhenUsed="0" w:uiPriority="0" w:semiHidden="0" w:name="Emphasis" w:locked="1"/>
    <w:lsdException w:uiPriority="99" w:name="Document Map"/>
    <w:lsdException w:qFormat="1"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locked/>
    <w:uiPriority w:val="99"/>
    <w:pPr>
      <w:keepNext/>
      <w:keepLines/>
      <w:spacing w:before="340" w:after="330" w:line="578" w:lineRule="auto"/>
      <w:outlineLvl w:val="0"/>
    </w:pPr>
    <w:rPr>
      <w:b/>
      <w:bCs/>
      <w:kern w:val="44"/>
      <w:sz w:val="44"/>
      <w:szCs w:val="44"/>
    </w:rPr>
  </w:style>
  <w:style w:type="paragraph" w:styleId="3">
    <w:name w:val="heading 2"/>
    <w:basedOn w:val="1"/>
    <w:next w:val="1"/>
    <w:link w:val="14"/>
    <w:qFormat/>
    <w:locked/>
    <w:uiPriority w:val="99"/>
    <w:pPr>
      <w:spacing w:beforeAutospacing="1" w:afterAutospacing="1"/>
      <w:jc w:val="left"/>
      <w:outlineLvl w:val="1"/>
    </w:pPr>
    <w:rPr>
      <w:rFonts w:ascii="宋体" w:hAnsi="宋体"/>
      <w:b/>
      <w:kern w:val="0"/>
      <w:sz w:val="36"/>
      <w:szCs w:val="36"/>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link w:val="15"/>
    <w:qFormat/>
    <w:uiPriority w:val="99"/>
    <w:pPr>
      <w:spacing w:after="120"/>
      <w:ind w:left="420" w:leftChars="200"/>
    </w:pPr>
    <w:rPr>
      <w:sz w:val="24"/>
    </w:rPr>
  </w:style>
  <w:style w:type="paragraph" w:styleId="5">
    <w:name w:val="Plain Text"/>
    <w:basedOn w:val="1"/>
    <w:next w:val="1"/>
    <w:link w:val="18"/>
    <w:unhideWhenUsed/>
    <w:qFormat/>
    <w:uiPriority w:val="0"/>
    <w:rPr>
      <w:rFonts w:ascii="宋体" w:hAnsi="Courier New" w:cs="Courier New"/>
      <w:szCs w:val="21"/>
    </w:rPr>
  </w:style>
  <w:style w:type="paragraph" w:styleId="6">
    <w:name w:val="footer"/>
    <w:basedOn w:val="1"/>
    <w:link w:val="16"/>
    <w:qFormat/>
    <w:uiPriority w:val="99"/>
    <w:pPr>
      <w:tabs>
        <w:tab w:val="center" w:pos="4153"/>
        <w:tab w:val="right" w:pos="8306"/>
      </w:tabs>
      <w:snapToGrid w:val="0"/>
      <w:jc w:val="left"/>
    </w:pPr>
    <w:rPr>
      <w:sz w:val="18"/>
      <w:szCs w:val="18"/>
    </w:rPr>
  </w:style>
  <w:style w:type="paragraph" w:styleId="7">
    <w:name w:val="header"/>
    <w:basedOn w:val="1"/>
    <w:link w:val="17"/>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qFormat/>
    <w:locked/>
    <w:uiPriority w:val="99"/>
    <w:rPr>
      <w:rFonts w:cs="Times New Roman"/>
      <w:b/>
    </w:rPr>
  </w:style>
  <w:style w:type="character" w:styleId="12">
    <w:name w:val="FollowedHyperlink"/>
    <w:qFormat/>
    <w:uiPriority w:val="99"/>
    <w:rPr>
      <w:rFonts w:cs="Times New Roman"/>
      <w:color w:val="313E3E"/>
      <w:u w:val="none"/>
    </w:rPr>
  </w:style>
  <w:style w:type="character" w:styleId="13">
    <w:name w:val="Hyperlink"/>
    <w:qFormat/>
    <w:uiPriority w:val="99"/>
    <w:rPr>
      <w:rFonts w:cs="Times New Roman"/>
      <w:color w:val="313E3E"/>
      <w:sz w:val="18"/>
      <w:szCs w:val="18"/>
      <w:u w:val="none"/>
    </w:rPr>
  </w:style>
  <w:style w:type="character" w:customStyle="1" w:styleId="14">
    <w:name w:val="标题 2 字符"/>
    <w:link w:val="3"/>
    <w:semiHidden/>
    <w:qFormat/>
    <w:locked/>
    <w:uiPriority w:val="99"/>
    <w:rPr>
      <w:rFonts w:ascii="Cambria" w:hAnsi="Cambria" w:eastAsia="宋体" w:cs="Times New Roman"/>
      <w:b/>
      <w:bCs/>
      <w:sz w:val="32"/>
      <w:szCs w:val="32"/>
    </w:rPr>
  </w:style>
  <w:style w:type="character" w:customStyle="1" w:styleId="15">
    <w:name w:val="正文文本缩进 字符"/>
    <w:link w:val="4"/>
    <w:semiHidden/>
    <w:qFormat/>
    <w:locked/>
    <w:uiPriority w:val="99"/>
    <w:rPr>
      <w:rFonts w:cs="Times New Roman"/>
      <w:sz w:val="24"/>
      <w:szCs w:val="24"/>
    </w:rPr>
  </w:style>
  <w:style w:type="character" w:customStyle="1" w:styleId="16">
    <w:name w:val="页脚 字符"/>
    <w:link w:val="6"/>
    <w:semiHidden/>
    <w:qFormat/>
    <w:locked/>
    <w:uiPriority w:val="99"/>
    <w:rPr>
      <w:rFonts w:cs="Times New Roman"/>
      <w:sz w:val="18"/>
      <w:szCs w:val="18"/>
    </w:rPr>
  </w:style>
  <w:style w:type="character" w:customStyle="1" w:styleId="17">
    <w:name w:val="页眉 字符"/>
    <w:link w:val="7"/>
    <w:semiHidden/>
    <w:qFormat/>
    <w:locked/>
    <w:uiPriority w:val="99"/>
    <w:rPr>
      <w:rFonts w:cs="Times New Roman"/>
      <w:sz w:val="18"/>
      <w:szCs w:val="18"/>
    </w:rPr>
  </w:style>
  <w:style w:type="character" w:customStyle="1" w:styleId="18">
    <w:name w:val="纯文本 字符"/>
    <w:link w:val="5"/>
    <w:qFormat/>
    <w:uiPriority w:val="0"/>
    <w:rPr>
      <w:rFonts w:ascii="宋体" w:hAnsi="Courier New" w:cs="Courier New"/>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91</Words>
  <Characters>107</Characters>
  <Lines>18</Lines>
  <Paragraphs>5</Paragraphs>
  <TotalTime>4</TotalTime>
  <ScaleCrop>false</ScaleCrop>
  <LinksUpToDate>false</LinksUpToDate>
  <CharactersWithSpaces>109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肇庆市浩然招标代理有限公司</cp:lastModifiedBy>
  <cp:lastPrinted>2026-09-01T04:49:49Z</cp:lastPrinted>
  <dcterms:modified xsi:type="dcterms:W3CDTF">2026-09-01T04:54:18Z</dcterms:modified>
  <cp:revision>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44ACD8683B9C49E1B767CB2352AC5C7A</vt:lpwstr>
  </property>
  <property fmtid="{D5CDD505-2E9C-101B-9397-08002B2CF9AE}" pid="4" name="KSOTemplateDocerSaveRecord">
    <vt:lpwstr>eyJoZGlkIjoiZDYyNzk4ODc1ZGNhNjY3MDAyYWUwZTNkZDdlYjQ1NDIiLCJ1c2VySWQiOiIxMTMwNTI4MjUyIn0=</vt:lpwstr>
  </property>
</Properties>
</file>