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1B0D83">
      <w:pPr>
        <w:keepNext w:val="0"/>
        <w:widowControl w:val="0"/>
        <w:adjustRightInd w:val="0"/>
        <w:snapToGrid w:val="0"/>
        <w:spacing w:before="156" w:beforeLines="50" w:line="360" w:lineRule="auto"/>
        <w:jc w:val="center"/>
        <w:outlineLvl w:val="0"/>
        <w:rPr>
          <w:rFonts w:ascii="黑体" w:hAnsi="华文中宋" w:eastAsia="黑体" w:cs="Times New Roman"/>
          <w:b/>
          <w:bCs/>
          <w:kern w:val="2"/>
          <w:sz w:val="32"/>
          <w:szCs w:val="32"/>
          <w:lang w:val="en-US" w:eastAsia="zh-CN" w:bidi="ar-SA"/>
        </w:rPr>
      </w:pPr>
      <w:bookmarkStart w:id="0" w:name="_Toc256000037"/>
      <w:r>
        <w:rPr>
          <w:rFonts w:hint="eastAsia" w:ascii="黑体" w:hAnsi="华文中宋" w:eastAsia="黑体" w:cs="Times New Roman"/>
          <w:b/>
          <w:bCs/>
          <w:kern w:val="2"/>
          <w:sz w:val="32"/>
          <w:szCs w:val="32"/>
          <w:highlight w:val="white"/>
          <w:lang w:val="en-US" w:eastAsia="zh-CN" w:bidi="ar-SA"/>
        </w:rPr>
        <w:t>第五章 采购需求</w:t>
      </w:r>
      <w:bookmarkEnd w:id="0"/>
    </w:p>
    <w:p w14:paraId="456FB3BE">
      <w:pPr>
        <w:rPr>
          <w:rFonts w:hint="eastAsia" w:ascii="Calibri" w:hAnsi="Calibri" w:eastAsia="宋体" w:cs="Times New Roman"/>
          <w:highlight w:val="red"/>
        </w:rPr>
      </w:pPr>
      <w:bookmarkStart w:id="31" w:name="_GoBack"/>
      <w:bookmarkEnd w:id="31"/>
    </w:p>
    <w:p w14:paraId="29CB96B6">
      <w:pPr>
        <w:pStyle w:val="5"/>
        <w:keepNext/>
        <w:keepLines/>
        <w:numPr>
          <w:ilvl w:val="0"/>
          <w:numId w:val="1"/>
        </w:numPr>
        <w:spacing w:line="360" w:lineRule="auto"/>
        <w:jc w:val="center"/>
        <w:outlineLvl w:val="1"/>
        <w:rPr>
          <w:rStyle w:val="4"/>
          <w:rFonts w:ascii="Arial" w:hAnsi="Arial"/>
          <w:b/>
          <w:bCs/>
          <w:sz w:val="24"/>
          <w:szCs w:val="32"/>
        </w:rPr>
      </w:pPr>
      <w:bookmarkStart w:id="1" w:name="_Toc199"/>
      <w:bookmarkStart w:id="2" w:name="_Toc256000038"/>
      <w:bookmarkStart w:id="3" w:name="_Toc10744"/>
      <w:r>
        <w:rPr>
          <w:rStyle w:val="4"/>
          <w:rFonts w:hint="eastAsia" w:ascii="Arial" w:hAnsi="Arial"/>
          <w:b/>
          <w:bCs/>
          <w:sz w:val="24"/>
          <w:szCs w:val="32"/>
        </w:rPr>
        <w:t>采购清单一览表</w:t>
      </w:r>
      <w:bookmarkEnd w:id="1"/>
      <w:bookmarkEnd w:id="2"/>
      <w:bookmarkEnd w:id="3"/>
    </w:p>
    <w:tbl>
      <w:tblPr>
        <w:tblStyle w:val="3"/>
        <w:tblW w:w="893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05"/>
        <w:gridCol w:w="1044"/>
        <w:gridCol w:w="1524"/>
        <w:gridCol w:w="626"/>
        <w:gridCol w:w="612"/>
        <w:gridCol w:w="900"/>
        <w:gridCol w:w="768"/>
        <w:gridCol w:w="816"/>
        <w:gridCol w:w="853"/>
        <w:gridCol w:w="1282"/>
      </w:tblGrid>
      <w:tr w14:paraId="0BF964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05" w:type="dxa"/>
            <w:tcBorders>
              <w:tl2br w:val="nil"/>
              <w:tr2bl w:val="nil"/>
            </w:tcBorders>
            <w:noWrap w:val="0"/>
            <w:vAlign w:val="center"/>
          </w:tcPr>
          <w:p w14:paraId="70189B99">
            <w:pPr>
              <w:pStyle w:val="6"/>
              <w:widowControl/>
              <w:spacing w:line="300" w:lineRule="exact"/>
              <w:jc w:val="center"/>
              <w:rPr>
                <w:rStyle w:val="4"/>
                <w:rFonts w:ascii="Times New Roman" w:hAnsi="Times New Roman"/>
                <w:b/>
                <w:kern w:val="0"/>
                <w:szCs w:val="21"/>
              </w:rPr>
            </w:pPr>
            <w:r>
              <w:rPr>
                <w:rStyle w:val="4"/>
                <w:rFonts w:ascii="Times New Roman" w:hAnsi="Times New Roman"/>
                <w:b/>
                <w:kern w:val="0"/>
                <w:szCs w:val="21"/>
              </w:rPr>
              <w:t>包号</w:t>
            </w:r>
          </w:p>
        </w:tc>
        <w:tc>
          <w:tcPr>
            <w:tcW w:w="1044" w:type="dxa"/>
            <w:tcBorders>
              <w:tl2br w:val="nil"/>
              <w:tr2bl w:val="nil"/>
            </w:tcBorders>
            <w:noWrap w:val="0"/>
            <w:vAlign w:val="center"/>
          </w:tcPr>
          <w:p w14:paraId="036BC92D">
            <w:pPr>
              <w:pStyle w:val="6"/>
              <w:widowControl/>
              <w:spacing w:line="300" w:lineRule="exact"/>
              <w:jc w:val="center"/>
              <w:rPr>
                <w:rStyle w:val="4"/>
                <w:rFonts w:ascii="Times New Roman" w:hAnsi="Times New Roman"/>
                <w:b/>
                <w:kern w:val="0"/>
                <w:szCs w:val="21"/>
              </w:rPr>
            </w:pPr>
            <w:r>
              <w:rPr>
                <w:rStyle w:val="4"/>
                <w:rFonts w:ascii="Times New Roman" w:hAnsi="Times New Roman"/>
                <w:b/>
                <w:kern w:val="0"/>
                <w:szCs w:val="21"/>
              </w:rPr>
              <w:t>包名称</w:t>
            </w:r>
          </w:p>
        </w:tc>
        <w:tc>
          <w:tcPr>
            <w:tcW w:w="1524" w:type="dxa"/>
            <w:tcBorders>
              <w:tl2br w:val="nil"/>
              <w:tr2bl w:val="nil"/>
            </w:tcBorders>
            <w:noWrap w:val="0"/>
            <w:vAlign w:val="center"/>
          </w:tcPr>
          <w:p w14:paraId="7AECB42C">
            <w:pPr>
              <w:pStyle w:val="6"/>
              <w:widowControl/>
              <w:spacing w:line="300" w:lineRule="exact"/>
              <w:jc w:val="center"/>
              <w:textAlignment w:val="center"/>
              <w:rPr>
                <w:rStyle w:val="4"/>
                <w:rFonts w:ascii="Times New Roman" w:hAnsi="Times New Roman"/>
                <w:b/>
                <w:bCs/>
                <w:szCs w:val="21"/>
              </w:rPr>
            </w:pPr>
            <w:r>
              <w:rPr>
                <w:rStyle w:val="4"/>
                <w:rFonts w:ascii="Times New Roman" w:hAnsi="Times New Roman"/>
                <w:b/>
                <w:bCs/>
                <w:szCs w:val="21"/>
              </w:rPr>
              <w:t>分项项目名称</w:t>
            </w:r>
          </w:p>
          <w:p w14:paraId="4D4B76DE">
            <w:pPr>
              <w:pStyle w:val="6"/>
              <w:widowControl/>
              <w:spacing w:line="300" w:lineRule="exact"/>
              <w:jc w:val="center"/>
              <w:textAlignment w:val="center"/>
              <w:rPr>
                <w:rStyle w:val="4"/>
                <w:rFonts w:ascii="Times New Roman" w:hAnsi="Times New Roman"/>
                <w:b/>
                <w:bCs/>
                <w:szCs w:val="21"/>
              </w:rPr>
            </w:pPr>
            <w:r>
              <w:rPr>
                <w:rStyle w:val="4"/>
                <w:rFonts w:ascii="Times New Roman" w:hAnsi="Times New Roman"/>
                <w:b/>
                <w:bCs/>
                <w:szCs w:val="21"/>
              </w:rPr>
              <w:t>（条目号/品目名称）</w:t>
            </w:r>
          </w:p>
        </w:tc>
        <w:tc>
          <w:tcPr>
            <w:tcW w:w="626" w:type="dxa"/>
            <w:tcBorders>
              <w:tl2br w:val="nil"/>
              <w:tr2bl w:val="nil"/>
            </w:tcBorders>
            <w:noWrap w:val="0"/>
            <w:vAlign w:val="center"/>
          </w:tcPr>
          <w:p w14:paraId="15029BEB">
            <w:pPr>
              <w:pStyle w:val="6"/>
              <w:widowControl/>
              <w:spacing w:line="300" w:lineRule="exact"/>
              <w:jc w:val="center"/>
              <w:textAlignment w:val="center"/>
              <w:rPr>
                <w:rStyle w:val="4"/>
                <w:rFonts w:ascii="Times New Roman" w:hAnsi="Times New Roman"/>
                <w:b/>
                <w:bCs/>
                <w:szCs w:val="21"/>
              </w:rPr>
            </w:pPr>
            <w:r>
              <w:rPr>
                <w:rStyle w:val="4"/>
                <w:rFonts w:ascii="Times New Roman" w:hAnsi="Times New Roman"/>
                <w:b/>
                <w:bCs/>
                <w:kern w:val="0"/>
                <w:szCs w:val="21"/>
                <w:lang w:bidi="ar"/>
              </w:rPr>
              <w:t>数量</w:t>
            </w:r>
          </w:p>
        </w:tc>
        <w:tc>
          <w:tcPr>
            <w:tcW w:w="612" w:type="dxa"/>
            <w:tcBorders>
              <w:tl2br w:val="nil"/>
              <w:tr2bl w:val="nil"/>
            </w:tcBorders>
            <w:noWrap w:val="0"/>
            <w:vAlign w:val="center"/>
          </w:tcPr>
          <w:p w14:paraId="48C8FF61">
            <w:pPr>
              <w:pStyle w:val="6"/>
              <w:widowControl/>
              <w:spacing w:line="300" w:lineRule="exact"/>
              <w:jc w:val="center"/>
              <w:textAlignment w:val="center"/>
              <w:rPr>
                <w:rStyle w:val="4"/>
                <w:rFonts w:ascii="Times New Roman" w:hAnsi="Times New Roman"/>
                <w:b/>
                <w:bCs/>
                <w:szCs w:val="21"/>
              </w:rPr>
            </w:pPr>
            <w:r>
              <w:rPr>
                <w:rStyle w:val="4"/>
                <w:rFonts w:ascii="Times New Roman" w:hAnsi="Times New Roman"/>
                <w:b/>
                <w:bCs/>
                <w:szCs w:val="21"/>
              </w:rPr>
              <w:t>单位</w:t>
            </w:r>
          </w:p>
        </w:tc>
        <w:tc>
          <w:tcPr>
            <w:tcW w:w="900" w:type="dxa"/>
            <w:tcBorders>
              <w:tl2br w:val="nil"/>
              <w:tr2bl w:val="nil"/>
            </w:tcBorders>
            <w:noWrap w:val="0"/>
            <w:vAlign w:val="center"/>
          </w:tcPr>
          <w:p w14:paraId="15FE5775">
            <w:pPr>
              <w:pStyle w:val="6"/>
              <w:widowControl/>
              <w:spacing w:line="300" w:lineRule="exact"/>
              <w:jc w:val="center"/>
              <w:textAlignment w:val="center"/>
              <w:rPr>
                <w:rStyle w:val="4"/>
                <w:rFonts w:ascii="Times New Roman" w:hAnsi="Times New Roman"/>
                <w:b/>
                <w:bCs/>
                <w:szCs w:val="21"/>
              </w:rPr>
            </w:pPr>
            <w:r>
              <w:rPr>
                <w:rStyle w:val="4"/>
                <w:rFonts w:hint="eastAsia" w:ascii="宋体" w:hAnsi="宋体" w:cs="宋体"/>
                <w:b/>
                <w:bCs/>
                <w:szCs w:val="21"/>
              </w:rPr>
              <w:t>是否为强制节能产品</w:t>
            </w:r>
          </w:p>
        </w:tc>
        <w:tc>
          <w:tcPr>
            <w:tcW w:w="768" w:type="dxa"/>
            <w:tcBorders>
              <w:tl2br w:val="nil"/>
              <w:tr2bl w:val="nil"/>
            </w:tcBorders>
            <w:noWrap w:val="0"/>
            <w:vAlign w:val="center"/>
          </w:tcPr>
          <w:p w14:paraId="211C98FE">
            <w:pPr>
              <w:pStyle w:val="6"/>
              <w:widowControl/>
              <w:spacing w:line="300" w:lineRule="exact"/>
              <w:jc w:val="center"/>
              <w:textAlignment w:val="center"/>
              <w:rPr>
                <w:rStyle w:val="4"/>
                <w:rFonts w:ascii="Times New Roman" w:hAnsi="Times New Roman"/>
                <w:b/>
                <w:bCs/>
                <w:szCs w:val="21"/>
              </w:rPr>
            </w:pPr>
            <w:r>
              <w:rPr>
                <w:rStyle w:val="4"/>
                <w:rFonts w:ascii="Times New Roman" w:hAnsi="Times New Roman"/>
                <w:b/>
                <w:bCs/>
                <w:szCs w:val="21"/>
              </w:rPr>
              <w:t>是否接受进口设备</w:t>
            </w:r>
          </w:p>
        </w:tc>
        <w:tc>
          <w:tcPr>
            <w:tcW w:w="816" w:type="dxa"/>
            <w:tcBorders>
              <w:tl2br w:val="nil"/>
              <w:tr2bl w:val="nil"/>
            </w:tcBorders>
            <w:noWrap w:val="0"/>
            <w:vAlign w:val="center"/>
          </w:tcPr>
          <w:p w14:paraId="5ED74638">
            <w:pPr>
              <w:pStyle w:val="6"/>
              <w:widowControl/>
              <w:spacing w:line="300" w:lineRule="exact"/>
              <w:jc w:val="center"/>
              <w:textAlignment w:val="center"/>
              <w:rPr>
                <w:rStyle w:val="4"/>
                <w:rFonts w:ascii="Times New Roman" w:hAnsi="Times New Roman"/>
                <w:b/>
                <w:bCs/>
                <w:szCs w:val="21"/>
              </w:rPr>
            </w:pPr>
            <w:r>
              <w:rPr>
                <w:rStyle w:val="4"/>
                <w:rFonts w:hint="eastAsia" w:ascii="宋体" w:hAnsi="宋体" w:cs="宋体"/>
                <w:b/>
                <w:bCs/>
                <w:szCs w:val="21"/>
              </w:rPr>
              <w:t>售后服务承诺书</w:t>
            </w:r>
          </w:p>
        </w:tc>
        <w:tc>
          <w:tcPr>
            <w:tcW w:w="853" w:type="dxa"/>
            <w:tcBorders>
              <w:tl2br w:val="nil"/>
              <w:tr2bl w:val="nil"/>
            </w:tcBorders>
            <w:noWrap w:val="0"/>
            <w:vAlign w:val="center"/>
          </w:tcPr>
          <w:p w14:paraId="1A3541E0">
            <w:pPr>
              <w:pStyle w:val="6"/>
              <w:widowControl/>
              <w:spacing w:line="300" w:lineRule="exact"/>
              <w:jc w:val="center"/>
              <w:textAlignment w:val="center"/>
              <w:rPr>
                <w:rStyle w:val="4"/>
                <w:rFonts w:ascii="Times New Roman" w:hAnsi="Times New Roman"/>
                <w:b/>
                <w:bCs/>
                <w:szCs w:val="21"/>
              </w:rPr>
            </w:pPr>
            <w:r>
              <w:rPr>
                <w:rStyle w:val="4"/>
                <w:rFonts w:hint="eastAsia" w:ascii="宋体" w:hAnsi="宋体" w:cs="宋体"/>
                <w:b/>
                <w:bCs/>
                <w:szCs w:val="21"/>
              </w:rPr>
              <w:t>是否为核心产品</w:t>
            </w:r>
          </w:p>
        </w:tc>
        <w:tc>
          <w:tcPr>
            <w:tcW w:w="1282" w:type="dxa"/>
            <w:tcBorders>
              <w:tl2br w:val="nil"/>
              <w:tr2bl w:val="nil"/>
            </w:tcBorders>
            <w:noWrap w:val="0"/>
            <w:vAlign w:val="center"/>
          </w:tcPr>
          <w:p w14:paraId="60F5B2D7">
            <w:pPr>
              <w:pStyle w:val="6"/>
              <w:widowControl/>
              <w:spacing w:line="300" w:lineRule="exact"/>
              <w:jc w:val="center"/>
              <w:textAlignment w:val="center"/>
              <w:rPr>
                <w:rStyle w:val="4"/>
                <w:rFonts w:ascii="Times New Roman" w:hAnsi="Times New Roman"/>
                <w:b/>
                <w:bCs/>
                <w:szCs w:val="21"/>
              </w:rPr>
            </w:pPr>
            <w:r>
              <w:rPr>
                <w:rStyle w:val="4"/>
                <w:rFonts w:ascii="Times New Roman" w:hAnsi="Times New Roman"/>
                <w:b/>
                <w:bCs/>
                <w:szCs w:val="21"/>
              </w:rPr>
              <w:t>总价最高限价（元）</w:t>
            </w:r>
          </w:p>
        </w:tc>
      </w:tr>
      <w:tr w14:paraId="0733A1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505" w:type="dxa"/>
            <w:tcBorders>
              <w:tl2br w:val="nil"/>
              <w:tr2bl w:val="nil"/>
            </w:tcBorders>
            <w:noWrap w:val="0"/>
            <w:vAlign w:val="center"/>
          </w:tcPr>
          <w:p w14:paraId="1E9FB488">
            <w:pPr>
              <w:pStyle w:val="6"/>
              <w:widowControl/>
              <w:spacing w:line="300" w:lineRule="exact"/>
              <w:jc w:val="center"/>
              <w:rPr>
                <w:rStyle w:val="4"/>
                <w:rFonts w:ascii="Times New Roman" w:hAnsi="Times New Roman"/>
                <w:bCs/>
                <w:kern w:val="0"/>
                <w:szCs w:val="21"/>
              </w:rPr>
            </w:pPr>
            <w:r>
              <w:rPr>
                <w:rStyle w:val="4"/>
                <w:rFonts w:hint="eastAsia" w:ascii="Times New Roman" w:hAnsi="Times New Roman"/>
                <w:bCs/>
                <w:kern w:val="0"/>
                <w:szCs w:val="21"/>
              </w:rPr>
              <w:t>1</w:t>
            </w:r>
          </w:p>
        </w:tc>
        <w:tc>
          <w:tcPr>
            <w:tcW w:w="1044" w:type="dxa"/>
            <w:tcBorders>
              <w:tl2br w:val="nil"/>
              <w:tr2bl w:val="nil"/>
            </w:tcBorders>
            <w:noWrap w:val="0"/>
            <w:vAlign w:val="center"/>
          </w:tcPr>
          <w:p w14:paraId="3397CA96">
            <w:pPr>
              <w:pStyle w:val="6"/>
              <w:widowControl/>
              <w:spacing w:line="300" w:lineRule="exact"/>
              <w:jc w:val="center"/>
              <w:rPr>
                <w:rStyle w:val="4"/>
                <w:rFonts w:hint="eastAsia" w:ascii="Times New Roman" w:hAnsi="Times New Roman" w:eastAsia="宋体"/>
                <w:bCs/>
                <w:kern w:val="0"/>
                <w:szCs w:val="21"/>
                <w:lang w:eastAsia="zh-CN"/>
              </w:rPr>
            </w:pPr>
            <w:r>
              <w:rPr>
                <w:rStyle w:val="4"/>
                <w:rFonts w:hint="eastAsia" w:ascii="Times New Roman" w:hAnsi="Times New Roman" w:eastAsia="Times New Roman"/>
                <w:bCs/>
                <w:kern w:val="0"/>
                <w:szCs w:val="21"/>
              </w:rPr>
              <w:t>物性测试仪</w:t>
            </w:r>
          </w:p>
        </w:tc>
        <w:tc>
          <w:tcPr>
            <w:tcW w:w="1524" w:type="dxa"/>
            <w:tcBorders>
              <w:tl2br w:val="nil"/>
              <w:tr2bl w:val="nil"/>
            </w:tcBorders>
            <w:noWrap w:val="0"/>
            <w:vAlign w:val="center"/>
          </w:tcPr>
          <w:p w14:paraId="5D0BA929">
            <w:pPr>
              <w:pStyle w:val="8"/>
              <w:widowControl/>
              <w:jc w:val="center"/>
              <w:rPr>
                <w:rStyle w:val="4"/>
                <w:rFonts w:ascii="Times New Roman" w:hAnsi="Times New Roman" w:eastAsia="宋体" w:cs="Times New Roman"/>
                <w:bCs/>
                <w:szCs w:val="21"/>
              </w:rPr>
            </w:pPr>
            <w:r>
              <w:rPr>
                <w:rStyle w:val="4"/>
                <w:rFonts w:hint="eastAsia" w:ascii="Times New Roman" w:hAnsi="Times New Roman" w:eastAsia="Times New Roman" w:cs="Times New Roman"/>
                <w:bCs/>
                <w:kern w:val="0"/>
                <w:szCs w:val="21"/>
              </w:rPr>
              <w:t>物性测试仪</w:t>
            </w:r>
          </w:p>
        </w:tc>
        <w:tc>
          <w:tcPr>
            <w:tcW w:w="626" w:type="dxa"/>
            <w:tcBorders>
              <w:tl2br w:val="nil"/>
              <w:tr2bl w:val="nil"/>
            </w:tcBorders>
            <w:noWrap w:val="0"/>
            <w:vAlign w:val="center"/>
          </w:tcPr>
          <w:p w14:paraId="7267E3C8">
            <w:pPr>
              <w:pStyle w:val="6"/>
              <w:widowControl/>
              <w:spacing w:line="300" w:lineRule="exact"/>
              <w:jc w:val="center"/>
              <w:textAlignment w:val="center"/>
              <w:rPr>
                <w:rStyle w:val="4"/>
                <w:rFonts w:hint="eastAsia" w:ascii="宋体" w:hAnsi="宋体" w:eastAsia="宋体" w:cs="宋体"/>
                <w:szCs w:val="21"/>
              </w:rPr>
            </w:pPr>
            <w:r>
              <w:rPr>
                <w:rStyle w:val="4"/>
                <w:rFonts w:hint="eastAsia" w:ascii="宋体" w:hAnsi="宋体" w:eastAsia="宋体" w:cs="宋体"/>
                <w:szCs w:val="21"/>
              </w:rPr>
              <w:t>1</w:t>
            </w:r>
          </w:p>
        </w:tc>
        <w:tc>
          <w:tcPr>
            <w:tcW w:w="612" w:type="dxa"/>
            <w:tcBorders>
              <w:tl2br w:val="nil"/>
              <w:tr2bl w:val="nil"/>
            </w:tcBorders>
            <w:noWrap w:val="0"/>
            <w:vAlign w:val="center"/>
          </w:tcPr>
          <w:p w14:paraId="6CF5A8BD">
            <w:pPr>
              <w:pStyle w:val="6"/>
              <w:widowControl/>
              <w:spacing w:line="300" w:lineRule="exact"/>
              <w:jc w:val="center"/>
              <w:textAlignment w:val="center"/>
              <w:rPr>
                <w:rStyle w:val="4"/>
                <w:rFonts w:hint="eastAsia" w:ascii="宋体" w:hAnsi="宋体" w:eastAsia="宋体" w:cs="宋体"/>
                <w:szCs w:val="21"/>
                <w:lang w:eastAsia="zh-CN"/>
              </w:rPr>
            </w:pPr>
            <w:r>
              <w:rPr>
                <w:rStyle w:val="4"/>
                <w:rFonts w:hint="eastAsia" w:ascii="宋体" w:hAnsi="宋体" w:eastAsia="宋体" w:cs="宋体"/>
                <w:szCs w:val="21"/>
                <w:lang w:eastAsia="zh-CN"/>
              </w:rPr>
              <w:t>台</w:t>
            </w:r>
          </w:p>
        </w:tc>
        <w:tc>
          <w:tcPr>
            <w:tcW w:w="900" w:type="dxa"/>
            <w:tcBorders>
              <w:tl2br w:val="nil"/>
              <w:tr2bl w:val="nil"/>
            </w:tcBorders>
            <w:noWrap w:val="0"/>
            <w:vAlign w:val="center"/>
          </w:tcPr>
          <w:p w14:paraId="3E6AD011">
            <w:pPr>
              <w:pStyle w:val="6"/>
              <w:widowControl/>
              <w:spacing w:line="300" w:lineRule="exact"/>
              <w:jc w:val="center"/>
              <w:textAlignment w:val="center"/>
              <w:rPr>
                <w:rStyle w:val="4"/>
                <w:rFonts w:ascii="Times New Roman" w:hAnsi="Times New Roman"/>
                <w:b/>
                <w:bCs/>
                <w:szCs w:val="21"/>
              </w:rPr>
            </w:pPr>
            <w:r>
              <w:rPr>
                <w:rStyle w:val="4"/>
                <w:rFonts w:hint="eastAsia" w:ascii="Times New Roman" w:hAnsi="Times New Roman"/>
                <w:b/>
                <w:bCs/>
                <w:szCs w:val="21"/>
              </w:rPr>
              <w:t>否</w:t>
            </w:r>
          </w:p>
        </w:tc>
        <w:tc>
          <w:tcPr>
            <w:tcW w:w="768" w:type="dxa"/>
            <w:tcBorders>
              <w:tl2br w:val="nil"/>
              <w:tr2bl w:val="nil"/>
            </w:tcBorders>
            <w:noWrap w:val="0"/>
            <w:vAlign w:val="center"/>
          </w:tcPr>
          <w:p w14:paraId="045AD29F">
            <w:pPr>
              <w:pStyle w:val="6"/>
              <w:widowControl/>
              <w:spacing w:line="300" w:lineRule="exact"/>
              <w:jc w:val="center"/>
              <w:textAlignment w:val="center"/>
              <w:rPr>
                <w:rStyle w:val="4"/>
                <w:rFonts w:ascii="Times New Roman" w:hAnsi="Times New Roman"/>
                <w:b/>
                <w:bCs/>
                <w:szCs w:val="21"/>
              </w:rPr>
            </w:pPr>
            <w:r>
              <w:rPr>
                <w:rStyle w:val="4"/>
                <w:rFonts w:hint="eastAsia" w:ascii="Times New Roman" w:hAnsi="Times New Roman"/>
                <w:b/>
                <w:bCs/>
                <w:szCs w:val="21"/>
              </w:rPr>
              <w:t>是</w:t>
            </w:r>
          </w:p>
        </w:tc>
        <w:tc>
          <w:tcPr>
            <w:tcW w:w="816" w:type="dxa"/>
            <w:tcBorders>
              <w:tl2br w:val="nil"/>
              <w:tr2bl w:val="nil"/>
            </w:tcBorders>
            <w:noWrap w:val="0"/>
            <w:vAlign w:val="center"/>
          </w:tcPr>
          <w:p w14:paraId="51A6B65B">
            <w:pPr>
              <w:pStyle w:val="8"/>
              <w:widowControl/>
              <w:spacing w:line="300" w:lineRule="exact"/>
              <w:jc w:val="center"/>
              <w:textAlignment w:val="center"/>
              <w:rPr>
                <w:rStyle w:val="4"/>
                <w:rFonts w:ascii="Times New Roman" w:hAnsi="Times New Roman" w:eastAsia="宋体" w:cs="Times New Roman"/>
                <w:b/>
                <w:bCs/>
                <w:szCs w:val="21"/>
              </w:rPr>
            </w:pPr>
            <w:r>
              <w:rPr>
                <w:rStyle w:val="4"/>
                <w:rFonts w:hint="eastAsia" w:ascii="宋体" w:hAnsi="宋体" w:eastAsia="宋体" w:cs="宋体"/>
                <w:color w:val="000000"/>
                <w:kern w:val="0"/>
              </w:rPr>
              <w:t>要求提供</w:t>
            </w:r>
          </w:p>
        </w:tc>
        <w:tc>
          <w:tcPr>
            <w:tcW w:w="853" w:type="dxa"/>
            <w:tcBorders>
              <w:tl2br w:val="nil"/>
              <w:tr2bl w:val="nil"/>
            </w:tcBorders>
            <w:noWrap w:val="0"/>
            <w:vAlign w:val="center"/>
          </w:tcPr>
          <w:p w14:paraId="0982D7DC">
            <w:pPr>
              <w:pStyle w:val="6"/>
              <w:widowControl/>
              <w:spacing w:line="300" w:lineRule="exact"/>
              <w:jc w:val="center"/>
              <w:textAlignment w:val="center"/>
              <w:rPr>
                <w:rStyle w:val="4"/>
                <w:rFonts w:ascii="Times New Roman" w:hAnsi="Times New Roman"/>
                <w:b/>
                <w:bCs/>
                <w:szCs w:val="21"/>
              </w:rPr>
            </w:pPr>
            <w:r>
              <w:rPr>
                <w:rStyle w:val="4"/>
                <w:rFonts w:hint="eastAsia" w:ascii="Times New Roman" w:hAnsi="Times New Roman"/>
                <w:b/>
                <w:bCs/>
                <w:szCs w:val="21"/>
              </w:rPr>
              <w:t>是</w:t>
            </w:r>
          </w:p>
        </w:tc>
        <w:tc>
          <w:tcPr>
            <w:tcW w:w="1282" w:type="dxa"/>
            <w:tcBorders>
              <w:tl2br w:val="nil"/>
              <w:tr2bl w:val="nil"/>
            </w:tcBorders>
            <w:noWrap w:val="0"/>
            <w:vAlign w:val="center"/>
          </w:tcPr>
          <w:p w14:paraId="4A4B2820">
            <w:pPr>
              <w:pStyle w:val="6"/>
              <w:widowControl/>
              <w:spacing w:line="300" w:lineRule="exact"/>
              <w:jc w:val="center"/>
              <w:textAlignment w:val="center"/>
              <w:rPr>
                <w:rStyle w:val="4"/>
                <w:rFonts w:hint="eastAsia" w:ascii="宋体" w:hAnsi="宋体" w:eastAsia="宋体" w:cs="宋体"/>
                <w:szCs w:val="21"/>
                <w:lang w:val="en-US" w:eastAsia="zh-CN"/>
              </w:rPr>
            </w:pPr>
            <w:r>
              <w:rPr>
                <w:rStyle w:val="4"/>
                <w:rFonts w:hint="eastAsia" w:ascii="宋体" w:hAnsi="宋体" w:eastAsia="宋体" w:cs="宋体"/>
                <w:szCs w:val="21"/>
                <w:lang w:val="en-US" w:eastAsia="zh-CN"/>
              </w:rPr>
              <w:t>758000.00</w:t>
            </w:r>
          </w:p>
        </w:tc>
      </w:tr>
      <w:tr w14:paraId="0E1C6E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505" w:type="dxa"/>
            <w:tcBorders>
              <w:tl2br w:val="nil"/>
              <w:tr2bl w:val="nil"/>
            </w:tcBorders>
            <w:noWrap w:val="0"/>
            <w:vAlign w:val="center"/>
          </w:tcPr>
          <w:p w14:paraId="089ADC36">
            <w:pPr>
              <w:pStyle w:val="6"/>
              <w:widowControl/>
              <w:spacing w:line="300" w:lineRule="exact"/>
              <w:jc w:val="center"/>
              <w:rPr>
                <w:rStyle w:val="4"/>
                <w:rFonts w:ascii="Times New Roman" w:hAnsi="Times New Roman"/>
                <w:bCs/>
                <w:kern w:val="0"/>
                <w:szCs w:val="21"/>
              </w:rPr>
            </w:pPr>
            <w:r>
              <w:rPr>
                <w:rStyle w:val="4"/>
                <w:rFonts w:hint="eastAsia" w:ascii="Times New Roman" w:hAnsi="Times New Roman"/>
                <w:bCs/>
                <w:kern w:val="0"/>
                <w:szCs w:val="21"/>
              </w:rPr>
              <w:t>2</w:t>
            </w:r>
          </w:p>
        </w:tc>
        <w:tc>
          <w:tcPr>
            <w:tcW w:w="1044" w:type="dxa"/>
            <w:tcBorders>
              <w:tl2br w:val="nil"/>
              <w:tr2bl w:val="nil"/>
            </w:tcBorders>
            <w:noWrap w:val="0"/>
            <w:vAlign w:val="center"/>
          </w:tcPr>
          <w:p w14:paraId="51CCAD8F">
            <w:pPr>
              <w:pStyle w:val="6"/>
              <w:widowControl/>
              <w:spacing w:line="300" w:lineRule="exact"/>
              <w:jc w:val="center"/>
              <w:rPr>
                <w:rStyle w:val="4"/>
                <w:rFonts w:ascii="Times New Roman" w:hAnsi="Times New Roman"/>
                <w:bCs/>
                <w:kern w:val="0"/>
                <w:szCs w:val="21"/>
              </w:rPr>
            </w:pPr>
            <w:r>
              <w:rPr>
                <w:rStyle w:val="4"/>
                <w:rFonts w:hint="eastAsia" w:ascii="宋体" w:hAnsi="宋体"/>
              </w:rPr>
              <w:t>野外地物光谱仪</w:t>
            </w:r>
          </w:p>
        </w:tc>
        <w:tc>
          <w:tcPr>
            <w:tcW w:w="1524" w:type="dxa"/>
            <w:tcBorders>
              <w:tl2br w:val="nil"/>
              <w:tr2bl w:val="nil"/>
            </w:tcBorders>
            <w:noWrap w:val="0"/>
            <w:vAlign w:val="center"/>
          </w:tcPr>
          <w:p w14:paraId="33962358">
            <w:pPr>
              <w:pStyle w:val="8"/>
              <w:widowControl/>
              <w:jc w:val="center"/>
              <w:rPr>
                <w:rStyle w:val="4"/>
                <w:rFonts w:ascii="Times New Roman" w:hAnsi="Times New Roman" w:eastAsia="宋体" w:cs="Times New Roman"/>
                <w:bCs/>
                <w:szCs w:val="21"/>
              </w:rPr>
            </w:pPr>
            <w:r>
              <w:rPr>
                <w:rStyle w:val="4"/>
                <w:rFonts w:hint="eastAsia" w:ascii="宋体" w:hAnsi="宋体" w:eastAsia="宋体" w:cs="Times New Roman"/>
              </w:rPr>
              <w:t>野外地物光谱仪</w:t>
            </w:r>
          </w:p>
        </w:tc>
        <w:tc>
          <w:tcPr>
            <w:tcW w:w="626" w:type="dxa"/>
            <w:tcBorders>
              <w:tl2br w:val="nil"/>
              <w:tr2bl w:val="nil"/>
            </w:tcBorders>
            <w:noWrap w:val="0"/>
            <w:vAlign w:val="center"/>
          </w:tcPr>
          <w:p w14:paraId="692FF65A">
            <w:pPr>
              <w:pStyle w:val="6"/>
              <w:widowControl/>
              <w:spacing w:line="300" w:lineRule="exact"/>
              <w:jc w:val="center"/>
              <w:textAlignment w:val="center"/>
              <w:rPr>
                <w:rStyle w:val="4"/>
                <w:rFonts w:hint="eastAsia" w:ascii="宋体" w:hAnsi="宋体" w:eastAsia="宋体" w:cs="宋体"/>
                <w:szCs w:val="21"/>
              </w:rPr>
            </w:pPr>
            <w:r>
              <w:rPr>
                <w:rStyle w:val="4"/>
                <w:rFonts w:hint="eastAsia" w:ascii="宋体" w:hAnsi="宋体" w:eastAsia="宋体" w:cs="宋体"/>
                <w:szCs w:val="21"/>
              </w:rPr>
              <w:t>1</w:t>
            </w:r>
          </w:p>
        </w:tc>
        <w:tc>
          <w:tcPr>
            <w:tcW w:w="612" w:type="dxa"/>
            <w:tcBorders>
              <w:tl2br w:val="nil"/>
              <w:tr2bl w:val="nil"/>
            </w:tcBorders>
            <w:noWrap w:val="0"/>
            <w:vAlign w:val="center"/>
          </w:tcPr>
          <w:p w14:paraId="012E315F">
            <w:pPr>
              <w:pStyle w:val="6"/>
              <w:widowControl/>
              <w:jc w:val="center"/>
              <w:textAlignment w:val="center"/>
              <w:rPr>
                <w:rStyle w:val="4"/>
                <w:rFonts w:hint="eastAsia" w:ascii="宋体" w:hAnsi="宋体" w:eastAsia="宋体" w:cs="宋体"/>
                <w:szCs w:val="21"/>
                <w:lang w:eastAsia="zh-CN"/>
              </w:rPr>
            </w:pPr>
            <w:r>
              <w:rPr>
                <w:rStyle w:val="4"/>
                <w:rFonts w:hint="eastAsia" w:ascii="宋体" w:hAnsi="宋体" w:eastAsia="宋体" w:cs="宋体"/>
                <w:szCs w:val="21"/>
                <w:lang w:eastAsia="zh-CN"/>
              </w:rPr>
              <w:t>台</w:t>
            </w:r>
          </w:p>
        </w:tc>
        <w:tc>
          <w:tcPr>
            <w:tcW w:w="900" w:type="dxa"/>
            <w:tcBorders>
              <w:tl2br w:val="nil"/>
              <w:tr2bl w:val="nil"/>
            </w:tcBorders>
            <w:noWrap w:val="0"/>
            <w:vAlign w:val="center"/>
          </w:tcPr>
          <w:p w14:paraId="4D4D9027">
            <w:pPr>
              <w:pStyle w:val="6"/>
              <w:widowControl/>
              <w:jc w:val="center"/>
              <w:textAlignment w:val="center"/>
              <w:rPr>
                <w:rStyle w:val="4"/>
                <w:rFonts w:ascii="Times New Roman" w:hAnsi="Times New Roman"/>
                <w:b/>
                <w:bCs/>
                <w:szCs w:val="21"/>
              </w:rPr>
            </w:pPr>
            <w:r>
              <w:rPr>
                <w:rStyle w:val="4"/>
                <w:rFonts w:hint="eastAsia" w:ascii="Times New Roman" w:hAnsi="Times New Roman"/>
                <w:b/>
                <w:bCs/>
                <w:szCs w:val="21"/>
              </w:rPr>
              <w:t>否</w:t>
            </w:r>
          </w:p>
        </w:tc>
        <w:tc>
          <w:tcPr>
            <w:tcW w:w="768" w:type="dxa"/>
            <w:tcBorders>
              <w:tl2br w:val="nil"/>
              <w:tr2bl w:val="nil"/>
            </w:tcBorders>
            <w:noWrap w:val="0"/>
            <w:vAlign w:val="center"/>
          </w:tcPr>
          <w:p w14:paraId="624A8DB7">
            <w:pPr>
              <w:pStyle w:val="6"/>
              <w:widowControl/>
              <w:jc w:val="center"/>
              <w:textAlignment w:val="center"/>
              <w:rPr>
                <w:rStyle w:val="4"/>
                <w:rFonts w:ascii="Times New Roman" w:hAnsi="Times New Roman"/>
                <w:b/>
                <w:bCs/>
                <w:szCs w:val="21"/>
              </w:rPr>
            </w:pPr>
            <w:r>
              <w:rPr>
                <w:rStyle w:val="4"/>
                <w:rFonts w:hint="eastAsia" w:ascii="Times New Roman" w:hAnsi="Times New Roman"/>
                <w:b/>
                <w:bCs/>
                <w:szCs w:val="21"/>
              </w:rPr>
              <w:t>是</w:t>
            </w:r>
          </w:p>
        </w:tc>
        <w:tc>
          <w:tcPr>
            <w:tcW w:w="816" w:type="dxa"/>
            <w:tcBorders>
              <w:tl2br w:val="nil"/>
              <w:tr2bl w:val="nil"/>
            </w:tcBorders>
            <w:noWrap w:val="0"/>
            <w:vAlign w:val="center"/>
          </w:tcPr>
          <w:p w14:paraId="4BE2CB05">
            <w:pPr>
              <w:pStyle w:val="8"/>
              <w:widowControl/>
              <w:jc w:val="center"/>
              <w:textAlignment w:val="center"/>
              <w:rPr>
                <w:rStyle w:val="4"/>
                <w:rFonts w:ascii="Times New Roman" w:hAnsi="Times New Roman" w:eastAsia="宋体" w:cs="Times New Roman"/>
                <w:b/>
                <w:bCs/>
                <w:szCs w:val="21"/>
              </w:rPr>
            </w:pPr>
            <w:r>
              <w:rPr>
                <w:rStyle w:val="4"/>
                <w:rFonts w:hint="eastAsia" w:ascii="宋体" w:hAnsi="宋体" w:eastAsia="宋体" w:cs="宋体"/>
                <w:color w:val="000000"/>
                <w:kern w:val="0"/>
              </w:rPr>
              <w:t>要求提供</w:t>
            </w:r>
          </w:p>
        </w:tc>
        <w:tc>
          <w:tcPr>
            <w:tcW w:w="853" w:type="dxa"/>
            <w:tcBorders>
              <w:tl2br w:val="nil"/>
              <w:tr2bl w:val="nil"/>
            </w:tcBorders>
            <w:noWrap w:val="0"/>
            <w:vAlign w:val="center"/>
          </w:tcPr>
          <w:p w14:paraId="17FA6F3B">
            <w:pPr>
              <w:pStyle w:val="6"/>
              <w:widowControl/>
              <w:jc w:val="center"/>
              <w:textAlignment w:val="center"/>
              <w:rPr>
                <w:rStyle w:val="4"/>
                <w:rFonts w:ascii="Times New Roman" w:hAnsi="Times New Roman"/>
                <w:b/>
                <w:bCs/>
                <w:szCs w:val="21"/>
              </w:rPr>
            </w:pPr>
            <w:r>
              <w:rPr>
                <w:rStyle w:val="4"/>
                <w:rFonts w:hint="eastAsia" w:ascii="Times New Roman" w:hAnsi="Times New Roman"/>
                <w:b/>
                <w:bCs/>
                <w:szCs w:val="21"/>
              </w:rPr>
              <w:t>是</w:t>
            </w:r>
          </w:p>
        </w:tc>
        <w:tc>
          <w:tcPr>
            <w:tcW w:w="1282" w:type="dxa"/>
            <w:tcBorders>
              <w:tl2br w:val="nil"/>
              <w:tr2bl w:val="nil"/>
            </w:tcBorders>
            <w:noWrap w:val="0"/>
            <w:vAlign w:val="center"/>
          </w:tcPr>
          <w:p w14:paraId="3E5534E2">
            <w:pPr>
              <w:pStyle w:val="6"/>
              <w:widowControl/>
              <w:spacing w:line="300" w:lineRule="exact"/>
              <w:jc w:val="center"/>
              <w:textAlignment w:val="center"/>
              <w:rPr>
                <w:rStyle w:val="4"/>
                <w:rFonts w:hint="eastAsia" w:ascii="宋体" w:hAnsi="宋体" w:eastAsia="宋体" w:cs="宋体"/>
                <w:szCs w:val="21"/>
                <w:lang w:val="en-US" w:eastAsia="zh-CN"/>
              </w:rPr>
            </w:pPr>
            <w:r>
              <w:rPr>
                <w:rStyle w:val="4"/>
                <w:rFonts w:hint="eastAsia" w:ascii="宋体" w:hAnsi="宋体" w:eastAsia="宋体" w:cs="宋体"/>
                <w:szCs w:val="21"/>
                <w:lang w:val="en-US" w:eastAsia="zh-CN"/>
              </w:rPr>
              <w:t>810000.00</w:t>
            </w:r>
          </w:p>
        </w:tc>
      </w:tr>
    </w:tbl>
    <w:p w14:paraId="07FF8557">
      <w:pPr>
        <w:pStyle w:val="8"/>
        <w:rPr>
          <w:rStyle w:val="4"/>
          <w:rFonts w:ascii="Arial" w:hAnsi="Arial" w:eastAsia="宋体" w:cs="Times New Roman"/>
          <w:b/>
          <w:bCs/>
          <w:sz w:val="24"/>
          <w:szCs w:val="32"/>
        </w:rPr>
      </w:pPr>
    </w:p>
    <w:p w14:paraId="30F63A36">
      <w:pPr>
        <w:pStyle w:val="8"/>
        <w:widowControl w:val="0"/>
        <w:adjustRightInd w:val="0"/>
        <w:snapToGrid w:val="0"/>
        <w:spacing w:line="300" w:lineRule="exact"/>
        <w:jc w:val="both"/>
        <w:rPr>
          <w:rStyle w:val="4"/>
          <w:rFonts w:hint="eastAsia" w:ascii="宋体" w:hAnsi="宋体" w:eastAsia="宋体" w:cs="Times New Roman"/>
          <w:b/>
          <w:bCs/>
          <w:color w:val="auto"/>
          <w:kern w:val="2"/>
          <w:sz w:val="21"/>
          <w:szCs w:val="21"/>
          <w:highlight w:val="none"/>
          <w:lang w:val="en-US" w:eastAsia="zh-CN" w:bidi="ar-SA"/>
        </w:rPr>
      </w:pPr>
      <w:bookmarkStart w:id="4" w:name="_Toc18432"/>
      <w:bookmarkStart w:id="5" w:name="_Toc15279"/>
      <w:r>
        <w:rPr>
          <w:rStyle w:val="4"/>
          <w:rFonts w:hint="eastAsia" w:ascii="宋体" w:hAnsi="宋体" w:eastAsia="宋体" w:cs="Times New Roman"/>
          <w:b/>
          <w:bCs/>
          <w:color w:val="auto"/>
          <w:kern w:val="2"/>
          <w:sz w:val="21"/>
          <w:szCs w:val="21"/>
          <w:highlight w:val="none"/>
          <w:lang w:val="en-US" w:eastAsia="zh-CN" w:bidi="ar-SA"/>
        </w:rPr>
        <w:t>注：</w:t>
      </w:r>
    </w:p>
    <w:p w14:paraId="158DA6B4">
      <w:pPr>
        <w:pStyle w:val="8"/>
        <w:keepNext w:val="0"/>
        <w:keepLines w:val="0"/>
        <w:pageBreakBefore w:val="0"/>
        <w:widowControl w:val="0"/>
        <w:kinsoku/>
        <w:wordWrap/>
        <w:overflowPunct/>
        <w:topLinePunct w:val="0"/>
        <w:autoSpaceDE/>
        <w:autoSpaceDN/>
        <w:bidi w:val="0"/>
        <w:adjustRightInd w:val="0"/>
        <w:snapToGrid w:val="0"/>
        <w:spacing w:line="300" w:lineRule="exact"/>
        <w:ind w:firstLine="420" w:firstLineChars="200"/>
        <w:jc w:val="both"/>
        <w:textAlignment w:val="auto"/>
        <w:rPr>
          <w:rStyle w:val="4"/>
          <w:rFonts w:ascii="宋体" w:hAnsi="宋体" w:eastAsia="宋体" w:cs="Times New Roman"/>
          <w:color w:val="auto"/>
          <w:kern w:val="2"/>
          <w:sz w:val="21"/>
          <w:szCs w:val="21"/>
          <w:highlight w:val="none"/>
          <w:lang w:val="en-US" w:eastAsia="zh-CN" w:bidi="ar-SA"/>
        </w:rPr>
      </w:pPr>
      <w:r>
        <w:rPr>
          <w:rStyle w:val="4"/>
          <w:rFonts w:hint="eastAsia" w:ascii="宋体" w:hAnsi="宋体" w:eastAsia="宋体" w:cs="Times New Roman"/>
          <w:color w:val="auto"/>
          <w:kern w:val="2"/>
          <w:sz w:val="21"/>
          <w:szCs w:val="21"/>
          <w:highlight w:val="none"/>
          <w:lang w:val="en-US" w:eastAsia="zh-CN" w:bidi="ar-SA"/>
        </w:rPr>
        <w:t>1、“包”为最小合同单位（最小投标单位）。每“包”内容应细化到“品目”（如果分品目的）；</w:t>
      </w:r>
    </w:p>
    <w:p w14:paraId="779DD685">
      <w:pPr>
        <w:pStyle w:val="8"/>
        <w:keepNext w:val="0"/>
        <w:keepLines w:val="0"/>
        <w:pageBreakBefore w:val="0"/>
        <w:widowControl w:val="0"/>
        <w:kinsoku/>
        <w:wordWrap/>
        <w:overflowPunct/>
        <w:topLinePunct w:val="0"/>
        <w:autoSpaceDE/>
        <w:autoSpaceDN/>
        <w:bidi w:val="0"/>
        <w:adjustRightInd w:val="0"/>
        <w:snapToGrid w:val="0"/>
        <w:spacing w:line="300" w:lineRule="exact"/>
        <w:ind w:firstLine="420" w:firstLineChars="200"/>
        <w:jc w:val="both"/>
        <w:textAlignment w:val="auto"/>
        <w:rPr>
          <w:rStyle w:val="4"/>
          <w:rFonts w:ascii="宋体" w:hAnsi="宋体" w:eastAsia="宋体" w:cs="Times New Roman"/>
          <w:color w:val="auto"/>
          <w:kern w:val="2"/>
          <w:sz w:val="21"/>
          <w:szCs w:val="21"/>
          <w:highlight w:val="none"/>
          <w:lang w:val="en-US" w:eastAsia="zh-CN" w:bidi="ar-SA"/>
        </w:rPr>
      </w:pPr>
      <w:r>
        <w:rPr>
          <w:rStyle w:val="4"/>
          <w:rFonts w:hint="eastAsia" w:ascii="宋体" w:hAnsi="宋体" w:eastAsia="宋体" w:cs="Times New Roman"/>
          <w:color w:val="auto"/>
          <w:kern w:val="2"/>
          <w:sz w:val="21"/>
          <w:szCs w:val="21"/>
          <w:highlight w:val="none"/>
          <w:lang w:val="en-US" w:eastAsia="zh-CN" w:bidi="ar-SA"/>
        </w:rPr>
        <w:t>2、投标人必须对一个完整、独立的包进行投标，不得仅对一个包中的部分品目投标，否则</w:t>
      </w:r>
      <w:r>
        <w:rPr>
          <w:rStyle w:val="4"/>
          <w:rFonts w:hint="eastAsia" w:ascii="宋体" w:hAnsi="宋体" w:eastAsia="宋体" w:cs="Times New Roman"/>
          <w:b/>
          <w:color w:val="auto"/>
          <w:kern w:val="2"/>
          <w:sz w:val="21"/>
          <w:szCs w:val="21"/>
          <w:highlight w:val="none"/>
          <w:lang w:val="en-US" w:eastAsia="zh-CN" w:bidi="ar-SA"/>
        </w:rPr>
        <w:t>投标无效</w:t>
      </w:r>
      <w:r>
        <w:rPr>
          <w:rStyle w:val="4"/>
          <w:rFonts w:hint="eastAsia" w:ascii="宋体" w:hAnsi="宋体" w:eastAsia="宋体" w:cs="Times New Roman"/>
          <w:color w:val="auto"/>
          <w:kern w:val="2"/>
          <w:sz w:val="21"/>
          <w:szCs w:val="21"/>
          <w:highlight w:val="none"/>
          <w:lang w:val="en-US" w:eastAsia="zh-CN" w:bidi="ar-SA"/>
        </w:rPr>
        <w:t>；</w:t>
      </w:r>
    </w:p>
    <w:p w14:paraId="35802672">
      <w:pPr>
        <w:pStyle w:val="8"/>
        <w:keepNext w:val="0"/>
        <w:keepLines w:val="0"/>
        <w:pageBreakBefore w:val="0"/>
        <w:widowControl w:val="0"/>
        <w:kinsoku/>
        <w:wordWrap/>
        <w:overflowPunct/>
        <w:topLinePunct w:val="0"/>
        <w:autoSpaceDE/>
        <w:autoSpaceDN/>
        <w:bidi w:val="0"/>
        <w:adjustRightInd w:val="0"/>
        <w:snapToGrid w:val="0"/>
        <w:spacing w:line="300" w:lineRule="exact"/>
        <w:ind w:firstLine="420" w:firstLineChars="200"/>
        <w:jc w:val="both"/>
        <w:textAlignment w:val="auto"/>
        <w:rPr>
          <w:rStyle w:val="4"/>
          <w:rFonts w:ascii="宋体" w:hAnsi="宋体" w:eastAsia="宋体" w:cs="Times New Roman"/>
          <w:color w:val="auto"/>
          <w:kern w:val="2"/>
          <w:sz w:val="21"/>
          <w:szCs w:val="21"/>
          <w:highlight w:val="none"/>
          <w:lang w:val="en-US" w:eastAsia="zh-CN" w:bidi="ar-SA"/>
        </w:rPr>
      </w:pPr>
      <w:r>
        <w:rPr>
          <w:rStyle w:val="4"/>
          <w:rFonts w:hint="eastAsia" w:ascii="宋体" w:hAnsi="宋体" w:eastAsia="宋体" w:cs="Times New Roman"/>
          <w:color w:val="auto"/>
          <w:kern w:val="2"/>
          <w:sz w:val="21"/>
          <w:szCs w:val="21"/>
          <w:highlight w:val="none"/>
          <w:lang w:val="en-US" w:eastAsia="zh-CN" w:bidi="ar-SA"/>
        </w:rPr>
        <w:t>3、货物的主要技术参数或规格：</w:t>
      </w:r>
      <w:r>
        <w:rPr>
          <w:rStyle w:val="4"/>
          <w:rFonts w:ascii="宋体" w:hAnsi="宋体" w:eastAsia="宋体" w:cs="Times New Roman"/>
          <w:color w:val="auto"/>
          <w:kern w:val="2"/>
          <w:sz w:val="21"/>
          <w:szCs w:val="21"/>
          <w:highlight w:val="none"/>
          <w:lang w:val="en-US" w:eastAsia="zh-CN" w:bidi="ar-SA"/>
        </w:rPr>
        <w:t>详见“技术要求”中的具体技术参数</w:t>
      </w:r>
      <w:r>
        <w:rPr>
          <w:rStyle w:val="4"/>
          <w:rFonts w:hint="eastAsia" w:ascii="宋体" w:hAnsi="宋体" w:eastAsia="宋体" w:cs="Times New Roman"/>
          <w:color w:val="auto"/>
          <w:kern w:val="2"/>
          <w:sz w:val="21"/>
          <w:szCs w:val="21"/>
          <w:highlight w:val="none"/>
          <w:lang w:val="en-US" w:eastAsia="zh-CN" w:bidi="ar-SA"/>
        </w:rPr>
        <w:t>；</w:t>
      </w:r>
    </w:p>
    <w:p w14:paraId="5171663B">
      <w:pPr>
        <w:pStyle w:val="8"/>
        <w:keepNext w:val="0"/>
        <w:keepLines w:val="0"/>
        <w:pageBreakBefore w:val="0"/>
        <w:widowControl w:val="0"/>
        <w:kinsoku/>
        <w:wordWrap/>
        <w:overflowPunct/>
        <w:topLinePunct w:val="0"/>
        <w:autoSpaceDE/>
        <w:autoSpaceDN/>
        <w:bidi w:val="0"/>
        <w:adjustRightInd w:val="0"/>
        <w:snapToGrid w:val="0"/>
        <w:spacing w:line="300" w:lineRule="exact"/>
        <w:ind w:firstLine="420" w:firstLineChars="200"/>
        <w:jc w:val="both"/>
        <w:textAlignment w:val="auto"/>
        <w:rPr>
          <w:rStyle w:val="4"/>
          <w:rFonts w:hint="eastAsia" w:ascii="宋体" w:hAnsi="宋体" w:eastAsia="宋体" w:cs="Times New Roman"/>
          <w:color w:val="auto"/>
          <w:kern w:val="2"/>
          <w:sz w:val="21"/>
          <w:szCs w:val="21"/>
          <w:highlight w:val="none"/>
          <w:lang w:val="en-US" w:eastAsia="zh-CN" w:bidi="ar-SA"/>
        </w:rPr>
      </w:pPr>
      <w:r>
        <w:rPr>
          <w:rStyle w:val="4"/>
          <w:rFonts w:hint="eastAsia" w:ascii="宋体" w:hAnsi="宋体" w:eastAsia="宋体" w:cs="Times New Roman"/>
          <w:color w:val="auto"/>
          <w:kern w:val="2"/>
          <w:sz w:val="21"/>
          <w:szCs w:val="21"/>
          <w:highlight w:val="none"/>
          <w:lang w:val="en-US" w:eastAsia="zh-CN" w:bidi="ar-SA"/>
        </w:rPr>
        <w:t>4、投标人应在投标文件《分项报价明细表》中按分项项目名称（包括条目号/品目名称）顺序逐项填写，且每个品目中的条目均需按招标文件规定报价。如有缺项、漏项，其</w:t>
      </w:r>
      <w:r>
        <w:rPr>
          <w:rStyle w:val="4"/>
          <w:rFonts w:hint="eastAsia" w:ascii="宋体" w:hAnsi="宋体" w:eastAsia="宋体" w:cs="Times New Roman"/>
          <w:b/>
          <w:color w:val="auto"/>
          <w:kern w:val="2"/>
          <w:sz w:val="21"/>
          <w:szCs w:val="21"/>
          <w:highlight w:val="none"/>
          <w:lang w:val="en-US" w:eastAsia="zh-CN" w:bidi="ar-SA"/>
        </w:rPr>
        <w:t>投标无效</w:t>
      </w:r>
      <w:r>
        <w:rPr>
          <w:rStyle w:val="4"/>
          <w:rFonts w:hint="eastAsia" w:ascii="宋体" w:hAnsi="宋体" w:eastAsia="宋体" w:cs="Times New Roman"/>
          <w:color w:val="auto"/>
          <w:kern w:val="2"/>
          <w:sz w:val="21"/>
          <w:szCs w:val="21"/>
          <w:highlight w:val="none"/>
          <w:lang w:val="en-US" w:eastAsia="zh-CN" w:bidi="ar-SA"/>
        </w:rPr>
        <w:t>；</w:t>
      </w:r>
    </w:p>
    <w:p w14:paraId="2AC01EB5">
      <w:pPr>
        <w:pStyle w:val="8"/>
        <w:widowControl w:val="0"/>
        <w:ind w:firstLine="420" w:firstLineChars="200"/>
        <w:jc w:val="both"/>
        <w:rPr>
          <w:rStyle w:val="4"/>
          <w:rFonts w:ascii="Calibri" w:hAnsi="Calibri" w:eastAsia="宋体" w:cs="Times New Roman"/>
          <w:kern w:val="2"/>
          <w:sz w:val="21"/>
          <w:szCs w:val="22"/>
          <w:highlight w:val="none"/>
          <w:lang w:val="en-US" w:eastAsia="zh-CN" w:bidi="ar-SA"/>
        </w:rPr>
      </w:pPr>
      <w:r>
        <w:rPr>
          <w:rStyle w:val="4"/>
          <w:rFonts w:hint="eastAsia" w:ascii="宋体" w:hAnsi="宋体" w:eastAsia="宋体" w:cs="宋体"/>
          <w:kern w:val="0"/>
          <w:sz w:val="21"/>
          <w:szCs w:val="21"/>
          <w:highlight w:val="none"/>
          <w:lang w:val="en-US" w:eastAsia="zh-CN" w:bidi="ar-SA"/>
        </w:rPr>
        <w:t>5、</w:t>
      </w:r>
      <w:r>
        <w:rPr>
          <w:rStyle w:val="4"/>
          <w:rFonts w:hint="eastAsia" w:ascii="宋体" w:hAnsi="宋体" w:eastAsia="宋体" w:cs="Times New Roman"/>
          <w:b/>
          <w:bCs/>
          <w:kern w:val="2"/>
          <w:sz w:val="21"/>
          <w:szCs w:val="21"/>
          <w:highlight w:val="none"/>
          <w:lang w:val="en-US" w:eastAsia="zh-CN" w:bidi="ar-SA"/>
        </w:rPr>
        <w:t>投标报价不得超过预算（含分包预算）和总价最高限价（含分包最高限价），投标人的进口设备（如有）总报价不能超过接受进口设备总价的最高限价，</w:t>
      </w:r>
      <w:r>
        <w:rPr>
          <w:rStyle w:val="4"/>
          <w:rFonts w:hint="eastAsia" w:ascii="宋体" w:hAnsi="宋体" w:eastAsia="宋体" w:cs="宋体"/>
          <w:b/>
          <w:bCs/>
          <w:color w:val="000000"/>
          <w:kern w:val="0"/>
          <w:sz w:val="21"/>
          <w:szCs w:val="21"/>
          <w:highlight w:val="none"/>
          <w:u w:val="none"/>
          <w:lang w:val="en-US" w:eastAsia="zh-CN" w:bidi="ar-SA"/>
        </w:rPr>
        <w:t>否则投标无效</w:t>
      </w:r>
      <w:r>
        <w:rPr>
          <w:rStyle w:val="4"/>
          <w:rFonts w:hint="eastAsia" w:ascii="宋体" w:hAnsi="宋体" w:eastAsia="宋体" w:cs="宋体"/>
          <w:b/>
          <w:color w:val="000000"/>
          <w:kern w:val="0"/>
          <w:sz w:val="21"/>
          <w:szCs w:val="21"/>
          <w:highlight w:val="none"/>
          <w:u w:val="none"/>
          <w:lang w:val="en-US" w:eastAsia="zh-CN" w:bidi="ar-SA"/>
        </w:rPr>
        <w:t>。</w:t>
      </w:r>
    </w:p>
    <w:p w14:paraId="398F2E50">
      <w:pPr>
        <w:pStyle w:val="8"/>
        <w:widowControl w:val="0"/>
        <w:adjustRightInd w:val="0"/>
        <w:snapToGrid w:val="0"/>
        <w:spacing w:line="360" w:lineRule="exact"/>
        <w:ind w:firstLine="420" w:firstLineChars="200"/>
        <w:jc w:val="both"/>
        <w:rPr>
          <w:rStyle w:val="4"/>
          <w:rFonts w:hint="eastAsia" w:ascii="宋体" w:hAnsi="宋体" w:eastAsia="宋体" w:cs="宋体"/>
          <w:color w:val="000000"/>
          <w:kern w:val="0"/>
          <w:sz w:val="21"/>
          <w:szCs w:val="22"/>
          <w:highlight w:val="none"/>
          <w:lang w:val="en-US" w:eastAsia="zh-CN" w:bidi="ar-SA"/>
        </w:rPr>
      </w:pPr>
      <w:r>
        <w:rPr>
          <w:rStyle w:val="4"/>
          <w:rFonts w:hint="eastAsia" w:ascii="宋体" w:hAnsi="宋体" w:eastAsia="宋体" w:cs="宋体"/>
          <w:b w:val="0"/>
          <w:bCs/>
          <w:color w:val="000000"/>
          <w:kern w:val="2"/>
          <w:sz w:val="21"/>
          <w:szCs w:val="22"/>
          <w:highlight w:val="none"/>
          <w:lang w:val="en-US" w:eastAsia="zh-CN" w:bidi="ar-SA"/>
        </w:rPr>
        <w:t>6、</w:t>
      </w:r>
      <w:r>
        <w:rPr>
          <w:rStyle w:val="4"/>
          <w:rFonts w:hint="eastAsia" w:ascii="宋体" w:hAnsi="宋体" w:eastAsia="宋体" w:cs="宋体"/>
          <w:b/>
          <w:color w:val="000000"/>
          <w:kern w:val="2"/>
          <w:sz w:val="21"/>
          <w:szCs w:val="22"/>
          <w:highlight w:val="none"/>
          <w:lang w:val="en-US" w:eastAsia="zh-CN" w:bidi="ar-SA"/>
        </w:rPr>
        <w:t>强制节能产品：</w:t>
      </w:r>
      <w:r>
        <w:rPr>
          <w:rStyle w:val="4"/>
          <w:rFonts w:hint="eastAsia" w:ascii="宋体" w:hAnsi="宋体" w:eastAsia="宋体" w:cs="宋体"/>
          <w:color w:val="000000"/>
          <w:kern w:val="2"/>
          <w:sz w:val="21"/>
          <w:szCs w:val="22"/>
          <w:highlight w:val="none"/>
          <w:lang w:val="en-US" w:eastAsia="zh-CN" w:bidi="ar-SA"/>
        </w:rPr>
        <w:t>上表“</w:t>
      </w:r>
      <w:r>
        <w:rPr>
          <w:rStyle w:val="4"/>
          <w:rFonts w:hint="eastAsia" w:ascii="宋体" w:hAnsi="宋体" w:eastAsia="宋体" w:cs="宋体"/>
          <w:b/>
          <w:color w:val="000000"/>
          <w:kern w:val="0"/>
          <w:sz w:val="21"/>
          <w:szCs w:val="21"/>
          <w:highlight w:val="none"/>
          <w:lang w:val="en-US" w:eastAsia="zh-CN" w:bidi="ar-SA"/>
        </w:rPr>
        <w:t>是否为强制节能产品</w:t>
      </w:r>
      <w:r>
        <w:rPr>
          <w:rStyle w:val="4"/>
          <w:rFonts w:hint="eastAsia" w:ascii="宋体" w:hAnsi="宋体" w:eastAsia="宋体" w:cs="宋体"/>
          <w:color w:val="000000"/>
          <w:kern w:val="2"/>
          <w:sz w:val="21"/>
          <w:szCs w:val="22"/>
          <w:highlight w:val="none"/>
          <w:lang w:val="en-US" w:eastAsia="zh-CN" w:bidi="ar-SA"/>
        </w:rPr>
        <w:t>”栏中标注“是”的为强制节能产品</w:t>
      </w:r>
      <w:r>
        <w:rPr>
          <w:rStyle w:val="4"/>
          <w:rFonts w:hint="eastAsia" w:ascii="宋体" w:hAnsi="宋体" w:eastAsia="宋体" w:cs="宋体"/>
          <w:b/>
          <w:color w:val="000000"/>
          <w:kern w:val="2"/>
          <w:sz w:val="21"/>
          <w:szCs w:val="22"/>
          <w:highlight w:val="none"/>
          <w:lang w:val="en-US" w:eastAsia="zh-CN" w:bidi="ar-SA"/>
        </w:rPr>
        <w:t>，</w:t>
      </w:r>
      <w:r>
        <w:rPr>
          <w:rStyle w:val="4"/>
          <w:rFonts w:hint="eastAsia" w:ascii="宋体" w:hAnsi="宋体" w:eastAsia="宋体" w:cs="宋体"/>
          <w:color w:val="000000"/>
          <w:kern w:val="0"/>
          <w:sz w:val="21"/>
          <w:szCs w:val="22"/>
          <w:highlight w:val="none"/>
          <w:lang w:val="en-US" w:eastAsia="zh-CN" w:bidi="ar-SA"/>
        </w:rPr>
        <w:t>投标人投标产品应当取得国家确定的认证机构出具的、处于有效期之内的节能产品认证证书，否则其</w:t>
      </w:r>
      <w:r>
        <w:rPr>
          <w:rStyle w:val="4"/>
          <w:rFonts w:hint="eastAsia" w:ascii="宋体" w:hAnsi="宋体" w:eastAsia="宋体" w:cs="宋体"/>
          <w:b/>
          <w:color w:val="000000"/>
          <w:kern w:val="0"/>
          <w:sz w:val="21"/>
          <w:szCs w:val="21"/>
          <w:highlight w:val="none"/>
          <w:lang w:val="en-US" w:eastAsia="zh-CN" w:bidi="ar-SA"/>
        </w:rPr>
        <w:t>投标无效</w:t>
      </w:r>
      <w:r>
        <w:rPr>
          <w:rStyle w:val="4"/>
          <w:rFonts w:hint="eastAsia" w:ascii="宋体" w:hAnsi="宋体" w:eastAsia="宋体" w:cs="宋体"/>
          <w:color w:val="000000"/>
          <w:kern w:val="0"/>
          <w:sz w:val="21"/>
          <w:szCs w:val="22"/>
          <w:highlight w:val="none"/>
          <w:lang w:val="en-US" w:eastAsia="zh-CN" w:bidi="ar-SA"/>
        </w:rPr>
        <w:t>。</w:t>
      </w:r>
    </w:p>
    <w:p w14:paraId="3ECD500C">
      <w:pPr>
        <w:pStyle w:val="8"/>
        <w:keepNext w:val="0"/>
        <w:keepLines w:val="0"/>
        <w:pageBreakBefore w:val="0"/>
        <w:widowControl w:val="0"/>
        <w:kinsoku/>
        <w:wordWrap/>
        <w:overflowPunct/>
        <w:topLinePunct w:val="0"/>
        <w:autoSpaceDE/>
        <w:autoSpaceDN/>
        <w:bidi w:val="0"/>
        <w:adjustRightInd w:val="0"/>
        <w:snapToGrid w:val="0"/>
        <w:spacing w:line="300" w:lineRule="exact"/>
        <w:ind w:firstLine="420" w:firstLineChars="200"/>
        <w:jc w:val="both"/>
        <w:textAlignment w:val="auto"/>
        <w:rPr>
          <w:rStyle w:val="4"/>
          <w:rFonts w:hint="eastAsia" w:ascii="宋体" w:hAnsi="宋体" w:eastAsia="宋体" w:cs="Times New Roman"/>
          <w:color w:val="auto"/>
          <w:kern w:val="2"/>
          <w:sz w:val="21"/>
          <w:szCs w:val="21"/>
          <w:highlight w:val="none"/>
          <w:lang w:val="en-US" w:eastAsia="zh-CN" w:bidi="ar-SA"/>
        </w:rPr>
      </w:pPr>
      <w:r>
        <w:rPr>
          <w:rStyle w:val="4"/>
          <w:rFonts w:hint="eastAsia" w:ascii="宋体" w:hAnsi="宋体" w:eastAsia="宋体" w:cs="宋体"/>
          <w:color w:val="000000"/>
          <w:kern w:val="0"/>
          <w:sz w:val="21"/>
          <w:szCs w:val="22"/>
          <w:highlight w:val="none"/>
          <w:lang w:val="en-US" w:eastAsia="zh-CN" w:bidi="ar-SA"/>
        </w:rPr>
        <w:t>7、</w:t>
      </w:r>
      <w:r>
        <w:rPr>
          <w:rStyle w:val="4"/>
          <w:rFonts w:hint="eastAsia" w:ascii="宋体" w:hAnsi="宋体" w:eastAsia="宋体" w:cs="Times New Roman"/>
          <w:b/>
          <w:bCs/>
          <w:color w:val="auto"/>
          <w:kern w:val="2"/>
          <w:sz w:val="21"/>
          <w:szCs w:val="21"/>
          <w:highlight w:val="none"/>
          <w:lang w:val="en-US" w:eastAsia="zh-CN" w:bidi="ar-SA"/>
        </w:rPr>
        <w:t>原装进口：</w:t>
      </w:r>
      <w:r>
        <w:rPr>
          <w:rStyle w:val="4"/>
          <w:rFonts w:hint="eastAsia" w:ascii="宋体" w:hAnsi="宋体" w:eastAsia="宋体" w:cs="Times New Roman"/>
          <w:b w:val="0"/>
          <w:bCs w:val="0"/>
          <w:color w:val="auto"/>
          <w:kern w:val="2"/>
          <w:sz w:val="21"/>
          <w:szCs w:val="21"/>
          <w:highlight w:val="none"/>
          <w:lang w:val="en-US" w:eastAsia="zh-CN" w:bidi="ar-SA"/>
        </w:rPr>
        <w:t>上表</w:t>
      </w:r>
      <w:r>
        <w:rPr>
          <w:rStyle w:val="4"/>
          <w:rFonts w:hint="eastAsia" w:ascii="宋体" w:hAnsi="宋体" w:eastAsia="宋体" w:cs="Times New Roman"/>
          <w:b/>
          <w:bCs/>
          <w:color w:val="auto"/>
          <w:kern w:val="2"/>
          <w:sz w:val="21"/>
          <w:szCs w:val="21"/>
          <w:highlight w:val="none"/>
          <w:lang w:val="en-US" w:eastAsia="zh-CN" w:bidi="ar-SA"/>
        </w:rPr>
        <w:t>“是否接受进口设备”</w:t>
      </w:r>
      <w:r>
        <w:rPr>
          <w:rStyle w:val="4"/>
          <w:rFonts w:hint="eastAsia" w:ascii="宋体" w:hAnsi="宋体" w:eastAsia="宋体" w:cs="Times New Roman"/>
          <w:b w:val="0"/>
          <w:bCs w:val="0"/>
          <w:color w:val="auto"/>
          <w:kern w:val="2"/>
          <w:sz w:val="21"/>
          <w:szCs w:val="21"/>
          <w:highlight w:val="none"/>
          <w:lang w:val="en-US" w:eastAsia="zh-CN" w:bidi="ar-SA"/>
        </w:rPr>
        <w:t>栏中标注</w:t>
      </w:r>
      <w:r>
        <w:rPr>
          <w:rStyle w:val="4"/>
          <w:rFonts w:hint="eastAsia" w:ascii="宋体" w:hAnsi="宋体" w:eastAsia="宋体" w:cs="Times New Roman"/>
          <w:b/>
          <w:bCs/>
          <w:color w:val="auto"/>
          <w:kern w:val="2"/>
          <w:sz w:val="21"/>
          <w:szCs w:val="21"/>
          <w:highlight w:val="none"/>
          <w:lang w:val="en-US" w:eastAsia="zh-CN" w:bidi="ar-SA"/>
        </w:rPr>
        <w:t>“是”</w:t>
      </w:r>
      <w:r>
        <w:rPr>
          <w:rStyle w:val="4"/>
          <w:rFonts w:hint="eastAsia" w:ascii="宋体" w:hAnsi="宋体" w:eastAsia="宋体" w:cs="Times New Roman"/>
          <w:b w:val="0"/>
          <w:bCs w:val="0"/>
          <w:color w:val="auto"/>
          <w:kern w:val="2"/>
          <w:sz w:val="21"/>
          <w:szCs w:val="21"/>
          <w:highlight w:val="none"/>
          <w:lang w:val="en-US" w:eastAsia="zh-CN" w:bidi="ar-SA"/>
        </w:rPr>
        <w:t>的设备已经通过主管部门审核同意，接受进口产品参与投标，提供</w:t>
      </w:r>
      <w:r>
        <w:rPr>
          <w:rStyle w:val="4"/>
          <w:rFonts w:hint="eastAsia" w:ascii="宋体" w:hAnsi="宋体" w:eastAsia="宋体" w:cs="宋体"/>
          <w:color w:val="000000"/>
          <w:kern w:val="0"/>
          <w:sz w:val="21"/>
          <w:szCs w:val="22"/>
          <w:highlight w:val="none"/>
          <w:lang w:val="en-US" w:eastAsia="zh-CN" w:bidi="ar-SA"/>
        </w:rPr>
        <w:t>产品制造商针对</w:t>
      </w:r>
      <w:r>
        <w:rPr>
          <w:rStyle w:val="4"/>
          <w:rFonts w:hint="eastAsia" w:ascii="Times New Roman" w:hAnsi="Times New Roman" w:eastAsia="宋体" w:cs="Times New Roman"/>
          <w:b/>
          <w:bCs/>
          <w:color w:val="auto"/>
          <w:kern w:val="0"/>
          <w:sz w:val="21"/>
          <w:szCs w:val="21"/>
          <w:highlight w:val="none"/>
          <w:lang w:val="en-US" w:eastAsia="zh-CN" w:bidi="ar-SA"/>
        </w:rPr>
        <w:t>本产品的授权函原件扫描件，并加盖投标人公章。</w:t>
      </w:r>
      <w:r>
        <w:rPr>
          <w:rStyle w:val="4"/>
          <w:rFonts w:hint="eastAsia" w:ascii="宋体" w:hAnsi="宋体" w:eastAsia="宋体" w:cs="Times New Roman"/>
          <w:b w:val="0"/>
          <w:bCs w:val="0"/>
          <w:color w:val="auto"/>
          <w:kern w:val="2"/>
          <w:sz w:val="21"/>
          <w:szCs w:val="21"/>
          <w:highlight w:val="none"/>
          <w:lang w:val="en-US" w:eastAsia="zh-CN" w:bidi="ar-SA"/>
        </w:rPr>
        <w:t>标注“否”的拒绝进口产品参与投标。</w:t>
      </w:r>
    </w:p>
    <w:p w14:paraId="3EA8B14B">
      <w:pPr>
        <w:pStyle w:val="8"/>
        <w:widowControl w:val="0"/>
        <w:adjustRightInd w:val="0"/>
        <w:snapToGrid w:val="0"/>
        <w:spacing w:line="360" w:lineRule="exact"/>
        <w:ind w:firstLine="420" w:firstLineChars="200"/>
        <w:jc w:val="both"/>
        <w:rPr>
          <w:rStyle w:val="4"/>
          <w:rFonts w:hint="eastAsia" w:ascii="宋体" w:hAnsi="宋体" w:eastAsia="宋体" w:cs="宋体"/>
          <w:b/>
          <w:bCs/>
          <w:color w:val="000000"/>
          <w:kern w:val="0"/>
          <w:sz w:val="21"/>
          <w:szCs w:val="22"/>
          <w:highlight w:val="none"/>
          <w:lang w:val="en-US" w:eastAsia="zh-CN" w:bidi="ar-SA"/>
        </w:rPr>
      </w:pPr>
      <w:r>
        <w:rPr>
          <w:rStyle w:val="4"/>
          <w:rFonts w:hint="eastAsia" w:ascii="宋体" w:hAnsi="宋体" w:eastAsia="宋体" w:cs="宋体"/>
          <w:b w:val="0"/>
          <w:bCs w:val="0"/>
          <w:color w:val="000000"/>
          <w:kern w:val="0"/>
          <w:sz w:val="21"/>
          <w:szCs w:val="22"/>
          <w:highlight w:val="none"/>
          <w:lang w:val="en-US" w:eastAsia="zh-CN" w:bidi="ar-SA"/>
        </w:rPr>
        <w:t>8、</w:t>
      </w:r>
      <w:r>
        <w:rPr>
          <w:rStyle w:val="4"/>
          <w:rFonts w:hint="eastAsia" w:ascii="宋体" w:hAnsi="宋体" w:eastAsia="宋体" w:cs="宋体"/>
          <w:b w:val="0"/>
          <w:bCs w:val="0"/>
          <w:color w:val="000000"/>
          <w:kern w:val="2"/>
          <w:sz w:val="21"/>
          <w:szCs w:val="22"/>
          <w:highlight w:val="none"/>
          <w:lang w:val="en-US" w:eastAsia="zh-CN" w:bidi="ar-SA"/>
        </w:rPr>
        <w:t>售后服务承诺书：</w:t>
      </w:r>
      <w:r>
        <w:rPr>
          <w:rStyle w:val="4"/>
          <w:rFonts w:hint="eastAsia" w:ascii="宋体" w:hAnsi="宋体" w:eastAsia="宋体" w:cs="宋体"/>
          <w:b w:val="0"/>
          <w:bCs w:val="0"/>
          <w:color w:val="000000"/>
          <w:kern w:val="0"/>
          <w:sz w:val="21"/>
          <w:szCs w:val="22"/>
          <w:highlight w:val="none"/>
          <w:lang w:val="en-US" w:eastAsia="zh-CN" w:bidi="ar-SA"/>
        </w:rPr>
        <w:t>上表“售后服务承诺书”栏标注“要求提供”的允许购买进口产品的，投标人须在投标文件中提供由产品制造商针对本项目的售后服务承诺书原件扫描件（内容要求注明项目名称、政府采购编号、货物名称及提供设备维保年限、范围及保修条件、软件升级情况等）；上表“售后服务承诺书栏”标注“要求提供”的其他产品，投标人须在投标文件中承诺，中标后7天内提供制造商或国内总代理盖章的售后服务承诺书原件（内容要求注明项目名称、政府采购编号、货物名称及提供设备维保年限、范围及保修条件、软件升级情况等），</w:t>
      </w:r>
      <w:r>
        <w:rPr>
          <w:rStyle w:val="4"/>
          <w:rFonts w:hint="eastAsia" w:ascii="宋体" w:hAnsi="宋体" w:eastAsia="宋体" w:cs="宋体"/>
          <w:b/>
          <w:bCs/>
          <w:color w:val="000000"/>
          <w:kern w:val="0"/>
          <w:sz w:val="21"/>
          <w:szCs w:val="22"/>
          <w:highlight w:val="none"/>
          <w:lang w:val="en-US" w:eastAsia="zh-CN" w:bidi="ar-SA"/>
        </w:rPr>
        <w:t>否则其</w:t>
      </w:r>
      <w:r>
        <w:rPr>
          <w:rStyle w:val="4"/>
          <w:rFonts w:hint="eastAsia" w:ascii="宋体" w:hAnsi="宋体" w:eastAsia="宋体" w:cs="宋体"/>
          <w:b/>
          <w:bCs/>
          <w:color w:val="000000"/>
          <w:kern w:val="0"/>
          <w:sz w:val="21"/>
          <w:szCs w:val="21"/>
          <w:highlight w:val="none"/>
          <w:lang w:val="en-US" w:eastAsia="zh-CN" w:bidi="ar-SA"/>
        </w:rPr>
        <w:t>投标无效</w:t>
      </w:r>
      <w:r>
        <w:rPr>
          <w:rStyle w:val="4"/>
          <w:rFonts w:hint="eastAsia" w:ascii="宋体" w:hAnsi="宋体" w:eastAsia="宋体" w:cs="宋体"/>
          <w:b/>
          <w:bCs/>
          <w:color w:val="000000"/>
          <w:kern w:val="0"/>
          <w:sz w:val="21"/>
          <w:szCs w:val="22"/>
          <w:highlight w:val="none"/>
          <w:lang w:val="en-US" w:eastAsia="zh-CN" w:bidi="ar-SA"/>
        </w:rPr>
        <w:t>。</w:t>
      </w:r>
    </w:p>
    <w:p w14:paraId="5567479B">
      <w:pPr>
        <w:pStyle w:val="5"/>
        <w:adjustRightInd w:val="0"/>
        <w:snapToGrid w:val="0"/>
        <w:spacing w:line="360" w:lineRule="exact"/>
        <w:ind w:firstLine="422" w:firstLineChars="200"/>
        <w:rPr>
          <w:rStyle w:val="4"/>
          <w:rFonts w:ascii="宋体" w:hAnsi="宋体"/>
          <w:b/>
          <w:szCs w:val="21"/>
        </w:rPr>
      </w:pPr>
      <w:r>
        <w:rPr>
          <w:rStyle w:val="4"/>
          <w:rFonts w:hint="eastAsia" w:ascii="宋体" w:hAnsi="宋体" w:eastAsia="宋体" w:cs="宋体"/>
          <w:b/>
          <w:color w:val="000000"/>
          <w:kern w:val="2"/>
          <w:sz w:val="21"/>
          <w:szCs w:val="21"/>
          <w:highlight w:val="none"/>
          <w:lang w:val="en-US" w:eastAsia="zh-CN" w:bidi="ar-SA"/>
        </w:rPr>
        <w:t>9、核心产品：</w:t>
      </w:r>
      <w:r>
        <w:rPr>
          <w:rStyle w:val="4"/>
          <w:rFonts w:hint="eastAsia" w:ascii="宋体" w:hAnsi="宋体" w:eastAsia="宋体" w:cs="宋体"/>
          <w:color w:val="000000"/>
          <w:kern w:val="2"/>
          <w:sz w:val="21"/>
          <w:szCs w:val="22"/>
          <w:highlight w:val="none"/>
          <w:lang w:val="en-US" w:eastAsia="zh-CN" w:bidi="ar-SA"/>
        </w:rPr>
        <w:t>上表“</w:t>
      </w:r>
      <w:r>
        <w:rPr>
          <w:rStyle w:val="4"/>
          <w:rFonts w:hint="eastAsia" w:ascii="宋体" w:hAnsi="宋体" w:eastAsia="宋体" w:cs="宋体"/>
          <w:b/>
          <w:color w:val="000000"/>
          <w:kern w:val="0"/>
          <w:sz w:val="21"/>
          <w:szCs w:val="21"/>
          <w:highlight w:val="none"/>
          <w:lang w:val="en-US" w:eastAsia="zh-CN" w:bidi="ar-SA"/>
        </w:rPr>
        <w:t>是否为核心产品</w:t>
      </w:r>
      <w:r>
        <w:rPr>
          <w:rStyle w:val="4"/>
          <w:rFonts w:hint="eastAsia" w:ascii="宋体" w:hAnsi="宋体" w:eastAsia="宋体" w:cs="宋体"/>
          <w:color w:val="000000"/>
          <w:kern w:val="2"/>
          <w:sz w:val="21"/>
          <w:szCs w:val="22"/>
          <w:highlight w:val="none"/>
          <w:lang w:val="en-US" w:eastAsia="zh-CN" w:bidi="ar-SA"/>
        </w:rPr>
        <w:t>”栏中标注“是”的为核心产品，多家投标人提供的核心产品品牌相同的，按一个有效投标人处理。</w:t>
      </w:r>
    </w:p>
    <w:p w14:paraId="740BA3A1">
      <w:pPr>
        <w:pStyle w:val="5"/>
        <w:keepNext/>
        <w:keepLines/>
        <w:adjustRightInd w:val="0"/>
        <w:snapToGrid w:val="0"/>
        <w:spacing w:before="156" w:beforeLines="50" w:line="360" w:lineRule="auto"/>
        <w:jc w:val="center"/>
        <w:outlineLvl w:val="1"/>
        <w:rPr>
          <w:rStyle w:val="4"/>
          <w:rFonts w:ascii="黑体" w:hAnsi="黑体" w:eastAsia="黑体"/>
          <w:b/>
          <w:bCs/>
          <w:sz w:val="28"/>
          <w:szCs w:val="28"/>
        </w:rPr>
      </w:pPr>
      <w:r>
        <w:rPr>
          <w:rStyle w:val="4"/>
          <w:rFonts w:hint="eastAsia" w:ascii="黑体" w:hAnsi="黑体" w:eastAsia="黑体"/>
          <w:b/>
          <w:bCs/>
          <w:sz w:val="28"/>
          <w:szCs w:val="28"/>
        </w:rPr>
        <w:br w:type="page"/>
      </w:r>
      <w:bookmarkStart w:id="6" w:name="_Toc22916"/>
      <w:bookmarkStart w:id="7" w:name="_Toc15276"/>
      <w:bookmarkStart w:id="8" w:name="_Toc256000039"/>
      <w:bookmarkStart w:id="9" w:name="_Toc32651"/>
      <w:bookmarkStart w:id="10" w:name="_Toc26043"/>
      <w:bookmarkStart w:id="11" w:name="_Toc26952"/>
      <w:bookmarkStart w:id="12" w:name="_Toc2842"/>
      <w:bookmarkStart w:id="13" w:name="_Toc21425"/>
      <w:r>
        <w:rPr>
          <w:rStyle w:val="4"/>
          <w:rFonts w:hint="eastAsia" w:ascii="黑体" w:hAnsi="黑体" w:eastAsia="黑体"/>
          <w:b/>
          <w:bCs/>
          <w:sz w:val="28"/>
          <w:szCs w:val="28"/>
        </w:rPr>
        <w:t xml:space="preserve">第二节 </w:t>
      </w:r>
      <w:bookmarkEnd w:id="4"/>
      <w:r>
        <w:rPr>
          <w:rStyle w:val="4"/>
          <w:rFonts w:hint="eastAsia" w:ascii="黑体" w:hAnsi="黑体" w:eastAsia="黑体"/>
          <w:b/>
          <w:bCs/>
          <w:sz w:val="28"/>
          <w:szCs w:val="28"/>
        </w:rPr>
        <w:t>技术要求</w:t>
      </w:r>
      <w:bookmarkEnd w:id="5"/>
      <w:bookmarkEnd w:id="6"/>
      <w:bookmarkEnd w:id="7"/>
      <w:bookmarkEnd w:id="8"/>
      <w:bookmarkEnd w:id="9"/>
      <w:bookmarkEnd w:id="10"/>
      <w:bookmarkEnd w:id="11"/>
      <w:bookmarkEnd w:id="12"/>
      <w:bookmarkEnd w:id="13"/>
    </w:p>
    <w:p w14:paraId="379E5FC1">
      <w:pPr>
        <w:pStyle w:val="9"/>
        <w:widowControl/>
        <w:spacing w:line="400" w:lineRule="exact"/>
        <w:jc w:val="left"/>
        <w:rPr>
          <w:rStyle w:val="4"/>
          <w:rFonts w:ascii="宋体" w:hAnsi="宋体" w:cs="宋体"/>
          <w:b/>
          <w:bCs/>
          <w:sz w:val="24"/>
          <w:szCs w:val="24"/>
          <w:lang w:bidi="ar"/>
        </w:rPr>
      </w:pPr>
      <w:bookmarkStart w:id="14" w:name="_Toc29410"/>
      <w:r>
        <w:rPr>
          <w:rStyle w:val="4"/>
          <w:rFonts w:hint="eastAsia" w:ascii="宋体" w:hAnsi="宋体" w:cs="宋体"/>
          <w:b/>
          <w:bCs/>
          <w:sz w:val="24"/>
          <w:szCs w:val="24"/>
          <w:lang w:bidi="ar"/>
        </w:rPr>
        <w:t>一、技术、功能要求</w:t>
      </w:r>
    </w:p>
    <w:bookmarkEnd w:id="14"/>
    <w:p w14:paraId="49B647C8">
      <w:pPr>
        <w:pStyle w:val="5"/>
        <w:keepNext/>
        <w:keepLines/>
        <w:adjustRightInd w:val="0"/>
        <w:snapToGrid w:val="0"/>
        <w:spacing w:before="156" w:beforeLines="50" w:line="360" w:lineRule="auto"/>
        <w:outlineLvl w:val="1"/>
        <w:rPr>
          <w:rStyle w:val="4"/>
          <w:rFonts w:ascii="黑体" w:hAnsi="黑体" w:eastAsia="黑体" w:cs="黑体"/>
          <w:b/>
          <w:bCs/>
          <w:sz w:val="24"/>
          <w:szCs w:val="24"/>
        </w:rPr>
      </w:pPr>
      <w:bookmarkStart w:id="15" w:name="_Toc4711"/>
      <w:bookmarkStart w:id="16" w:name="_Toc19319"/>
      <w:bookmarkStart w:id="17" w:name="_Toc1842"/>
      <w:bookmarkStart w:id="18" w:name="_Toc256000040"/>
      <w:r>
        <w:rPr>
          <w:rStyle w:val="4"/>
          <w:rFonts w:hint="eastAsia" w:ascii="黑体" w:hAnsi="黑体" w:eastAsia="黑体" w:cs="黑体"/>
          <w:b/>
          <w:bCs/>
          <w:sz w:val="24"/>
          <w:szCs w:val="24"/>
        </w:rPr>
        <w:t>包一：</w:t>
      </w:r>
      <w:bookmarkEnd w:id="15"/>
      <w:bookmarkEnd w:id="16"/>
      <w:bookmarkEnd w:id="17"/>
      <w:r>
        <w:rPr>
          <w:rStyle w:val="4"/>
          <w:rFonts w:hint="eastAsia" w:ascii="黑体" w:hAnsi="黑体" w:eastAsia="黑体" w:cs="黑体"/>
          <w:b/>
          <w:bCs/>
          <w:sz w:val="24"/>
          <w:szCs w:val="24"/>
        </w:rPr>
        <w:t>物性测试仪</w:t>
      </w:r>
      <w:bookmarkEnd w:id="18"/>
    </w:p>
    <w:tbl>
      <w:tblPr>
        <w:tblStyle w:val="3"/>
        <w:tblW w:w="9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1865"/>
        <w:gridCol w:w="6050"/>
        <w:gridCol w:w="698"/>
      </w:tblGrid>
      <w:tr w14:paraId="5018C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92" w:type="dxa"/>
            <w:noWrap w:val="0"/>
            <w:vAlign w:val="center"/>
          </w:tcPr>
          <w:p w14:paraId="158BF650">
            <w:pPr>
              <w:pStyle w:val="8"/>
              <w:jc w:val="center"/>
              <w:rPr>
                <w:rStyle w:val="4"/>
                <w:rFonts w:hint="eastAsia" w:ascii="宋体" w:hAnsi="宋体" w:eastAsia="宋体" w:cs="宋体"/>
                <w:szCs w:val="21"/>
              </w:rPr>
            </w:pPr>
            <w:r>
              <w:rPr>
                <w:rStyle w:val="4"/>
                <w:rFonts w:hint="eastAsia" w:ascii="宋体" w:hAnsi="宋体" w:eastAsia="宋体" w:cs="宋体"/>
                <w:szCs w:val="21"/>
              </w:rPr>
              <w:t>序号</w:t>
            </w:r>
          </w:p>
        </w:tc>
        <w:tc>
          <w:tcPr>
            <w:tcW w:w="1865" w:type="dxa"/>
            <w:noWrap w:val="0"/>
            <w:vAlign w:val="center"/>
          </w:tcPr>
          <w:p w14:paraId="0277A5A1">
            <w:pPr>
              <w:pStyle w:val="8"/>
              <w:jc w:val="center"/>
              <w:rPr>
                <w:rStyle w:val="4"/>
                <w:rFonts w:hint="eastAsia" w:ascii="宋体" w:hAnsi="宋体" w:eastAsia="宋体" w:cs="宋体"/>
                <w:szCs w:val="21"/>
              </w:rPr>
            </w:pPr>
            <w:r>
              <w:rPr>
                <w:rStyle w:val="4"/>
                <w:rFonts w:hint="eastAsia" w:ascii="宋体" w:hAnsi="宋体" w:eastAsia="宋体" w:cs="宋体"/>
                <w:szCs w:val="21"/>
              </w:rPr>
              <w:t>货物或服务名称</w:t>
            </w:r>
          </w:p>
        </w:tc>
        <w:tc>
          <w:tcPr>
            <w:tcW w:w="6050" w:type="dxa"/>
            <w:noWrap w:val="0"/>
            <w:vAlign w:val="center"/>
          </w:tcPr>
          <w:p w14:paraId="3379FB3A">
            <w:pPr>
              <w:pStyle w:val="8"/>
              <w:jc w:val="center"/>
              <w:rPr>
                <w:rStyle w:val="4"/>
                <w:rFonts w:hint="eastAsia" w:ascii="宋体" w:hAnsi="宋体" w:eastAsia="宋体" w:cs="宋体"/>
                <w:szCs w:val="21"/>
              </w:rPr>
            </w:pPr>
            <w:r>
              <w:rPr>
                <w:rStyle w:val="4"/>
                <w:rFonts w:hint="eastAsia" w:ascii="宋体" w:hAnsi="宋体" w:eastAsia="宋体" w:cs="宋体"/>
                <w:szCs w:val="21"/>
              </w:rPr>
              <w:t>技术、功能要求</w:t>
            </w:r>
          </w:p>
        </w:tc>
        <w:tc>
          <w:tcPr>
            <w:tcW w:w="698" w:type="dxa"/>
            <w:noWrap w:val="0"/>
            <w:vAlign w:val="center"/>
          </w:tcPr>
          <w:p w14:paraId="6B05A9A0">
            <w:pPr>
              <w:pStyle w:val="8"/>
              <w:jc w:val="center"/>
              <w:rPr>
                <w:rStyle w:val="4"/>
                <w:rFonts w:hint="eastAsia" w:ascii="宋体" w:hAnsi="宋体" w:eastAsia="宋体" w:cs="宋体"/>
                <w:szCs w:val="21"/>
              </w:rPr>
            </w:pPr>
            <w:r>
              <w:rPr>
                <w:rStyle w:val="4"/>
                <w:rFonts w:hint="eastAsia" w:ascii="宋体" w:hAnsi="宋体" w:eastAsia="宋体" w:cs="宋体"/>
                <w:szCs w:val="21"/>
              </w:rPr>
              <w:t>数量</w:t>
            </w:r>
          </w:p>
        </w:tc>
      </w:tr>
      <w:tr w14:paraId="357D6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92" w:type="dxa"/>
            <w:noWrap w:val="0"/>
            <w:vAlign w:val="center"/>
          </w:tcPr>
          <w:p w14:paraId="7464C91D">
            <w:pPr>
              <w:pStyle w:val="8"/>
              <w:widowControl/>
              <w:jc w:val="center"/>
              <w:rPr>
                <w:rStyle w:val="4"/>
                <w:rFonts w:hint="eastAsia" w:ascii="宋体" w:hAnsi="宋体" w:eastAsia="宋体" w:cs="宋体"/>
                <w:color w:val="000000"/>
                <w:szCs w:val="21"/>
              </w:rPr>
            </w:pPr>
            <w:r>
              <w:rPr>
                <w:rStyle w:val="4"/>
                <w:rFonts w:hint="eastAsia" w:ascii="宋体" w:hAnsi="宋体" w:eastAsia="宋体" w:cs="宋体"/>
                <w:kern w:val="0"/>
                <w:szCs w:val="21"/>
              </w:rPr>
              <w:t>1</w:t>
            </w:r>
          </w:p>
        </w:tc>
        <w:tc>
          <w:tcPr>
            <w:tcW w:w="1865" w:type="dxa"/>
            <w:noWrap w:val="0"/>
            <w:vAlign w:val="center"/>
          </w:tcPr>
          <w:p w14:paraId="5A7FF6D1">
            <w:pPr>
              <w:pStyle w:val="8"/>
              <w:widowControl/>
              <w:jc w:val="center"/>
              <w:rPr>
                <w:rStyle w:val="4"/>
                <w:rFonts w:hint="eastAsia" w:ascii="宋体" w:hAnsi="宋体" w:eastAsia="宋体" w:cs="宋体"/>
                <w:color w:val="000000"/>
                <w:szCs w:val="21"/>
              </w:rPr>
            </w:pPr>
            <w:r>
              <w:rPr>
                <w:rStyle w:val="4"/>
                <w:rFonts w:hint="eastAsia" w:ascii="宋体" w:hAnsi="宋体" w:eastAsia="宋体" w:cs="宋体"/>
                <w:szCs w:val="22"/>
              </w:rPr>
              <w:t>物性测试仪</w:t>
            </w:r>
          </w:p>
        </w:tc>
        <w:tc>
          <w:tcPr>
            <w:tcW w:w="6050" w:type="dxa"/>
            <w:noWrap w:val="0"/>
            <w:vAlign w:val="center"/>
          </w:tcPr>
          <w:p w14:paraId="2AA3F4F9">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一、物性测试仪</w:t>
            </w:r>
          </w:p>
          <w:p w14:paraId="433EC225">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1.硬件</w:t>
            </w:r>
          </w:p>
          <w:p w14:paraId="0297D388">
            <w:pPr>
              <w:pStyle w:val="8"/>
              <w:jc w:val="left"/>
              <w:rPr>
                <w:rStyle w:val="4"/>
                <w:rFonts w:ascii="宋体" w:hAnsi="宋体" w:eastAsia="宋体" w:cs="宋体"/>
                <w:b/>
                <w:kern w:val="0"/>
                <w:szCs w:val="21"/>
              </w:rPr>
            </w:pPr>
            <w:r>
              <w:rPr>
                <w:rStyle w:val="4"/>
                <w:rFonts w:hint="eastAsia" w:ascii="宋体" w:hAnsi="宋体" w:eastAsia="宋体" w:cs="宋体"/>
                <w:b/>
                <w:kern w:val="0"/>
                <w:szCs w:val="21"/>
              </w:rPr>
              <w:t xml:space="preserve">▲1.1力量精确度：符合中华人民共和国计量法实施细则，力量感应元不确定度≤0.3% (K=2)、示值误差≤0.3% </w:t>
            </w:r>
            <w:r>
              <w:rPr>
                <w:rStyle w:val="4"/>
                <w:rFonts w:hint="eastAsia" w:ascii="宋体" w:hAnsi="宋体" w:eastAsia="宋体" w:cs="宋体"/>
                <w:b/>
                <w:bCs w:val="0"/>
                <w:kern w:val="0"/>
                <w:szCs w:val="21"/>
                <w:lang w:val="en-US" w:eastAsia="zh-CN"/>
              </w:rPr>
              <w:t>(</w:t>
            </w:r>
            <w:r>
              <w:rPr>
                <w:rStyle w:val="4"/>
                <w:rFonts w:hint="eastAsia" w:ascii="宋体" w:hAnsi="宋体" w:eastAsia="宋体" w:cs="宋体"/>
                <w:b/>
                <w:kern w:val="0"/>
                <w:szCs w:val="21"/>
              </w:rPr>
              <w:t>投标时</w:t>
            </w:r>
            <w:r>
              <w:rPr>
                <w:rStyle w:val="4"/>
                <w:rFonts w:hint="eastAsia" w:ascii="宋体" w:hAnsi="宋体" w:eastAsia="宋体" w:cs="宋体"/>
                <w:b/>
                <w:bCs w:val="0"/>
                <w:kern w:val="0"/>
                <w:szCs w:val="21"/>
              </w:rPr>
              <w:t>需技术白皮书或产品彩页或产品说明书等证明资料</w:t>
            </w:r>
            <w:r>
              <w:rPr>
                <w:rStyle w:val="4"/>
                <w:rFonts w:hint="eastAsia" w:ascii="宋体" w:hAnsi="宋体" w:eastAsia="宋体" w:cs="宋体"/>
                <w:b/>
                <w:bCs w:val="0"/>
                <w:kern w:val="0"/>
                <w:szCs w:val="21"/>
                <w:lang w:val="en-US" w:eastAsia="zh-CN"/>
              </w:rPr>
              <w:t>)</w:t>
            </w:r>
            <w:r>
              <w:rPr>
                <w:rStyle w:val="4"/>
                <w:rFonts w:hint="eastAsia" w:ascii="宋体" w:hAnsi="宋体" w:eastAsia="宋体" w:cs="宋体"/>
                <w:b/>
                <w:bCs w:val="0"/>
                <w:kern w:val="0"/>
                <w:szCs w:val="21"/>
              </w:rPr>
              <w:t>。</w:t>
            </w:r>
          </w:p>
          <w:p w14:paraId="6290FDFB">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1.2力量感应元具有0.5kg、5kg、10kg、30kg、50kg五种模式选择，分辨率≤0.1g。</w:t>
            </w:r>
          </w:p>
          <w:p w14:paraId="1F90955F">
            <w:pPr>
              <w:pStyle w:val="8"/>
              <w:jc w:val="left"/>
              <w:rPr>
                <w:rStyle w:val="4"/>
                <w:rFonts w:ascii="宋体" w:hAnsi="宋体" w:eastAsia="宋体" w:cs="宋体"/>
                <w:bCs/>
                <w:kern w:val="0"/>
                <w:szCs w:val="21"/>
              </w:rPr>
            </w:pPr>
            <w:r>
              <w:rPr>
                <w:rStyle w:val="4"/>
                <w:rFonts w:hint="eastAsia" w:ascii="宋体" w:hAnsi="宋体" w:eastAsia="宋体" w:cs="宋体"/>
                <w:b/>
                <w:kern w:val="0"/>
                <w:szCs w:val="21"/>
              </w:rPr>
              <w:t>★</w:t>
            </w:r>
            <w:r>
              <w:rPr>
                <w:rStyle w:val="4"/>
                <w:rFonts w:hint="eastAsia" w:ascii="宋体" w:hAnsi="宋体" w:eastAsia="宋体" w:cs="宋体"/>
                <w:b/>
                <w:bCs w:val="0"/>
                <w:kern w:val="0"/>
                <w:szCs w:val="21"/>
              </w:rPr>
              <w:t>1.3运行方向性：上下移动的纵向垂直测试分析不同层面的质地结构，左右移动的水平方向测试摩擦力或涂抹性等样品表面质地，量程≥285mm，分辨率≤0.001mm</w:t>
            </w:r>
            <w:r>
              <w:rPr>
                <w:rStyle w:val="4"/>
                <w:rFonts w:hint="eastAsia" w:ascii="宋体" w:hAnsi="宋体" w:eastAsia="宋体" w:cs="宋体"/>
                <w:b/>
                <w:bCs w:val="0"/>
                <w:kern w:val="0"/>
                <w:szCs w:val="21"/>
                <w:lang w:val="en-US" w:eastAsia="zh-CN"/>
              </w:rPr>
              <w:t>(</w:t>
            </w:r>
            <w:r>
              <w:rPr>
                <w:rStyle w:val="4"/>
                <w:rFonts w:hint="eastAsia" w:ascii="宋体" w:hAnsi="宋体" w:eastAsia="宋体" w:cs="宋体"/>
                <w:b/>
                <w:kern w:val="0"/>
                <w:szCs w:val="21"/>
              </w:rPr>
              <w:t>投标时</w:t>
            </w:r>
            <w:r>
              <w:rPr>
                <w:rStyle w:val="4"/>
                <w:rFonts w:hint="eastAsia" w:ascii="宋体" w:hAnsi="宋体" w:eastAsia="宋体" w:cs="宋体"/>
                <w:b/>
                <w:bCs w:val="0"/>
                <w:kern w:val="0"/>
                <w:szCs w:val="21"/>
              </w:rPr>
              <w:t>需技术白皮书或产品彩页或产品说明书等证明资料</w:t>
            </w:r>
            <w:r>
              <w:rPr>
                <w:rStyle w:val="4"/>
                <w:rFonts w:hint="eastAsia" w:ascii="宋体" w:hAnsi="宋体" w:eastAsia="宋体" w:cs="宋体"/>
                <w:b/>
                <w:bCs w:val="0"/>
                <w:kern w:val="0"/>
                <w:szCs w:val="21"/>
                <w:lang w:val="en-US" w:eastAsia="zh-CN"/>
              </w:rPr>
              <w:t>)</w:t>
            </w:r>
            <w:r>
              <w:rPr>
                <w:rStyle w:val="4"/>
                <w:rFonts w:hint="eastAsia" w:ascii="宋体" w:hAnsi="宋体" w:eastAsia="宋体" w:cs="宋体"/>
                <w:b/>
                <w:bCs w:val="0"/>
                <w:kern w:val="0"/>
                <w:szCs w:val="21"/>
              </w:rPr>
              <w:t>。</w:t>
            </w:r>
          </w:p>
          <w:p w14:paraId="29594C07">
            <w:pPr>
              <w:pStyle w:val="8"/>
              <w:jc w:val="left"/>
              <w:rPr>
                <w:rStyle w:val="4"/>
                <w:rFonts w:ascii="宋体" w:hAnsi="宋体" w:eastAsia="宋体" w:cs="宋体"/>
                <w:b/>
                <w:kern w:val="0"/>
                <w:szCs w:val="21"/>
              </w:rPr>
            </w:pPr>
            <w:r>
              <w:rPr>
                <w:rStyle w:val="4"/>
                <w:rFonts w:hint="eastAsia" w:ascii="宋体" w:hAnsi="宋体" w:eastAsia="宋体" w:cs="宋体"/>
                <w:b/>
                <w:kern w:val="0"/>
                <w:szCs w:val="21"/>
              </w:rPr>
              <w:t>▲1.4测试速度：0.01</w:t>
            </w:r>
            <w:r>
              <w:rPr>
                <w:rStyle w:val="4"/>
                <w:rFonts w:ascii="Times New Roman" w:hAnsi="Times New Roman" w:eastAsia="宋体" w:cs="Times New Roman"/>
                <w:b/>
              </w:rPr>
              <w:t>~</w:t>
            </w:r>
            <w:r>
              <w:rPr>
                <w:rStyle w:val="4"/>
                <w:rFonts w:hint="eastAsia" w:ascii="宋体" w:hAnsi="宋体" w:eastAsia="宋体" w:cs="宋体"/>
                <w:b/>
                <w:kern w:val="0"/>
                <w:szCs w:val="21"/>
              </w:rPr>
              <w:t>40 mm/s，分辨率≤0.01mm/s，实验测试过程可以定速或变速进行测试(投标时需提供软件进行变速测试曲线截图）。</w:t>
            </w:r>
          </w:p>
          <w:p w14:paraId="3F4F9823">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1.5自动安全装置：自动侦测探头最大承载力，超载仪器自动停止。</w:t>
            </w:r>
          </w:p>
          <w:p w14:paraId="6E665BAD">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1.6操作方式：具备≥3种操作方式，包含但不限于脱机下主机自带的触控屏、计算机及手机上远程控制。</w:t>
            </w:r>
          </w:p>
          <w:p w14:paraId="64D69F54">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1.7 PID控制器（比例-积分-微分控制器）：可设定使动态力值不随时间变化，以达到保持目标力稳定的需求。</w:t>
            </w:r>
          </w:p>
          <w:p w14:paraId="5BD23D19">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1.8扩充功能：主机带有1个EXP端口、2个PT100端口，可直接连接音频、视频、动态天平、吹泡仪、旋转式粉体流变仪，测试数据可以直接同步到软件中显示。</w:t>
            </w:r>
          </w:p>
          <w:p w14:paraId="44BC7655">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2.软件</w:t>
            </w:r>
          </w:p>
          <w:p w14:paraId="7DAC5A1C">
            <w:pPr>
              <w:pStyle w:val="8"/>
              <w:jc w:val="left"/>
              <w:rPr>
                <w:rStyle w:val="4"/>
                <w:rFonts w:ascii="宋体" w:hAnsi="宋体" w:eastAsia="宋体" w:cs="宋体"/>
                <w:b/>
                <w:kern w:val="0"/>
                <w:szCs w:val="21"/>
              </w:rPr>
            </w:pPr>
            <w:r>
              <w:rPr>
                <w:rStyle w:val="4"/>
                <w:rFonts w:hint="eastAsia" w:ascii="宋体" w:hAnsi="宋体" w:eastAsia="宋体" w:cs="宋体"/>
                <w:b/>
                <w:kern w:val="0"/>
                <w:szCs w:val="21"/>
              </w:rPr>
              <w:t>▲2.1弹性的编辑程序：自带≥9种测试模式，包含但不限于单循环压缩/拉伸测试、多次循环压缩/拉伸测试、TPA测试、蠕变测试、松弛测试、粘性测试、变速测试、多段应变量测试及TDT两次形变测试程序。(</w:t>
            </w:r>
            <w:r>
              <w:rPr>
                <w:rStyle w:val="4"/>
                <w:rFonts w:hint="eastAsia" w:ascii="宋体" w:hAnsi="宋体" w:eastAsia="宋体" w:cs="宋体"/>
                <w:b/>
                <w:bCs w:val="0"/>
                <w:kern w:val="0"/>
                <w:szCs w:val="21"/>
              </w:rPr>
              <w:t>投标时需提供曲线截图证明</w:t>
            </w:r>
            <w:r>
              <w:rPr>
                <w:rStyle w:val="4"/>
                <w:rFonts w:hint="eastAsia" w:ascii="Calibri" w:hAnsi="Calibri" w:eastAsia="宋体" w:cs="Times New Roman"/>
                <w:b/>
                <w:bCs w:val="0"/>
                <w:szCs w:val="22"/>
                <w:lang w:val="en-US" w:eastAsia="zh-CN"/>
              </w:rPr>
              <w:t>程序</w:t>
            </w:r>
            <w:r>
              <w:rPr>
                <w:rStyle w:val="4"/>
                <w:rFonts w:hint="eastAsia" w:ascii="宋体" w:hAnsi="宋体" w:eastAsia="宋体" w:cs="宋体"/>
                <w:b/>
                <w:kern w:val="0"/>
                <w:szCs w:val="21"/>
              </w:rPr>
              <w:t>）。</w:t>
            </w:r>
          </w:p>
          <w:p w14:paraId="07F65163">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2.2数据截取率：每秒≥2000点。</w:t>
            </w:r>
          </w:p>
          <w:p w14:paraId="3404B08D">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2.3三轴座标：曲线可三轴(X、Y1及Y2)显示。</w:t>
            </w:r>
          </w:p>
          <w:p w14:paraId="4FA9B610">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2.4曲线分析：曲线可进行n次微分计算反曲点，与原始曲线同步显示。</w:t>
            </w:r>
          </w:p>
          <w:p w14:paraId="080E1266">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2.5</w:t>
            </w:r>
            <w:r>
              <w:rPr>
                <w:rStyle w:val="4"/>
                <w:rFonts w:hint="eastAsia" w:ascii="宋体" w:hAnsi="宋体" w:eastAsia="宋体" w:cs="宋体"/>
                <w:kern w:val="0"/>
                <w:szCs w:val="21"/>
              </w:rPr>
              <w:t>创建平均图功能：创建多重复分析的平均曲线图，便于操作者观察批量差异。</w:t>
            </w:r>
            <w:r>
              <w:rPr>
                <w:rStyle w:val="4"/>
                <w:rFonts w:hint="eastAsia" w:ascii="宋体" w:hAnsi="宋体" w:eastAsia="宋体" w:cs="宋体"/>
                <w:bCs/>
                <w:kern w:val="0"/>
                <w:szCs w:val="21"/>
              </w:rPr>
              <w:t>（投标时需提供平均曲线截图）</w:t>
            </w:r>
          </w:p>
          <w:p w14:paraId="3F491EBF">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2.6自动批量测试：可自动批量进行测试，无需每次手动开始实验。</w:t>
            </w:r>
          </w:p>
          <w:p w14:paraId="0BF36D4E">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2.7实时电压查看：不需拆机即可从软件中查看仪器电压实时值与稳定性。</w:t>
            </w:r>
          </w:p>
          <w:p w14:paraId="70D6D40A">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2.8错误讯息记录：自动记录仪器操作错误讯息。</w:t>
            </w:r>
          </w:p>
          <w:p w14:paraId="0653527E">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2.9实验方案与结果报告:软件自带标准方法、参考文献索引及教学视频，可将测试方法一键设好，测定结束可得数据结果、曲线图及测试报告。</w:t>
            </w:r>
          </w:p>
          <w:p w14:paraId="57704EC9">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2.10测试数据溯原功能：测试日志中自动记录每笔测试数据，包含测试配套探头、设置的批次名称、时间、操作人员、文件存盘路径等，以利后续数据追踪。</w:t>
            </w:r>
          </w:p>
          <w:p w14:paraId="5C92FB09">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2.11控制主机：CPU≥8核、主频≥3.6GHz，DDR4内存≥16GB,固态硬盘≥512G,显示器≥24英寸。</w:t>
            </w:r>
          </w:p>
          <w:p w14:paraId="22D7019E">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2</w:t>
            </w:r>
            <w:r>
              <w:rPr>
                <w:rStyle w:val="4"/>
                <w:rFonts w:ascii="宋体" w:hAnsi="宋体" w:eastAsia="宋体" w:cs="宋体"/>
                <w:bCs/>
                <w:kern w:val="0"/>
                <w:szCs w:val="21"/>
              </w:rPr>
              <w:t>.12</w:t>
            </w:r>
            <w:r>
              <w:rPr>
                <w:rStyle w:val="4"/>
                <w:rFonts w:hint="eastAsia" w:ascii="宋体" w:hAnsi="宋体" w:eastAsia="宋体" w:cs="宋体"/>
                <w:bCs/>
                <w:kern w:val="0"/>
                <w:szCs w:val="21"/>
              </w:rPr>
              <w:t>配置清单：</w:t>
            </w:r>
          </w:p>
          <w:p w14:paraId="250B2EBD">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2</w:t>
            </w:r>
            <w:r>
              <w:rPr>
                <w:rStyle w:val="4"/>
                <w:rFonts w:ascii="宋体" w:hAnsi="宋体" w:eastAsia="宋体" w:cs="宋体"/>
                <w:bCs/>
                <w:kern w:val="0"/>
                <w:szCs w:val="21"/>
              </w:rPr>
              <w:t>.12.1</w:t>
            </w:r>
            <w:r>
              <w:rPr>
                <w:rStyle w:val="4"/>
                <w:rFonts w:hint="eastAsia" w:ascii="宋体" w:hAnsi="宋体" w:eastAsia="宋体" w:cs="宋体"/>
                <w:bCs/>
                <w:kern w:val="0"/>
                <w:szCs w:val="21"/>
              </w:rPr>
              <w:t>主机1台；</w:t>
            </w:r>
          </w:p>
          <w:p w14:paraId="7B04E487">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2</w:t>
            </w:r>
            <w:r>
              <w:rPr>
                <w:rStyle w:val="4"/>
                <w:rFonts w:ascii="宋体" w:hAnsi="宋体" w:eastAsia="宋体" w:cs="宋体"/>
                <w:bCs/>
                <w:kern w:val="0"/>
                <w:szCs w:val="21"/>
              </w:rPr>
              <w:t>.12.2</w:t>
            </w:r>
            <w:r>
              <w:rPr>
                <w:rStyle w:val="4"/>
                <w:rFonts w:hint="eastAsia" w:ascii="宋体" w:hAnsi="宋体" w:eastAsia="宋体" w:cs="宋体"/>
                <w:bCs/>
                <w:kern w:val="0"/>
                <w:szCs w:val="21"/>
              </w:rPr>
              <w:t>专用软件一套；</w:t>
            </w:r>
          </w:p>
          <w:p w14:paraId="73867A3C">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2</w:t>
            </w:r>
            <w:r>
              <w:rPr>
                <w:rStyle w:val="4"/>
                <w:rFonts w:ascii="宋体" w:hAnsi="宋体" w:eastAsia="宋体" w:cs="宋体"/>
                <w:bCs/>
                <w:kern w:val="0"/>
                <w:szCs w:val="21"/>
              </w:rPr>
              <w:t>.12.3</w:t>
            </w:r>
            <w:r>
              <w:rPr>
                <w:rStyle w:val="4"/>
                <w:rFonts w:hint="eastAsia" w:ascii="宋体" w:hAnsi="宋体" w:eastAsia="宋体" w:cs="宋体"/>
                <w:bCs/>
                <w:kern w:val="0"/>
                <w:szCs w:val="21"/>
              </w:rPr>
              <w:t>力量感应元：30kg；</w:t>
            </w:r>
          </w:p>
          <w:p w14:paraId="53BD0BE6">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2</w:t>
            </w:r>
            <w:r>
              <w:rPr>
                <w:rStyle w:val="4"/>
                <w:rFonts w:ascii="宋体" w:hAnsi="宋体" w:eastAsia="宋体" w:cs="宋体"/>
                <w:bCs/>
                <w:kern w:val="0"/>
                <w:szCs w:val="21"/>
              </w:rPr>
              <w:t>.12.4</w:t>
            </w:r>
            <w:r>
              <w:rPr>
                <w:rStyle w:val="4"/>
                <w:rFonts w:hint="eastAsia" w:ascii="宋体" w:hAnsi="宋体" w:eastAsia="宋体" w:cs="宋体"/>
                <w:bCs/>
                <w:kern w:val="0"/>
                <w:szCs w:val="21"/>
              </w:rPr>
              <w:t>直径2mm不锈钢柱形探头一套；</w:t>
            </w:r>
          </w:p>
          <w:p w14:paraId="7F41EA9C">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2</w:t>
            </w:r>
            <w:r>
              <w:rPr>
                <w:rStyle w:val="4"/>
                <w:rFonts w:ascii="宋体" w:hAnsi="宋体" w:eastAsia="宋体" w:cs="宋体"/>
                <w:bCs/>
                <w:kern w:val="0"/>
                <w:szCs w:val="21"/>
              </w:rPr>
              <w:t>.12.5</w:t>
            </w:r>
            <w:r>
              <w:rPr>
                <w:rStyle w:val="4"/>
                <w:rFonts w:hint="eastAsia" w:ascii="宋体" w:hAnsi="宋体" w:eastAsia="宋体" w:cs="宋体"/>
                <w:bCs/>
                <w:kern w:val="0"/>
                <w:szCs w:val="21"/>
              </w:rPr>
              <w:t>直径5mm不锈钢柱形探头一套；</w:t>
            </w:r>
          </w:p>
          <w:p w14:paraId="77E620C5">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2</w:t>
            </w:r>
            <w:r>
              <w:rPr>
                <w:rStyle w:val="4"/>
                <w:rFonts w:ascii="宋体" w:hAnsi="宋体" w:eastAsia="宋体" w:cs="宋体"/>
                <w:bCs/>
                <w:kern w:val="0"/>
                <w:szCs w:val="21"/>
              </w:rPr>
              <w:t>.12.6</w:t>
            </w:r>
            <w:r>
              <w:rPr>
                <w:rStyle w:val="4"/>
                <w:rFonts w:hint="eastAsia" w:ascii="宋体" w:hAnsi="宋体" w:eastAsia="宋体" w:cs="宋体"/>
                <w:bCs/>
                <w:kern w:val="0"/>
                <w:szCs w:val="21"/>
              </w:rPr>
              <w:t>直径36mm周边修圆弧铝合金柱型探头一套；</w:t>
            </w:r>
          </w:p>
          <w:p w14:paraId="2420BAEF">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2</w:t>
            </w:r>
            <w:r>
              <w:rPr>
                <w:rStyle w:val="4"/>
                <w:rFonts w:ascii="宋体" w:hAnsi="宋体" w:eastAsia="宋体" w:cs="宋体"/>
                <w:bCs/>
                <w:kern w:val="0"/>
                <w:szCs w:val="21"/>
              </w:rPr>
              <w:t>.12.7</w:t>
            </w:r>
            <w:r>
              <w:rPr>
                <w:rStyle w:val="4"/>
                <w:rFonts w:hint="eastAsia" w:ascii="宋体" w:hAnsi="宋体" w:eastAsia="宋体" w:cs="宋体"/>
                <w:bCs/>
                <w:kern w:val="0"/>
                <w:szCs w:val="21"/>
              </w:rPr>
              <w:t>控制主机1台。</w:t>
            </w:r>
          </w:p>
          <w:p w14:paraId="2BA53E5D">
            <w:pPr>
              <w:pStyle w:val="8"/>
              <w:numPr>
                <w:ilvl w:val="0"/>
                <w:numId w:val="2"/>
              </w:numPr>
              <w:jc w:val="left"/>
              <w:rPr>
                <w:rStyle w:val="4"/>
                <w:rFonts w:ascii="宋体" w:hAnsi="宋体" w:eastAsia="宋体" w:cs="宋体"/>
                <w:bCs/>
                <w:kern w:val="0"/>
                <w:szCs w:val="21"/>
              </w:rPr>
            </w:pPr>
            <w:r>
              <w:rPr>
                <w:rStyle w:val="4"/>
                <w:rFonts w:hint="eastAsia" w:ascii="宋体" w:hAnsi="宋体" w:eastAsia="宋体" w:cs="宋体"/>
                <w:bCs/>
                <w:kern w:val="0"/>
                <w:szCs w:val="21"/>
              </w:rPr>
              <w:t>辅助设备</w:t>
            </w:r>
          </w:p>
          <w:p w14:paraId="344C1D6D">
            <w:pPr>
              <w:pStyle w:val="8"/>
              <w:jc w:val="left"/>
              <w:rPr>
                <w:rStyle w:val="4"/>
                <w:rFonts w:ascii="宋体" w:hAnsi="宋体" w:eastAsia="宋体" w:cs="宋体"/>
                <w:b/>
                <w:bCs/>
                <w:kern w:val="0"/>
                <w:szCs w:val="21"/>
              </w:rPr>
            </w:pPr>
            <w:r>
              <w:rPr>
                <w:rStyle w:val="4"/>
                <w:rFonts w:hint="eastAsia" w:ascii="宋体" w:hAnsi="宋体" w:eastAsia="宋体" w:cs="宋体"/>
                <w:b/>
                <w:bCs/>
                <w:kern w:val="0"/>
                <w:szCs w:val="21"/>
              </w:rPr>
              <w:t>3.光照培养箱</w:t>
            </w:r>
          </w:p>
          <w:p w14:paraId="21F78B80">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3.1.温控范围：-10℃～50℃</w:t>
            </w:r>
          </w:p>
          <w:p w14:paraId="37A9418B">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3.2.容积：≥1000升</w:t>
            </w:r>
          </w:p>
          <w:p w14:paraId="24FA0663">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3.3.光源：顶置LED光照板式。</w:t>
            </w:r>
          </w:p>
          <w:p w14:paraId="21781E37">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3.4.光照度：0～30000LX</w:t>
            </w:r>
          </w:p>
          <w:p w14:paraId="0D0DD969">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3.5.光照层数：≥3层</w:t>
            </w:r>
          </w:p>
          <w:p w14:paraId="78AE1B04">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3.6.温度波动度：±0.5℃～1.0℃</w:t>
            </w:r>
          </w:p>
          <w:p w14:paraId="5E98D4A1">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3.7.控湿范围：50%RH～95%RH</w:t>
            </w:r>
          </w:p>
          <w:p w14:paraId="0B569B7B">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3.8.湿度波动度：±5～7%RH</w:t>
            </w:r>
          </w:p>
          <w:p w14:paraId="2DF61AF4">
            <w:pPr>
              <w:pStyle w:val="8"/>
              <w:rPr>
                <w:rStyle w:val="4"/>
                <w:rFonts w:ascii="宋体" w:hAnsi="宋体" w:eastAsia="宋体" w:cs="Times New Roman"/>
                <w:szCs w:val="21"/>
              </w:rPr>
            </w:pPr>
            <w:r>
              <w:rPr>
                <w:rStyle w:val="4"/>
                <w:rFonts w:hint="eastAsia" w:ascii="宋体" w:hAnsi="宋体" w:eastAsia="宋体" w:cs="Times New Roman"/>
                <w:szCs w:val="21"/>
              </w:rPr>
              <w:t>3.9.升温时间:10℃升至40℃, ≦60分钟</w:t>
            </w:r>
          </w:p>
          <w:p w14:paraId="5D13CB24">
            <w:pPr>
              <w:pStyle w:val="8"/>
              <w:rPr>
                <w:rStyle w:val="4"/>
                <w:rFonts w:ascii="宋体" w:hAnsi="宋体" w:eastAsia="宋体" w:cs="Times New Roman"/>
                <w:szCs w:val="21"/>
              </w:rPr>
            </w:pPr>
            <w:r>
              <w:rPr>
                <w:rStyle w:val="4"/>
                <w:rFonts w:hint="eastAsia" w:ascii="宋体" w:hAnsi="宋体" w:eastAsia="宋体" w:cs="Times New Roman"/>
                <w:szCs w:val="21"/>
              </w:rPr>
              <w:t>3.10.降温时间:40℃降至10℃, ≦60分钟</w:t>
            </w:r>
          </w:p>
          <w:p w14:paraId="0A132BBA">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3.11.光照度调节范围：0～100%无级调光</w:t>
            </w:r>
          </w:p>
          <w:p w14:paraId="68B7F48B">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3.12.工作仓内风向及风速：近水平0.1m/s～0.3m/s</w:t>
            </w:r>
          </w:p>
          <w:p w14:paraId="0A81CA33">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3.13.LED光照板使用寿命：≥50000h。</w:t>
            </w:r>
          </w:p>
          <w:p w14:paraId="0F0A9098">
            <w:pPr>
              <w:pStyle w:val="8"/>
              <w:jc w:val="left"/>
              <w:rPr>
                <w:rStyle w:val="4"/>
                <w:rFonts w:ascii="宋体" w:hAnsi="宋体" w:eastAsia="宋体" w:cs="宋体"/>
                <w:b/>
                <w:bCs/>
                <w:kern w:val="0"/>
                <w:szCs w:val="21"/>
              </w:rPr>
            </w:pPr>
            <w:r>
              <w:rPr>
                <w:rStyle w:val="4"/>
                <w:rFonts w:hint="eastAsia" w:ascii="宋体" w:hAnsi="宋体" w:eastAsia="宋体" w:cs="宋体"/>
                <w:b/>
                <w:bCs/>
                <w:kern w:val="0"/>
                <w:szCs w:val="21"/>
              </w:rPr>
              <w:t>4.冷冻研磨仪</w:t>
            </w:r>
          </w:p>
          <w:p w14:paraId="3A1522BB">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4.1 带适用24位和48位的低温冷冻适配器，15秒内同时处理样品：≥64个</w:t>
            </w:r>
          </w:p>
          <w:p w14:paraId="358FB032">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4.2 可以兼容的样品量：64*(0.2-0.5mL) /24*2mL /12*(5-15)mL /4*15mL/2*25mL/2*50mL</w:t>
            </w:r>
          </w:p>
          <w:p w14:paraId="73C443F1">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4.3 可存储实验数据：≥10组</w:t>
            </w:r>
          </w:p>
          <w:p w14:paraId="524C4D7D">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4.4 模式循环：可在设置的多个参数间不断循环</w:t>
            </w:r>
          </w:p>
          <w:p w14:paraId="0BFEA91E">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4.5 最终出料粒度：≤5µm。</w:t>
            </w:r>
          </w:p>
          <w:p w14:paraId="3C0488AF">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4.6 采用双层减震结构技术</w:t>
            </w:r>
          </w:p>
          <w:p w14:paraId="13942390">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4.7 加速：在2秒内达到70Hz；减速：在2秒内达到最小0Hz，噪音等级：</w:t>
            </w:r>
            <w:r>
              <w:rPr>
                <w:rStyle w:val="4"/>
                <w:rFonts w:hint="eastAsia" w:ascii="Calibri" w:hAnsi="Calibri" w:eastAsia="宋体" w:cs="Times New Roman"/>
                <w:szCs w:val="22"/>
              </w:rPr>
              <w:t>≤</w:t>
            </w:r>
            <w:r>
              <w:rPr>
                <w:rStyle w:val="4"/>
                <w:rFonts w:hint="eastAsia" w:ascii="宋体" w:hAnsi="宋体" w:eastAsia="宋体" w:cs="宋体"/>
                <w:bCs/>
                <w:kern w:val="0"/>
                <w:szCs w:val="21"/>
              </w:rPr>
              <w:t>55dB（A）</w:t>
            </w:r>
          </w:p>
          <w:p w14:paraId="47C688E6">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4.8 在设定的时间条件到达后，智能启动，无需人工再按启动操作。</w:t>
            </w:r>
          </w:p>
          <w:p w14:paraId="2CF066D0">
            <w:pPr>
              <w:pStyle w:val="10"/>
              <w:rPr>
                <w:rStyle w:val="4"/>
                <w:rFonts w:ascii="宋体" w:hAnsi="宋体" w:eastAsia="宋体" w:cs="宋体"/>
                <w:bCs/>
                <w:kern w:val="0"/>
                <w:szCs w:val="21"/>
              </w:rPr>
            </w:pPr>
            <w:r>
              <w:rPr>
                <w:rStyle w:val="4"/>
                <w:rFonts w:hint="eastAsia" w:ascii="宋体" w:hAnsi="宋体" w:eastAsia="宋体" w:cs="宋体"/>
                <w:bCs/>
                <w:kern w:val="0"/>
                <w:szCs w:val="21"/>
              </w:rPr>
              <w:t>4.9 配备5mL适配器1套，2mL制冷</w:t>
            </w:r>
            <w:r>
              <w:rPr>
                <w:rStyle w:val="4"/>
                <w:rFonts w:hint="eastAsia"/>
              </w:rPr>
              <w:t>标配24位</w:t>
            </w:r>
            <w:r>
              <w:rPr>
                <w:rStyle w:val="4"/>
                <w:rFonts w:hint="eastAsia" w:ascii="宋体" w:hAnsi="宋体" w:eastAsia="宋体" w:cs="宋体"/>
                <w:bCs/>
                <w:kern w:val="0"/>
                <w:szCs w:val="21"/>
              </w:rPr>
              <w:t>适配器1套；5号进口不锈钢研磨球1瓶，3mm进口不锈钢研磨球1瓶；2mL离心管1包、5mL离心管1包。</w:t>
            </w:r>
          </w:p>
          <w:p w14:paraId="207F7798">
            <w:pPr>
              <w:pStyle w:val="8"/>
              <w:jc w:val="left"/>
              <w:rPr>
                <w:rStyle w:val="4"/>
                <w:rFonts w:ascii="宋体" w:hAnsi="宋体" w:eastAsia="宋体" w:cs="宋体"/>
                <w:b/>
                <w:bCs/>
                <w:kern w:val="0"/>
                <w:szCs w:val="21"/>
              </w:rPr>
            </w:pPr>
            <w:r>
              <w:rPr>
                <w:rStyle w:val="4"/>
                <w:rFonts w:hint="eastAsia" w:ascii="宋体" w:hAnsi="宋体" w:eastAsia="宋体" w:cs="宋体"/>
                <w:b/>
                <w:bCs/>
                <w:kern w:val="0"/>
                <w:szCs w:val="21"/>
              </w:rPr>
              <w:t>5.</w:t>
            </w:r>
            <w:r>
              <w:rPr>
                <w:rStyle w:val="4"/>
                <w:rFonts w:ascii="宋体" w:hAnsi="宋体" w:eastAsia="宋体" w:cs="宋体"/>
                <w:b/>
                <w:bCs/>
                <w:kern w:val="0"/>
                <w:szCs w:val="21"/>
              </w:rPr>
              <w:t>冷冻</w:t>
            </w:r>
            <w:r>
              <w:rPr>
                <w:rStyle w:val="4"/>
                <w:rFonts w:hint="eastAsia" w:ascii="宋体" w:hAnsi="宋体" w:eastAsia="宋体" w:cs="宋体"/>
                <w:b/>
                <w:bCs/>
                <w:kern w:val="0"/>
                <w:szCs w:val="21"/>
              </w:rPr>
              <w:t>离心机</w:t>
            </w:r>
          </w:p>
          <w:p w14:paraId="5CFADFD6">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5.1最高转速：≥18500r/min.</w:t>
            </w:r>
          </w:p>
          <w:p w14:paraId="714D7C47">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5.2最大相对离心力：≥23797×g。</w:t>
            </w:r>
          </w:p>
          <w:p w14:paraId="41B961D4">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5.3最大容量：≥1000mL。</w:t>
            </w:r>
          </w:p>
          <w:p w14:paraId="31621199">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5.4转速精度：±10r/min。</w:t>
            </w:r>
          </w:p>
          <w:p w14:paraId="672E5D32">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5.5温控精度：±1℃。</w:t>
            </w:r>
          </w:p>
          <w:p w14:paraId="55F338A6">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5.6定时范围：1-99min59s。</w:t>
            </w:r>
          </w:p>
          <w:p w14:paraId="253538FB">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5.7电机:变频电机。</w:t>
            </w:r>
          </w:p>
          <w:p w14:paraId="12E7DBAA">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5.8整机噪声：≤60dB(A)。</w:t>
            </w:r>
          </w:p>
          <w:p w14:paraId="32B17CC6">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5.9温控范围：冷冻离心机-20℃～+40℃。</w:t>
            </w:r>
          </w:p>
          <w:p w14:paraId="084F3698">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5.10配备8×50mL水平转子1个、配备24×1.5/2.2mL角转子1个。</w:t>
            </w:r>
          </w:p>
          <w:p w14:paraId="267136F3">
            <w:pPr>
              <w:pStyle w:val="8"/>
              <w:jc w:val="left"/>
              <w:rPr>
                <w:rStyle w:val="4"/>
                <w:rFonts w:ascii="宋体" w:hAnsi="宋体" w:eastAsia="宋体" w:cs="宋体"/>
                <w:b/>
                <w:bCs/>
                <w:kern w:val="0"/>
                <w:szCs w:val="21"/>
              </w:rPr>
            </w:pPr>
            <w:r>
              <w:rPr>
                <w:rStyle w:val="4"/>
                <w:rFonts w:hint="eastAsia" w:ascii="宋体" w:hAnsi="宋体" w:eastAsia="宋体" w:cs="宋体"/>
                <w:b/>
                <w:bCs/>
                <w:kern w:val="0"/>
                <w:szCs w:val="21"/>
              </w:rPr>
              <w:t>6.紫外-可见分光光度计</w:t>
            </w:r>
          </w:p>
          <w:p w14:paraId="1665389C">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6.1光路结构：双光束</w:t>
            </w:r>
          </w:p>
          <w:p w14:paraId="1EC020BE">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 xml:space="preserve">6.2波长范围：190nm～900nm </w:t>
            </w:r>
          </w:p>
          <w:p w14:paraId="7C1041E3">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6.3光谱带宽：0.1nm、0.2nm、0.5nm、1.0nm、2.0nm、4nm可选</w:t>
            </w:r>
          </w:p>
          <w:p w14:paraId="065477EB">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6.4波长准确度：±0.1nm</w:t>
            </w:r>
          </w:p>
          <w:p w14:paraId="42221DF4">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6.5波长重现性误差：≤0.05nm</w:t>
            </w:r>
          </w:p>
          <w:p w14:paraId="0AC54493">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6.6透射比准确度: ±0.2%T（0-100%T）±0.002Abs(0～0.5Abs)±0.003Abs(0.5Abs～1Abs)</w:t>
            </w:r>
          </w:p>
          <w:p w14:paraId="669AD777">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6.7透射比重复性：0.1%T（0-100%T）±0.001Abs(0～0.5Abs)±0.0015Abs(0.5Abs～1Abs)</w:t>
            </w:r>
          </w:p>
          <w:p w14:paraId="31DF5172">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6.8杂散光：≤0.008%T(220nm NaI，340nm NaNO</w:t>
            </w:r>
            <w:r>
              <w:rPr>
                <w:rStyle w:val="4"/>
                <w:rFonts w:hint="eastAsia" w:ascii="宋体" w:hAnsi="宋体" w:eastAsia="宋体" w:cs="宋体"/>
                <w:bCs/>
                <w:kern w:val="0"/>
                <w:szCs w:val="21"/>
                <w:vertAlign w:val="subscript"/>
              </w:rPr>
              <w:t>2</w:t>
            </w:r>
            <w:r>
              <w:rPr>
                <w:rStyle w:val="4"/>
                <w:rFonts w:hint="eastAsia" w:ascii="宋体" w:hAnsi="宋体" w:eastAsia="宋体" w:cs="宋体"/>
                <w:bCs/>
                <w:kern w:val="0"/>
                <w:szCs w:val="21"/>
              </w:rPr>
              <w:t>)</w:t>
            </w:r>
          </w:p>
          <w:p w14:paraId="5F7C562A">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6.9稳定性：≤0.0005Abs/h（500nm预热后）</w:t>
            </w:r>
          </w:p>
          <w:p w14:paraId="29339E47">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6.10噪声：±0.00015Abs(500nm预热后)</w:t>
            </w:r>
          </w:p>
          <w:p w14:paraId="5187B4DD">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6.11基线平直度：±0.001Abs</w:t>
            </w:r>
          </w:p>
          <w:p w14:paraId="13D24590">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6.12测光方式：透过率、吸光度、浓度、能量</w:t>
            </w:r>
          </w:p>
          <w:p w14:paraId="34DF80B2">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6.13波长调节：自动调节</w:t>
            </w:r>
          </w:p>
          <w:p w14:paraId="123E9112">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6.14光度范围：-4Abs～4Abs</w:t>
            </w:r>
          </w:p>
          <w:p w14:paraId="59605CE5">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6.15检测器：光电倍增管</w:t>
            </w:r>
          </w:p>
          <w:p w14:paraId="665F3EBC">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6.16光源：氘灯，钨灯</w:t>
            </w:r>
          </w:p>
          <w:p w14:paraId="3D677300">
            <w:pPr>
              <w:pStyle w:val="8"/>
              <w:jc w:val="left"/>
              <w:rPr>
                <w:rStyle w:val="4"/>
                <w:rFonts w:ascii="宋体" w:hAnsi="宋体" w:eastAsia="宋体" w:cs="宋体"/>
                <w:b/>
                <w:bCs/>
                <w:kern w:val="0"/>
                <w:szCs w:val="21"/>
              </w:rPr>
            </w:pPr>
            <w:r>
              <w:rPr>
                <w:rStyle w:val="4"/>
                <w:rFonts w:hint="eastAsia" w:ascii="宋体" w:hAnsi="宋体" w:eastAsia="宋体" w:cs="宋体"/>
                <w:b/>
                <w:bCs/>
                <w:kern w:val="0"/>
                <w:szCs w:val="21"/>
              </w:rPr>
              <w:t>7.火焰光度计</w:t>
            </w:r>
          </w:p>
          <w:p w14:paraId="12FDCB94">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7.1显示方式:≥7英寸彩色电容触控液晶屏</w:t>
            </w:r>
          </w:p>
          <w:p w14:paraId="5EF98F7C">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7.2显示结果:浓度值/光强度</w:t>
            </w:r>
          </w:p>
          <w:p w14:paraId="53572A33">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7.3读数范围:0.000～999.9</w:t>
            </w:r>
          </w:p>
          <w:p w14:paraId="15C0E67D">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7.4测试元素:钾、钠、锂、钙、钡</w:t>
            </w:r>
          </w:p>
          <w:p w14:paraId="6388D92F">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7.5通道数:≥5</w:t>
            </w:r>
          </w:p>
          <w:p w14:paraId="725B8610">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7.6检测限mmol/L:钾≤0.004  钠≤0.008 锂≤0.015  钙0.050 钡≤0.044</w:t>
            </w:r>
          </w:p>
          <w:p w14:paraId="45A99A77">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7.7线性误差mmol/L：钾≤0.005  钠≤0.03  锂≤0.021  钙≤0.075  钡≤0.066</w:t>
            </w:r>
          </w:p>
          <w:p w14:paraId="0B700DB7">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7.8响应时间：≤8s</w:t>
            </w:r>
          </w:p>
          <w:p w14:paraId="0E952D5D">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7.9小吸喷量：≤6mL/min</w:t>
            </w:r>
          </w:p>
          <w:p w14:paraId="37E14F85">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7.10稳定性：用标准溶液连续进样，15s内仪器示值的相对大变化量≤3%每分钟测1次，共测定6次，仪器示值的大变化量≤15%</w:t>
            </w:r>
          </w:p>
          <w:p w14:paraId="317EF462">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7.11重复性：≤3%</w:t>
            </w:r>
          </w:p>
          <w:p w14:paraId="5B9524BC">
            <w:pPr>
              <w:pStyle w:val="8"/>
              <w:jc w:val="left"/>
              <w:rPr>
                <w:rStyle w:val="4"/>
                <w:rFonts w:ascii="宋体" w:hAnsi="宋体" w:eastAsia="宋体" w:cs="宋体"/>
                <w:b/>
                <w:bCs/>
                <w:kern w:val="0"/>
                <w:szCs w:val="21"/>
              </w:rPr>
            </w:pPr>
            <w:r>
              <w:rPr>
                <w:rStyle w:val="4"/>
                <w:rFonts w:hint="eastAsia" w:ascii="宋体" w:hAnsi="宋体" w:eastAsia="宋体" w:cs="宋体"/>
                <w:b/>
                <w:bCs/>
                <w:kern w:val="0"/>
                <w:szCs w:val="21"/>
              </w:rPr>
              <w:t>8.样品成像分析系统</w:t>
            </w:r>
          </w:p>
          <w:p w14:paraId="0B752EF0">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8.1.双层PC/ABS材质暗箱，电脑全自动控制。</w:t>
            </w:r>
          </w:p>
          <w:p w14:paraId="770A23A5">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8.2.导轨式双位载物样品平台，兼容拍摄样品厚度0.01cm～10cm</w:t>
            </w:r>
          </w:p>
          <w:p w14:paraId="4241C804">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8.3.拍摄面积：≥20cm×20cm</w:t>
            </w:r>
          </w:p>
          <w:p w14:paraId="778E771A">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8.4.外围尺寸：≥45cm×76cm×40cm</w:t>
            </w:r>
          </w:p>
          <w:p w14:paraId="0CF4272A">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8.5.电源：220V/50Hz</w:t>
            </w:r>
          </w:p>
          <w:p w14:paraId="386821AD">
            <w:pPr>
              <w:pStyle w:val="8"/>
              <w:widowControl/>
              <w:spacing w:line="350" w:lineRule="exact"/>
              <w:jc w:val="left"/>
              <w:rPr>
                <w:rStyle w:val="4"/>
                <w:rFonts w:ascii="宋体" w:hAnsi="宋体" w:eastAsia="宋体" w:cs="宋体"/>
                <w:b/>
                <w:kern w:val="0"/>
                <w:szCs w:val="21"/>
              </w:rPr>
            </w:pPr>
            <w:r>
              <w:rPr>
                <w:rStyle w:val="4"/>
                <w:rFonts w:hint="eastAsia" w:ascii="宋体" w:hAnsi="宋体" w:eastAsia="宋体" w:cs="宋体"/>
                <w:b/>
                <w:kern w:val="0"/>
                <w:szCs w:val="21"/>
              </w:rPr>
              <w:t>★8.6.CCD相机制冷温度：相对制冷温度-65℃，绝对制冷温度-30℃（</w:t>
            </w:r>
            <w:r>
              <w:rPr>
                <w:rStyle w:val="4"/>
                <w:rFonts w:hint="eastAsia" w:ascii="宋体" w:hAnsi="宋体" w:eastAsia="宋体" w:cs="宋体"/>
                <w:b/>
                <w:kern w:val="0"/>
                <w:szCs w:val="21"/>
                <w:lang w:val="en-US" w:eastAsia="zh-CN"/>
              </w:rPr>
              <w:t>需</w:t>
            </w:r>
            <w:r>
              <w:rPr>
                <w:rStyle w:val="4"/>
                <w:rFonts w:hint="eastAsia" w:ascii="宋体" w:hAnsi="宋体" w:eastAsia="宋体" w:cs="宋体"/>
                <w:b/>
                <w:kern w:val="0"/>
                <w:szCs w:val="21"/>
              </w:rPr>
              <w:t>提供</w:t>
            </w:r>
            <w:r>
              <w:rPr>
                <w:rStyle w:val="4"/>
                <w:rFonts w:hint="eastAsia" w:ascii="宋体" w:hAnsi="宋体" w:eastAsia="宋体" w:cs="宋体"/>
                <w:b/>
                <w:bCs/>
                <w:sz w:val="21"/>
                <w:szCs w:val="21"/>
                <w:highlight w:val="none"/>
                <w:lang w:val="en-US" w:eastAsia="zh-CN"/>
              </w:rPr>
              <w:t>第三方检测机构出具的</w:t>
            </w:r>
            <w:r>
              <w:rPr>
                <w:rStyle w:val="4"/>
                <w:rFonts w:hint="eastAsia" w:ascii="宋体" w:hAnsi="宋体" w:eastAsia="宋体" w:cs="宋体"/>
                <w:b/>
                <w:bCs w:val="0"/>
                <w:kern w:val="0"/>
                <w:szCs w:val="21"/>
                <w:highlight w:val="none"/>
                <w:lang w:eastAsia="zh-CN"/>
              </w:rPr>
              <w:t>检测报告</w:t>
            </w:r>
            <w:r>
              <w:rPr>
                <w:rStyle w:val="4"/>
                <w:rFonts w:hint="eastAsia" w:ascii="宋体" w:hAnsi="宋体" w:eastAsia="宋体" w:cs="宋体"/>
                <w:b/>
                <w:kern w:val="0"/>
                <w:szCs w:val="21"/>
              </w:rPr>
              <w:t>或技术白皮书或产品彩页或产品说明书等证明资料）</w:t>
            </w:r>
          </w:p>
          <w:p w14:paraId="5D243FED">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8.7.制冷方式：三级-半导体热电式TEC制冷</w:t>
            </w:r>
          </w:p>
          <w:p w14:paraId="213EA757">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8.8.像元尺寸：≥4.54μm×4.54μm</w:t>
            </w:r>
          </w:p>
          <w:p w14:paraId="6032C783">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8.9.CCD阵列：≥2688×2200</w:t>
            </w:r>
          </w:p>
          <w:p w14:paraId="3A83DAEE">
            <w:pPr>
              <w:pStyle w:val="8"/>
              <w:jc w:val="left"/>
              <w:rPr>
                <w:rStyle w:val="4"/>
                <w:rFonts w:ascii="宋体" w:hAnsi="宋体" w:eastAsia="宋体" w:cs="宋体"/>
                <w:b/>
                <w:kern w:val="0"/>
                <w:szCs w:val="21"/>
              </w:rPr>
            </w:pPr>
            <w:r>
              <w:rPr>
                <w:rStyle w:val="4"/>
                <w:rFonts w:hint="eastAsia" w:ascii="宋体" w:hAnsi="宋体" w:eastAsia="宋体" w:cs="宋体"/>
                <w:b/>
                <w:kern w:val="0"/>
                <w:szCs w:val="21"/>
              </w:rPr>
              <w:t>▲8.10.图像分辨率：300/600/1200DPI；（</w:t>
            </w:r>
            <w:r>
              <w:rPr>
                <w:rStyle w:val="4"/>
                <w:rFonts w:hint="eastAsia" w:ascii="宋体" w:hAnsi="宋体" w:eastAsia="宋体" w:cs="宋体"/>
                <w:b/>
                <w:kern w:val="0"/>
                <w:szCs w:val="21"/>
                <w:lang w:val="en-US" w:eastAsia="zh-CN"/>
              </w:rPr>
              <w:t>需提供软件截图</w:t>
            </w:r>
            <w:r>
              <w:rPr>
                <w:rStyle w:val="4"/>
                <w:rFonts w:hint="eastAsia" w:ascii="宋体" w:hAnsi="宋体" w:eastAsia="宋体" w:cs="宋体"/>
                <w:b/>
                <w:kern w:val="0"/>
                <w:szCs w:val="21"/>
              </w:rPr>
              <w:t>）</w:t>
            </w:r>
          </w:p>
          <w:p w14:paraId="3BC18022">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8.11.像素合并：1×1，2×2，4×4（可兼容6×6，8×8，12×12，16×16，24×24）</w:t>
            </w:r>
          </w:p>
          <w:p w14:paraId="59B43571">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8.12.感光效率：≥75% @600nm</w:t>
            </w:r>
          </w:p>
          <w:p w14:paraId="76DCF113">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8.13.暗电流：≤0.00015e-/p/s @-30℃</w:t>
            </w:r>
          </w:p>
          <w:p w14:paraId="6DAEE333">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8.14.读出噪声：4e-RMS@650kHz</w:t>
            </w:r>
          </w:p>
          <w:p w14:paraId="7AB65F6C">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8.15.线性范围：16 bit（0-65535灰阶）</w:t>
            </w:r>
          </w:p>
          <w:p w14:paraId="26F69368">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8.16.数据传输：USB3.0图像传输线及专业级串口控制线</w:t>
            </w:r>
          </w:p>
          <w:p w14:paraId="5F87F4FD">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8.17.紫外透射光源302nm，自动定时关闭，开门自动关闭紫外，防止紫外线泄露</w:t>
            </w:r>
          </w:p>
          <w:p w14:paraId="04AB10D9">
            <w:pPr>
              <w:pStyle w:val="8"/>
              <w:jc w:val="left"/>
              <w:rPr>
                <w:rStyle w:val="4"/>
                <w:rFonts w:ascii="宋体" w:hAnsi="宋体" w:eastAsia="宋体" w:cs="宋体"/>
                <w:b/>
                <w:kern w:val="0"/>
                <w:szCs w:val="21"/>
              </w:rPr>
            </w:pPr>
            <w:r>
              <w:rPr>
                <w:rStyle w:val="4"/>
                <w:rFonts w:hint="eastAsia" w:ascii="宋体" w:hAnsi="宋体" w:eastAsia="宋体" w:cs="宋体"/>
                <w:b/>
                <w:kern w:val="0"/>
                <w:szCs w:val="21"/>
              </w:rPr>
              <w:t>▲8.18.实现图像采集、灰度分析、Marker叠加等功能独立操作,具有图像旋转、裁剪、反色等处理功能，自动识别泳道条带、自动计算泳道中各条带的密度积分和峰值、计算分子量大小及条带的迁移率，可进行蛋白纯度及等电点分析</w:t>
            </w:r>
            <w:r>
              <w:rPr>
                <w:rStyle w:val="4"/>
                <w:rFonts w:hint="eastAsia" w:ascii="宋体" w:hAnsi="宋体" w:eastAsia="宋体" w:cs="宋体"/>
                <w:b/>
                <w:kern w:val="0"/>
                <w:szCs w:val="21"/>
                <w:lang w:eastAsia="zh-CN"/>
              </w:rPr>
              <w:t>。</w:t>
            </w:r>
            <w:r>
              <w:rPr>
                <w:rStyle w:val="4"/>
                <w:rFonts w:hint="eastAsia" w:ascii="宋体" w:hAnsi="宋体" w:eastAsia="宋体" w:cs="宋体"/>
                <w:b/>
                <w:kern w:val="0"/>
                <w:szCs w:val="21"/>
              </w:rPr>
              <w:t>（</w:t>
            </w:r>
            <w:r>
              <w:rPr>
                <w:rStyle w:val="4"/>
                <w:rFonts w:hint="eastAsia" w:ascii="宋体" w:hAnsi="宋体" w:eastAsia="宋体" w:cs="宋体"/>
                <w:b/>
                <w:kern w:val="0"/>
                <w:szCs w:val="21"/>
                <w:lang w:val="en-US" w:eastAsia="zh-CN"/>
              </w:rPr>
              <w:t>需提供软件截图</w:t>
            </w:r>
            <w:r>
              <w:rPr>
                <w:rStyle w:val="4"/>
                <w:rFonts w:hint="eastAsia" w:ascii="宋体" w:hAnsi="宋体" w:eastAsia="宋体" w:cs="宋体"/>
                <w:b/>
                <w:kern w:val="0"/>
                <w:szCs w:val="21"/>
              </w:rPr>
              <w:t>）</w:t>
            </w:r>
          </w:p>
          <w:p w14:paraId="37051A36">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8.19.分析数据能输出至Excel及TXT文件</w:t>
            </w:r>
          </w:p>
          <w:p w14:paraId="65975702">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w:t>
            </w:r>
            <w:r>
              <w:rPr>
                <w:rStyle w:val="4"/>
                <w:rFonts w:ascii="宋体" w:hAnsi="宋体" w:eastAsia="宋体" w:cs="宋体"/>
                <w:bCs/>
                <w:kern w:val="0"/>
                <w:szCs w:val="21"/>
              </w:rPr>
              <w:t>.20.</w:t>
            </w:r>
            <w:r>
              <w:rPr>
                <w:rStyle w:val="4"/>
                <w:rFonts w:hint="eastAsia" w:ascii="宋体" w:hAnsi="宋体" w:eastAsia="宋体" w:cs="宋体"/>
                <w:bCs/>
                <w:kern w:val="0"/>
                <w:szCs w:val="21"/>
              </w:rPr>
              <w:t xml:space="preserve"> 控制主机：CPU≥8核、主频≥3.6GHz，DDR4内存≥16GB,固态硬盘≥512G,显示器≥24英寸。</w:t>
            </w:r>
          </w:p>
          <w:p w14:paraId="54F8DA42">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8.2</w:t>
            </w:r>
            <w:r>
              <w:rPr>
                <w:rStyle w:val="4"/>
                <w:rFonts w:ascii="宋体" w:hAnsi="宋体" w:eastAsia="宋体" w:cs="宋体"/>
                <w:bCs/>
                <w:kern w:val="0"/>
                <w:szCs w:val="21"/>
              </w:rPr>
              <w:t>1</w:t>
            </w:r>
            <w:r>
              <w:rPr>
                <w:rStyle w:val="4"/>
                <w:rFonts w:hint="eastAsia" w:ascii="宋体" w:hAnsi="宋体" w:eastAsia="宋体" w:cs="宋体"/>
                <w:bCs/>
                <w:kern w:val="0"/>
                <w:szCs w:val="21"/>
              </w:rPr>
              <w:t>.配置清单：</w:t>
            </w:r>
          </w:p>
          <w:p w14:paraId="2096E3D0">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8.21.1 制冷CCD相机；</w:t>
            </w:r>
          </w:p>
          <w:p w14:paraId="0E2B97C9">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8.21.2 专业级原装进口电动变焦镜头</w:t>
            </w:r>
            <w:r>
              <w:rPr>
                <w:rStyle w:val="4"/>
                <w:rFonts w:hint="eastAsia" w:ascii="宋体" w:hAnsi="宋体" w:eastAsia="宋体" w:cs="宋体"/>
                <w:bCs/>
                <w:kern w:val="0"/>
                <w:szCs w:val="21"/>
                <w:lang w:eastAsia="zh-CN"/>
              </w:rPr>
              <w:t>（高分辨率10.0MP和光圈值F/0.8）</w:t>
            </w:r>
            <w:r>
              <w:rPr>
                <w:rStyle w:val="4"/>
                <w:rFonts w:hint="eastAsia" w:ascii="宋体" w:hAnsi="宋体" w:eastAsia="宋体" w:cs="宋体"/>
                <w:bCs/>
                <w:kern w:val="0"/>
                <w:szCs w:val="21"/>
              </w:rPr>
              <w:t>；</w:t>
            </w:r>
          </w:p>
          <w:p w14:paraId="342E75AD">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8.21.3 暗箱装置；</w:t>
            </w:r>
          </w:p>
          <w:p w14:paraId="4DF27A3A">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8.21.4 LED白光灯（冷灯）；</w:t>
            </w:r>
          </w:p>
          <w:p w14:paraId="216F953C">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8.21.5 紫外透射仪：波长302nm、紫外透射面积20cm×20cm；</w:t>
            </w:r>
          </w:p>
          <w:p w14:paraId="1F03AC65">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8.21.6 紫外/白光转换板：冷光；</w:t>
            </w:r>
          </w:p>
          <w:p w14:paraId="781608D5">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8.21.7 白光透射面积21cm×22cm；</w:t>
            </w:r>
          </w:p>
          <w:p w14:paraId="100F2C99">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8.21.8 图像拍摄软件、图像分析软件；</w:t>
            </w:r>
          </w:p>
          <w:p w14:paraId="02C19229">
            <w:pPr>
              <w:pStyle w:val="8"/>
              <w:jc w:val="left"/>
              <w:rPr>
                <w:rStyle w:val="4"/>
                <w:rFonts w:ascii="宋体" w:hAnsi="宋体" w:eastAsia="宋体" w:cs="宋体"/>
                <w:bCs/>
                <w:kern w:val="0"/>
                <w:szCs w:val="21"/>
              </w:rPr>
            </w:pPr>
            <w:r>
              <w:rPr>
                <w:rStyle w:val="4"/>
                <w:rFonts w:hint="eastAsia" w:ascii="宋体" w:hAnsi="宋体" w:eastAsia="宋体" w:cs="宋体"/>
                <w:bCs/>
                <w:kern w:val="0"/>
                <w:szCs w:val="21"/>
              </w:rPr>
              <w:t>8.21.9 安装U盘、加密锁；</w:t>
            </w:r>
          </w:p>
          <w:p w14:paraId="122A46B9">
            <w:pPr>
              <w:pStyle w:val="8"/>
              <w:jc w:val="left"/>
              <w:rPr>
                <w:rStyle w:val="4"/>
                <w:rFonts w:hint="eastAsia" w:ascii="宋体" w:hAnsi="宋体" w:eastAsia="宋体" w:cs="宋体"/>
                <w:bCs/>
                <w:kern w:val="0"/>
                <w:szCs w:val="21"/>
              </w:rPr>
            </w:pPr>
            <w:r>
              <w:rPr>
                <w:rStyle w:val="4"/>
                <w:rFonts w:hint="eastAsia" w:ascii="宋体" w:hAnsi="宋体" w:eastAsia="宋体" w:cs="宋体"/>
                <w:bCs/>
                <w:kern w:val="0"/>
                <w:szCs w:val="21"/>
              </w:rPr>
              <w:t>8.21.10控制主机1台。</w:t>
            </w:r>
          </w:p>
        </w:tc>
        <w:tc>
          <w:tcPr>
            <w:tcW w:w="698" w:type="dxa"/>
            <w:noWrap w:val="0"/>
            <w:vAlign w:val="center"/>
          </w:tcPr>
          <w:p w14:paraId="1636FCF7">
            <w:pPr>
              <w:pStyle w:val="8"/>
              <w:jc w:val="center"/>
              <w:rPr>
                <w:rStyle w:val="4"/>
                <w:rFonts w:hint="eastAsia" w:ascii="宋体" w:hAnsi="宋体" w:eastAsia="宋体" w:cs="宋体"/>
                <w:color w:val="000000"/>
                <w:szCs w:val="21"/>
                <w:lang w:eastAsia="zh-CN"/>
              </w:rPr>
            </w:pPr>
            <w:r>
              <w:rPr>
                <w:rStyle w:val="4"/>
                <w:rFonts w:hint="eastAsia" w:ascii="宋体" w:hAnsi="宋体" w:eastAsia="宋体" w:cs="宋体"/>
                <w:color w:val="000000"/>
                <w:szCs w:val="21"/>
              </w:rPr>
              <w:t>1</w:t>
            </w:r>
            <w:r>
              <w:rPr>
                <w:rStyle w:val="4"/>
                <w:rFonts w:hint="eastAsia" w:ascii="宋体" w:hAnsi="宋体" w:eastAsia="宋体" w:cs="宋体"/>
                <w:color w:val="000000"/>
                <w:szCs w:val="21"/>
                <w:lang w:eastAsia="zh-CN"/>
              </w:rPr>
              <w:t>台</w:t>
            </w:r>
          </w:p>
        </w:tc>
      </w:tr>
    </w:tbl>
    <w:p w14:paraId="2BA44AF5">
      <w:pPr>
        <w:pStyle w:val="6"/>
        <w:rPr>
          <w:rStyle w:val="4"/>
          <w:rFonts w:ascii="Times New Roman" w:hAnsi="Times New Roman"/>
        </w:rPr>
      </w:pPr>
    </w:p>
    <w:p w14:paraId="05EB7865">
      <w:pPr>
        <w:pStyle w:val="6"/>
        <w:keepNext/>
        <w:keepLines/>
        <w:adjustRightInd w:val="0"/>
        <w:snapToGrid w:val="0"/>
        <w:spacing w:before="156" w:beforeLines="50" w:line="360" w:lineRule="auto"/>
        <w:outlineLvl w:val="1"/>
        <w:rPr>
          <w:rStyle w:val="4"/>
          <w:rFonts w:ascii="黑体" w:hAnsi="黑体" w:eastAsia="黑体" w:cs="黑体"/>
          <w:b/>
          <w:bCs/>
          <w:sz w:val="24"/>
          <w:szCs w:val="24"/>
        </w:rPr>
      </w:pPr>
      <w:bookmarkStart w:id="19" w:name="_Toc27241"/>
      <w:bookmarkStart w:id="20" w:name="_Toc12139"/>
      <w:bookmarkStart w:id="21" w:name="_Toc15156"/>
      <w:bookmarkStart w:id="22" w:name="_Toc256000041"/>
      <w:r>
        <w:rPr>
          <w:rStyle w:val="4"/>
          <w:rFonts w:hint="eastAsia" w:ascii="黑体" w:hAnsi="黑体" w:eastAsia="黑体" w:cs="黑体"/>
          <w:b/>
          <w:bCs/>
          <w:sz w:val="24"/>
          <w:szCs w:val="24"/>
        </w:rPr>
        <w:t>包二：</w:t>
      </w:r>
      <w:bookmarkEnd w:id="19"/>
      <w:bookmarkEnd w:id="20"/>
      <w:bookmarkEnd w:id="21"/>
      <w:bookmarkStart w:id="23" w:name="_Toc13684"/>
      <w:r>
        <w:rPr>
          <w:rStyle w:val="4"/>
          <w:rFonts w:hint="eastAsia" w:ascii="黑体" w:hAnsi="黑体" w:eastAsia="黑体" w:cs="黑体"/>
          <w:b/>
          <w:bCs/>
          <w:sz w:val="24"/>
          <w:szCs w:val="24"/>
        </w:rPr>
        <w:t>野外地物光谱仪</w:t>
      </w:r>
      <w:bookmarkEnd w:id="22"/>
    </w:p>
    <w:tbl>
      <w:tblPr>
        <w:tblStyle w:val="3"/>
        <w:tblW w:w="9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1815"/>
        <w:gridCol w:w="6130"/>
        <w:gridCol w:w="668"/>
      </w:tblGrid>
      <w:tr w14:paraId="34D2F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92" w:type="dxa"/>
            <w:noWrap w:val="0"/>
            <w:vAlign w:val="center"/>
          </w:tcPr>
          <w:p w14:paraId="2958E82E">
            <w:pPr>
              <w:pStyle w:val="8"/>
              <w:jc w:val="center"/>
              <w:rPr>
                <w:rStyle w:val="4"/>
                <w:rFonts w:hint="eastAsia" w:ascii="宋体" w:hAnsi="宋体" w:eastAsia="宋体" w:cs="宋体"/>
                <w:szCs w:val="21"/>
              </w:rPr>
            </w:pPr>
            <w:r>
              <w:rPr>
                <w:rStyle w:val="4"/>
                <w:rFonts w:hint="eastAsia" w:ascii="宋体" w:hAnsi="宋体" w:eastAsia="宋体" w:cs="宋体"/>
                <w:szCs w:val="21"/>
              </w:rPr>
              <w:t>序号</w:t>
            </w:r>
          </w:p>
        </w:tc>
        <w:tc>
          <w:tcPr>
            <w:tcW w:w="1815" w:type="dxa"/>
            <w:noWrap w:val="0"/>
            <w:vAlign w:val="center"/>
          </w:tcPr>
          <w:p w14:paraId="17D56163">
            <w:pPr>
              <w:pStyle w:val="8"/>
              <w:jc w:val="center"/>
              <w:rPr>
                <w:rStyle w:val="4"/>
                <w:rFonts w:hint="eastAsia" w:ascii="宋体" w:hAnsi="宋体" w:eastAsia="宋体" w:cs="宋体"/>
                <w:szCs w:val="21"/>
              </w:rPr>
            </w:pPr>
            <w:r>
              <w:rPr>
                <w:rStyle w:val="4"/>
                <w:rFonts w:hint="eastAsia" w:ascii="宋体" w:hAnsi="宋体" w:eastAsia="宋体" w:cs="宋体"/>
                <w:szCs w:val="21"/>
              </w:rPr>
              <w:t>货物或服务名称</w:t>
            </w:r>
          </w:p>
        </w:tc>
        <w:tc>
          <w:tcPr>
            <w:tcW w:w="6130" w:type="dxa"/>
            <w:noWrap w:val="0"/>
            <w:vAlign w:val="center"/>
          </w:tcPr>
          <w:p w14:paraId="641E11DF">
            <w:pPr>
              <w:pStyle w:val="8"/>
              <w:jc w:val="center"/>
              <w:rPr>
                <w:rStyle w:val="4"/>
                <w:rFonts w:hint="eastAsia" w:ascii="宋体" w:hAnsi="宋体" w:eastAsia="宋体" w:cs="宋体"/>
                <w:szCs w:val="21"/>
              </w:rPr>
            </w:pPr>
            <w:r>
              <w:rPr>
                <w:rStyle w:val="4"/>
                <w:rFonts w:hint="eastAsia" w:ascii="宋体" w:hAnsi="宋体" w:eastAsia="宋体" w:cs="宋体"/>
                <w:szCs w:val="21"/>
              </w:rPr>
              <w:t>技术、功能要求</w:t>
            </w:r>
          </w:p>
        </w:tc>
        <w:tc>
          <w:tcPr>
            <w:tcW w:w="668" w:type="dxa"/>
            <w:noWrap w:val="0"/>
            <w:vAlign w:val="center"/>
          </w:tcPr>
          <w:p w14:paraId="22328E25">
            <w:pPr>
              <w:pStyle w:val="8"/>
              <w:jc w:val="center"/>
              <w:rPr>
                <w:rStyle w:val="4"/>
                <w:rFonts w:hint="eastAsia" w:ascii="宋体" w:hAnsi="宋体" w:eastAsia="宋体" w:cs="宋体"/>
                <w:szCs w:val="21"/>
              </w:rPr>
            </w:pPr>
            <w:r>
              <w:rPr>
                <w:rStyle w:val="4"/>
                <w:rFonts w:hint="eastAsia" w:ascii="宋体" w:hAnsi="宋体" w:eastAsia="宋体" w:cs="宋体"/>
                <w:szCs w:val="21"/>
              </w:rPr>
              <w:t>数量</w:t>
            </w:r>
          </w:p>
        </w:tc>
      </w:tr>
      <w:tr w14:paraId="3EB11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92" w:type="dxa"/>
            <w:noWrap w:val="0"/>
            <w:vAlign w:val="center"/>
          </w:tcPr>
          <w:p w14:paraId="6AB7F748">
            <w:pPr>
              <w:pStyle w:val="8"/>
              <w:jc w:val="center"/>
              <w:rPr>
                <w:rStyle w:val="4"/>
                <w:rFonts w:hint="eastAsia" w:ascii="宋体" w:hAnsi="宋体" w:eastAsia="宋体" w:cs="宋体"/>
                <w:szCs w:val="21"/>
                <w:lang w:val="en-US" w:eastAsia="zh-CN"/>
              </w:rPr>
            </w:pPr>
            <w:r>
              <w:rPr>
                <w:rStyle w:val="4"/>
                <w:rFonts w:hint="eastAsia" w:ascii="宋体" w:hAnsi="宋体" w:eastAsia="宋体" w:cs="宋体"/>
                <w:szCs w:val="21"/>
                <w:lang w:val="en-US" w:eastAsia="zh-CN"/>
              </w:rPr>
              <w:t>1</w:t>
            </w:r>
          </w:p>
        </w:tc>
        <w:tc>
          <w:tcPr>
            <w:tcW w:w="1815" w:type="dxa"/>
            <w:noWrap w:val="0"/>
            <w:vAlign w:val="center"/>
          </w:tcPr>
          <w:p w14:paraId="7E828397">
            <w:pPr>
              <w:pStyle w:val="8"/>
              <w:jc w:val="center"/>
              <w:rPr>
                <w:rStyle w:val="4"/>
                <w:rFonts w:hint="eastAsia" w:ascii="宋体" w:hAnsi="宋体" w:eastAsia="宋体" w:cs="宋体"/>
                <w:szCs w:val="21"/>
              </w:rPr>
            </w:pPr>
            <w:r>
              <w:rPr>
                <w:rStyle w:val="4"/>
                <w:rFonts w:hint="eastAsia" w:ascii="宋体" w:hAnsi="宋体" w:eastAsia="宋体" w:cs="宋体"/>
                <w:szCs w:val="21"/>
              </w:rPr>
              <w:t>野外地物光谱仪</w:t>
            </w:r>
          </w:p>
        </w:tc>
        <w:tc>
          <w:tcPr>
            <w:tcW w:w="6130" w:type="dxa"/>
            <w:noWrap w:val="0"/>
            <w:vAlign w:val="center"/>
          </w:tcPr>
          <w:p w14:paraId="4EC57203">
            <w:pPr>
              <w:pStyle w:val="8"/>
              <w:numPr>
                <w:ilvl w:val="0"/>
                <w:numId w:val="0"/>
              </w:numPr>
              <w:rPr>
                <w:rStyle w:val="4"/>
                <w:rFonts w:hint="eastAsia" w:ascii="Times New Roman" w:hAnsi="Times New Roman" w:eastAsia="宋体" w:cs="Times New Roman"/>
                <w:szCs w:val="24"/>
                <w:vertAlign w:val="baseline"/>
                <w:lang w:val="en-US" w:eastAsia="zh-CN"/>
              </w:rPr>
            </w:pPr>
            <w:r>
              <w:rPr>
                <w:rStyle w:val="4"/>
                <w:rFonts w:hint="eastAsia" w:ascii="宋体" w:hAnsi="宋体" w:eastAsia="宋体" w:cs="宋体"/>
                <w:szCs w:val="24"/>
                <w:vertAlign w:val="baseline"/>
                <w:lang w:val="en-US" w:eastAsia="zh-CN"/>
              </w:rPr>
              <w:t>1</w:t>
            </w:r>
            <w:r>
              <w:rPr>
                <w:rStyle w:val="4"/>
                <w:rFonts w:hint="eastAsia" w:ascii="Times New Roman" w:hAnsi="Times New Roman" w:eastAsia="宋体" w:cs="Times New Roman"/>
                <w:szCs w:val="24"/>
                <w:vertAlign w:val="baseline"/>
                <w:lang w:val="en-US" w:eastAsia="zh-CN"/>
              </w:rPr>
              <w:t>、技术参数</w:t>
            </w:r>
          </w:p>
          <w:p w14:paraId="4C87CEFE">
            <w:pPr>
              <w:pStyle w:val="8"/>
              <w:numPr>
                <w:ilvl w:val="0"/>
                <w:numId w:val="0"/>
              </w:numPr>
              <w:rPr>
                <w:rStyle w:val="4"/>
                <w:rFonts w:hint="eastAsia" w:ascii="Times New Roman" w:hAnsi="Times New Roman" w:eastAsia="宋体" w:cs="Times New Roman"/>
                <w:szCs w:val="24"/>
                <w:vertAlign w:val="baseline"/>
                <w:lang w:val="en-US" w:eastAsia="zh-CN"/>
              </w:rPr>
            </w:pPr>
            <w:r>
              <w:rPr>
                <w:rStyle w:val="4"/>
                <w:rFonts w:hint="eastAsia" w:ascii="Times New Roman" w:hAnsi="Times New Roman" w:eastAsia="宋体" w:cs="Times New Roman"/>
                <w:szCs w:val="24"/>
                <w:vertAlign w:val="baseline"/>
                <w:lang w:val="en-US" w:eastAsia="zh-CN"/>
              </w:rPr>
              <w:t>1.1、光谱范围至少包含：350nm</w:t>
            </w:r>
            <w:r>
              <w:rPr>
                <w:rStyle w:val="4"/>
                <w:rFonts w:hint="default" w:ascii="Times New Roman" w:hAnsi="Times New Roman" w:eastAsia="宋体" w:cs="Times New Roman"/>
                <w:szCs w:val="24"/>
                <w:vertAlign w:val="baseline"/>
                <w:lang w:val="en-US" w:eastAsia="zh-CN"/>
              </w:rPr>
              <w:t>~</w:t>
            </w:r>
            <w:r>
              <w:rPr>
                <w:rStyle w:val="4"/>
                <w:rFonts w:hint="eastAsia" w:ascii="Times New Roman" w:hAnsi="Times New Roman" w:eastAsia="宋体" w:cs="Times New Roman"/>
                <w:szCs w:val="24"/>
                <w:vertAlign w:val="baseline"/>
                <w:lang w:val="en-US" w:eastAsia="zh-CN"/>
              </w:rPr>
              <w:t>2500nm；</w:t>
            </w:r>
          </w:p>
          <w:p w14:paraId="5BB6F15D">
            <w:pPr>
              <w:pStyle w:val="8"/>
              <w:numPr>
                <w:ilvl w:val="0"/>
                <w:numId w:val="0"/>
              </w:numPr>
              <w:rPr>
                <w:rStyle w:val="4"/>
                <w:rFonts w:hint="eastAsia" w:ascii="Times New Roman" w:hAnsi="Times New Roman" w:eastAsia="宋体" w:cs="Times New Roman"/>
                <w:szCs w:val="24"/>
                <w:highlight w:val="none"/>
                <w:vertAlign w:val="baseline"/>
                <w:lang w:val="en-US" w:eastAsia="zh-CN"/>
              </w:rPr>
            </w:pPr>
            <w:r>
              <w:rPr>
                <w:rStyle w:val="4"/>
                <w:rFonts w:hint="eastAsia" w:ascii="Times New Roman" w:hAnsi="Times New Roman" w:eastAsia="宋体" w:cs="Times New Roman"/>
                <w:szCs w:val="24"/>
                <w:highlight w:val="none"/>
                <w:vertAlign w:val="baseline"/>
                <w:lang w:val="en-US" w:eastAsia="zh-CN"/>
              </w:rPr>
              <w:t>★1.2、光谱分辨率：≤2.8nm@700nm，≤5.5nm@1500nm，≤5.8nm@2100nm；</w:t>
            </w:r>
            <w:r>
              <w:rPr>
                <w:rStyle w:val="4"/>
                <w:rFonts w:hint="eastAsia" w:ascii="宋体" w:hAnsi="宋体" w:eastAsia="宋体" w:cs="宋体"/>
                <w:b/>
                <w:bCs w:val="0"/>
                <w:kern w:val="0"/>
                <w:szCs w:val="21"/>
                <w:highlight w:val="none"/>
                <w:lang w:val="en-US" w:eastAsia="zh-CN"/>
              </w:rPr>
              <w:t>（</w:t>
            </w:r>
            <w:r>
              <w:rPr>
                <w:rStyle w:val="4"/>
                <w:rFonts w:hint="eastAsia" w:ascii="宋体" w:hAnsi="宋体" w:eastAsia="宋体" w:cs="宋体"/>
                <w:b/>
                <w:bCs w:val="0"/>
                <w:kern w:val="0"/>
                <w:szCs w:val="21"/>
                <w:highlight w:val="none"/>
                <w:lang w:eastAsia="zh-CN"/>
              </w:rPr>
              <w:t>需提供佐证材料，包括</w:t>
            </w:r>
            <w:r>
              <w:rPr>
                <w:rStyle w:val="4"/>
                <w:rFonts w:hint="eastAsia" w:ascii="宋体" w:hAnsi="宋体" w:eastAsia="宋体" w:cs="宋体"/>
                <w:b/>
                <w:bCs/>
                <w:sz w:val="21"/>
                <w:szCs w:val="21"/>
                <w:highlight w:val="none"/>
                <w:lang w:val="en-US" w:eastAsia="zh-CN"/>
              </w:rPr>
              <w:t>第三方检测机构出具的</w:t>
            </w:r>
            <w:r>
              <w:rPr>
                <w:rStyle w:val="4"/>
                <w:rFonts w:hint="eastAsia" w:ascii="宋体" w:hAnsi="宋体" w:eastAsia="宋体" w:cs="宋体"/>
                <w:b/>
                <w:bCs w:val="0"/>
                <w:kern w:val="0"/>
                <w:szCs w:val="21"/>
                <w:highlight w:val="none"/>
                <w:lang w:eastAsia="zh-CN"/>
              </w:rPr>
              <w:t>检测报告或技术白皮书或产品彩页或产品说明书</w:t>
            </w:r>
            <w:r>
              <w:rPr>
                <w:rStyle w:val="4"/>
                <w:rFonts w:hint="eastAsia" w:ascii="宋体" w:hAnsi="宋体" w:eastAsia="宋体" w:cs="宋体"/>
                <w:b/>
                <w:bCs w:val="0"/>
                <w:kern w:val="0"/>
                <w:szCs w:val="21"/>
                <w:highlight w:val="none"/>
                <w:lang w:val="en-US" w:eastAsia="zh-CN"/>
              </w:rPr>
              <w:t>或产品功能截图等证明资料）</w:t>
            </w:r>
          </w:p>
          <w:p w14:paraId="1275F21B">
            <w:pPr>
              <w:pStyle w:val="8"/>
              <w:numPr>
                <w:ilvl w:val="0"/>
                <w:numId w:val="0"/>
              </w:numPr>
              <w:rPr>
                <w:rStyle w:val="4"/>
                <w:rFonts w:hint="eastAsia" w:ascii="Times New Roman" w:hAnsi="Times New Roman" w:eastAsia="宋体" w:cs="Times New Roman"/>
                <w:szCs w:val="24"/>
                <w:highlight w:val="none"/>
                <w:vertAlign w:val="baseline"/>
                <w:lang w:val="en-US" w:eastAsia="zh-CN"/>
              </w:rPr>
            </w:pPr>
            <w:r>
              <w:rPr>
                <w:rStyle w:val="4"/>
                <w:rFonts w:hint="eastAsia" w:ascii="Times New Roman" w:hAnsi="Times New Roman" w:eastAsia="宋体" w:cs="Times New Roman"/>
                <w:szCs w:val="24"/>
                <w:vertAlign w:val="baseline"/>
                <w:lang w:val="en-US" w:eastAsia="zh-CN"/>
              </w:rPr>
              <w:t>1.3、全固定式光栅，无</w:t>
            </w:r>
            <w:r>
              <w:rPr>
                <w:rStyle w:val="4"/>
                <w:rFonts w:hint="eastAsia" w:ascii="Times New Roman" w:hAnsi="Times New Roman" w:eastAsia="宋体" w:cs="Times New Roman"/>
                <w:szCs w:val="24"/>
                <w:highlight w:val="none"/>
                <w:vertAlign w:val="baseline"/>
                <w:lang w:val="en-US" w:eastAsia="zh-CN"/>
              </w:rPr>
              <w:t>运动光学部件；三组阵列式检测器：≥1024单元Si阵列UV增强型探测器 (350nm</w:t>
            </w:r>
            <w:r>
              <w:rPr>
                <w:rStyle w:val="4"/>
                <w:rFonts w:hint="default" w:ascii="Times New Roman" w:hAnsi="Times New Roman" w:eastAsia="宋体" w:cs="Times New Roman"/>
                <w:szCs w:val="24"/>
                <w:highlight w:val="none"/>
                <w:vertAlign w:val="baseline"/>
                <w:lang w:val="en-US" w:eastAsia="zh-CN"/>
              </w:rPr>
              <w:t>~</w:t>
            </w:r>
            <w:r>
              <w:rPr>
                <w:rStyle w:val="4"/>
                <w:rFonts w:hint="eastAsia" w:ascii="Times New Roman" w:hAnsi="Times New Roman" w:eastAsia="宋体" w:cs="Times New Roman"/>
                <w:szCs w:val="24"/>
                <w:highlight w:val="none"/>
                <w:vertAlign w:val="baseline"/>
                <w:lang w:val="en-US" w:eastAsia="zh-CN"/>
              </w:rPr>
              <w:t>1000nm)，≥512单元拓展型InGaAs阵列TE制冷型探测器 (1000nm</w:t>
            </w:r>
            <w:r>
              <w:rPr>
                <w:rStyle w:val="4"/>
                <w:rFonts w:hint="default" w:ascii="Times New Roman" w:hAnsi="Times New Roman" w:eastAsia="宋体" w:cs="Times New Roman"/>
                <w:szCs w:val="24"/>
                <w:highlight w:val="none"/>
                <w:vertAlign w:val="baseline"/>
                <w:lang w:val="en-US" w:eastAsia="zh-CN"/>
              </w:rPr>
              <w:t>~</w:t>
            </w:r>
            <w:r>
              <w:rPr>
                <w:rStyle w:val="4"/>
                <w:rFonts w:hint="eastAsia" w:ascii="Times New Roman" w:hAnsi="Times New Roman" w:eastAsia="宋体" w:cs="Times New Roman"/>
                <w:szCs w:val="24"/>
                <w:highlight w:val="none"/>
                <w:vertAlign w:val="baseline"/>
                <w:lang w:val="en-US" w:eastAsia="zh-CN"/>
              </w:rPr>
              <w:t>1630nm)，≥512单元拓展型InGaAs阵列TE制冷型探测器 (1630nm~2500nm)；</w:t>
            </w:r>
          </w:p>
          <w:p w14:paraId="4A5C2A3A">
            <w:pPr>
              <w:pStyle w:val="8"/>
              <w:numPr>
                <w:ilvl w:val="0"/>
                <w:numId w:val="0"/>
              </w:numPr>
              <w:rPr>
                <w:rStyle w:val="4"/>
                <w:rFonts w:hint="eastAsia" w:ascii="Times New Roman" w:hAnsi="Times New Roman" w:eastAsia="宋体" w:cs="Times New Roman"/>
                <w:szCs w:val="24"/>
                <w:highlight w:val="none"/>
                <w:vertAlign w:val="baseline"/>
                <w:lang w:val="en-US" w:eastAsia="zh-CN"/>
              </w:rPr>
            </w:pPr>
            <w:r>
              <w:rPr>
                <w:rStyle w:val="4"/>
                <w:rFonts w:hint="eastAsia" w:ascii="Times New Roman" w:hAnsi="Times New Roman" w:eastAsia="宋体" w:cs="Times New Roman"/>
                <w:szCs w:val="24"/>
                <w:highlight w:val="none"/>
                <w:vertAlign w:val="baseline"/>
                <w:lang w:val="en-US" w:eastAsia="zh-CN"/>
              </w:rPr>
              <w:t>▲1.4、等效噪声辐射@1.5m光纤：≤0.3x10</w:t>
            </w:r>
            <w:r>
              <w:rPr>
                <w:rStyle w:val="4"/>
                <w:rFonts w:hint="eastAsia" w:ascii="Times New Roman" w:hAnsi="Times New Roman" w:eastAsia="宋体" w:cs="Times New Roman"/>
                <w:szCs w:val="24"/>
                <w:highlight w:val="none"/>
                <w:vertAlign w:val="superscript"/>
                <w:lang w:val="en-US" w:eastAsia="zh-CN"/>
              </w:rPr>
              <w:t>-9</w:t>
            </w:r>
            <w:r>
              <w:rPr>
                <w:rStyle w:val="4"/>
                <w:rFonts w:hint="eastAsia" w:ascii="Times New Roman" w:hAnsi="Times New Roman" w:eastAsia="宋体" w:cs="Times New Roman"/>
                <w:szCs w:val="24"/>
                <w:highlight w:val="none"/>
                <w:vertAlign w:val="baseline"/>
                <w:lang w:val="en-US" w:eastAsia="zh-CN"/>
              </w:rPr>
              <w:t xml:space="preserve"> W/cm</w:t>
            </w:r>
            <w:r>
              <w:rPr>
                <w:rStyle w:val="4"/>
                <w:rFonts w:hint="eastAsia" w:ascii="Times New Roman" w:hAnsi="Times New Roman" w:eastAsia="宋体" w:cs="Times New Roman"/>
                <w:szCs w:val="24"/>
                <w:highlight w:val="none"/>
                <w:vertAlign w:val="superscript"/>
                <w:lang w:val="en-US" w:eastAsia="zh-CN"/>
              </w:rPr>
              <w:t>2</w:t>
            </w:r>
            <w:r>
              <w:rPr>
                <w:rStyle w:val="4"/>
                <w:rFonts w:hint="eastAsia" w:ascii="Times New Roman" w:hAnsi="Times New Roman" w:eastAsia="宋体" w:cs="Times New Roman"/>
                <w:szCs w:val="24"/>
                <w:highlight w:val="none"/>
                <w:vertAlign w:val="baseline"/>
                <w:lang w:val="en-US" w:eastAsia="zh-CN"/>
              </w:rPr>
              <w:t>/nm/sr @400nm，≤0.1x10</w:t>
            </w:r>
            <w:r>
              <w:rPr>
                <w:rStyle w:val="4"/>
                <w:rFonts w:hint="eastAsia" w:ascii="Times New Roman" w:hAnsi="Times New Roman" w:eastAsia="宋体" w:cs="Times New Roman"/>
                <w:szCs w:val="24"/>
                <w:highlight w:val="none"/>
                <w:vertAlign w:val="superscript"/>
                <w:lang w:val="en-US" w:eastAsia="zh-CN"/>
              </w:rPr>
              <w:t>-9</w:t>
            </w:r>
            <w:r>
              <w:rPr>
                <w:rStyle w:val="4"/>
                <w:rFonts w:hint="eastAsia" w:ascii="Times New Roman" w:hAnsi="Times New Roman" w:eastAsia="宋体" w:cs="Times New Roman"/>
                <w:szCs w:val="24"/>
                <w:highlight w:val="none"/>
                <w:vertAlign w:val="baseline"/>
                <w:lang w:val="en-US" w:eastAsia="zh-CN"/>
              </w:rPr>
              <w:t xml:space="preserve"> W/cm</w:t>
            </w:r>
            <w:r>
              <w:rPr>
                <w:rStyle w:val="4"/>
                <w:rFonts w:hint="eastAsia" w:ascii="Times New Roman" w:hAnsi="Times New Roman" w:eastAsia="宋体" w:cs="Times New Roman"/>
                <w:szCs w:val="24"/>
                <w:highlight w:val="none"/>
                <w:vertAlign w:val="superscript"/>
                <w:lang w:val="en-US" w:eastAsia="zh-CN"/>
              </w:rPr>
              <w:t>2</w:t>
            </w:r>
            <w:r>
              <w:rPr>
                <w:rStyle w:val="4"/>
                <w:rFonts w:hint="eastAsia" w:ascii="Times New Roman" w:hAnsi="Times New Roman" w:eastAsia="宋体" w:cs="Times New Roman"/>
                <w:szCs w:val="24"/>
                <w:highlight w:val="none"/>
                <w:vertAlign w:val="baseline"/>
                <w:lang w:val="en-US" w:eastAsia="zh-CN"/>
              </w:rPr>
              <w:t>/nm/sr @1500nm；</w:t>
            </w:r>
            <w:r>
              <w:rPr>
                <w:rStyle w:val="4"/>
                <w:rFonts w:hint="eastAsia" w:ascii="宋体" w:hAnsi="宋体" w:eastAsia="宋体" w:cs="宋体"/>
                <w:b/>
                <w:bCs w:val="0"/>
                <w:kern w:val="0"/>
                <w:szCs w:val="21"/>
                <w:highlight w:val="none"/>
                <w:lang w:val="en-US" w:eastAsia="zh-CN"/>
              </w:rPr>
              <w:t>（</w:t>
            </w:r>
            <w:r>
              <w:rPr>
                <w:rStyle w:val="4"/>
                <w:rFonts w:hint="eastAsia" w:ascii="宋体" w:hAnsi="宋体" w:eastAsia="宋体" w:cs="宋体"/>
                <w:b/>
                <w:bCs w:val="0"/>
                <w:kern w:val="0"/>
                <w:szCs w:val="21"/>
                <w:highlight w:val="none"/>
                <w:lang w:eastAsia="zh-CN"/>
              </w:rPr>
              <w:t>需提供佐证材料，包括</w:t>
            </w:r>
            <w:r>
              <w:rPr>
                <w:rStyle w:val="4"/>
                <w:rFonts w:hint="eastAsia" w:ascii="宋体" w:hAnsi="宋体" w:eastAsia="宋体" w:cs="宋体"/>
                <w:b/>
                <w:bCs/>
                <w:sz w:val="21"/>
                <w:szCs w:val="21"/>
                <w:highlight w:val="none"/>
                <w:lang w:val="en-US" w:eastAsia="zh-CN"/>
              </w:rPr>
              <w:t>第三方检测机构出具的</w:t>
            </w:r>
            <w:r>
              <w:rPr>
                <w:rStyle w:val="4"/>
                <w:rFonts w:hint="eastAsia" w:ascii="宋体" w:hAnsi="宋体" w:eastAsia="宋体" w:cs="宋体"/>
                <w:b/>
                <w:bCs w:val="0"/>
                <w:kern w:val="0"/>
                <w:szCs w:val="21"/>
                <w:highlight w:val="none"/>
                <w:lang w:eastAsia="zh-CN"/>
              </w:rPr>
              <w:t>检测报告或技术白皮书或产品彩页或产品说明书</w:t>
            </w:r>
            <w:r>
              <w:rPr>
                <w:rStyle w:val="4"/>
                <w:rFonts w:hint="eastAsia" w:ascii="宋体" w:hAnsi="宋体" w:eastAsia="宋体" w:cs="宋体"/>
                <w:b/>
                <w:bCs w:val="0"/>
                <w:kern w:val="0"/>
                <w:szCs w:val="21"/>
                <w:highlight w:val="none"/>
                <w:lang w:val="en-US" w:eastAsia="zh-CN"/>
              </w:rPr>
              <w:t>或产品功能截图等证明资料）</w:t>
            </w:r>
            <w:r>
              <w:rPr>
                <w:rStyle w:val="4"/>
                <w:rFonts w:hint="eastAsia" w:ascii="Times New Roman" w:hAnsi="Times New Roman" w:eastAsia="宋体" w:cs="Times New Roman"/>
                <w:szCs w:val="24"/>
                <w:highlight w:val="none"/>
                <w:vertAlign w:val="baseline"/>
                <w:lang w:val="en-US" w:eastAsia="zh-CN"/>
              </w:rPr>
              <w:t xml:space="preserve"> </w:t>
            </w:r>
          </w:p>
          <w:p w14:paraId="56314D5D">
            <w:pPr>
              <w:pStyle w:val="8"/>
              <w:numPr>
                <w:ilvl w:val="0"/>
                <w:numId w:val="0"/>
              </w:numPr>
              <w:rPr>
                <w:rStyle w:val="4"/>
                <w:rFonts w:hint="eastAsia" w:ascii="Times New Roman" w:hAnsi="Times New Roman" w:eastAsia="宋体" w:cs="Times New Roman"/>
                <w:szCs w:val="24"/>
                <w:highlight w:val="none"/>
                <w:vertAlign w:val="baseline"/>
                <w:lang w:val="en-US" w:eastAsia="zh-CN"/>
              </w:rPr>
            </w:pPr>
            <w:r>
              <w:rPr>
                <w:rStyle w:val="4"/>
                <w:rFonts w:hint="eastAsia" w:ascii="Times New Roman" w:hAnsi="Times New Roman" w:eastAsia="宋体" w:cs="Times New Roman"/>
                <w:szCs w:val="24"/>
                <w:highlight w:val="none"/>
                <w:vertAlign w:val="baseline"/>
                <w:lang w:val="en-US" w:eastAsia="zh-CN"/>
              </w:rPr>
              <w:t>1.5、光谱通道数：≥2100，输出间隔≤1nm；波长精度≤±0.5nm，重复性误差≤0.1nm；</w:t>
            </w:r>
          </w:p>
          <w:p w14:paraId="773EC825">
            <w:pPr>
              <w:pStyle w:val="8"/>
              <w:numPr>
                <w:ilvl w:val="0"/>
                <w:numId w:val="0"/>
              </w:numPr>
              <w:rPr>
                <w:rStyle w:val="4"/>
                <w:rFonts w:hint="eastAsia" w:ascii="Times New Roman" w:hAnsi="Times New Roman" w:eastAsia="宋体" w:cs="Times New Roman"/>
                <w:szCs w:val="24"/>
                <w:vertAlign w:val="baseline"/>
                <w:lang w:val="en-US" w:eastAsia="zh-CN"/>
              </w:rPr>
            </w:pPr>
            <w:r>
              <w:rPr>
                <w:rStyle w:val="4"/>
                <w:rFonts w:hint="eastAsia" w:ascii="Times New Roman" w:hAnsi="Times New Roman" w:eastAsia="宋体" w:cs="Times New Roman"/>
                <w:szCs w:val="24"/>
                <w:highlight w:val="none"/>
                <w:vertAlign w:val="baseline"/>
                <w:lang w:val="en-US" w:eastAsia="zh-CN"/>
              </w:rPr>
              <w:t>1.6、便携式控制主机：户外高亮屏，防护等级≥</w:t>
            </w:r>
            <w:r>
              <w:rPr>
                <w:rStyle w:val="4"/>
                <w:rFonts w:hint="eastAsia" w:ascii="Times New Roman" w:hAnsi="Times New Roman" w:eastAsia="宋体" w:cs="Times New Roman"/>
                <w:szCs w:val="24"/>
                <w:vertAlign w:val="baseline"/>
                <w:lang w:val="en-US" w:eastAsia="zh-CN"/>
              </w:rPr>
              <w:t>IP67，性能不低于四核CPU、</w:t>
            </w:r>
            <w:r>
              <w:rPr>
                <w:rStyle w:val="4"/>
                <w:rFonts w:hint="eastAsia" w:ascii="Calibri" w:hAnsi="Calibri" w:eastAsia="宋体" w:cs="Times New Roman"/>
                <w:lang w:val="en-US" w:eastAsia="zh-CN"/>
              </w:rPr>
              <w:t>高解析度显卡</w:t>
            </w:r>
            <w:r>
              <w:rPr>
                <w:rStyle w:val="4"/>
                <w:rFonts w:hint="eastAsia" w:ascii="Times New Roman" w:hAnsi="Times New Roman" w:eastAsia="宋体" w:cs="Times New Roman"/>
                <w:szCs w:val="24"/>
                <w:vertAlign w:val="baseline"/>
                <w:lang w:val="en-US" w:eastAsia="zh-CN"/>
              </w:rPr>
              <w:t>、固态存储；超大容量电池续航≥8小时；</w:t>
            </w:r>
          </w:p>
          <w:p w14:paraId="6A7F3E69">
            <w:pPr>
              <w:pStyle w:val="8"/>
              <w:numPr>
                <w:ilvl w:val="0"/>
                <w:numId w:val="0"/>
              </w:numPr>
              <w:rPr>
                <w:rStyle w:val="4"/>
                <w:rFonts w:hint="eastAsia" w:ascii="Times New Roman" w:hAnsi="Times New Roman" w:eastAsia="宋体" w:cs="Times New Roman"/>
                <w:szCs w:val="24"/>
                <w:vertAlign w:val="baseline"/>
                <w:lang w:val="en-US" w:eastAsia="zh-CN"/>
              </w:rPr>
            </w:pPr>
            <w:r>
              <w:rPr>
                <w:rStyle w:val="4"/>
                <w:rFonts w:hint="eastAsia" w:ascii="Times New Roman" w:hAnsi="Times New Roman" w:eastAsia="宋体" w:cs="Times New Roman"/>
                <w:szCs w:val="24"/>
                <w:vertAlign w:val="baseline"/>
                <w:lang w:val="en-US" w:eastAsia="zh-CN"/>
              </w:rPr>
              <w:t>1.7、移动端软件：可在移动终端运行，软件需具有拍照功能，图像与光谱数据文件同名对应，每个光谱数据可同步写入地理定位信息参数；</w:t>
            </w:r>
          </w:p>
          <w:p w14:paraId="764F191F">
            <w:pPr>
              <w:pStyle w:val="8"/>
              <w:numPr>
                <w:ilvl w:val="0"/>
                <w:numId w:val="0"/>
              </w:numPr>
              <w:rPr>
                <w:rStyle w:val="4"/>
                <w:rFonts w:hint="eastAsia" w:ascii="Times New Roman" w:hAnsi="Times New Roman" w:eastAsia="宋体" w:cs="Times New Roman"/>
                <w:szCs w:val="24"/>
                <w:vertAlign w:val="baseline"/>
                <w:lang w:val="en-US" w:eastAsia="zh-CN"/>
              </w:rPr>
            </w:pPr>
            <w:r>
              <w:rPr>
                <w:rStyle w:val="4"/>
                <w:rFonts w:hint="eastAsia" w:ascii="Times New Roman" w:hAnsi="Times New Roman" w:eastAsia="宋体" w:cs="Times New Roman"/>
                <w:szCs w:val="24"/>
                <w:vertAlign w:val="baseline"/>
                <w:lang w:val="en-US" w:eastAsia="zh-CN"/>
              </w:rPr>
              <w:t>1.8、PC端软件：可计算包含但不限于NDVI、GRVI、SR、SAVI、EVI、PRI、WBI等十余种植被指数，可与多种卫星数据比对，还具备计算光合有效辐射PAR、太阳能模拟器、CIE颜色分析、能量统计等功能；具有定时测量功能，可以进行无人值守自动化监测；</w:t>
            </w:r>
          </w:p>
          <w:p w14:paraId="340F0248">
            <w:pPr>
              <w:pStyle w:val="8"/>
              <w:numPr>
                <w:ilvl w:val="0"/>
                <w:numId w:val="0"/>
              </w:numPr>
              <w:rPr>
                <w:rStyle w:val="4"/>
                <w:rFonts w:hint="eastAsia" w:ascii="Times New Roman" w:hAnsi="Times New Roman" w:eastAsia="宋体" w:cs="Times New Roman"/>
                <w:szCs w:val="24"/>
                <w:vertAlign w:val="baseline"/>
                <w:lang w:val="en-US" w:eastAsia="zh-CN"/>
              </w:rPr>
            </w:pPr>
            <w:r>
              <w:rPr>
                <w:rStyle w:val="4"/>
                <w:rFonts w:hint="eastAsia" w:ascii="Times New Roman" w:hAnsi="Times New Roman" w:eastAsia="宋体" w:cs="Times New Roman"/>
                <w:szCs w:val="24"/>
                <w:vertAlign w:val="baseline"/>
                <w:lang w:val="en-US" w:eastAsia="zh-CN"/>
              </w:rPr>
              <w:t>1.9、光纤为长度≥1.5米铠装光纤，石英纤芯≥60根，SMA905连接器及3排纤芯耦合接口，光纤含出厂标定文件；</w:t>
            </w:r>
          </w:p>
          <w:p w14:paraId="66F1E78B">
            <w:pPr>
              <w:pStyle w:val="8"/>
              <w:numPr>
                <w:ilvl w:val="0"/>
                <w:numId w:val="0"/>
              </w:numPr>
              <w:rPr>
                <w:rStyle w:val="4"/>
                <w:rFonts w:hint="eastAsia" w:ascii="Times New Roman" w:hAnsi="Times New Roman" w:eastAsia="宋体" w:cs="Times New Roman"/>
                <w:szCs w:val="24"/>
                <w:vertAlign w:val="baseline"/>
                <w:lang w:val="en-US" w:eastAsia="zh-CN"/>
              </w:rPr>
            </w:pPr>
            <w:r>
              <w:rPr>
                <w:rStyle w:val="4"/>
                <w:rFonts w:hint="eastAsia" w:ascii="Times New Roman" w:hAnsi="Times New Roman" w:eastAsia="宋体" w:cs="Times New Roman"/>
                <w:szCs w:val="24"/>
                <w:vertAlign w:val="baseline"/>
                <w:lang w:val="en-US" w:eastAsia="zh-CN"/>
              </w:rPr>
              <w:t>1.10、接触式探头：至少为超硬蓝宝石窗口，内置5W卤素光源，Lemo航空接口，需内置触发器，具有一键式光纤快拆连接器，重量≤300g；</w:t>
            </w:r>
          </w:p>
          <w:p w14:paraId="3303C0FA">
            <w:pPr>
              <w:pStyle w:val="8"/>
              <w:numPr>
                <w:ilvl w:val="0"/>
                <w:numId w:val="0"/>
              </w:numPr>
              <w:rPr>
                <w:rStyle w:val="4"/>
                <w:rFonts w:hint="eastAsia" w:ascii="Times New Roman" w:hAnsi="Times New Roman" w:eastAsia="宋体" w:cs="Times New Roman"/>
                <w:szCs w:val="24"/>
                <w:vertAlign w:val="baseline"/>
                <w:lang w:val="en-US" w:eastAsia="zh-CN"/>
              </w:rPr>
            </w:pPr>
            <w:r>
              <w:rPr>
                <w:rStyle w:val="4"/>
                <w:rFonts w:hint="eastAsia" w:ascii="Times New Roman" w:hAnsi="Times New Roman" w:eastAsia="宋体" w:cs="Times New Roman"/>
                <w:szCs w:val="24"/>
                <w:vertAlign w:val="baseline"/>
                <w:lang w:val="en-US" w:eastAsia="zh-CN"/>
              </w:rPr>
              <w:t>1.11、主机：至少采用利于散热的全金属机身，重量≤6kg；</w:t>
            </w:r>
          </w:p>
          <w:p w14:paraId="55446DE7">
            <w:pPr>
              <w:pStyle w:val="8"/>
              <w:numPr>
                <w:ilvl w:val="0"/>
                <w:numId w:val="0"/>
              </w:numPr>
              <w:rPr>
                <w:rStyle w:val="4"/>
                <w:rFonts w:hint="default" w:ascii="Times New Roman" w:hAnsi="Times New Roman" w:eastAsia="宋体" w:cs="Times New Roman"/>
                <w:szCs w:val="24"/>
                <w:vertAlign w:val="baseline"/>
                <w:lang w:val="en-US" w:eastAsia="zh-CN"/>
              </w:rPr>
            </w:pPr>
            <w:r>
              <w:rPr>
                <w:rStyle w:val="4"/>
                <w:rFonts w:hint="eastAsia" w:ascii="Times New Roman" w:hAnsi="Times New Roman" w:eastAsia="宋体" w:cs="Times New Roman"/>
                <w:szCs w:val="24"/>
                <w:vertAlign w:val="baseline"/>
                <w:lang w:val="en-US" w:eastAsia="zh-CN"/>
              </w:rPr>
              <w:t>1.12、参考板：≥10*10cm，95%反射率，带有1nm间隔标定文件，软件可直接调用；</w:t>
            </w:r>
          </w:p>
          <w:p w14:paraId="4E082D19">
            <w:pPr>
              <w:pStyle w:val="8"/>
              <w:numPr>
                <w:ilvl w:val="0"/>
                <w:numId w:val="0"/>
              </w:numPr>
              <w:rPr>
                <w:rStyle w:val="4"/>
                <w:rFonts w:hint="eastAsia" w:ascii="Times New Roman" w:hAnsi="Times New Roman" w:eastAsia="宋体" w:cs="Times New Roman"/>
                <w:szCs w:val="24"/>
                <w:vertAlign w:val="baseline"/>
                <w:lang w:val="en-US" w:eastAsia="zh-CN"/>
              </w:rPr>
            </w:pPr>
            <w:r>
              <w:rPr>
                <w:rStyle w:val="4"/>
                <w:rFonts w:hint="eastAsia" w:ascii="Times New Roman" w:hAnsi="Times New Roman" w:eastAsia="宋体" w:cs="Times New Roman"/>
                <w:szCs w:val="24"/>
                <w:vertAlign w:val="baseline"/>
                <w:lang w:val="en-US" w:eastAsia="zh-CN"/>
              </w:rPr>
              <w:t>1.13、机载套件：可快速安装于适配无人机进行航测，光谱仪与无人机进行深度一体化集成，可实现手动或全自动机载测量，等距离自动触发及同步测量地理定位信息参数；</w:t>
            </w:r>
          </w:p>
          <w:p w14:paraId="7D5C8D4B">
            <w:pPr>
              <w:pStyle w:val="8"/>
              <w:numPr>
                <w:ilvl w:val="0"/>
                <w:numId w:val="0"/>
              </w:numPr>
              <w:rPr>
                <w:rStyle w:val="4"/>
                <w:rFonts w:hint="eastAsia" w:ascii="Times New Roman" w:hAnsi="Times New Roman" w:eastAsia="宋体" w:cs="Times New Roman"/>
                <w:szCs w:val="24"/>
                <w:highlight w:val="none"/>
                <w:vertAlign w:val="baseline"/>
                <w:lang w:val="en-US" w:eastAsia="zh-CN"/>
              </w:rPr>
            </w:pPr>
            <w:r>
              <w:rPr>
                <w:rStyle w:val="4"/>
                <w:rFonts w:hint="eastAsia" w:ascii="Times New Roman" w:hAnsi="Times New Roman" w:eastAsia="宋体" w:cs="Times New Roman"/>
                <w:szCs w:val="24"/>
                <w:vertAlign w:val="baseline"/>
                <w:lang w:val="en-US" w:eastAsia="zh-CN"/>
              </w:rPr>
              <w:t>▲1.14、BRD</w:t>
            </w:r>
            <w:r>
              <w:rPr>
                <w:rStyle w:val="4"/>
                <w:rFonts w:hint="eastAsia" w:ascii="Times New Roman" w:hAnsi="Times New Roman" w:eastAsia="宋体" w:cs="Times New Roman"/>
                <w:szCs w:val="24"/>
                <w:highlight w:val="none"/>
                <w:vertAlign w:val="baseline"/>
                <w:lang w:val="en-US" w:eastAsia="zh-CN"/>
              </w:rPr>
              <w:t>F测量功能：需配备专用BRDF观测地面站航线规划软件，可以实现云台、飞控、航线航点相互联动，可调整任意角度对目标区域进行BRDF自动连续观测；</w:t>
            </w:r>
            <w:r>
              <w:rPr>
                <w:rStyle w:val="4"/>
                <w:rFonts w:hint="eastAsia" w:ascii="宋体" w:hAnsi="宋体" w:eastAsia="宋体" w:cs="宋体"/>
                <w:b/>
                <w:bCs w:val="0"/>
                <w:kern w:val="0"/>
                <w:szCs w:val="21"/>
                <w:highlight w:val="none"/>
                <w:lang w:val="en-US" w:eastAsia="zh-CN"/>
              </w:rPr>
              <w:t>（</w:t>
            </w:r>
            <w:r>
              <w:rPr>
                <w:rStyle w:val="4"/>
                <w:rFonts w:hint="eastAsia" w:ascii="宋体" w:hAnsi="宋体" w:eastAsia="宋体" w:cs="宋体"/>
                <w:b/>
                <w:bCs w:val="0"/>
                <w:kern w:val="0"/>
                <w:szCs w:val="21"/>
                <w:highlight w:val="none"/>
                <w:lang w:eastAsia="zh-CN"/>
              </w:rPr>
              <w:t>需提供佐证材料，包括</w:t>
            </w:r>
            <w:r>
              <w:rPr>
                <w:rStyle w:val="4"/>
                <w:rFonts w:hint="eastAsia" w:ascii="宋体" w:hAnsi="宋体" w:eastAsia="宋体" w:cs="宋体"/>
                <w:b/>
                <w:bCs/>
                <w:sz w:val="21"/>
                <w:szCs w:val="21"/>
                <w:highlight w:val="none"/>
                <w:lang w:val="en-US" w:eastAsia="zh-CN"/>
              </w:rPr>
              <w:t>第三方检测机构出具的</w:t>
            </w:r>
            <w:r>
              <w:rPr>
                <w:rStyle w:val="4"/>
                <w:rFonts w:hint="eastAsia" w:ascii="宋体" w:hAnsi="宋体" w:eastAsia="宋体" w:cs="宋体"/>
                <w:b/>
                <w:bCs w:val="0"/>
                <w:kern w:val="0"/>
                <w:szCs w:val="21"/>
                <w:highlight w:val="none"/>
                <w:lang w:eastAsia="zh-CN"/>
              </w:rPr>
              <w:t>检测报告或技术白皮书或产品彩页或产品说明书</w:t>
            </w:r>
            <w:r>
              <w:rPr>
                <w:rStyle w:val="4"/>
                <w:rFonts w:hint="eastAsia" w:ascii="宋体" w:hAnsi="宋体" w:eastAsia="宋体" w:cs="宋体"/>
                <w:b/>
                <w:bCs w:val="0"/>
                <w:kern w:val="0"/>
                <w:szCs w:val="21"/>
                <w:highlight w:val="none"/>
                <w:lang w:val="en-US" w:eastAsia="zh-CN"/>
              </w:rPr>
              <w:t>或产品功能截图等证明资料）</w:t>
            </w:r>
            <w:r>
              <w:rPr>
                <w:rStyle w:val="4"/>
                <w:rFonts w:hint="eastAsia" w:ascii="Times New Roman" w:hAnsi="Times New Roman" w:eastAsia="宋体" w:cs="Times New Roman"/>
                <w:szCs w:val="24"/>
                <w:highlight w:val="none"/>
                <w:vertAlign w:val="baseline"/>
                <w:lang w:val="en-US" w:eastAsia="zh-CN"/>
              </w:rPr>
              <w:t xml:space="preserve"> </w:t>
            </w:r>
          </w:p>
          <w:p w14:paraId="01A3A738">
            <w:pPr>
              <w:pStyle w:val="8"/>
              <w:numPr>
                <w:ilvl w:val="0"/>
                <w:numId w:val="0"/>
              </w:numPr>
              <w:rPr>
                <w:rStyle w:val="4"/>
                <w:rFonts w:hint="eastAsia" w:ascii="Times New Roman" w:hAnsi="Times New Roman" w:eastAsia="宋体" w:cs="Times New Roman"/>
                <w:szCs w:val="24"/>
                <w:highlight w:val="none"/>
                <w:vertAlign w:val="baseline"/>
                <w:lang w:val="en-US" w:eastAsia="zh-CN"/>
              </w:rPr>
            </w:pPr>
            <w:r>
              <w:rPr>
                <w:rStyle w:val="4"/>
                <w:rFonts w:hint="eastAsia" w:ascii="Times New Roman" w:hAnsi="Times New Roman" w:eastAsia="宋体" w:cs="Times New Roman"/>
                <w:szCs w:val="24"/>
                <w:highlight w:val="none"/>
                <w:vertAlign w:val="baseline"/>
                <w:lang w:val="en-US" w:eastAsia="zh-CN"/>
              </w:rPr>
              <w:t>2、配置</w:t>
            </w:r>
          </w:p>
          <w:p w14:paraId="3B48AF42">
            <w:pPr>
              <w:pStyle w:val="8"/>
              <w:numPr>
                <w:ilvl w:val="0"/>
                <w:numId w:val="0"/>
              </w:numPr>
              <w:rPr>
                <w:rStyle w:val="4"/>
                <w:rFonts w:hint="eastAsia" w:ascii="Times New Roman" w:hAnsi="Times New Roman" w:eastAsia="宋体" w:cs="Times New Roman"/>
                <w:szCs w:val="24"/>
                <w:vertAlign w:val="baseline"/>
                <w:lang w:val="en-US" w:eastAsia="zh-CN"/>
              </w:rPr>
            </w:pPr>
            <w:r>
              <w:rPr>
                <w:rStyle w:val="4"/>
                <w:rFonts w:hint="eastAsia" w:ascii="Times New Roman" w:hAnsi="Times New Roman" w:eastAsia="宋体" w:cs="Times New Roman"/>
                <w:szCs w:val="24"/>
                <w:vertAlign w:val="baseline"/>
                <w:lang w:val="en-US" w:eastAsia="zh-CN"/>
              </w:rPr>
              <w:t>2.1、高性能光谱仪主机（含移动端和PC端软件）x1</w:t>
            </w:r>
          </w:p>
          <w:p w14:paraId="394D4093">
            <w:pPr>
              <w:pStyle w:val="8"/>
              <w:numPr>
                <w:ilvl w:val="0"/>
                <w:numId w:val="0"/>
              </w:numPr>
              <w:rPr>
                <w:rStyle w:val="4"/>
                <w:rFonts w:hint="eastAsia" w:ascii="Times New Roman" w:hAnsi="Times New Roman" w:eastAsia="宋体" w:cs="Times New Roman"/>
                <w:szCs w:val="24"/>
                <w:vertAlign w:val="baseline"/>
                <w:lang w:val="en-US" w:eastAsia="zh-CN"/>
              </w:rPr>
            </w:pPr>
            <w:r>
              <w:rPr>
                <w:rStyle w:val="4"/>
                <w:rFonts w:hint="eastAsia" w:ascii="Times New Roman" w:hAnsi="Times New Roman" w:eastAsia="宋体" w:cs="Times New Roman"/>
                <w:szCs w:val="24"/>
                <w:vertAlign w:val="baseline"/>
                <w:lang w:val="en-US" w:eastAsia="zh-CN"/>
              </w:rPr>
              <w:t>2.2、1.5米长光纤x1</w:t>
            </w:r>
          </w:p>
          <w:p w14:paraId="279E5015">
            <w:pPr>
              <w:pStyle w:val="8"/>
              <w:numPr>
                <w:ilvl w:val="0"/>
                <w:numId w:val="0"/>
              </w:numPr>
              <w:rPr>
                <w:rStyle w:val="4"/>
                <w:rFonts w:hint="eastAsia" w:ascii="Times New Roman" w:hAnsi="Times New Roman" w:eastAsia="宋体" w:cs="Times New Roman"/>
                <w:szCs w:val="24"/>
                <w:vertAlign w:val="baseline"/>
                <w:lang w:val="en-US" w:eastAsia="zh-CN"/>
              </w:rPr>
            </w:pPr>
            <w:r>
              <w:rPr>
                <w:rStyle w:val="4"/>
                <w:rFonts w:hint="eastAsia" w:ascii="Times New Roman" w:hAnsi="Times New Roman" w:eastAsia="宋体" w:cs="Times New Roman"/>
                <w:szCs w:val="24"/>
                <w:vertAlign w:val="baseline"/>
                <w:lang w:val="en-US" w:eastAsia="zh-CN"/>
              </w:rPr>
              <w:t>2.3、5°视场角镜头（SMA905接口）x1</w:t>
            </w:r>
          </w:p>
          <w:p w14:paraId="3EA7410C">
            <w:pPr>
              <w:pStyle w:val="8"/>
              <w:numPr>
                <w:ilvl w:val="0"/>
                <w:numId w:val="0"/>
              </w:numPr>
              <w:rPr>
                <w:rStyle w:val="4"/>
                <w:rFonts w:hint="eastAsia" w:ascii="Times New Roman" w:hAnsi="Times New Roman" w:eastAsia="宋体" w:cs="Times New Roman"/>
                <w:szCs w:val="24"/>
                <w:vertAlign w:val="baseline"/>
                <w:lang w:val="en-US" w:eastAsia="zh-CN"/>
              </w:rPr>
            </w:pPr>
            <w:r>
              <w:rPr>
                <w:rStyle w:val="4"/>
                <w:rFonts w:hint="eastAsia" w:ascii="Times New Roman" w:hAnsi="Times New Roman" w:eastAsia="宋体" w:cs="Times New Roman"/>
                <w:szCs w:val="24"/>
                <w:vertAlign w:val="baseline"/>
                <w:lang w:val="en-US" w:eastAsia="zh-CN"/>
              </w:rPr>
              <w:t>2.4、便携式控制主机x1</w:t>
            </w:r>
          </w:p>
          <w:p w14:paraId="569A3DC0">
            <w:pPr>
              <w:pStyle w:val="8"/>
              <w:numPr>
                <w:ilvl w:val="0"/>
                <w:numId w:val="0"/>
              </w:numPr>
              <w:rPr>
                <w:rStyle w:val="4"/>
                <w:rFonts w:hint="eastAsia" w:ascii="Times New Roman" w:hAnsi="Times New Roman" w:eastAsia="宋体" w:cs="Times New Roman"/>
                <w:szCs w:val="24"/>
                <w:vertAlign w:val="baseline"/>
                <w:lang w:val="en-US" w:eastAsia="zh-CN"/>
              </w:rPr>
            </w:pPr>
            <w:r>
              <w:rPr>
                <w:rStyle w:val="4"/>
                <w:rFonts w:hint="eastAsia" w:ascii="Times New Roman" w:hAnsi="Times New Roman" w:eastAsia="宋体" w:cs="Times New Roman"/>
                <w:szCs w:val="24"/>
                <w:vertAlign w:val="baseline"/>
                <w:lang w:val="en-US" w:eastAsia="zh-CN"/>
              </w:rPr>
              <w:t>2.5、接触式探头x1</w:t>
            </w:r>
          </w:p>
          <w:p w14:paraId="742F565F">
            <w:pPr>
              <w:pStyle w:val="8"/>
              <w:numPr>
                <w:ilvl w:val="0"/>
                <w:numId w:val="0"/>
              </w:numPr>
              <w:rPr>
                <w:rStyle w:val="4"/>
                <w:rFonts w:hint="eastAsia" w:ascii="Times New Roman" w:hAnsi="Times New Roman" w:eastAsia="宋体" w:cs="Times New Roman"/>
                <w:szCs w:val="24"/>
                <w:vertAlign w:val="baseline"/>
                <w:lang w:val="en-US" w:eastAsia="zh-CN"/>
              </w:rPr>
            </w:pPr>
            <w:r>
              <w:rPr>
                <w:rStyle w:val="4"/>
                <w:rFonts w:hint="eastAsia" w:ascii="Times New Roman" w:hAnsi="Times New Roman" w:eastAsia="宋体" w:cs="Times New Roman"/>
                <w:szCs w:val="24"/>
                <w:vertAlign w:val="baseline"/>
                <w:lang w:val="en-US" w:eastAsia="zh-CN"/>
              </w:rPr>
              <w:t>2.6、叶片夹x1</w:t>
            </w:r>
          </w:p>
          <w:p w14:paraId="208DCE0C">
            <w:pPr>
              <w:pStyle w:val="8"/>
              <w:numPr>
                <w:ilvl w:val="0"/>
                <w:numId w:val="0"/>
              </w:numPr>
              <w:rPr>
                <w:rStyle w:val="4"/>
                <w:rFonts w:hint="eastAsia" w:ascii="Times New Roman" w:hAnsi="Times New Roman" w:eastAsia="宋体" w:cs="Times New Roman"/>
                <w:szCs w:val="24"/>
                <w:vertAlign w:val="baseline"/>
                <w:lang w:val="en-US" w:eastAsia="zh-CN"/>
              </w:rPr>
            </w:pPr>
            <w:r>
              <w:rPr>
                <w:rStyle w:val="4"/>
                <w:rFonts w:hint="eastAsia" w:ascii="Times New Roman" w:hAnsi="Times New Roman" w:eastAsia="宋体" w:cs="Times New Roman"/>
                <w:szCs w:val="24"/>
                <w:vertAlign w:val="baseline"/>
                <w:lang w:val="en-US" w:eastAsia="zh-CN"/>
              </w:rPr>
              <w:t>2.7、光纤手柄x1</w:t>
            </w:r>
          </w:p>
          <w:p w14:paraId="4663E4BC">
            <w:pPr>
              <w:pStyle w:val="8"/>
              <w:numPr>
                <w:ilvl w:val="0"/>
                <w:numId w:val="0"/>
              </w:numPr>
              <w:rPr>
                <w:rStyle w:val="4"/>
                <w:rFonts w:hint="eastAsia" w:ascii="Times New Roman" w:hAnsi="Times New Roman" w:eastAsia="宋体" w:cs="Times New Roman"/>
                <w:szCs w:val="24"/>
                <w:vertAlign w:val="baseline"/>
                <w:lang w:val="en-US" w:eastAsia="zh-CN"/>
              </w:rPr>
            </w:pPr>
            <w:r>
              <w:rPr>
                <w:rStyle w:val="4"/>
                <w:rFonts w:hint="eastAsia" w:ascii="Times New Roman" w:hAnsi="Times New Roman" w:eastAsia="宋体" w:cs="Times New Roman"/>
                <w:szCs w:val="24"/>
                <w:vertAlign w:val="baseline"/>
                <w:lang w:val="en-US" w:eastAsia="zh-CN"/>
              </w:rPr>
              <w:t>2.8、95%反射率漫反射参考板x1</w:t>
            </w:r>
          </w:p>
          <w:p w14:paraId="3C989FE7">
            <w:pPr>
              <w:pStyle w:val="8"/>
              <w:numPr>
                <w:ilvl w:val="0"/>
                <w:numId w:val="0"/>
              </w:numPr>
              <w:rPr>
                <w:rStyle w:val="4"/>
                <w:rFonts w:hint="eastAsia" w:ascii="Times New Roman" w:hAnsi="Times New Roman" w:eastAsia="宋体" w:cs="Times New Roman"/>
                <w:szCs w:val="24"/>
                <w:vertAlign w:val="baseline"/>
                <w:lang w:val="en-US" w:eastAsia="zh-CN"/>
              </w:rPr>
            </w:pPr>
            <w:r>
              <w:rPr>
                <w:rStyle w:val="4"/>
                <w:rFonts w:hint="eastAsia" w:ascii="Times New Roman" w:hAnsi="Times New Roman" w:eastAsia="宋体" w:cs="Times New Roman"/>
                <w:szCs w:val="24"/>
                <w:vertAlign w:val="baseline"/>
                <w:lang w:val="en-US" w:eastAsia="zh-CN"/>
              </w:rPr>
              <w:t>2.9、光谱仪电池x2</w:t>
            </w:r>
          </w:p>
          <w:p w14:paraId="37C31086">
            <w:pPr>
              <w:pStyle w:val="8"/>
              <w:numPr>
                <w:ilvl w:val="0"/>
                <w:numId w:val="0"/>
              </w:numPr>
              <w:rPr>
                <w:rStyle w:val="4"/>
                <w:rFonts w:hint="eastAsia" w:ascii="Times New Roman" w:hAnsi="Times New Roman" w:eastAsia="宋体" w:cs="Times New Roman"/>
                <w:szCs w:val="24"/>
                <w:vertAlign w:val="baseline"/>
                <w:lang w:val="en-US" w:eastAsia="zh-CN"/>
              </w:rPr>
            </w:pPr>
            <w:r>
              <w:rPr>
                <w:rStyle w:val="4"/>
                <w:rFonts w:hint="eastAsia" w:ascii="Times New Roman" w:hAnsi="Times New Roman" w:eastAsia="宋体" w:cs="Times New Roman"/>
                <w:szCs w:val="24"/>
                <w:vertAlign w:val="baseline"/>
                <w:lang w:val="en-US" w:eastAsia="zh-CN"/>
              </w:rPr>
              <w:t>2.10、三防箱及背包x1</w:t>
            </w:r>
          </w:p>
          <w:p w14:paraId="64EF9008">
            <w:pPr>
              <w:pStyle w:val="8"/>
              <w:numPr>
                <w:ilvl w:val="0"/>
                <w:numId w:val="0"/>
              </w:numPr>
              <w:rPr>
                <w:rStyle w:val="4"/>
                <w:rFonts w:hint="eastAsia" w:ascii="Times New Roman" w:hAnsi="Times New Roman" w:eastAsia="宋体" w:cs="Times New Roman"/>
                <w:szCs w:val="24"/>
                <w:vertAlign w:val="baseline"/>
                <w:lang w:val="en-US" w:eastAsia="zh-CN"/>
              </w:rPr>
            </w:pPr>
            <w:r>
              <w:rPr>
                <w:rStyle w:val="4"/>
                <w:rFonts w:hint="eastAsia" w:ascii="Times New Roman" w:hAnsi="Times New Roman" w:eastAsia="宋体" w:cs="Times New Roman"/>
                <w:szCs w:val="24"/>
                <w:vertAlign w:val="baseline"/>
                <w:lang w:val="en-US" w:eastAsia="zh-CN"/>
              </w:rPr>
              <w:t>2.11、BRDF观测软件x1</w:t>
            </w:r>
          </w:p>
          <w:p w14:paraId="2BF6E85E">
            <w:pPr>
              <w:pStyle w:val="8"/>
              <w:numPr>
                <w:ilvl w:val="0"/>
                <w:numId w:val="0"/>
              </w:numPr>
              <w:rPr>
                <w:rStyle w:val="4"/>
                <w:rFonts w:hint="eastAsia" w:ascii="宋体" w:hAnsi="宋体" w:eastAsia="宋体" w:cs="宋体"/>
                <w:szCs w:val="21"/>
              </w:rPr>
            </w:pPr>
            <w:r>
              <w:rPr>
                <w:rStyle w:val="4"/>
                <w:rFonts w:hint="eastAsia" w:ascii="Times New Roman" w:hAnsi="Times New Roman" w:eastAsia="宋体" w:cs="Times New Roman"/>
                <w:szCs w:val="24"/>
                <w:vertAlign w:val="baseline"/>
                <w:lang w:val="en-US" w:eastAsia="zh-CN"/>
              </w:rPr>
              <w:t>2.12、机载安装套件x1</w:t>
            </w:r>
          </w:p>
        </w:tc>
        <w:tc>
          <w:tcPr>
            <w:tcW w:w="668" w:type="dxa"/>
            <w:noWrap w:val="0"/>
            <w:vAlign w:val="center"/>
          </w:tcPr>
          <w:p w14:paraId="3DBA8489">
            <w:pPr>
              <w:pStyle w:val="8"/>
              <w:jc w:val="center"/>
              <w:rPr>
                <w:rStyle w:val="4"/>
                <w:rFonts w:hint="eastAsia" w:ascii="宋体" w:hAnsi="宋体" w:eastAsia="宋体" w:cs="宋体"/>
                <w:szCs w:val="21"/>
                <w:lang w:eastAsia="zh-CN"/>
              </w:rPr>
            </w:pPr>
            <w:r>
              <w:rPr>
                <w:rStyle w:val="4"/>
                <w:rFonts w:hint="eastAsia" w:ascii="宋体" w:hAnsi="宋体" w:eastAsia="宋体" w:cs="宋体"/>
                <w:color w:val="000000"/>
                <w:szCs w:val="21"/>
              </w:rPr>
              <w:t>1</w:t>
            </w:r>
            <w:r>
              <w:rPr>
                <w:rStyle w:val="4"/>
                <w:rFonts w:hint="eastAsia" w:ascii="宋体" w:hAnsi="宋体" w:eastAsia="宋体" w:cs="宋体"/>
                <w:color w:val="000000"/>
                <w:szCs w:val="21"/>
                <w:lang w:eastAsia="zh-CN"/>
              </w:rPr>
              <w:t>台</w:t>
            </w:r>
          </w:p>
        </w:tc>
      </w:tr>
    </w:tbl>
    <w:p w14:paraId="14958F9B">
      <w:pPr>
        <w:pStyle w:val="8"/>
        <w:rPr>
          <w:rStyle w:val="4"/>
          <w:rFonts w:ascii="黑体" w:hAnsi="黑体" w:eastAsia="黑体" w:cs="黑体"/>
          <w:b/>
          <w:bCs/>
          <w:sz w:val="24"/>
          <w:szCs w:val="24"/>
        </w:rPr>
      </w:pPr>
    </w:p>
    <w:bookmarkEnd w:id="23"/>
    <w:p w14:paraId="4F9DB2F1">
      <w:pPr>
        <w:pStyle w:val="11"/>
        <w:keepNext/>
        <w:keepLines/>
        <w:adjustRightInd w:val="0"/>
        <w:snapToGrid w:val="0"/>
        <w:spacing w:before="156" w:beforeLines="50" w:line="360" w:lineRule="auto"/>
        <w:jc w:val="center"/>
        <w:outlineLvl w:val="1"/>
        <w:rPr>
          <w:rStyle w:val="4"/>
          <w:rFonts w:ascii="宋体" w:hAnsi="宋体" w:cs="宋体"/>
          <w:b/>
          <w:szCs w:val="21"/>
        </w:rPr>
      </w:pPr>
      <w:bookmarkStart w:id="24" w:name="_Toc6204"/>
      <w:bookmarkStart w:id="25" w:name="_Toc10048"/>
      <w:bookmarkStart w:id="26" w:name="_Toc7143"/>
      <w:bookmarkStart w:id="27" w:name="_Toc17807"/>
      <w:bookmarkStart w:id="28" w:name="_Toc2543"/>
      <w:r>
        <w:rPr>
          <w:rStyle w:val="4"/>
          <w:rFonts w:hint="eastAsia" w:ascii="黑体" w:hAnsi="黑体" w:eastAsia="黑体"/>
          <w:b/>
          <w:bCs/>
          <w:sz w:val="28"/>
          <w:szCs w:val="28"/>
        </w:rPr>
        <w:br w:type="page"/>
      </w:r>
      <w:bookmarkStart w:id="29" w:name="_Toc256000042"/>
      <w:bookmarkStart w:id="30" w:name="_Toc2888"/>
      <w:r>
        <w:rPr>
          <w:rStyle w:val="4"/>
          <w:rFonts w:hint="eastAsia" w:ascii="黑体" w:hAnsi="黑体" w:eastAsia="黑体"/>
          <w:b/>
          <w:bCs/>
          <w:sz w:val="28"/>
          <w:szCs w:val="28"/>
        </w:rPr>
        <w:t>第三节 商务要求</w:t>
      </w:r>
      <w:bookmarkEnd w:id="24"/>
      <w:bookmarkEnd w:id="25"/>
      <w:bookmarkEnd w:id="26"/>
      <w:r>
        <w:rPr>
          <w:rStyle w:val="4"/>
          <w:rFonts w:hint="eastAsia" w:ascii="黑体" w:hAnsi="黑体" w:eastAsia="黑体"/>
          <w:b/>
          <w:bCs/>
          <w:sz w:val="28"/>
          <w:szCs w:val="28"/>
        </w:rPr>
        <w:t>（适用于本项目包一、包二）</w:t>
      </w:r>
      <w:bookmarkEnd w:id="27"/>
      <w:bookmarkEnd w:id="28"/>
      <w:bookmarkEnd w:id="29"/>
      <w:bookmarkEnd w:id="30"/>
    </w:p>
    <w:tbl>
      <w:tblPr>
        <w:tblStyle w:val="3"/>
        <w:tblW w:w="885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849"/>
        <w:gridCol w:w="7010"/>
      </w:tblGrid>
      <w:tr w14:paraId="78F391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849" w:type="dxa"/>
            <w:noWrap w:val="0"/>
            <w:vAlign w:val="center"/>
          </w:tcPr>
          <w:p w14:paraId="650C9B38">
            <w:pPr>
              <w:pStyle w:val="6"/>
              <w:adjustRightInd w:val="0"/>
              <w:snapToGrid w:val="0"/>
              <w:spacing w:line="300" w:lineRule="exact"/>
              <w:jc w:val="center"/>
              <w:rPr>
                <w:rStyle w:val="4"/>
                <w:rFonts w:ascii="宋体" w:hAnsi="宋体"/>
                <w:szCs w:val="21"/>
              </w:rPr>
            </w:pPr>
            <w:r>
              <w:rPr>
                <w:rStyle w:val="4"/>
                <w:rFonts w:hint="eastAsia" w:ascii="宋体" w:hAnsi="宋体"/>
                <w:szCs w:val="21"/>
              </w:rPr>
              <w:t>采购人名称、地址</w:t>
            </w:r>
          </w:p>
        </w:tc>
        <w:tc>
          <w:tcPr>
            <w:tcW w:w="7010" w:type="dxa"/>
            <w:noWrap w:val="0"/>
            <w:vAlign w:val="center"/>
          </w:tcPr>
          <w:p w14:paraId="4D528B66">
            <w:pPr>
              <w:pStyle w:val="6"/>
              <w:adjustRightInd w:val="0"/>
              <w:snapToGrid w:val="0"/>
              <w:spacing w:line="300" w:lineRule="exact"/>
              <w:rPr>
                <w:rStyle w:val="4"/>
                <w:rFonts w:ascii="宋体" w:hAnsi="宋体"/>
                <w:szCs w:val="21"/>
              </w:rPr>
            </w:pPr>
            <w:r>
              <w:rPr>
                <w:rStyle w:val="4"/>
                <w:rFonts w:hint="eastAsia" w:ascii="宋体" w:hAnsi="宋体"/>
                <w:szCs w:val="21"/>
              </w:rPr>
              <w:t>名称：湖南农业大学</w:t>
            </w:r>
          </w:p>
          <w:p w14:paraId="30EA25D5">
            <w:pPr>
              <w:pStyle w:val="6"/>
              <w:adjustRightInd w:val="0"/>
              <w:snapToGrid w:val="0"/>
              <w:spacing w:line="300" w:lineRule="exact"/>
              <w:rPr>
                <w:rStyle w:val="4"/>
                <w:rFonts w:ascii="宋体" w:hAnsi="宋体"/>
                <w:szCs w:val="21"/>
              </w:rPr>
            </w:pPr>
            <w:r>
              <w:rPr>
                <w:rStyle w:val="4"/>
                <w:rFonts w:hint="eastAsia" w:ascii="宋体" w:hAnsi="宋体"/>
                <w:szCs w:val="21"/>
              </w:rPr>
              <w:t>地址：长沙市芙蓉区农大路1号</w:t>
            </w:r>
          </w:p>
        </w:tc>
      </w:tr>
      <w:tr w14:paraId="194B4E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1849" w:type="dxa"/>
            <w:noWrap w:val="0"/>
            <w:vAlign w:val="center"/>
          </w:tcPr>
          <w:p w14:paraId="3DDF37F7">
            <w:pPr>
              <w:pStyle w:val="6"/>
              <w:adjustRightInd w:val="0"/>
              <w:snapToGrid w:val="0"/>
              <w:spacing w:line="300" w:lineRule="exact"/>
              <w:jc w:val="center"/>
              <w:rPr>
                <w:rStyle w:val="4"/>
                <w:rFonts w:ascii="宋体" w:hAnsi="宋体"/>
                <w:szCs w:val="21"/>
              </w:rPr>
            </w:pPr>
            <w:r>
              <w:rPr>
                <w:rStyle w:val="4"/>
                <w:rFonts w:hint="eastAsia" w:ascii="宋体" w:hAnsi="宋体"/>
                <w:szCs w:val="21"/>
              </w:rPr>
              <w:t>项目现场</w:t>
            </w:r>
          </w:p>
        </w:tc>
        <w:tc>
          <w:tcPr>
            <w:tcW w:w="7010" w:type="dxa"/>
            <w:noWrap w:val="0"/>
            <w:vAlign w:val="center"/>
          </w:tcPr>
          <w:p w14:paraId="47BE4FA5">
            <w:pPr>
              <w:pStyle w:val="6"/>
              <w:adjustRightInd w:val="0"/>
              <w:snapToGrid w:val="0"/>
              <w:spacing w:line="300" w:lineRule="exact"/>
              <w:rPr>
                <w:rStyle w:val="4"/>
                <w:rFonts w:ascii="宋体" w:hAnsi="宋体"/>
                <w:szCs w:val="21"/>
              </w:rPr>
            </w:pPr>
            <w:r>
              <w:rPr>
                <w:rStyle w:val="4"/>
                <w:rFonts w:hint="eastAsia" w:ascii="宋体" w:hAnsi="宋体"/>
                <w:szCs w:val="21"/>
              </w:rPr>
              <w:t>采购人指定地点</w:t>
            </w:r>
          </w:p>
        </w:tc>
      </w:tr>
      <w:tr w14:paraId="39C402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849" w:type="dxa"/>
            <w:noWrap w:val="0"/>
            <w:vAlign w:val="center"/>
          </w:tcPr>
          <w:p w14:paraId="085C7647">
            <w:pPr>
              <w:pStyle w:val="6"/>
              <w:adjustRightInd w:val="0"/>
              <w:snapToGrid w:val="0"/>
              <w:spacing w:line="300" w:lineRule="exact"/>
              <w:rPr>
                <w:rStyle w:val="4"/>
                <w:rFonts w:ascii="宋体" w:hAnsi="宋体"/>
                <w:szCs w:val="21"/>
              </w:rPr>
            </w:pPr>
            <w:r>
              <w:rPr>
                <w:rStyle w:val="4"/>
                <w:rFonts w:hint="eastAsia" w:ascii="宋体" w:hAnsi="宋体"/>
                <w:szCs w:val="21"/>
              </w:rPr>
              <w:t>履行合同的时间、地点及方式</w:t>
            </w:r>
          </w:p>
        </w:tc>
        <w:tc>
          <w:tcPr>
            <w:tcW w:w="7010" w:type="dxa"/>
            <w:noWrap w:val="0"/>
            <w:vAlign w:val="center"/>
          </w:tcPr>
          <w:p w14:paraId="1E40AA53">
            <w:pPr>
              <w:pStyle w:val="6"/>
              <w:snapToGrid w:val="0"/>
              <w:spacing w:line="300" w:lineRule="exact"/>
              <w:rPr>
                <w:rStyle w:val="4"/>
                <w:b/>
                <w:bCs/>
                <w:szCs w:val="21"/>
              </w:rPr>
            </w:pPr>
            <w:r>
              <w:rPr>
                <w:rStyle w:val="4"/>
                <w:rFonts w:hint="eastAsia" w:ascii="宋体" w:hAnsi="宋体" w:cs="宋体"/>
                <w:b/>
                <w:bCs/>
                <w:szCs w:val="21"/>
              </w:rPr>
              <w:t>交货时间：合同签订之日起60个日历日内交货（进口产品90个日历日内交货），并安装调试完毕。如招标文件第五章中有特殊要求的，以特殊要求为准。</w:t>
            </w:r>
          </w:p>
          <w:p w14:paraId="7631009A">
            <w:pPr>
              <w:pStyle w:val="6"/>
              <w:snapToGrid w:val="0"/>
              <w:spacing w:line="300" w:lineRule="exact"/>
              <w:rPr>
                <w:rStyle w:val="4"/>
                <w:szCs w:val="21"/>
              </w:rPr>
            </w:pPr>
            <w:r>
              <w:rPr>
                <w:rStyle w:val="4"/>
                <w:rFonts w:hint="eastAsia" w:ascii="宋体" w:hAnsi="宋体" w:cs="宋体"/>
                <w:b/>
                <w:bCs/>
                <w:szCs w:val="21"/>
              </w:rPr>
              <w:t>交货地点：</w:t>
            </w:r>
            <w:r>
              <w:rPr>
                <w:rStyle w:val="4"/>
                <w:rFonts w:hint="eastAsia" w:ascii="宋体" w:hAnsi="宋体" w:cs="宋体"/>
                <w:szCs w:val="21"/>
              </w:rPr>
              <w:t>采购人指定地点</w:t>
            </w:r>
          </w:p>
          <w:p w14:paraId="044165CD">
            <w:pPr>
              <w:pStyle w:val="6"/>
              <w:snapToGrid w:val="0"/>
              <w:spacing w:line="300" w:lineRule="exact"/>
              <w:rPr>
                <w:rStyle w:val="4"/>
                <w:rFonts w:ascii="宋体" w:hAnsi="宋体"/>
                <w:szCs w:val="21"/>
              </w:rPr>
            </w:pPr>
            <w:r>
              <w:rPr>
                <w:rStyle w:val="4"/>
                <w:rFonts w:hint="eastAsia" w:ascii="宋体" w:hAnsi="宋体" w:cs="宋体"/>
                <w:b/>
                <w:bCs/>
                <w:szCs w:val="21"/>
              </w:rPr>
              <w:t>交货方式：</w:t>
            </w:r>
            <w:r>
              <w:rPr>
                <w:rStyle w:val="4"/>
                <w:rFonts w:hint="eastAsia" w:ascii="宋体" w:hAnsi="宋体" w:cs="宋体"/>
                <w:szCs w:val="21"/>
              </w:rPr>
              <w:t>货到采购人指定校内安装位置，包括货物安装、调试、培训及验收合格（交钥匙项目）</w:t>
            </w:r>
          </w:p>
        </w:tc>
      </w:tr>
      <w:tr w14:paraId="0B6695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849" w:type="dxa"/>
            <w:noWrap w:val="0"/>
            <w:vAlign w:val="center"/>
          </w:tcPr>
          <w:p w14:paraId="0D9685F3">
            <w:pPr>
              <w:pStyle w:val="6"/>
              <w:adjustRightInd w:val="0"/>
              <w:snapToGrid w:val="0"/>
              <w:spacing w:line="300" w:lineRule="exact"/>
              <w:rPr>
                <w:rStyle w:val="4"/>
                <w:rFonts w:ascii="宋体" w:hAnsi="宋体"/>
                <w:szCs w:val="21"/>
              </w:rPr>
            </w:pPr>
            <w:r>
              <w:rPr>
                <w:rStyle w:val="4"/>
                <w:rFonts w:hint="eastAsia" w:ascii="宋体" w:hAnsi="宋体"/>
                <w:szCs w:val="21"/>
              </w:rPr>
              <w:t>服务质量保证期</w:t>
            </w:r>
          </w:p>
        </w:tc>
        <w:tc>
          <w:tcPr>
            <w:tcW w:w="7010" w:type="dxa"/>
            <w:noWrap w:val="0"/>
            <w:vAlign w:val="center"/>
          </w:tcPr>
          <w:p w14:paraId="5225908B">
            <w:pPr>
              <w:pStyle w:val="6"/>
              <w:autoSpaceDE w:val="0"/>
              <w:autoSpaceDN w:val="0"/>
              <w:adjustRightInd w:val="0"/>
              <w:snapToGrid w:val="0"/>
              <w:spacing w:line="300" w:lineRule="exact"/>
              <w:rPr>
                <w:rStyle w:val="4"/>
                <w:rFonts w:ascii="宋体" w:hAnsi="宋体"/>
                <w:b/>
                <w:bCs/>
                <w:szCs w:val="21"/>
              </w:rPr>
            </w:pPr>
            <w:r>
              <w:rPr>
                <w:rStyle w:val="4"/>
                <w:rFonts w:hint="eastAsia" w:ascii="宋体" w:hAnsi="宋体"/>
                <w:b/>
                <w:bCs/>
                <w:szCs w:val="21"/>
              </w:rPr>
              <w:t>整体质保期：整体质保期指每包货物要求的质保最低年限。</w:t>
            </w:r>
          </w:p>
          <w:p w14:paraId="5D19E925">
            <w:pPr>
              <w:pStyle w:val="6"/>
              <w:autoSpaceDE w:val="0"/>
              <w:autoSpaceDN w:val="0"/>
              <w:adjustRightInd w:val="0"/>
              <w:snapToGrid w:val="0"/>
              <w:spacing w:line="300" w:lineRule="exact"/>
              <w:rPr>
                <w:rStyle w:val="4"/>
                <w:rFonts w:ascii="宋体" w:hAnsi="宋体"/>
                <w:b/>
                <w:bCs/>
                <w:szCs w:val="21"/>
                <w:highlight w:val="none"/>
              </w:rPr>
            </w:pPr>
            <w:r>
              <w:rPr>
                <w:rStyle w:val="4"/>
                <w:rFonts w:hint="eastAsia" w:ascii="宋体" w:hAnsi="宋体"/>
                <w:b/>
                <w:bCs/>
                <w:szCs w:val="21"/>
                <w:highlight w:val="none"/>
              </w:rPr>
              <w:t>包一：验收合格后整体质保期</w:t>
            </w:r>
            <w:r>
              <w:rPr>
                <w:rStyle w:val="4"/>
                <w:rFonts w:hint="eastAsia" w:ascii="宋体" w:hAnsi="宋体"/>
                <w:b/>
                <w:bCs/>
                <w:szCs w:val="21"/>
                <w:highlight w:val="none"/>
                <w:lang w:val="en-US" w:eastAsia="zh-CN"/>
              </w:rPr>
              <w:t>1</w:t>
            </w:r>
            <w:r>
              <w:rPr>
                <w:rStyle w:val="4"/>
                <w:rFonts w:hint="eastAsia" w:ascii="宋体" w:hAnsi="宋体"/>
                <w:b/>
                <w:bCs/>
                <w:szCs w:val="21"/>
                <w:highlight w:val="none"/>
              </w:rPr>
              <w:t>年。若招标文件第五章第二节中对保修期或服务期有明确要求的，以明确要求为准。如投标人承诺的质保期优于招标文件规定的，按投标人的质保承诺提供质保服务；如生产厂家的质保期优于招标文件规定的，按生产厂家的质保承诺提供质保服务。</w:t>
            </w:r>
          </w:p>
          <w:p w14:paraId="11D02FEB">
            <w:pPr>
              <w:pStyle w:val="6"/>
              <w:autoSpaceDE w:val="0"/>
              <w:autoSpaceDN w:val="0"/>
              <w:adjustRightInd w:val="0"/>
              <w:snapToGrid w:val="0"/>
              <w:spacing w:line="300" w:lineRule="exact"/>
              <w:rPr>
                <w:rStyle w:val="4"/>
                <w:rFonts w:ascii="Times New Roman" w:hAnsi="Times New Roman"/>
              </w:rPr>
            </w:pPr>
            <w:r>
              <w:rPr>
                <w:rStyle w:val="4"/>
                <w:rFonts w:hint="eastAsia" w:ascii="宋体" w:hAnsi="宋体"/>
                <w:b/>
                <w:bCs/>
                <w:szCs w:val="21"/>
                <w:highlight w:val="none"/>
              </w:rPr>
              <w:t>包二：验收合格后整体质保期1年。若招标文件第五章第二节中对保修期或服务期有明确要求的，以明确要求为准。如</w:t>
            </w:r>
            <w:r>
              <w:rPr>
                <w:rStyle w:val="4"/>
                <w:rFonts w:hint="eastAsia" w:ascii="宋体" w:hAnsi="宋体"/>
                <w:b/>
                <w:bCs/>
                <w:szCs w:val="21"/>
              </w:rPr>
              <w:t>投标人承诺的质保期优于招标文件规定的，按投标人的质保承诺提供质保服务；如生产厂家的质保期优于招标文件规定的，按生产厂家的质保承诺提供质保服务。</w:t>
            </w:r>
          </w:p>
        </w:tc>
      </w:tr>
      <w:tr w14:paraId="59D613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849" w:type="dxa"/>
            <w:noWrap w:val="0"/>
            <w:vAlign w:val="center"/>
          </w:tcPr>
          <w:p w14:paraId="485BD899">
            <w:pPr>
              <w:pStyle w:val="6"/>
              <w:adjustRightInd w:val="0"/>
              <w:snapToGrid w:val="0"/>
              <w:spacing w:line="300" w:lineRule="exact"/>
              <w:rPr>
                <w:rStyle w:val="4"/>
                <w:rFonts w:ascii="宋体" w:hAnsi="宋体"/>
                <w:szCs w:val="21"/>
              </w:rPr>
            </w:pPr>
            <w:r>
              <w:rPr>
                <w:rStyle w:val="4"/>
                <w:rFonts w:hint="eastAsia" w:ascii="宋体" w:hAnsi="宋体"/>
                <w:szCs w:val="21"/>
              </w:rPr>
              <w:t>服务响应时间</w:t>
            </w:r>
          </w:p>
        </w:tc>
        <w:tc>
          <w:tcPr>
            <w:tcW w:w="7010" w:type="dxa"/>
            <w:noWrap w:val="0"/>
            <w:vAlign w:val="center"/>
          </w:tcPr>
          <w:p w14:paraId="3996AA7A">
            <w:pPr>
              <w:pStyle w:val="12"/>
              <w:widowControl/>
              <w:adjustRightInd w:val="0"/>
              <w:snapToGrid w:val="0"/>
              <w:spacing w:line="360" w:lineRule="atLeast"/>
              <w:rPr>
                <w:rStyle w:val="4"/>
                <w:rFonts w:ascii="宋体" w:eastAsia="宋体" w:cs="Times New Roman"/>
              </w:rPr>
            </w:pPr>
            <w:r>
              <w:rPr>
                <w:rStyle w:val="4"/>
                <w:rFonts w:hint="eastAsia" w:ascii="宋体" w:eastAsia="宋体" w:cs="Times New Roman"/>
                <w:szCs w:val="22"/>
              </w:rPr>
              <w:t>1、中标人提供</w:t>
            </w:r>
            <w:r>
              <w:rPr>
                <w:rStyle w:val="4"/>
                <w:rFonts w:ascii="宋体" w:hAnsi="宋体" w:eastAsia="宋体" w:cs="宋体"/>
                <w:kern w:val="0"/>
                <w:szCs w:val="22"/>
              </w:rPr>
              <w:t>7×24小时</w:t>
            </w:r>
            <w:r>
              <w:rPr>
                <w:rStyle w:val="4"/>
                <w:rFonts w:hint="eastAsia" w:ascii="宋体" w:hAnsi="宋体" w:eastAsia="宋体" w:cs="宋体"/>
                <w:kern w:val="0"/>
                <w:szCs w:val="22"/>
              </w:rPr>
              <w:t>故障</w:t>
            </w:r>
            <w:r>
              <w:rPr>
                <w:rStyle w:val="4"/>
                <w:rFonts w:ascii="宋体" w:hAnsi="宋体" w:eastAsia="宋体" w:cs="宋体"/>
                <w:kern w:val="0"/>
                <w:szCs w:val="22"/>
              </w:rPr>
              <w:t>服务</w:t>
            </w:r>
            <w:r>
              <w:rPr>
                <w:rStyle w:val="4"/>
                <w:rFonts w:hint="eastAsia" w:ascii="宋体" w:hAnsi="宋体" w:eastAsia="宋体" w:cs="宋体"/>
                <w:kern w:val="0"/>
                <w:szCs w:val="22"/>
              </w:rPr>
              <w:t>受理</w:t>
            </w:r>
            <w:r>
              <w:rPr>
                <w:rStyle w:val="4"/>
                <w:rFonts w:ascii="宋体" w:hAnsi="宋体" w:eastAsia="宋体" w:cs="宋体"/>
                <w:kern w:val="0"/>
                <w:szCs w:val="22"/>
              </w:rPr>
              <w:t>。对一般故障提供5×8小时的现场支援</w:t>
            </w:r>
            <w:r>
              <w:rPr>
                <w:rStyle w:val="4"/>
                <w:rFonts w:hint="eastAsia" w:ascii="宋体" w:hAnsi="宋体" w:eastAsia="宋体" w:cs="宋体"/>
                <w:kern w:val="0"/>
                <w:szCs w:val="22"/>
              </w:rPr>
              <w:t>，</w:t>
            </w:r>
            <w:r>
              <w:rPr>
                <w:rStyle w:val="4"/>
                <w:rFonts w:hint="eastAsia" w:ascii="宋体" w:eastAsia="宋体" w:cs="Times New Roman"/>
                <w:szCs w:val="22"/>
              </w:rPr>
              <w:t>在接到用户报修通知后电话不能解决的，必须4小时内到达用户现场进行维修，并应在收到用户信息后8小时内排除并交付使用。对</w:t>
            </w:r>
            <w:r>
              <w:rPr>
                <w:rStyle w:val="4"/>
                <w:rFonts w:ascii="宋体" w:hAnsi="宋体" w:eastAsia="宋体" w:cs="宋体"/>
                <w:kern w:val="0"/>
                <w:szCs w:val="22"/>
              </w:rPr>
              <w:t>重大故障提供7×24小时的现场支援，</w:t>
            </w:r>
            <w:r>
              <w:rPr>
                <w:rStyle w:val="4"/>
                <w:rFonts w:hint="eastAsia" w:ascii="宋体" w:hAnsi="宋体" w:eastAsia="宋体" w:cs="宋体"/>
                <w:kern w:val="0"/>
                <w:szCs w:val="22"/>
              </w:rPr>
              <w:t>在5个日历日内</w:t>
            </w:r>
            <w:r>
              <w:rPr>
                <w:rStyle w:val="4"/>
                <w:rFonts w:hint="eastAsia" w:ascii="宋体" w:eastAsia="宋体" w:cs="Times New Roman"/>
                <w:szCs w:val="22"/>
              </w:rPr>
              <w:t>排除解决故障，若5个日历日内不能排除故障，货物的质量保修期自然顺延。</w:t>
            </w:r>
          </w:p>
          <w:p w14:paraId="1ADB723C">
            <w:pPr>
              <w:pStyle w:val="6"/>
              <w:adjustRightInd w:val="0"/>
              <w:snapToGrid w:val="0"/>
              <w:spacing w:line="300" w:lineRule="exact"/>
              <w:rPr>
                <w:rStyle w:val="4"/>
                <w:rFonts w:ascii="宋体" w:hAnsi="宋体"/>
                <w:szCs w:val="21"/>
              </w:rPr>
            </w:pPr>
            <w:r>
              <w:rPr>
                <w:rStyle w:val="4"/>
                <w:rFonts w:hint="eastAsia" w:ascii="宋体" w:hAnsi="宋体"/>
                <w:szCs w:val="21"/>
              </w:rPr>
              <w:t>2、</w:t>
            </w:r>
            <w:r>
              <w:rPr>
                <w:rStyle w:val="4"/>
                <w:rFonts w:ascii="宋体" w:hAnsi="宋体"/>
                <w:szCs w:val="21"/>
              </w:rPr>
              <w:t>质保期内出现任何质量问题（人为破坏或自然灾害等不可抗力除外），由中标人负责（</w:t>
            </w:r>
            <w:r>
              <w:rPr>
                <w:rStyle w:val="4"/>
                <w:rFonts w:hint="eastAsia" w:ascii="宋体" w:hAnsi="宋体"/>
                <w:szCs w:val="21"/>
              </w:rPr>
              <w:t>包含</w:t>
            </w:r>
            <w:r>
              <w:rPr>
                <w:rStyle w:val="4"/>
                <w:rFonts w:ascii="宋体" w:hAnsi="宋体"/>
                <w:szCs w:val="21"/>
              </w:rPr>
              <w:t>全部工时费、材料费、管理费、财务费等等）更换或维修。质保期满后，无论采购人是否另行选择维修供应商，中标人应及时优惠提供所需的备品备件。</w:t>
            </w:r>
          </w:p>
          <w:p w14:paraId="2AA5FC97">
            <w:pPr>
              <w:pStyle w:val="6"/>
              <w:adjustRightInd w:val="0"/>
              <w:snapToGrid w:val="0"/>
              <w:spacing w:line="300" w:lineRule="exact"/>
              <w:rPr>
                <w:rStyle w:val="4"/>
                <w:rFonts w:ascii="宋体" w:hAnsi="宋体"/>
                <w:szCs w:val="21"/>
              </w:rPr>
            </w:pPr>
            <w:r>
              <w:rPr>
                <w:rStyle w:val="4"/>
                <w:rFonts w:hint="eastAsia" w:ascii="宋体" w:hAnsi="宋体"/>
                <w:szCs w:val="21"/>
              </w:rPr>
              <w:t>3、中标人须配备专业的技术人员负责其售后服务工作。</w:t>
            </w:r>
          </w:p>
          <w:p w14:paraId="5DCFA64A">
            <w:pPr>
              <w:pStyle w:val="6"/>
              <w:adjustRightInd w:val="0"/>
              <w:snapToGrid w:val="0"/>
              <w:spacing w:line="300" w:lineRule="exact"/>
              <w:rPr>
                <w:rStyle w:val="4"/>
                <w:rFonts w:ascii="宋体" w:hAnsi="宋体"/>
                <w:szCs w:val="21"/>
              </w:rPr>
            </w:pPr>
            <w:r>
              <w:rPr>
                <w:rStyle w:val="4"/>
                <w:rFonts w:hint="eastAsia" w:ascii="宋体" w:hAnsi="宋体" w:cs="宋体"/>
                <w:b/>
                <w:bCs/>
                <w:szCs w:val="21"/>
              </w:rPr>
              <w:t>注：如招标文件第五章第二节中有特殊要求的，以特殊要求为准。</w:t>
            </w:r>
          </w:p>
        </w:tc>
      </w:tr>
      <w:tr w14:paraId="24BA57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39" w:hRule="atLeast"/>
          <w:jc w:val="center"/>
        </w:trPr>
        <w:tc>
          <w:tcPr>
            <w:tcW w:w="1849" w:type="dxa"/>
            <w:noWrap w:val="0"/>
            <w:vAlign w:val="center"/>
          </w:tcPr>
          <w:p w14:paraId="549DA5A1">
            <w:pPr>
              <w:pStyle w:val="6"/>
              <w:adjustRightInd w:val="0"/>
              <w:snapToGrid w:val="0"/>
              <w:spacing w:line="300" w:lineRule="exact"/>
              <w:rPr>
                <w:rStyle w:val="4"/>
                <w:rFonts w:ascii="宋体" w:hAnsi="宋体"/>
                <w:szCs w:val="21"/>
              </w:rPr>
            </w:pPr>
            <w:r>
              <w:rPr>
                <w:rStyle w:val="4"/>
                <w:rFonts w:hint="eastAsia" w:ascii="宋体" w:hAnsi="宋体"/>
                <w:szCs w:val="21"/>
              </w:rPr>
              <w:t>合同价款支付方式</w:t>
            </w:r>
            <w:r>
              <w:rPr>
                <w:rStyle w:val="4"/>
                <w:rFonts w:hint="eastAsia" w:ascii="宋体" w:hAnsi="宋体"/>
                <w:bCs/>
                <w:szCs w:val="21"/>
              </w:rPr>
              <w:t>和条件</w:t>
            </w:r>
          </w:p>
        </w:tc>
        <w:tc>
          <w:tcPr>
            <w:tcW w:w="7010" w:type="dxa"/>
            <w:noWrap w:val="0"/>
            <w:vAlign w:val="center"/>
          </w:tcPr>
          <w:p w14:paraId="1F1583F1">
            <w:pPr>
              <w:pStyle w:val="6"/>
              <w:adjustRightInd w:val="0"/>
              <w:snapToGrid w:val="0"/>
              <w:spacing w:line="300" w:lineRule="exact"/>
              <w:rPr>
                <w:rStyle w:val="4"/>
                <w:rFonts w:ascii="宋体" w:hAnsi="宋体"/>
                <w:szCs w:val="21"/>
              </w:rPr>
            </w:pPr>
            <w:r>
              <w:rPr>
                <w:rStyle w:val="4"/>
                <w:rFonts w:hint="eastAsia" w:ascii="宋体" w:hAnsi="宋体"/>
                <w:b/>
                <w:bCs/>
                <w:szCs w:val="21"/>
              </w:rPr>
              <w:t>支付方式：</w:t>
            </w:r>
            <w:r>
              <w:rPr>
                <w:rStyle w:val="4"/>
                <w:rFonts w:hint="eastAsia" w:ascii="宋体" w:hAnsi="宋体"/>
                <w:szCs w:val="21"/>
              </w:rPr>
              <w:t>本项目没有预付款。</w:t>
            </w:r>
          </w:p>
          <w:p w14:paraId="15DE6F64">
            <w:pPr>
              <w:pStyle w:val="6"/>
              <w:adjustRightInd w:val="0"/>
              <w:snapToGrid w:val="0"/>
              <w:spacing w:line="300" w:lineRule="exact"/>
              <w:rPr>
                <w:rStyle w:val="4"/>
                <w:rFonts w:ascii="宋体" w:hAnsi="宋体"/>
                <w:szCs w:val="21"/>
              </w:rPr>
            </w:pPr>
            <w:r>
              <w:rPr>
                <w:rStyle w:val="4"/>
                <w:rFonts w:hint="eastAsia" w:ascii="宋体" w:hAnsi="宋体"/>
                <w:b/>
                <w:bCs/>
                <w:szCs w:val="21"/>
              </w:rPr>
              <w:t>支付条件：</w:t>
            </w:r>
            <w:r>
              <w:rPr>
                <w:rStyle w:val="4"/>
                <w:rFonts w:hint="eastAsia" w:ascii="宋体" w:hAnsi="宋体" w:cs="宋体"/>
                <w:b/>
                <w:bCs/>
                <w:szCs w:val="21"/>
                <w:lang w:bidi="ar"/>
              </w:rPr>
              <w:t>货到安装调试并验收合格后，由湖南农业大学向中标人支付95%的合同款；待中标人所提供的货物全部安装调试完毕，验收合格运行一年后，</w:t>
            </w:r>
            <w:r>
              <w:rPr>
                <w:rStyle w:val="4"/>
                <w:rFonts w:hint="eastAsia" w:ascii="宋体" w:hAnsi="宋体" w:cs="宋体"/>
                <w:b/>
                <w:bCs/>
                <w:spacing w:val="5"/>
                <w:szCs w:val="21"/>
                <w:lang w:bidi="ar"/>
              </w:rPr>
              <w:t>一年后无质量问题、售后服务纠纷及其他经济法律纠纷等一次性无息付清余下的5%。</w:t>
            </w:r>
            <w:r>
              <w:rPr>
                <w:rStyle w:val="4"/>
                <w:rFonts w:hint="eastAsia" w:ascii="宋体" w:hAnsi="宋体" w:cs="宋体"/>
                <w:b/>
                <w:bCs/>
                <w:szCs w:val="21"/>
                <w:lang w:bidi="ar"/>
              </w:rPr>
              <w:t>(尾款不计利息)</w:t>
            </w:r>
          </w:p>
        </w:tc>
      </w:tr>
      <w:tr w14:paraId="74E212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849" w:type="dxa"/>
            <w:noWrap w:val="0"/>
            <w:vAlign w:val="center"/>
          </w:tcPr>
          <w:p w14:paraId="08B693FF">
            <w:pPr>
              <w:pStyle w:val="6"/>
              <w:adjustRightInd w:val="0"/>
              <w:snapToGrid w:val="0"/>
              <w:spacing w:line="300" w:lineRule="exact"/>
              <w:rPr>
                <w:rStyle w:val="4"/>
                <w:rFonts w:ascii="宋体" w:hAnsi="宋体"/>
                <w:szCs w:val="21"/>
              </w:rPr>
            </w:pPr>
            <w:r>
              <w:rPr>
                <w:rStyle w:val="4"/>
                <w:rFonts w:ascii="宋体" w:hAnsi="宋体"/>
                <w:szCs w:val="21"/>
              </w:rPr>
              <w:t>中标人</w:t>
            </w:r>
            <w:r>
              <w:rPr>
                <w:rStyle w:val="4"/>
                <w:rFonts w:hint="eastAsia" w:ascii="宋体" w:hAnsi="宋体"/>
                <w:szCs w:val="21"/>
              </w:rPr>
              <w:t>提供的其他服务</w:t>
            </w:r>
          </w:p>
        </w:tc>
        <w:tc>
          <w:tcPr>
            <w:tcW w:w="7010" w:type="dxa"/>
            <w:noWrap w:val="0"/>
            <w:vAlign w:val="center"/>
          </w:tcPr>
          <w:p w14:paraId="3CED4EE7">
            <w:pPr>
              <w:pStyle w:val="6"/>
              <w:adjustRightInd w:val="0"/>
              <w:snapToGrid w:val="0"/>
              <w:spacing w:line="300" w:lineRule="exact"/>
              <w:rPr>
                <w:rStyle w:val="4"/>
                <w:rFonts w:ascii="宋体" w:hAnsi="宋体"/>
                <w:b/>
                <w:bCs/>
                <w:szCs w:val="21"/>
              </w:rPr>
            </w:pPr>
            <w:r>
              <w:rPr>
                <w:rStyle w:val="4"/>
                <w:rFonts w:ascii="宋体" w:hAnsi="宋体"/>
                <w:b/>
                <w:bCs/>
                <w:szCs w:val="21"/>
              </w:rPr>
              <w:t>一、质量保证</w:t>
            </w:r>
          </w:p>
          <w:p w14:paraId="662FDA58">
            <w:pPr>
              <w:pStyle w:val="6"/>
              <w:adjustRightInd w:val="0"/>
              <w:snapToGrid w:val="0"/>
              <w:spacing w:line="300" w:lineRule="exact"/>
              <w:rPr>
                <w:rStyle w:val="4"/>
                <w:rFonts w:ascii="宋体" w:hAnsi="宋体"/>
                <w:szCs w:val="21"/>
              </w:rPr>
            </w:pPr>
            <w:r>
              <w:rPr>
                <w:rStyle w:val="4"/>
                <w:rFonts w:ascii="宋体" w:hAnsi="宋体"/>
                <w:szCs w:val="21"/>
              </w:rPr>
              <w:t>1、中标人应保证货物是已定型上市销售的全新、原产地、原包装、手续合法完整、渠道正规的产品，完全符合合同规定质量、规格和性能的要求。</w:t>
            </w:r>
          </w:p>
          <w:p w14:paraId="4985D200">
            <w:pPr>
              <w:pStyle w:val="6"/>
              <w:adjustRightInd w:val="0"/>
              <w:snapToGrid w:val="0"/>
              <w:spacing w:line="300" w:lineRule="exact"/>
              <w:rPr>
                <w:rStyle w:val="4"/>
                <w:rFonts w:ascii="宋体" w:hAnsi="宋体"/>
                <w:szCs w:val="21"/>
              </w:rPr>
            </w:pPr>
            <w:r>
              <w:rPr>
                <w:rStyle w:val="4"/>
                <w:rFonts w:ascii="宋体" w:hAnsi="宋体"/>
                <w:szCs w:val="21"/>
              </w:rPr>
              <w:t>2、中标人必须严格遵守《产品质量法》，在投标书中对产品质量保证体系做出说明，并完整地履行质保期内的现场维修服务承诺。</w:t>
            </w:r>
          </w:p>
          <w:p w14:paraId="1418F83E">
            <w:pPr>
              <w:pStyle w:val="6"/>
              <w:adjustRightInd w:val="0"/>
              <w:snapToGrid w:val="0"/>
              <w:spacing w:line="300" w:lineRule="exact"/>
              <w:rPr>
                <w:rStyle w:val="4"/>
                <w:rFonts w:ascii="宋体" w:hAnsi="宋体"/>
                <w:b/>
                <w:bCs/>
                <w:szCs w:val="21"/>
              </w:rPr>
            </w:pPr>
            <w:r>
              <w:rPr>
                <w:rStyle w:val="4"/>
                <w:rFonts w:ascii="宋体" w:hAnsi="宋体"/>
                <w:b/>
                <w:bCs/>
                <w:szCs w:val="21"/>
              </w:rPr>
              <w:t>二、产品安装、调试及项目实施</w:t>
            </w:r>
          </w:p>
          <w:p w14:paraId="71492094">
            <w:pPr>
              <w:pStyle w:val="6"/>
              <w:adjustRightInd w:val="0"/>
              <w:snapToGrid w:val="0"/>
              <w:spacing w:line="300" w:lineRule="exact"/>
              <w:rPr>
                <w:rStyle w:val="4"/>
                <w:rFonts w:ascii="宋体" w:hAnsi="宋体"/>
                <w:szCs w:val="21"/>
              </w:rPr>
            </w:pPr>
            <w:r>
              <w:rPr>
                <w:rStyle w:val="4"/>
                <w:rFonts w:ascii="宋体" w:hAnsi="宋体"/>
                <w:szCs w:val="21"/>
              </w:rPr>
              <w:t>1、包装：原厂原包装送货，货到</w:t>
            </w:r>
            <w:r>
              <w:rPr>
                <w:rStyle w:val="4"/>
                <w:rFonts w:hint="eastAsia" w:ascii="宋体" w:hAnsi="宋体"/>
                <w:szCs w:val="21"/>
              </w:rPr>
              <w:t>采购人</w:t>
            </w:r>
            <w:r>
              <w:rPr>
                <w:rStyle w:val="4"/>
                <w:rFonts w:ascii="宋体" w:hAnsi="宋体"/>
                <w:szCs w:val="21"/>
              </w:rPr>
              <w:t>指定地点，经</w:t>
            </w:r>
            <w:r>
              <w:rPr>
                <w:rStyle w:val="4"/>
                <w:rFonts w:hint="eastAsia" w:ascii="宋体" w:hAnsi="宋体"/>
                <w:szCs w:val="21"/>
              </w:rPr>
              <w:t>采购人</w:t>
            </w:r>
            <w:r>
              <w:rPr>
                <w:rStyle w:val="4"/>
                <w:rFonts w:ascii="宋体" w:hAnsi="宋体"/>
                <w:szCs w:val="21"/>
              </w:rPr>
              <w:t>指定人员验证后方可开箱。</w:t>
            </w:r>
          </w:p>
          <w:p w14:paraId="2E785ACC">
            <w:pPr>
              <w:pStyle w:val="6"/>
              <w:adjustRightInd w:val="0"/>
              <w:snapToGrid w:val="0"/>
              <w:spacing w:line="300" w:lineRule="exact"/>
              <w:rPr>
                <w:rStyle w:val="4"/>
                <w:rFonts w:ascii="宋体" w:hAnsi="宋体"/>
                <w:szCs w:val="21"/>
              </w:rPr>
            </w:pPr>
            <w:r>
              <w:rPr>
                <w:rStyle w:val="4"/>
                <w:rFonts w:ascii="宋体" w:hAnsi="宋体"/>
                <w:szCs w:val="21"/>
              </w:rPr>
              <w:t>2、安装：本项目的安装由中标人负责，中标人应对产品和系统安装提供全面的技术服务与支持，为顺利安装运行提供完全技术保证。</w:t>
            </w:r>
          </w:p>
          <w:p w14:paraId="7075A963">
            <w:pPr>
              <w:pStyle w:val="6"/>
              <w:adjustRightInd w:val="0"/>
              <w:snapToGrid w:val="0"/>
              <w:spacing w:line="300" w:lineRule="exact"/>
              <w:rPr>
                <w:rStyle w:val="4"/>
                <w:rFonts w:ascii="宋体" w:hAnsi="宋体"/>
                <w:szCs w:val="21"/>
              </w:rPr>
            </w:pPr>
            <w:r>
              <w:rPr>
                <w:rStyle w:val="4"/>
                <w:rFonts w:ascii="宋体" w:hAnsi="宋体"/>
                <w:szCs w:val="21"/>
              </w:rPr>
              <w:t>3、调试：调试由中标人负责，中标人为运行调试提供技术和产品的必要条件。并应向</w:t>
            </w:r>
            <w:r>
              <w:rPr>
                <w:rStyle w:val="4"/>
                <w:rFonts w:hint="eastAsia" w:ascii="宋体" w:hAnsi="宋体"/>
                <w:szCs w:val="21"/>
              </w:rPr>
              <w:t>采购人</w:t>
            </w:r>
            <w:r>
              <w:rPr>
                <w:rStyle w:val="4"/>
                <w:rFonts w:ascii="宋体" w:hAnsi="宋体"/>
                <w:szCs w:val="21"/>
              </w:rPr>
              <w:t>有关人员讲解产品和系统结构与计划调试方法，包括系统的性能、技术特点、调试技巧等有关技术原理、方法，解决调试过程中出现的技术问题。</w:t>
            </w:r>
          </w:p>
          <w:p w14:paraId="311144CB">
            <w:pPr>
              <w:pStyle w:val="6"/>
              <w:adjustRightInd w:val="0"/>
              <w:snapToGrid w:val="0"/>
              <w:spacing w:line="300" w:lineRule="exact"/>
              <w:rPr>
                <w:rStyle w:val="4"/>
                <w:rFonts w:ascii="宋体" w:hAnsi="宋体"/>
                <w:szCs w:val="21"/>
              </w:rPr>
            </w:pPr>
            <w:r>
              <w:rPr>
                <w:rStyle w:val="4"/>
                <w:rFonts w:ascii="宋体" w:hAnsi="宋体"/>
                <w:szCs w:val="21"/>
              </w:rPr>
              <w:t>4、验收：中标人在完成合同规定的内容后（安装调试合格），可向采购人申请验收；验收依据招标文件、投标文件、采购合同及其它有效的补充文件。</w:t>
            </w:r>
          </w:p>
          <w:p w14:paraId="18450228">
            <w:pPr>
              <w:pStyle w:val="6"/>
              <w:rPr>
                <w:rStyle w:val="4"/>
                <w:rFonts w:ascii="宋体" w:hAnsi="宋体"/>
                <w:szCs w:val="21"/>
              </w:rPr>
            </w:pPr>
            <w:r>
              <w:rPr>
                <w:rStyle w:val="4"/>
                <w:rFonts w:hint="eastAsia" w:ascii="宋体" w:hAnsi="宋体"/>
                <w:szCs w:val="21"/>
              </w:rPr>
              <w:t>5、具有有专门负责的维修工程师和专业的产品应用支持工程师。</w:t>
            </w:r>
          </w:p>
          <w:p w14:paraId="03541440">
            <w:pPr>
              <w:pStyle w:val="6"/>
              <w:adjustRightInd w:val="0"/>
              <w:snapToGrid w:val="0"/>
              <w:spacing w:line="300" w:lineRule="exact"/>
              <w:rPr>
                <w:rStyle w:val="4"/>
                <w:rFonts w:ascii="宋体" w:hAnsi="宋体"/>
                <w:b/>
                <w:bCs/>
                <w:szCs w:val="21"/>
              </w:rPr>
            </w:pPr>
            <w:r>
              <w:rPr>
                <w:rStyle w:val="4"/>
                <w:rFonts w:hint="eastAsia" w:ascii="宋体" w:hAnsi="宋体"/>
                <w:b/>
                <w:bCs/>
                <w:szCs w:val="21"/>
              </w:rPr>
              <w:t>三、</w:t>
            </w:r>
            <w:r>
              <w:rPr>
                <w:rStyle w:val="4"/>
                <w:rFonts w:ascii="宋体" w:hAnsi="宋体"/>
                <w:b/>
                <w:bCs/>
                <w:szCs w:val="21"/>
              </w:rPr>
              <w:t>技术培训</w:t>
            </w:r>
          </w:p>
          <w:p w14:paraId="605213CC">
            <w:pPr>
              <w:pStyle w:val="6"/>
              <w:adjustRightInd w:val="0"/>
              <w:snapToGrid w:val="0"/>
              <w:spacing w:line="300" w:lineRule="exact"/>
              <w:rPr>
                <w:rStyle w:val="4"/>
                <w:rFonts w:ascii="宋体" w:hAnsi="宋体"/>
                <w:szCs w:val="21"/>
              </w:rPr>
            </w:pPr>
            <w:r>
              <w:rPr>
                <w:rStyle w:val="4"/>
                <w:rFonts w:hint="eastAsia" w:ascii="宋体" w:hAnsi="宋体"/>
                <w:szCs w:val="21"/>
              </w:rPr>
              <w:t>1、中标人</w:t>
            </w:r>
            <w:r>
              <w:rPr>
                <w:rStyle w:val="4"/>
                <w:rFonts w:ascii="宋体" w:hAnsi="宋体"/>
                <w:szCs w:val="21"/>
              </w:rPr>
              <w:t>应科学制定相配套的培训计划，对</w:t>
            </w:r>
            <w:r>
              <w:rPr>
                <w:rStyle w:val="4"/>
                <w:rFonts w:hint="eastAsia" w:ascii="宋体" w:hAnsi="宋体"/>
                <w:szCs w:val="21"/>
              </w:rPr>
              <w:t>采购人</w:t>
            </w:r>
            <w:r>
              <w:rPr>
                <w:rStyle w:val="4"/>
                <w:rFonts w:ascii="宋体" w:hAnsi="宋体"/>
                <w:szCs w:val="21"/>
              </w:rPr>
              <w:t>的使用操作人员进行切实有效的培训，确保产品能良好地运作。</w:t>
            </w:r>
          </w:p>
          <w:p w14:paraId="499659F4">
            <w:pPr>
              <w:pStyle w:val="6"/>
              <w:rPr>
                <w:rStyle w:val="4"/>
                <w:rFonts w:ascii="Times New Roman" w:hAnsi="Times New Roman"/>
              </w:rPr>
            </w:pPr>
            <w:r>
              <w:rPr>
                <w:rStyle w:val="4"/>
                <w:rFonts w:hint="eastAsia" w:ascii="宋体" w:hAnsi="宋体"/>
                <w:szCs w:val="21"/>
              </w:rPr>
              <w:t>2、中标人提供对用户的技术培训和相关的技术资料，并提供2个厂家培训中心培训名额，厂家培训的差旅费用由中标人承担。</w:t>
            </w:r>
          </w:p>
          <w:p w14:paraId="0C11462C">
            <w:pPr>
              <w:pStyle w:val="6"/>
              <w:adjustRightInd w:val="0"/>
              <w:snapToGrid w:val="0"/>
              <w:spacing w:line="300" w:lineRule="exact"/>
              <w:rPr>
                <w:rStyle w:val="4"/>
                <w:rFonts w:ascii="宋体" w:hAnsi="宋体"/>
                <w:szCs w:val="21"/>
              </w:rPr>
            </w:pPr>
            <w:r>
              <w:rPr>
                <w:rStyle w:val="4"/>
                <w:rFonts w:hint="eastAsia" w:ascii="宋体" w:hAnsi="宋体" w:cs="宋体"/>
                <w:b/>
                <w:bCs/>
                <w:szCs w:val="21"/>
              </w:rPr>
              <w:t>注：如招标文件第五章第二节中有特殊要求的，以特殊要求为准。</w:t>
            </w:r>
          </w:p>
        </w:tc>
      </w:tr>
      <w:tr w14:paraId="0B8227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849" w:type="dxa"/>
            <w:noWrap w:val="0"/>
            <w:vAlign w:val="center"/>
          </w:tcPr>
          <w:p w14:paraId="794043CA">
            <w:pPr>
              <w:pStyle w:val="6"/>
              <w:adjustRightInd w:val="0"/>
              <w:snapToGrid w:val="0"/>
              <w:spacing w:line="300" w:lineRule="exact"/>
              <w:rPr>
                <w:rStyle w:val="4"/>
                <w:rFonts w:ascii="宋体" w:hAnsi="宋体"/>
                <w:bCs/>
                <w:szCs w:val="21"/>
              </w:rPr>
            </w:pPr>
            <w:r>
              <w:rPr>
                <w:rStyle w:val="4"/>
                <w:rFonts w:hint="eastAsia" w:ascii="宋体" w:hAnsi="宋体"/>
                <w:szCs w:val="21"/>
              </w:rPr>
              <w:t>解决争议的方式</w:t>
            </w:r>
          </w:p>
        </w:tc>
        <w:tc>
          <w:tcPr>
            <w:tcW w:w="7010" w:type="dxa"/>
            <w:noWrap w:val="0"/>
            <w:vAlign w:val="center"/>
          </w:tcPr>
          <w:p w14:paraId="4EC6B35D">
            <w:pPr>
              <w:pStyle w:val="6"/>
              <w:adjustRightInd w:val="0"/>
              <w:snapToGrid w:val="0"/>
              <w:spacing w:line="300" w:lineRule="exact"/>
              <w:rPr>
                <w:rStyle w:val="4"/>
                <w:rFonts w:ascii="宋体" w:hAnsi="宋体"/>
                <w:szCs w:val="21"/>
              </w:rPr>
            </w:pPr>
            <w:r>
              <w:rPr>
                <w:rStyle w:val="4"/>
                <w:rFonts w:hint="eastAsia" w:ascii="宋体" w:hAnsi="宋体"/>
                <w:szCs w:val="21"/>
              </w:rPr>
              <w:t>☑诉讼</w:t>
            </w:r>
          </w:p>
          <w:p w14:paraId="1A697631">
            <w:pPr>
              <w:pStyle w:val="6"/>
              <w:adjustRightInd w:val="0"/>
              <w:snapToGrid w:val="0"/>
              <w:spacing w:line="300" w:lineRule="exact"/>
              <w:rPr>
                <w:rStyle w:val="4"/>
                <w:rFonts w:ascii="宋体" w:hAnsi="宋体"/>
                <w:szCs w:val="21"/>
              </w:rPr>
            </w:pPr>
            <w:r>
              <w:rPr>
                <w:rStyle w:val="4"/>
                <w:rFonts w:hint="eastAsia" w:ascii="宋体" w:hAnsi="宋体"/>
                <w:szCs w:val="21"/>
              </w:rPr>
              <w:t>□仲裁</w:t>
            </w:r>
          </w:p>
        </w:tc>
      </w:tr>
      <w:tr w14:paraId="0F261D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1849" w:type="dxa"/>
            <w:noWrap w:val="0"/>
            <w:vAlign w:val="center"/>
          </w:tcPr>
          <w:p w14:paraId="78BE8F50">
            <w:pPr>
              <w:pStyle w:val="6"/>
              <w:adjustRightInd w:val="0"/>
              <w:snapToGrid w:val="0"/>
              <w:spacing w:line="300" w:lineRule="exact"/>
              <w:rPr>
                <w:rStyle w:val="4"/>
                <w:rFonts w:ascii="宋体" w:hAnsi="宋体"/>
                <w:szCs w:val="21"/>
              </w:rPr>
            </w:pPr>
            <w:r>
              <w:rPr>
                <w:rStyle w:val="4"/>
                <w:rFonts w:hint="eastAsia" w:ascii="宋体" w:hAnsi="宋体"/>
                <w:bCs/>
                <w:szCs w:val="21"/>
              </w:rPr>
              <w:t>合同未尽事项</w:t>
            </w:r>
          </w:p>
        </w:tc>
        <w:tc>
          <w:tcPr>
            <w:tcW w:w="7010" w:type="dxa"/>
            <w:noWrap w:val="0"/>
            <w:vAlign w:val="center"/>
          </w:tcPr>
          <w:p w14:paraId="360C7222">
            <w:pPr>
              <w:pStyle w:val="6"/>
              <w:adjustRightInd w:val="0"/>
              <w:snapToGrid w:val="0"/>
              <w:spacing w:line="300" w:lineRule="exact"/>
              <w:rPr>
                <w:rStyle w:val="4"/>
                <w:rFonts w:ascii="宋体" w:hAnsi="宋体"/>
                <w:szCs w:val="21"/>
                <w:u w:val="single"/>
              </w:rPr>
            </w:pPr>
            <w:r>
              <w:rPr>
                <w:rStyle w:val="4"/>
                <w:rFonts w:hint="eastAsia" w:ascii="宋体" w:hAnsi="宋体"/>
                <w:szCs w:val="21"/>
              </w:rPr>
              <w:t>协商解决</w:t>
            </w:r>
          </w:p>
        </w:tc>
      </w:tr>
    </w:tbl>
    <w:p w14:paraId="474DDB5C">
      <w:pPr>
        <w:pStyle w:val="5"/>
        <w:spacing w:after="120"/>
        <w:ind w:firstLine="482" w:firstLineChars="200"/>
        <w:rPr>
          <w:rStyle w:val="4"/>
          <w:rFonts w:ascii="宋体" w:hAnsi="宋体" w:cs="宋体"/>
          <w:b/>
          <w:sz w:val="24"/>
          <w:szCs w:val="24"/>
          <w:lang w:bidi="ar"/>
        </w:rPr>
      </w:pPr>
    </w:p>
    <w:p w14:paraId="29EC0AEB">
      <w:pPr>
        <w:pStyle w:val="5"/>
        <w:spacing w:after="120"/>
        <w:ind w:firstLine="482" w:firstLineChars="200"/>
        <w:rPr>
          <w:rStyle w:val="4"/>
          <w:rFonts w:ascii="宋体" w:hAnsi="宋体" w:cs="宋体"/>
          <w:b/>
          <w:sz w:val="24"/>
          <w:szCs w:val="24"/>
          <w:lang w:bidi="ar"/>
        </w:rPr>
      </w:pPr>
    </w:p>
    <w:p w14:paraId="3D18361E">
      <w:pPr>
        <w:pStyle w:val="5"/>
        <w:spacing w:after="120"/>
        <w:ind w:firstLine="482" w:firstLineChars="200"/>
        <w:rPr>
          <w:rStyle w:val="4"/>
          <w:rFonts w:ascii="宋体" w:hAnsi="宋体" w:cs="宋体"/>
          <w:szCs w:val="32"/>
        </w:rPr>
      </w:pPr>
      <w:r>
        <w:rPr>
          <w:rStyle w:val="4"/>
          <w:rFonts w:hint="eastAsia" w:ascii="宋体" w:hAnsi="宋体" w:cs="宋体"/>
          <w:b/>
          <w:sz w:val="24"/>
          <w:szCs w:val="24"/>
          <w:lang w:bidi="ar"/>
        </w:rPr>
        <w:t>对于上述项目要求，供应商应在投标文件中进行回应，作出承诺及说明。★条款为废标条款，其他条款未按要求提供证明材料视为负偏离。</w:t>
      </w:r>
    </w:p>
    <w:p w14:paraId="18CF9B1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9958A4"/>
    <w:multiLevelType w:val="singleLevel"/>
    <w:tmpl w:val="7C9958A4"/>
    <w:lvl w:ilvl="0" w:tentative="0">
      <w:start w:val="1"/>
      <w:numFmt w:val="chineseCounting"/>
      <w:suff w:val="space"/>
      <w:lvlText w:val="第%1节"/>
      <w:lvlJc w:val="left"/>
      <w:rPr>
        <w:rFonts w:hint="eastAsia"/>
      </w:rPr>
    </w:lvl>
  </w:abstractNum>
  <w:abstractNum w:abstractNumId="1">
    <w:nsid w:val="7C9958A5"/>
    <w:multiLevelType w:val="singleLevel"/>
    <w:tmpl w:val="7C9958A5"/>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E5226A"/>
    <w:rsid w:val="26194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ahoma" w:hAnsi="Tahoma" w:eastAsia="宋体" w:cs="宋体"/>
      <w:b/>
      <w:kern w:val="44"/>
      <w:sz w:val="28"/>
      <w:szCs w:val="2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
    <w:name w:val="正文_1"/>
    <w:next w:val="7"/>
    <w:qFormat/>
    <w:uiPriority w:val="0"/>
    <w:pPr>
      <w:widowControl w:val="0"/>
      <w:jc w:val="both"/>
    </w:pPr>
    <w:rPr>
      <w:rFonts w:ascii="Calibri" w:hAnsi="Calibri" w:eastAsia="宋体" w:cs="Times New Roman"/>
      <w:kern w:val="2"/>
      <w:sz w:val="21"/>
      <w:szCs w:val="22"/>
      <w:lang w:val="en-US" w:eastAsia="zh-CN" w:bidi="ar-SA"/>
    </w:rPr>
  </w:style>
  <w:style w:type="paragraph" w:customStyle="1" w:styleId="7">
    <w:name w:val="正文文本_0"/>
    <w:qFormat/>
    <w:uiPriority w:val="0"/>
    <w:pPr>
      <w:widowControl w:val="0"/>
      <w:spacing w:after="120"/>
      <w:jc w:val="both"/>
    </w:pPr>
    <w:rPr>
      <w:rFonts w:ascii="Calibri" w:hAnsi="Calibri" w:eastAsia="宋体" w:cs="Times New Roman"/>
      <w:kern w:val="0"/>
      <w:sz w:val="20"/>
      <w:szCs w:val="24"/>
      <w:lang w:val="en-US" w:eastAsia="zh-CN" w:bidi="ar-SA"/>
    </w:rPr>
  </w:style>
  <w:style w:type="paragraph" w:customStyle="1" w:styleId="8">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9">
    <w:name w:val="正文_2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0">
    <w:name w:val="批注文字_0"/>
    <w:semiHidden/>
    <w:qFormat/>
    <w:uiPriority w:val="0"/>
    <w:pPr>
      <w:widowControl w:val="0"/>
      <w:jc w:val="left"/>
    </w:pPr>
    <w:rPr>
      <w:rFonts w:ascii="Calibri" w:hAnsi="Calibri" w:eastAsia="宋体" w:cs="Times New Roman"/>
      <w:kern w:val="2"/>
      <w:sz w:val="21"/>
      <w:szCs w:val="22"/>
      <w:lang w:val="en-US" w:eastAsia="zh-CN" w:bidi="ar-SA"/>
    </w:rPr>
  </w:style>
  <w:style w:type="paragraph" w:customStyle="1" w:styleId="11">
    <w:name w:val="正文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
    <w:name w:val="p_MsoNormal"/>
    <w:qFormat/>
    <w:uiPriority w:val="0"/>
    <w:pPr>
      <w:widowControl w:val="0"/>
      <w:jc w:val="both"/>
    </w:pPr>
    <w:rPr>
      <w:rFonts w:ascii="Calibri" w:hAnsi="Calibri" w:eastAsia="Calibri" w:cs="Calibri"/>
      <w:kern w:val="2"/>
      <w:sz w:val="21"/>
      <w:szCs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2023-09-26T02:24:00Z</dcterms:created>
  <dc:creator>Administrator</dc:creator>
  <cp:lastModifiedBy>天天向上</cp:lastModifiedBy>
  <dcterms:modified xsi:type="dcterms:W3CDTF">2025-08-21T09:06:59Z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785BBB9E315648898007344248C4A034_12</vt:lpwstr>
  </property>
  <property fmtid="{D5CDD505-2E9C-101B-9397-08002B2CF9AE}" pid="4" name="KSOTemplateDocerSaveRecord">
    <vt:lpwstr>eyJoZGlkIjoiN2EzYzVlMTNlYTA2YjZkMGE4OWM2ZjBmZDg5NWJjNjMiLCJ1c2VySWQiOiI1MDQ0OTAzNzgifQ==</vt:lpwstr>
  </property>
</Properties>
</file>