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4"/>
        <w:tblpPr w:leftFromText="180" w:rightFromText="180" w:vertAnchor="text" w:horzAnchor="page" w:tblpX="7022" w:tblpY="-7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600" w:type="dxa"/>
          </w:tcPr>
          <w:p>
            <w:pPr>
              <w:spacing w:line="240" w:lineRule="auto"/>
              <w:ind w:firstLine="0" w:firstLineChars="0"/>
              <w:rPr>
                <w:b/>
                <w:sz w:val="21"/>
                <w:szCs w:val="21"/>
              </w:rPr>
            </w:pPr>
            <w:bookmarkStart w:id="0" w:name="_Toc517447488"/>
            <w:r>
              <w:rPr>
                <w:rFonts w:hint="eastAsia"/>
                <w:b/>
                <w:sz w:val="21"/>
                <w:szCs w:val="21"/>
              </w:rPr>
              <w:t>领取时，请您检查 (本标书共</w:t>
            </w:r>
            <w:r>
              <w:rPr>
                <w:rFonts w:hint="eastAsia"/>
                <w:b/>
                <w:sz w:val="21"/>
                <w:szCs w:val="21"/>
                <w:lang w:val="en-US" w:eastAsia="zh-CN"/>
              </w:rPr>
              <w:t>47</w:t>
            </w:r>
            <w:r>
              <w:rPr>
                <w:rFonts w:hint="eastAsia"/>
                <w:b/>
                <w:sz w:val="21"/>
                <w:szCs w:val="21"/>
              </w:rPr>
              <w:t>页)</w:t>
            </w:r>
          </w:p>
        </w:tc>
      </w:tr>
    </w:tbl>
    <w:p>
      <w:pPr>
        <w:tabs>
          <w:tab w:val="left" w:pos="6893"/>
        </w:tabs>
        <w:ind w:firstLine="602"/>
        <w:rPr>
          <w:b/>
          <w:sz w:val="30"/>
          <w:szCs w:val="30"/>
        </w:rPr>
      </w:pPr>
      <w:r>
        <w:rPr>
          <w:rFonts w:hint="eastAsia"/>
          <w:b/>
          <w:sz w:val="30"/>
          <w:szCs w:val="30"/>
        </w:rPr>
        <w:tab/>
      </w:r>
    </w:p>
    <w:p>
      <w:pPr>
        <w:spacing w:line="240" w:lineRule="auto"/>
        <w:ind w:firstLine="0" w:firstLineChars="0"/>
        <w:jc w:val="center"/>
        <w:rPr>
          <w:b/>
          <w:bCs/>
          <w:sz w:val="52"/>
          <w:szCs w:val="52"/>
          <w:lang w:val="en-US"/>
        </w:rPr>
      </w:pPr>
      <w:r>
        <w:rPr>
          <w:rFonts w:hint="eastAsia"/>
          <w:b/>
          <w:sz w:val="30"/>
          <w:szCs w:val="30"/>
          <w:lang w:val="en-US"/>
        </w:rPr>
        <w:t xml:space="preserve">                                 </w:t>
      </w:r>
      <w:bookmarkStart w:id="1" w:name="_Hlt101843627"/>
      <w:bookmarkEnd w:id="1"/>
      <w:bookmarkStart w:id="2" w:name="_Hlt101233737"/>
      <w:bookmarkEnd w:id="2"/>
    </w:p>
    <w:p>
      <w:pPr>
        <w:pStyle w:val="13"/>
        <w:ind w:firstLine="0" w:firstLineChars="0"/>
        <w:jc w:val="center"/>
        <w:rPr>
          <w:rFonts w:hint="eastAsia" w:eastAsia="宋体"/>
          <w:b/>
          <w:sz w:val="48"/>
          <w:szCs w:val="48"/>
          <w:lang w:val="en-US" w:eastAsia="zh-CN"/>
        </w:rPr>
      </w:pPr>
      <w:r>
        <w:rPr>
          <w:rFonts w:hint="eastAsia"/>
          <w:b/>
          <w:sz w:val="48"/>
          <w:szCs w:val="48"/>
          <w:lang w:val="en-US" w:eastAsia="zh-CN"/>
        </w:rPr>
        <w:t>德阳市旌阳区基层文化活动场所数字公共文化服务采购项目</w:t>
      </w:r>
    </w:p>
    <w:p>
      <w:pPr>
        <w:pStyle w:val="13"/>
        <w:ind w:firstLine="0" w:firstLineChars="0"/>
        <w:jc w:val="center"/>
        <w:rPr>
          <w:rFonts w:hint="eastAsia" w:eastAsia="宋体"/>
          <w:b/>
          <w:sz w:val="52"/>
          <w:szCs w:val="52"/>
          <w:lang w:val="en-US" w:eastAsia="zh-CN"/>
        </w:rPr>
      </w:pPr>
    </w:p>
    <w:p>
      <w:pPr>
        <w:rPr>
          <w:rFonts w:hint="eastAsia"/>
          <w:lang w:val="en-US"/>
        </w:rPr>
      </w:pPr>
    </w:p>
    <w:p>
      <w:pPr>
        <w:ind w:left="0" w:leftChars="0" w:firstLine="0" w:firstLineChars="0"/>
        <w:rPr>
          <w:rFonts w:hint="eastAsia"/>
          <w:lang w:val="en-US"/>
        </w:rPr>
      </w:pPr>
    </w:p>
    <w:p>
      <w:pPr>
        <w:pStyle w:val="13"/>
        <w:ind w:firstLine="0" w:firstLineChars="0"/>
        <w:jc w:val="center"/>
        <w:rPr>
          <w:b/>
          <w:sz w:val="28"/>
          <w:szCs w:val="28"/>
        </w:rPr>
      </w:pPr>
      <w:r>
        <w:rPr>
          <w:rFonts w:hint="eastAsia"/>
          <w:b/>
          <w:sz w:val="72"/>
          <w:szCs w:val="72"/>
          <w:lang w:val="en-US"/>
        </w:rPr>
        <w:t>竞争性磋商文件</w:t>
      </w:r>
    </w:p>
    <w:p>
      <w:pPr>
        <w:pStyle w:val="13"/>
        <w:ind w:firstLine="480"/>
      </w:pPr>
    </w:p>
    <w:p>
      <w:pPr>
        <w:spacing w:line="240" w:lineRule="auto"/>
        <w:ind w:firstLine="0" w:firstLineChars="0"/>
        <w:jc w:val="center"/>
        <w:rPr>
          <w:b/>
          <w:sz w:val="28"/>
          <w:szCs w:val="28"/>
        </w:rPr>
      </w:pPr>
    </w:p>
    <w:p>
      <w:pPr>
        <w:spacing w:line="240" w:lineRule="auto"/>
        <w:ind w:firstLine="0" w:firstLineChars="0"/>
        <w:jc w:val="both"/>
        <w:rPr>
          <w:b/>
          <w:sz w:val="28"/>
          <w:szCs w:val="28"/>
        </w:rPr>
      </w:pPr>
    </w:p>
    <w:p>
      <w:pPr>
        <w:ind w:left="0" w:leftChars="0" w:firstLine="0" w:firstLineChars="0"/>
      </w:pPr>
    </w:p>
    <w:p>
      <w:pPr>
        <w:autoSpaceDE/>
        <w:autoSpaceDN/>
        <w:ind w:left="0" w:leftChars="0" w:firstLine="0" w:firstLineChars="0"/>
        <w:jc w:val="center"/>
        <w:rPr>
          <w:rFonts w:hint="eastAsia"/>
          <w:b/>
          <w:kern w:val="2"/>
          <w:sz w:val="32"/>
          <w:szCs w:val="32"/>
          <w:lang w:val="en-US" w:bidi="ar-SA"/>
        </w:rPr>
      </w:pPr>
      <w:r>
        <w:rPr>
          <w:rFonts w:hint="eastAsia"/>
          <w:b/>
          <w:kern w:val="2"/>
          <w:sz w:val="32"/>
          <w:szCs w:val="32"/>
          <w:lang w:val="en-US" w:bidi="ar-SA"/>
        </w:rPr>
        <w:t>中国·四川</w:t>
      </w:r>
    </w:p>
    <w:p>
      <w:pPr>
        <w:autoSpaceDE/>
        <w:autoSpaceDN/>
        <w:ind w:left="0" w:leftChars="0" w:firstLine="0" w:firstLineChars="0"/>
        <w:jc w:val="center"/>
        <w:rPr>
          <w:rFonts w:hint="eastAsia"/>
          <w:b/>
          <w:sz w:val="32"/>
          <w:szCs w:val="32"/>
          <w:lang w:val="en-US"/>
        </w:rPr>
      </w:pPr>
      <w:r>
        <w:rPr>
          <w:rFonts w:hint="eastAsia"/>
          <w:b/>
          <w:sz w:val="32"/>
          <w:szCs w:val="32"/>
          <w:lang w:val="en-US" w:eastAsia="zh-CN"/>
        </w:rPr>
        <w:t>项目</w:t>
      </w:r>
      <w:r>
        <w:rPr>
          <w:rFonts w:hint="eastAsia"/>
          <w:b/>
          <w:sz w:val="32"/>
          <w:szCs w:val="32"/>
        </w:rPr>
        <w:t>编号：</w:t>
      </w:r>
      <w:bookmarkStart w:id="3" w:name="OLE_LINK1"/>
      <w:r>
        <w:rPr>
          <w:rFonts w:hint="eastAsia"/>
          <w:b/>
          <w:sz w:val="32"/>
          <w:szCs w:val="32"/>
          <w:lang w:val="en-US" w:eastAsia="zh-CN"/>
        </w:rPr>
        <w:t>ZK【2022】011号</w:t>
      </w:r>
      <w:bookmarkEnd w:id="3"/>
    </w:p>
    <w:p>
      <w:pPr>
        <w:autoSpaceDE/>
        <w:autoSpaceDN/>
        <w:ind w:left="0" w:leftChars="0" w:firstLine="0" w:firstLineChars="0"/>
        <w:jc w:val="center"/>
        <w:rPr>
          <w:rFonts w:hint="eastAsia"/>
          <w:b/>
          <w:sz w:val="32"/>
          <w:szCs w:val="32"/>
          <w:lang w:val="en-US"/>
        </w:rPr>
      </w:pPr>
      <w:r>
        <w:rPr>
          <w:rFonts w:hint="eastAsia"/>
          <w:b/>
          <w:sz w:val="32"/>
          <w:szCs w:val="32"/>
          <w:lang w:val="en-US"/>
        </w:rPr>
        <w:t>采购人：德阳市旌阳区文化体育广播电视和旅游局</w:t>
      </w:r>
    </w:p>
    <w:p>
      <w:pPr>
        <w:autoSpaceDE/>
        <w:autoSpaceDN/>
        <w:ind w:left="0" w:leftChars="0" w:firstLine="0" w:firstLineChars="0"/>
        <w:jc w:val="center"/>
        <w:rPr>
          <w:rFonts w:hint="eastAsia"/>
          <w:b/>
          <w:sz w:val="32"/>
          <w:szCs w:val="32"/>
          <w:lang w:val="en-US"/>
        </w:rPr>
      </w:pPr>
      <w:r>
        <w:rPr>
          <w:rFonts w:hint="eastAsia"/>
          <w:b/>
          <w:sz w:val="32"/>
          <w:szCs w:val="32"/>
        </w:rPr>
        <w:t>采购代理机构：</w:t>
      </w:r>
      <w:r>
        <w:rPr>
          <w:rFonts w:hint="eastAsia"/>
          <w:b/>
          <w:sz w:val="32"/>
          <w:szCs w:val="32"/>
          <w:lang w:val="en-US"/>
        </w:rPr>
        <w:t>四川正焜项目管理有限公司</w:t>
      </w:r>
    </w:p>
    <w:p>
      <w:pPr>
        <w:autoSpaceDE/>
        <w:autoSpaceDN/>
        <w:ind w:left="0" w:leftChars="0" w:firstLine="0" w:firstLineChars="0"/>
        <w:jc w:val="center"/>
        <w:rPr>
          <w:b/>
          <w:sz w:val="32"/>
          <w:szCs w:val="32"/>
        </w:rPr>
      </w:pPr>
      <w:r>
        <w:rPr>
          <w:rFonts w:hint="eastAsia"/>
          <w:b/>
          <w:sz w:val="32"/>
          <w:szCs w:val="32"/>
        </w:rPr>
        <w:t>共同编制</w:t>
      </w:r>
    </w:p>
    <w:p>
      <w:pPr>
        <w:autoSpaceDE/>
        <w:autoSpaceDN/>
        <w:spacing w:line="520" w:lineRule="exact"/>
        <w:ind w:firstLine="0" w:firstLineChars="0"/>
        <w:jc w:val="center"/>
      </w:pPr>
      <w:r>
        <w:rPr>
          <w:rFonts w:hint="eastAsia"/>
          <w:b/>
          <w:bCs/>
          <w:sz w:val="30"/>
          <w:szCs w:val="30"/>
          <w:lang w:val="en-US" w:eastAsia="zh-CN"/>
        </w:rPr>
        <w:t>2022年2</w:t>
      </w:r>
      <w:r>
        <w:rPr>
          <w:rFonts w:hint="eastAsia"/>
          <w:b/>
          <w:bCs/>
          <w:sz w:val="30"/>
          <w:szCs w:val="30"/>
        </w:rPr>
        <w:t>月</w:t>
      </w:r>
    </w:p>
    <w:p>
      <w:pPr>
        <w:ind w:firstLine="480"/>
      </w:pPr>
      <w:r>
        <w:rPr>
          <w:rFonts w:hint="eastAsia"/>
        </w:rPr>
        <w:br w:type="page"/>
      </w:r>
    </w:p>
    <w:sdt>
      <w:sdtPr>
        <w:rPr>
          <w:sz w:val="21"/>
        </w:rPr>
        <w:id w:val="147479979"/>
        <w15:color w:val="DBDBDB"/>
        <w:docPartObj>
          <w:docPartGallery w:val="Table of Contents"/>
          <w:docPartUnique/>
        </w:docPartObj>
      </w:sdtPr>
      <w:sdtEndPr>
        <w:rPr>
          <w:sz w:val="21"/>
        </w:rPr>
      </w:sdtEndPr>
      <w:sdtContent>
        <w:p>
          <w:pPr>
            <w:spacing w:line="240" w:lineRule="auto"/>
            <w:ind w:firstLine="0" w:firstLineChars="0"/>
            <w:jc w:val="center"/>
            <w:rPr>
              <w:sz w:val="32"/>
              <w:szCs w:val="32"/>
            </w:rPr>
          </w:pPr>
          <w:r>
            <w:rPr>
              <w:sz w:val="32"/>
              <w:szCs w:val="32"/>
            </w:rPr>
            <w:t>目</w:t>
          </w:r>
          <w:r>
            <w:rPr>
              <w:rFonts w:hint="eastAsia"/>
              <w:sz w:val="32"/>
              <w:szCs w:val="32"/>
              <w:lang w:val="en-US"/>
            </w:rPr>
            <w:t xml:space="preserve"> </w:t>
          </w:r>
          <w:r>
            <w:rPr>
              <w:sz w:val="32"/>
              <w:szCs w:val="32"/>
            </w:rPr>
            <w:t>录</w:t>
          </w:r>
        </w:p>
        <w:p>
          <w:pPr>
            <w:pStyle w:val="13"/>
            <w:ind w:firstLine="480"/>
          </w:pPr>
        </w:p>
        <w:p>
          <w:pPr>
            <w:pStyle w:val="19"/>
            <w:tabs>
              <w:tab w:val="right" w:leader="dot" w:pos="9810"/>
            </w:tabs>
            <w:ind w:left="0" w:firstLine="0" w:firstLineChars="0"/>
            <w:jc w:val="both"/>
            <w:rPr>
              <w:b w:val="0"/>
              <w:bCs w:val="0"/>
            </w:rPr>
          </w:pPr>
          <w:r>
            <w:rPr>
              <w:b w:val="0"/>
              <w:bCs w:val="0"/>
            </w:rPr>
            <w:fldChar w:fldCharType="begin"/>
          </w:r>
          <w:r>
            <w:rPr>
              <w:b w:val="0"/>
              <w:bCs w:val="0"/>
            </w:rPr>
            <w:instrText xml:space="preserve">TOC \o "1-1" \h \u </w:instrText>
          </w:r>
          <w:r>
            <w:rPr>
              <w:b w:val="0"/>
              <w:bCs w:val="0"/>
            </w:rPr>
            <w:fldChar w:fldCharType="separate"/>
          </w:r>
          <w:r>
            <w:fldChar w:fldCharType="begin"/>
          </w:r>
          <w:r>
            <w:instrText xml:space="preserve"> HYPERLINK \l "_Toc2881" </w:instrText>
          </w:r>
          <w:r>
            <w:fldChar w:fldCharType="separate"/>
          </w:r>
          <w:r>
            <w:rPr>
              <w:rFonts w:hint="eastAsia"/>
              <w:b w:val="0"/>
              <w:bCs w:val="0"/>
            </w:rPr>
            <w:t>第一章  磋商邀请</w:t>
          </w:r>
          <w:r>
            <w:rPr>
              <w:rFonts w:hint="eastAsia"/>
              <w:b w:val="0"/>
              <w:bCs w:val="0"/>
            </w:rPr>
            <w:fldChar w:fldCharType="end"/>
          </w:r>
        </w:p>
        <w:p>
          <w:pPr>
            <w:pStyle w:val="19"/>
            <w:tabs>
              <w:tab w:val="right" w:leader="dot" w:pos="9810"/>
            </w:tabs>
            <w:ind w:left="0" w:firstLine="0" w:firstLineChars="0"/>
            <w:jc w:val="both"/>
            <w:rPr>
              <w:b w:val="0"/>
              <w:bCs w:val="0"/>
            </w:rPr>
          </w:pPr>
          <w:r>
            <w:fldChar w:fldCharType="begin"/>
          </w:r>
          <w:r>
            <w:instrText xml:space="preserve"> HYPERLINK \l "_Toc29379" </w:instrText>
          </w:r>
          <w:r>
            <w:fldChar w:fldCharType="separate"/>
          </w:r>
          <w:r>
            <w:rPr>
              <w:rFonts w:hint="eastAsia"/>
              <w:b w:val="0"/>
              <w:bCs w:val="0"/>
            </w:rPr>
            <w:t>第二章  磋商须知</w:t>
          </w:r>
          <w:r>
            <w:rPr>
              <w:rFonts w:hint="eastAsia"/>
              <w:b w:val="0"/>
              <w:bCs w:val="0"/>
            </w:rPr>
            <w:fldChar w:fldCharType="end"/>
          </w:r>
        </w:p>
        <w:p>
          <w:pPr>
            <w:pStyle w:val="19"/>
            <w:tabs>
              <w:tab w:val="right" w:leader="dot" w:pos="9810"/>
            </w:tabs>
            <w:ind w:left="0" w:firstLine="0" w:firstLineChars="0"/>
            <w:jc w:val="both"/>
            <w:rPr>
              <w:b w:val="0"/>
              <w:bCs w:val="0"/>
            </w:rPr>
          </w:pPr>
          <w:r>
            <w:fldChar w:fldCharType="begin"/>
          </w:r>
          <w:r>
            <w:instrText xml:space="preserve"> HYPERLINK \l "_Toc29802" </w:instrText>
          </w:r>
          <w:r>
            <w:fldChar w:fldCharType="separate"/>
          </w:r>
          <w:r>
            <w:rPr>
              <w:rFonts w:hint="eastAsia"/>
              <w:b w:val="0"/>
              <w:bCs w:val="0"/>
            </w:rPr>
            <w:t>第三章  供应商资格条件要求</w:t>
          </w:r>
          <w:r>
            <w:rPr>
              <w:rFonts w:hint="eastAsia"/>
              <w:b w:val="0"/>
              <w:bCs w:val="0"/>
            </w:rPr>
            <w:fldChar w:fldCharType="end"/>
          </w:r>
        </w:p>
        <w:p>
          <w:pPr>
            <w:pStyle w:val="19"/>
            <w:tabs>
              <w:tab w:val="right" w:leader="dot" w:pos="9810"/>
            </w:tabs>
            <w:ind w:left="0" w:firstLine="0" w:firstLineChars="0"/>
            <w:jc w:val="both"/>
            <w:rPr>
              <w:b w:val="0"/>
              <w:bCs w:val="0"/>
            </w:rPr>
          </w:pPr>
          <w:r>
            <w:fldChar w:fldCharType="begin"/>
          </w:r>
          <w:r>
            <w:instrText xml:space="preserve"> HYPERLINK \l "_Toc1053" </w:instrText>
          </w:r>
          <w:r>
            <w:fldChar w:fldCharType="separate"/>
          </w:r>
          <w:r>
            <w:rPr>
              <w:rFonts w:hint="eastAsia"/>
              <w:b w:val="0"/>
              <w:bCs w:val="0"/>
            </w:rPr>
            <w:t>第四章  供应商资格证明材料</w:t>
          </w:r>
          <w:r>
            <w:rPr>
              <w:rFonts w:hint="eastAsia"/>
              <w:b w:val="0"/>
              <w:bCs w:val="0"/>
            </w:rPr>
            <w:fldChar w:fldCharType="end"/>
          </w:r>
        </w:p>
        <w:p>
          <w:pPr>
            <w:pStyle w:val="19"/>
            <w:tabs>
              <w:tab w:val="right" w:leader="dot" w:pos="9810"/>
            </w:tabs>
            <w:ind w:left="0" w:firstLine="0" w:firstLineChars="0"/>
            <w:jc w:val="both"/>
            <w:rPr>
              <w:b w:val="0"/>
              <w:bCs w:val="0"/>
            </w:rPr>
          </w:pPr>
          <w:r>
            <w:fldChar w:fldCharType="begin"/>
          </w:r>
          <w:r>
            <w:instrText xml:space="preserve"> HYPERLINK \l "_Toc8063" </w:instrText>
          </w:r>
          <w:r>
            <w:fldChar w:fldCharType="separate"/>
          </w:r>
          <w:r>
            <w:rPr>
              <w:rFonts w:hint="eastAsia"/>
              <w:b w:val="0"/>
              <w:bCs w:val="0"/>
            </w:rPr>
            <w:t xml:space="preserve">第五章 </w:t>
          </w:r>
          <w:r>
            <w:rPr>
              <w:rFonts w:hint="eastAsia"/>
              <w:b w:val="0"/>
              <w:bCs w:val="0"/>
              <w:lang w:val="en-US" w:eastAsia="zh-CN"/>
            </w:rPr>
            <w:t xml:space="preserve"> </w:t>
          </w:r>
          <w:r>
            <w:rPr>
              <w:rFonts w:hint="eastAsia"/>
              <w:b w:val="0"/>
              <w:bCs w:val="0"/>
            </w:rPr>
            <w:t>采购项目技术、服务、采购合同内容条款及其他商务要求</w:t>
          </w:r>
          <w:r>
            <w:rPr>
              <w:rFonts w:hint="eastAsia"/>
              <w:b w:val="0"/>
              <w:bCs w:val="0"/>
            </w:rPr>
            <w:fldChar w:fldCharType="end"/>
          </w:r>
        </w:p>
        <w:p>
          <w:pPr>
            <w:pStyle w:val="19"/>
            <w:tabs>
              <w:tab w:val="right" w:leader="dot" w:pos="9810"/>
            </w:tabs>
            <w:ind w:left="0" w:firstLine="0" w:firstLineChars="0"/>
            <w:jc w:val="both"/>
            <w:rPr>
              <w:b w:val="0"/>
              <w:bCs w:val="0"/>
            </w:rPr>
          </w:pPr>
          <w:r>
            <w:fldChar w:fldCharType="begin"/>
          </w:r>
          <w:r>
            <w:instrText xml:space="preserve"> HYPERLINK \l "_Toc5275" </w:instrText>
          </w:r>
          <w:r>
            <w:fldChar w:fldCharType="separate"/>
          </w:r>
          <w:r>
            <w:rPr>
              <w:rFonts w:hint="eastAsia"/>
              <w:b w:val="0"/>
              <w:bCs w:val="0"/>
              <w:lang w:val="en-US"/>
            </w:rPr>
            <w:t xml:space="preserve">第六章 </w:t>
          </w:r>
          <w:r>
            <w:rPr>
              <w:rFonts w:hint="eastAsia"/>
              <w:b w:val="0"/>
              <w:bCs w:val="0"/>
              <w:lang w:val="en-US" w:eastAsia="zh-CN"/>
            </w:rPr>
            <w:t xml:space="preserve"> </w:t>
          </w:r>
          <w:r>
            <w:rPr>
              <w:rFonts w:hint="eastAsia"/>
              <w:b w:val="0"/>
              <w:bCs w:val="0"/>
            </w:rPr>
            <w:t>响应文件格式</w:t>
          </w:r>
          <w:r>
            <w:rPr>
              <w:rFonts w:hint="eastAsia"/>
              <w:b w:val="0"/>
              <w:bCs w:val="0"/>
            </w:rPr>
            <w:fldChar w:fldCharType="end"/>
          </w:r>
        </w:p>
        <w:p>
          <w:pPr>
            <w:pStyle w:val="19"/>
            <w:tabs>
              <w:tab w:val="right" w:leader="dot" w:pos="9810"/>
            </w:tabs>
            <w:ind w:left="0" w:firstLine="0" w:firstLineChars="0"/>
            <w:jc w:val="both"/>
            <w:rPr>
              <w:b w:val="0"/>
              <w:bCs w:val="0"/>
            </w:rPr>
          </w:pPr>
          <w:r>
            <w:fldChar w:fldCharType="begin"/>
          </w:r>
          <w:r>
            <w:instrText xml:space="preserve"> HYPERLINK \l "_Toc11120" </w:instrText>
          </w:r>
          <w:r>
            <w:fldChar w:fldCharType="separate"/>
          </w:r>
          <w:r>
            <w:rPr>
              <w:rFonts w:hint="eastAsia"/>
              <w:b w:val="0"/>
              <w:bCs w:val="0"/>
            </w:rPr>
            <w:t>第七章  评审方法</w:t>
          </w:r>
          <w:r>
            <w:rPr>
              <w:rFonts w:hint="eastAsia"/>
              <w:b w:val="0"/>
              <w:bCs w:val="0"/>
            </w:rPr>
            <w:fldChar w:fldCharType="end"/>
          </w:r>
        </w:p>
        <w:p>
          <w:pPr>
            <w:pStyle w:val="19"/>
            <w:tabs>
              <w:tab w:val="right" w:leader="dot" w:pos="9810"/>
            </w:tabs>
            <w:ind w:left="0" w:firstLine="0" w:firstLineChars="0"/>
            <w:jc w:val="both"/>
            <w:rPr>
              <w:b w:val="0"/>
              <w:bCs w:val="0"/>
            </w:rPr>
          </w:pPr>
          <w:r>
            <w:fldChar w:fldCharType="begin"/>
          </w:r>
          <w:r>
            <w:instrText xml:space="preserve"> HYPERLINK \l "_Toc24740" </w:instrText>
          </w:r>
          <w:r>
            <w:fldChar w:fldCharType="separate"/>
          </w:r>
          <w:r>
            <w:rPr>
              <w:rFonts w:hint="eastAsia"/>
              <w:b w:val="0"/>
              <w:bCs w:val="0"/>
            </w:rPr>
            <w:t>第八章  采购合同（草案）</w:t>
          </w:r>
          <w:r>
            <w:rPr>
              <w:rFonts w:hint="eastAsia"/>
              <w:b w:val="0"/>
              <w:bCs w:val="0"/>
            </w:rPr>
            <w:fldChar w:fldCharType="end"/>
          </w:r>
        </w:p>
        <w:p>
          <w:pPr>
            <w:ind w:firstLine="0" w:firstLineChars="0"/>
          </w:pPr>
          <w:r>
            <w:fldChar w:fldCharType="end"/>
          </w:r>
        </w:p>
      </w:sdtContent>
    </w:sdt>
    <w:p>
      <w:pPr>
        <w:ind w:firstLine="480"/>
      </w:pPr>
      <w:r>
        <w:rPr>
          <w:rFonts w:hint="eastAsia"/>
        </w:rPr>
        <w:br w:type="page"/>
      </w:r>
    </w:p>
    <w:bookmarkEnd w:id="0"/>
    <w:p>
      <w:pPr>
        <w:pStyle w:val="3"/>
        <w:ind w:firstLine="0" w:firstLineChars="0"/>
      </w:pPr>
      <w:bookmarkStart w:id="4" w:name="_Toc2881"/>
      <w:bookmarkStart w:id="5" w:name="_Toc20229_WPSOffice_Level1"/>
      <w:r>
        <w:rPr>
          <w:rFonts w:hint="eastAsia"/>
        </w:rPr>
        <w:t>第一章  磋商邀请</w:t>
      </w:r>
      <w:bookmarkEnd w:id="4"/>
      <w:bookmarkEnd w:id="5"/>
    </w:p>
    <w:p>
      <w:pPr>
        <w:ind w:firstLine="482"/>
      </w:pPr>
      <w:r>
        <w:rPr>
          <w:rFonts w:hint="eastAsia"/>
          <w:b/>
          <w:bCs/>
          <w:u w:val="single"/>
          <w:lang w:val="en-US"/>
        </w:rPr>
        <w:t>四川正焜项目管理有限公司</w:t>
      </w:r>
      <w:r>
        <w:rPr>
          <w:rFonts w:hint="eastAsia"/>
        </w:rPr>
        <w:t>受</w:t>
      </w:r>
      <w:r>
        <w:rPr>
          <w:rFonts w:hint="eastAsia"/>
          <w:b/>
          <w:bCs/>
          <w:u w:val="single"/>
          <w:lang w:val="en-US"/>
        </w:rPr>
        <w:t>德阳市旌阳区文化体育广播电视和旅游局</w:t>
      </w:r>
      <w:r>
        <w:rPr>
          <w:rFonts w:hint="eastAsia"/>
        </w:rPr>
        <w:t>委托，拟对</w:t>
      </w:r>
      <w:r>
        <w:rPr>
          <w:rFonts w:hint="eastAsia"/>
          <w:b/>
          <w:bCs/>
          <w:u w:val="single"/>
          <w:lang w:val="en-US" w:eastAsia="zh-CN"/>
        </w:rPr>
        <w:t>德阳市旌阳区基层文化活动场所数字公共文化服务采购项目</w:t>
      </w:r>
      <w:r>
        <w:rPr>
          <w:rFonts w:hint="eastAsia"/>
          <w:u w:val="none"/>
        </w:rPr>
        <w:t>采用</w:t>
      </w:r>
      <w:r>
        <w:rPr>
          <w:rFonts w:hint="eastAsia"/>
          <w:b/>
          <w:bCs/>
          <w:u w:val="single"/>
        </w:rPr>
        <w:t>竞争性磋商</w:t>
      </w:r>
      <w:r>
        <w:rPr>
          <w:rFonts w:hint="eastAsia"/>
        </w:rPr>
        <w:t>方式进行采购，特邀请符合本次采购要求的供应商参加本项目的竞争性磋商。</w:t>
      </w:r>
    </w:p>
    <w:p>
      <w:pPr>
        <w:pStyle w:val="5"/>
        <w:spacing w:line="360" w:lineRule="auto"/>
        <w:ind w:firstLine="482"/>
      </w:pPr>
      <w:r>
        <w:rPr>
          <w:rFonts w:hint="eastAsia"/>
        </w:rPr>
        <w:t>一、采购项目基本情况</w:t>
      </w:r>
    </w:p>
    <w:p>
      <w:pPr>
        <w:spacing w:line="360" w:lineRule="auto"/>
        <w:ind w:firstLine="482"/>
        <w:rPr>
          <w:lang w:val="en-US"/>
        </w:rPr>
      </w:pPr>
      <w:r>
        <w:rPr>
          <w:rFonts w:hint="eastAsia"/>
          <w:b/>
          <w:bCs/>
          <w:lang w:val="en-US" w:eastAsia="zh-CN"/>
        </w:rPr>
        <w:t>1</w:t>
      </w:r>
      <w:r>
        <w:rPr>
          <w:rFonts w:hint="eastAsia"/>
          <w:b/>
          <w:bCs/>
        </w:rPr>
        <w:t>.</w:t>
      </w:r>
      <w:r>
        <w:rPr>
          <w:rFonts w:hint="eastAsia"/>
          <w:b/>
          <w:bCs/>
          <w:lang w:val="en-US" w:eastAsia="zh-CN"/>
        </w:rPr>
        <w:t>项目</w:t>
      </w:r>
      <w:r>
        <w:rPr>
          <w:rFonts w:hint="eastAsia"/>
          <w:b/>
          <w:bCs/>
        </w:rPr>
        <w:t>编号</w:t>
      </w:r>
      <w:r>
        <w:rPr>
          <w:rFonts w:hint="eastAsia"/>
        </w:rPr>
        <w:t>：</w:t>
      </w:r>
      <w:r>
        <w:rPr>
          <w:rFonts w:hint="eastAsia"/>
          <w:lang w:val="en-US" w:eastAsia="zh-CN"/>
        </w:rPr>
        <w:t>ZK【2022】011号</w:t>
      </w:r>
      <w:r>
        <w:rPr>
          <w:rFonts w:hint="eastAsia"/>
          <w:lang w:val="en-US"/>
        </w:rPr>
        <w:t xml:space="preserve">    </w:t>
      </w:r>
    </w:p>
    <w:p>
      <w:pPr>
        <w:autoSpaceDE/>
        <w:autoSpaceDN/>
        <w:bidi w:val="0"/>
        <w:ind w:left="0" w:leftChars="0" w:right="0" w:firstLine="482" w:firstLineChars="200"/>
        <w:jc w:val="left"/>
      </w:pPr>
      <w:r>
        <w:rPr>
          <w:rFonts w:hint="eastAsia"/>
          <w:b/>
          <w:bCs/>
          <w:lang w:val="en-US" w:eastAsia="zh-CN"/>
        </w:rPr>
        <w:t>2</w:t>
      </w:r>
      <w:r>
        <w:rPr>
          <w:rFonts w:hint="eastAsia"/>
          <w:b/>
          <w:bCs/>
        </w:rPr>
        <w:t>.采购项目名称</w:t>
      </w:r>
      <w:r>
        <w:rPr>
          <w:rFonts w:hint="eastAsia"/>
        </w:rPr>
        <w:t>：</w:t>
      </w:r>
      <w:r>
        <w:rPr>
          <w:rFonts w:hint="eastAsia" w:cs="宋体"/>
          <w:szCs w:val="34"/>
          <w:highlight w:val="none"/>
          <w:lang w:val="en-US" w:eastAsia="zh-CN" w:bidi="ar-SA"/>
        </w:rPr>
        <w:t>德阳市旌阳区基层文化活动场所数字公共文化服务采购项目</w:t>
      </w:r>
      <w:r>
        <w:rPr>
          <w:rFonts w:hint="eastAsia"/>
        </w:rPr>
        <w:t>。</w:t>
      </w:r>
    </w:p>
    <w:p>
      <w:pPr>
        <w:autoSpaceDE/>
        <w:autoSpaceDN/>
        <w:bidi w:val="0"/>
        <w:ind w:left="0" w:leftChars="0" w:right="0" w:firstLine="482" w:firstLineChars="200"/>
        <w:jc w:val="left"/>
        <w:rPr>
          <w:rFonts w:hint="eastAsia" w:eastAsia="宋体"/>
          <w:lang w:eastAsia="zh-CN"/>
        </w:rPr>
      </w:pPr>
      <w:r>
        <w:rPr>
          <w:rFonts w:hint="eastAsia"/>
          <w:b/>
          <w:bCs/>
          <w:lang w:val="en-US" w:eastAsia="zh-CN"/>
        </w:rPr>
        <w:t>3</w:t>
      </w:r>
      <w:r>
        <w:rPr>
          <w:rFonts w:hint="eastAsia"/>
          <w:b/>
          <w:bCs/>
        </w:rPr>
        <w:t>.采购人</w:t>
      </w:r>
      <w:r>
        <w:rPr>
          <w:rFonts w:hint="eastAsia"/>
        </w:rPr>
        <w:t>：</w:t>
      </w:r>
      <w:r>
        <w:rPr>
          <w:rFonts w:hint="eastAsia" w:ascii="宋体" w:hAnsi="宋体" w:eastAsia="宋体" w:cs="宋体"/>
          <w:szCs w:val="34"/>
          <w:highlight w:val="none"/>
          <w:lang w:val="en-US" w:bidi="ar-SA"/>
        </w:rPr>
        <w:t>德阳市旌阳区文化体育广播电视和旅游局</w:t>
      </w:r>
    </w:p>
    <w:p>
      <w:pPr>
        <w:spacing w:line="360" w:lineRule="auto"/>
        <w:ind w:firstLine="482"/>
      </w:pPr>
      <w:r>
        <w:rPr>
          <w:rFonts w:hint="eastAsia"/>
          <w:b/>
          <w:bCs/>
          <w:lang w:val="en-US" w:eastAsia="zh-CN"/>
        </w:rPr>
        <w:t>4</w:t>
      </w:r>
      <w:r>
        <w:rPr>
          <w:rFonts w:hint="eastAsia"/>
          <w:b/>
          <w:bCs/>
        </w:rPr>
        <w:t>.采购代理机构</w:t>
      </w:r>
      <w:r>
        <w:rPr>
          <w:rFonts w:hint="eastAsia"/>
        </w:rPr>
        <w:t>：四川正焜项目管理有限公司。</w:t>
      </w:r>
    </w:p>
    <w:p>
      <w:pPr>
        <w:pStyle w:val="5"/>
        <w:spacing w:line="360" w:lineRule="auto"/>
        <w:ind w:firstLine="482"/>
      </w:pPr>
      <w:r>
        <w:rPr>
          <w:rFonts w:hint="eastAsia"/>
        </w:rPr>
        <w:t>二、资金情况</w:t>
      </w:r>
    </w:p>
    <w:p>
      <w:pPr>
        <w:autoSpaceDE/>
        <w:autoSpaceDN/>
        <w:spacing w:line="360" w:lineRule="auto"/>
        <w:ind w:firstLine="482"/>
        <w:rPr>
          <w:rFonts w:hint="default" w:eastAsia="宋体"/>
          <w:b/>
          <w:bCs/>
          <w:spacing w:val="-11"/>
          <w:szCs w:val="24"/>
          <w:lang w:val="en-US" w:eastAsia="zh-CN"/>
        </w:rPr>
      </w:pPr>
      <w:r>
        <w:rPr>
          <w:rFonts w:hint="eastAsia"/>
          <w:b/>
          <w:bCs/>
          <w:color w:val="000000" w:themeColor="text1"/>
          <w:lang w:val="en-US" w:eastAsia="zh-CN"/>
          <w14:textFill>
            <w14:solidFill>
              <w14:schemeClr w14:val="tx1"/>
            </w14:solidFill>
          </w14:textFill>
        </w:rPr>
        <w:t>项目</w:t>
      </w:r>
      <w:r>
        <w:rPr>
          <w:rFonts w:hint="eastAsia"/>
          <w:b/>
          <w:bCs/>
          <w:color w:val="000000" w:themeColor="text1"/>
          <w14:textFill>
            <w14:solidFill>
              <w14:schemeClr w14:val="tx1"/>
            </w14:solidFill>
          </w14:textFill>
        </w:rPr>
        <w:t>金额：</w:t>
      </w:r>
      <w:r>
        <w:rPr>
          <w:rFonts w:hint="eastAsia"/>
          <w:b/>
          <w:bCs/>
          <w:color w:val="000000" w:themeColor="text1"/>
          <w:highlight w:val="yellow"/>
          <w:lang w:val="en-US" w:eastAsia="zh-CN"/>
          <w14:textFill>
            <w14:solidFill>
              <w14:schemeClr w14:val="tx1"/>
            </w14:solidFill>
          </w14:textFill>
        </w:rPr>
        <w:t>15.6万元</w:t>
      </w:r>
    </w:p>
    <w:p>
      <w:pPr>
        <w:pStyle w:val="5"/>
        <w:spacing w:line="360" w:lineRule="auto"/>
        <w:ind w:firstLine="482"/>
      </w:pPr>
      <w:r>
        <w:rPr>
          <w:rFonts w:hint="eastAsia"/>
        </w:rPr>
        <w:t>三、采购项目简介</w:t>
      </w:r>
    </w:p>
    <w:p>
      <w:pPr>
        <w:autoSpaceDE/>
        <w:autoSpaceDN/>
        <w:bidi w:val="0"/>
        <w:ind w:left="0" w:leftChars="0" w:right="0" w:firstLine="480" w:firstLineChars="200"/>
        <w:jc w:val="left"/>
        <w:rPr>
          <w:rFonts w:hint="eastAsia" w:ascii="宋体" w:hAnsi="宋体" w:eastAsia="宋体" w:cs="宋体"/>
          <w:szCs w:val="34"/>
          <w:highlight w:val="none"/>
          <w:lang w:val="en-US" w:eastAsia="zh-CN" w:bidi="ar-SA"/>
        </w:rPr>
      </w:pPr>
      <w:r>
        <w:rPr>
          <w:rFonts w:hint="eastAsia" w:cs="宋体"/>
          <w:szCs w:val="34"/>
          <w:highlight w:val="none"/>
          <w:lang w:val="en-US" w:eastAsia="zh-CN" w:bidi="ar-SA"/>
        </w:rPr>
        <w:t>德阳市旌阳区基层文化活动场所数字公共文化服务采购项目</w:t>
      </w:r>
    </w:p>
    <w:p>
      <w:pPr>
        <w:pStyle w:val="5"/>
        <w:spacing w:line="360" w:lineRule="auto"/>
        <w:ind w:firstLine="482"/>
      </w:pPr>
      <w:r>
        <w:rPr>
          <w:rFonts w:hint="eastAsia"/>
        </w:rPr>
        <w:t>四、供应商邀请方式</w:t>
      </w:r>
    </w:p>
    <w:p>
      <w:pPr>
        <w:ind w:firstLine="480"/>
      </w:pPr>
      <w:r>
        <w:rPr>
          <w:rFonts w:hint="eastAsia"/>
        </w:rPr>
        <w:t>公告方式：本次竞争性磋商邀请在</w:t>
      </w:r>
      <w:r>
        <w:rPr>
          <w:rFonts w:hint="eastAsia"/>
          <w:color w:val="auto"/>
          <w:lang w:val="en-US" w:eastAsia="zh-CN"/>
        </w:rPr>
        <w:t>中国政府采购网</w:t>
      </w:r>
      <w:r>
        <w:rPr>
          <w:rFonts w:hint="eastAsia"/>
        </w:rPr>
        <w:t>上以公告形式发布。</w:t>
      </w:r>
    </w:p>
    <w:p>
      <w:pPr>
        <w:pStyle w:val="5"/>
        <w:ind w:firstLine="482"/>
      </w:pPr>
      <w:r>
        <w:rPr>
          <w:rFonts w:hint="eastAsia"/>
        </w:rPr>
        <w:t>五、供应商参加本次采购活动应具备下列条件</w:t>
      </w:r>
    </w:p>
    <w:p>
      <w:pPr>
        <w:pStyle w:val="38"/>
        <w:spacing w:before="120" w:beforeLines="50" w:after="120" w:afterLines="50"/>
        <w:ind w:firstLine="241" w:firstLineChars="100"/>
        <w:rPr>
          <w:rFonts w:asciiTheme="minorEastAsia" w:hAnsiTheme="minorEastAsia" w:eastAsiaTheme="minorEastAsia" w:cstheme="minorEastAsia"/>
          <w:b/>
          <w:bCs/>
          <w:color w:val="000000"/>
          <w:szCs w:val="24"/>
        </w:rPr>
      </w:pPr>
      <w:r>
        <w:rPr>
          <w:rFonts w:hint="eastAsia" w:asciiTheme="minorEastAsia" w:hAnsiTheme="minorEastAsia" w:eastAsiaTheme="minorEastAsia" w:cstheme="minorEastAsia"/>
          <w:b/>
          <w:bCs/>
          <w:color w:val="000000"/>
          <w:szCs w:val="24"/>
        </w:rPr>
        <w:t>（一）投标人的资格和资质性要求：</w:t>
      </w:r>
    </w:p>
    <w:p>
      <w:pPr>
        <w:pStyle w:val="38"/>
        <w:spacing w:before="120" w:beforeLines="50" w:after="120" w:afterLines="50"/>
        <w:ind w:firstLine="480" w:firstLineChars="20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1、具有独立承担民事责任的能力。</w:t>
      </w:r>
    </w:p>
    <w:p>
      <w:pPr>
        <w:tabs>
          <w:tab w:val="left" w:pos="7665"/>
        </w:tabs>
        <w:spacing w:before="120" w:beforeLines="50" w:after="120" w:afterLines="50"/>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2、具有良好的商业信誉和健全的财务会计制度。</w:t>
      </w:r>
    </w:p>
    <w:p>
      <w:pPr>
        <w:tabs>
          <w:tab w:val="left" w:pos="7665"/>
        </w:tabs>
        <w:spacing w:before="120" w:beforeLines="50" w:after="120" w:afterLines="50"/>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3、具有履行合同所必须的设备和专业技术能力。</w:t>
      </w:r>
    </w:p>
    <w:p>
      <w:pPr>
        <w:tabs>
          <w:tab w:val="left" w:pos="7665"/>
        </w:tabs>
        <w:spacing w:before="120" w:beforeLines="50" w:after="120" w:afterLines="50"/>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4、具有依法缴纳税收和社会保障资金的良好记录。</w:t>
      </w:r>
    </w:p>
    <w:p>
      <w:pPr>
        <w:tabs>
          <w:tab w:val="left" w:pos="7665"/>
        </w:tabs>
        <w:spacing w:before="120" w:beforeLines="50" w:after="120" w:afterLines="50"/>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5、参加本次采购活动前三年内，在经营活动中没有重大违法记录。</w:t>
      </w:r>
    </w:p>
    <w:p>
      <w:pPr>
        <w:pStyle w:val="38"/>
        <w:spacing w:before="120" w:beforeLines="50" w:after="120" w:afterLines="50"/>
        <w:ind w:firstLine="480" w:firstLineChars="20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6、供应商还符合法律、行政法规规定的其他强制性条件。</w:t>
      </w:r>
    </w:p>
    <w:p>
      <w:pPr>
        <w:pStyle w:val="38"/>
        <w:spacing w:before="120" w:beforeLines="50" w:after="120" w:afterLines="50"/>
        <w:ind w:firstLine="480" w:firstLineChars="200"/>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7、</w:t>
      </w:r>
      <w:r>
        <w:rPr>
          <w:rFonts w:hint="eastAsia" w:asciiTheme="minorEastAsia" w:hAnsiTheme="minorEastAsia" w:eastAsiaTheme="minorEastAsia" w:cstheme="minorEastAsia"/>
          <w:color w:val="000000"/>
          <w:szCs w:val="24"/>
          <w:lang w:val="en-US" w:eastAsia="zh-CN"/>
        </w:rPr>
        <w:t>本项目不接受联合体参与竞争</w:t>
      </w:r>
      <w:r>
        <w:rPr>
          <w:rFonts w:hint="eastAsia" w:asciiTheme="minorEastAsia" w:hAnsiTheme="minorEastAsia" w:eastAsiaTheme="minorEastAsia" w:cstheme="minorEastAsia"/>
          <w:color w:val="000000"/>
          <w:szCs w:val="24"/>
        </w:rPr>
        <w:t>。</w:t>
      </w:r>
    </w:p>
    <w:p>
      <w:pPr>
        <w:pStyle w:val="38"/>
        <w:ind w:firstLine="482"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（二）法律、行政法规规定的其他条件：</w:t>
      </w:r>
    </w:p>
    <w:p>
      <w:pPr>
        <w:pStyle w:val="38"/>
        <w:ind w:firstLine="480"/>
        <w:rPr>
          <w:rFonts w:asciiTheme="minorEastAsia" w:hAnsiTheme="minorEastAsia" w:eastAsiaTheme="minorEastAsia" w:cstheme="minorEastAsia"/>
          <w:bCs/>
          <w:szCs w:val="24"/>
        </w:rPr>
      </w:pPr>
      <w:r>
        <w:rPr>
          <w:rFonts w:hint="eastAsia" w:asciiTheme="minorEastAsia" w:hAnsiTheme="minorEastAsia" w:eastAsiaTheme="minorEastAsia" w:cstheme="minorEastAsia"/>
          <w:szCs w:val="24"/>
        </w:rPr>
        <w:t>1、供应商截止至采购公告发布之日前一个工作日未被列入“信用中国”网站 (www.creditchina.gov.cn)、“中国政府采购网”网站(www.ccgp.gov.cn)、“四川政府采购”网站(曝光台)( www.ccgp-sichuan.gov.cn)中任一网站的失信被执行人名单或重大税收违法案件当事人名单或政府采购严重违法失信行为记录名单。</w:t>
      </w:r>
    </w:p>
    <w:p>
      <w:pPr>
        <w:pStyle w:val="5"/>
        <w:ind w:firstLine="482"/>
      </w:pPr>
      <w:r>
        <w:rPr>
          <w:rFonts w:hint="eastAsia"/>
        </w:rPr>
        <w:t>六、禁止参加本次采购活动的供应商</w:t>
      </w:r>
    </w:p>
    <w:p>
      <w:pPr>
        <w:ind w:firstLine="480"/>
      </w:pPr>
      <w:r>
        <w:rPr>
          <w:rFonts w:hint="eastAsia"/>
        </w:rPr>
        <w:t>1</w:t>
      </w:r>
      <w:r>
        <w:rPr>
          <w:rFonts w:hint="eastAsia"/>
          <w:lang w:eastAsia="zh-CN"/>
        </w:rPr>
        <w:t>、</w:t>
      </w:r>
      <w:r>
        <w:rPr>
          <w:rFonts w:hint="eastAsia"/>
        </w:rPr>
        <w:t>为采购项目提供整体设计、规范编制或者项目管理、监理、检测等服务的供应商，不得参加本采购项目。供应商为采购人、采购代理机构在确定采购需求、编制磋商文件过程中提供咨询论证，其提供的咨询论证意见成为磋商文件中规定的供应商资格条件、技术服务商务要求、评审因素和标准、采购合同等实质性内容条款的，视同为采购项目提供规范编制。</w:t>
      </w:r>
    </w:p>
    <w:p>
      <w:pPr>
        <w:pStyle w:val="5"/>
        <w:ind w:firstLine="482"/>
      </w:pPr>
      <w:r>
        <w:rPr>
          <w:rFonts w:hint="eastAsia"/>
        </w:rPr>
        <w:t>七、磋商文件获取方式、时间、地点：</w:t>
      </w:r>
    </w:p>
    <w:p>
      <w:pPr>
        <w:ind w:firstLine="480"/>
        <w:rPr>
          <w:lang w:val="en-US"/>
        </w:rPr>
      </w:pPr>
      <w:r>
        <w:rPr>
          <w:rFonts w:hint="eastAsia"/>
        </w:rPr>
        <w:t>磋商文件</w:t>
      </w:r>
      <w:r>
        <w:rPr>
          <w:rFonts w:hint="eastAsia"/>
          <w:color w:val="000000" w:themeColor="text1"/>
          <w14:textFill>
            <w14:solidFill>
              <w14:schemeClr w14:val="tx1"/>
            </w14:solidFill>
          </w14:textFill>
        </w:rPr>
        <w:t>自</w:t>
      </w:r>
      <w:r>
        <w:rPr>
          <w:rFonts w:hint="eastAsia"/>
          <w:color w:val="000000" w:themeColor="text1"/>
          <w:lang w:eastAsia="zh-CN"/>
          <w14:textFill>
            <w14:solidFill>
              <w14:schemeClr w14:val="tx1"/>
            </w14:solidFill>
          </w14:textFill>
        </w:rPr>
        <w:t>2022年</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月</w:t>
      </w:r>
      <w:r>
        <w:rPr>
          <w:rFonts w:hint="eastAsia"/>
          <w:color w:val="000000" w:themeColor="text1"/>
          <w:lang w:val="en-US" w:eastAsia="zh-CN"/>
          <w14:textFill>
            <w14:solidFill>
              <w14:schemeClr w14:val="tx1"/>
            </w14:solidFill>
          </w14:textFill>
        </w:rPr>
        <w:t>18</w:t>
      </w:r>
      <w:r>
        <w:rPr>
          <w:rFonts w:hint="eastAsia"/>
          <w:color w:val="000000" w:themeColor="text1"/>
          <w14:textFill>
            <w14:solidFill>
              <w14:schemeClr w14:val="tx1"/>
            </w14:solidFill>
          </w14:textFill>
        </w:rPr>
        <w:t>日至</w:t>
      </w:r>
      <w:r>
        <w:rPr>
          <w:rFonts w:hint="eastAsia"/>
          <w:color w:val="000000" w:themeColor="text1"/>
          <w:lang w:eastAsia="zh-CN"/>
          <w14:textFill>
            <w14:solidFill>
              <w14:schemeClr w14:val="tx1"/>
            </w14:solidFill>
          </w14:textFill>
        </w:rPr>
        <w:t>2022年</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月</w:t>
      </w:r>
      <w:r>
        <w:rPr>
          <w:rFonts w:hint="eastAsia"/>
          <w:color w:val="000000" w:themeColor="text1"/>
          <w:lang w:val="en-US" w:eastAsia="zh-CN"/>
          <w14:textFill>
            <w14:solidFill>
              <w14:schemeClr w14:val="tx1"/>
            </w14:solidFill>
          </w14:textFill>
        </w:rPr>
        <w:t>24</w:t>
      </w:r>
      <w:r>
        <w:rPr>
          <w:rFonts w:hint="eastAsia"/>
          <w:color w:val="000000" w:themeColor="text1"/>
          <w14:textFill>
            <w14:solidFill>
              <w14:schemeClr w14:val="tx1"/>
            </w14:solidFill>
          </w14:textFill>
        </w:rPr>
        <w:t>日上午</w:t>
      </w:r>
      <w:r>
        <w:rPr>
          <w:rFonts w:hint="eastAsia"/>
        </w:rPr>
        <w:t>9:00-12:00，下午14:30-17:00（北京时间，法定节假日除外）获取。</w:t>
      </w:r>
      <w:r>
        <w:rPr>
          <w:rFonts w:hint="eastAsia"/>
          <w:lang w:val="en-US"/>
        </w:rPr>
        <w:t>报名费：</w:t>
      </w:r>
      <w:r>
        <w:rPr>
          <w:rFonts w:hint="eastAsia"/>
          <w:lang w:val="en-US" w:eastAsia="zh-CN"/>
        </w:rPr>
        <w:t>4</w:t>
      </w:r>
      <w:r>
        <w:rPr>
          <w:rFonts w:hint="eastAsia"/>
          <w:lang w:val="en-US"/>
        </w:rPr>
        <w:t>00元/家。</w:t>
      </w:r>
    </w:p>
    <w:p>
      <w:pPr>
        <w:ind w:firstLine="562"/>
      </w:pPr>
      <w:r>
        <w:rPr>
          <w:rFonts w:hint="eastAsia"/>
          <w:lang w:val="en-US"/>
        </w:rPr>
        <w:t>地点：</w:t>
      </w:r>
      <w:r>
        <w:rPr>
          <w:rFonts w:hint="eastAsia"/>
          <w:lang w:val="en-US" w:eastAsia="zh-CN"/>
        </w:rPr>
        <w:t>德阳市密江街8号富贵世家8栋2-11、2-12号四川正焜项目管理有限公司</w:t>
      </w:r>
      <w:r>
        <w:rPr>
          <w:rFonts w:hint="eastAsia"/>
        </w:rPr>
        <w:t>获取招标文件时须携带：①单位介绍信原件②报名人身份证。（①收原件，②验原件收加盖鲜章的复印件）（请自带U盘拷贝标书）。报名费以现金形式缴纳。</w:t>
      </w:r>
    </w:p>
    <w:p>
      <w:pPr>
        <w:ind w:firstLine="482"/>
      </w:pPr>
      <w:r>
        <w:rPr>
          <w:rStyle w:val="32"/>
          <w:rFonts w:hint="eastAsia"/>
        </w:rPr>
        <w:t>八、递交响应文件截止时间</w:t>
      </w:r>
      <w:r>
        <w:rPr>
          <w:rFonts w:hint="eastAsia"/>
          <w:color w:val="000000" w:themeColor="text1"/>
          <w14:textFill>
            <w14:solidFill>
              <w14:schemeClr w14:val="tx1"/>
            </w14:solidFill>
          </w14:textFill>
        </w:rPr>
        <w:t>：</w:t>
      </w:r>
      <w:r>
        <w:rPr>
          <w:rFonts w:hint="eastAsia"/>
          <w:color w:val="000000" w:themeColor="text1"/>
          <w:lang w:eastAsia="zh-CN"/>
          <w14:textFill>
            <w14:solidFill>
              <w14:schemeClr w14:val="tx1"/>
            </w14:solidFill>
          </w14:textFill>
        </w:rPr>
        <w:t>2022年</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月</w:t>
      </w:r>
      <w:r>
        <w:rPr>
          <w:rFonts w:hint="eastAsia"/>
          <w:color w:val="000000" w:themeColor="text1"/>
          <w:lang w:val="en-US" w:eastAsia="zh-CN"/>
          <w14:textFill>
            <w14:solidFill>
              <w14:schemeClr w14:val="tx1"/>
            </w14:solidFill>
          </w14:textFill>
        </w:rPr>
        <w:t>28</w:t>
      </w:r>
      <w:r>
        <w:rPr>
          <w:rFonts w:hint="eastAsia"/>
          <w:color w:val="000000" w:themeColor="text1"/>
          <w14:textFill>
            <w14:solidFill>
              <w14:schemeClr w14:val="tx1"/>
            </w14:solidFill>
          </w14:textFill>
        </w:rPr>
        <w:t>日</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lang w:val="en-US"/>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lang w:val="en-US"/>
          <w14:textFill>
            <w14:solidFill>
              <w14:schemeClr w14:val="tx1"/>
            </w14:solidFill>
          </w14:textFill>
        </w:rPr>
        <w:t>0</w:t>
      </w:r>
      <w:r>
        <w:rPr>
          <w:rFonts w:hint="eastAsia"/>
          <w:color w:val="000000" w:themeColor="text1"/>
          <w:highlight w:val="none"/>
          <w14:textFill>
            <w14:solidFill>
              <w14:schemeClr w14:val="tx1"/>
            </w14:solidFill>
          </w14:textFill>
        </w:rPr>
        <w:t>（</w:t>
      </w:r>
      <w:r>
        <w:rPr>
          <w:rFonts w:hint="eastAsia"/>
          <w:highlight w:val="none"/>
        </w:rPr>
        <w:t>北京时间）</w:t>
      </w:r>
      <w:r>
        <w:rPr>
          <w:rFonts w:hint="eastAsia"/>
        </w:rPr>
        <w:t>。</w:t>
      </w:r>
    </w:p>
    <w:p>
      <w:pPr>
        <w:ind w:firstLine="482"/>
        <w:rPr>
          <w:rFonts w:hint="eastAsia" w:eastAsia="宋体"/>
          <w:b/>
          <w:bCs/>
          <w:sz w:val="28"/>
          <w:szCs w:val="28"/>
          <w:u w:val="single"/>
          <w:lang w:eastAsia="zh-CN"/>
        </w:rPr>
      </w:pPr>
      <w:r>
        <w:rPr>
          <w:rStyle w:val="32"/>
          <w:rFonts w:hint="eastAsia"/>
        </w:rPr>
        <w:t>九、递交响应文件地点</w:t>
      </w:r>
      <w:r>
        <w:rPr>
          <w:rFonts w:hint="eastAsia"/>
        </w:rPr>
        <w:t>：</w:t>
      </w:r>
      <w:r>
        <w:rPr>
          <w:rFonts w:hint="eastAsia"/>
          <w:b/>
          <w:bCs/>
          <w:u w:val="single"/>
          <w:lang w:eastAsia="zh-CN"/>
        </w:rPr>
        <w:t>德阳市密江街8号富贵世家8栋2-11、2-12号四川正焜项目管理有限公司</w:t>
      </w:r>
    </w:p>
    <w:p>
      <w:pPr>
        <w:ind w:firstLine="480"/>
      </w:pPr>
      <w:r>
        <w:rPr>
          <w:rFonts w:hint="eastAsia"/>
        </w:rPr>
        <w:t>响应文件必须在递交响应文件截止时间前送达磋商地点。逾期送达、密封和标注错误的响应文件恕不接收。本次采购不接收邮寄的响应文件。</w:t>
      </w:r>
    </w:p>
    <w:p>
      <w:pPr>
        <w:ind w:firstLine="482"/>
      </w:pPr>
      <w:r>
        <w:rPr>
          <w:rStyle w:val="32"/>
          <w:rFonts w:hint="eastAsia"/>
        </w:rPr>
        <w:t>十、响应文件开启时间</w:t>
      </w:r>
      <w:r>
        <w:rPr>
          <w:rFonts w:hint="eastAsia"/>
        </w:rPr>
        <w:t>：</w:t>
      </w:r>
      <w:r>
        <w:rPr>
          <w:rFonts w:hint="eastAsia"/>
          <w:color w:val="000000" w:themeColor="text1"/>
          <w:lang w:eastAsia="zh-CN"/>
          <w14:textFill>
            <w14:solidFill>
              <w14:schemeClr w14:val="tx1"/>
            </w14:solidFill>
          </w14:textFill>
        </w:rPr>
        <w:t>2022年</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月</w:t>
      </w:r>
      <w:r>
        <w:rPr>
          <w:rFonts w:hint="eastAsia"/>
          <w:color w:val="000000" w:themeColor="text1"/>
          <w:lang w:val="en-US" w:eastAsia="zh-CN"/>
          <w14:textFill>
            <w14:solidFill>
              <w14:schemeClr w14:val="tx1"/>
            </w14:solidFill>
          </w14:textFill>
        </w:rPr>
        <w:t>28</w:t>
      </w:r>
      <w:r>
        <w:rPr>
          <w:rFonts w:hint="eastAsia"/>
          <w:color w:val="000000" w:themeColor="text1"/>
          <w14:textFill>
            <w14:solidFill>
              <w14:schemeClr w14:val="tx1"/>
            </w14:solidFill>
          </w14:textFill>
        </w:rPr>
        <w:t>日</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lang w:val="en-US"/>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lang w:val="en-US"/>
          <w14:textFill>
            <w14:solidFill>
              <w14:schemeClr w14:val="tx1"/>
            </w14:solidFill>
          </w14:textFill>
        </w:rPr>
        <w:t>0</w:t>
      </w:r>
      <w:r>
        <w:rPr>
          <w:rFonts w:hint="eastAsia"/>
          <w:highlight w:val="none"/>
        </w:rPr>
        <w:t>（北京时间）</w:t>
      </w:r>
      <w:r>
        <w:rPr>
          <w:rFonts w:hint="eastAsia"/>
        </w:rPr>
        <w:t>在磋商地点开启。</w:t>
      </w:r>
    </w:p>
    <w:p>
      <w:pPr>
        <w:ind w:firstLine="482"/>
        <w:rPr>
          <w:rFonts w:hint="eastAsia" w:eastAsia="宋体"/>
          <w:u w:val="single"/>
          <w:lang w:eastAsia="zh-CN"/>
        </w:rPr>
      </w:pPr>
      <w:r>
        <w:rPr>
          <w:rStyle w:val="32"/>
          <w:rFonts w:hint="eastAsia"/>
        </w:rPr>
        <w:t>十一、磋商地点</w:t>
      </w:r>
      <w:r>
        <w:rPr>
          <w:rFonts w:hint="eastAsia"/>
        </w:rPr>
        <w:t>：</w:t>
      </w:r>
      <w:r>
        <w:rPr>
          <w:rFonts w:hint="eastAsia"/>
          <w:b/>
          <w:bCs/>
          <w:u w:val="single"/>
          <w:lang w:eastAsia="zh-CN"/>
        </w:rPr>
        <w:t>德阳市密江街8号富贵世家8栋2-11、2-12号四川正焜项目管理有限公司</w:t>
      </w:r>
    </w:p>
    <w:p>
      <w:pPr>
        <w:pStyle w:val="5"/>
        <w:ind w:firstLine="482"/>
      </w:pPr>
      <w:r>
        <w:rPr>
          <w:rFonts w:hint="eastAsia"/>
        </w:rPr>
        <w:t>十二、联系方式：</w:t>
      </w:r>
    </w:p>
    <w:p>
      <w:pPr>
        <w:ind w:left="721" w:leftChars="200" w:hanging="241" w:hangingChars="100"/>
        <w:rPr>
          <w:rFonts w:hint="eastAsia" w:eastAsia="宋体"/>
          <w:b/>
          <w:bCs/>
          <w:lang w:eastAsia="zh-CN"/>
        </w:rPr>
      </w:pPr>
      <w:r>
        <w:rPr>
          <w:rFonts w:hint="eastAsia"/>
          <w:b/>
          <w:bCs/>
        </w:rPr>
        <w:t>采购人：</w:t>
      </w:r>
      <w:r>
        <w:rPr>
          <w:rFonts w:hint="eastAsia"/>
          <w:b/>
          <w:bCs/>
          <w:lang w:val="en-US"/>
        </w:rPr>
        <w:t>德阳市旌阳区文化体育广播电视和旅游局</w:t>
      </w:r>
    </w:p>
    <w:p>
      <w:pPr>
        <w:pStyle w:val="38"/>
        <w:keepNext w:val="0"/>
        <w:keepLines w:val="0"/>
        <w:pageBreakBefore w:val="0"/>
        <w:widowControl/>
        <w:kinsoku/>
        <w:overflowPunct/>
        <w:bidi w:val="0"/>
        <w:rPr>
          <w:rFonts w:hint="eastAsia" w:ascii="宋体" w:hAnsi="宋体" w:cs="宋体"/>
          <w:bCs/>
          <w:sz w:val="24"/>
        </w:rPr>
      </w:pPr>
      <w:r>
        <w:rPr>
          <w:rFonts w:hint="eastAsia" w:ascii="宋体" w:hAnsi="宋体" w:cs="宋体"/>
          <w:bCs/>
          <w:sz w:val="24"/>
        </w:rPr>
        <w:t xml:space="preserve">地    址：德阳市旌阳区绵远街一段79号 </w:t>
      </w:r>
    </w:p>
    <w:p>
      <w:pPr>
        <w:ind w:firstLine="482"/>
        <w:rPr>
          <w:rFonts w:hint="eastAsia" w:ascii="宋体" w:hAnsi="宋体" w:cs="宋体"/>
          <w:bCs/>
          <w:sz w:val="24"/>
        </w:rPr>
      </w:pPr>
      <w:r>
        <w:rPr>
          <w:rFonts w:hint="eastAsia" w:ascii="宋体" w:hAnsi="宋体" w:cs="宋体"/>
          <w:bCs/>
          <w:sz w:val="24"/>
        </w:rPr>
        <w:t>联 系 人：张老师</w:t>
      </w:r>
    </w:p>
    <w:p>
      <w:pPr>
        <w:ind w:firstLine="482"/>
        <w:rPr>
          <w:rFonts w:hint="eastAsia" w:ascii="宋体" w:hAnsi="宋体" w:cs="宋体"/>
          <w:bCs/>
          <w:sz w:val="24"/>
        </w:rPr>
      </w:pPr>
      <w:r>
        <w:rPr>
          <w:rFonts w:hint="eastAsia" w:ascii="宋体" w:hAnsi="宋体" w:cs="宋体"/>
          <w:bCs/>
          <w:sz w:val="24"/>
        </w:rPr>
        <w:t>联系电话：0838-5928215</w:t>
      </w:r>
    </w:p>
    <w:p>
      <w:pPr>
        <w:ind w:firstLine="482"/>
        <w:rPr>
          <w:b/>
          <w:bCs/>
        </w:rPr>
      </w:pPr>
      <w:r>
        <w:rPr>
          <w:rFonts w:hint="eastAsia"/>
          <w:b/>
          <w:bCs/>
        </w:rPr>
        <w:t>采购代理机构：</w:t>
      </w:r>
      <w:r>
        <w:rPr>
          <w:rFonts w:hint="eastAsia"/>
          <w:b/>
          <w:bCs/>
          <w:lang w:val="en-US"/>
        </w:rPr>
        <w:t>四川正焜项目管理有限公司</w:t>
      </w:r>
      <w:r>
        <w:rPr>
          <w:rFonts w:hint="eastAsia"/>
          <w:b/>
          <w:bCs/>
        </w:rPr>
        <w:t xml:space="preserve"> </w:t>
      </w:r>
    </w:p>
    <w:p>
      <w:pPr>
        <w:ind w:firstLine="480"/>
      </w:pPr>
      <w:r>
        <w:rPr>
          <w:rFonts w:hint="eastAsia"/>
        </w:rPr>
        <w:t>地    址：</w:t>
      </w:r>
      <w:r>
        <w:rPr>
          <w:rFonts w:hint="eastAsia"/>
          <w:lang w:eastAsia="zh-CN"/>
        </w:rPr>
        <w:t>德阳市密江街8号富贵世家8栋2-11、2-12号</w:t>
      </w:r>
      <w:r>
        <w:rPr>
          <w:rFonts w:hint="eastAsia"/>
        </w:rPr>
        <w:t xml:space="preserve"> </w:t>
      </w:r>
    </w:p>
    <w:p>
      <w:pPr>
        <w:ind w:firstLine="480"/>
      </w:pPr>
      <w:r>
        <w:rPr>
          <w:rFonts w:hint="eastAsia"/>
        </w:rPr>
        <w:t>开户行：长城华西股份有限公司德阳旌阳支行</w:t>
      </w:r>
    </w:p>
    <w:p>
      <w:pPr>
        <w:ind w:firstLine="480"/>
      </w:pPr>
      <w:r>
        <w:rPr>
          <w:rFonts w:hint="eastAsia"/>
        </w:rPr>
        <w:t xml:space="preserve">银行账号：1008110000001456 </w:t>
      </w:r>
    </w:p>
    <w:p>
      <w:pPr>
        <w:ind w:firstLine="480"/>
      </w:pPr>
      <w:r>
        <w:rPr>
          <w:rFonts w:hint="eastAsia"/>
        </w:rPr>
        <w:t>邮    编：</w:t>
      </w:r>
      <w:r>
        <w:rPr>
          <w:rFonts w:hint="eastAsia"/>
          <w:lang w:val="en-US"/>
        </w:rPr>
        <w:t>618000</w:t>
      </w:r>
    </w:p>
    <w:p>
      <w:pPr>
        <w:ind w:firstLine="480"/>
        <w:rPr>
          <w:rFonts w:hint="default" w:eastAsia="宋体"/>
          <w:lang w:val="en-US" w:eastAsia="zh-CN"/>
        </w:rPr>
      </w:pPr>
      <w:r>
        <w:rPr>
          <w:rFonts w:hint="eastAsia"/>
        </w:rPr>
        <w:t>联 系 人：</w:t>
      </w:r>
      <w:r>
        <w:rPr>
          <w:rFonts w:hint="eastAsia"/>
          <w:lang w:val="en-US" w:eastAsia="zh-CN"/>
        </w:rPr>
        <w:t>徐先生</w:t>
      </w:r>
    </w:p>
    <w:p>
      <w:pPr>
        <w:ind w:firstLine="480"/>
        <w:rPr>
          <w:rFonts w:hint="eastAsia" w:eastAsia="宋体"/>
          <w:lang w:val="en-US" w:eastAsia="zh-CN"/>
        </w:rPr>
      </w:pPr>
      <w:r>
        <w:rPr>
          <w:rFonts w:hint="eastAsia"/>
        </w:rPr>
        <w:t>联系电话：</w:t>
      </w:r>
      <w:r>
        <w:rPr>
          <w:rFonts w:hint="eastAsia"/>
          <w:lang w:val="en-US"/>
        </w:rPr>
        <w:t>0838-386652</w:t>
      </w:r>
      <w:r>
        <w:rPr>
          <w:rFonts w:hint="eastAsia"/>
          <w:lang w:val="en-US" w:eastAsia="zh-CN"/>
        </w:rPr>
        <w:t>1</w:t>
      </w:r>
    </w:p>
    <w:p>
      <w:pPr>
        <w:ind w:firstLine="480"/>
        <w:rPr>
          <w:lang w:val="en-US"/>
        </w:rPr>
      </w:pPr>
      <w:r>
        <w:rPr>
          <w:rFonts w:hint="eastAsia"/>
        </w:rPr>
        <w:t>电子邮件</w:t>
      </w:r>
      <w:r>
        <w:rPr>
          <w:rFonts w:hint="eastAsia"/>
          <w:lang w:val="en-US"/>
        </w:rPr>
        <w:t xml:space="preserve">：2256473872@qq.com                                    </w:t>
      </w:r>
    </w:p>
    <w:p>
      <w:pPr>
        <w:ind w:firstLine="480"/>
        <w:rPr>
          <w:lang w:val="en-US"/>
        </w:rPr>
      </w:pPr>
      <w:bookmarkStart w:id="6" w:name="_Toc29379"/>
      <w:r>
        <w:rPr>
          <w:rFonts w:hint="eastAsia"/>
          <w:lang w:val="en-US"/>
        </w:rPr>
        <w:br w:type="page"/>
      </w:r>
    </w:p>
    <w:p>
      <w:pPr>
        <w:pStyle w:val="3"/>
        <w:ind w:firstLine="0" w:firstLineChars="0"/>
      </w:pPr>
      <w:r>
        <w:rPr>
          <w:rFonts w:hint="eastAsia"/>
        </w:rPr>
        <w:t>第二章  磋商须知</w:t>
      </w:r>
      <w:bookmarkEnd w:id="6"/>
    </w:p>
    <w:p>
      <w:pPr>
        <w:pStyle w:val="4"/>
        <w:ind w:firstLine="0" w:firstLineChars="0"/>
      </w:pPr>
      <w:r>
        <w:rPr>
          <w:rFonts w:hint="eastAsia"/>
        </w:rPr>
        <w:t>一、供应商须知附表</w:t>
      </w:r>
    </w:p>
    <w:tbl>
      <w:tblPr>
        <w:tblStyle w:val="24"/>
        <w:tblW w:w="10050"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870"/>
        <w:gridCol w:w="2748"/>
        <w:gridCol w:w="6432"/>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blHeader/>
          <w:jc w:val="center"/>
        </w:trPr>
        <w:tc>
          <w:tcPr>
            <w:tcW w:w="870" w:type="dxa"/>
            <w:vAlign w:val="center"/>
          </w:tcPr>
          <w:p>
            <w:pPr>
              <w:pStyle w:val="36"/>
              <w:ind w:left="9"/>
              <w:jc w:val="center"/>
              <w:rPr>
                <w:b/>
                <w:bCs/>
                <w:lang w:val="zh-CN"/>
              </w:rPr>
            </w:pPr>
            <w:r>
              <w:rPr>
                <w:rFonts w:hint="eastAsia"/>
                <w:b/>
                <w:bCs/>
                <w:lang w:val="zh-CN"/>
              </w:rPr>
              <w:t xml:space="preserve">序号 </w:t>
            </w:r>
          </w:p>
        </w:tc>
        <w:tc>
          <w:tcPr>
            <w:tcW w:w="2748" w:type="dxa"/>
            <w:vAlign w:val="center"/>
          </w:tcPr>
          <w:p>
            <w:pPr>
              <w:pStyle w:val="36"/>
              <w:ind w:left="38"/>
              <w:jc w:val="center"/>
              <w:rPr>
                <w:b/>
                <w:bCs/>
                <w:lang w:val="zh-CN"/>
              </w:rPr>
            </w:pPr>
            <w:r>
              <w:rPr>
                <w:rFonts w:hint="eastAsia"/>
                <w:b/>
                <w:bCs/>
                <w:lang w:val="zh-CN"/>
              </w:rPr>
              <w:t xml:space="preserve">应知事项 </w:t>
            </w:r>
          </w:p>
        </w:tc>
        <w:tc>
          <w:tcPr>
            <w:tcW w:w="6432" w:type="dxa"/>
            <w:vAlign w:val="center"/>
          </w:tcPr>
          <w:p>
            <w:pPr>
              <w:pStyle w:val="36"/>
              <w:jc w:val="center"/>
              <w:rPr>
                <w:b/>
                <w:bCs/>
                <w:lang w:val="zh-CN"/>
              </w:rPr>
            </w:pPr>
            <w:r>
              <w:rPr>
                <w:rFonts w:hint="eastAsia"/>
                <w:b/>
                <w:bCs/>
                <w:lang w:val="zh-CN"/>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870" w:type="dxa"/>
            <w:vAlign w:val="center"/>
          </w:tcPr>
          <w:p>
            <w:pPr>
              <w:pStyle w:val="36"/>
              <w:ind w:right="230"/>
              <w:jc w:val="center"/>
              <w:rPr>
                <w:b/>
                <w:bCs/>
                <w:lang w:val="zh-CN"/>
              </w:rPr>
            </w:pPr>
            <w:r>
              <w:rPr>
                <w:rFonts w:hint="eastAsia"/>
                <w:b/>
                <w:bCs/>
                <w:lang w:val="zh-CN"/>
              </w:rPr>
              <w:t>1</w:t>
            </w:r>
          </w:p>
        </w:tc>
        <w:tc>
          <w:tcPr>
            <w:tcW w:w="2748" w:type="dxa"/>
            <w:vAlign w:val="center"/>
          </w:tcPr>
          <w:p>
            <w:pPr>
              <w:pStyle w:val="36"/>
              <w:ind w:left="38"/>
              <w:jc w:val="center"/>
              <w:rPr>
                <w:b/>
                <w:bCs/>
                <w:lang w:val="zh-CN"/>
              </w:rPr>
            </w:pPr>
            <w:r>
              <w:rPr>
                <w:rFonts w:hint="eastAsia"/>
                <w:b/>
                <w:bCs/>
                <w:lang w:val="zh-CN"/>
              </w:rPr>
              <w:t>确定邀请磋商的供应商数量和方式</w:t>
            </w:r>
          </w:p>
        </w:tc>
        <w:tc>
          <w:tcPr>
            <w:tcW w:w="6432" w:type="dxa"/>
            <w:vAlign w:val="center"/>
          </w:tcPr>
          <w:p>
            <w:pPr>
              <w:spacing w:line="240" w:lineRule="auto"/>
              <w:ind w:firstLine="0" w:firstLineChars="0"/>
              <w:rPr>
                <w:color w:val="000000" w:themeColor="text1"/>
                <w:highlight w:val="yellow"/>
                <w14:textFill>
                  <w14:solidFill>
                    <w14:schemeClr w14:val="tx1"/>
                  </w14:solidFill>
                </w14:textFill>
              </w:rPr>
            </w:pPr>
            <w:r>
              <w:rPr>
                <w:rFonts w:hint="eastAsia"/>
                <w:color w:val="000000" w:themeColor="text1"/>
                <w14:textFill>
                  <w14:solidFill>
                    <w14:schemeClr w14:val="tx1"/>
                  </w14:solidFill>
                </w14:textFill>
              </w:rPr>
              <w:t>本次磋商邀请的供应商数量：三家及以上。</w:t>
            </w:r>
          </w:p>
          <w:p>
            <w:pPr>
              <w:spacing w:line="240" w:lineRule="auto"/>
              <w:ind w:firstLine="0" w:firstLineChars="0"/>
            </w:pPr>
            <w:r>
              <w:rPr>
                <w:rFonts w:hint="eastAsia"/>
              </w:rPr>
              <w:t>本次采购采取在</w:t>
            </w:r>
            <w:r>
              <w:rPr>
                <w:rFonts w:hint="eastAsia"/>
                <w:lang w:eastAsia="zh-CN"/>
              </w:rPr>
              <w:t>中国政府采购网</w:t>
            </w:r>
            <w:r>
              <w:rPr>
                <w:rFonts w:hint="eastAsia"/>
              </w:rPr>
              <w:t>上以公告形式的方式邀请参加磋商的供应商。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870" w:type="dxa"/>
            <w:vAlign w:val="center"/>
          </w:tcPr>
          <w:p>
            <w:pPr>
              <w:pStyle w:val="36"/>
              <w:ind w:right="230"/>
              <w:jc w:val="center"/>
              <w:rPr>
                <w:b/>
                <w:bCs/>
                <w:lang w:val="zh-CN"/>
              </w:rPr>
            </w:pPr>
            <w:r>
              <w:rPr>
                <w:rFonts w:hint="eastAsia"/>
                <w:b/>
                <w:bCs/>
                <w:lang w:val="zh-CN"/>
              </w:rPr>
              <w:t>2</w:t>
            </w:r>
          </w:p>
        </w:tc>
        <w:tc>
          <w:tcPr>
            <w:tcW w:w="2748" w:type="dxa"/>
            <w:vAlign w:val="center"/>
          </w:tcPr>
          <w:p>
            <w:pPr>
              <w:pStyle w:val="36"/>
              <w:ind w:left="38"/>
              <w:jc w:val="center"/>
              <w:rPr>
                <w:b/>
                <w:bCs/>
                <w:lang w:val="zh-CN"/>
              </w:rPr>
            </w:pPr>
            <w:r>
              <w:rPr>
                <w:rFonts w:hint="eastAsia"/>
                <w:b/>
                <w:bCs/>
                <w:lang w:val="zh-CN"/>
              </w:rPr>
              <w:t>采购预算</w:t>
            </w:r>
          </w:p>
          <w:p>
            <w:pPr>
              <w:pStyle w:val="36"/>
              <w:ind w:left="38"/>
              <w:jc w:val="center"/>
              <w:rPr>
                <w:b/>
                <w:bCs/>
                <w:lang w:val="zh-CN"/>
              </w:rPr>
            </w:pPr>
            <w:r>
              <w:rPr>
                <w:rFonts w:hint="eastAsia"/>
                <w:b/>
                <w:bCs/>
                <w:lang w:val="zh-CN"/>
              </w:rPr>
              <w:t>（实质性要求）</w:t>
            </w:r>
          </w:p>
        </w:tc>
        <w:tc>
          <w:tcPr>
            <w:tcW w:w="6432" w:type="dxa"/>
          </w:tcPr>
          <w:p>
            <w:pPr>
              <w:spacing w:line="240" w:lineRule="auto"/>
              <w:ind w:firstLine="0" w:firstLineChars="0"/>
              <w:rPr>
                <w:rFonts w:hint="default"/>
                <w:lang w:val="en-US"/>
              </w:rPr>
            </w:pPr>
            <w:r>
              <w:rPr>
                <w:rFonts w:hint="eastAsia"/>
              </w:rPr>
              <w:t>采购预算：</w:t>
            </w:r>
            <w:r>
              <w:rPr>
                <w:rFonts w:hint="eastAsia"/>
                <w:highlight w:val="yellow"/>
                <w:lang w:val="en-US" w:eastAsia="zh-CN"/>
              </w:rPr>
              <w:t>15.6万元</w:t>
            </w:r>
          </w:p>
          <w:p>
            <w:pPr>
              <w:spacing w:line="240" w:lineRule="auto"/>
              <w:ind w:firstLine="0" w:firstLineChars="0"/>
            </w:pPr>
            <w:r>
              <w:rPr>
                <w:rFonts w:hint="eastAsia"/>
              </w:rPr>
              <w:t>超过采购预算的报价无效。</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870" w:type="dxa"/>
            <w:vAlign w:val="center"/>
          </w:tcPr>
          <w:p>
            <w:pPr>
              <w:pStyle w:val="36"/>
              <w:ind w:right="230"/>
              <w:jc w:val="center"/>
              <w:rPr>
                <w:b/>
                <w:bCs/>
                <w:lang w:val="zh-CN"/>
              </w:rPr>
            </w:pPr>
            <w:r>
              <w:rPr>
                <w:rFonts w:hint="eastAsia"/>
                <w:b/>
                <w:bCs/>
                <w:lang w:val="zh-CN"/>
              </w:rPr>
              <w:t>3</w:t>
            </w:r>
          </w:p>
        </w:tc>
        <w:tc>
          <w:tcPr>
            <w:tcW w:w="2748" w:type="dxa"/>
            <w:vAlign w:val="center"/>
          </w:tcPr>
          <w:p>
            <w:pPr>
              <w:pStyle w:val="36"/>
              <w:spacing w:line="240" w:lineRule="auto"/>
              <w:ind w:left="38"/>
              <w:jc w:val="center"/>
              <w:rPr>
                <w:b/>
                <w:bCs/>
                <w:color w:val="auto"/>
                <w:highlight w:val="none"/>
                <w:lang w:val="zh-CN"/>
              </w:rPr>
            </w:pPr>
            <w:r>
              <w:rPr>
                <w:rFonts w:hint="eastAsia"/>
                <w:b/>
                <w:bCs/>
                <w:color w:val="auto"/>
                <w:highlight w:val="none"/>
                <w:lang w:val="zh-CN"/>
              </w:rPr>
              <w:t>最高限价</w:t>
            </w:r>
          </w:p>
          <w:p>
            <w:pPr>
              <w:pStyle w:val="36"/>
              <w:spacing w:line="240" w:lineRule="auto"/>
              <w:ind w:left="38"/>
              <w:jc w:val="center"/>
              <w:rPr>
                <w:b/>
                <w:bCs/>
                <w:color w:val="auto"/>
                <w:highlight w:val="none"/>
                <w:lang w:val="zh-CN"/>
              </w:rPr>
            </w:pPr>
            <w:r>
              <w:rPr>
                <w:rFonts w:hint="eastAsia"/>
                <w:b/>
                <w:bCs/>
                <w:color w:val="auto"/>
                <w:highlight w:val="none"/>
                <w:lang w:val="zh-CN"/>
              </w:rPr>
              <w:t>（实质性要求）</w:t>
            </w:r>
          </w:p>
        </w:tc>
        <w:tc>
          <w:tcPr>
            <w:tcW w:w="643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hAnsi="宋体" w:eastAsia="宋体" w:cs="Times New Roman"/>
                <w:b w:val="0"/>
                <w:bCs w:val="0"/>
                <w:color w:val="auto"/>
                <w:sz w:val="24"/>
                <w:highlight w:val="none"/>
                <w:lang w:val="en-US" w:eastAsia="zh-CN"/>
              </w:rPr>
            </w:pPr>
            <w:r>
              <w:rPr>
                <w:rFonts w:hint="eastAsia"/>
                <w:b w:val="0"/>
                <w:bCs w:val="0"/>
                <w:color w:val="auto"/>
                <w:highlight w:val="none"/>
              </w:rPr>
              <w:t>最高限价：</w:t>
            </w:r>
            <w:r>
              <w:rPr>
                <w:rFonts w:hint="eastAsia"/>
                <w:b w:val="0"/>
                <w:bCs w:val="0"/>
                <w:color w:val="auto"/>
                <w:highlight w:val="yellow"/>
                <w:lang w:val="en-US" w:eastAsia="zh-CN"/>
              </w:rPr>
              <w:t>15.6万元</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b w:val="0"/>
                <w:bCs w:val="0"/>
                <w:color w:val="auto"/>
                <w:highlight w:val="none"/>
              </w:rPr>
            </w:pPr>
            <w:r>
              <w:rPr>
                <w:rFonts w:hint="eastAsia"/>
                <w:b w:val="0"/>
                <w:bCs w:val="0"/>
                <w:color w:val="auto"/>
                <w:highlight w:val="none"/>
              </w:rPr>
              <w:t>超过最高限价的报价无效。</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870" w:type="dxa"/>
            <w:vAlign w:val="center"/>
          </w:tcPr>
          <w:p>
            <w:pPr>
              <w:pStyle w:val="36"/>
              <w:ind w:right="230"/>
              <w:jc w:val="center"/>
              <w:rPr>
                <w:b/>
                <w:bCs/>
                <w:lang w:val="zh-CN"/>
              </w:rPr>
            </w:pPr>
            <w:r>
              <w:rPr>
                <w:rFonts w:hint="eastAsia"/>
                <w:b/>
                <w:bCs/>
                <w:lang w:val="zh-CN"/>
              </w:rPr>
              <w:t>4</w:t>
            </w:r>
          </w:p>
        </w:tc>
        <w:tc>
          <w:tcPr>
            <w:tcW w:w="2748" w:type="dxa"/>
            <w:vAlign w:val="center"/>
          </w:tcPr>
          <w:p>
            <w:pPr>
              <w:pStyle w:val="36"/>
              <w:ind w:left="38"/>
              <w:jc w:val="center"/>
              <w:rPr>
                <w:b/>
                <w:bCs/>
                <w:lang w:val="zh-CN"/>
              </w:rPr>
            </w:pPr>
            <w:r>
              <w:rPr>
                <w:rFonts w:hint="eastAsia"/>
                <w:b/>
                <w:bCs/>
                <w:lang w:val="zh-CN"/>
              </w:rPr>
              <w:t>联合体</w:t>
            </w:r>
          </w:p>
        </w:tc>
        <w:tc>
          <w:tcPr>
            <w:tcW w:w="6432" w:type="dxa"/>
            <w:vAlign w:val="center"/>
          </w:tcPr>
          <w:p>
            <w:pPr>
              <w:spacing w:line="240" w:lineRule="auto"/>
              <w:ind w:firstLine="0" w:firstLineChars="0"/>
            </w:pPr>
            <w:r>
              <w:rPr>
                <w:rFonts w:hint="eastAsia"/>
              </w:rPr>
              <w:t>不允许联合体</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2" w:hRule="atLeast"/>
          <w:jc w:val="center"/>
        </w:trPr>
        <w:tc>
          <w:tcPr>
            <w:tcW w:w="870" w:type="dxa"/>
            <w:vAlign w:val="center"/>
          </w:tcPr>
          <w:p>
            <w:pPr>
              <w:pStyle w:val="36"/>
              <w:ind w:right="230"/>
              <w:jc w:val="center"/>
              <w:rPr>
                <w:b/>
                <w:bCs/>
                <w:lang w:val="zh-CN"/>
              </w:rPr>
            </w:pPr>
            <w:r>
              <w:rPr>
                <w:rFonts w:hint="eastAsia"/>
                <w:b/>
                <w:bCs/>
                <w:lang w:val="zh-CN"/>
              </w:rPr>
              <w:t>5</w:t>
            </w:r>
          </w:p>
        </w:tc>
        <w:tc>
          <w:tcPr>
            <w:tcW w:w="2748" w:type="dxa"/>
            <w:vAlign w:val="center"/>
          </w:tcPr>
          <w:p>
            <w:pPr>
              <w:pStyle w:val="36"/>
              <w:ind w:left="38"/>
              <w:jc w:val="center"/>
              <w:rPr>
                <w:b/>
                <w:bCs/>
              </w:rPr>
            </w:pPr>
            <w:r>
              <w:rPr>
                <w:rFonts w:hint="eastAsia"/>
                <w:b/>
                <w:bCs/>
              </w:rPr>
              <w:t>低于成本价</w:t>
            </w:r>
          </w:p>
          <w:p>
            <w:pPr>
              <w:pStyle w:val="36"/>
              <w:ind w:left="38"/>
              <w:jc w:val="center"/>
              <w:rPr>
                <w:b/>
                <w:bCs/>
              </w:rPr>
            </w:pPr>
            <w:r>
              <w:rPr>
                <w:rFonts w:hint="eastAsia"/>
                <w:b/>
                <w:bCs/>
              </w:rPr>
              <w:t>不正当竞争预防措施</w:t>
            </w:r>
          </w:p>
          <w:p>
            <w:pPr>
              <w:pStyle w:val="36"/>
              <w:ind w:left="38" w:leftChars="0"/>
              <w:jc w:val="center"/>
              <w:rPr>
                <w:b/>
                <w:bCs/>
              </w:rPr>
            </w:pPr>
            <w:r>
              <w:rPr>
                <w:rFonts w:hint="eastAsia"/>
                <w:b/>
                <w:bCs/>
              </w:rPr>
              <w:t>（实质性要求）</w:t>
            </w:r>
          </w:p>
        </w:tc>
        <w:tc>
          <w:tcPr>
            <w:tcW w:w="6432" w:type="dxa"/>
            <w:vAlign w:val="center"/>
          </w:tcPr>
          <w:p>
            <w:pPr>
              <w:spacing w:line="240" w:lineRule="auto"/>
              <w:ind w:firstLine="480"/>
            </w:pPr>
            <w:r>
              <w:rPr>
                <w:rFonts w:hint="eastAsia"/>
              </w:rPr>
              <w:t>1. 在评审过程中，供应商报价低于采购预算的50%或者低于其他有效供应商报价算术平均价的40%，有可能影响产品质量或者不能诚信履约的，磋商小组应当要求其在磋商现场合理的时间内提供书面说明，并提交相关证明材料，供应商不能证明其报价合理性的，磋商小组应当将其作为无效处理。</w:t>
            </w:r>
          </w:p>
          <w:p>
            <w:pPr>
              <w:spacing w:line="240" w:lineRule="auto"/>
              <w:ind w:firstLine="480"/>
            </w:pPr>
            <w:r>
              <w:rPr>
                <w:rFonts w:hint="eastAsia"/>
              </w:rPr>
              <w:t>供应商的书面说明材料应当按照国家财务会计制度的规定要求，逐项就供应商提供的货物、工程和服务的主营业务成本、税金及附加、销售费用、管理费用、财务费用等成本构成事项详细陈述）。</w:t>
            </w:r>
          </w:p>
          <w:p>
            <w:pPr>
              <w:spacing w:line="240" w:lineRule="auto"/>
              <w:ind w:firstLine="480"/>
            </w:pPr>
            <w:r>
              <w:rPr>
                <w:rFonts w:hint="eastAsia"/>
              </w:rPr>
              <w:t xml:space="preserve">2. 供应商书面说明应当签字确认或者加盖公章，否则无效。书面说明的签字确认，由其法定代表人/主要负责人/本人或者其授权代表签字确认。 </w:t>
            </w:r>
          </w:p>
          <w:p>
            <w:pPr>
              <w:spacing w:line="240" w:lineRule="auto"/>
              <w:ind w:firstLine="480" w:firstLineChars="200"/>
            </w:pPr>
            <w:r>
              <w:rPr>
                <w:rFonts w:hint="eastAsia"/>
              </w:rPr>
              <w:t>3.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磋商小组应当将其响应文件作为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870" w:type="dxa"/>
            <w:vAlign w:val="center"/>
          </w:tcPr>
          <w:p>
            <w:pPr>
              <w:pStyle w:val="36"/>
              <w:ind w:right="230"/>
              <w:jc w:val="center"/>
              <w:rPr>
                <w:rFonts w:hint="eastAsia" w:eastAsia="宋体"/>
                <w:b/>
                <w:bCs/>
                <w:lang w:val="zh-CN" w:eastAsia="zh-CN"/>
              </w:rPr>
            </w:pPr>
            <w:r>
              <w:rPr>
                <w:rFonts w:hint="eastAsia"/>
                <w:b/>
                <w:bCs/>
                <w:lang w:val="en-US" w:eastAsia="zh-CN"/>
              </w:rPr>
              <w:t>6</w:t>
            </w:r>
          </w:p>
        </w:tc>
        <w:tc>
          <w:tcPr>
            <w:tcW w:w="2748" w:type="dxa"/>
            <w:vAlign w:val="center"/>
          </w:tcPr>
          <w:p>
            <w:pPr>
              <w:pStyle w:val="36"/>
              <w:ind w:left="38"/>
              <w:jc w:val="center"/>
              <w:rPr>
                <w:b/>
                <w:bCs/>
                <w:lang w:val="zh-CN"/>
              </w:rPr>
            </w:pPr>
            <w:r>
              <w:rPr>
                <w:rFonts w:hint="eastAsia"/>
                <w:b/>
                <w:bCs/>
                <w:lang w:val="zh-CN"/>
              </w:rPr>
              <w:t>磋商情况公告</w:t>
            </w:r>
          </w:p>
        </w:tc>
        <w:tc>
          <w:tcPr>
            <w:tcW w:w="6432" w:type="dxa"/>
            <w:vAlign w:val="center"/>
          </w:tcPr>
          <w:p>
            <w:pPr>
              <w:pStyle w:val="36"/>
              <w:jc w:val="both"/>
              <w:rPr>
                <w:lang w:val="zh-CN"/>
              </w:rPr>
            </w:pPr>
            <w:r>
              <w:rPr>
                <w:rFonts w:hint="eastAsia"/>
                <w:lang w:val="en-US" w:eastAsia="zh-CN"/>
              </w:rPr>
              <w:t>在</w:t>
            </w:r>
            <w:r>
              <w:rPr>
                <w:rFonts w:hint="eastAsia"/>
                <w:lang w:val="zh-CN"/>
              </w:rPr>
              <w:t>中国政府采购网上采购结果公告栏中予以公告。</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870" w:type="dxa"/>
            <w:vAlign w:val="center"/>
          </w:tcPr>
          <w:p>
            <w:pPr>
              <w:pStyle w:val="36"/>
              <w:ind w:right="230"/>
              <w:jc w:val="center"/>
              <w:rPr>
                <w:rFonts w:hint="eastAsia" w:eastAsia="宋体"/>
                <w:b/>
                <w:bCs/>
                <w:lang w:val="zh-CN" w:eastAsia="zh-CN"/>
              </w:rPr>
            </w:pPr>
            <w:r>
              <w:rPr>
                <w:rFonts w:hint="eastAsia"/>
                <w:b/>
                <w:bCs/>
                <w:lang w:val="en-US" w:eastAsia="zh-CN"/>
              </w:rPr>
              <w:t>7</w:t>
            </w:r>
          </w:p>
        </w:tc>
        <w:tc>
          <w:tcPr>
            <w:tcW w:w="2748" w:type="dxa"/>
            <w:vAlign w:val="center"/>
          </w:tcPr>
          <w:p>
            <w:pPr>
              <w:pStyle w:val="36"/>
              <w:ind w:left="38"/>
              <w:jc w:val="center"/>
              <w:rPr>
                <w:b/>
                <w:bCs/>
                <w:lang w:val="zh-CN"/>
              </w:rPr>
            </w:pPr>
            <w:r>
              <w:rPr>
                <w:rFonts w:hint="eastAsia"/>
                <w:b/>
                <w:bCs/>
                <w:lang w:val="zh-CN"/>
              </w:rPr>
              <w:t>磋商保证金</w:t>
            </w:r>
          </w:p>
        </w:tc>
        <w:tc>
          <w:tcPr>
            <w:tcW w:w="6432" w:type="dxa"/>
            <w:vAlign w:val="center"/>
          </w:tcPr>
          <w:p>
            <w:pPr>
              <w:pStyle w:val="13"/>
              <w:spacing w:line="240" w:lineRule="auto"/>
              <w:ind w:left="0" w:leftChars="0" w:firstLine="0" w:firstLineChars="0"/>
              <w:rPr>
                <w:rFonts w:hint="default"/>
                <w:lang w:val="en-US" w:eastAsia="zh-CN"/>
              </w:rPr>
            </w:pPr>
            <w:r>
              <w:rPr>
                <w:rFonts w:hint="default"/>
                <w:lang w:val="en-US" w:eastAsia="zh-CN"/>
              </w:rPr>
              <w:t>本项目保证金：</w:t>
            </w:r>
            <w:r>
              <w:rPr>
                <w:rFonts w:hint="eastAsia"/>
                <w:lang w:val="en-US" w:eastAsia="zh-CN"/>
              </w:rPr>
              <w:t>3000.00</w:t>
            </w:r>
            <w:r>
              <w:rPr>
                <w:rFonts w:hint="default"/>
                <w:lang w:val="en-US" w:eastAsia="zh-CN"/>
              </w:rPr>
              <w:t>元</w:t>
            </w:r>
          </w:p>
          <w:p>
            <w:pPr>
              <w:pStyle w:val="13"/>
              <w:spacing w:line="240" w:lineRule="auto"/>
              <w:ind w:left="0" w:leftChars="0" w:firstLine="0" w:firstLineChars="0"/>
              <w:rPr>
                <w:rFonts w:hint="default"/>
                <w:lang w:val="en-US" w:eastAsia="zh-CN"/>
              </w:rPr>
            </w:pPr>
            <w:r>
              <w:rPr>
                <w:rFonts w:hint="default"/>
                <w:lang w:val="en-US" w:eastAsia="zh-CN"/>
              </w:rPr>
              <w:t>交款方式：银行转账形式（注：转账时请在附加信息处注明项目编号</w:t>
            </w:r>
            <w:r>
              <w:rPr>
                <w:rFonts w:hint="default"/>
                <w:b/>
                <w:bCs/>
                <w:u w:val="single"/>
                <w:lang w:val="en-US" w:eastAsia="zh-CN"/>
              </w:rPr>
              <w:t>ZK【2022】011号</w:t>
            </w:r>
            <w:r>
              <w:rPr>
                <w:rFonts w:hint="default"/>
                <w:lang w:val="en-US" w:eastAsia="zh-CN"/>
              </w:rPr>
              <w:t>及用途）</w:t>
            </w:r>
          </w:p>
          <w:p>
            <w:pPr>
              <w:pStyle w:val="13"/>
              <w:spacing w:line="240" w:lineRule="auto"/>
              <w:ind w:left="0" w:leftChars="0" w:firstLine="0" w:firstLineChars="0"/>
              <w:rPr>
                <w:rFonts w:hint="default"/>
                <w:lang w:val="en-US" w:eastAsia="zh-CN"/>
              </w:rPr>
            </w:pPr>
            <w:r>
              <w:rPr>
                <w:rFonts w:hint="default"/>
                <w:lang w:val="en-US" w:eastAsia="zh-CN"/>
              </w:rPr>
              <w:t>交款截止时间：</w:t>
            </w:r>
            <w:r>
              <w:rPr>
                <w:rFonts w:hint="eastAsia"/>
                <w:color w:val="000000" w:themeColor="text1"/>
                <w:lang w:eastAsia="zh-CN"/>
                <w14:textFill>
                  <w14:solidFill>
                    <w14:schemeClr w14:val="tx1"/>
                  </w14:solidFill>
                </w14:textFill>
              </w:rPr>
              <w:t>2022年</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月</w:t>
            </w:r>
            <w:r>
              <w:rPr>
                <w:rFonts w:hint="eastAsia"/>
                <w:color w:val="000000" w:themeColor="text1"/>
                <w:lang w:val="en-US" w:eastAsia="zh-CN"/>
                <w14:textFill>
                  <w14:solidFill>
                    <w14:schemeClr w14:val="tx1"/>
                  </w14:solidFill>
                </w14:textFill>
              </w:rPr>
              <w:t>28</w:t>
            </w:r>
            <w:r>
              <w:rPr>
                <w:rFonts w:hint="eastAsia"/>
                <w:color w:val="000000" w:themeColor="text1"/>
                <w14:textFill>
                  <w14:solidFill>
                    <w14:schemeClr w14:val="tx1"/>
                  </w14:solidFill>
                </w14:textFill>
              </w:rPr>
              <w:t>日</w:t>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lang w:val="en-US"/>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lang w:val="en-US"/>
                <w14:textFill>
                  <w14:solidFill>
                    <w14:schemeClr w14:val="tx1"/>
                  </w14:solidFill>
                </w14:textFill>
              </w:rPr>
              <w:t>0</w:t>
            </w:r>
            <w:r>
              <w:rPr>
                <w:rFonts w:hint="default"/>
                <w:lang w:val="en-US" w:eastAsia="zh-CN"/>
              </w:rPr>
              <w:t>前（保证金的交纳以我公司银行到账时间为准）。</w:t>
            </w:r>
          </w:p>
          <w:p>
            <w:pPr>
              <w:pStyle w:val="13"/>
              <w:spacing w:line="240" w:lineRule="auto"/>
              <w:ind w:left="0" w:leftChars="0" w:firstLine="0" w:firstLineChars="0"/>
              <w:rPr>
                <w:rFonts w:hint="default"/>
                <w:lang w:val="en-US" w:eastAsia="zh-CN"/>
              </w:rPr>
            </w:pPr>
            <w:r>
              <w:rPr>
                <w:rFonts w:hint="default"/>
                <w:lang w:val="en-US" w:eastAsia="zh-CN"/>
              </w:rPr>
              <w:t>收款单位：四川正焜项目管理有限公司</w:t>
            </w:r>
          </w:p>
          <w:p>
            <w:pPr>
              <w:pStyle w:val="13"/>
              <w:spacing w:line="240" w:lineRule="auto"/>
              <w:ind w:left="0" w:leftChars="0" w:firstLine="0" w:firstLineChars="0"/>
              <w:rPr>
                <w:rFonts w:hint="default"/>
                <w:lang w:val="en-US" w:eastAsia="zh-CN"/>
              </w:rPr>
            </w:pPr>
            <w:r>
              <w:rPr>
                <w:rFonts w:hint="default"/>
                <w:lang w:val="en-US" w:eastAsia="zh-CN"/>
              </w:rPr>
              <w:t>开户行：长城华西股份有限公司德阳旌阳支行</w:t>
            </w:r>
          </w:p>
          <w:p>
            <w:pPr>
              <w:pStyle w:val="36"/>
              <w:jc w:val="both"/>
              <w:rPr>
                <w:rFonts w:hint="eastAsia" w:eastAsia="宋体"/>
                <w:highlight w:val="yellow"/>
                <w:lang w:val="zh-CN" w:eastAsia="zh-CN"/>
              </w:rPr>
            </w:pPr>
            <w:r>
              <w:rPr>
                <w:rFonts w:hint="default"/>
                <w:lang w:val="en-US" w:eastAsia="zh-CN"/>
              </w:rPr>
              <w:t>银行账号：1008110000001456</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870" w:type="dxa"/>
            <w:vAlign w:val="center"/>
          </w:tcPr>
          <w:p>
            <w:pPr>
              <w:pStyle w:val="36"/>
              <w:ind w:right="230"/>
              <w:jc w:val="center"/>
              <w:rPr>
                <w:rFonts w:hint="eastAsia" w:eastAsia="宋体"/>
                <w:b/>
                <w:bCs/>
                <w:lang w:val="zh-CN" w:eastAsia="zh-CN"/>
              </w:rPr>
            </w:pPr>
            <w:r>
              <w:rPr>
                <w:rFonts w:hint="eastAsia"/>
                <w:b/>
                <w:bCs/>
                <w:lang w:val="en-US" w:eastAsia="zh-CN"/>
              </w:rPr>
              <w:t>8</w:t>
            </w:r>
          </w:p>
        </w:tc>
        <w:tc>
          <w:tcPr>
            <w:tcW w:w="2748" w:type="dxa"/>
            <w:shd w:val="clear" w:color="auto" w:fill="auto"/>
            <w:vAlign w:val="center"/>
          </w:tcPr>
          <w:p>
            <w:pPr>
              <w:pStyle w:val="36"/>
              <w:spacing w:line="300" w:lineRule="auto"/>
              <w:ind w:left="96"/>
              <w:jc w:val="center"/>
              <w:rPr>
                <w:b/>
                <w:bCs/>
                <w:color w:val="auto"/>
                <w:highlight w:val="none"/>
                <w:lang w:val="zh-CN"/>
              </w:rPr>
            </w:pPr>
            <w:r>
              <w:rPr>
                <w:rFonts w:hint="eastAsia"/>
                <w:b/>
                <w:bCs/>
                <w:color w:val="auto"/>
                <w:highlight w:val="none"/>
                <w:lang w:val="zh-CN"/>
              </w:rPr>
              <w:t>履约保证金</w:t>
            </w:r>
          </w:p>
        </w:tc>
        <w:tc>
          <w:tcPr>
            <w:tcW w:w="6432" w:type="dxa"/>
            <w:shd w:val="clear" w:color="auto" w:fill="auto"/>
            <w:vAlign w:val="center"/>
          </w:tcPr>
          <w:p>
            <w:pPr>
              <w:pStyle w:val="36"/>
              <w:rPr>
                <w:rFonts w:hint="default" w:eastAsia="宋体"/>
                <w:color w:val="auto"/>
                <w:highlight w:val="none"/>
                <w:lang w:val="en-US" w:eastAsia="zh-CN"/>
              </w:rPr>
            </w:pPr>
            <w:r>
              <w:rPr>
                <w:rFonts w:hint="eastAsia"/>
                <w:color w:val="auto"/>
                <w:highlight w:val="none"/>
                <w:lang w:val="en-US" w:eastAsia="zh-CN"/>
              </w:rPr>
              <w:t>本项目不收取履约保证金。</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870" w:type="dxa"/>
            <w:vAlign w:val="center"/>
          </w:tcPr>
          <w:p>
            <w:pPr>
              <w:pStyle w:val="36"/>
              <w:ind w:right="230"/>
              <w:jc w:val="center"/>
              <w:rPr>
                <w:rFonts w:hint="eastAsia" w:eastAsia="宋体"/>
                <w:b/>
                <w:bCs/>
                <w:lang w:val="zh-CN" w:eastAsia="zh-CN"/>
              </w:rPr>
            </w:pPr>
            <w:r>
              <w:rPr>
                <w:rFonts w:hint="eastAsia"/>
                <w:b/>
                <w:bCs/>
                <w:lang w:val="en-US" w:eastAsia="zh-CN"/>
              </w:rPr>
              <w:t>9</w:t>
            </w:r>
          </w:p>
        </w:tc>
        <w:tc>
          <w:tcPr>
            <w:tcW w:w="2748" w:type="dxa"/>
            <w:vAlign w:val="center"/>
          </w:tcPr>
          <w:p>
            <w:pPr>
              <w:pStyle w:val="36"/>
              <w:ind w:left="38"/>
              <w:jc w:val="center"/>
              <w:rPr>
                <w:b/>
                <w:bCs/>
                <w:lang w:val="zh-CN"/>
              </w:rPr>
            </w:pPr>
            <w:r>
              <w:rPr>
                <w:rFonts w:hint="eastAsia"/>
                <w:b/>
                <w:bCs/>
              </w:rPr>
              <w:t>磋商</w:t>
            </w:r>
            <w:r>
              <w:rPr>
                <w:rFonts w:hint="eastAsia"/>
                <w:b/>
                <w:bCs/>
                <w:lang w:val="zh-CN"/>
              </w:rPr>
              <w:t>文件咨询</w:t>
            </w:r>
          </w:p>
        </w:tc>
        <w:tc>
          <w:tcPr>
            <w:tcW w:w="6432" w:type="dxa"/>
          </w:tcPr>
          <w:p>
            <w:pPr>
              <w:pStyle w:val="36"/>
              <w:rPr>
                <w:lang w:val="zh-CN"/>
              </w:rPr>
            </w:pPr>
            <w:r>
              <w:rPr>
                <w:rFonts w:hint="eastAsia"/>
              </w:rPr>
              <w:t>联系人：</w:t>
            </w:r>
            <w:r>
              <w:rPr>
                <w:rFonts w:hint="eastAsia"/>
                <w:lang w:eastAsia="zh-CN"/>
              </w:rPr>
              <w:t>徐先生</w:t>
            </w:r>
            <w:r>
              <w:rPr>
                <w:rFonts w:hint="eastAsia"/>
                <w:lang w:val="zh-CN"/>
              </w:rPr>
              <w:t>。</w:t>
            </w:r>
            <w:r>
              <w:rPr>
                <w:rFonts w:hint="eastAsia"/>
              </w:rPr>
              <w:t xml:space="preserve">       联系电话：0838-3866521</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870" w:type="dxa"/>
            <w:vAlign w:val="center"/>
          </w:tcPr>
          <w:p>
            <w:pPr>
              <w:pStyle w:val="36"/>
              <w:ind w:right="230"/>
              <w:jc w:val="center"/>
              <w:rPr>
                <w:rFonts w:hint="eastAsia" w:eastAsia="宋体"/>
                <w:b/>
                <w:bCs/>
                <w:lang w:val="zh-CN" w:eastAsia="zh-CN"/>
              </w:rPr>
            </w:pPr>
            <w:r>
              <w:rPr>
                <w:rFonts w:hint="eastAsia"/>
                <w:b/>
                <w:bCs/>
                <w:lang w:val="zh-CN"/>
              </w:rPr>
              <w:t>1</w:t>
            </w:r>
            <w:r>
              <w:rPr>
                <w:rFonts w:hint="eastAsia"/>
                <w:b/>
                <w:bCs/>
                <w:lang w:val="en-US" w:eastAsia="zh-CN"/>
              </w:rPr>
              <w:t>0</w:t>
            </w:r>
          </w:p>
        </w:tc>
        <w:tc>
          <w:tcPr>
            <w:tcW w:w="2748" w:type="dxa"/>
            <w:vAlign w:val="center"/>
          </w:tcPr>
          <w:p>
            <w:pPr>
              <w:pStyle w:val="36"/>
              <w:ind w:left="38"/>
              <w:jc w:val="center"/>
              <w:rPr>
                <w:b/>
                <w:bCs/>
                <w:lang w:val="zh-CN"/>
              </w:rPr>
            </w:pPr>
            <w:r>
              <w:rPr>
                <w:rFonts w:hint="eastAsia"/>
                <w:b/>
                <w:bCs/>
                <w:lang w:val="zh-CN"/>
              </w:rPr>
              <w:t>磋商过程、结果工作咨询</w:t>
            </w:r>
          </w:p>
        </w:tc>
        <w:tc>
          <w:tcPr>
            <w:tcW w:w="6432" w:type="dxa"/>
          </w:tcPr>
          <w:p>
            <w:pPr>
              <w:pStyle w:val="36"/>
              <w:rPr>
                <w:lang w:val="zh-CN"/>
              </w:rPr>
            </w:pPr>
            <w:r>
              <w:rPr>
                <w:rFonts w:hint="eastAsia"/>
              </w:rPr>
              <w:t>联系人：</w:t>
            </w:r>
            <w:r>
              <w:rPr>
                <w:rFonts w:hint="eastAsia"/>
                <w:lang w:eastAsia="zh-CN"/>
              </w:rPr>
              <w:t>徐先生</w:t>
            </w:r>
            <w:r>
              <w:rPr>
                <w:rFonts w:hint="eastAsia"/>
                <w:lang w:val="zh-CN"/>
              </w:rPr>
              <w:t>。</w:t>
            </w:r>
            <w:r>
              <w:rPr>
                <w:rFonts w:hint="eastAsia"/>
              </w:rPr>
              <w:t xml:space="preserve">       联系电话：0838-3866521</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870" w:type="dxa"/>
            <w:vAlign w:val="center"/>
          </w:tcPr>
          <w:p>
            <w:pPr>
              <w:pStyle w:val="36"/>
              <w:ind w:right="230"/>
              <w:jc w:val="center"/>
              <w:rPr>
                <w:rFonts w:hint="eastAsia" w:eastAsia="宋体"/>
                <w:b/>
                <w:bCs/>
                <w:lang w:val="zh-CN" w:eastAsia="zh-CN"/>
              </w:rPr>
            </w:pPr>
            <w:r>
              <w:rPr>
                <w:rFonts w:hint="eastAsia"/>
                <w:b/>
                <w:bCs/>
                <w:lang w:val="zh-CN"/>
              </w:rPr>
              <w:t>1</w:t>
            </w:r>
            <w:r>
              <w:rPr>
                <w:rFonts w:hint="eastAsia"/>
                <w:b/>
                <w:bCs/>
                <w:lang w:val="en-US" w:eastAsia="zh-CN"/>
              </w:rPr>
              <w:t>1</w:t>
            </w:r>
          </w:p>
        </w:tc>
        <w:tc>
          <w:tcPr>
            <w:tcW w:w="2748" w:type="dxa"/>
            <w:vAlign w:val="center"/>
          </w:tcPr>
          <w:p>
            <w:pPr>
              <w:pStyle w:val="36"/>
              <w:ind w:left="38"/>
              <w:jc w:val="center"/>
              <w:rPr>
                <w:b/>
                <w:bCs/>
                <w:lang w:val="zh-CN"/>
              </w:rPr>
            </w:pPr>
            <w:r>
              <w:rPr>
                <w:rFonts w:hint="eastAsia"/>
                <w:b/>
                <w:bCs/>
                <w:lang w:val="zh-CN"/>
              </w:rPr>
              <w:t>成交通知书领取</w:t>
            </w:r>
          </w:p>
        </w:tc>
        <w:tc>
          <w:tcPr>
            <w:tcW w:w="6432" w:type="dxa"/>
            <w:vAlign w:val="center"/>
          </w:tcPr>
          <w:p>
            <w:pPr>
              <w:pStyle w:val="36"/>
            </w:pPr>
            <w:r>
              <w:rPr>
                <w:rFonts w:hint="eastAsia"/>
              </w:rPr>
              <w:t>成交公告在</w:t>
            </w:r>
            <w:r>
              <w:rPr>
                <w:rFonts w:hint="eastAsia"/>
                <w:lang w:eastAsia="zh-CN"/>
              </w:rPr>
              <w:t>中国政府采购网</w:t>
            </w:r>
            <w:r>
              <w:rPr>
                <w:rFonts w:hint="eastAsia"/>
              </w:rPr>
              <w:t>上公告后，请</w:t>
            </w:r>
            <w:r>
              <w:rPr>
                <w:rFonts w:hint="eastAsia"/>
                <w:lang w:val="en-US" w:eastAsia="zh-CN"/>
              </w:rPr>
              <w:t>成交</w:t>
            </w:r>
            <w:r>
              <w:rPr>
                <w:rFonts w:hint="eastAsia"/>
              </w:rPr>
              <w:t>供应商凭有效</w:t>
            </w:r>
            <w:r>
              <w:rPr>
                <w:rFonts w:hint="eastAsia"/>
                <w:spacing w:val="-11"/>
              </w:rPr>
              <w:t>身份证明证件到四川正焜项目管理</w:t>
            </w:r>
            <w:r>
              <w:rPr>
                <w:rFonts w:hint="eastAsia"/>
                <w:spacing w:val="-11"/>
                <w:lang w:val="zh-CN"/>
              </w:rPr>
              <w:t>有限公司</w:t>
            </w:r>
            <w:r>
              <w:rPr>
                <w:rFonts w:hint="eastAsia"/>
                <w:spacing w:val="-11"/>
              </w:rPr>
              <w:t>领取</w:t>
            </w:r>
            <w:r>
              <w:rPr>
                <w:rFonts w:hint="eastAsia"/>
                <w:spacing w:val="-11"/>
                <w:lang w:val="en-US" w:eastAsia="zh-CN"/>
              </w:rPr>
              <w:t>成交</w:t>
            </w:r>
            <w:r>
              <w:rPr>
                <w:rFonts w:hint="eastAsia"/>
                <w:spacing w:val="-11"/>
              </w:rPr>
              <w:t>通知书。</w:t>
            </w:r>
          </w:p>
          <w:p>
            <w:pPr>
              <w:pStyle w:val="36"/>
              <w:rPr>
                <w:rFonts w:hint="default" w:eastAsia="宋体"/>
                <w:lang w:val="en-US" w:eastAsia="zh-CN"/>
              </w:rPr>
            </w:pPr>
            <w:r>
              <w:rPr>
                <w:rFonts w:hint="eastAsia"/>
                <w:lang w:val="zh-CN"/>
              </w:rPr>
              <w:t>联系人：</w:t>
            </w:r>
            <w:r>
              <w:rPr>
                <w:rFonts w:hint="eastAsia"/>
                <w:lang w:val="en-US" w:eastAsia="zh-CN"/>
              </w:rPr>
              <w:t>于女士</w:t>
            </w:r>
          </w:p>
          <w:p>
            <w:pPr>
              <w:pStyle w:val="36"/>
              <w:rPr>
                <w:lang w:val="zh-CN"/>
              </w:rPr>
            </w:pPr>
            <w:r>
              <w:rPr>
                <w:rFonts w:hint="eastAsia"/>
                <w:lang w:val="zh-CN"/>
              </w:rPr>
              <w:t>联系电话：</w:t>
            </w:r>
            <w:r>
              <w:rPr>
                <w:rFonts w:hint="eastAsia"/>
              </w:rPr>
              <w:t>0838-3866521</w:t>
            </w:r>
            <w:r>
              <w:rPr>
                <w:rFonts w:hint="eastAsia"/>
                <w:lang w:val="zh-CN"/>
              </w:rPr>
              <w:t>。</w:t>
            </w:r>
          </w:p>
          <w:p>
            <w:pPr>
              <w:pStyle w:val="36"/>
              <w:rPr>
                <w:lang w:val="zh-CN"/>
              </w:rPr>
            </w:pPr>
            <w:r>
              <w:rPr>
                <w:rFonts w:hint="eastAsia"/>
                <w:lang w:val="zh-CN"/>
              </w:rPr>
              <w:t>地址：</w:t>
            </w:r>
            <w:r>
              <w:rPr>
                <w:rFonts w:hint="eastAsia"/>
              </w:rPr>
              <w:t>德阳市旌阳区密江街8号富贵世家8栋2-11四川正焜项目管理有限公司</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76" w:hRule="atLeast"/>
          <w:jc w:val="center"/>
        </w:trPr>
        <w:tc>
          <w:tcPr>
            <w:tcW w:w="870" w:type="dxa"/>
            <w:tcBorders>
              <w:top w:val="single" w:color="auto" w:sz="8" w:space="0"/>
              <w:left w:val="single" w:color="auto" w:sz="18" w:space="0"/>
              <w:bottom w:val="single" w:color="auto" w:sz="8" w:space="0"/>
              <w:right w:val="single" w:color="auto" w:sz="8" w:space="0"/>
            </w:tcBorders>
            <w:vAlign w:val="center"/>
          </w:tcPr>
          <w:p>
            <w:pPr>
              <w:pStyle w:val="36"/>
              <w:ind w:right="230"/>
              <w:jc w:val="center"/>
              <w:rPr>
                <w:rFonts w:hint="eastAsia" w:eastAsia="宋体"/>
                <w:b/>
                <w:bCs/>
                <w:lang w:eastAsia="zh-CN"/>
              </w:rPr>
            </w:pPr>
            <w:r>
              <w:rPr>
                <w:rFonts w:hint="eastAsia"/>
                <w:b/>
                <w:bCs/>
              </w:rPr>
              <w:t>1</w:t>
            </w:r>
            <w:r>
              <w:rPr>
                <w:rFonts w:hint="eastAsia"/>
                <w:b/>
                <w:bCs/>
                <w:lang w:val="en-US" w:eastAsia="zh-CN"/>
              </w:rPr>
              <w:t>2</w:t>
            </w:r>
          </w:p>
        </w:tc>
        <w:tc>
          <w:tcPr>
            <w:tcW w:w="2748" w:type="dxa"/>
            <w:tcBorders>
              <w:top w:val="single" w:color="auto" w:sz="8" w:space="0"/>
              <w:left w:val="single" w:color="auto" w:sz="8" w:space="0"/>
              <w:bottom w:val="single" w:color="auto" w:sz="8" w:space="0"/>
              <w:right w:val="single" w:color="auto" w:sz="8" w:space="0"/>
            </w:tcBorders>
            <w:vAlign w:val="center"/>
          </w:tcPr>
          <w:p>
            <w:pPr>
              <w:spacing w:line="240" w:lineRule="auto"/>
              <w:ind w:firstLine="0" w:firstLineChars="0"/>
              <w:jc w:val="center"/>
              <w:rPr>
                <w:b/>
                <w:bCs/>
              </w:rPr>
            </w:pPr>
            <w:r>
              <w:rPr>
                <w:rFonts w:hint="eastAsia"/>
                <w:b/>
                <w:bCs/>
                <w:lang w:val="en-US"/>
              </w:rPr>
              <w:t>代理</w:t>
            </w:r>
            <w:r>
              <w:rPr>
                <w:rFonts w:hint="eastAsia"/>
                <w:b/>
                <w:bCs/>
              </w:rPr>
              <w:t>服务费</w:t>
            </w:r>
          </w:p>
        </w:tc>
        <w:tc>
          <w:tcPr>
            <w:tcW w:w="6432" w:type="dxa"/>
            <w:tcBorders>
              <w:top w:val="single" w:color="auto" w:sz="8" w:space="0"/>
              <w:left w:val="single" w:color="auto" w:sz="8" w:space="0"/>
              <w:bottom w:val="single" w:color="auto" w:sz="8" w:space="0"/>
              <w:right w:val="single" w:color="auto" w:sz="18" w:space="0"/>
            </w:tcBorders>
            <w:vAlign w:val="center"/>
          </w:tcPr>
          <w:p>
            <w:pPr>
              <w:spacing w:line="240" w:lineRule="auto"/>
              <w:ind w:firstLine="0" w:firstLineChars="0"/>
              <w:jc w:val="both"/>
              <w:rPr>
                <w:rFonts w:hint="eastAsia"/>
                <w:spacing w:val="-11"/>
                <w:lang w:val="en-US" w:eastAsia="zh-CN"/>
              </w:rPr>
            </w:pPr>
            <w:r>
              <w:rPr>
                <w:rFonts w:hint="eastAsia"/>
                <w:spacing w:val="-11"/>
                <w:lang w:val="en-US" w:eastAsia="zh-CN"/>
              </w:rPr>
              <w:t>根据《四川省政府采购营商环境指标提升专项行动工作方案》中“成本+合理利润”原则，本项目服务费参照原国家计委颁布的计价格2002[1980]号文、发改价格〔2015〕299号文有关规定向成交供应商收取。</w:t>
            </w:r>
          </w:p>
          <w:p>
            <w:pPr>
              <w:spacing w:line="240" w:lineRule="auto"/>
              <w:ind w:firstLine="0" w:firstLineChars="0"/>
              <w:jc w:val="both"/>
              <w:rPr>
                <w:rFonts w:hint="default"/>
                <w:spacing w:val="-11"/>
                <w:lang w:val="en-US"/>
              </w:rPr>
            </w:pPr>
            <w:r>
              <w:rPr>
                <w:rFonts w:hint="eastAsia"/>
                <w:spacing w:val="-11"/>
              </w:rPr>
              <w:t>本项目的代理服务费：</w:t>
            </w:r>
            <w:r>
              <w:rPr>
                <w:rFonts w:hint="eastAsia"/>
                <w:spacing w:val="-11"/>
                <w:highlight w:val="none"/>
                <w:lang w:val="en-US" w:eastAsia="zh-CN"/>
              </w:rPr>
              <w:t>3000元。</w:t>
            </w:r>
          </w:p>
          <w:p>
            <w:pPr>
              <w:spacing w:line="240" w:lineRule="auto"/>
              <w:ind w:firstLine="0" w:firstLineChars="0"/>
              <w:jc w:val="both"/>
            </w:pPr>
            <w:r>
              <w:rPr>
                <w:rFonts w:hint="eastAsia"/>
              </w:rPr>
              <w:t>付款方式：</w:t>
            </w:r>
            <w:r>
              <w:rPr>
                <w:rFonts w:hint="eastAsia"/>
                <w:lang w:val="en-US" w:eastAsia="zh-CN"/>
              </w:rPr>
              <w:t>成交人</w:t>
            </w:r>
            <w:r>
              <w:rPr>
                <w:rFonts w:hint="eastAsia"/>
              </w:rPr>
              <w:t>对公转账、现金。</w:t>
            </w:r>
          </w:p>
          <w:p>
            <w:pPr>
              <w:spacing w:line="240" w:lineRule="auto"/>
              <w:ind w:firstLine="0" w:firstLineChars="0"/>
              <w:jc w:val="both"/>
            </w:pPr>
            <w:r>
              <w:rPr>
                <w:rFonts w:hint="eastAsia"/>
              </w:rPr>
              <w:t>交款时间：</w:t>
            </w:r>
            <w:r>
              <w:rPr>
                <w:rFonts w:hint="eastAsia"/>
                <w:lang w:val="en-US" w:eastAsia="zh-CN"/>
              </w:rPr>
              <w:t>成交</w:t>
            </w:r>
            <w:r>
              <w:rPr>
                <w:rFonts w:hint="eastAsia"/>
              </w:rPr>
              <w:t>通知书领取前。</w:t>
            </w:r>
          </w:p>
        </w:tc>
      </w:tr>
    </w:tbl>
    <w:p>
      <w:pPr>
        <w:pStyle w:val="4"/>
        <w:ind w:firstLine="602"/>
      </w:pPr>
      <w:r>
        <w:rPr>
          <w:rFonts w:hint="eastAsia"/>
        </w:rPr>
        <w:t>二、总  则</w:t>
      </w:r>
      <w:bookmarkStart w:id="7" w:name="_Toc183582205"/>
      <w:bookmarkStart w:id="8" w:name="_Toc183682342"/>
      <w:bookmarkStart w:id="9" w:name="_Toc217446034"/>
    </w:p>
    <w:p>
      <w:pPr>
        <w:pStyle w:val="5"/>
        <w:ind w:firstLine="482"/>
      </w:pPr>
      <w:r>
        <w:rPr>
          <w:rFonts w:hint="eastAsia"/>
        </w:rPr>
        <w:t>1.</w:t>
      </w:r>
      <w:bookmarkEnd w:id="7"/>
      <w:bookmarkEnd w:id="8"/>
      <w:r>
        <w:rPr>
          <w:rFonts w:hint="eastAsia"/>
        </w:rPr>
        <w:t>适用范围</w:t>
      </w:r>
      <w:bookmarkEnd w:id="9"/>
    </w:p>
    <w:p>
      <w:pPr>
        <w:ind w:firstLine="480"/>
      </w:pPr>
      <w:r>
        <w:rPr>
          <w:rFonts w:hint="eastAsia"/>
        </w:rPr>
        <w:t>1.1 本磋商文件仅适用于本次磋商所叙述</w:t>
      </w:r>
      <w:r>
        <w:rPr>
          <w:rFonts w:hint="eastAsia"/>
          <w:lang w:val="en-US" w:eastAsia="zh-CN"/>
        </w:rPr>
        <w:t>服务</w:t>
      </w:r>
      <w:r>
        <w:rPr>
          <w:rFonts w:hint="eastAsia"/>
        </w:rPr>
        <w:t>采购。</w:t>
      </w:r>
    </w:p>
    <w:p>
      <w:pPr>
        <w:ind w:firstLine="480"/>
      </w:pPr>
      <w:r>
        <w:rPr>
          <w:rFonts w:hint="eastAsia"/>
        </w:rPr>
        <w:t>1.2 本磋商文件的解释权归采购人和采购代理机构所有。</w:t>
      </w:r>
    </w:p>
    <w:p>
      <w:pPr>
        <w:pStyle w:val="5"/>
        <w:ind w:firstLine="482"/>
      </w:pPr>
      <w:bookmarkStart w:id="10" w:name="_Toc183682343"/>
      <w:bookmarkStart w:id="11" w:name="_Toc183582206"/>
      <w:bookmarkStart w:id="12" w:name="_Toc217446035"/>
      <w:r>
        <w:rPr>
          <w:rFonts w:hint="eastAsia"/>
        </w:rPr>
        <w:t>2.</w:t>
      </w:r>
      <w:bookmarkEnd w:id="10"/>
      <w:bookmarkEnd w:id="11"/>
      <w:bookmarkEnd w:id="12"/>
      <w:r>
        <w:rPr>
          <w:rFonts w:hint="eastAsia"/>
        </w:rPr>
        <w:t>采购主体</w:t>
      </w:r>
    </w:p>
    <w:p>
      <w:pPr>
        <w:ind w:firstLine="480"/>
      </w:pPr>
      <w:r>
        <w:rPr>
          <w:rFonts w:hint="eastAsia"/>
        </w:rPr>
        <w:t>2.1本次磋商的采购人是</w:t>
      </w:r>
      <w:r>
        <w:rPr>
          <w:rFonts w:hint="eastAsia"/>
          <w:lang w:val="en-US"/>
        </w:rPr>
        <w:t>:</w:t>
      </w:r>
      <w:r>
        <w:rPr>
          <w:rFonts w:hint="eastAsia"/>
          <w:u w:val="single"/>
          <w:lang w:eastAsia="zh-CN"/>
        </w:rPr>
        <w:t>德阳市旌阳区文化体育广播电视和旅游局</w:t>
      </w:r>
      <w:r>
        <w:rPr>
          <w:rFonts w:hint="eastAsia"/>
        </w:rPr>
        <w:t>。</w:t>
      </w:r>
    </w:p>
    <w:p>
      <w:pPr>
        <w:ind w:firstLine="480"/>
      </w:pPr>
      <w:r>
        <w:rPr>
          <w:rFonts w:hint="eastAsia"/>
        </w:rPr>
        <w:t>2.2本次磋商的采购代理机构是</w:t>
      </w:r>
      <w:r>
        <w:rPr>
          <w:rFonts w:hint="eastAsia"/>
          <w:lang w:val="en-US"/>
        </w:rPr>
        <w:t>:</w:t>
      </w:r>
      <w:r>
        <w:rPr>
          <w:rFonts w:hint="eastAsia"/>
          <w:u w:val="single"/>
          <w:lang w:val="en-US"/>
        </w:rPr>
        <w:t>四川正焜项目管理有限公司</w:t>
      </w:r>
      <w:r>
        <w:rPr>
          <w:rFonts w:hint="eastAsia"/>
        </w:rPr>
        <w:t>。</w:t>
      </w:r>
    </w:p>
    <w:p>
      <w:pPr>
        <w:pStyle w:val="5"/>
        <w:ind w:firstLine="482"/>
      </w:pPr>
      <w:bookmarkStart w:id="13" w:name="_Toc183682344"/>
      <w:bookmarkStart w:id="14" w:name="_Toc217390843"/>
      <w:bookmarkStart w:id="15" w:name="_Toc183582207"/>
      <w:bookmarkStart w:id="16" w:name="_Toc217446036"/>
      <w:r>
        <w:rPr>
          <w:rFonts w:hint="eastAsia"/>
        </w:rPr>
        <w:t>3. 合格</w:t>
      </w:r>
      <w:bookmarkEnd w:id="13"/>
      <w:bookmarkEnd w:id="14"/>
      <w:bookmarkEnd w:id="15"/>
      <w:bookmarkEnd w:id="16"/>
      <w:r>
        <w:rPr>
          <w:rFonts w:hint="eastAsia"/>
        </w:rPr>
        <w:t>供应商（实质性要求）</w:t>
      </w:r>
    </w:p>
    <w:p>
      <w:pPr>
        <w:ind w:firstLine="482"/>
      </w:pPr>
      <w:r>
        <w:rPr>
          <w:rFonts w:hint="eastAsia"/>
        </w:rPr>
        <w:t>合格供应商应具备以下条件：</w:t>
      </w:r>
    </w:p>
    <w:p>
      <w:pPr>
        <w:ind w:firstLine="480"/>
      </w:pPr>
      <w:r>
        <w:rPr>
          <w:rFonts w:hint="eastAsia"/>
        </w:rPr>
        <w:t>3.1 具备法律法规和本采购文件规定的资格条件；</w:t>
      </w:r>
    </w:p>
    <w:p>
      <w:pPr>
        <w:ind w:firstLine="480"/>
      </w:pPr>
      <w:r>
        <w:rPr>
          <w:rFonts w:hint="eastAsia"/>
        </w:rPr>
        <w:t>3.2 不属于禁止参加本项目采购活动的供应商；</w:t>
      </w:r>
    </w:p>
    <w:p>
      <w:pPr>
        <w:ind w:firstLine="480"/>
      </w:pPr>
      <w:r>
        <w:rPr>
          <w:rFonts w:hint="eastAsia"/>
        </w:rPr>
        <w:t>3.3 按照规定获取了磋商文件，属于实质性参加采购活动的供应商。</w:t>
      </w:r>
      <w:bookmarkStart w:id="17" w:name="_Toc217446037"/>
      <w:bookmarkStart w:id="18" w:name="_Toc183682345"/>
      <w:bookmarkStart w:id="19" w:name="_Toc183582208"/>
    </w:p>
    <w:p>
      <w:pPr>
        <w:pStyle w:val="5"/>
        <w:ind w:firstLine="482"/>
      </w:pPr>
      <w:r>
        <w:rPr>
          <w:rFonts w:hint="eastAsia"/>
        </w:rPr>
        <w:t>4. 磋商费用</w:t>
      </w:r>
      <w:bookmarkEnd w:id="17"/>
      <w:bookmarkEnd w:id="18"/>
      <w:bookmarkEnd w:id="19"/>
    </w:p>
    <w:p>
      <w:pPr>
        <w:ind w:firstLine="480"/>
      </w:pPr>
      <w:r>
        <w:rPr>
          <w:rFonts w:hint="eastAsia"/>
        </w:rPr>
        <w:t>4.1供应商应自行承担参加磋商活动的全部费用。</w:t>
      </w:r>
    </w:p>
    <w:p>
      <w:pPr>
        <w:ind w:firstLine="480"/>
      </w:pPr>
      <w:r>
        <w:rPr>
          <w:rFonts w:hint="eastAsia"/>
        </w:rPr>
        <w:t>4.2本项目的代理服务费由成交供应商支付。</w:t>
      </w:r>
    </w:p>
    <w:p>
      <w:pPr>
        <w:ind w:firstLine="480"/>
      </w:pPr>
      <w:r>
        <w:rPr>
          <w:rFonts w:hint="eastAsia"/>
        </w:rPr>
        <w:t>4.3</w:t>
      </w:r>
      <w:r>
        <w:rPr>
          <w:rFonts w:hint="eastAsia"/>
          <w:spacing w:val="-11"/>
          <w:lang w:val="en-US" w:eastAsia="zh-CN"/>
        </w:rPr>
        <w:t>根据《四川省政府采购营商环境指标提升专项行动工作方案》中“成本+合理利润”原则，本项目服务费参照原国家计委颁布的计价格2002[1980]号文、发改价格〔2015〕299号文有关规定向成交供应商收取。</w:t>
      </w:r>
    </w:p>
    <w:p>
      <w:pPr>
        <w:ind w:firstLine="480"/>
        <w:rPr>
          <w:rFonts w:hint="eastAsia" w:eastAsia="宋体"/>
          <w:lang w:eastAsia="zh-CN"/>
        </w:rPr>
      </w:pPr>
      <w:r>
        <w:rPr>
          <w:rFonts w:hint="eastAsia"/>
        </w:rPr>
        <w:t>本项目的代理服务费：</w:t>
      </w:r>
      <w:r>
        <w:rPr>
          <w:rFonts w:hint="eastAsia"/>
          <w:spacing w:val="-11"/>
          <w:highlight w:val="none"/>
          <w:lang w:val="en-US" w:eastAsia="zh-CN"/>
        </w:rPr>
        <w:t>3000元；</w:t>
      </w:r>
    </w:p>
    <w:p>
      <w:pPr>
        <w:ind w:firstLine="480"/>
      </w:pPr>
      <w:r>
        <w:rPr>
          <w:rFonts w:hint="eastAsia"/>
        </w:rPr>
        <w:t>付款方式：成交人对公转账、现金。</w:t>
      </w:r>
    </w:p>
    <w:p>
      <w:pPr>
        <w:ind w:firstLine="480"/>
      </w:pPr>
      <w:r>
        <w:rPr>
          <w:rFonts w:hint="eastAsia"/>
        </w:rPr>
        <w:t>交款时间：成交通知书领取前。</w:t>
      </w:r>
    </w:p>
    <w:p>
      <w:pPr>
        <w:pStyle w:val="5"/>
        <w:ind w:firstLine="482"/>
      </w:pPr>
      <w:r>
        <w:rPr>
          <w:rFonts w:hint="eastAsia"/>
        </w:rPr>
        <w:t>5.充分、公平竞争保障措施</w:t>
      </w:r>
    </w:p>
    <w:p>
      <w:pPr>
        <w:ind w:firstLine="480"/>
      </w:pPr>
      <w:r>
        <w:rPr>
          <w:rFonts w:hint="eastAsia"/>
        </w:rPr>
        <w:t>5.1利害关系供应商处理。单位负责人为同一人或者存在直接控股、管理关系的不同供应商不得参加同一合同项下的采购活动。</w:t>
      </w:r>
    </w:p>
    <w:p>
      <w:pPr>
        <w:ind w:firstLine="480"/>
      </w:pPr>
      <w:r>
        <w:rPr>
          <w:rFonts w:hint="eastAsia"/>
        </w:rPr>
        <w:t>5.2利害关系授权代表处理。两家以上的供应商不得在同一合同项下的采购项目中，委托同一个自然人、同一家庭的人员、同一单位的人员作为其授权代表，否则，其响应文件作为无效处理。</w:t>
      </w:r>
    </w:p>
    <w:p>
      <w:pPr>
        <w:ind w:firstLine="480"/>
      </w:pPr>
      <w:r>
        <w:rPr>
          <w:rFonts w:hint="eastAsia"/>
        </w:rPr>
        <w:t>5.3前期参与供应商处理。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采购合同等实质性内容条款的，视同为采购项目提供规范编制。</w:t>
      </w:r>
    </w:p>
    <w:p>
      <w:pPr>
        <w:ind w:firstLine="480"/>
      </w:pPr>
      <w:r>
        <w:rPr>
          <w:rFonts w:hint="eastAsia"/>
        </w:rPr>
        <w:t>5.4供应商实际控制人或者中高级管理人员，同时是采购代理机构工作人员，不得参与本项目采购活动。</w:t>
      </w:r>
    </w:p>
    <w:p>
      <w:pPr>
        <w:ind w:firstLine="480"/>
      </w:pPr>
      <w:r>
        <w:rPr>
          <w:rFonts w:hint="eastAsia"/>
        </w:rPr>
        <w:t>5.5同一母公司的两家以上的子公司只能组成联合体参加本项目同一合同项下的采购活动，不得以不同供应商身份同时参加本项目同一合同项下的采购活动。</w:t>
      </w:r>
    </w:p>
    <w:p>
      <w:pPr>
        <w:ind w:firstLine="480"/>
      </w:pPr>
      <w:r>
        <w:rPr>
          <w:rFonts w:hint="eastAsia"/>
        </w:rPr>
        <w:t>5.6供应商与采购代理机构存在关联关系，或者是采购代理机构的母公司或子公司，不得参加本项目采购活动。</w:t>
      </w:r>
    </w:p>
    <w:p>
      <w:pPr>
        <w:ind w:firstLine="480"/>
      </w:pPr>
      <w:r>
        <w:rPr>
          <w:rFonts w:hint="eastAsia"/>
        </w:rPr>
        <w:t>5.7回避。采购活动中，采购人员及相关人员与供应商有下列利害关系之一的，应当回避：</w:t>
      </w:r>
    </w:p>
    <w:p>
      <w:pPr>
        <w:ind w:firstLine="480"/>
      </w:pPr>
      <w:r>
        <w:rPr>
          <w:rFonts w:hint="eastAsia"/>
        </w:rPr>
        <w:t>（1）参加采购活动前3年内与供应商存在劳动关系；</w:t>
      </w:r>
    </w:p>
    <w:p>
      <w:pPr>
        <w:ind w:firstLine="480"/>
      </w:pPr>
      <w:r>
        <w:rPr>
          <w:rFonts w:hint="eastAsia"/>
        </w:rPr>
        <w:t>（2）参加采购活动前3年内担任供应商的董事、监事；</w:t>
      </w:r>
    </w:p>
    <w:p>
      <w:pPr>
        <w:ind w:firstLine="480"/>
      </w:pPr>
      <w:r>
        <w:rPr>
          <w:rFonts w:hint="eastAsia"/>
        </w:rPr>
        <w:t>（3）参加采购活动前3年内是供应商的控股股东或者实际控制人；</w:t>
      </w:r>
    </w:p>
    <w:p>
      <w:pPr>
        <w:ind w:firstLine="480"/>
      </w:pPr>
      <w:r>
        <w:rPr>
          <w:rFonts w:hint="eastAsia"/>
        </w:rPr>
        <w:t>（4）与供应商的法定代表人或者负责人有夫妻、直系血亲、三代以内旁系血亲或者近姻亲关系；</w:t>
      </w:r>
    </w:p>
    <w:p>
      <w:pPr>
        <w:ind w:firstLine="480"/>
      </w:pPr>
      <w:r>
        <w:rPr>
          <w:rFonts w:hint="eastAsia"/>
        </w:rPr>
        <w:t>（5）与供应商有其他可能影响采购活动公平、公正进行的关系。</w:t>
      </w:r>
    </w:p>
    <w:p>
      <w:pPr>
        <w:ind w:firstLine="480"/>
      </w:pPr>
      <w:r>
        <w:rPr>
          <w:rFonts w:hint="eastAsia"/>
        </w:rPr>
        <w:t>本项目采购活动中需要依法回避的采购人员是指采购人内部负责采购项目的具体经办工作人员和直接分管采购项目的负责人，以及采购代理机构负责采购项目的具体经办工作人员和直接分管采购活动的负责人。本项目采购活动中需要依法回避的相关人员是指磋商小组成员。</w:t>
      </w:r>
    </w:p>
    <w:p>
      <w:pPr>
        <w:ind w:firstLine="480"/>
      </w:pPr>
      <w:r>
        <w:rPr>
          <w:rFonts w:hint="eastAsia"/>
        </w:rPr>
        <w:t>供应商认为采购人员及相关人员与其他供应商有利害关系的，可以向采购代理机构书面提出回避申请，并说明理由。采购代理机构将及时询问被申请回避人员，有利害关系的被申请回避人员应当回避。</w:t>
      </w:r>
    </w:p>
    <w:p>
      <w:pPr>
        <w:pStyle w:val="5"/>
        <w:ind w:firstLine="482"/>
      </w:pPr>
      <w:r>
        <w:rPr>
          <w:rFonts w:hint="eastAsia"/>
        </w:rPr>
        <w:t>6.联合体竞争性磋商（实质性要求）</w:t>
      </w:r>
    </w:p>
    <w:p>
      <w:pPr>
        <w:ind w:firstLine="482"/>
        <w:rPr>
          <w:b/>
          <w:bCs/>
        </w:rPr>
      </w:pPr>
      <w:r>
        <w:rPr>
          <w:rFonts w:hint="eastAsia"/>
          <w:b/>
          <w:bCs/>
        </w:rPr>
        <w:t>本项目不接受联合体参与采购活动。</w:t>
      </w:r>
    </w:p>
    <w:p>
      <w:pPr>
        <w:pStyle w:val="37"/>
        <w:spacing w:line="360" w:lineRule="auto"/>
        <w:ind w:left="1" w:firstLine="482" w:firstLineChars="200"/>
        <w:rPr>
          <w:rFonts w:hAnsi="宋体" w:cs="宋体"/>
          <w:b/>
          <w:sz w:val="24"/>
          <w:szCs w:val="24"/>
        </w:rPr>
      </w:pPr>
      <w:r>
        <w:rPr>
          <w:rStyle w:val="32"/>
          <w:rFonts w:hint="eastAsia"/>
        </w:rPr>
        <w:t>7.磋商保证金（实质性要求</w:t>
      </w:r>
      <w:r>
        <w:rPr>
          <w:rFonts w:hint="eastAsia" w:hAnsi="宋体" w:cs="宋体"/>
          <w:b/>
          <w:sz w:val="24"/>
          <w:szCs w:val="24"/>
        </w:rPr>
        <w:t>）</w:t>
      </w:r>
    </w:p>
    <w:p>
      <w:pPr>
        <w:pStyle w:val="5"/>
        <w:spacing w:line="240" w:lineRule="auto"/>
        <w:ind w:firstLine="482"/>
        <w:rPr>
          <w:rFonts w:hint="eastAsia"/>
          <w:b w:val="0"/>
          <w:bCs w:val="0"/>
          <w:lang w:val="en-US" w:eastAsia="zh-CN"/>
        </w:rPr>
      </w:pPr>
      <w:r>
        <w:rPr>
          <w:rFonts w:hint="eastAsia"/>
          <w:b w:val="0"/>
          <w:bCs w:val="0"/>
          <w:lang w:val="en-US" w:eastAsia="zh-CN"/>
        </w:rPr>
        <w:t>磋商保证金：3000.00元</w:t>
      </w:r>
    </w:p>
    <w:p>
      <w:pPr>
        <w:pStyle w:val="5"/>
        <w:spacing w:line="240" w:lineRule="auto"/>
        <w:ind w:firstLine="482"/>
        <w:rPr>
          <w:rFonts w:hint="eastAsia"/>
          <w:b w:val="0"/>
          <w:bCs w:val="0"/>
          <w:lang w:val="en-US" w:eastAsia="zh-CN"/>
        </w:rPr>
      </w:pPr>
      <w:r>
        <w:rPr>
          <w:rFonts w:hint="eastAsia"/>
          <w:b w:val="0"/>
          <w:bCs w:val="0"/>
          <w:lang w:val="en-US" w:eastAsia="zh-CN"/>
        </w:rPr>
        <w:t>交款方式：银行转账形式（注：转账时请在附加信息处注明项目编号及用途）</w:t>
      </w:r>
    </w:p>
    <w:p>
      <w:pPr>
        <w:pStyle w:val="5"/>
        <w:spacing w:line="240" w:lineRule="auto"/>
        <w:ind w:firstLine="482"/>
        <w:rPr>
          <w:rFonts w:hint="eastAsia"/>
          <w:b w:val="0"/>
          <w:bCs w:val="0"/>
          <w:lang w:val="en-US" w:eastAsia="zh-CN"/>
        </w:rPr>
      </w:pPr>
      <w:r>
        <w:rPr>
          <w:rFonts w:hint="eastAsia"/>
          <w:b w:val="0"/>
          <w:bCs w:val="0"/>
          <w:lang w:val="en-US" w:eastAsia="zh-CN"/>
        </w:rPr>
        <w:t>交款截止时间：2022年2月28日9：30</w:t>
      </w:r>
      <w:bookmarkStart w:id="77" w:name="_GoBack"/>
      <w:bookmarkEnd w:id="77"/>
      <w:r>
        <w:rPr>
          <w:rFonts w:hint="eastAsia"/>
          <w:b w:val="0"/>
          <w:bCs w:val="0"/>
          <w:lang w:val="en-US" w:eastAsia="zh-CN"/>
        </w:rPr>
        <w:t>前（保证金的交纳以我公司银行到账时间为准）。</w:t>
      </w:r>
    </w:p>
    <w:p>
      <w:pPr>
        <w:pStyle w:val="5"/>
        <w:spacing w:line="240" w:lineRule="auto"/>
        <w:ind w:firstLine="482"/>
        <w:rPr>
          <w:rFonts w:hint="eastAsia"/>
          <w:b w:val="0"/>
          <w:bCs w:val="0"/>
          <w:lang w:val="en-US" w:eastAsia="zh-CN"/>
        </w:rPr>
      </w:pPr>
      <w:r>
        <w:rPr>
          <w:rFonts w:hint="eastAsia"/>
          <w:b w:val="0"/>
          <w:bCs w:val="0"/>
          <w:lang w:val="en-US" w:eastAsia="zh-CN"/>
        </w:rPr>
        <w:t>收款单位：四川正焜项目管理有限公司</w:t>
      </w:r>
    </w:p>
    <w:p>
      <w:pPr>
        <w:pStyle w:val="5"/>
        <w:spacing w:line="240" w:lineRule="auto"/>
        <w:ind w:firstLine="482"/>
        <w:rPr>
          <w:rFonts w:hint="eastAsia"/>
          <w:b w:val="0"/>
          <w:bCs w:val="0"/>
          <w:lang w:val="en-US" w:eastAsia="zh-CN"/>
        </w:rPr>
      </w:pPr>
      <w:r>
        <w:rPr>
          <w:rFonts w:hint="eastAsia"/>
          <w:b w:val="0"/>
          <w:bCs w:val="0"/>
          <w:lang w:val="en-US" w:eastAsia="zh-CN"/>
        </w:rPr>
        <w:t>开户行：长城华西股份有限公司德阳旌阳支行</w:t>
      </w:r>
    </w:p>
    <w:p>
      <w:pPr>
        <w:pStyle w:val="5"/>
        <w:spacing w:line="240" w:lineRule="auto"/>
        <w:ind w:firstLine="482"/>
        <w:rPr>
          <w:rFonts w:hint="eastAsia"/>
          <w:b w:val="0"/>
          <w:bCs w:val="0"/>
        </w:rPr>
      </w:pPr>
      <w:r>
        <w:rPr>
          <w:rFonts w:hint="eastAsia"/>
          <w:b w:val="0"/>
          <w:bCs w:val="0"/>
          <w:lang w:val="en-US" w:eastAsia="zh-CN"/>
        </w:rPr>
        <w:t xml:space="preserve">银行账号：1008110000001456 </w:t>
      </w:r>
      <w:r>
        <w:rPr>
          <w:rFonts w:hint="eastAsia"/>
          <w:b w:val="0"/>
          <w:bCs w:val="0"/>
          <w:lang w:val="zh-CN"/>
        </w:rPr>
        <w:t>。</w:t>
      </w:r>
    </w:p>
    <w:p>
      <w:pPr>
        <w:pStyle w:val="5"/>
        <w:ind w:firstLine="482"/>
      </w:pPr>
      <w:r>
        <w:rPr>
          <w:rFonts w:hint="eastAsia"/>
        </w:rPr>
        <w:t>8.响应文件有效期</w:t>
      </w:r>
    </w:p>
    <w:p>
      <w:pPr>
        <w:ind w:firstLine="470" w:firstLineChars="196"/>
      </w:pPr>
      <w:r>
        <w:rPr>
          <w:rFonts w:hint="eastAsia"/>
        </w:rPr>
        <w:t>本项目响应文件有效期为递交磋商响应文件截止之日起180天。供应商响应文件中必须载明响应文件有效期，响应文件中载明的响应文件有效期可以长于磋商文件规定的期限，</w:t>
      </w:r>
      <w:r>
        <w:rPr>
          <w:rFonts w:hint="eastAsia"/>
          <w:lang w:val="en-US"/>
        </w:rPr>
        <w:t>但</w:t>
      </w:r>
      <w:r>
        <w:rPr>
          <w:rFonts w:hint="eastAsia"/>
        </w:rPr>
        <w:t>不得短于磋商文件规定的期限。否则，其响应文件将作为无效处理。</w:t>
      </w:r>
    </w:p>
    <w:p>
      <w:pPr>
        <w:pStyle w:val="5"/>
        <w:ind w:firstLine="482"/>
      </w:pPr>
      <w:r>
        <w:rPr>
          <w:rFonts w:hint="eastAsia"/>
        </w:rPr>
        <w:t>9.知识产权</w:t>
      </w:r>
    </w:p>
    <w:p>
      <w:pPr>
        <w:pStyle w:val="15"/>
        <w:ind w:firstLine="480"/>
        <w:rPr>
          <w:sz w:val="24"/>
          <w:szCs w:val="24"/>
        </w:rPr>
      </w:pPr>
      <w:r>
        <w:rPr>
          <w:rFonts w:hint="eastAsia"/>
          <w:sz w:val="24"/>
          <w:szCs w:val="24"/>
        </w:rPr>
        <w:t>9.1 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pPr>
        <w:pStyle w:val="15"/>
        <w:ind w:firstLine="480"/>
        <w:rPr>
          <w:sz w:val="24"/>
          <w:szCs w:val="24"/>
        </w:rPr>
      </w:pPr>
      <w:r>
        <w:rPr>
          <w:rFonts w:hint="eastAsia"/>
          <w:sz w:val="24"/>
          <w:szCs w:val="24"/>
        </w:rPr>
        <w:t>9.2 除非磋商文件特别规定，采购人享有本项目实施过程中产生的知识成果及知识产权。</w:t>
      </w:r>
    </w:p>
    <w:p>
      <w:pPr>
        <w:ind w:firstLine="480"/>
      </w:pPr>
      <w:r>
        <w:rPr>
          <w:rFonts w:hint="eastAsia"/>
        </w:rPr>
        <w:t>9.3供应商将在采购项目实施过程中采用自有或者第三方知识成果的，应当在响应文件中载明，并提供相关知识产权证明文件。使用该知识成果后，供应商需提供开发接口和开发手册等技术资料，并承诺提供无限期支持，采购人享有使用权（含采购人委托第三方在该项目后续开发的使用权）。</w:t>
      </w:r>
    </w:p>
    <w:p>
      <w:pPr>
        <w:ind w:firstLine="460" w:firstLineChars="192"/>
        <w:rPr>
          <w:bCs/>
        </w:rPr>
      </w:pPr>
      <w:r>
        <w:rPr>
          <w:rFonts w:hint="eastAsia"/>
        </w:rPr>
        <w:t xml:space="preserve">9.4 如采用供应商所不拥有的知识产权，则在报价中必须包括合法获取该知识产权的相关费用。 </w:t>
      </w:r>
      <w:bookmarkStart w:id="20" w:name="_Toc77400779"/>
      <w:bookmarkStart w:id="21" w:name="_Toc89075875"/>
      <w:bookmarkStart w:id="22" w:name="_Toc183582209"/>
      <w:bookmarkStart w:id="23" w:name="_Toc217446038"/>
      <w:bookmarkStart w:id="24" w:name="_Toc183682346"/>
    </w:p>
    <w:p>
      <w:pPr>
        <w:pStyle w:val="4"/>
        <w:ind w:firstLine="602"/>
      </w:pPr>
      <w:r>
        <w:rPr>
          <w:rFonts w:hint="eastAsia"/>
        </w:rPr>
        <w:t>三、磋商文件</w:t>
      </w:r>
      <w:bookmarkEnd w:id="20"/>
      <w:bookmarkEnd w:id="21"/>
      <w:bookmarkEnd w:id="22"/>
      <w:bookmarkEnd w:id="23"/>
      <w:bookmarkEnd w:id="24"/>
      <w:bookmarkStart w:id="25" w:name="_Toc217446039"/>
      <w:bookmarkStart w:id="26" w:name="_Toc183582210"/>
      <w:bookmarkStart w:id="27" w:name="_Toc183682347"/>
    </w:p>
    <w:p>
      <w:pPr>
        <w:pStyle w:val="5"/>
        <w:ind w:firstLine="482"/>
      </w:pPr>
      <w:r>
        <w:rPr>
          <w:rFonts w:hint="eastAsia"/>
        </w:rPr>
        <w:t>10．磋商文件的构成</w:t>
      </w:r>
      <w:bookmarkEnd w:id="25"/>
      <w:bookmarkEnd w:id="26"/>
      <w:bookmarkEnd w:id="27"/>
    </w:p>
    <w:p>
      <w:pPr>
        <w:tabs>
          <w:tab w:val="left" w:pos="720"/>
        </w:tabs>
        <w:ind w:firstLine="480"/>
      </w:pPr>
      <w:r>
        <w:rPr>
          <w:rFonts w:hint="eastAsia"/>
        </w:rPr>
        <w:t>10</w:t>
      </w:r>
      <w:r>
        <w:rPr>
          <w:rFonts w:hint="eastAsia"/>
          <w:b/>
          <w:bCs/>
        </w:rPr>
        <w:t>.</w:t>
      </w:r>
      <w:r>
        <w:rPr>
          <w:rFonts w:hint="eastAsia"/>
        </w:rPr>
        <w:t>1 磋商文件是供应商准备响应文件和参加磋商的依据，同时也是磋商的重要依据。磋商文件用以阐明磋商项目所需的资质、技术、服务及报价等要求、磋商程序、有关规定和注意事项以及合同主要条款等。</w:t>
      </w:r>
    </w:p>
    <w:p>
      <w:pPr>
        <w:tabs>
          <w:tab w:val="left" w:pos="7665"/>
        </w:tabs>
        <w:ind w:firstLine="480"/>
      </w:pPr>
      <w:r>
        <w:rPr>
          <w:rFonts w:hint="eastAsia"/>
        </w:rPr>
        <w:t>10</w:t>
      </w:r>
      <w:r>
        <w:rPr>
          <w:rFonts w:hint="eastAsia"/>
          <w:b/>
          <w:bCs/>
        </w:rPr>
        <w:t>.</w:t>
      </w:r>
      <w:r>
        <w:rPr>
          <w:rFonts w:hint="eastAsia"/>
        </w:rPr>
        <w:t>2 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bookmarkStart w:id="28" w:name="_Toc183582211"/>
      <w:bookmarkStart w:id="29" w:name="_Toc183682348"/>
      <w:bookmarkStart w:id="30" w:name="_Toc217446040"/>
    </w:p>
    <w:p>
      <w:pPr>
        <w:pStyle w:val="5"/>
        <w:ind w:firstLine="482"/>
      </w:pPr>
      <w:r>
        <w:rPr>
          <w:rFonts w:hint="eastAsia"/>
        </w:rPr>
        <w:t>11. 磋商文件的澄清</w:t>
      </w:r>
      <w:bookmarkEnd w:id="28"/>
      <w:bookmarkEnd w:id="29"/>
      <w:r>
        <w:rPr>
          <w:rFonts w:hint="eastAsia"/>
        </w:rPr>
        <w:t>和修改</w:t>
      </w:r>
      <w:bookmarkEnd w:id="30"/>
    </w:p>
    <w:p>
      <w:pPr>
        <w:tabs>
          <w:tab w:val="left" w:pos="720"/>
        </w:tabs>
        <w:ind w:firstLine="468"/>
        <w:rPr>
          <w:spacing w:val="-6"/>
        </w:rPr>
      </w:pPr>
      <w:r>
        <w:rPr>
          <w:rFonts w:hint="eastAsia"/>
          <w:spacing w:val="-6"/>
        </w:rPr>
        <w:t>11.1 在递交响应文件截止时间前，采购人、采购代理机构可以对磋商文件进行澄清或者修改。</w:t>
      </w:r>
    </w:p>
    <w:p>
      <w:pPr>
        <w:tabs>
          <w:tab w:val="left" w:pos="720"/>
        </w:tabs>
        <w:ind w:firstLine="480"/>
      </w:pPr>
      <w:r>
        <w:rPr>
          <w:rFonts w:hint="eastAsia"/>
        </w:rPr>
        <w:t>11.2 采购代理机构对已发出的磋商文件进行澄清或者修改，应当以书面形式将澄清或者修改的内容通知所有购买了磋商文件的供应商，同时在</w:t>
      </w:r>
      <w:r>
        <w:rPr>
          <w:rFonts w:hint="eastAsia"/>
          <w:lang w:eastAsia="zh-CN"/>
        </w:rPr>
        <w:t>中国政府采购网</w:t>
      </w:r>
      <w:r>
        <w:rPr>
          <w:rFonts w:hint="eastAsia"/>
        </w:rPr>
        <w:t>上发布更正公告。该澄清或者修改的内容为磋商文件的组成部分，澄清或者修改的内容可能影响响应文件编制的，采购人或者采购代理机构发布公告并书面通知供应商的时间，应当在提交首次响应文件截止之日起</w:t>
      </w:r>
      <w:r>
        <w:rPr>
          <w:rFonts w:hint="eastAsia"/>
          <w:lang w:val="en-US" w:eastAsia="zh-CN"/>
        </w:rPr>
        <w:t>5</w:t>
      </w:r>
      <w:r>
        <w:rPr>
          <w:rFonts w:hint="eastAsia"/>
        </w:rPr>
        <w:t>日前；不足上述时间的，应当顺延递交响应文件的截止时间。</w:t>
      </w:r>
    </w:p>
    <w:p>
      <w:pPr>
        <w:pStyle w:val="5"/>
        <w:ind w:firstLine="482"/>
      </w:pPr>
      <w:bookmarkStart w:id="31" w:name="_Toc208848971"/>
      <w:bookmarkStart w:id="32" w:name="_Toc217446041"/>
      <w:r>
        <w:rPr>
          <w:rFonts w:hint="eastAsia"/>
        </w:rPr>
        <w:t>12. 答疑会和现场考察</w:t>
      </w:r>
      <w:bookmarkEnd w:id="31"/>
      <w:bookmarkEnd w:id="32"/>
    </w:p>
    <w:p>
      <w:pPr>
        <w:ind w:firstLine="482"/>
        <w:rPr>
          <w:b/>
          <w:bCs/>
        </w:rPr>
      </w:pPr>
      <w:bookmarkStart w:id="33" w:name="_Toc183682351"/>
      <w:bookmarkStart w:id="34" w:name="_Toc217446042"/>
      <w:bookmarkStart w:id="35" w:name="_Toc183582214"/>
      <w:bookmarkStart w:id="36" w:name="_Toc77400780"/>
      <w:bookmarkStart w:id="37" w:name="_Toc89075876"/>
      <w:r>
        <w:rPr>
          <w:rFonts w:hint="eastAsia"/>
          <w:b/>
          <w:bCs/>
        </w:rPr>
        <w:t>本项目不组织统一的答疑会和现场考察。</w:t>
      </w:r>
    </w:p>
    <w:p>
      <w:pPr>
        <w:pStyle w:val="4"/>
        <w:ind w:firstLine="602"/>
      </w:pPr>
      <w:r>
        <w:rPr>
          <w:rFonts w:hint="eastAsia"/>
        </w:rPr>
        <w:t>四、响应文件</w:t>
      </w:r>
      <w:bookmarkEnd w:id="33"/>
      <w:bookmarkEnd w:id="34"/>
      <w:bookmarkEnd w:id="35"/>
      <w:bookmarkEnd w:id="36"/>
      <w:bookmarkEnd w:id="37"/>
    </w:p>
    <w:p>
      <w:pPr>
        <w:pStyle w:val="5"/>
        <w:ind w:firstLine="482"/>
      </w:pPr>
      <w:bookmarkStart w:id="38" w:name="_Toc217446043"/>
      <w:bookmarkStart w:id="39" w:name="_Toc183682352"/>
      <w:bookmarkStart w:id="40" w:name="_Toc183582215"/>
      <w:r>
        <w:rPr>
          <w:rFonts w:hint="eastAsia"/>
        </w:rPr>
        <w:t>13.响应文件的组成</w:t>
      </w:r>
    </w:p>
    <w:p>
      <w:pPr>
        <w:ind w:left="2" w:leftChars="1" w:firstLine="480"/>
      </w:pPr>
      <w:r>
        <w:rPr>
          <w:rFonts w:hint="eastAsia"/>
        </w:rPr>
        <w:t>供应商应按照磋商文件的规定和要求编制响应文件。供应商编写的响应文件应包括资格性响应文件和其他响应文件两部分，分册装订。供应商编写的响应文件应当包括</w:t>
      </w:r>
      <w:r>
        <w:rPr>
          <w:rFonts w:hint="eastAsia"/>
          <w:lang w:val="en-US" w:eastAsia="zh-CN"/>
        </w:rPr>
        <w:t>但</w:t>
      </w:r>
      <w:r>
        <w:rPr>
          <w:rFonts w:hint="eastAsia"/>
        </w:rPr>
        <w:t>不限于以下内容：</w:t>
      </w:r>
    </w:p>
    <w:p>
      <w:pPr>
        <w:pStyle w:val="5"/>
        <w:ind w:firstLine="482"/>
      </w:pPr>
      <w:r>
        <w:rPr>
          <w:rFonts w:hint="eastAsia"/>
        </w:rPr>
        <w:t>13.1资格性响应文件应当包括</w:t>
      </w:r>
      <w:r>
        <w:rPr>
          <w:rFonts w:hint="eastAsia"/>
          <w:lang w:val="en-US" w:eastAsia="zh-CN"/>
        </w:rPr>
        <w:t>但</w:t>
      </w:r>
      <w:r>
        <w:rPr>
          <w:rFonts w:hint="eastAsia"/>
        </w:rPr>
        <w:t>不限于以下内容：</w:t>
      </w:r>
    </w:p>
    <w:p>
      <w:pPr>
        <w:ind w:firstLine="480"/>
      </w:pPr>
      <w:r>
        <w:rPr>
          <w:rFonts w:hint="eastAsia"/>
        </w:rPr>
        <w:t>（1）磋商文件第四章要求提供的供应商资格证明材料；</w:t>
      </w:r>
    </w:p>
    <w:p>
      <w:pPr>
        <w:ind w:firstLine="480"/>
      </w:pPr>
      <w:r>
        <w:rPr>
          <w:rFonts w:hint="eastAsia"/>
        </w:rPr>
        <w:t>（2）承诺函（格式见磋商文件第六章）；</w:t>
      </w:r>
    </w:p>
    <w:p>
      <w:pPr>
        <w:ind w:firstLine="480"/>
      </w:pPr>
      <w:r>
        <w:rPr>
          <w:rFonts w:hint="eastAsia"/>
        </w:rPr>
        <w:t>（3）供应商认为应提供的其他资料。</w:t>
      </w:r>
    </w:p>
    <w:p>
      <w:pPr>
        <w:pStyle w:val="5"/>
        <w:spacing w:before="0"/>
        <w:ind w:firstLine="482"/>
        <w:rPr>
          <w:szCs w:val="24"/>
        </w:rPr>
      </w:pPr>
      <w:r>
        <w:rPr>
          <w:rFonts w:hint="eastAsia"/>
          <w:szCs w:val="24"/>
        </w:rPr>
        <w:t>13.2其他响应文件应当包括</w:t>
      </w:r>
      <w:r>
        <w:rPr>
          <w:rFonts w:hint="eastAsia"/>
          <w:szCs w:val="24"/>
          <w:lang w:val="en-US" w:eastAsia="zh-CN"/>
        </w:rPr>
        <w:t>但</w:t>
      </w:r>
      <w:r>
        <w:rPr>
          <w:rFonts w:hint="eastAsia"/>
          <w:szCs w:val="24"/>
        </w:rPr>
        <w:t>不限于以下内容：</w:t>
      </w:r>
    </w:p>
    <w:p>
      <w:pPr>
        <w:numPr>
          <w:ilvl w:val="0"/>
          <w:numId w:val="2"/>
        </w:numPr>
        <w:ind w:left="60" w:firstLine="480"/>
      </w:pPr>
      <w:r>
        <w:rPr>
          <w:rFonts w:hint="eastAsia"/>
          <w:lang w:val="en-US"/>
        </w:rPr>
        <w:t>磋商</w:t>
      </w:r>
      <w:r>
        <w:rPr>
          <w:rFonts w:hint="eastAsia"/>
        </w:rPr>
        <w:t>函；</w:t>
      </w:r>
    </w:p>
    <w:p>
      <w:pPr>
        <w:numPr>
          <w:ilvl w:val="0"/>
          <w:numId w:val="2"/>
        </w:numPr>
        <w:ind w:left="60" w:firstLine="480"/>
      </w:pPr>
      <w:r>
        <w:rPr>
          <w:rFonts w:hint="eastAsia"/>
          <w:lang w:val="en-US"/>
        </w:rPr>
        <w:t>报价表；</w:t>
      </w:r>
    </w:p>
    <w:p>
      <w:pPr>
        <w:numPr>
          <w:ilvl w:val="0"/>
          <w:numId w:val="2"/>
        </w:numPr>
        <w:ind w:left="60" w:firstLine="480"/>
      </w:pPr>
      <w:r>
        <w:rPr>
          <w:rFonts w:hint="eastAsia"/>
        </w:rPr>
        <w:t>技术</w:t>
      </w:r>
      <w:r>
        <w:rPr>
          <w:rFonts w:hint="eastAsia"/>
          <w:lang w:val="en-US"/>
        </w:rPr>
        <w:t>参数</w:t>
      </w:r>
      <w:r>
        <w:rPr>
          <w:rFonts w:hint="eastAsia"/>
        </w:rPr>
        <w:t>、服务要求应答表；</w:t>
      </w:r>
    </w:p>
    <w:p>
      <w:pPr>
        <w:numPr>
          <w:ilvl w:val="0"/>
          <w:numId w:val="2"/>
        </w:numPr>
        <w:ind w:left="60" w:firstLine="480"/>
      </w:pPr>
      <w:r>
        <w:rPr>
          <w:rFonts w:hint="eastAsia"/>
        </w:rPr>
        <w:t>商务应答表；</w:t>
      </w:r>
    </w:p>
    <w:p>
      <w:pPr>
        <w:numPr>
          <w:ilvl w:val="0"/>
          <w:numId w:val="2"/>
        </w:numPr>
        <w:ind w:left="60" w:firstLine="480"/>
      </w:pPr>
      <w:r>
        <w:rPr>
          <w:rFonts w:hint="eastAsia"/>
        </w:rPr>
        <w:t>证明供应商业绩和荣誉的有关材料；</w:t>
      </w:r>
    </w:p>
    <w:p>
      <w:pPr>
        <w:numPr>
          <w:ilvl w:val="0"/>
          <w:numId w:val="2"/>
        </w:numPr>
        <w:ind w:left="60" w:firstLine="480"/>
      </w:pPr>
      <w:r>
        <w:rPr>
          <w:rFonts w:hint="eastAsia"/>
        </w:rPr>
        <w:t>供应商基本情况表；</w:t>
      </w:r>
    </w:p>
    <w:p>
      <w:pPr>
        <w:numPr>
          <w:ilvl w:val="0"/>
          <w:numId w:val="2"/>
        </w:numPr>
        <w:ind w:left="60" w:firstLine="480"/>
      </w:pPr>
      <w:r>
        <w:rPr>
          <w:rFonts w:hint="eastAsia"/>
        </w:rPr>
        <w:t>供应商认为需要提供的文件和资料。</w:t>
      </w:r>
    </w:p>
    <w:p>
      <w:pPr>
        <w:pStyle w:val="5"/>
        <w:ind w:firstLine="482"/>
        <w:rPr>
          <w:bCs w:val="0"/>
          <w:szCs w:val="24"/>
        </w:rPr>
      </w:pPr>
      <w:r>
        <w:rPr>
          <w:rFonts w:hint="eastAsia"/>
        </w:rPr>
        <w:t>14.响应文件的语言</w:t>
      </w:r>
      <w:bookmarkEnd w:id="38"/>
      <w:bookmarkEnd w:id="39"/>
      <w:bookmarkEnd w:id="40"/>
      <w:r>
        <w:rPr>
          <w:rFonts w:hint="eastAsia"/>
        </w:rPr>
        <w:t>（实质性要求）</w:t>
      </w:r>
    </w:p>
    <w:p>
      <w:pPr>
        <w:ind w:firstLine="480"/>
      </w:pPr>
      <w:r>
        <w:rPr>
          <w:rFonts w:hint="eastAsia"/>
        </w:rPr>
        <w:t>14.1 供应商提交的响应文件以及供应商与采购人、采购代理机构就有关报价的所有来往书面文件均须使用中文。响应文件中如附有外文资料，必须逐一对应翻译成中文并加盖供应商公章后附在相关外文资料后面，否则，供应商的响应文件将作为无效处理。（说明：供应商的法定代表人为外籍人士的，法定代表人的签字和护照除外。）</w:t>
      </w:r>
    </w:p>
    <w:p>
      <w:pPr>
        <w:ind w:firstLine="480"/>
      </w:pPr>
      <w:r>
        <w:rPr>
          <w:rFonts w:hint="eastAsia"/>
        </w:rPr>
        <w:t>14.2 翻译的中文资料与外文资料如果出现差异和矛盾，以中文为准。</w:t>
      </w:r>
      <w:r>
        <w:rPr>
          <w:rFonts w:hint="eastAsia"/>
          <w:lang w:val="en-US" w:eastAsia="zh-CN"/>
        </w:rPr>
        <w:t>但</w:t>
      </w:r>
      <w:r>
        <w:rPr>
          <w:rFonts w:hint="eastAsia"/>
        </w:rPr>
        <w:t>不能故意错误翻译，否则，供应商的响应文件将作为无效处理。</w:t>
      </w:r>
      <w:bookmarkStart w:id="41" w:name="_Toc217446044"/>
      <w:bookmarkStart w:id="42" w:name="_Toc183582216"/>
      <w:bookmarkStart w:id="43" w:name="_Toc183682353"/>
    </w:p>
    <w:p>
      <w:pPr>
        <w:pStyle w:val="5"/>
        <w:ind w:firstLine="482"/>
      </w:pPr>
      <w:r>
        <w:rPr>
          <w:rFonts w:hint="eastAsia"/>
        </w:rPr>
        <w:t>15．计量单位</w:t>
      </w:r>
      <w:bookmarkEnd w:id="41"/>
      <w:bookmarkEnd w:id="42"/>
      <w:bookmarkEnd w:id="43"/>
      <w:r>
        <w:rPr>
          <w:rFonts w:hint="eastAsia"/>
        </w:rPr>
        <w:t>（实质性要求）</w:t>
      </w:r>
    </w:p>
    <w:p>
      <w:pPr>
        <w:ind w:firstLine="470" w:firstLineChars="196"/>
        <w:rPr>
          <w:b/>
          <w:bCs/>
        </w:rPr>
      </w:pPr>
      <w:r>
        <w:rPr>
          <w:rFonts w:hint="eastAsia"/>
        </w:rPr>
        <w:t>除磋商文件中另有规定外，本次采购项目所有合同项下的报价均采用国家法定的计量单位。</w:t>
      </w:r>
      <w:bookmarkStart w:id="44" w:name="_Toc217446045"/>
    </w:p>
    <w:p>
      <w:pPr>
        <w:pStyle w:val="5"/>
        <w:ind w:firstLine="482"/>
      </w:pPr>
      <w:r>
        <w:rPr>
          <w:rFonts w:hint="eastAsia"/>
        </w:rPr>
        <w:t>16. 报价货币（实质性要求）</w:t>
      </w:r>
    </w:p>
    <w:p>
      <w:pPr>
        <w:ind w:firstLine="468" w:firstLineChars="195"/>
        <w:rPr>
          <w:bCs/>
        </w:rPr>
      </w:pPr>
      <w:r>
        <w:rPr>
          <w:rFonts w:hint="eastAsia"/>
          <w:bCs/>
        </w:rPr>
        <w:t>本次磋商项目的</w:t>
      </w:r>
      <w:r>
        <w:rPr>
          <w:rFonts w:hint="eastAsia"/>
        </w:rPr>
        <w:t>报价货币为</w:t>
      </w:r>
      <w:r>
        <w:rPr>
          <w:rFonts w:hint="eastAsia"/>
          <w:bCs/>
        </w:rPr>
        <w:t>人民币，报价以磋商文件规定为准。</w:t>
      </w:r>
    </w:p>
    <w:bookmarkEnd w:id="44"/>
    <w:p>
      <w:pPr>
        <w:pStyle w:val="5"/>
        <w:ind w:firstLine="482"/>
      </w:pPr>
      <w:r>
        <w:rPr>
          <w:rFonts w:hint="eastAsia"/>
        </w:rPr>
        <w:t>17.响应文件格式</w:t>
      </w:r>
    </w:p>
    <w:p>
      <w:pPr>
        <w:ind w:left="2" w:leftChars="1" w:firstLine="480"/>
        <w:rPr>
          <w:bCs/>
        </w:rPr>
      </w:pPr>
      <w:r>
        <w:rPr>
          <w:rFonts w:hint="eastAsia"/>
          <w:bCs/>
        </w:rPr>
        <w:t>17.1 供应商应执行磋商文件第六章的规定要求。</w:t>
      </w:r>
    </w:p>
    <w:p>
      <w:pPr>
        <w:ind w:left="2" w:leftChars="1" w:firstLine="480"/>
      </w:pPr>
      <w:r>
        <w:rPr>
          <w:rFonts w:hint="eastAsia"/>
        </w:rPr>
        <w:t>17.2 对于没有格式要求的磋商文件由供应商自行编写。</w:t>
      </w:r>
      <w:bookmarkStart w:id="45" w:name="_Toc183582224"/>
      <w:bookmarkStart w:id="46" w:name="_Toc217446051"/>
      <w:bookmarkStart w:id="47" w:name="_Toc183682361"/>
    </w:p>
    <w:p>
      <w:pPr>
        <w:pStyle w:val="5"/>
        <w:ind w:firstLine="482"/>
      </w:pPr>
      <w:r>
        <w:rPr>
          <w:rFonts w:hint="eastAsia"/>
        </w:rPr>
        <w:t>18.响应文件的编制和签署</w:t>
      </w:r>
    </w:p>
    <w:p>
      <w:pPr>
        <w:ind w:firstLine="468" w:firstLineChars="195"/>
        <w:rPr>
          <w:bCs/>
        </w:rPr>
      </w:pPr>
      <w:r>
        <w:rPr>
          <w:rFonts w:hint="eastAsia"/>
        </w:rPr>
        <w:t>18.1 资格性响应文件</w:t>
      </w:r>
      <w:r>
        <w:rPr>
          <w:rFonts w:hint="eastAsia"/>
          <w:b/>
          <w:bCs/>
        </w:rPr>
        <w:t>正本壹份副本贰份</w:t>
      </w:r>
      <w:r>
        <w:rPr>
          <w:rFonts w:hint="eastAsia"/>
          <w:bCs/>
        </w:rPr>
        <w:t>，并在其封面上清楚地标明资格性响应文件、采购项目名称、采购项目编号、供应商名称以及“正本”或“副本”字样。若正本和副本有不一致的内容，以正本书面响应文件为准。</w:t>
      </w:r>
    </w:p>
    <w:p>
      <w:pPr>
        <w:ind w:firstLine="468" w:firstLineChars="195"/>
        <w:rPr>
          <w:bCs/>
        </w:rPr>
      </w:pPr>
      <w:r>
        <w:rPr>
          <w:rFonts w:hint="eastAsia"/>
          <w:bCs/>
        </w:rPr>
        <w:t>18.2 其他响应文件</w:t>
      </w:r>
      <w:r>
        <w:rPr>
          <w:rFonts w:hint="eastAsia"/>
          <w:b/>
        </w:rPr>
        <w:t>正本壹份副本贰份</w:t>
      </w:r>
      <w:r>
        <w:rPr>
          <w:rFonts w:hint="eastAsia"/>
          <w:bCs/>
        </w:rPr>
        <w:t>，并在其封面上清楚地标明其他响应文件、采购项目名称、采购项目编号、供应商名称以及“正本”或“副本”字样。若正本和副本有不一致的内容，以正本书面响应文件为准。</w:t>
      </w:r>
    </w:p>
    <w:bookmarkEnd w:id="45"/>
    <w:bookmarkEnd w:id="46"/>
    <w:bookmarkEnd w:id="47"/>
    <w:p>
      <w:pPr>
        <w:ind w:firstLine="444" w:firstLineChars="195"/>
        <w:rPr>
          <w:bCs/>
          <w:spacing w:val="-6"/>
        </w:rPr>
      </w:pPr>
      <w:r>
        <w:rPr>
          <w:rFonts w:hint="eastAsia"/>
          <w:bCs/>
          <w:spacing w:val="-6"/>
        </w:rPr>
        <w:t>18.3 响应文件正本和副本均需在规定签章处签字和盖章。响应文件副本可采用正本的复印件。</w:t>
      </w:r>
    </w:p>
    <w:p>
      <w:pPr>
        <w:ind w:firstLine="468" w:firstLineChars="195"/>
        <w:rPr>
          <w:bCs/>
        </w:rPr>
      </w:pPr>
      <w:r>
        <w:rPr>
          <w:rFonts w:hint="eastAsia"/>
          <w:bCs/>
        </w:rPr>
        <w:t>18.4响应文件的打印和书写应清楚工整，任何行间插字、涂改或增删，必须由供应商的法定代表人或其授权代表签字并盖供应商公章。</w:t>
      </w:r>
    </w:p>
    <w:p>
      <w:pPr>
        <w:ind w:firstLine="468" w:firstLineChars="195"/>
        <w:rPr>
          <w:bCs/>
        </w:rPr>
      </w:pPr>
      <w:r>
        <w:rPr>
          <w:rFonts w:hint="eastAsia"/>
          <w:bCs/>
        </w:rPr>
        <w:t>18.5响应文件应由供应商法定代表人/主要负责人/本人或其授权代表在响应文件要求的地方签字（或加盖私人印章），要求加盖公章的地方加盖单位公章，不得使用专用章（如经济合同章、投标专用章等）或下属单位印章代替。</w:t>
      </w:r>
    </w:p>
    <w:p>
      <w:pPr>
        <w:ind w:firstLine="468" w:firstLineChars="195"/>
        <w:rPr>
          <w:bCs/>
        </w:rPr>
      </w:pPr>
      <w:r>
        <w:rPr>
          <w:rFonts w:hint="eastAsia"/>
          <w:bCs/>
        </w:rPr>
        <w:t>18.6响应文件正本和副本需要逐页编目编码。</w:t>
      </w:r>
    </w:p>
    <w:p>
      <w:pPr>
        <w:tabs>
          <w:tab w:val="left" w:pos="1080"/>
        </w:tabs>
        <w:ind w:firstLine="460" w:firstLineChars="192"/>
      </w:pPr>
      <w:r>
        <w:rPr>
          <w:rFonts w:hint="eastAsia"/>
        </w:rPr>
        <w:t>18.7响应文件正本和副本应当采用胶装方式装订成册，不得散装或者合页装订。</w:t>
      </w:r>
    </w:p>
    <w:p>
      <w:pPr>
        <w:tabs>
          <w:tab w:val="left" w:pos="1080"/>
        </w:tabs>
        <w:ind w:firstLine="460" w:firstLineChars="192"/>
        <w:rPr>
          <w:rFonts w:hint="eastAsia"/>
        </w:rPr>
      </w:pPr>
      <w:r>
        <w:rPr>
          <w:rFonts w:hint="eastAsia"/>
        </w:rPr>
        <w:t>18.8响应文件应根据磋商文件的要求制作，签署、盖章。</w:t>
      </w:r>
    </w:p>
    <w:p>
      <w:pPr>
        <w:tabs>
          <w:tab w:val="left" w:pos="1080"/>
        </w:tabs>
        <w:ind w:firstLine="460" w:firstLineChars="192"/>
        <w:rPr>
          <w:b/>
        </w:rPr>
      </w:pPr>
      <w:r>
        <w:rPr>
          <w:rFonts w:hint="eastAsia"/>
        </w:rPr>
        <w:t>18.9响应文件统一用A4幅面纸印制，除另有规定外。</w:t>
      </w:r>
      <w:bookmarkStart w:id="48" w:name="_Toc89075877"/>
      <w:bookmarkStart w:id="49" w:name="_Toc183682363"/>
      <w:bookmarkStart w:id="50" w:name="_Toc183582226"/>
      <w:bookmarkStart w:id="51" w:name="_Toc77400781"/>
      <w:bookmarkStart w:id="52" w:name="_Toc217446053"/>
    </w:p>
    <w:p>
      <w:pPr>
        <w:pStyle w:val="5"/>
        <w:ind w:firstLine="482"/>
      </w:pPr>
      <w:r>
        <w:rPr>
          <w:rFonts w:hint="eastAsia"/>
        </w:rPr>
        <w:t>19.响应文件的密封和标注（不属于本项目磋商小组评审范畴，由采购人、采购代理机构在接收响应文件时及时处理）</w:t>
      </w:r>
    </w:p>
    <w:p>
      <w:pPr>
        <w:tabs>
          <w:tab w:val="left" w:pos="1080"/>
        </w:tabs>
        <w:ind w:firstLine="460" w:firstLineChars="192"/>
      </w:pPr>
      <w:r>
        <w:rPr>
          <w:rFonts w:hint="eastAsia"/>
        </w:rPr>
        <w:t>19.1 响应文件可以单独密封包装，也可以所有响应文件密封包装在一个密封袋内。</w:t>
      </w:r>
    </w:p>
    <w:p>
      <w:pPr>
        <w:tabs>
          <w:tab w:val="left" w:pos="1080"/>
        </w:tabs>
        <w:ind w:firstLine="460" w:firstLineChars="192"/>
      </w:pPr>
      <w:r>
        <w:rPr>
          <w:rFonts w:hint="eastAsia"/>
        </w:rPr>
        <w:t>19.2 响应文件密封袋的最外层应清楚地标明采购项目名称、采购项目编号、供应商名称。</w:t>
      </w:r>
    </w:p>
    <w:p>
      <w:pPr>
        <w:tabs>
          <w:tab w:val="left" w:pos="1080"/>
        </w:tabs>
        <w:ind w:firstLine="460" w:firstLineChars="192"/>
      </w:pPr>
      <w:r>
        <w:rPr>
          <w:rFonts w:hint="eastAsia"/>
        </w:rPr>
        <w:t xml:space="preserve"> 19.3 所有外层密封袋的封口处应粘贴牢固。</w:t>
      </w:r>
    </w:p>
    <w:p>
      <w:pPr>
        <w:tabs>
          <w:tab w:val="left" w:pos="1080"/>
        </w:tabs>
        <w:ind w:firstLine="460" w:firstLineChars="192"/>
      </w:pPr>
      <w:r>
        <w:rPr>
          <w:rFonts w:hint="eastAsia"/>
        </w:rPr>
        <w:t>19.4 未按以上要求进行密封和标注的响应文件，采购人、采购代理机构将拒收或者在时间允许的范围内，要求修改完善后接收。</w:t>
      </w:r>
    </w:p>
    <w:p>
      <w:pPr>
        <w:pStyle w:val="5"/>
        <w:ind w:firstLine="482"/>
      </w:pPr>
      <w:r>
        <w:rPr>
          <w:rFonts w:hint="eastAsia"/>
        </w:rPr>
        <w:t>20.响应文件的递交</w:t>
      </w:r>
    </w:p>
    <w:p>
      <w:pPr>
        <w:tabs>
          <w:tab w:val="left" w:pos="1080"/>
        </w:tabs>
        <w:ind w:firstLine="460" w:firstLineChars="192"/>
      </w:pPr>
      <w:r>
        <w:rPr>
          <w:rFonts w:hint="eastAsia"/>
        </w:rPr>
        <w:t>20.1 资格性响应文件和其他响应文件应于递交响应文件截止时间前送达指定地点，采购代理机构拒绝接收截止时间后送达的响应文件。</w:t>
      </w:r>
    </w:p>
    <w:p>
      <w:pPr>
        <w:tabs>
          <w:tab w:val="left" w:pos="1080"/>
        </w:tabs>
        <w:ind w:firstLine="460" w:firstLineChars="192"/>
      </w:pPr>
      <w:r>
        <w:rPr>
          <w:rFonts w:hint="eastAsia"/>
        </w:rPr>
        <w:t>20.2 采购代理机构将向通过资格审查的供应商发出磋商邀请；告知未通过资格审查的供应商未通过的原因。</w:t>
      </w:r>
    </w:p>
    <w:p>
      <w:pPr>
        <w:tabs>
          <w:tab w:val="left" w:pos="1080"/>
        </w:tabs>
        <w:ind w:firstLine="460" w:firstLineChars="192"/>
      </w:pPr>
      <w:r>
        <w:rPr>
          <w:rFonts w:hint="eastAsia"/>
        </w:rPr>
        <w:t>20.3 报价表在磋商后，磋商小组要求供应商进行最后报价时递交。</w:t>
      </w:r>
    </w:p>
    <w:p>
      <w:pPr>
        <w:tabs>
          <w:tab w:val="left" w:pos="1080"/>
        </w:tabs>
        <w:ind w:firstLine="460" w:firstLineChars="192"/>
      </w:pPr>
      <w:r>
        <w:rPr>
          <w:rFonts w:hint="eastAsia"/>
        </w:rPr>
        <w:t>20.4 本次采购不接收邮寄的响应文件。</w:t>
      </w:r>
    </w:p>
    <w:bookmarkEnd w:id="48"/>
    <w:bookmarkEnd w:id="49"/>
    <w:bookmarkEnd w:id="50"/>
    <w:bookmarkEnd w:id="51"/>
    <w:bookmarkEnd w:id="52"/>
    <w:p>
      <w:pPr>
        <w:pStyle w:val="5"/>
        <w:ind w:firstLine="482"/>
      </w:pPr>
      <w:bookmarkStart w:id="53" w:name="_Toc217446055"/>
      <w:bookmarkStart w:id="54" w:name="_Toc183682365"/>
      <w:bookmarkStart w:id="55" w:name="_Toc183582228"/>
      <w:r>
        <w:rPr>
          <w:rFonts w:hint="eastAsia"/>
        </w:rPr>
        <w:t>21.响应文件的修改和撤回（补充、修改响应文件的密封和标注按照本章“19.响应文件的密封和标注”规定处理）</w:t>
      </w:r>
    </w:p>
    <w:p>
      <w:pPr>
        <w:ind w:firstLine="480"/>
      </w:pPr>
      <w:r>
        <w:rPr>
          <w:rFonts w:hint="eastAsia"/>
        </w:rPr>
        <w:t>21.1供应商在提交响应文件后可对其响应文件进行修改或撤回，</w:t>
      </w:r>
      <w:r>
        <w:rPr>
          <w:rFonts w:hint="eastAsia"/>
          <w:lang w:val="en-US" w:eastAsia="zh-CN"/>
        </w:rPr>
        <w:t>但</w:t>
      </w:r>
      <w:r>
        <w:rPr>
          <w:rFonts w:hint="eastAsia"/>
        </w:rPr>
        <w:t>该修改或撤回的书面通知须在递交截止时间之前送达采购代理机构，补充、修改的内容作为响应文件的组成部分。且该通知需经正式授权的供应商代表签字方为有效。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pPr>
        <w:ind w:firstLine="480"/>
      </w:pPr>
      <w:r>
        <w:rPr>
          <w:rFonts w:hint="eastAsia"/>
        </w:rPr>
        <w:t>21.2供应商对响应文件修改的书面材料或撤回的通知应该按规定进行编写、密封、标注和递送，并注明“修改响应文件”字样。</w:t>
      </w:r>
    </w:p>
    <w:p>
      <w:pPr>
        <w:ind w:firstLine="480"/>
      </w:pPr>
      <w:r>
        <w:rPr>
          <w:rFonts w:hint="eastAsia"/>
        </w:rPr>
        <w:t>21.3供应商不得在递交截止时间起至响应文件有效期期满前撤销其响应文件。</w:t>
      </w:r>
    </w:p>
    <w:p>
      <w:pPr>
        <w:ind w:firstLine="480"/>
      </w:pPr>
      <w:r>
        <w:rPr>
          <w:rFonts w:hint="eastAsia"/>
        </w:rPr>
        <w:t>21.4 供应商对其提交的响应文件的真实性、合法性承担法律责任。</w:t>
      </w:r>
      <w:bookmarkEnd w:id="53"/>
      <w:bookmarkEnd w:id="54"/>
      <w:bookmarkEnd w:id="55"/>
    </w:p>
    <w:p>
      <w:pPr>
        <w:pStyle w:val="4"/>
        <w:ind w:firstLine="0" w:firstLineChars="0"/>
      </w:pPr>
      <w:r>
        <w:rPr>
          <w:rFonts w:hint="eastAsia"/>
        </w:rPr>
        <w:t>五、评审</w:t>
      </w:r>
    </w:p>
    <w:p>
      <w:pPr>
        <w:ind w:firstLine="480"/>
      </w:pPr>
      <w:r>
        <w:rPr>
          <w:rFonts w:hint="eastAsia"/>
        </w:rPr>
        <w:t>22.磋商小组的组建及其评审工作按照有关法律制度和本文件第七章的规定进行。</w:t>
      </w:r>
    </w:p>
    <w:p>
      <w:pPr>
        <w:pStyle w:val="4"/>
        <w:ind w:firstLine="0" w:firstLineChars="0"/>
      </w:pPr>
      <w:r>
        <w:rPr>
          <w:rFonts w:hint="eastAsia"/>
        </w:rPr>
        <w:t>六、成交事项</w:t>
      </w:r>
    </w:p>
    <w:p>
      <w:pPr>
        <w:pStyle w:val="5"/>
        <w:ind w:firstLine="482"/>
      </w:pPr>
      <w:r>
        <w:rPr>
          <w:rFonts w:hint="eastAsia"/>
        </w:rPr>
        <w:t>23.确定成交供应商</w:t>
      </w:r>
    </w:p>
    <w:p>
      <w:pPr>
        <w:ind w:firstLine="480"/>
      </w:pPr>
      <w:r>
        <w:rPr>
          <w:rFonts w:hint="eastAsia"/>
        </w:rPr>
        <w:t>采购人将按磋商小组推荐的成交候选供应商顺序确定成交供应商。</w:t>
      </w:r>
    </w:p>
    <w:p>
      <w:pPr>
        <w:ind w:firstLine="480"/>
      </w:pPr>
      <w:r>
        <w:rPr>
          <w:rFonts w:hint="eastAsia"/>
        </w:rPr>
        <w:t>23.1采购代理机构自评审结束后2个工作日内将磋商报告及有关资料送交采购人确定成交供应商。</w:t>
      </w:r>
    </w:p>
    <w:p>
      <w:pPr>
        <w:ind w:firstLine="480"/>
      </w:pPr>
      <w:r>
        <w:rPr>
          <w:rFonts w:hint="eastAsia"/>
        </w:rPr>
        <w:t>23.2采购人收到磋商报告及有关资料后，将在5个工作日内按照磋商报告中推荐的成交候选供应商顺序确定成交供应商。成交候选供应商并列的，采购人自主采取公平、择优的方式选择成交供应商。采购人逾期未确定成交供应商且不提出异议的，视为确定磋商报告提出的排序第一的供应商为成交供应商。</w:t>
      </w:r>
    </w:p>
    <w:p>
      <w:pPr>
        <w:ind w:firstLine="480"/>
      </w:pPr>
      <w:r>
        <w:rPr>
          <w:rFonts w:hint="eastAsia"/>
        </w:rPr>
        <w:t>23.3采购人确定成交供应商过程中，发现成交候选供应商有下列情形之一的，应当不予确定其为成交供应商：</w:t>
      </w:r>
    </w:p>
    <w:p>
      <w:pPr>
        <w:ind w:firstLine="480"/>
      </w:pPr>
      <w:r>
        <w:rPr>
          <w:rFonts w:hint="eastAsia"/>
        </w:rPr>
        <w:t>（1）发现成交候选供应商存在禁止参加本项目采购活动的违法行为的；</w:t>
      </w:r>
    </w:p>
    <w:p>
      <w:pPr>
        <w:ind w:firstLine="480"/>
      </w:pPr>
      <w:r>
        <w:rPr>
          <w:rFonts w:hint="eastAsia"/>
        </w:rPr>
        <w:t>（2）成交候选供应商因不可抗力，不能继续参加采购活动；</w:t>
      </w:r>
    </w:p>
    <w:p>
      <w:pPr>
        <w:ind w:firstLine="480"/>
      </w:pPr>
      <w:r>
        <w:rPr>
          <w:rFonts w:hint="eastAsia"/>
        </w:rPr>
        <w:t>（3）成交候选供应商无偿赠与或者低于成本价竞争；</w:t>
      </w:r>
    </w:p>
    <w:p>
      <w:pPr>
        <w:ind w:firstLine="480"/>
      </w:pPr>
      <w:r>
        <w:rPr>
          <w:rFonts w:hint="eastAsia"/>
        </w:rPr>
        <w:t>（4）成交候选供应商提供虚假材料；</w:t>
      </w:r>
    </w:p>
    <w:p>
      <w:pPr>
        <w:ind w:firstLine="480"/>
      </w:pPr>
      <w:r>
        <w:rPr>
          <w:rFonts w:hint="eastAsia"/>
        </w:rPr>
        <w:t>（5）成交候选供应商恶意串通。</w:t>
      </w:r>
    </w:p>
    <w:p>
      <w:pPr>
        <w:ind w:firstLine="480"/>
        <w:rPr>
          <w:szCs w:val="24"/>
        </w:rPr>
      </w:pPr>
      <w:r>
        <w:rPr>
          <w:rFonts w:hint="eastAsia"/>
        </w:rPr>
        <w:t>成交候选供应商有本条情形之一的，采购人可以确定后一位成交候选供应商为成交供应商，依次类推。无法确定成交供应商的，应当重新组织采购</w:t>
      </w:r>
      <w:r>
        <w:rPr>
          <w:rFonts w:hint="eastAsia"/>
          <w:szCs w:val="24"/>
        </w:rPr>
        <w:t>。</w:t>
      </w:r>
    </w:p>
    <w:p>
      <w:pPr>
        <w:pStyle w:val="5"/>
        <w:ind w:firstLine="482"/>
      </w:pPr>
      <w:r>
        <w:rPr>
          <w:rFonts w:hint="eastAsia"/>
        </w:rPr>
        <w:t>24．行贿犯罪档案查询</w:t>
      </w:r>
    </w:p>
    <w:p>
      <w:pPr>
        <w:ind w:firstLine="480"/>
      </w:pPr>
      <w:r>
        <w:rPr>
          <w:rFonts w:hint="eastAsia"/>
        </w:rPr>
        <w:t>24．1供应商在本项目响应文件中针对无行贿犯罪记录采取承诺制。</w:t>
      </w:r>
    </w:p>
    <w:p>
      <w:pPr>
        <w:ind w:firstLine="480"/>
      </w:pPr>
      <w:r>
        <w:rPr>
          <w:rFonts w:hint="eastAsia"/>
        </w:rPr>
        <w:t>24．2成交候选供应商单位及其现任法定代表人、主要负责人存在行贿犯罪记录的，成交后未签订采购合同的，将认定成交无效：成交后签订采购合同未履行的，将认定成交无效，同时撤销采购合同：成交后签订采购合同且已经履行的，将认定采购活动违法，由相关当事人承担赔偿责任。</w:t>
      </w:r>
    </w:p>
    <w:p>
      <w:pPr>
        <w:pStyle w:val="5"/>
        <w:ind w:firstLine="482"/>
      </w:pPr>
      <w:r>
        <w:rPr>
          <w:rFonts w:hint="eastAsia"/>
        </w:rPr>
        <w:t>25.成交结果</w:t>
      </w:r>
    </w:p>
    <w:p>
      <w:pPr>
        <w:ind w:firstLine="480"/>
      </w:pPr>
      <w:r>
        <w:rPr>
          <w:rFonts w:hint="eastAsia"/>
        </w:rPr>
        <w:t>25.1采购人确定成交供应商后，将及时书面通知采购代理机构，发出成交通知书并发布成交结果公告。</w:t>
      </w:r>
    </w:p>
    <w:p>
      <w:pPr>
        <w:ind w:firstLine="480"/>
      </w:pPr>
      <w:r>
        <w:rPr>
          <w:rFonts w:hint="eastAsia"/>
        </w:rPr>
        <w:t>25.2成交供应商应当及时领取成交通知书。</w:t>
      </w:r>
      <w:r>
        <w:rPr>
          <w:rFonts w:hint="eastAsia"/>
          <w:color w:val="auto"/>
        </w:rPr>
        <w:t>本项目</w:t>
      </w:r>
      <w:r>
        <w:rPr>
          <w:rFonts w:hint="eastAsia"/>
          <w:color w:val="auto"/>
          <w:lang w:val="en-US" w:eastAsia="zh-CN"/>
        </w:rPr>
        <w:t>不</w:t>
      </w:r>
      <w:r>
        <w:rPr>
          <w:rFonts w:hint="eastAsia"/>
          <w:color w:val="auto"/>
        </w:rPr>
        <w:t>需要交纳履约保证金。</w:t>
      </w:r>
    </w:p>
    <w:p>
      <w:pPr>
        <w:ind w:firstLine="480"/>
      </w:pPr>
      <w:r>
        <w:rPr>
          <w:rFonts w:hint="eastAsia"/>
        </w:rPr>
        <w:t>25.3</w:t>
      </w:r>
      <w:r>
        <w:rPr>
          <w:rFonts w:hint="eastAsia"/>
          <w:lang w:val="en-US" w:eastAsia="zh-CN"/>
        </w:rPr>
        <w:t>成交</w:t>
      </w:r>
      <w:r>
        <w:rPr>
          <w:rFonts w:hint="eastAsia"/>
        </w:rPr>
        <w:t>供应商不能及时领取成交通知书，采购人或者采购代理机可以通过邮寄、快递等方式将项目成交通知书送达成交供应商。</w:t>
      </w:r>
    </w:p>
    <w:p>
      <w:pPr>
        <w:pStyle w:val="5"/>
        <w:ind w:firstLine="482"/>
      </w:pPr>
      <w:r>
        <w:rPr>
          <w:rFonts w:hint="eastAsia"/>
        </w:rPr>
        <w:t>26.成交通知书</w:t>
      </w:r>
    </w:p>
    <w:p>
      <w:pPr>
        <w:ind w:firstLine="480"/>
      </w:pPr>
      <w:r>
        <w:rPr>
          <w:rFonts w:hint="eastAsia"/>
        </w:rPr>
        <w:t>26.1成交通知书为签订采购合同的依据之一，是合同的有效组成部分。</w:t>
      </w:r>
    </w:p>
    <w:p>
      <w:pPr>
        <w:ind w:firstLine="480"/>
      </w:pPr>
      <w:r>
        <w:rPr>
          <w:rFonts w:hint="eastAsia"/>
        </w:rPr>
        <w:t>26.2成交通知书对采购人和成交供应商均具有法律效力。成交通知书发出后，采购人无正当理由改变成交结果，或者成交供应商无正当理由放弃成交的，将承担相应的法律责任。</w:t>
      </w:r>
    </w:p>
    <w:p>
      <w:pPr>
        <w:ind w:firstLine="480"/>
      </w:pPr>
      <w:r>
        <w:rPr>
          <w:rFonts w:hint="eastAsia"/>
        </w:rPr>
        <w:t>26.3成交供应商的响应文件作为无效响应文件处理或者有采购法律法规规章制度规定的成交无效情形的，采购人/采购代理机构在取得有权主体的认定以后，有权宣布发出的成交通知书无效，并收回发出的成交通知书，依法重新确定成交供应商或者重新开展采购活动。</w:t>
      </w:r>
    </w:p>
    <w:p>
      <w:pPr>
        <w:pStyle w:val="4"/>
        <w:ind w:firstLine="0" w:firstLineChars="0"/>
      </w:pPr>
      <w:r>
        <w:rPr>
          <w:rFonts w:hint="eastAsia"/>
        </w:rPr>
        <w:t>七、合同事项</w:t>
      </w:r>
    </w:p>
    <w:p>
      <w:pPr>
        <w:pStyle w:val="5"/>
        <w:ind w:firstLine="482"/>
      </w:pPr>
      <w:bookmarkStart w:id="56" w:name="_Toc101250646"/>
      <w:bookmarkStart w:id="57" w:name="_Toc430773927"/>
      <w:bookmarkStart w:id="58" w:name="_Toc209847069"/>
      <w:bookmarkStart w:id="59" w:name="_Toc101338364"/>
      <w:bookmarkStart w:id="60" w:name="_Toc101174151"/>
      <w:r>
        <w:rPr>
          <w:rFonts w:hint="eastAsia"/>
        </w:rPr>
        <w:t>27.签订合同</w:t>
      </w:r>
      <w:bookmarkEnd w:id="56"/>
      <w:bookmarkEnd w:id="57"/>
      <w:bookmarkEnd w:id="58"/>
      <w:bookmarkEnd w:id="59"/>
      <w:bookmarkEnd w:id="60"/>
    </w:p>
    <w:p>
      <w:pPr>
        <w:ind w:firstLine="480"/>
      </w:pPr>
      <w:r>
        <w:rPr>
          <w:rFonts w:hint="eastAsia"/>
        </w:rPr>
        <w:t>27.1 成交供应商应在成交通知书发出之日起三十日内与采购人签订采购合同。由于成交供应商的原因逾期未与采购人签订采购合同的，将视为放弃成交，取消其成交资格并将按相关规定进行处理。</w:t>
      </w:r>
    </w:p>
    <w:p>
      <w:pPr>
        <w:ind w:firstLine="480"/>
      </w:pPr>
      <w:r>
        <w:rPr>
          <w:rFonts w:hint="eastAsia"/>
        </w:rPr>
        <w:t>27.2 磋商文件、成交供应商的响应文件及双方确认的澄清文件等，均为有法律约束力的合同组成部分。</w:t>
      </w:r>
    </w:p>
    <w:p>
      <w:pPr>
        <w:ind w:firstLine="480"/>
      </w:pPr>
      <w:r>
        <w:rPr>
          <w:rFonts w:hint="eastAsia"/>
        </w:rPr>
        <w:t>27.3 采购人不得向成交供应商提出任何不合理的要求，作为签订合同的条件，不得与成交供应商私下订立背离合同实质性内容的任何协议，所签订的合同不得对磋商文件和成交供应商响应文件确定的事项进行修改。</w:t>
      </w:r>
    </w:p>
    <w:p>
      <w:pPr>
        <w:ind w:firstLine="480"/>
      </w:pPr>
      <w:r>
        <w:rPr>
          <w:rFonts w:hint="eastAsia"/>
        </w:rPr>
        <w:t>27.4 成交供应商因不可抗力原因不能履行采购合同或放弃成交的，采购人可以与排在成交供应商之后第一位的成交候选人签订采购合同，以此类推。</w:t>
      </w:r>
    </w:p>
    <w:p>
      <w:pPr>
        <w:ind w:firstLine="480"/>
      </w:pPr>
      <w:r>
        <w:rPr>
          <w:rFonts w:hint="eastAsia"/>
        </w:rPr>
        <w:t>27.5竞争性磋商文件、成交供应商提交的响应文件、磋商中的最后报价、成交供应商承诺书、成交通知书等均称为有法律约束力的合同组成内容。</w:t>
      </w:r>
    </w:p>
    <w:p>
      <w:pPr>
        <w:pStyle w:val="5"/>
        <w:ind w:firstLine="482"/>
      </w:pPr>
      <w:r>
        <w:rPr>
          <w:rFonts w:hint="eastAsia"/>
        </w:rPr>
        <w:t>28.合同分包（实质性要求）</w:t>
      </w:r>
    </w:p>
    <w:p>
      <w:pPr>
        <w:ind w:firstLine="480"/>
      </w:pPr>
      <w:r>
        <w:rPr>
          <w:rFonts w:hint="eastAsia"/>
        </w:rPr>
        <w:t>本采购项目严禁成交供应商将任何采购合同义务</w:t>
      </w:r>
      <w:r>
        <w:rPr>
          <w:rFonts w:hint="eastAsia"/>
          <w:lang w:val="en-US"/>
        </w:rPr>
        <w:t>分</w:t>
      </w:r>
      <w:r>
        <w:rPr>
          <w:rFonts w:hint="eastAsia"/>
        </w:rPr>
        <w:t>包。成交供应商</w:t>
      </w:r>
      <w:r>
        <w:rPr>
          <w:rFonts w:hint="eastAsia"/>
          <w:lang w:val="en-US"/>
        </w:rPr>
        <w:t>分</w:t>
      </w:r>
      <w:r>
        <w:rPr>
          <w:rFonts w:hint="eastAsia"/>
        </w:rPr>
        <w:t>包的，视同拒绝履行采购合同义务，将依法追究法律责任。</w:t>
      </w:r>
    </w:p>
    <w:p>
      <w:pPr>
        <w:pStyle w:val="5"/>
        <w:ind w:firstLine="482"/>
      </w:pPr>
      <w:r>
        <w:rPr>
          <w:rFonts w:hint="eastAsia"/>
        </w:rPr>
        <w:t>29.合同转包（实质性要求）</w:t>
      </w:r>
    </w:p>
    <w:p>
      <w:pPr>
        <w:ind w:firstLine="480"/>
      </w:pPr>
      <w:r>
        <w:rPr>
          <w:rFonts w:hint="eastAsia"/>
        </w:rPr>
        <w:t>本采购项目严禁成交供应商将任何采购合同义务转包。成交供应商转包的，视同拒绝履行采购合同义务，将依法追究法律责任。</w:t>
      </w:r>
    </w:p>
    <w:p>
      <w:pPr>
        <w:pStyle w:val="5"/>
        <w:ind w:firstLine="482"/>
      </w:pPr>
      <w:r>
        <w:rPr>
          <w:rFonts w:hint="eastAsia"/>
        </w:rPr>
        <w:t>30.补充合同</w:t>
      </w:r>
    </w:p>
    <w:p>
      <w:pPr>
        <w:ind w:firstLine="480"/>
      </w:pPr>
      <w:r>
        <w:rPr>
          <w:rFonts w:hint="eastAsia"/>
        </w:rPr>
        <w:t>采购合同履行过程中，采购人需要追加与合同标的相同的货物或者服务的，在不改变合同其他条款的前提下，可以与成交供应商协商签订补充合同，</w:t>
      </w:r>
      <w:r>
        <w:rPr>
          <w:rFonts w:hint="eastAsia"/>
          <w:lang w:val="en-US" w:eastAsia="zh-CN"/>
        </w:rPr>
        <w:t>但</w:t>
      </w:r>
      <w:r>
        <w:rPr>
          <w:rFonts w:hint="eastAsia"/>
        </w:rPr>
        <w:t xml:space="preserve">所有补充合同的采购金额不得超过原合同采购金额的百分之十，该补充合同应当在原采购合同履行过程中，不得在原采购合同履行结束后，且采购货物、工程和服务的名称、价格、履约方式、验收标准等必须与原采购合同一致。 </w:t>
      </w:r>
    </w:p>
    <w:p>
      <w:pPr>
        <w:pStyle w:val="5"/>
        <w:ind w:firstLine="482"/>
      </w:pPr>
      <w:r>
        <w:rPr>
          <w:rFonts w:hint="eastAsia"/>
        </w:rPr>
        <w:t>31.履约保证金（实质性要求）</w:t>
      </w:r>
    </w:p>
    <w:p>
      <w:pPr>
        <w:pStyle w:val="5"/>
        <w:ind w:firstLine="482"/>
        <w:rPr>
          <w:rFonts w:hint="eastAsia"/>
          <w:color w:val="auto"/>
        </w:rPr>
      </w:pPr>
      <w:r>
        <w:rPr>
          <w:rFonts w:hint="eastAsia"/>
          <w:color w:val="auto"/>
          <w:lang w:val="en-US" w:eastAsia="zh-CN"/>
        </w:rPr>
        <w:t>本项目不收取履约保证金</w:t>
      </w:r>
      <w:r>
        <w:rPr>
          <w:rFonts w:hint="eastAsia"/>
          <w:color w:val="auto"/>
        </w:rPr>
        <w:t>。</w:t>
      </w:r>
    </w:p>
    <w:p>
      <w:pPr>
        <w:pStyle w:val="5"/>
        <w:ind w:firstLine="482"/>
      </w:pPr>
      <w:r>
        <w:rPr>
          <w:rFonts w:hint="eastAsia"/>
        </w:rPr>
        <w:t>3</w:t>
      </w:r>
      <w:r>
        <w:rPr>
          <w:rFonts w:hint="eastAsia"/>
          <w:lang w:val="en-US" w:eastAsia="zh-CN"/>
        </w:rPr>
        <w:t>2</w:t>
      </w:r>
      <w:r>
        <w:rPr>
          <w:rFonts w:hint="eastAsia"/>
        </w:rPr>
        <w:t>.履行合同</w:t>
      </w:r>
    </w:p>
    <w:p>
      <w:pPr>
        <w:ind w:firstLine="480"/>
      </w:pPr>
      <w:r>
        <w:rPr>
          <w:rFonts w:hint="eastAsia"/>
        </w:rPr>
        <w:t>3</w:t>
      </w:r>
      <w:r>
        <w:rPr>
          <w:rFonts w:hint="eastAsia"/>
          <w:lang w:val="en-US" w:eastAsia="zh-CN"/>
        </w:rPr>
        <w:t>2</w:t>
      </w:r>
      <w:r>
        <w:rPr>
          <w:rFonts w:hint="eastAsia"/>
        </w:rPr>
        <w:t>.1 成交供应商与采购人签订合同后，合同双方应严格执行合同条款，履行合同规定的义务，保证合同的顺利完成。</w:t>
      </w:r>
    </w:p>
    <w:p>
      <w:pPr>
        <w:ind w:firstLine="458"/>
        <w:rPr>
          <w:spacing w:val="-11"/>
        </w:rPr>
      </w:pPr>
      <w:r>
        <w:rPr>
          <w:rFonts w:hint="eastAsia"/>
          <w:spacing w:val="-11"/>
        </w:rPr>
        <w:t>3</w:t>
      </w:r>
      <w:r>
        <w:rPr>
          <w:rFonts w:hint="eastAsia"/>
          <w:spacing w:val="-11"/>
          <w:lang w:val="en-US" w:eastAsia="zh-CN"/>
        </w:rPr>
        <w:t>2</w:t>
      </w:r>
      <w:r>
        <w:rPr>
          <w:rFonts w:hint="eastAsia"/>
          <w:spacing w:val="-11"/>
        </w:rPr>
        <w:t>.2 在合同履行过程中，如发生合同纠纷，合同双方应按照《</w:t>
      </w:r>
      <w:r>
        <w:rPr>
          <w:rFonts w:hint="eastAsia"/>
          <w:spacing w:val="-11"/>
          <w:lang w:val="en-US" w:eastAsia="zh-CN"/>
        </w:rPr>
        <w:t>民法典</w:t>
      </w:r>
      <w:r>
        <w:rPr>
          <w:rFonts w:hint="eastAsia"/>
          <w:spacing w:val="-11"/>
        </w:rPr>
        <w:t>》的有关规定进行处理。</w:t>
      </w:r>
    </w:p>
    <w:p>
      <w:pPr>
        <w:pStyle w:val="5"/>
        <w:ind w:firstLine="482"/>
      </w:pPr>
      <w:r>
        <w:rPr>
          <w:rFonts w:hint="eastAsia"/>
        </w:rPr>
        <w:t>3</w:t>
      </w:r>
      <w:r>
        <w:rPr>
          <w:rFonts w:hint="eastAsia"/>
          <w:lang w:val="en-US" w:eastAsia="zh-CN"/>
        </w:rPr>
        <w:t>3</w:t>
      </w:r>
      <w:r>
        <w:rPr>
          <w:rFonts w:hint="eastAsia"/>
        </w:rPr>
        <w:t>.验收</w:t>
      </w:r>
    </w:p>
    <w:p>
      <w:pPr>
        <w:ind w:firstLine="480"/>
      </w:pPr>
      <w:r>
        <w:rPr>
          <w:rFonts w:hint="eastAsia"/>
        </w:rPr>
        <w:t>3</w:t>
      </w:r>
      <w:r>
        <w:rPr>
          <w:rFonts w:hint="eastAsia"/>
          <w:lang w:val="en-US" w:eastAsia="zh-CN"/>
        </w:rPr>
        <w:t>3</w:t>
      </w:r>
      <w:r>
        <w:rPr>
          <w:rFonts w:hint="eastAsia"/>
        </w:rPr>
        <w:t>.1本项目采购人将严格</w:t>
      </w:r>
      <w:r>
        <w:rPr>
          <w:rFonts w:hint="eastAsia"/>
          <w:lang w:val="en-US" w:eastAsia="zh-CN"/>
        </w:rPr>
        <w:t>参</w:t>
      </w:r>
      <w:r>
        <w:rPr>
          <w:rFonts w:hint="eastAsia"/>
        </w:rPr>
        <w:t>照政府采购相关法律法规以及《</w:t>
      </w:r>
      <w:r>
        <w:rPr>
          <w:rFonts w:hint="eastAsia"/>
          <w:lang w:val="en-US" w:eastAsia="zh-CN"/>
        </w:rPr>
        <w:t>财政部关于进一步加强政府采购需求和履约验收管理的指导意见</w:t>
      </w:r>
      <w:r>
        <w:rPr>
          <w:rFonts w:hint="eastAsia"/>
        </w:rPr>
        <w:t>》的通知（</w:t>
      </w:r>
      <w:r>
        <w:rPr>
          <w:rFonts w:hint="eastAsia"/>
          <w:lang w:val="en-US" w:eastAsia="zh-CN"/>
        </w:rPr>
        <w:t>财库【2016】205</w:t>
      </w:r>
      <w:r>
        <w:rPr>
          <w:rFonts w:hint="eastAsia"/>
        </w:rPr>
        <w:t>号）的要求进行验收。</w:t>
      </w:r>
    </w:p>
    <w:p>
      <w:pPr>
        <w:ind w:firstLine="480"/>
      </w:pPr>
      <w:r>
        <w:rPr>
          <w:rFonts w:hint="eastAsia"/>
        </w:rPr>
        <w:t>3</w:t>
      </w:r>
      <w:r>
        <w:rPr>
          <w:rFonts w:hint="eastAsia"/>
          <w:lang w:val="en-US" w:eastAsia="zh-CN"/>
        </w:rPr>
        <w:t>3</w:t>
      </w:r>
      <w:r>
        <w:rPr>
          <w:rFonts w:hint="eastAsia"/>
        </w:rPr>
        <w:t>.2 验收结果不合格的，将不予支付采购资金，还可能按照政府采购法律法规等有关规定给予行政处罚或者以失信行为记入诚信档案。</w:t>
      </w:r>
    </w:p>
    <w:p>
      <w:pPr>
        <w:pStyle w:val="5"/>
        <w:ind w:firstLine="482"/>
      </w:pPr>
      <w:r>
        <w:rPr>
          <w:rFonts w:hint="eastAsia"/>
        </w:rPr>
        <w:t>3</w:t>
      </w:r>
      <w:r>
        <w:rPr>
          <w:rFonts w:hint="eastAsia"/>
          <w:lang w:val="en-US" w:eastAsia="zh-CN"/>
        </w:rPr>
        <w:t>4</w:t>
      </w:r>
      <w:r>
        <w:rPr>
          <w:rFonts w:hint="eastAsia"/>
        </w:rPr>
        <w:t>.资金支付</w:t>
      </w:r>
    </w:p>
    <w:p>
      <w:pPr>
        <w:ind w:firstLine="480"/>
      </w:pPr>
      <w:r>
        <w:rPr>
          <w:rFonts w:hint="eastAsia"/>
        </w:rPr>
        <w:t>采购人将按照采购合同规定，及时向成交供应商支付采购资金。</w:t>
      </w:r>
    </w:p>
    <w:p>
      <w:pPr>
        <w:pStyle w:val="4"/>
        <w:ind w:firstLine="0" w:firstLineChars="0"/>
      </w:pPr>
      <w:r>
        <w:rPr>
          <w:rFonts w:hint="eastAsia"/>
        </w:rPr>
        <w:t>八、磋商纪律要求</w:t>
      </w:r>
    </w:p>
    <w:p>
      <w:pPr>
        <w:pStyle w:val="5"/>
        <w:ind w:firstLine="482"/>
      </w:pPr>
      <w:r>
        <w:rPr>
          <w:rFonts w:hint="eastAsia"/>
        </w:rPr>
        <w:t>3</w:t>
      </w:r>
      <w:r>
        <w:rPr>
          <w:rFonts w:hint="eastAsia"/>
          <w:lang w:val="en-US" w:eastAsia="zh-CN"/>
        </w:rPr>
        <w:t>5</w:t>
      </w:r>
      <w:r>
        <w:rPr>
          <w:rFonts w:hint="eastAsia"/>
        </w:rPr>
        <w:t>.供应商不得具有的情形</w:t>
      </w:r>
    </w:p>
    <w:p>
      <w:pPr>
        <w:tabs>
          <w:tab w:val="left" w:pos="851"/>
        </w:tabs>
        <w:ind w:firstLine="480"/>
      </w:pPr>
      <w:r>
        <w:rPr>
          <w:rFonts w:hint="eastAsia"/>
        </w:rPr>
        <w:t>供应商参加本项目磋商不得有下列情形：</w:t>
      </w:r>
    </w:p>
    <w:p>
      <w:pPr>
        <w:tabs>
          <w:tab w:val="left" w:pos="851"/>
        </w:tabs>
        <w:ind w:firstLine="480"/>
      </w:pPr>
      <w:r>
        <w:rPr>
          <w:rFonts w:hint="eastAsia"/>
        </w:rPr>
        <w:t>（1）提供虚假材料谋取成交；</w:t>
      </w:r>
    </w:p>
    <w:p>
      <w:pPr>
        <w:tabs>
          <w:tab w:val="left" w:pos="851"/>
        </w:tabs>
        <w:ind w:firstLine="480"/>
      </w:pPr>
      <w:r>
        <w:rPr>
          <w:rFonts w:hint="eastAsia"/>
        </w:rPr>
        <w:t>（2）采取不正当手段诋毁、排挤其他供应商；</w:t>
      </w:r>
    </w:p>
    <w:p>
      <w:pPr>
        <w:tabs>
          <w:tab w:val="left" w:pos="851"/>
        </w:tabs>
        <w:ind w:firstLine="480"/>
      </w:pPr>
      <w:r>
        <w:rPr>
          <w:rFonts w:hint="eastAsia"/>
        </w:rPr>
        <w:t>（3）与采购人、采购代理机构、或其他供应商恶意串通；</w:t>
      </w:r>
    </w:p>
    <w:p>
      <w:pPr>
        <w:tabs>
          <w:tab w:val="left" w:pos="851"/>
        </w:tabs>
        <w:ind w:firstLine="480"/>
      </w:pPr>
      <w:r>
        <w:rPr>
          <w:rFonts w:hint="eastAsia"/>
        </w:rPr>
        <w:t>（4）向采购人、采购代理机构、磋商小组成员行贿或者提供其他不正当利益；</w:t>
      </w:r>
    </w:p>
    <w:p>
      <w:pPr>
        <w:tabs>
          <w:tab w:val="left" w:pos="851"/>
        </w:tabs>
        <w:ind w:firstLine="480"/>
      </w:pPr>
      <w:r>
        <w:rPr>
          <w:rFonts w:hint="eastAsia"/>
        </w:rPr>
        <w:t>（5）在磋商过程中与采购人、采购代理机构进行协商；</w:t>
      </w:r>
    </w:p>
    <w:p>
      <w:pPr>
        <w:tabs>
          <w:tab w:val="left" w:pos="851"/>
        </w:tabs>
        <w:ind w:firstLine="480"/>
      </w:pPr>
      <w:r>
        <w:rPr>
          <w:rFonts w:hint="eastAsia"/>
        </w:rPr>
        <w:t>（6）成交后无正当理由拒不与采购人签订采购合同；</w:t>
      </w:r>
    </w:p>
    <w:p>
      <w:pPr>
        <w:tabs>
          <w:tab w:val="left" w:pos="851"/>
        </w:tabs>
        <w:ind w:firstLine="480"/>
      </w:pPr>
      <w:r>
        <w:rPr>
          <w:rFonts w:hint="eastAsia"/>
        </w:rPr>
        <w:t>（7）未按照磋商文件确定的事项签订采购合同；</w:t>
      </w:r>
    </w:p>
    <w:p>
      <w:pPr>
        <w:tabs>
          <w:tab w:val="left" w:pos="851"/>
        </w:tabs>
        <w:spacing w:line="440" w:lineRule="exact"/>
        <w:ind w:firstLine="480"/>
      </w:pPr>
      <w:r>
        <w:rPr>
          <w:rFonts w:hint="eastAsia"/>
        </w:rPr>
        <w:t>（8）将采购合同转包或者违规分包；</w:t>
      </w:r>
    </w:p>
    <w:p>
      <w:pPr>
        <w:tabs>
          <w:tab w:val="left" w:pos="851"/>
        </w:tabs>
        <w:spacing w:line="440" w:lineRule="exact"/>
        <w:ind w:firstLine="480"/>
      </w:pPr>
      <w:r>
        <w:rPr>
          <w:rFonts w:hint="eastAsia"/>
        </w:rPr>
        <w:t>（9）提供假冒伪劣产品；</w:t>
      </w:r>
    </w:p>
    <w:p>
      <w:pPr>
        <w:tabs>
          <w:tab w:val="left" w:pos="851"/>
        </w:tabs>
        <w:spacing w:line="440" w:lineRule="exact"/>
        <w:ind w:firstLine="480"/>
      </w:pPr>
      <w:r>
        <w:rPr>
          <w:rFonts w:hint="eastAsia"/>
        </w:rPr>
        <w:t>（10）擅自变更、中止或者终止采购合同；</w:t>
      </w:r>
    </w:p>
    <w:p>
      <w:pPr>
        <w:tabs>
          <w:tab w:val="left" w:pos="851"/>
        </w:tabs>
        <w:spacing w:line="440" w:lineRule="exact"/>
        <w:ind w:firstLine="480"/>
      </w:pPr>
      <w:r>
        <w:rPr>
          <w:rFonts w:hint="eastAsia"/>
        </w:rPr>
        <w:t>（11）拒绝有关部门的监督检查或者向监督检查部门提供虚假情况；</w:t>
      </w:r>
    </w:p>
    <w:p>
      <w:pPr>
        <w:tabs>
          <w:tab w:val="left" w:pos="851"/>
        </w:tabs>
        <w:spacing w:line="440" w:lineRule="exact"/>
        <w:ind w:firstLine="480"/>
      </w:pPr>
      <w:r>
        <w:rPr>
          <w:rFonts w:hint="eastAsia"/>
        </w:rPr>
        <w:t>（12）法律法规规定的其他情形。</w:t>
      </w:r>
    </w:p>
    <w:p>
      <w:pPr>
        <w:tabs>
          <w:tab w:val="left" w:pos="851"/>
        </w:tabs>
        <w:spacing w:line="440" w:lineRule="exact"/>
        <w:ind w:firstLine="480"/>
      </w:pPr>
      <w:r>
        <w:rPr>
          <w:rFonts w:hint="eastAsia"/>
        </w:rPr>
        <w:t>供应商有上述情形的，按照规定追究法律责任，具备（1）-（10）条情形之一的，同时将取消被确认为成交供应商的资格或者认定成交无效。</w:t>
      </w:r>
    </w:p>
    <w:p>
      <w:pPr>
        <w:pStyle w:val="4"/>
        <w:ind w:firstLine="0" w:firstLineChars="0"/>
      </w:pPr>
      <w:r>
        <w:rPr>
          <w:rFonts w:hint="eastAsia"/>
        </w:rPr>
        <w:t>九、询问、质疑和投诉</w:t>
      </w:r>
    </w:p>
    <w:p>
      <w:pPr>
        <w:tabs>
          <w:tab w:val="left" w:pos="851"/>
        </w:tabs>
        <w:spacing w:line="440" w:lineRule="exact"/>
        <w:ind w:firstLine="480"/>
      </w:pPr>
      <w:r>
        <w:rPr>
          <w:rFonts w:hint="eastAsia"/>
        </w:rPr>
        <w:t>3</w:t>
      </w:r>
      <w:r>
        <w:rPr>
          <w:rFonts w:hint="eastAsia"/>
          <w:lang w:val="en-US" w:eastAsia="zh-CN"/>
        </w:rPr>
        <w:t>6</w:t>
      </w:r>
      <w:r>
        <w:rPr>
          <w:rFonts w:hint="eastAsia"/>
        </w:rPr>
        <w:t>.询问、质疑、投诉的接收和处理严格</w:t>
      </w:r>
      <w:r>
        <w:rPr>
          <w:rFonts w:hint="eastAsia"/>
          <w:lang w:val="en-US" w:eastAsia="zh-CN"/>
        </w:rPr>
        <w:t>参</w:t>
      </w:r>
      <w:r>
        <w:rPr>
          <w:rFonts w:hint="eastAsia"/>
        </w:rPr>
        <w:t>照《中华人共和国政府采购法》、《中华人民共和国政府采购法实施条例》、《财政部关于加强政府采购供应商投诉受理审查工作的通知》和四川省的有关规定办理（详细规定请在</w:t>
      </w:r>
      <w:r>
        <w:rPr>
          <w:rFonts w:hint="eastAsia"/>
          <w:lang w:eastAsia="zh-CN"/>
        </w:rPr>
        <w:t>中国政府采购网</w:t>
      </w:r>
      <w:r>
        <w:rPr>
          <w:rFonts w:hint="eastAsia"/>
        </w:rPr>
        <w:t>政策法规模块查询）。</w:t>
      </w:r>
    </w:p>
    <w:p>
      <w:pPr>
        <w:pStyle w:val="16"/>
        <w:spacing w:line="440" w:lineRule="exact"/>
        <w:ind w:firstLine="480"/>
        <w:rPr>
          <w:rFonts w:hAnsi="宋体"/>
          <w:bCs/>
          <w:szCs w:val="24"/>
        </w:rPr>
      </w:pPr>
      <w:r>
        <w:rPr>
          <w:rFonts w:hint="eastAsia" w:hAnsi="宋体"/>
          <w:bCs/>
          <w:szCs w:val="24"/>
        </w:rPr>
        <w:t>3</w:t>
      </w:r>
      <w:r>
        <w:rPr>
          <w:rFonts w:hint="eastAsia" w:hAnsi="宋体"/>
          <w:bCs/>
          <w:szCs w:val="24"/>
          <w:lang w:val="en-US" w:eastAsia="zh-CN"/>
        </w:rPr>
        <w:t>6</w:t>
      </w:r>
      <w:r>
        <w:rPr>
          <w:rFonts w:hint="eastAsia" w:hAnsi="宋体"/>
          <w:bCs/>
          <w:szCs w:val="24"/>
        </w:rPr>
        <w:t>.1根据《中华人民共和国政府采购法》的规定，供应商质疑不得超出采购文件、采购过程、采购结果的范围。</w:t>
      </w:r>
    </w:p>
    <w:p>
      <w:pPr>
        <w:pStyle w:val="16"/>
        <w:spacing w:line="440" w:lineRule="exact"/>
        <w:ind w:firstLine="480"/>
        <w:rPr>
          <w:rFonts w:hAnsi="宋体"/>
          <w:bCs/>
          <w:szCs w:val="24"/>
        </w:rPr>
      </w:pPr>
      <w:r>
        <w:rPr>
          <w:rFonts w:hint="eastAsia" w:hAnsi="宋体"/>
          <w:bCs/>
          <w:szCs w:val="24"/>
        </w:rPr>
        <w:t>3</w:t>
      </w:r>
      <w:r>
        <w:rPr>
          <w:rFonts w:hint="eastAsia" w:hAnsi="宋体"/>
          <w:bCs/>
          <w:szCs w:val="24"/>
          <w:lang w:val="en-US" w:eastAsia="zh-CN"/>
        </w:rPr>
        <w:t>6</w:t>
      </w:r>
      <w:r>
        <w:rPr>
          <w:rFonts w:hint="eastAsia" w:hAnsi="宋体"/>
          <w:bCs/>
          <w:szCs w:val="24"/>
        </w:rPr>
        <w:t>.2不在法定质疑期内提出的质疑函会被拒绝，不符合要求的质疑函在法定质疑期内及时补充完善，否则作质疑不成立处理。</w:t>
      </w:r>
    </w:p>
    <w:p>
      <w:pPr>
        <w:pStyle w:val="16"/>
        <w:spacing w:line="440" w:lineRule="exact"/>
        <w:ind w:firstLine="480"/>
        <w:rPr>
          <w:rFonts w:hAnsi="宋体"/>
          <w:bCs/>
          <w:szCs w:val="24"/>
        </w:rPr>
      </w:pPr>
      <w:r>
        <w:rPr>
          <w:rFonts w:hint="eastAsia" w:hAnsi="宋体"/>
          <w:bCs/>
          <w:szCs w:val="24"/>
        </w:rPr>
        <w:t>3</w:t>
      </w:r>
      <w:r>
        <w:rPr>
          <w:rFonts w:hint="eastAsia" w:hAnsi="宋体"/>
          <w:bCs/>
          <w:szCs w:val="24"/>
          <w:lang w:val="en-US" w:eastAsia="zh-CN"/>
        </w:rPr>
        <w:t>6</w:t>
      </w:r>
      <w:r>
        <w:rPr>
          <w:rFonts w:hint="eastAsia" w:hAnsi="宋体"/>
          <w:bCs/>
          <w:szCs w:val="24"/>
        </w:rPr>
        <w:t>.3质疑应当以书面形式提出，供应商应在法定质疑期内一次性提出针对同一采购程序环节的质疑。</w:t>
      </w:r>
    </w:p>
    <w:p>
      <w:pPr>
        <w:rPr>
          <w:rFonts w:hint="eastAsia"/>
        </w:rPr>
      </w:pPr>
      <w:r>
        <w:rPr>
          <w:rFonts w:hint="eastAsia"/>
        </w:rPr>
        <w:br w:type="page"/>
      </w:r>
    </w:p>
    <w:p>
      <w:pPr>
        <w:pStyle w:val="4"/>
        <w:ind w:firstLine="0" w:firstLineChars="0"/>
      </w:pPr>
      <w:r>
        <w:rPr>
          <w:rFonts w:hint="eastAsia"/>
        </w:rPr>
        <w:t>十、其  他</w:t>
      </w:r>
    </w:p>
    <w:p>
      <w:pPr>
        <w:tabs>
          <w:tab w:val="left" w:pos="851"/>
        </w:tabs>
        <w:spacing w:line="440" w:lineRule="exact"/>
        <w:ind w:firstLine="480"/>
      </w:pPr>
      <w:r>
        <w:rPr>
          <w:rFonts w:hint="eastAsia"/>
        </w:rPr>
        <w:t>3</w:t>
      </w:r>
      <w:r>
        <w:rPr>
          <w:rFonts w:hint="eastAsia"/>
          <w:lang w:val="en-US" w:eastAsia="zh-CN"/>
        </w:rPr>
        <w:t>7</w:t>
      </w:r>
      <w:r>
        <w:rPr>
          <w:rFonts w:hint="eastAsia"/>
        </w:rPr>
        <w:t>.本磋商文件中所引相关法律制度规定，在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磋商文件不再做调整。</w:t>
      </w:r>
    </w:p>
    <w:p>
      <w:pPr>
        <w:spacing w:line="440" w:lineRule="exact"/>
        <w:ind w:firstLine="480"/>
      </w:pPr>
      <w:r>
        <w:rPr>
          <w:rFonts w:hint="eastAsia"/>
          <w:lang w:val="en-US" w:eastAsia="zh-CN"/>
        </w:rPr>
        <w:t>38</w:t>
      </w:r>
      <w:r>
        <w:rPr>
          <w:rFonts w:hint="eastAsia"/>
        </w:rPr>
        <w:t>.</w:t>
      </w:r>
      <w:r>
        <w:rPr>
          <w:rFonts w:hint="eastAsia"/>
          <w:b/>
        </w:rPr>
        <w:t>（实质性要求）</w:t>
      </w:r>
      <w:r>
        <w:rPr>
          <w:rFonts w:hint="eastAsia"/>
        </w:rPr>
        <w:t>国家或行业主管部门对供应商和采购产品的技术标准、质量标准和资格资质条件等有强制性规定的，必须符合其要求。</w:t>
      </w:r>
    </w:p>
    <w:p>
      <w:pPr>
        <w:ind w:firstLine="480"/>
      </w:pPr>
      <w:r>
        <w:rPr>
          <w:rFonts w:hint="eastAsia"/>
        </w:rPr>
        <w:br w:type="page"/>
      </w:r>
    </w:p>
    <w:p>
      <w:pPr>
        <w:pStyle w:val="3"/>
        <w:ind w:firstLine="723"/>
      </w:pPr>
      <w:bookmarkStart w:id="61" w:name="_Toc29802"/>
      <w:r>
        <w:rPr>
          <w:rFonts w:hint="eastAsia"/>
        </w:rPr>
        <w:t>第三章  供应商资格条件要求</w:t>
      </w:r>
      <w:bookmarkEnd w:id="61"/>
    </w:p>
    <w:p>
      <w:pPr>
        <w:pStyle w:val="4"/>
        <w:ind w:firstLine="602"/>
      </w:pPr>
      <w:r>
        <w:rPr>
          <w:rFonts w:hint="eastAsia"/>
        </w:rPr>
        <w:t>一、参加磋商的供应商应具备下列资格条件：</w:t>
      </w:r>
    </w:p>
    <w:p>
      <w:pPr>
        <w:pStyle w:val="38"/>
        <w:spacing w:before="120" w:beforeLines="50" w:after="120" w:afterLines="50"/>
        <w:ind w:firstLine="241" w:firstLineChars="100"/>
        <w:rPr>
          <w:rFonts w:asciiTheme="minorEastAsia" w:hAnsiTheme="minorEastAsia" w:eastAsiaTheme="minorEastAsia" w:cstheme="minorEastAsia"/>
          <w:b/>
          <w:bCs/>
          <w:color w:val="000000"/>
          <w:szCs w:val="24"/>
        </w:rPr>
      </w:pPr>
      <w:r>
        <w:rPr>
          <w:rFonts w:hint="eastAsia" w:asciiTheme="minorEastAsia" w:hAnsiTheme="minorEastAsia" w:eastAsiaTheme="minorEastAsia" w:cstheme="minorEastAsia"/>
          <w:b/>
          <w:bCs/>
          <w:color w:val="000000"/>
          <w:szCs w:val="24"/>
        </w:rPr>
        <w:t>（一）投标人的资格和资质性要求：</w:t>
      </w:r>
    </w:p>
    <w:p>
      <w:pPr>
        <w:pStyle w:val="38"/>
        <w:spacing w:before="120" w:beforeLines="50" w:after="120" w:afterLines="50"/>
        <w:ind w:firstLine="480" w:firstLineChars="20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1、具有独立承担民事责任的能力。</w:t>
      </w:r>
    </w:p>
    <w:p>
      <w:pPr>
        <w:tabs>
          <w:tab w:val="left" w:pos="7665"/>
        </w:tabs>
        <w:spacing w:before="120" w:beforeLines="50" w:after="120" w:afterLines="50"/>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2、具有良好的商业信誉和健全的财务会计制度。</w:t>
      </w:r>
    </w:p>
    <w:p>
      <w:pPr>
        <w:tabs>
          <w:tab w:val="left" w:pos="7665"/>
        </w:tabs>
        <w:spacing w:before="120" w:beforeLines="50" w:after="120" w:afterLines="50"/>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3、具有履行合同所必须的设备和专业技术能力。</w:t>
      </w:r>
    </w:p>
    <w:p>
      <w:pPr>
        <w:tabs>
          <w:tab w:val="left" w:pos="7665"/>
        </w:tabs>
        <w:spacing w:before="120" w:beforeLines="50" w:after="120" w:afterLines="50"/>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4、具有依法缴纳税收和社会保障资金的良好记录。</w:t>
      </w:r>
    </w:p>
    <w:p>
      <w:pPr>
        <w:tabs>
          <w:tab w:val="left" w:pos="7665"/>
        </w:tabs>
        <w:spacing w:before="120" w:beforeLines="50" w:after="120" w:afterLines="50"/>
        <w:ind w:firstLine="48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5、参加本次采购活动前三年内，在经营活动中没有重大违法记录。</w:t>
      </w:r>
    </w:p>
    <w:p>
      <w:pPr>
        <w:pStyle w:val="38"/>
        <w:spacing w:before="120" w:beforeLines="50" w:after="120" w:afterLines="50"/>
        <w:ind w:firstLine="480" w:firstLineChars="200"/>
        <w:rPr>
          <w:rFonts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6、供应商还符合法律、行政法规规定的其他强制性条件。</w:t>
      </w:r>
    </w:p>
    <w:p>
      <w:pPr>
        <w:pStyle w:val="38"/>
        <w:spacing w:before="120" w:beforeLines="50" w:after="120" w:afterLines="50"/>
        <w:ind w:firstLine="480" w:firstLineChars="200"/>
        <w:rPr>
          <w:rFonts w:hint="eastAsia" w:asciiTheme="minorEastAsia" w:hAnsiTheme="minorEastAsia" w:eastAsiaTheme="minorEastAsia" w:cstheme="minorEastAsia"/>
          <w:color w:val="000000"/>
          <w:szCs w:val="24"/>
        </w:rPr>
      </w:pPr>
      <w:r>
        <w:rPr>
          <w:rFonts w:hint="eastAsia" w:asciiTheme="minorEastAsia" w:hAnsiTheme="minorEastAsia" w:eastAsiaTheme="minorEastAsia" w:cstheme="minorEastAsia"/>
          <w:color w:val="000000"/>
          <w:szCs w:val="24"/>
        </w:rPr>
        <w:t>7、</w:t>
      </w:r>
      <w:r>
        <w:rPr>
          <w:rFonts w:hint="eastAsia" w:asciiTheme="minorEastAsia" w:hAnsiTheme="minorEastAsia" w:eastAsiaTheme="minorEastAsia" w:cstheme="minorEastAsia"/>
          <w:color w:val="000000"/>
          <w:szCs w:val="24"/>
          <w:lang w:val="en-US" w:eastAsia="zh-CN"/>
        </w:rPr>
        <w:t>本项目不接受联合体参与竞争</w:t>
      </w:r>
      <w:r>
        <w:rPr>
          <w:rFonts w:hint="eastAsia" w:asciiTheme="minorEastAsia" w:hAnsiTheme="minorEastAsia" w:eastAsiaTheme="minorEastAsia" w:cstheme="minorEastAsia"/>
          <w:color w:val="000000"/>
          <w:szCs w:val="24"/>
        </w:rPr>
        <w:t>。</w:t>
      </w:r>
    </w:p>
    <w:p>
      <w:pPr>
        <w:pStyle w:val="38"/>
        <w:ind w:firstLine="482"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b/>
          <w:bCs/>
          <w:szCs w:val="24"/>
        </w:rPr>
        <w:t>（二）法律、行政法规规定的其他条件：</w:t>
      </w:r>
    </w:p>
    <w:p>
      <w:pPr>
        <w:pStyle w:val="38"/>
        <w:ind w:firstLine="480"/>
        <w:rPr>
          <w:rFonts w:asciiTheme="minorEastAsia" w:hAnsiTheme="minorEastAsia" w:eastAsiaTheme="minorEastAsia" w:cstheme="minorEastAsia"/>
          <w:bCs/>
          <w:szCs w:val="24"/>
        </w:rPr>
      </w:pPr>
      <w:r>
        <w:rPr>
          <w:rFonts w:hint="eastAsia" w:asciiTheme="minorEastAsia" w:hAnsiTheme="minorEastAsia" w:eastAsiaTheme="minorEastAsia" w:cstheme="minorEastAsia"/>
          <w:szCs w:val="24"/>
        </w:rPr>
        <w:t>1、供应商截止至采购公告发布之日前一个工作日未被列入“信用中国”网站 (www.creditchina.gov.cn)、“中国政府采购网”网站(www.ccgp.gov.cn)、“四川政府采购”网站(曝光台)( www.ccgp-sichuan.gov.cn)中任一网站的失信被执行人名单或重大税收违法案件当事人名单或政府采购严重违法失信行为记录名单。</w:t>
      </w:r>
    </w:p>
    <w:p>
      <w:pPr>
        <w:ind w:firstLine="482"/>
        <w:rPr>
          <w:b/>
          <w:bCs/>
        </w:rPr>
      </w:pPr>
      <w:r>
        <w:rPr>
          <w:rFonts w:hint="eastAsia"/>
          <w:b/>
          <w:bCs/>
        </w:rPr>
        <w:t>注：1、采购项目所属行业行政主管部门对较大数额罚款金额标准未明文规定的，应当以四川省人民政府规定的行政处罚罚款听证标准金额为准（《</w:t>
      </w:r>
      <w:r>
        <w:rPr>
          <w:b/>
          <w:bCs/>
        </w:rPr>
        <w:t>四川省行政处罚听证程序规定</w:t>
      </w:r>
      <w:r>
        <w:rPr>
          <w:rFonts w:hint="eastAsia"/>
          <w:b/>
          <w:bCs/>
        </w:rPr>
        <w:t>》第四条“本规定所称较大数额，是指对非经营活动中公民的违法行为处以罚款或者没收财产2000元以上、法人或者其他组织的违法行为处以罚款或者没收财产2万元以上；对在经营活动中的违法行为处以罚款或者没收财产5万元以上。国务院有关部门规定的较大数额标准低于前款规定的，从其规定”）。</w:t>
      </w:r>
    </w:p>
    <w:p>
      <w:pPr>
        <w:ind w:firstLine="482"/>
        <w:rPr>
          <w:b/>
          <w:bCs/>
        </w:rPr>
      </w:pPr>
      <w:r>
        <w:rPr>
          <w:rFonts w:hint="eastAsia"/>
          <w:b/>
          <w:bCs/>
        </w:rPr>
        <w:t>2、“在参加本次采购活动前”是指以本项目采购公告发布之日起算。</w:t>
      </w:r>
    </w:p>
    <w:p>
      <w:pPr>
        <w:ind w:firstLine="0" w:firstLineChars="0"/>
      </w:pPr>
    </w:p>
    <w:p>
      <w:pPr>
        <w:rPr>
          <w:rFonts w:hint="eastAsia"/>
        </w:rPr>
      </w:pPr>
      <w:bookmarkStart w:id="62" w:name="_Toc1053"/>
      <w:bookmarkStart w:id="63" w:name="_Toc31180_WPSOffice_Level1"/>
      <w:r>
        <w:rPr>
          <w:rFonts w:hint="eastAsia"/>
        </w:rPr>
        <w:br w:type="page"/>
      </w:r>
    </w:p>
    <w:p>
      <w:pPr>
        <w:pStyle w:val="3"/>
        <w:ind w:firstLine="723"/>
      </w:pPr>
      <w:r>
        <w:rPr>
          <w:rFonts w:hint="eastAsia"/>
        </w:rPr>
        <w:t>第四章  供应商资格证明材料</w:t>
      </w:r>
      <w:bookmarkEnd w:id="62"/>
      <w:bookmarkEnd w:id="63"/>
    </w:p>
    <w:p>
      <w:pPr>
        <w:pStyle w:val="5"/>
        <w:spacing w:line="312" w:lineRule="auto"/>
        <w:ind w:firstLine="482"/>
      </w:pPr>
      <w:r>
        <w:rPr>
          <w:rFonts w:hint="eastAsia"/>
        </w:rPr>
        <w:t>供应商应提交的资格证明材料：</w:t>
      </w:r>
    </w:p>
    <w:p>
      <w:pPr>
        <w:spacing w:line="312" w:lineRule="auto"/>
        <w:ind w:firstLine="480"/>
      </w:pPr>
      <w:r>
        <w:t>1</w:t>
      </w:r>
      <w:r>
        <w:rPr>
          <w:rFonts w:hint="eastAsia"/>
        </w:rPr>
        <w:t>、</w:t>
      </w:r>
      <w:r>
        <w:t>供应商为企业（包括合伙企业）的提供有效的企业法人营业执照或营业执照、组织机构代码证、税务登记证（复印件），或提供多证合一（由工商行政管理部门核发一个加载法人和其他组织统一社会信用代码）的营业执照。如为事业单位提供有效的事业单位法人登记证书、组织机构代码证（复印件）或统一社会信用代码事业单位法人登记证书（复印件），如为自然人的提供为中国公民的自然人身份证明（复印件）。</w:t>
      </w:r>
    </w:p>
    <w:p>
      <w:pPr>
        <w:spacing w:line="312" w:lineRule="auto"/>
        <w:ind w:firstLine="480"/>
      </w:pPr>
      <w:r>
        <w:rPr>
          <w:rFonts w:hint="eastAsia"/>
        </w:rPr>
        <w:t>2、</w:t>
      </w:r>
      <w:r>
        <w:t>法定代表人授权书（原件）；法定代表人和授权代表有效的身份证（复印件）；若法定代表人亲自参加</w:t>
      </w:r>
      <w:r>
        <w:rPr>
          <w:rFonts w:hint="eastAsia"/>
          <w:lang w:val="en-US"/>
        </w:rPr>
        <w:t>谈判</w:t>
      </w:r>
      <w:r>
        <w:t>只需提供法定代表人身份证明及身份证复印件</w:t>
      </w:r>
      <w:r>
        <w:rPr>
          <w:rFonts w:hint="eastAsia"/>
        </w:rPr>
        <w:t>。</w:t>
      </w:r>
    </w:p>
    <w:p>
      <w:pPr>
        <w:spacing w:line="312" w:lineRule="auto"/>
        <w:ind w:firstLine="480"/>
      </w:pPr>
      <w:r>
        <w:rPr>
          <w:rFonts w:hint="eastAsia"/>
        </w:rPr>
        <w:t>3、</w:t>
      </w:r>
      <w:r>
        <w:t>具有良好的商业信誉和健全的财务会计制度</w:t>
      </w:r>
      <w:r>
        <w:rPr>
          <w:rFonts w:hint="eastAsia"/>
          <w:b/>
          <w:bCs/>
        </w:rPr>
        <w:t>（提供承诺函、格式自拟）</w:t>
      </w:r>
    </w:p>
    <w:p>
      <w:pPr>
        <w:spacing w:line="312" w:lineRule="auto"/>
        <w:ind w:firstLine="480"/>
        <w:rPr>
          <w:spacing w:val="-120"/>
        </w:rPr>
      </w:pPr>
      <w:r>
        <w:rPr>
          <w:rFonts w:hint="eastAsia"/>
        </w:rPr>
        <w:t>4、</w:t>
      </w:r>
      <w:r>
        <w:t>具有履行合同所必需的设备和专业技术能力</w:t>
      </w:r>
      <w:r>
        <w:rPr>
          <w:b/>
          <w:bCs/>
        </w:rPr>
        <w:t>（</w:t>
      </w:r>
      <w:r>
        <w:rPr>
          <w:rFonts w:hint="eastAsia"/>
          <w:b/>
          <w:bCs/>
        </w:rPr>
        <w:t>提供承诺函、</w:t>
      </w:r>
      <w:r>
        <w:rPr>
          <w:b/>
          <w:bCs/>
        </w:rPr>
        <w:t>格式</w:t>
      </w:r>
      <w:r>
        <w:rPr>
          <w:rFonts w:hint="eastAsia"/>
          <w:b/>
          <w:bCs/>
          <w:lang w:val="en-US"/>
        </w:rPr>
        <w:t>自拟</w:t>
      </w:r>
      <w:r>
        <w:rPr>
          <w:b/>
          <w:bCs/>
          <w:spacing w:val="-120"/>
        </w:rPr>
        <w:t>）</w:t>
      </w:r>
    </w:p>
    <w:p>
      <w:pPr>
        <w:pStyle w:val="13"/>
        <w:spacing w:line="312" w:lineRule="auto"/>
        <w:ind w:firstLine="480"/>
        <w:rPr>
          <w:lang w:val="en-US"/>
        </w:rPr>
      </w:pPr>
      <w:r>
        <w:rPr>
          <w:rFonts w:hint="eastAsia"/>
          <w:lang w:val="en-US"/>
        </w:rPr>
        <w:t>5、具有依法缴纳税收和社会保障资金的良好记录</w:t>
      </w:r>
      <w:r>
        <w:rPr>
          <w:rFonts w:hint="eastAsia"/>
          <w:b/>
          <w:bCs/>
          <w:lang w:val="en-US"/>
        </w:rPr>
        <w:t>（提供承诺函、格式自拟）</w:t>
      </w:r>
      <w:r>
        <w:rPr>
          <w:rFonts w:hint="eastAsia"/>
          <w:lang w:val="en-US"/>
        </w:rPr>
        <w:t>。</w:t>
      </w:r>
    </w:p>
    <w:p>
      <w:pPr>
        <w:spacing w:line="312" w:lineRule="auto"/>
        <w:ind w:firstLine="480"/>
      </w:pPr>
      <w:r>
        <w:rPr>
          <w:rFonts w:hint="eastAsia"/>
          <w:lang w:val="en-US"/>
        </w:rPr>
        <w:t>6</w:t>
      </w:r>
      <w:r>
        <w:rPr>
          <w:rFonts w:hint="eastAsia"/>
        </w:rPr>
        <w:t>、承诺函；（详见资格性响应文件格式二）</w:t>
      </w:r>
    </w:p>
    <w:p>
      <w:pPr>
        <w:spacing w:line="312" w:lineRule="auto"/>
        <w:ind w:firstLine="480"/>
      </w:pPr>
      <w:r>
        <w:rPr>
          <w:rFonts w:hint="eastAsia"/>
          <w:lang w:val="en-US"/>
        </w:rPr>
        <w:t>7</w:t>
      </w:r>
      <w:r>
        <w:rPr>
          <w:rFonts w:hint="eastAsia"/>
        </w:rPr>
        <w:t>、参加本项目采购活动的供应商、法定代表人/主要负责人在前三年内不得具有行贿犯罪记录</w:t>
      </w:r>
      <w:r>
        <w:rPr>
          <w:rFonts w:hint="eastAsia"/>
          <w:b/>
        </w:rPr>
        <w:t>（在</w:t>
      </w:r>
      <w:r>
        <w:rPr>
          <w:rFonts w:hint="eastAsia"/>
          <w:b/>
          <w:lang w:val="en-US" w:eastAsia="zh-CN"/>
        </w:rPr>
        <w:t>响应</w:t>
      </w:r>
      <w:r>
        <w:rPr>
          <w:rFonts w:hint="eastAsia"/>
          <w:b/>
        </w:rPr>
        <w:t>文件中进行承诺，承诺函详见资格性响应文件格式八。</w:t>
      </w:r>
      <w:r>
        <w:rPr>
          <w:rFonts w:hint="eastAsia"/>
          <w:b/>
          <w:bCs/>
        </w:rPr>
        <w:t>如果发现虚假承诺，作无效投标处理</w:t>
      </w:r>
      <w:r>
        <w:rPr>
          <w:rFonts w:hint="eastAsia"/>
          <w:b/>
        </w:rPr>
        <w:t>）</w:t>
      </w:r>
      <w:r>
        <w:rPr>
          <w:rFonts w:hint="eastAsia"/>
        </w:rPr>
        <w:t>。</w:t>
      </w:r>
    </w:p>
    <w:p>
      <w:pPr>
        <w:pStyle w:val="13"/>
        <w:spacing w:line="312" w:lineRule="auto"/>
        <w:ind w:firstLine="480"/>
        <w:rPr>
          <w:rFonts w:hint="eastAsia"/>
        </w:rPr>
      </w:pPr>
      <w:r>
        <w:rPr>
          <w:rFonts w:hint="eastAsia"/>
          <w:lang w:val="en-US"/>
        </w:rPr>
        <w:t>8</w:t>
      </w:r>
      <w:r>
        <w:rPr>
          <w:rFonts w:hint="eastAsia"/>
        </w:rPr>
        <w:t>、廉洁承诺书（详见资格性响应文件格式七）</w:t>
      </w:r>
    </w:p>
    <w:p>
      <w:pPr>
        <w:pStyle w:val="38"/>
        <w:autoSpaceDE/>
        <w:autoSpaceDN/>
        <w:spacing w:line="312" w:lineRule="auto"/>
        <w:ind w:firstLine="480"/>
      </w:pPr>
      <w:r>
        <w:rPr>
          <w:rFonts w:hint="eastAsia"/>
          <w:lang w:val="en-US" w:eastAsia="zh-CN"/>
        </w:rPr>
        <w:t>9</w:t>
      </w:r>
      <w:r>
        <w:rPr>
          <w:rFonts w:hint="eastAsia"/>
          <w:lang w:val="en-US"/>
        </w:rPr>
        <w:t>、</w:t>
      </w:r>
      <w:r>
        <w:rPr>
          <w:rFonts w:hint="eastAsia"/>
          <w:lang w:val="en-US" w:eastAsia="zh-CN"/>
        </w:rPr>
        <w:t>供应商</w:t>
      </w:r>
      <w:r>
        <w:rPr>
          <w:rFonts w:hint="eastAsia"/>
          <w:lang w:val="en-US"/>
        </w:rPr>
        <w:t>信用查询：根据《关于在政府采购活动中查询及使用信用记录有关问题的通知》（财库〔2016〕125号）的要求，通过“信用中国”网站（www.creditchina.gov.cn）、“中国政府采购网”网站（www.ccgp.gov.cn）等渠道查询供应商在采购公告发布之日前的信用记录并保存信用记录结果网页截图，拒绝列入失信被执行人名单、重大税收违法案件当事人名单、政府采购严重违法失信行为记录名单中的供应商报名参加本项目的采购活动。</w:t>
      </w:r>
      <w:r>
        <w:rPr>
          <w:rFonts w:hint="eastAsia"/>
        </w:rPr>
        <w:t>（</w:t>
      </w:r>
      <w:r>
        <w:rPr>
          <w:rFonts w:hint="eastAsia"/>
          <w:lang w:val="en-US"/>
        </w:rPr>
        <w:t>由采购人在开标</w:t>
      </w:r>
      <w:r>
        <w:rPr>
          <w:rFonts w:hint="eastAsia"/>
          <w:lang w:val="en-US" w:eastAsia="zh-CN"/>
        </w:rPr>
        <w:t>前</w:t>
      </w:r>
      <w:r>
        <w:rPr>
          <w:rFonts w:hint="eastAsia"/>
          <w:lang w:val="en-US"/>
        </w:rPr>
        <w:t>查询）</w:t>
      </w:r>
      <w:bookmarkStart w:id="64" w:name="_Toc8063"/>
      <w:bookmarkStart w:id="65" w:name="_Toc26667_WPSOffice_Level1"/>
      <w:r>
        <w:rPr>
          <w:rFonts w:hint="eastAsia"/>
        </w:rPr>
        <w:br w:type="page"/>
      </w:r>
    </w:p>
    <w:p>
      <w:pPr>
        <w:pStyle w:val="3"/>
        <w:numPr>
          <w:ilvl w:val="0"/>
          <w:numId w:val="3"/>
        </w:numPr>
        <w:ind w:firstLine="0" w:firstLineChars="0"/>
        <w:jc w:val="center"/>
      </w:pPr>
      <w:r>
        <w:rPr>
          <w:rFonts w:hint="eastAsia"/>
        </w:rPr>
        <w:t>采购项目技术、服务、采购合同内容条款及其他商务要求</w:t>
      </w:r>
      <w:bookmarkEnd w:id="64"/>
      <w:bookmarkEnd w:id="65"/>
    </w:p>
    <w:p>
      <w:pPr>
        <w:widowControl w:val="0"/>
        <w:autoSpaceDE w:val="0"/>
        <w:autoSpaceDN w:val="0"/>
        <w:spacing w:line="360" w:lineRule="auto"/>
        <w:ind w:left="0" w:leftChars="0" w:right="0" w:firstLine="482" w:firstLineChars="200"/>
        <w:jc w:val="left"/>
        <w:outlineLvl w:val="2"/>
        <w:rPr>
          <w:rFonts w:hint="eastAsia" w:ascii="宋体" w:hAnsi="宋体" w:eastAsia="宋体" w:cs="宋体"/>
          <w:b/>
          <w:bCs/>
          <w:sz w:val="24"/>
          <w:szCs w:val="24"/>
          <w:lang w:val="zh-CN" w:eastAsia="zh-CN" w:bidi="zh-CN"/>
        </w:rPr>
      </w:pPr>
      <w:bookmarkStart w:id="66" w:name="_Toc5275"/>
      <w:r>
        <w:rPr>
          <w:rFonts w:hint="eastAsia" w:ascii="宋体" w:hAnsi="宋体" w:eastAsia="宋体" w:cs="宋体"/>
          <w:b/>
          <w:bCs/>
          <w:sz w:val="24"/>
          <w:szCs w:val="24"/>
          <w:lang w:val="zh-CN" w:eastAsia="zh-CN" w:bidi="zh-CN"/>
        </w:rPr>
        <w:t>一、项目概况：</w:t>
      </w:r>
    </w:p>
    <w:p>
      <w:pPr>
        <w:ind w:left="0" w:leftChars="0" w:right="0" w:firstLine="560" w:firstLineChars="0"/>
        <w:jc w:val="left"/>
        <w:rPr>
          <w:rFonts w:hint="eastAsia" w:ascii="宋体" w:hAnsi="宋体" w:eastAsia="宋体" w:cs="宋体"/>
          <w:sz w:val="24"/>
          <w:szCs w:val="24"/>
        </w:rPr>
      </w:pPr>
      <w:r>
        <w:rPr>
          <w:rFonts w:hint="eastAsia" w:ascii="宋体" w:hAnsi="宋体" w:eastAsia="宋体" w:cs="宋体"/>
          <w:sz w:val="24"/>
          <w:szCs w:val="24"/>
        </w:rPr>
        <w:t>按照四川省新闻出版广电局 四川省财政厅关于印发《2017年四川省级公共文化服务体系建设专项资金支持实施基层新闻出版广播影视公共服务效能提升工程项目实施办法》的通知（川新广函【2017】288号、四川省新闻出版广电局关于印发《基层综合文化活动室免费WIFI工程建设指导意见的通知（川新广办发【2017】105号及德阳市文化广播影视新闻出版局相关文件（德文广新发【2017】119号】精神，我局把实施涉及全区11个乡镇、103个行政村的基层综合文化活动室免费WIFI工程作为德政工程、民心工程和公益性社会文化事业基础设施重点工程积极推进，以期构建结构合理、运行高效、服务优质的农村公共服务体系，同时建立长效后续运行机制，实现免费.</w:t>
      </w:r>
      <w:r>
        <w:rPr>
          <w:rFonts w:ascii="宋体" w:hAnsi="宋体" w:eastAsia="宋体" w:cs="宋体"/>
          <w:sz w:val="24"/>
          <w:szCs w:val="24"/>
        </w:rPr>
        <w:t xml:space="preserve"> </w:t>
      </w:r>
      <w:r>
        <w:rPr>
          <w:rFonts w:hint="eastAsia" w:ascii="宋体" w:hAnsi="宋体" w:eastAsia="宋体" w:cs="宋体"/>
          <w:sz w:val="24"/>
          <w:szCs w:val="24"/>
        </w:rPr>
        <w:t>目前，“WIFI项目”共计82个点位服务时间已经到期，需要对后续服务进行采购。</w:t>
      </w:r>
    </w:p>
    <w:p>
      <w:pPr>
        <w:widowControl w:val="0"/>
        <w:autoSpaceDE w:val="0"/>
        <w:autoSpaceDN w:val="0"/>
        <w:spacing w:line="360" w:lineRule="auto"/>
        <w:ind w:left="0" w:leftChars="0" w:right="0" w:firstLine="482" w:firstLineChars="200"/>
        <w:jc w:val="left"/>
        <w:outlineLvl w:val="2"/>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t>二、项目要求：</w:t>
      </w:r>
    </w:p>
    <w:p>
      <w:pPr>
        <w:numPr>
          <w:numId w:val="0"/>
        </w:numPr>
        <w:bidi w:val="0"/>
        <w:ind w:right="0" w:rightChars="0" w:firstLine="480" w:firstLineChars="200"/>
        <w:jc w:val="left"/>
        <w:rPr>
          <w:rFonts w:ascii="宋体" w:hAnsi="宋体" w:eastAsia="宋体" w:cs="宋体"/>
          <w:sz w:val="24"/>
          <w:szCs w:val="24"/>
        </w:rPr>
      </w:pPr>
      <w:r>
        <w:rPr>
          <w:rFonts w:hint="eastAsia" w:cs="宋体"/>
          <w:sz w:val="24"/>
          <w:szCs w:val="24"/>
          <w:lang w:val="en-US" w:eastAsia="zh-CN"/>
        </w:rPr>
        <w:t>1、</w:t>
      </w:r>
      <w:r>
        <w:rPr>
          <w:rFonts w:ascii="宋体" w:hAnsi="宋体" w:eastAsia="宋体" w:cs="宋体"/>
          <w:sz w:val="24"/>
          <w:szCs w:val="24"/>
        </w:rPr>
        <w:t>总体要求：</w:t>
      </w:r>
      <w:r>
        <w:rPr>
          <w:rFonts w:hint="eastAsia" w:ascii="宋体" w:hAnsi="宋体" w:eastAsia="宋体" w:cs="宋体"/>
          <w:sz w:val="24"/>
          <w:szCs w:val="24"/>
        </w:rPr>
        <w:t>对全区13个乡镇街道综合文化站及69个行政村中具备条件的村文化活动室进行互联网有线接入及视听节目传输。</w:t>
      </w:r>
    </w:p>
    <w:p>
      <w:pPr>
        <w:numPr>
          <w:numId w:val="0"/>
        </w:numPr>
        <w:bidi w:val="0"/>
        <w:ind w:right="0" w:rightChars="0" w:firstLine="480" w:firstLineChars="200"/>
        <w:jc w:val="left"/>
        <w:rPr>
          <w:rFonts w:ascii="宋体" w:hAnsi="宋体" w:eastAsia="宋体" w:cs="宋体"/>
          <w:sz w:val="24"/>
          <w:szCs w:val="24"/>
        </w:rPr>
      </w:pPr>
      <w:r>
        <w:rPr>
          <w:rFonts w:hint="eastAsia" w:cs="宋体"/>
          <w:sz w:val="24"/>
          <w:szCs w:val="24"/>
          <w:lang w:val="en-US" w:eastAsia="zh-CN"/>
        </w:rPr>
        <w:t>2、</w:t>
      </w:r>
      <w:r>
        <w:rPr>
          <w:rFonts w:ascii="宋体" w:hAnsi="宋体" w:eastAsia="宋体" w:cs="宋体"/>
          <w:sz w:val="24"/>
          <w:szCs w:val="24"/>
        </w:rPr>
        <w:t>对</w:t>
      </w:r>
      <w:r>
        <w:rPr>
          <w:rFonts w:hint="eastAsia" w:ascii="宋体" w:hAnsi="宋体" w:eastAsia="宋体" w:cs="宋体"/>
          <w:sz w:val="24"/>
          <w:szCs w:val="24"/>
        </w:rPr>
        <w:t>已建设好的82个综合文化活动室的WiFi</w:t>
      </w:r>
      <w:r>
        <w:rPr>
          <w:rFonts w:ascii="宋体" w:hAnsi="宋体" w:eastAsia="宋体" w:cs="宋体"/>
          <w:sz w:val="24"/>
          <w:szCs w:val="24"/>
        </w:rPr>
        <w:t>点位提供技术服务，其中包括网络传输、电源供电、设备维护及维修、及维护工作</w:t>
      </w:r>
      <w:r>
        <w:rPr>
          <w:rFonts w:hint="eastAsia" w:ascii="宋体" w:hAnsi="宋体" w:eastAsia="宋体" w:cs="宋体"/>
          <w:sz w:val="24"/>
          <w:szCs w:val="24"/>
        </w:rPr>
        <w:t>及传输</w:t>
      </w:r>
      <w:r>
        <w:rPr>
          <w:rFonts w:ascii="宋体" w:hAnsi="宋体" w:eastAsia="宋体" w:cs="宋体"/>
          <w:sz w:val="24"/>
          <w:szCs w:val="24"/>
        </w:rPr>
        <w:t>服务。</w:t>
      </w:r>
    </w:p>
    <w:p>
      <w:pPr>
        <w:numPr>
          <w:ilvl w:val="0"/>
          <w:numId w:val="0"/>
        </w:numPr>
        <w:ind w:left="284" w:leftChars="0" w:right="0" w:firstLine="240" w:firstLineChars="100"/>
        <w:jc w:val="left"/>
        <w:rPr>
          <w:rFonts w:ascii="宋体" w:hAnsi="宋体" w:eastAsia="宋体" w:cs="宋体"/>
          <w:sz w:val="24"/>
          <w:szCs w:val="24"/>
        </w:rPr>
      </w:pPr>
      <w:r>
        <w:rPr>
          <w:rFonts w:hint="eastAsia" w:cs="宋体"/>
          <w:sz w:val="24"/>
          <w:szCs w:val="24"/>
          <w:lang w:val="en-US" w:eastAsia="zh-CN"/>
        </w:rPr>
        <w:t>3、</w:t>
      </w:r>
      <w:r>
        <w:rPr>
          <w:rFonts w:ascii="宋体" w:hAnsi="宋体" w:eastAsia="宋体" w:cs="宋体"/>
          <w:sz w:val="24"/>
          <w:szCs w:val="24"/>
        </w:rPr>
        <w:t>技术及服务要求：</w:t>
      </w:r>
    </w:p>
    <w:p>
      <w:pPr>
        <w:bidi w:val="0"/>
        <w:ind w:left="0" w:leftChars="0" w:right="0" w:firstLine="480" w:firstLineChars="200"/>
        <w:jc w:val="left"/>
        <w:rPr>
          <w:rFonts w:ascii="宋体" w:hAnsi="宋体" w:eastAsia="宋体" w:cs="宋体"/>
          <w:sz w:val="24"/>
          <w:szCs w:val="24"/>
        </w:rPr>
      </w:pPr>
      <w:r>
        <w:rPr>
          <w:rFonts w:ascii="宋体" w:hAnsi="宋体" w:eastAsia="宋体" w:cs="宋体"/>
          <w:sz w:val="24"/>
          <w:szCs w:val="24"/>
        </w:rPr>
        <w:t>针对本项目，设立旌阳区</w:t>
      </w:r>
      <w:r>
        <w:rPr>
          <w:rFonts w:hint="eastAsia" w:ascii="宋体" w:hAnsi="宋体" w:eastAsia="宋体" w:cs="宋体"/>
          <w:sz w:val="24"/>
          <w:szCs w:val="24"/>
        </w:rPr>
        <w:t>“WiFi”</w:t>
      </w:r>
      <w:r>
        <w:rPr>
          <w:rFonts w:ascii="宋体" w:hAnsi="宋体" w:eastAsia="宋体" w:cs="宋体"/>
          <w:sz w:val="24"/>
          <w:szCs w:val="24"/>
        </w:rPr>
        <w:t>维护保障服务队伍，配备经验和技术全面的维护工程师，负责该项目维护服务工作，确保系统稳定、高效运行。具体为：</w:t>
      </w:r>
    </w:p>
    <w:p>
      <w:pPr>
        <w:bidi w:val="0"/>
        <w:ind w:left="0" w:leftChars="0" w:right="0" w:firstLine="0" w:firstLineChars="0"/>
        <w:jc w:val="left"/>
        <w:rPr>
          <w:rFonts w:ascii="宋体" w:hAnsi="宋体" w:eastAsia="宋体" w:cs="宋体"/>
          <w:sz w:val="24"/>
          <w:szCs w:val="24"/>
        </w:rPr>
      </w:pPr>
      <w:r>
        <w:rPr>
          <w:rFonts w:ascii="宋体" w:hAnsi="宋体" w:eastAsia="宋体" w:cs="宋体"/>
          <w:sz w:val="24"/>
          <w:szCs w:val="24"/>
        </w:rPr>
        <w:t>（</w:t>
      </w:r>
      <w:r>
        <w:rPr>
          <w:rFonts w:hint="eastAsia" w:cs="宋体"/>
          <w:sz w:val="24"/>
          <w:szCs w:val="24"/>
          <w:lang w:val="en-US" w:eastAsia="zh-CN"/>
        </w:rPr>
        <w:t>1</w:t>
      </w:r>
      <w:r>
        <w:rPr>
          <w:rFonts w:ascii="宋体" w:hAnsi="宋体" w:eastAsia="宋体" w:cs="宋体"/>
          <w:sz w:val="24"/>
          <w:szCs w:val="24"/>
        </w:rPr>
        <w:t>）提供7×24小时售后及故障响应服务。</w:t>
      </w:r>
    </w:p>
    <w:p>
      <w:pPr>
        <w:bidi w:val="0"/>
        <w:ind w:left="0" w:leftChars="0" w:right="0" w:firstLine="0" w:firstLineChars="0"/>
        <w:jc w:val="left"/>
        <w:rPr>
          <w:rFonts w:hint="eastAsia" w:ascii="宋体" w:hAnsi="宋体" w:eastAsia="宋体" w:cs="宋体"/>
          <w:sz w:val="24"/>
          <w:szCs w:val="24"/>
          <w:lang w:eastAsia="zh-CN"/>
        </w:rPr>
      </w:pPr>
      <w:r>
        <w:rPr>
          <w:rFonts w:ascii="宋体" w:hAnsi="宋体" w:eastAsia="宋体" w:cs="宋体"/>
          <w:sz w:val="24"/>
          <w:szCs w:val="24"/>
        </w:rPr>
        <w:t>（</w:t>
      </w:r>
      <w:r>
        <w:rPr>
          <w:rFonts w:hint="eastAsia" w:cs="宋体"/>
          <w:sz w:val="24"/>
          <w:szCs w:val="24"/>
          <w:lang w:val="en-US" w:eastAsia="zh-CN"/>
        </w:rPr>
        <w:t>2</w:t>
      </w:r>
      <w:r>
        <w:rPr>
          <w:rFonts w:ascii="宋体" w:hAnsi="宋体" w:eastAsia="宋体" w:cs="宋体"/>
          <w:sz w:val="24"/>
          <w:szCs w:val="24"/>
        </w:rPr>
        <w:t>）前端故障10分钟响应，30分钟到场，4个小时内恢复；网络故障10分钟响应，2个小时恢复（因市政施工等因素引发的光缆通信故障除外）</w:t>
      </w:r>
      <w:r>
        <w:rPr>
          <w:rFonts w:hint="eastAsia" w:cs="宋体"/>
          <w:sz w:val="24"/>
          <w:szCs w:val="24"/>
          <w:lang w:eastAsia="zh-CN"/>
        </w:rPr>
        <w:t>。</w:t>
      </w:r>
    </w:p>
    <w:p>
      <w:pPr>
        <w:bidi w:val="0"/>
        <w:ind w:left="0" w:leftChars="0" w:right="0" w:firstLine="0" w:firstLineChars="0"/>
        <w:jc w:val="left"/>
        <w:rPr>
          <w:rFonts w:hint="default" w:ascii="宋体" w:hAnsi="宋体" w:eastAsia="宋体" w:cs="宋体"/>
          <w:sz w:val="24"/>
          <w:szCs w:val="24"/>
          <w:lang w:val="en-US" w:eastAsia="zh-CN"/>
        </w:rPr>
      </w:pPr>
      <w:r>
        <w:rPr>
          <w:rFonts w:ascii="宋体" w:hAnsi="宋体" w:eastAsia="宋体" w:cs="宋体"/>
          <w:sz w:val="24"/>
          <w:szCs w:val="24"/>
        </w:rPr>
        <w:t>（</w:t>
      </w:r>
      <w:r>
        <w:rPr>
          <w:rFonts w:hint="eastAsia" w:cs="宋体"/>
          <w:sz w:val="24"/>
          <w:szCs w:val="24"/>
          <w:lang w:val="en-US" w:eastAsia="zh-CN"/>
        </w:rPr>
        <w:t>3</w:t>
      </w:r>
      <w:r>
        <w:rPr>
          <w:rFonts w:ascii="宋体" w:hAnsi="宋体" w:eastAsia="宋体" w:cs="宋体"/>
          <w:sz w:val="24"/>
          <w:szCs w:val="24"/>
        </w:rPr>
        <w:t>）中标方在</w:t>
      </w:r>
      <w:r>
        <w:rPr>
          <w:rFonts w:hint="eastAsia" w:ascii="宋体" w:hAnsi="宋体" w:eastAsia="宋体" w:cs="宋体"/>
          <w:sz w:val="24"/>
          <w:szCs w:val="24"/>
          <w:lang w:val="en-US" w:eastAsia="zh-CN"/>
        </w:rPr>
        <w:t>合同签定前在本地建立备件场所</w:t>
      </w:r>
      <w:r>
        <w:rPr>
          <w:rFonts w:ascii="宋体" w:hAnsi="宋体" w:eastAsia="宋体" w:cs="宋体"/>
          <w:sz w:val="24"/>
          <w:szCs w:val="24"/>
        </w:rPr>
        <w:t>提供充足的备件。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提供承诺函）</w:t>
      </w:r>
    </w:p>
    <w:p>
      <w:pPr>
        <w:bidi w:val="0"/>
        <w:ind w:left="0" w:leftChars="0" w:right="0" w:firstLine="0" w:firstLineChars="0"/>
        <w:jc w:val="left"/>
        <w:rPr>
          <w:rFonts w:ascii="宋体" w:hAnsi="宋体" w:eastAsia="宋体" w:cs="宋体"/>
          <w:sz w:val="24"/>
          <w:szCs w:val="24"/>
        </w:rPr>
      </w:pPr>
      <w:r>
        <w:rPr>
          <w:rFonts w:ascii="宋体" w:hAnsi="宋体" w:eastAsia="宋体" w:cs="宋体"/>
          <w:sz w:val="24"/>
          <w:szCs w:val="24"/>
        </w:rPr>
        <w:t>（</w:t>
      </w:r>
      <w:r>
        <w:rPr>
          <w:rFonts w:hint="eastAsia" w:cs="宋体"/>
          <w:sz w:val="24"/>
          <w:szCs w:val="24"/>
          <w:lang w:val="en-US" w:eastAsia="zh-CN"/>
        </w:rPr>
        <w:t>4</w:t>
      </w:r>
      <w:r>
        <w:rPr>
          <w:rFonts w:ascii="宋体" w:hAnsi="宋体" w:eastAsia="宋体" w:cs="宋体"/>
          <w:sz w:val="24"/>
          <w:szCs w:val="24"/>
        </w:rPr>
        <w:t>）同一线路一个月不能出现三次以上故障（因市政施工等因素引发的光缆通信故障除外）。</w:t>
      </w:r>
    </w:p>
    <w:p>
      <w:pPr>
        <w:bidi w:val="0"/>
        <w:ind w:left="0" w:leftChars="0" w:right="0" w:firstLine="0" w:firstLineChars="0"/>
        <w:jc w:val="left"/>
        <w:rPr>
          <w:rFonts w:ascii="宋体" w:hAnsi="宋体" w:eastAsia="宋体" w:cs="宋体"/>
          <w:sz w:val="24"/>
          <w:szCs w:val="24"/>
        </w:rPr>
      </w:pPr>
      <w:r>
        <w:rPr>
          <w:rFonts w:ascii="宋体" w:hAnsi="宋体" w:eastAsia="宋体" w:cs="宋体"/>
          <w:sz w:val="24"/>
          <w:szCs w:val="24"/>
        </w:rPr>
        <w:t>（</w:t>
      </w:r>
      <w:r>
        <w:rPr>
          <w:rFonts w:hint="eastAsia" w:cs="宋体"/>
          <w:sz w:val="24"/>
          <w:szCs w:val="24"/>
          <w:lang w:val="en-US" w:eastAsia="zh-CN"/>
        </w:rPr>
        <w:t>5</w:t>
      </w:r>
      <w:r>
        <w:rPr>
          <w:rFonts w:ascii="宋体" w:hAnsi="宋体" w:eastAsia="宋体" w:cs="宋体"/>
          <w:sz w:val="24"/>
          <w:szCs w:val="24"/>
        </w:rPr>
        <w:t>）同一点位一个月内累积中断不能超过12个小时（因市政施工等因素引发的光缆通信故障除外）。</w:t>
      </w:r>
    </w:p>
    <w:p>
      <w:pPr>
        <w:bidi w:val="0"/>
        <w:ind w:left="0" w:leftChars="0" w:right="0" w:firstLine="0" w:firstLineChars="0"/>
        <w:jc w:val="left"/>
        <w:rPr>
          <w:rFonts w:ascii="宋体" w:hAnsi="宋体" w:eastAsia="宋体" w:cs="宋体"/>
          <w:sz w:val="24"/>
          <w:szCs w:val="24"/>
        </w:rPr>
      </w:pPr>
      <w:r>
        <w:rPr>
          <w:rFonts w:ascii="宋体" w:hAnsi="宋体" w:eastAsia="宋体" w:cs="宋体"/>
          <w:sz w:val="24"/>
          <w:szCs w:val="24"/>
        </w:rPr>
        <w:t>（</w:t>
      </w:r>
      <w:r>
        <w:rPr>
          <w:rFonts w:hint="eastAsia" w:cs="宋体"/>
          <w:sz w:val="24"/>
          <w:szCs w:val="24"/>
          <w:lang w:val="en-US" w:eastAsia="zh-CN"/>
        </w:rPr>
        <w:t>6</w:t>
      </w:r>
      <w:r>
        <w:rPr>
          <w:rFonts w:ascii="宋体" w:hAnsi="宋体" w:eastAsia="宋体" w:cs="宋体"/>
          <w:sz w:val="24"/>
          <w:szCs w:val="24"/>
        </w:rPr>
        <w:t>）为该项目制定个性化应急预案。</w:t>
      </w:r>
    </w:p>
    <w:p>
      <w:pPr>
        <w:bidi w:val="0"/>
        <w:ind w:left="0" w:leftChars="0" w:right="0" w:firstLine="0" w:firstLineChars="0"/>
        <w:jc w:val="left"/>
        <w:rPr>
          <w:rFonts w:ascii="宋体" w:hAnsi="宋体" w:eastAsia="宋体" w:cs="宋体"/>
          <w:sz w:val="24"/>
          <w:szCs w:val="24"/>
        </w:rPr>
      </w:pPr>
      <w:r>
        <w:rPr>
          <w:rFonts w:ascii="宋体" w:hAnsi="宋体" w:eastAsia="宋体" w:cs="宋体"/>
          <w:sz w:val="24"/>
          <w:szCs w:val="24"/>
        </w:rPr>
        <w:t>（</w:t>
      </w:r>
      <w:r>
        <w:rPr>
          <w:rFonts w:hint="eastAsia" w:cs="宋体"/>
          <w:sz w:val="24"/>
          <w:szCs w:val="24"/>
          <w:lang w:val="en-US" w:eastAsia="zh-CN"/>
        </w:rPr>
        <w:t>7</w:t>
      </w:r>
      <w:r>
        <w:rPr>
          <w:rFonts w:ascii="宋体" w:hAnsi="宋体" w:eastAsia="宋体" w:cs="宋体"/>
          <w:sz w:val="24"/>
          <w:szCs w:val="24"/>
        </w:rPr>
        <w:t>）定期巡检，对光缆线路及设备定期巡检，对出现质量劣化的光路和设备及时提供优化方案，保证高指标的电路可用率。</w:t>
      </w:r>
    </w:p>
    <w:p>
      <w:pPr>
        <w:bidi w:val="0"/>
        <w:ind w:left="0" w:leftChars="0" w:right="0" w:firstLine="0" w:firstLineChars="0"/>
        <w:jc w:val="left"/>
        <w:rPr>
          <w:rFonts w:ascii="宋体" w:hAnsi="宋体" w:eastAsia="宋体" w:cs="宋体"/>
          <w:sz w:val="24"/>
          <w:szCs w:val="24"/>
        </w:rPr>
      </w:pPr>
      <w:r>
        <w:rPr>
          <w:rFonts w:ascii="宋体" w:hAnsi="宋体" w:eastAsia="宋体" w:cs="宋体"/>
          <w:sz w:val="24"/>
          <w:szCs w:val="24"/>
        </w:rPr>
        <w:t>（</w:t>
      </w:r>
      <w:r>
        <w:rPr>
          <w:rFonts w:hint="eastAsia" w:cs="宋体"/>
          <w:sz w:val="24"/>
          <w:szCs w:val="24"/>
          <w:lang w:val="en-US" w:eastAsia="zh-CN"/>
        </w:rPr>
        <w:t>8</w:t>
      </w:r>
      <w:r>
        <w:rPr>
          <w:rFonts w:ascii="宋体" w:hAnsi="宋体" w:eastAsia="宋体" w:cs="宋体"/>
          <w:sz w:val="24"/>
          <w:szCs w:val="24"/>
        </w:rPr>
        <w:t>）提供故障响应及修复时限承诺。</w:t>
      </w:r>
    </w:p>
    <w:p>
      <w:pPr>
        <w:widowControl w:val="0"/>
        <w:autoSpaceDE w:val="0"/>
        <w:autoSpaceDN w:val="0"/>
        <w:spacing w:line="360" w:lineRule="auto"/>
        <w:ind w:left="0" w:leftChars="0" w:right="0" w:firstLine="482" w:firstLineChars="200"/>
        <w:jc w:val="left"/>
        <w:outlineLvl w:val="2"/>
        <w:rPr>
          <w:rFonts w:hint="eastAsia" w:ascii="宋体" w:hAnsi="宋体" w:eastAsia="宋体" w:cs="宋体"/>
          <w:b/>
          <w:bCs/>
          <w:sz w:val="24"/>
          <w:szCs w:val="24"/>
          <w:lang w:val="zh-CN" w:eastAsia="zh-CN" w:bidi="zh-CN"/>
        </w:rPr>
      </w:pPr>
      <w:r>
        <w:rPr>
          <w:rFonts w:hint="eastAsia" w:ascii="宋体" w:hAnsi="宋体" w:eastAsia="宋体" w:cs="宋体"/>
          <w:b/>
          <w:bCs/>
          <w:sz w:val="24"/>
          <w:szCs w:val="24"/>
          <w:lang w:val="zh-CN" w:eastAsia="zh-CN" w:bidi="zh-CN"/>
        </w:rPr>
        <w:t>三、商务要求：</w:t>
      </w:r>
    </w:p>
    <w:p>
      <w:pPr>
        <w:ind w:left="0" w:leftChars="0" w:right="0" w:firstLine="480" w:firstLineChars="0"/>
        <w:jc w:val="left"/>
        <w:rPr>
          <w:rFonts w:hint="eastAsia" w:ascii="宋体" w:hAnsi="宋体" w:eastAsia="宋体" w:cs="宋体"/>
          <w:sz w:val="24"/>
          <w:szCs w:val="24"/>
        </w:rPr>
      </w:pPr>
      <w:r>
        <w:rPr>
          <w:rFonts w:hint="eastAsia" w:ascii="宋体" w:hAnsi="宋体" w:eastAsia="宋体" w:cs="宋体"/>
          <w:sz w:val="24"/>
          <w:szCs w:val="24"/>
        </w:rPr>
        <w:t>1、服务期限：1年。</w:t>
      </w:r>
    </w:p>
    <w:p>
      <w:pPr>
        <w:ind w:left="0" w:leftChars="0" w:right="0" w:firstLine="480" w:firstLineChars="0"/>
        <w:jc w:val="left"/>
        <w:rPr>
          <w:rFonts w:hint="eastAsia" w:ascii="宋体" w:hAnsi="宋体" w:eastAsia="宋体" w:cs="宋体"/>
          <w:sz w:val="24"/>
          <w:szCs w:val="24"/>
        </w:rPr>
      </w:pPr>
      <w:r>
        <w:rPr>
          <w:rFonts w:hint="eastAsia" w:ascii="宋体" w:hAnsi="宋体" w:eastAsia="宋体" w:cs="宋体"/>
          <w:sz w:val="24"/>
          <w:szCs w:val="24"/>
        </w:rPr>
        <w:t>2、报价要求：本项目报价为综合包干价，包含所有设备费、安装费、调试费、维护费、税费等全部相关费用。</w:t>
      </w:r>
    </w:p>
    <w:p>
      <w:pPr>
        <w:ind w:left="0" w:leftChars="0" w:right="0" w:firstLine="480" w:firstLineChars="0"/>
        <w:jc w:val="left"/>
        <w:rPr>
          <w:rFonts w:hint="eastAsia" w:ascii="宋体" w:hAnsi="宋体" w:eastAsia="宋体" w:cs="宋体"/>
          <w:sz w:val="24"/>
          <w:szCs w:val="24"/>
          <w:highlight w:val="yellow"/>
        </w:rPr>
      </w:pPr>
      <w:r>
        <w:rPr>
          <w:rFonts w:hint="eastAsia" w:ascii="宋体" w:hAnsi="宋体" w:eastAsia="宋体" w:cs="宋体"/>
          <w:sz w:val="24"/>
          <w:szCs w:val="24"/>
          <w:highlight w:val="yellow"/>
        </w:rPr>
        <w:t>3、支付方式：合同签定后15个工作日内支付30%预付款，服务期结束经验收合格后一次性支付剩余部分。</w:t>
      </w:r>
    </w:p>
    <w:p>
      <w:pPr>
        <w:bidi w:val="0"/>
        <w:ind w:left="0" w:leftChars="0" w:right="0" w:firstLine="480" w:firstLineChars="200"/>
        <w:jc w:val="left"/>
        <w:rPr>
          <w:rFonts w:hint="eastAsia" w:ascii="宋体" w:hAnsi="宋体" w:eastAsia="宋体" w:cs="宋体"/>
        </w:rPr>
      </w:pPr>
      <w:r>
        <w:rPr>
          <w:rFonts w:hint="eastAsia" w:ascii="宋体" w:hAnsi="宋体" w:eastAsia="宋体" w:cs="宋体"/>
          <w:sz w:val="24"/>
          <w:szCs w:val="24"/>
        </w:rPr>
        <w:t>4、▲服务期内的维护服务工作全部由供应商负责，故障处理过程中的安全责任由供应商承担。故障响应时间不超过10分钟，30分钟内到达现场，2小时内完成故障处理（工程性故障和不可抗力除外）。（提供承诺函）</w:t>
      </w:r>
    </w:p>
    <w:p>
      <w:pPr>
        <w:pStyle w:val="13"/>
        <w:rPr>
          <w:rFonts w:hint="default"/>
          <w:lang w:val="en-US" w:eastAsia="zh-CN"/>
        </w:rPr>
      </w:pPr>
    </w:p>
    <w:p>
      <w:pPr>
        <w:rPr>
          <w:rFonts w:hint="default"/>
          <w:lang w:val="en-US" w:eastAsia="zh-CN"/>
        </w:rPr>
      </w:pPr>
    </w:p>
    <w:p>
      <w:pPr>
        <w:pStyle w:val="6"/>
        <w:rPr>
          <w:rFonts w:hint="default"/>
          <w:lang w:val="en-US" w:eastAsia="zh-CN"/>
        </w:rPr>
      </w:pPr>
    </w:p>
    <w:p>
      <w:pPr>
        <w:rPr>
          <w:rFonts w:hint="default"/>
          <w:lang w:val="en-US" w:eastAsia="zh-CN"/>
        </w:rPr>
      </w:pPr>
    </w:p>
    <w:p>
      <w:pPr>
        <w:pStyle w:val="6"/>
        <w:rPr>
          <w:rFonts w:hint="default"/>
          <w:lang w:val="en-US" w:eastAsia="zh-CN"/>
        </w:rPr>
      </w:pPr>
    </w:p>
    <w:p>
      <w:pPr>
        <w:rPr>
          <w:rFonts w:hint="default"/>
          <w:lang w:val="en-US" w:eastAsia="zh-CN"/>
        </w:rPr>
      </w:pPr>
    </w:p>
    <w:p>
      <w:pPr>
        <w:pStyle w:val="6"/>
        <w:rPr>
          <w:rFonts w:hint="default"/>
          <w:lang w:val="en-US" w:eastAsia="zh-CN"/>
        </w:rPr>
      </w:pPr>
    </w:p>
    <w:p>
      <w:pPr>
        <w:rPr>
          <w:rFonts w:hint="default"/>
          <w:lang w:val="en-US" w:eastAsia="zh-CN"/>
        </w:rPr>
      </w:pPr>
    </w:p>
    <w:p>
      <w:pPr>
        <w:pStyle w:val="13"/>
        <w:rPr>
          <w:rFonts w:hint="default"/>
          <w:lang w:val="en-US" w:eastAsia="zh-CN"/>
        </w:rPr>
      </w:pPr>
    </w:p>
    <w:p>
      <w:pPr>
        <w:pStyle w:val="6"/>
        <w:ind w:left="0" w:leftChars="0" w:firstLine="0" w:firstLineChars="0"/>
        <w:jc w:val="both"/>
        <w:rPr>
          <w:rFonts w:hint="default"/>
          <w:lang w:val="en-US" w:eastAsia="zh-CN"/>
        </w:rPr>
      </w:pPr>
    </w:p>
    <w:p>
      <w:pPr>
        <w:rPr>
          <w:rFonts w:hint="eastAsia"/>
          <w:lang w:val="en-US"/>
        </w:rPr>
      </w:pPr>
      <w:r>
        <w:rPr>
          <w:rFonts w:hint="eastAsia"/>
          <w:lang w:val="en-US"/>
        </w:rPr>
        <w:br w:type="page"/>
      </w:r>
    </w:p>
    <w:p>
      <w:pPr>
        <w:pStyle w:val="3"/>
        <w:ind w:firstLine="0" w:firstLineChars="0"/>
      </w:pPr>
      <w:r>
        <w:rPr>
          <w:rFonts w:hint="eastAsia"/>
          <w:lang w:val="en-US"/>
        </w:rPr>
        <w:t>第六章</w:t>
      </w:r>
      <w:bookmarkStart w:id="67" w:name="_Toc5562_WPSOffice_Level1"/>
      <w:r>
        <w:rPr>
          <w:rFonts w:hint="eastAsia"/>
          <w:lang w:val="en-US"/>
        </w:rPr>
        <w:t xml:space="preserve"> </w:t>
      </w:r>
      <w:r>
        <w:rPr>
          <w:rFonts w:hint="eastAsia"/>
        </w:rPr>
        <w:t>响应文件格式</w:t>
      </w:r>
      <w:bookmarkEnd w:id="66"/>
      <w:bookmarkEnd w:id="67"/>
    </w:p>
    <w:p>
      <w:pPr>
        <w:ind w:firstLine="480"/>
      </w:pPr>
      <w:r>
        <w:rPr>
          <w:rFonts w:hint="eastAsia"/>
        </w:rPr>
        <w:t>一、本章所制响应文件格式，除格式中明确将该格式作为实质性要求的，一律不具有强制性。</w:t>
      </w:r>
    </w:p>
    <w:p>
      <w:pPr>
        <w:ind w:firstLine="480"/>
      </w:pPr>
      <w:r>
        <w:rPr>
          <w:rFonts w:hint="eastAsia"/>
        </w:rPr>
        <w:t>二、本章所制响应文件格式有关表格中的备注栏，由供应商根据自身响应情况作解释性说明，不作为必填项。</w:t>
      </w:r>
    </w:p>
    <w:p>
      <w:pPr>
        <w:ind w:firstLine="480"/>
      </w:pPr>
      <w:r>
        <w:rPr>
          <w:rFonts w:hint="eastAsia"/>
        </w:rPr>
        <w:t>三、本章所制响应文件格式中需要填写的相关内容事项，可能会与本采购项目无关，在不改变响应文件原义、不影响本项目采购需求的情况下，供应商可以不予填写，</w:t>
      </w:r>
      <w:r>
        <w:rPr>
          <w:rFonts w:hint="eastAsia"/>
          <w:lang w:val="en-US" w:eastAsia="zh-CN"/>
        </w:rPr>
        <w:t>但</w:t>
      </w:r>
      <w:r>
        <w:rPr>
          <w:rFonts w:hint="eastAsia"/>
        </w:rPr>
        <w:t>应当注明。</w:t>
      </w:r>
    </w:p>
    <w:p>
      <w:pPr>
        <w:ind w:firstLine="480"/>
      </w:pPr>
      <w:r>
        <w:rPr>
          <w:rFonts w:hint="eastAsia"/>
        </w:rPr>
        <w:br w:type="page"/>
      </w:r>
    </w:p>
    <w:p>
      <w:pPr>
        <w:ind w:firstLine="482"/>
        <w:jc w:val="center"/>
        <w:rPr>
          <w:b/>
          <w:bCs/>
        </w:rPr>
      </w:pPr>
      <w:r>
        <w:rPr>
          <w:rFonts w:hint="eastAsia"/>
          <w:b/>
          <w:bCs/>
        </w:rPr>
        <w:t>（资格性响应文件封面、封皮）</w:t>
      </w:r>
    </w:p>
    <w:p>
      <w:pPr>
        <w:ind w:firstLine="482"/>
        <w:rPr>
          <w:b/>
          <w:bCs/>
        </w:rPr>
      </w:pPr>
    </w:p>
    <w:p>
      <w:pPr>
        <w:ind w:firstLine="480"/>
      </w:pPr>
    </w:p>
    <w:p>
      <w:pPr>
        <w:ind w:firstLine="723"/>
        <w:jc w:val="center"/>
        <w:rPr>
          <w:b/>
          <w:sz w:val="36"/>
          <w:szCs w:val="36"/>
          <w:bdr w:val="single" w:color="auto" w:sz="4" w:space="0"/>
        </w:rPr>
      </w:pPr>
      <w:r>
        <w:rPr>
          <w:rFonts w:hint="eastAsia"/>
          <w:b/>
          <w:sz w:val="36"/>
          <w:szCs w:val="36"/>
        </w:rPr>
        <w:t xml:space="preserve">                                     </w:t>
      </w:r>
      <w:r>
        <w:rPr>
          <w:rFonts w:hint="eastAsia"/>
          <w:b/>
          <w:sz w:val="36"/>
          <w:szCs w:val="36"/>
          <w:bdr w:val="single" w:color="auto" w:sz="4" w:space="0"/>
        </w:rPr>
        <w:t xml:space="preserve">     本</w:t>
      </w:r>
    </w:p>
    <w:p>
      <w:pPr>
        <w:ind w:firstLine="0" w:firstLineChars="0"/>
        <w:jc w:val="center"/>
        <w:rPr>
          <w:b/>
          <w:sz w:val="48"/>
          <w:szCs w:val="48"/>
        </w:rPr>
      </w:pPr>
      <w:r>
        <w:rPr>
          <w:rFonts w:hint="eastAsia"/>
          <w:b/>
          <w:sz w:val="48"/>
          <w:szCs w:val="48"/>
        </w:rPr>
        <w:t>资 格 性 响 应 文 件</w:t>
      </w:r>
    </w:p>
    <w:p>
      <w:pPr>
        <w:ind w:firstLine="723"/>
        <w:jc w:val="center"/>
        <w:rPr>
          <w:b/>
          <w:sz w:val="36"/>
          <w:szCs w:val="36"/>
        </w:rPr>
      </w:pPr>
    </w:p>
    <w:p>
      <w:pPr>
        <w:ind w:firstLine="723"/>
        <w:jc w:val="center"/>
        <w:rPr>
          <w:b/>
          <w:sz w:val="36"/>
          <w:szCs w:val="36"/>
        </w:rPr>
      </w:pPr>
    </w:p>
    <w:p>
      <w:pPr>
        <w:ind w:firstLine="643"/>
        <w:rPr>
          <w:b/>
          <w:sz w:val="32"/>
          <w:szCs w:val="32"/>
        </w:rPr>
      </w:pPr>
    </w:p>
    <w:p>
      <w:pPr>
        <w:ind w:firstLine="643"/>
        <w:rPr>
          <w:b/>
          <w:sz w:val="32"/>
          <w:szCs w:val="32"/>
        </w:rPr>
      </w:pPr>
      <w:r>
        <w:rPr>
          <w:rFonts w:hint="eastAsia"/>
          <w:b/>
          <w:sz w:val="32"/>
          <w:szCs w:val="32"/>
        </w:rPr>
        <w:t>采购项目名称:</w:t>
      </w:r>
    </w:p>
    <w:p>
      <w:pPr>
        <w:ind w:firstLine="723"/>
        <w:jc w:val="center"/>
        <w:rPr>
          <w:b/>
          <w:sz w:val="36"/>
          <w:szCs w:val="36"/>
        </w:rPr>
      </w:pPr>
    </w:p>
    <w:p>
      <w:pPr>
        <w:ind w:firstLine="643"/>
        <w:rPr>
          <w:b/>
          <w:sz w:val="32"/>
          <w:szCs w:val="32"/>
        </w:rPr>
      </w:pPr>
      <w:r>
        <w:rPr>
          <w:rFonts w:hint="eastAsia"/>
          <w:b/>
          <w:sz w:val="32"/>
          <w:szCs w:val="32"/>
        </w:rPr>
        <w:t>采购文件编号:</w:t>
      </w:r>
    </w:p>
    <w:p>
      <w:pPr>
        <w:ind w:firstLine="643"/>
        <w:rPr>
          <w:b/>
          <w:sz w:val="32"/>
          <w:szCs w:val="32"/>
          <w:u w:val="single"/>
        </w:rPr>
      </w:pPr>
    </w:p>
    <w:p>
      <w:pPr>
        <w:ind w:firstLine="643"/>
        <w:rPr>
          <w:b/>
          <w:sz w:val="32"/>
          <w:szCs w:val="32"/>
          <w:u w:val="single"/>
        </w:rPr>
      </w:pPr>
      <w:r>
        <w:rPr>
          <w:rFonts w:hint="eastAsia"/>
          <w:b/>
          <w:sz w:val="32"/>
          <w:szCs w:val="32"/>
        </w:rPr>
        <w:t>投标单位（盖章）：</w:t>
      </w:r>
    </w:p>
    <w:p>
      <w:pPr>
        <w:ind w:firstLine="643"/>
        <w:rPr>
          <w:b/>
          <w:sz w:val="32"/>
          <w:szCs w:val="32"/>
          <w:u w:val="single"/>
        </w:rPr>
      </w:pPr>
    </w:p>
    <w:p>
      <w:pPr>
        <w:ind w:firstLine="643"/>
        <w:rPr>
          <w:b/>
          <w:sz w:val="32"/>
          <w:szCs w:val="32"/>
          <w:u w:val="single"/>
        </w:rPr>
      </w:pPr>
      <w:r>
        <w:rPr>
          <w:rFonts w:hint="eastAsia"/>
          <w:b/>
          <w:sz w:val="32"/>
          <w:szCs w:val="32"/>
        </w:rPr>
        <w:t>法定代表人或其代理人（签字）：</w:t>
      </w:r>
    </w:p>
    <w:p>
      <w:pPr>
        <w:ind w:firstLine="643"/>
        <w:rPr>
          <w:b/>
          <w:sz w:val="32"/>
          <w:szCs w:val="32"/>
          <w:u w:val="single"/>
        </w:rPr>
      </w:pPr>
    </w:p>
    <w:p>
      <w:pPr>
        <w:ind w:firstLine="643"/>
        <w:rPr>
          <w:b/>
          <w:sz w:val="32"/>
          <w:szCs w:val="32"/>
        </w:rPr>
      </w:pPr>
      <w:r>
        <w:rPr>
          <w:rFonts w:hint="eastAsia"/>
          <w:b/>
          <w:sz w:val="32"/>
          <w:szCs w:val="32"/>
        </w:rPr>
        <w:t>投标日期：20    年     月     日</w:t>
      </w:r>
    </w:p>
    <w:p>
      <w:pPr>
        <w:ind w:firstLine="643"/>
        <w:rPr>
          <w:b/>
          <w:sz w:val="32"/>
          <w:szCs w:val="32"/>
        </w:rPr>
      </w:pPr>
    </w:p>
    <w:p>
      <w:pPr>
        <w:pStyle w:val="13"/>
        <w:ind w:firstLine="480"/>
      </w:pPr>
    </w:p>
    <w:p>
      <w:pPr>
        <w:ind w:firstLine="480"/>
        <w:rPr>
          <w:lang w:val="en-US"/>
        </w:rPr>
      </w:pPr>
      <w:r>
        <w:rPr>
          <w:rFonts w:hint="eastAsia"/>
          <w:lang w:val="en-US"/>
        </w:rPr>
        <w:br w:type="page"/>
      </w:r>
    </w:p>
    <w:p>
      <w:pPr>
        <w:pStyle w:val="4"/>
        <w:ind w:firstLine="0" w:firstLineChars="0"/>
      </w:pPr>
      <w:r>
        <w:rPr>
          <w:rFonts w:hint="eastAsia"/>
          <w:lang w:val="en-US"/>
        </w:rPr>
        <w:t>一、</w:t>
      </w:r>
      <w:r>
        <w:rPr>
          <w:rFonts w:hint="eastAsia"/>
        </w:rPr>
        <w:t>法定代表人授权书</w:t>
      </w:r>
    </w:p>
    <w:p>
      <w:pPr>
        <w:pStyle w:val="4"/>
        <w:ind w:firstLine="0" w:firstLineChars="0"/>
      </w:pPr>
      <w:r>
        <w:rPr>
          <w:lang w:val="en-US"/>
        </w:rPr>
        <w:t>（一）法定代表人身份证明</w:t>
      </w:r>
    </w:p>
    <w:p>
      <w:pPr>
        <w:ind w:firstLine="480"/>
      </w:pPr>
      <w:r>
        <w:rPr>
          <w:rFonts w:hint="eastAsia"/>
          <w:lang w:val="en-US"/>
        </w:rPr>
        <w:t>单位名称：</w:t>
      </w:r>
      <w:r>
        <w:rPr>
          <w:rFonts w:hint="eastAsia"/>
          <w:u w:val="single"/>
          <w:lang w:val="en-US"/>
        </w:rPr>
        <w:t xml:space="preserve">               </w:t>
      </w:r>
      <w:r>
        <w:rPr>
          <w:rFonts w:hint="eastAsia"/>
          <w:lang w:val="en-US"/>
        </w:rPr>
        <w:t xml:space="preserve"> ；  </w:t>
      </w:r>
    </w:p>
    <w:p>
      <w:pPr>
        <w:ind w:firstLine="480"/>
      </w:pPr>
      <w:r>
        <w:rPr>
          <w:rFonts w:hint="eastAsia"/>
          <w:lang w:val="en-US"/>
        </w:rPr>
        <w:t>地址</w:t>
      </w:r>
      <w:r>
        <w:rPr>
          <w:rFonts w:hint="eastAsia"/>
          <w:u w:val="single"/>
          <w:lang w:val="en-US"/>
        </w:rPr>
        <w:t xml:space="preserve">：                  </w:t>
      </w:r>
      <w:r>
        <w:rPr>
          <w:rFonts w:hint="eastAsia"/>
          <w:lang w:val="en-US"/>
        </w:rPr>
        <w:t xml:space="preserve"> ；   </w:t>
      </w:r>
    </w:p>
    <w:p>
      <w:pPr>
        <w:spacing w:line="240" w:lineRule="auto"/>
        <w:ind w:firstLine="480"/>
        <w:rPr>
          <w:lang w:val="en-US"/>
        </w:rPr>
      </w:pPr>
      <w:r>
        <w:rPr>
          <w:rFonts w:hint="eastAsia"/>
          <w:lang w:val="en-US"/>
        </w:rPr>
        <w:t>姓名</w:t>
      </w:r>
      <w:r>
        <w:rPr>
          <w:rFonts w:hint="eastAsia"/>
          <w:u w:val="single"/>
          <w:lang w:val="en-US"/>
        </w:rPr>
        <w:t xml:space="preserve">：     </w:t>
      </w:r>
      <w:r>
        <w:rPr>
          <w:rFonts w:hint="eastAsia"/>
          <w:lang w:val="en-US"/>
        </w:rPr>
        <w:t xml:space="preserve"> 系</w:t>
      </w:r>
      <w:r>
        <w:rPr>
          <w:rFonts w:hint="eastAsia"/>
          <w:u w:val="single"/>
          <w:lang w:val="en-US"/>
        </w:rPr>
        <w:t xml:space="preserve">          </w:t>
      </w:r>
      <w:r>
        <w:rPr>
          <w:rFonts w:hint="eastAsia"/>
          <w:lang w:val="en-US"/>
        </w:rPr>
        <w:t>（</w:t>
      </w:r>
      <w:r>
        <w:rPr>
          <w:rFonts w:hint="eastAsia"/>
          <w:lang w:val="en-US" w:eastAsia="zh-CN"/>
        </w:rPr>
        <w:t>投标人</w:t>
      </w:r>
      <w:r>
        <w:rPr>
          <w:rFonts w:hint="eastAsia"/>
          <w:lang w:val="en-US"/>
        </w:rPr>
        <w:t>名称）的法定代表人。（职务</w:t>
      </w:r>
      <w:r>
        <w:rPr>
          <w:rFonts w:hint="eastAsia"/>
          <w:u w:val="single"/>
          <w:lang w:val="en-US"/>
        </w:rPr>
        <w:t xml:space="preserve">     </w:t>
      </w:r>
      <w:r>
        <w:rPr>
          <w:rFonts w:hint="eastAsia"/>
          <w:lang w:val="en-US"/>
        </w:rPr>
        <w:t>电话</w:t>
      </w:r>
      <w:r>
        <w:rPr>
          <w:rFonts w:hint="eastAsia"/>
          <w:u w:val="single"/>
          <w:lang w:val="en-US"/>
        </w:rPr>
        <w:t xml:space="preserve">       </w:t>
      </w:r>
      <w:r>
        <w:rPr>
          <w:rFonts w:hint="eastAsia"/>
          <w:lang w:val="en-US"/>
        </w:rPr>
        <w:t xml:space="preserve">）。           </w:t>
      </w:r>
    </w:p>
    <w:p>
      <w:pPr>
        <w:ind w:firstLine="480"/>
      </w:pPr>
      <w:r>
        <w:rPr>
          <w:rFonts w:hint="eastAsia"/>
          <w:lang w:val="en-US"/>
        </w:rPr>
        <w:t xml:space="preserve">特此证明。 </w:t>
      </w:r>
    </w:p>
    <w:p>
      <w:pPr>
        <w:ind w:firstLine="480"/>
      </w:pPr>
      <w:r>
        <w:rPr>
          <w:rFonts w:hint="eastAsia"/>
          <w:lang w:val="en-US"/>
        </w:rPr>
        <w:t xml:space="preserve">附：法定代表人身份证（正反面）复印件或扫描件 </w:t>
      </w:r>
    </w:p>
    <w:p>
      <w:pPr>
        <w:ind w:firstLine="480"/>
        <w:rPr>
          <w:lang w:val="en-US"/>
        </w:rPr>
      </w:pPr>
      <w:r>
        <w:rPr>
          <w:rFonts w:hint="eastAsia"/>
          <w:lang w:val="en-US"/>
        </w:rPr>
        <w:t>投标人名称：XXXX（单位盖章）。</w:t>
      </w:r>
    </w:p>
    <w:p>
      <w:pPr>
        <w:ind w:firstLine="480"/>
        <w:rPr>
          <w:lang w:val="en-US"/>
        </w:rPr>
      </w:pPr>
      <w:r>
        <w:rPr>
          <w:rFonts w:hint="eastAsia"/>
          <w:lang w:val="en-US"/>
        </w:rPr>
        <w:t>日    期：XXXX。</w:t>
      </w:r>
    </w:p>
    <w:p>
      <w:pPr>
        <w:ind w:firstLine="480"/>
        <w:rPr>
          <w:lang w:val="en-US"/>
        </w:rPr>
      </w:pPr>
      <w:r>
        <w:rPr>
          <w:rFonts w:hint="eastAsia"/>
          <w:lang w:val="en-US"/>
        </w:rPr>
        <w:t>注意： 法定代表人参加本项目投标的，仅须出具此证明书。</w:t>
      </w:r>
    </w:p>
    <w:p>
      <w:pPr>
        <w:pStyle w:val="4"/>
        <w:ind w:firstLine="0" w:firstLineChars="0"/>
      </w:pPr>
      <w:r>
        <w:rPr>
          <w:rFonts w:hint="eastAsia"/>
          <w:lang w:val="en-US"/>
        </w:rPr>
        <w:t>（二）法人代表授权书</w:t>
      </w:r>
    </w:p>
    <w:p>
      <w:pPr>
        <w:spacing w:line="400" w:lineRule="exact"/>
        <w:ind w:firstLine="480"/>
      </w:pPr>
      <w:r>
        <w:rPr>
          <w:rFonts w:hint="eastAsia"/>
          <w:lang w:val="en-US"/>
        </w:rPr>
        <w:t>四川正焜项目管理有限公司</w:t>
      </w:r>
      <w:r>
        <w:rPr>
          <w:rFonts w:hint="eastAsia"/>
        </w:rPr>
        <w:t>：</w:t>
      </w:r>
    </w:p>
    <w:p>
      <w:pPr>
        <w:spacing w:line="400" w:lineRule="exact"/>
        <w:ind w:firstLine="480"/>
      </w:pPr>
      <w:r>
        <w:rPr>
          <w:rFonts w:hint="eastAsia"/>
        </w:rPr>
        <w:t>本授权声明：XXX（单位名称）,XXX（法定代表人姓名、职务）授权XXX</w:t>
      </w:r>
      <w:r>
        <w:rPr>
          <w:rFonts w:hint="eastAsia"/>
          <w:u w:val="single"/>
        </w:rPr>
        <w:t xml:space="preserve">                   </w:t>
      </w:r>
      <w:r>
        <w:rPr>
          <w:rFonts w:hint="eastAsia"/>
        </w:rPr>
        <w:t>（被授权人姓名、职务）为我方参加XXX项目（采购编号：XXX）磋商采购活动的合法代表，以我方名义全权处理该项目有关磋商、报价、签订合同以及执行合同等一切事宜。</w:t>
      </w:r>
    </w:p>
    <w:p>
      <w:pPr>
        <w:spacing w:line="400" w:lineRule="exact"/>
        <w:ind w:firstLine="480"/>
      </w:pPr>
      <w:r>
        <w:rPr>
          <w:rFonts w:hint="eastAsia"/>
        </w:rPr>
        <w:t>特此声明。</w:t>
      </w:r>
    </w:p>
    <w:p>
      <w:pPr>
        <w:spacing w:line="400" w:lineRule="exact"/>
        <w:ind w:firstLine="480"/>
      </w:pPr>
      <w:r>
        <w:rPr>
          <w:rFonts w:hint="eastAsia"/>
        </w:rPr>
        <w:t>供应商名称：XXX（盖单位公章）</w:t>
      </w:r>
    </w:p>
    <w:p>
      <w:pPr>
        <w:spacing w:line="400" w:lineRule="exact"/>
        <w:ind w:firstLine="480"/>
      </w:pPr>
      <w:r>
        <w:rPr>
          <w:rFonts w:hint="eastAsia"/>
        </w:rPr>
        <w:t>法定代表人（签字或盖章）：XXX</w:t>
      </w:r>
    </w:p>
    <w:p>
      <w:pPr>
        <w:spacing w:line="400" w:lineRule="exact"/>
        <w:ind w:firstLine="480"/>
      </w:pPr>
      <w:r>
        <w:rPr>
          <w:rFonts w:hint="eastAsia"/>
        </w:rPr>
        <w:t>职    务：XXX</w:t>
      </w:r>
    </w:p>
    <w:p>
      <w:pPr>
        <w:spacing w:line="400" w:lineRule="exact"/>
        <w:ind w:firstLine="480"/>
      </w:pPr>
      <w:r>
        <w:rPr>
          <w:rFonts w:hint="eastAsia"/>
        </w:rPr>
        <w:t>被授权人签字：XXX</w:t>
      </w:r>
    </w:p>
    <w:p>
      <w:pPr>
        <w:spacing w:line="400" w:lineRule="exact"/>
        <w:ind w:firstLine="480"/>
      </w:pPr>
      <w:r>
        <w:rPr>
          <w:rFonts w:hint="eastAsia"/>
        </w:rPr>
        <w:t>职    务：XXX</w:t>
      </w:r>
    </w:p>
    <w:p>
      <w:pPr>
        <w:spacing w:line="400" w:lineRule="exact"/>
        <w:ind w:firstLine="480"/>
      </w:pPr>
      <w:r>
        <w:rPr>
          <w:rFonts w:hint="eastAsia"/>
        </w:rPr>
        <w:t>日    期：XXX年XXX月XXX日</w:t>
      </w:r>
    </w:p>
    <w:p>
      <w:pPr>
        <w:spacing w:line="400" w:lineRule="exact"/>
        <w:ind w:firstLine="480"/>
      </w:pPr>
    </w:p>
    <w:p>
      <w:pPr>
        <w:spacing w:line="400" w:lineRule="exact"/>
        <w:ind w:firstLine="640"/>
        <w:rPr>
          <w:sz w:val="32"/>
        </w:rPr>
      </w:pPr>
    </w:p>
    <w:p>
      <w:pPr>
        <w:ind w:firstLine="482"/>
      </w:pPr>
      <w:r>
        <w:rPr>
          <w:rFonts w:hint="eastAsia"/>
          <w:b/>
        </w:rPr>
        <w:t>附：法定代表人和</w:t>
      </w:r>
      <w:r>
        <w:rPr>
          <w:rFonts w:hint="eastAsia"/>
          <w:b/>
          <w:bCs/>
        </w:rPr>
        <w:t>授权代表人身份证</w:t>
      </w:r>
      <w:r>
        <w:rPr>
          <w:rFonts w:hint="eastAsia"/>
          <w:b/>
        </w:rPr>
        <w:t>复印件（身份证复印件加盖公章）</w:t>
      </w:r>
    </w:p>
    <w:p>
      <w:pPr>
        <w:ind w:firstLine="480"/>
      </w:pPr>
      <w:r>
        <w:rPr>
          <w:rFonts w:hint="eastAsia"/>
        </w:rPr>
        <w:br w:type="page"/>
      </w:r>
    </w:p>
    <w:p>
      <w:pPr>
        <w:pStyle w:val="4"/>
        <w:ind w:firstLine="602"/>
      </w:pPr>
      <w:r>
        <w:rPr>
          <w:rFonts w:hint="eastAsia"/>
        </w:rPr>
        <w:t>二、承诺函</w:t>
      </w:r>
    </w:p>
    <w:p>
      <w:pPr>
        <w:ind w:left="0" w:leftChars="0" w:firstLine="0" w:firstLineChars="0"/>
      </w:pPr>
      <w:r>
        <w:rPr>
          <w:rFonts w:hint="eastAsia"/>
          <w:lang w:val="en-US"/>
        </w:rPr>
        <w:t>四川正焜项目管理有限公司</w:t>
      </w:r>
      <w:r>
        <w:rPr>
          <w:rFonts w:hint="eastAsia"/>
        </w:rPr>
        <w:t>：</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我公司作为本次采购项目的供应商，根据磋商文件要求，现郑重承诺如下：</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一、具备《中华人民共和国政府采购法》第二十二条第一款和本项目规定的条件：</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（一）具有独立承担民事责任的能力；</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（二）具有良好的商业信誉和健全的财务会计制度；</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（三）具有履行合同所必需的设备和专业技术能力；</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（四）有依法缴纳税收和社会保障资金的良好记录；</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（五）参加采购活动前三年内，在经营活动中没有重大违法记录；</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（六）法律、行政法规规定的其他条件；</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（七）根据采购项目提出的特殊条件。</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二、完全接受和满足本项目磋商文件中规定的实质性要求，如对磋商文件有异议，已经在递交响应文件截止时间届满前依法进行维权救济，不存在对磋商文件有异议的同时又参加磋商以求侥幸成交或者为实现其他非法目的的行为。</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三、在参加本次采购活动中，不存在与单位负责人为同一人或者存在直接控股、管理关系的其他供应商参与同一合同项下的采购活动的行为。</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四、在参加本次采购活动中，不存在和其他供应商在同一合同项下的采购项目中，同时委托同一个自然人、同一家庭的人员、同一单位的人员作为代理人的行为。</w:t>
      </w:r>
    </w:p>
    <w:p>
      <w:pPr>
        <w:keepNext w:val="0"/>
        <w:keepLines w:val="0"/>
        <w:pageBreakBefore w:val="0"/>
        <w:widowControl w:val="0"/>
        <w:kinsoku/>
        <w:wordWrap/>
        <w:overflowPunct/>
        <w:topLinePunct w:val="0"/>
        <w:autoSpaceDE w:val="0"/>
        <w:autoSpaceDN w:val="0"/>
        <w:bidi w:val="0"/>
        <w:adjustRightInd/>
        <w:snapToGrid/>
        <w:spacing w:line="336" w:lineRule="auto"/>
        <w:ind w:firstLine="482"/>
        <w:textAlignment w:val="auto"/>
        <w:rPr>
          <w:b/>
          <w:bCs/>
        </w:rPr>
      </w:pPr>
      <w:r>
        <w:rPr>
          <w:rFonts w:hint="eastAsia"/>
          <w:b/>
          <w:bCs/>
        </w:rPr>
        <w:t>五、如果有</w:t>
      </w:r>
      <w:r>
        <w:rPr>
          <w:rFonts w:hint="eastAsia"/>
          <w:b/>
          <w:bCs/>
          <w:lang w:val="en-US" w:eastAsia="zh-CN"/>
        </w:rPr>
        <w:t>参照</w:t>
      </w:r>
      <w:r>
        <w:rPr>
          <w:rFonts w:hint="eastAsia"/>
          <w:b/>
          <w:bCs/>
        </w:rPr>
        <w:t>《四川省政府采购当事人诚信管理办法》（川财采[2015]33号）规定的记入诚信档案的失信行为，将在响应文件中全面如实反映。我公司</w:t>
      </w:r>
      <w:r>
        <w:rPr>
          <w:rFonts w:hint="eastAsia"/>
          <w:b/>
          <w:bCs/>
          <w:u w:val="single"/>
        </w:rPr>
        <w:t xml:space="preserve">     （有、无）</w:t>
      </w:r>
      <w:r>
        <w:rPr>
          <w:rFonts w:hint="eastAsia"/>
          <w:b/>
          <w:bCs/>
        </w:rPr>
        <w:t>记入诚信档案且在有效期内的失信行为。我公司截止至采购公告发布之日前一个工作日</w:t>
      </w:r>
      <w:r>
        <w:rPr>
          <w:rFonts w:hint="eastAsia"/>
          <w:b/>
          <w:bCs/>
          <w:u w:val="single"/>
        </w:rPr>
        <w:t xml:space="preserve">   （已被 / 未被）</w:t>
      </w:r>
      <w:r>
        <w:rPr>
          <w:rFonts w:hint="eastAsia"/>
          <w:b/>
          <w:bCs/>
        </w:rPr>
        <w:t>列入“信用中国”网站 (www.creditchina.gov.cn)失信被执行人名单或重大税收违法案件当事人名单或政府采购严重违法失信行为记录名单。</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六、响应文件中提供的任何资料和技术、服务、商务等响应承诺情况都是真实的、有效的、合法的。</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本公司对上述承诺的内容事项真实性负责。如经查实上述承诺的内容事项存在虚假，我公司愿意接受以提供虚假材料谋取成交的法律责任。</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法定代表人签字或者加盖个人私章：XXXX</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授权代表签字：XXXX</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供应商名称：XXXX（盖章）</w:t>
      </w:r>
    </w:p>
    <w:p>
      <w:pPr>
        <w:keepNext w:val="0"/>
        <w:keepLines w:val="0"/>
        <w:pageBreakBefore w:val="0"/>
        <w:widowControl w:val="0"/>
        <w:kinsoku/>
        <w:wordWrap/>
        <w:overflowPunct/>
        <w:topLinePunct w:val="0"/>
        <w:autoSpaceDE w:val="0"/>
        <w:autoSpaceDN w:val="0"/>
        <w:bidi w:val="0"/>
        <w:adjustRightInd/>
        <w:snapToGrid/>
        <w:spacing w:line="336" w:lineRule="auto"/>
        <w:ind w:firstLine="480"/>
        <w:textAlignment w:val="auto"/>
      </w:pPr>
      <w:r>
        <w:rPr>
          <w:rFonts w:hint="eastAsia"/>
        </w:rPr>
        <w:t>日    期：XXX年XXX月XXX日</w:t>
      </w:r>
    </w:p>
    <w:p>
      <w:pPr>
        <w:ind w:firstLine="480"/>
      </w:pPr>
      <w:r>
        <w:rPr>
          <w:rFonts w:hint="eastAsia"/>
        </w:rPr>
        <w:br w:type="page"/>
      </w:r>
    </w:p>
    <w:p>
      <w:pPr>
        <w:pStyle w:val="4"/>
        <w:ind w:firstLine="602"/>
      </w:pPr>
      <w:r>
        <w:rPr>
          <w:rFonts w:hint="eastAsia"/>
        </w:rPr>
        <w:t>三、营业执照副本/法人登记证书副本/社会团体法人登记证书副本/民办非企业单位登记证书副本</w:t>
      </w:r>
    </w:p>
    <w:p>
      <w:pPr>
        <w:pStyle w:val="13"/>
        <w:ind w:firstLine="0" w:firstLineChars="0"/>
        <w:rPr>
          <w:b/>
          <w:bCs/>
          <w:sz w:val="28"/>
          <w:szCs w:val="28"/>
        </w:rPr>
      </w:pPr>
    </w:p>
    <w:p>
      <w:pPr>
        <w:ind w:firstLine="562"/>
        <w:rPr>
          <w:rFonts w:ascii="宋体" w:hAnsi="宋体" w:eastAsia="宋体" w:cs="宋体"/>
          <w:b/>
          <w:bCs/>
          <w:spacing w:val="-120"/>
          <w:sz w:val="28"/>
          <w:szCs w:val="28"/>
        </w:rPr>
      </w:pPr>
      <w:r>
        <w:rPr>
          <w:rFonts w:hint="eastAsia"/>
          <w:b/>
          <w:bCs/>
          <w:sz w:val="28"/>
          <w:szCs w:val="28"/>
          <w:lang w:val="en-US"/>
        </w:rPr>
        <w:t>四</w:t>
      </w:r>
      <w:r>
        <w:rPr>
          <w:rFonts w:hint="eastAsia"/>
          <w:b/>
          <w:bCs/>
          <w:sz w:val="28"/>
          <w:szCs w:val="28"/>
        </w:rPr>
        <w:t>、</w:t>
      </w:r>
      <w:r>
        <w:rPr>
          <w:b/>
          <w:bCs/>
          <w:sz w:val="28"/>
          <w:szCs w:val="28"/>
        </w:rPr>
        <w:t>具有良好的商业信誉和健全的财务会计制度</w:t>
      </w:r>
      <w:r>
        <w:rPr>
          <w:rFonts w:ascii="宋体" w:hAnsi="宋体" w:eastAsia="宋体" w:cs="宋体"/>
          <w:b/>
          <w:bCs/>
          <w:sz w:val="28"/>
          <w:szCs w:val="28"/>
        </w:rPr>
        <w:t>（</w:t>
      </w:r>
      <w:r>
        <w:rPr>
          <w:rFonts w:hint="eastAsia" w:ascii="宋体" w:hAnsi="宋体" w:eastAsia="宋体" w:cs="宋体"/>
          <w:b/>
          <w:bCs/>
          <w:sz w:val="28"/>
          <w:szCs w:val="28"/>
        </w:rPr>
        <w:t>提供承诺函、</w:t>
      </w:r>
      <w:r>
        <w:rPr>
          <w:rFonts w:ascii="宋体" w:hAnsi="宋体" w:eastAsia="宋体" w:cs="宋体"/>
          <w:b/>
          <w:bCs/>
          <w:sz w:val="28"/>
          <w:szCs w:val="28"/>
        </w:rPr>
        <w:t>格式</w:t>
      </w:r>
      <w:r>
        <w:rPr>
          <w:rFonts w:hint="eastAsia" w:ascii="宋体" w:hAnsi="宋体" w:eastAsia="宋体" w:cs="宋体"/>
          <w:b/>
          <w:bCs/>
          <w:sz w:val="28"/>
          <w:szCs w:val="28"/>
          <w:lang w:val="en-US"/>
        </w:rPr>
        <w:t>自拟</w:t>
      </w:r>
      <w:r>
        <w:rPr>
          <w:rFonts w:ascii="宋体" w:hAnsi="宋体" w:eastAsia="宋体" w:cs="宋体"/>
          <w:b/>
          <w:bCs/>
          <w:spacing w:val="-120"/>
          <w:sz w:val="28"/>
          <w:szCs w:val="28"/>
        </w:rPr>
        <w:t>）</w:t>
      </w:r>
    </w:p>
    <w:p>
      <w:pPr>
        <w:pStyle w:val="29"/>
        <w:ind w:firstLine="482"/>
      </w:pPr>
    </w:p>
    <w:p>
      <w:pPr>
        <w:ind w:firstLine="562"/>
        <w:rPr>
          <w:b/>
          <w:bCs/>
          <w:spacing w:val="-120"/>
          <w:sz w:val="28"/>
          <w:szCs w:val="28"/>
        </w:rPr>
      </w:pPr>
      <w:r>
        <w:rPr>
          <w:rFonts w:hint="eastAsia"/>
          <w:b/>
          <w:bCs/>
          <w:sz w:val="28"/>
          <w:szCs w:val="28"/>
          <w:lang w:val="en-US"/>
        </w:rPr>
        <w:t>五</w:t>
      </w:r>
      <w:r>
        <w:rPr>
          <w:rFonts w:hint="eastAsia"/>
          <w:b/>
          <w:bCs/>
          <w:sz w:val="28"/>
          <w:szCs w:val="28"/>
        </w:rPr>
        <w:t>、</w:t>
      </w:r>
      <w:r>
        <w:rPr>
          <w:b/>
          <w:bCs/>
          <w:sz w:val="28"/>
          <w:szCs w:val="28"/>
        </w:rPr>
        <w:t>具有履行合同所必需的设备和专业技术能力（</w:t>
      </w:r>
      <w:r>
        <w:rPr>
          <w:rFonts w:hint="eastAsia"/>
          <w:b/>
          <w:bCs/>
          <w:sz w:val="28"/>
          <w:szCs w:val="28"/>
        </w:rPr>
        <w:t>提供承诺函、</w:t>
      </w:r>
      <w:r>
        <w:rPr>
          <w:b/>
          <w:bCs/>
          <w:sz w:val="28"/>
          <w:szCs w:val="28"/>
        </w:rPr>
        <w:t>格式</w:t>
      </w:r>
      <w:r>
        <w:rPr>
          <w:rFonts w:hint="eastAsia"/>
          <w:b/>
          <w:bCs/>
          <w:sz w:val="28"/>
          <w:szCs w:val="28"/>
          <w:lang w:val="en-US"/>
        </w:rPr>
        <w:t>自拟</w:t>
      </w:r>
      <w:r>
        <w:rPr>
          <w:b/>
          <w:bCs/>
          <w:spacing w:val="-120"/>
          <w:sz w:val="28"/>
          <w:szCs w:val="28"/>
        </w:rPr>
        <w:t>）</w:t>
      </w:r>
    </w:p>
    <w:p>
      <w:pPr>
        <w:pStyle w:val="29"/>
        <w:ind w:firstLine="482"/>
      </w:pPr>
    </w:p>
    <w:p>
      <w:pPr>
        <w:pStyle w:val="13"/>
        <w:ind w:firstLine="562"/>
        <w:rPr>
          <w:b/>
          <w:bCs/>
          <w:sz w:val="28"/>
          <w:szCs w:val="28"/>
          <w:lang w:val="en-US"/>
        </w:rPr>
      </w:pPr>
      <w:r>
        <w:rPr>
          <w:rFonts w:hint="eastAsia"/>
          <w:b/>
          <w:bCs/>
          <w:sz w:val="28"/>
          <w:szCs w:val="28"/>
          <w:lang w:val="en-US"/>
        </w:rPr>
        <w:t>六、具有依法缴纳税收和社会保障资金的良好记录（提供承诺函、格式自拟）。</w:t>
      </w:r>
    </w:p>
    <w:p>
      <w:pPr>
        <w:pStyle w:val="13"/>
        <w:ind w:firstLine="480"/>
      </w:pPr>
    </w:p>
    <w:p>
      <w:pPr>
        <w:spacing w:before="120" w:after="120"/>
        <w:ind w:firstLine="0" w:firstLineChars="0"/>
      </w:pPr>
    </w:p>
    <w:p>
      <w:pPr>
        <w:pStyle w:val="13"/>
        <w:ind w:firstLine="480"/>
      </w:pPr>
    </w:p>
    <w:p>
      <w:pPr>
        <w:ind w:firstLine="480"/>
      </w:pPr>
    </w:p>
    <w:p>
      <w:pPr>
        <w:pStyle w:val="13"/>
        <w:ind w:firstLine="480"/>
      </w:pPr>
    </w:p>
    <w:p>
      <w:pPr>
        <w:pStyle w:val="13"/>
        <w:ind w:firstLine="0" w:firstLineChars="0"/>
      </w:pPr>
    </w:p>
    <w:p>
      <w:pPr>
        <w:pStyle w:val="13"/>
        <w:ind w:firstLine="480"/>
      </w:pPr>
    </w:p>
    <w:p>
      <w:pPr>
        <w:rPr>
          <w:rFonts w:hint="eastAsia"/>
        </w:rPr>
      </w:pPr>
      <w:r>
        <w:rPr>
          <w:rFonts w:hint="eastAsia"/>
        </w:rPr>
        <w:br w:type="page"/>
      </w:r>
    </w:p>
    <w:p>
      <w:pPr>
        <w:pStyle w:val="4"/>
        <w:ind w:firstLine="0" w:firstLineChars="0"/>
      </w:pPr>
      <w:r>
        <w:rPr>
          <w:rFonts w:hint="eastAsia"/>
        </w:rPr>
        <w:t>七、投标人（供应商）廉洁承诺书</w:t>
      </w:r>
    </w:p>
    <w:p>
      <w:pPr>
        <w:ind w:firstLine="640"/>
        <w:rPr>
          <w:rFonts w:ascii="仿宋_GB2312" w:eastAsia="仿宋_GB2312"/>
          <w:sz w:val="32"/>
          <w:szCs w:val="32"/>
        </w:rPr>
      </w:pPr>
    </w:p>
    <w:p>
      <w:pPr>
        <w:ind w:firstLine="480"/>
      </w:pPr>
      <w:r>
        <w:rPr>
          <w:rFonts w:hint="eastAsia"/>
        </w:rPr>
        <w:t>本企业参与</w:t>
      </w:r>
      <w:r>
        <w:rPr>
          <w:rFonts w:hint="eastAsia"/>
          <w:u w:val="single"/>
        </w:rPr>
        <w:t xml:space="preserve">                          </w:t>
      </w:r>
      <w:r>
        <w:rPr>
          <w:rFonts w:hint="eastAsia"/>
        </w:rPr>
        <w:t>项目的投标（采购），现郑重承诺：</w:t>
      </w:r>
    </w:p>
    <w:p>
      <w:pPr>
        <w:ind w:firstLine="480"/>
      </w:pPr>
      <w:r>
        <w:rPr>
          <w:rFonts w:hint="eastAsia"/>
        </w:rPr>
        <w:t>一、不以任何方式向项目招标人员、中介人员、审批人员、监管人员、行业主管人员以及评标（评审）专家等行贿。</w:t>
      </w:r>
    </w:p>
    <w:p>
      <w:pPr>
        <w:ind w:firstLine="480"/>
      </w:pPr>
      <w:r>
        <w:rPr>
          <w:rFonts w:hint="eastAsia"/>
        </w:rPr>
        <w:t>二、不以任何方式托人打招呼、求关照，搞利益结盟，腐蚀党和国家机关工作人员。</w:t>
      </w:r>
    </w:p>
    <w:p>
      <w:pPr>
        <w:ind w:firstLine="480"/>
      </w:pPr>
      <w:r>
        <w:rPr>
          <w:rFonts w:hint="eastAsia"/>
        </w:rPr>
        <w:t>以上承诺如有违反，请严肃处理，欢迎监督举报！</w:t>
      </w:r>
    </w:p>
    <w:p>
      <w:pPr>
        <w:ind w:firstLine="480"/>
      </w:pPr>
    </w:p>
    <w:p>
      <w:pPr>
        <w:ind w:firstLine="480"/>
      </w:pPr>
    </w:p>
    <w:p>
      <w:pPr>
        <w:ind w:firstLine="2400" w:firstLineChars="1000"/>
      </w:pPr>
    </w:p>
    <w:p>
      <w:pPr>
        <w:ind w:firstLine="480"/>
      </w:pPr>
      <w:r>
        <w:rPr>
          <w:rFonts w:hint="eastAsia"/>
        </w:rPr>
        <w:t>投标人（盖章）：</w:t>
      </w:r>
    </w:p>
    <w:p>
      <w:pPr>
        <w:ind w:firstLine="480"/>
      </w:pPr>
    </w:p>
    <w:p>
      <w:pPr>
        <w:ind w:firstLine="480"/>
      </w:pPr>
      <w:r>
        <w:rPr>
          <w:rFonts w:hint="eastAsia"/>
        </w:rPr>
        <w:t>法定代表人或授权委托人（签字）：</w:t>
      </w:r>
    </w:p>
    <w:p>
      <w:pPr>
        <w:ind w:firstLine="480"/>
      </w:pPr>
    </w:p>
    <w:p>
      <w:pPr>
        <w:ind w:firstLine="480"/>
      </w:pPr>
      <w:r>
        <w:rPr>
          <w:rFonts w:hint="eastAsia"/>
        </w:rPr>
        <w:t>年   月  日</w:t>
      </w:r>
    </w:p>
    <w:p>
      <w:pPr>
        <w:pStyle w:val="13"/>
        <w:ind w:firstLine="480"/>
        <w:rPr>
          <w:lang w:val="en-US"/>
        </w:rPr>
      </w:pPr>
    </w:p>
    <w:p>
      <w:pPr>
        <w:ind w:firstLine="480"/>
      </w:pPr>
    </w:p>
    <w:p>
      <w:pPr>
        <w:ind w:firstLine="480"/>
      </w:pPr>
      <w:r>
        <w:rPr>
          <w:rFonts w:hint="eastAsia"/>
        </w:rPr>
        <w:br w:type="page"/>
      </w:r>
    </w:p>
    <w:p>
      <w:pPr>
        <w:pStyle w:val="4"/>
        <w:ind w:firstLine="0" w:firstLineChars="0"/>
      </w:pPr>
      <w:r>
        <w:rPr>
          <w:rFonts w:hint="eastAsia"/>
        </w:rPr>
        <w:t>八、投标人、法定代表人/主要负责人在参加本次采购活动前三年内不得具有行贿犯罪记录的承诺函（格式）（法定代表人和主要负责人可为同一人）</w:t>
      </w:r>
    </w:p>
    <w:p>
      <w:pPr>
        <w:widowControl/>
        <w:spacing w:line="360" w:lineRule="atLeast"/>
        <w:ind w:firstLine="480"/>
        <w:outlineLvl w:val="1"/>
      </w:pPr>
    </w:p>
    <w:p>
      <w:pPr>
        <w:ind w:left="0" w:leftChars="0" w:firstLine="0" w:firstLineChars="0"/>
      </w:pPr>
      <w:r>
        <w:rPr>
          <w:rFonts w:hint="eastAsia"/>
          <w:u w:val="single"/>
          <w:lang w:val="en-US"/>
        </w:rPr>
        <w:t>四川正焜项目管理有限公司</w:t>
      </w:r>
      <w:r>
        <w:rPr>
          <w:rFonts w:hint="eastAsia"/>
        </w:rPr>
        <w:t>：</w:t>
      </w:r>
    </w:p>
    <w:p>
      <w:pPr>
        <w:ind w:firstLine="480"/>
      </w:pPr>
      <w:r>
        <w:rPr>
          <w:rFonts w:hint="eastAsia"/>
        </w:rPr>
        <w:t>我公司作为本次采购项目的投标人，根据招标文件要求，现郑重承诺如下：</w:t>
      </w:r>
    </w:p>
    <w:p>
      <w:pPr>
        <w:ind w:firstLine="480"/>
      </w:pPr>
      <w:r>
        <w:rPr>
          <w:rFonts w:hint="eastAsia"/>
          <w:u w:val="single"/>
        </w:rPr>
        <w:t xml:space="preserve">            </w:t>
      </w:r>
      <w:r>
        <w:rPr>
          <w:rFonts w:hint="eastAsia"/>
        </w:rPr>
        <w:t xml:space="preserve"> (投标人名称)、法定代表人 </w:t>
      </w:r>
      <w:r>
        <w:rPr>
          <w:rFonts w:hint="eastAsia"/>
          <w:u w:val="single"/>
        </w:rPr>
        <w:t xml:space="preserve">      </w:t>
      </w:r>
      <w:r>
        <w:rPr>
          <w:rFonts w:hint="eastAsia"/>
        </w:rPr>
        <w:t>(法定代表人或负责人姓名)、主要负责人</w:t>
      </w:r>
      <w:r>
        <w:rPr>
          <w:rFonts w:hint="eastAsia"/>
          <w:u w:val="single"/>
        </w:rPr>
        <w:t xml:space="preserve">         </w:t>
      </w:r>
      <w:r>
        <w:rPr>
          <w:rFonts w:hint="eastAsia"/>
        </w:rPr>
        <w:t>(姓名)在参加本次采购活动前三年内没有行贿犯罪记录，并承诺对此内容的真实性负责，如有虚假愿意承担相应后果。</w:t>
      </w:r>
    </w:p>
    <w:p>
      <w:pPr>
        <w:ind w:firstLine="480"/>
      </w:pPr>
    </w:p>
    <w:p>
      <w:pPr>
        <w:ind w:firstLine="480"/>
      </w:pPr>
      <w:r>
        <w:rPr>
          <w:rFonts w:hint="eastAsia"/>
        </w:rPr>
        <w:t>投标人名称：        （盖章）</w:t>
      </w:r>
    </w:p>
    <w:p>
      <w:pPr>
        <w:ind w:firstLine="480"/>
      </w:pPr>
    </w:p>
    <w:p>
      <w:pPr>
        <w:ind w:firstLine="480"/>
      </w:pPr>
      <w:r>
        <w:rPr>
          <w:rFonts w:hint="eastAsia"/>
        </w:rPr>
        <w:t>法定代表人或授权代表（签字）：</w:t>
      </w:r>
    </w:p>
    <w:p>
      <w:pPr>
        <w:ind w:firstLine="480"/>
      </w:pPr>
    </w:p>
    <w:p>
      <w:pPr>
        <w:ind w:firstLine="480"/>
      </w:pPr>
      <w:r>
        <w:rPr>
          <w:rFonts w:hint="eastAsia"/>
        </w:rPr>
        <w:t>投标日期：</w:t>
      </w:r>
    </w:p>
    <w:p>
      <w:pPr>
        <w:spacing w:line="240" w:lineRule="auto"/>
        <w:ind w:firstLine="0" w:firstLineChars="0"/>
      </w:pPr>
    </w:p>
    <w:p>
      <w:pPr>
        <w:pStyle w:val="13"/>
        <w:ind w:firstLine="480"/>
      </w:pPr>
    </w:p>
    <w:p>
      <w:pPr>
        <w:pStyle w:val="14"/>
        <w:ind w:firstLine="643"/>
      </w:pPr>
    </w:p>
    <w:p>
      <w:pPr>
        <w:pStyle w:val="14"/>
        <w:ind w:firstLine="643"/>
      </w:pPr>
    </w:p>
    <w:p>
      <w:pPr>
        <w:pStyle w:val="14"/>
        <w:ind w:firstLine="643"/>
      </w:pPr>
    </w:p>
    <w:p>
      <w:pPr>
        <w:pStyle w:val="4"/>
        <w:ind w:firstLine="0" w:firstLineChars="0"/>
      </w:pPr>
      <w:r>
        <w:rPr>
          <w:rFonts w:hint="eastAsia"/>
          <w:lang w:val="en-US" w:eastAsia="zh-CN"/>
        </w:rPr>
        <w:t>九</w:t>
      </w:r>
      <w:r>
        <w:rPr>
          <w:rFonts w:hint="eastAsia"/>
        </w:rPr>
        <w:t>、供应商认为应提供的其他资料</w:t>
      </w:r>
    </w:p>
    <w:p>
      <w:pPr>
        <w:ind w:firstLine="480"/>
      </w:pPr>
    </w:p>
    <w:p>
      <w:pPr>
        <w:pStyle w:val="13"/>
        <w:ind w:firstLine="480"/>
      </w:pPr>
    </w:p>
    <w:p>
      <w:pPr>
        <w:pStyle w:val="13"/>
        <w:ind w:firstLine="480"/>
      </w:pPr>
    </w:p>
    <w:p>
      <w:pPr>
        <w:pStyle w:val="13"/>
        <w:ind w:firstLine="480"/>
      </w:pPr>
    </w:p>
    <w:p>
      <w:pPr>
        <w:pStyle w:val="13"/>
        <w:ind w:firstLine="480"/>
      </w:pPr>
    </w:p>
    <w:p>
      <w:pPr>
        <w:ind w:firstLine="480"/>
      </w:pPr>
    </w:p>
    <w:p>
      <w:pPr>
        <w:ind w:firstLine="482"/>
        <w:rPr>
          <w:b/>
          <w:bCs/>
        </w:rPr>
      </w:pPr>
      <w:r>
        <w:rPr>
          <w:rFonts w:hint="eastAsia"/>
          <w:b/>
          <w:bCs/>
        </w:rPr>
        <w:br w:type="page"/>
      </w:r>
    </w:p>
    <w:p>
      <w:pPr>
        <w:ind w:firstLine="482"/>
        <w:jc w:val="center"/>
        <w:rPr>
          <w:b/>
          <w:sz w:val="36"/>
          <w:szCs w:val="36"/>
        </w:rPr>
      </w:pPr>
      <w:r>
        <w:rPr>
          <w:rFonts w:hint="eastAsia"/>
          <w:b/>
          <w:bCs/>
        </w:rPr>
        <w:t>（其他响应文件封面、封皮）</w:t>
      </w:r>
    </w:p>
    <w:p>
      <w:pPr>
        <w:ind w:firstLine="723"/>
        <w:jc w:val="right"/>
        <w:rPr>
          <w:b/>
          <w:sz w:val="36"/>
          <w:szCs w:val="36"/>
        </w:rPr>
      </w:pPr>
    </w:p>
    <w:p>
      <w:pPr>
        <w:ind w:firstLine="723"/>
        <w:jc w:val="right"/>
        <w:rPr>
          <w:b/>
          <w:sz w:val="36"/>
          <w:szCs w:val="36"/>
          <w:bdr w:val="single" w:color="auto" w:sz="4" w:space="0"/>
        </w:rPr>
      </w:pPr>
      <w:r>
        <w:rPr>
          <w:rFonts w:hint="eastAsia"/>
          <w:b/>
          <w:sz w:val="36"/>
          <w:szCs w:val="36"/>
        </w:rPr>
        <w:t xml:space="preserve">              </w:t>
      </w:r>
      <w:r>
        <w:rPr>
          <w:rFonts w:hint="eastAsia"/>
          <w:b/>
          <w:sz w:val="36"/>
          <w:szCs w:val="36"/>
          <w:bdr w:val="single" w:color="auto" w:sz="4" w:space="0"/>
        </w:rPr>
        <w:t xml:space="preserve">     本</w:t>
      </w:r>
    </w:p>
    <w:p>
      <w:pPr>
        <w:ind w:firstLine="723"/>
        <w:jc w:val="center"/>
        <w:rPr>
          <w:b/>
          <w:sz w:val="36"/>
          <w:szCs w:val="36"/>
        </w:rPr>
      </w:pPr>
    </w:p>
    <w:p>
      <w:pPr>
        <w:ind w:firstLine="0" w:firstLineChars="0"/>
        <w:jc w:val="center"/>
        <w:rPr>
          <w:b/>
          <w:sz w:val="48"/>
          <w:szCs w:val="48"/>
        </w:rPr>
      </w:pPr>
      <w:r>
        <w:rPr>
          <w:rFonts w:hint="eastAsia"/>
          <w:b/>
          <w:sz w:val="48"/>
          <w:szCs w:val="48"/>
        </w:rPr>
        <w:t>其 他 响 应 文 件</w:t>
      </w:r>
    </w:p>
    <w:p>
      <w:pPr>
        <w:ind w:firstLine="723"/>
        <w:jc w:val="center"/>
        <w:rPr>
          <w:b/>
          <w:sz w:val="36"/>
          <w:szCs w:val="36"/>
        </w:rPr>
      </w:pPr>
    </w:p>
    <w:p>
      <w:pPr>
        <w:ind w:firstLine="723"/>
        <w:rPr>
          <w:b/>
          <w:sz w:val="36"/>
          <w:szCs w:val="36"/>
        </w:rPr>
      </w:pPr>
    </w:p>
    <w:p>
      <w:pPr>
        <w:ind w:firstLine="643"/>
        <w:rPr>
          <w:b/>
          <w:sz w:val="32"/>
          <w:szCs w:val="32"/>
        </w:rPr>
      </w:pPr>
    </w:p>
    <w:p>
      <w:pPr>
        <w:ind w:firstLine="643"/>
        <w:rPr>
          <w:b/>
          <w:sz w:val="32"/>
          <w:szCs w:val="32"/>
        </w:rPr>
      </w:pPr>
      <w:r>
        <w:rPr>
          <w:rFonts w:hint="eastAsia"/>
          <w:b/>
          <w:sz w:val="32"/>
          <w:szCs w:val="32"/>
        </w:rPr>
        <w:t>采购项目名称:</w:t>
      </w:r>
    </w:p>
    <w:p>
      <w:pPr>
        <w:ind w:firstLine="723"/>
        <w:jc w:val="center"/>
        <w:rPr>
          <w:b/>
          <w:sz w:val="36"/>
          <w:szCs w:val="36"/>
        </w:rPr>
      </w:pPr>
    </w:p>
    <w:p>
      <w:pPr>
        <w:ind w:firstLine="643"/>
        <w:rPr>
          <w:b/>
          <w:sz w:val="32"/>
          <w:szCs w:val="32"/>
        </w:rPr>
      </w:pPr>
      <w:r>
        <w:rPr>
          <w:rFonts w:hint="eastAsia"/>
          <w:b/>
          <w:sz w:val="32"/>
          <w:szCs w:val="32"/>
        </w:rPr>
        <w:t>采购文件编号:</w:t>
      </w:r>
    </w:p>
    <w:p>
      <w:pPr>
        <w:ind w:firstLine="643"/>
        <w:rPr>
          <w:b/>
          <w:sz w:val="32"/>
          <w:szCs w:val="32"/>
          <w:u w:val="single"/>
        </w:rPr>
      </w:pPr>
    </w:p>
    <w:p>
      <w:pPr>
        <w:ind w:firstLine="643"/>
        <w:rPr>
          <w:b/>
          <w:sz w:val="32"/>
          <w:szCs w:val="32"/>
          <w:u w:val="single"/>
        </w:rPr>
      </w:pPr>
      <w:r>
        <w:rPr>
          <w:rFonts w:hint="eastAsia"/>
          <w:b/>
          <w:sz w:val="32"/>
          <w:szCs w:val="32"/>
        </w:rPr>
        <w:t>投标单位（盖章）：</w:t>
      </w:r>
    </w:p>
    <w:p>
      <w:pPr>
        <w:ind w:firstLine="643"/>
        <w:rPr>
          <w:b/>
          <w:sz w:val="32"/>
          <w:szCs w:val="32"/>
          <w:u w:val="single"/>
        </w:rPr>
      </w:pPr>
    </w:p>
    <w:p>
      <w:pPr>
        <w:ind w:firstLine="643"/>
        <w:rPr>
          <w:b/>
          <w:sz w:val="32"/>
          <w:szCs w:val="32"/>
          <w:u w:val="single"/>
        </w:rPr>
      </w:pPr>
      <w:r>
        <w:rPr>
          <w:rFonts w:hint="eastAsia"/>
          <w:b/>
          <w:sz w:val="32"/>
          <w:szCs w:val="32"/>
        </w:rPr>
        <w:t>法定代表人或其代理人（签字）：</w:t>
      </w:r>
    </w:p>
    <w:p>
      <w:pPr>
        <w:ind w:firstLine="643"/>
        <w:rPr>
          <w:b/>
          <w:sz w:val="32"/>
          <w:szCs w:val="32"/>
          <w:u w:val="single"/>
        </w:rPr>
      </w:pPr>
    </w:p>
    <w:p>
      <w:pPr>
        <w:ind w:firstLine="643"/>
        <w:rPr>
          <w:b/>
          <w:sz w:val="32"/>
          <w:szCs w:val="32"/>
        </w:rPr>
      </w:pPr>
      <w:r>
        <w:rPr>
          <w:rFonts w:hint="eastAsia"/>
          <w:b/>
          <w:sz w:val="32"/>
          <w:szCs w:val="32"/>
        </w:rPr>
        <w:t>投标日期：20    年     月     日</w:t>
      </w:r>
    </w:p>
    <w:p>
      <w:pPr>
        <w:ind w:firstLine="643"/>
        <w:rPr>
          <w:b/>
          <w:sz w:val="32"/>
          <w:szCs w:val="32"/>
        </w:rPr>
      </w:pPr>
    </w:p>
    <w:p>
      <w:pPr>
        <w:ind w:firstLine="480"/>
      </w:pPr>
      <w:r>
        <w:rPr>
          <w:rFonts w:hint="eastAsia"/>
        </w:rPr>
        <w:br w:type="page"/>
      </w:r>
    </w:p>
    <w:p>
      <w:pPr>
        <w:pStyle w:val="4"/>
        <w:ind w:firstLine="0" w:firstLineChars="0"/>
      </w:pPr>
      <w:r>
        <w:rPr>
          <w:rFonts w:hint="eastAsia"/>
        </w:rPr>
        <w:t>一、</w:t>
      </w:r>
      <w:r>
        <w:rPr>
          <w:rFonts w:hint="eastAsia"/>
          <w:lang w:val="en-US"/>
        </w:rPr>
        <w:t>磋商</w:t>
      </w:r>
      <w:r>
        <w:rPr>
          <w:rFonts w:hint="eastAsia"/>
        </w:rPr>
        <w:t>函</w:t>
      </w:r>
    </w:p>
    <w:p>
      <w:pPr>
        <w:ind w:firstLine="480"/>
      </w:pPr>
    </w:p>
    <w:p>
      <w:pPr>
        <w:ind w:firstLine="480"/>
      </w:pPr>
      <w:r>
        <w:rPr>
          <w:rFonts w:hint="eastAsia"/>
          <w:lang w:val="en-US"/>
        </w:rPr>
        <w:t>四川正焜项目管理有限公司</w:t>
      </w:r>
      <w:r>
        <w:rPr>
          <w:rFonts w:hint="eastAsia"/>
        </w:rPr>
        <w:t>：</w:t>
      </w:r>
    </w:p>
    <w:p>
      <w:pPr>
        <w:ind w:firstLine="480"/>
      </w:pPr>
      <w:r>
        <w:rPr>
          <w:rFonts w:hint="eastAsia"/>
        </w:rPr>
        <w:t>1.我方全面研究了“XXXXXX”项目磋商文件（项目编号：XXXX），决定参加贵单位组织的本项目磋商采购。</w:t>
      </w:r>
    </w:p>
    <w:p>
      <w:pPr>
        <w:ind w:firstLine="480"/>
      </w:pPr>
      <w:r>
        <w:rPr>
          <w:rFonts w:hint="eastAsia"/>
        </w:rPr>
        <w:t>2.我方自愿按照磋商文件规定的各项要求向采购人提供所需</w:t>
      </w:r>
      <w:r>
        <w:rPr>
          <w:rFonts w:hint="eastAsia"/>
          <w:lang w:val="en-US" w:eastAsia="zh-CN"/>
        </w:rPr>
        <w:t>服务</w:t>
      </w:r>
      <w:r>
        <w:rPr>
          <w:rFonts w:hint="eastAsia"/>
        </w:rPr>
        <w:t>。</w:t>
      </w:r>
    </w:p>
    <w:p>
      <w:pPr>
        <w:ind w:firstLine="480"/>
      </w:pPr>
      <w:r>
        <w:rPr>
          <w:rFonts w:hint="eastAsia"/>
        </w:rPr>
        <w:t>3.一旦我方成交，我方将严格履行采购合同规定的责任和义务。</w:t>
      </w:r>
    </w:p>
    <w:p>
      <w:pPr>
        <w:ind w:firstLine="480"/>
        <w:rPr>
          <w:highlight w:val="none"/>
        </w:rPr>
      </w:pPr>
      <w:r>
        <w:rPr>
          <w:rFonts w:hint="eastAsia"/>
          <w:highlight w:val="none"/>
        </w:rPr>
        <w:t>4.我方同意本磋商文件</w:t>
      </w:r>
      <w:r>
        <w:rPr>
          <w:rFonts w:hint="eastAsia"/>
          <w:highlight w:val="none"/>
          <w:lang w:val="en-US" w:eastAsia="zh-CN"/>
        </w:rPr>
        <w:t>参照</w:t>
      </w:r>
      <w:r>
        <w:rPr>
          <w:rFonts w:hint="eastAsia"/>
          <w:highlight w:val="none"/>
        </w:rPr>
        <w:t>《四川省政府采购当事人诚信管理办法》（川财采〔2015〕33号文件）对我方可能存在的失信行为进行惩戒。</w:t>
      </w:r>
    </w:p>
    <w:p>
      <w:pPr>
        <w:ind w:firstLine="480"/>
      </w:pPr>
      <w:r>
        <w:rPr>
          <w:rFonts w:hint="eastAsia"/>
        </w:rPr>
        <w:t>5.我方为本项目提交的响应文件正本1份，副本</w:t>
      </w:r>
      <w:r>
        <w:rPr>
          <w:rFonts w:hint="eastAsia"/>
          <w:lang w:val="en-US"/>
        </w:rPr>
        <w:t>2</w:t>
      </w:r>
      <w:r>
        <w:rPr>
          <w:rFonts w:hint="eastAsia"/>
        </w:rPr>
        <w:t>份，用于磋商报价。</w:t>
      </w:r>
    </w:p>
    <w:p>
      <w:pPr>
        <w:ind w:firstLine="480"/>
      </w:pPr>
      <w:r>
        <w:rPr>
          <w:rFonts w:hint="eastAsia"/>
        </w:rPr>
        <w:t>6.我方愿意提供贵单位可能另外要求的，与磋商报价有关的文件资料，并保证我方已提供和将要提供的文件资料是真实、准确的。</w:t>
      </w:r>
    </w:p>
    <w:p>
      <w:pPr>
        <w:ind w:firstLine="480"/>
      </w:pPr>
      <w:r>
        <w:rPr>
          <w:rFonts w:hint="eastAsia"/>
        </w:rPr>
        <w:t>7.本次磋商，我方递交的响应文件有效期为磋商文件规定起算之日起180天。</w:t>
      </w:r>
    </w:p>
    <w:p>
      <w:pPr>
        <w:adjustRightInd w:val="0"/>
        <w:spacing w:line="400" w:lineRule="exact"/>
        <w:ind w:firstLine="480"/>
      </w:pPr>
    </w:p>
    <w:p>
      <w:pPr>
        <w:adjustRightInd w:val="0"/>
        <w:spacing w:line="400" w:lineRule="exact"/>
        <w:ind w:firstLine="480"/>
      </w:pPr>
    </w:p>
    <w:p>
      <w:pPr>
        <w:adjustRightInd w:val="0"/>
        <w:spacing w:line="400" w:lineRule="exact"/>
        <w:ind w:firstLine="480"/>
      </w:pPr>
      <w:r>
        <w:rPr>
          <w:rFonts w:hint="eastAsia"/>
        </w:rPr>
        <w:t>供应商名称：XXX（盖单位公章）</w:t>
      </w:r>
    </w:p>
    <w:p>
      <w:pPr>
        <w:spacing w:line="400" w:lineRule="exact"/>
        <w:ind w:firstLine="470" w:firstLineChars="196"/>
      </w:pPr>
      <w:r>
        <w:rPr>
          <w:rFonts w:hint="eastAsia"/>
        </w:rPr>
        <w:t>法定代表人或授权代表（签字或盖章）：XXX</w:t>
      </w:r>
    </w:p>
    <w:p>
      <w:pPr>
        <w:spacing w:line="400" w:lineRule="exact"/>
        <w:ind w:firstLine="470" w:firstLineChars="196"/>
      </w:pPr>
      <w:r>
        <w:rPr>
          <w:rFonts w:hint="eastAsia"/>
        </w:rPr>
        <w:t>通讯地址：XXX</w:t>
      </w:r>
    </w:p>
    <w:p>
      <w:pPr>
        <w:spacing w:line="400" w:lineRule="exact"/>
        <w:ind w:firstLine="470" w:firstLineChars="196"/>
      </w:pPr>
      <w:r>
        <w:rPr>
          <w:rFonts w:hint="eastAsia"/>
        </w:rPr>
        <w:t>邮政编码：XXX</w:t>
      </w:r>
    </w:p>
    <w:p>
      <w:pPr>
        <w:spacing w:line="400" w:lineRule="exact"/>
        <w:ind w:firstLine="470" w:firstLineChars="196"/>
      </w:pPr>
      <w:r>
        <w:rPr>
          <w:rFonts w:hint="eastAsia"/>
        </w:rPr>
        <w:t>联系电话：XXX</w:t>
      </w:r>
    </w:p>
    <w:p>
      <w:pPr>
        <w:spacing w:line="400" w:lineRule="exact"/>
        <w:ind w:firstLine="470" w:firstLineChars="196"/>
      </w:pPr>
      <w:r>
        <w:rPr>
          <w:rFonts w:hint="eastAsia"/>
        </w:rPr>
        <w:t>传    真：XXX</w:t>
      </w:r>
    </w:p>
    <w:p>
      <w:pPr>
        <w:spacing w:line="400" w:lineRule="exact"/>
        <w:ind w:firstLine="470" w:firstLineChars="196"/>
      </w:pPr>
      <w:r>
        <w:rPr>
          <w:rFonts w:hint="eastAsia"/>
        </w:rPr>
        <w:t>日    期：XXX年XXX月XXX日</w:t>
      </w:r>
    </w:p>
    <w:p>
      <w:pPr>
        <w:ind w:firstLine="480"/>
      </w:pPr>
      <w:r>
        <w:rPr>
          <w:rFonts w:hint="eastAsia"/>
        </w:rPr>
        <w:br w:type="page"/>
      </w:r>
    </w:p>
    <w:p>
      <w:pPr>
        <w:pStyle w:val="4"/>
        <w:ind w:firstLine="0" w:firstLineChars="0"/>
        <w:rPr>
          <w:rFonts w:hint="eastAsia" w:eastAsia="宋体"/>
          <w:lang w:val="en-US" w:eastAsia="zh-CN"/>
        </w:rPr>
      </w:pPr>
      <w:r>
        <w:rPr>
          <w:rFonts w:hint="eastAsia"/>
          <w:lang w:val="en-US"/>
        </w:rPr>
        <w:t>二、报价表</w:t>
      </w:r>
    </w:p>
    <w:tbl>
      <w:tblPr>
        <w:tblStyle w:val="24"/>
        <w:tblW w:w="0" w:type="auto"/>
        <w:tblInd w:w="93" w:type="dxa"/>
        <w:tblLayout w:type="fixed"/>
        <w:tblCellMar>
          <w:top w:w="0" w:type="dxa"/>
          <w:left w:w="108" w:type="dxa"/>
          <w:bottom w:w="0" w:type="dxa"/>
          <w:right w:w="108" w:type="dxa"/>
        </w:tblCellMar>
      </w:tblPr>
      <w:tblGrid>
        <w:gridCol w:w="819"/>
        <w:gridCol w:w="4626"/>
        <w:gridCol w:w="4118"/>
      </w:tblGrid>
      <w:tr>
        <w:tblPrEx>
          <w:tblCellMar>
            <w:top w:w="0" w:type="dxa"/>
            <w:left w:w="108" w:type="dxa"/>
            <w:bottom w:w="0" w:type="dxa"/>
            <w:right w:w="108" w:type="dxa"/>
          </w:tblCellMar>
        </w:tblPrEx>
        <w:trPr>
          <w:trHeight w:val="960" w:hRule="atLeast"/>
        </w:trPr>
        <w:tc>
          <w:tcPr>
            <w:tcW w:w="81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both"/>
              <w:rPr>
                <w:bCs/>
              </w:rPr>
            </w:pPr>
            <w:r>
              <w:rPr>
                <w:bCs/>
              </w:rPr>
              <w:t>序号</w:t>
            </w:r>
          </w:p>
        </w:tc>
        <w:tc>
          <w:tcPr>
            <w:tcW w:w="4626" w:type="dxa"/>
            <w:tcBorders>
              <w:top w:val="single" w:color="auto" w:sz="4" w:space="0"/>
              <w:left w:val="nil"/>
              <w:bottom w:val="single" w:color="auto" w:sz="4" w:space="0"/>
              <w:right w:val="single" w:color="auto" w:sz="4" w:space="0"/>
            </w:tcBorders>
            <w:vAlign w:val="center"/>
          </w:tcPr>
          <w:p>
            <w:pPr>
              <w:ind w:firstLine="0" w:firstLineChars="0"/>
              <w:jc w:val="center"/>
              <w:rPr>
                <w:bCs/>
              </w:rPr>
            </w:pPr>
            <w:r>
              <w:rPr>
                <w:rFonts w:hint="eastAsia"/>
                <w:bCs/>
                <w:lang w:val="en-US" w:eastAsia="zh-CN"/>
              </w:rPr>
              <w:t>项目</w:t>
            </w:r>
            <w:r>
              <w:rPr>
                <w:rFonts w:hint="eastAsia"/>
                <w:bCs/>
              </w:rPr>
              <w:t>名称</w:t>
            </w:r>
          </w:p>
        </w:tc>
        <w:tc>
          <w:tcPr>
            <w:tcW w:w="4118" w:type="dxa"/>
            <w:tcBorders>
              <w:top w:val="single" w:color="auto" w:sz="4" w:space="0"/>
              <w:left w:val="nil"/>
              <w:bottom w:val="single" w:color="auto" w:sz="4" w:space="0"/>
              <w:right w:val="single" w:color="auto" w:sz="4" w:space="0"/>
            </w:tcBorders>
            <w:vAlign w:val="center"/>
          </w:tcPr>
          <w:p>
            <w:pPr>
              <w:widowControl/>
              <w:ind w:firstLine="480"/>
              <w:jc w:val="center"/>
              <w:rPr>
                <w:bCs/>
              </w:rPr>
            </w:pPr>
            <w:r>
              <w:rPr>
                <w:bCs/>
              </w:rPr>
              <w:t>报价</w:t>
            </w:r>
          </w:p>
        </w:tc>
      </w:tr>
      <w:tr>
        <w:tblPrEx>
          <w:tblCellMar>
            <w:top w:w="0" w:type="dxa"/>
            <w:left w:w="108" w:type="dxa"/>
            <w:bottom w:w="0" w:type="dxa"/>
            <w:right w:w="108" w:type="dxa"/>
          </w:tblCellMar>
        </w:tblPrEx>
        <w:trPr>
          <w:trHeight w:val="1232" w:hRule="atLeast"/>
        </w:trPr>
        <w:tc>
          <w:tcPr>
            <w:tcW w:w="81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both"/>
              <w:rPr>
                <w:bCs/>
              </w:rPr>
            </w:pPr>
            <w:r>
              <w:rPr>
                <w:bCs/>
              </w:rPr>
              <w:t>1</w:t>
            </w:r>
          </w:p>
        </w:tc>
        <w:tc>
          <w:tcPr>
            <w:tcW w:w="4626" w:type="dxa"/>
            <w:tcBorders>
              <w:top w:val="single" w:color="auto" w:sz="4" w:space="0"/>
              <w:left w:val="nil"/>
              <w:bottom w:val="single" w:color="auto" w:sz="4" w:space="0"/>
              <w:right w:val="single" w:color="auto" w:sz="4" w:space="0"/>
            </w:tcBorders>
            <w:vAlign w:val="center"/>
          </w:tcPr>
          <w:p>
            <w:pPr>
              <w:ind w:firstLine="0" w:firstLineChars="0"/>
              <w:jc w:val="both"/>
              <w:rPr>
                <w:rFonts w:hint="default" w:eastAsia="宋体"/>
                <w:bCs/>
                <w:lang w:val="en-US" w:eastAsia="zh-CN"/>
              </w:rPr>
            </w:pPr>
            <w:r>
              <w:rPr>
                <w:rFonts w:hint="eastAsia"/>
                <w:bCs/>
                <w:lang w:val="en-US" w:eastAsia="zh-CN"/>
              </w:rPr>
              <w:t>德阳市旌阳区基层文化活动场所数字公共文化服务采购项目</w:t>
            </w:r>
          </w:p>
        </w:tc>
        <w:tc>
          <w:tcPr>
            <w:tcW w:w="4118" w:type="dxa"/>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eastAsia="宋体"/>
                <w:bCs/>
                <w:lang w:val="en-US" w:eastAsia="zh-CN"/>
              </w:rPr>
            </w:pPr>
          </w:p>
        </w:tc>
      </w:tr>
      <w:tr>
        <w:tblPrEx>
          <w:tblCellMar>
            <w:top w:w="0" w:type="dxa"/>
            <w:left w:w="108" w:type="dxa"/>
            <w:bottom w:w="0" w:type="dxa"/>
            <w:right w:w="108" w:type="dxa"/>
          </w:tblCellMar>
        </w:tblPrEx>
        <w:trPr>
          <w:trHeight w:val="1002" w:hRule="atLeast"/>
        </w:trPr>
        <w:tc>
          <w:tcPr>
            <w:tcW w:w="9563" w:type="dxa"/>
            <w:gridSpan w:val="3"/>
            <w:tcBorders>
              <w:top w:val="single" w:color="auto" w:sz="4" w:space="0"/>
              <w:left w:val="single" w:color="auto" w:sz="4" w:space="0"/>
              <w:bottom w:val="single" w:color="auto" w:sz="4" w:space="0"/>
              <w:right w:val="single" w:color="auto" w:sz="4" w:space="0"/>
            </w:tcBorders>
            <w:vAlign w:val="center"/>
          </w:tcPr>
          <w:p>
            <w:pPr>
              <w:widowControl/>
              <w:ind w:firstLine="0" w:firstLineChars="0"/>
              <w:rPr>
                <w:rFonts w:hint="default" w:eastAsia="宋体"/>
                <w:bCs/>
                <w:lang w:val="en-US" w:eastAsia="zh-CN"/>
              </w:rPr>
            </w:pPr>
            <w:r>
              <w:rPr>
                <w:rFonts w:hint="eastAsia"/>
                <w:bCs/>
                <w:lang w:val="en-US" w:eastAsia="zh-CN"/>
              </w:rPr>
              <w:t>报价大写：</w:t>
            </w:r>
          </w:p>
        </w:tc>
      </w:tr>
    </w:tbl>
    <w:p>
      <w:pPr>
        <w:ind w:firstLine="480"/>
      </w:pPr>
    </w:p>
    <w:p>
      <w:pPr>
        <w:ind w:firstLine="480"/>
      </w:pPr>
      <w:bookmarkStart w:id="68" w:name="_Toc19019"/>
      <w:bookmarkStart w:id="69" w:name="_Toc16660"/>
      <w:bookmarkStart w:id="70" w:name="_Toc2611"/>
      <w:bookmarkStart w:id="71" w:name="_Toc5686"/>
      <w:bookmarkStart w:id="72" w:name="_Toc19502"/>
      <w:bookmarkStart w:id="73" w:name="_Toc7303"/>
      <w:bookmarkStart w:id="74" w:name="_Toc4742"/>
    </w:p>
    <w:p>
      <w:pPr>
        <w:ind w:firstLine="480"/>
      </w:pPr>
      <w:r>
        <w:rPr>
          <w:rFonts w:hint="eastAsia"/>
        </w:rPr>
        <w:t>注：1、报价应是最终用户验收合格后的总价，包括人工、交通、保险、税费和招标文件规定的等一切费用。</w:t>
      </w:r>
      <w:bookmarkEnd w:id="68"/>
      <w:bookmarkEnd w:id="69"/>
      <w:bookmarkEnd w:id="70"/>
      <w:bookmarkEnd w:id="71"/>
      <w:bookmarkEnd w:id="72"/>
      <w:bookmarkEnd w:id="73"/>
      <w:bookmarkEnd w:id="74"/>
    </w:p>
    <w:p>
      <w:pPr>
        <w:ind w:firstLine="480"/>
      </w:pPr>
      <w:r>
        <w:rPr>
          <w:rFonts w:hint="eastAsia"/>
        </w:rPr>
        <w:t>2.“</w:t>
      </w:r>
      <w:r>
        <w:rPr>
          <w:rFonts w:hint="eastAsia"/>
          <w:lang w:val="en-US" w:eastAsia="zh-CN"/>
        </w:rPr>
        <w:t>报价表</w:t>
      </w:r>
      <w:r>
        <w:rPr>
          <w:rFonts w:hint="eastAsia"/>
        </w:rPr>
        <w:t>”为多页的，每页均须由法定代表人或授权代表签字并盖投标人印章。</w:t>
      </w:r>
    </w:p>
    <w:p>
      <w:pPr>
        <w:ind w:firstLine="480"/>
      </w:pPr>
    </w:p>
    <w:p>
      <w:pPr>
        <w:ind w:firstLine="480"/>
      </w:pPr>
      <w:r>
        <w:rPr>
          <w:rFonts w:hint="eastAsia"/>
        </w:rPr>
        <w:t>供应商名称：XXX（盖单位公章）</w:t>
      </w:r>
    </w:p>
    <w:p>
      <w:pPr>
        <w:ind w:firstLine="480"/>
      </w:pPr>
      <w:r>
        <w:rPr>
          <w:rFonts w:hint="eastAsia"/>
        </w:rPr>
        <w:t>法定代表人或授权代表（签字或盖章）：XXX</w:t>
      </w:r>
    </w:p>
    <w:p>
      <w:pPr>
        <w:ind w:firstLine="480"/>
      </w:pPr>
      <w:r>
        <w:rPr>
          <w:rFonts w:hint="eastAsia"/>
        </w:rPr>
        <w:t>日  期：XXX年XXX月XXX日</w:t>
      </w:r>
    </w:p>
    <w:p>
      <w:pPr>
        <w:pStyle w:val="4"/>
        <w:ind w:firstLine="0" w:firstLineChars="0"/>
      </w:pPr>
    </w:p>
    <w:p>
      <w:pPr>
        <w:pStyle w:val="4"/>
        <w:ind w:firstLine="0" w:firstLineChars="0"/>
        <w:rPr>
          <w:lang w:val="en-US"/>
        </w:rPr>
      </w:pPr>
    </w:p>
    <w:p>
      <w:pPr>
        <w:pStyle w:val="4"/>
        <w:ind w:firstLine="0" w:firstLineChars="0"/>
        <w:rPr>
          <w:lang w:val="en-US"/>
        </w:rPr>
      </w:pPr>
    </w:p>
    <w:p>
      <w:pPr>
        <w:pStyle w:val="4"/>
        <w:ind w:firstLine="0" w:firstLineChars="0"/>
        <w:rPr>
          <w:lang w:val="en-US"/>
        </w:rPr>
      </w:pPr>
    </w:p>
    <w:p>
      <w:pPr>
        <w:pStyle w:val="4"/>
        <w:ind w:firstLine="0" w:firstLineChars="0"/>
        <w:rPr>
          <w:lang w:val="en-US"/>
        </w:rPr>
      </w:pPr>
    </w:p>
    <w:p>
      <w:pPr>
        <w:pStyle w:val="4"/>
        <w:ind w:firstLine="0" w:firstLineChars="0"/>
        <w:rPr>
          <w:lang w:val="en-US"/>
        </w:rPr>
      </w:pPr>
    </w:p>
    <w:p>
      <w:pPr>
        <w:ind w:firstLine="480"/>
        <w:rPr>
          <w:lang w:val="en-US"/>
        </w:rPr>
      </w:pPr>
    </w:p>
    <w:p>
      <w:pPr>
        <w:pStyle w:val="28"/>
        <w:rPr>
          <w:lang w:val="en-US"/>
        </w:rPr>
      </w:pPr>
    </w:p>
    <w:p>
      <w:pPr>
        <w:pStyle w:val="28"/>
        <w:rPr>
          <w:lang w:val="en-US"/>
        </w:rPr>
      </w:pPr>
    </w:p>
    <w:p>
      <w:pPr>
        <w:ind w:left="0" w:leftChars="0" w:firstLine="0" w:firstLineChars="0"/>
        <w:rPr>
          <w:lang w:val="en-US"/>
        </w:rPr>
      </w:pPr>
    </w:p>
    <w:p>
      <w:pPr>
        <w:pStyle w:val="13"/>
        <w:rPr>
          <w:lang w:val="en-US"/>
        </w:rPr>
      </w:pPr>
    </w:p>
    <w:p>
      <w:pPr>
        <w:pStyle w:val="4"/>
        <w:ind w:firstLine="0" w:firstLineChars="0"/>
      </w:pPr>
      <w:r>
        <w:rPr>
          <w:rFonts w:hint="eastAsia"/>
          <w:lang w:val="en-US"/>
        </w:rPr>
        <w:t>三</w:t>
      </w:r>
      <w:r>
        <w:rPr>
          <w:rFonts w:hint="eastAsia"/>
        </w:rPr>
        <w:t>、供应商基本情况表</w:t>
      </w:r>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8"/>
        <w:gridCol w:w="1179"/>
        <w:gridCol w:w="197"/>
        <w:gridCol w:w="1376"/>
        <w:gridCol w:w="1376"/>
        <w:gridCol w:w="457"/>
        <w:gridCol w:w="527"/>
        <w:gridCol w:w="391"/>
        <w:gridCol w:w="914"/>
        <w:gridCol w:w="70"/>
        <w:gridCol w:w="391"/>
        <w:gridCol w:w="13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82" w:type="pct"/>
            <w:vAlign w:val="center"/>
          </w:tcPr>
          <w:p>
            <w:pPr>
              <w:spacing w:line="240" w:lineRule="auto"/>
              <w:ind w:firstLine="0" w:firstLineChars="0"/>
              <w:jc w:val="both"/>
              <w:rPr>
                <w:bCs/>
              </w:rPr>
            </w:pPr>
            <w:r>
              <w:rPr>
                <w:rFonts w:hint="eastAsia"/>
                <w:bCs/>
              </w:rPr>
              <w:t>供应商名称</w:t>
            </w:r>
          </w:p>
        </w:tc>
        <w:tc>
          <w:tcPr>
            <w:tcW w:w="4117" w:type="pct"/>
            <w:gridSpan w:val="11"/>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82" w:type="pct"/>
            <w:vAlign w:val="center"/>
          </w:tcPr>
          <w:p>
            <w:pPr>
              <w:spacing w:line="240" w:lineRule="auto"/>
              <w:ind w:firstLine="0" w:firstLineChars="0"/>
              <w:jc w:val="both"/>
              <w:rPr>
                <w:bCs/>
              </w:rPr>
            </w:pPr>
            <w:r>
              <w:rPr>
                <w:rFonts w:hint="eastAsia"/>
                <w:bCs/>
              </w:rPr>
              <w:t>注册地址</w:t>
            </w:r>
          </w:p>
        </w:tc>
        <w:tc>
          <w:tcPr>
            <w:tcW w:w="2549" w:type="pct"/>
            <w:gridSpan w:val="6"/>
            <w:vAlign w:val="center"/>
          </w:tcPr>
          <w:p>
            <w:pPr>
              <w:spacing w:line="240" w:lineRule="auto"/>
              <w:ind w:firstLine="480"/>
              <w:jc w:val="center"/>
              <w:rPr>
                <w:bCs/>
              </w:rPr>
            </w:pPr>
          </w:p>
        </w:tc>
        <w:tc>
          <w:tcPr>
            <w:tcW w:w="686" w:type="pct"/>
            <w:gridSpan w:val="3"/>
            <w:vAlign w:val="center"/>
          </w:tcPr>
          <w:p>
            <w:pPr>
              <w:spacing w:line="240" w:lineRule="auto"/>
              <w:ind w:firstLine="0" w:firstLineChars="0"/>
              <w:jc w:val="both"/>
              <w:rPr>
                <w:bCs/>
              </w:rPr>
            </w:pPr>
            <w:r>
              <w:rPr>
                <w:rFonts w:hint="eastAsia"/>
                <w:bCs/>
              </w:rPr>
              <w:t>邮政编码</w:t>
            </w:r>
          </w:p>
        </w:tc>
        <w:tc>
          <w:tcPr>
            <w:tcW w:w="882" w:type="pct"/>
            <w:gridSpan w:val="2"/>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882" w:type="pct"/>
            <w:vMerge w:val="restart"/>
            <w:vAlign w:val="center"/>
          </w:tcPr>
          <w:p>
            <w:pPr>
              <w:spacing w:line="240" w:lineRule="auto"/>
              <w:ind w:firstLine="0" w:firstLineChars="0"/>
              <w:jc w:val="both"/>
              <w:rPr>
                <w:bCs/>
              </w:rPr>
            </w:pPr>
            <w:r>
              <w:rPr>
                <w:rFonts w:hint="eastAsia"/>
                <w:bCs/>
              </w:rPr>
              <w:t>联系方式</w:t>
            </w:r>
          </w:p>
        </w:tc>
        <w:tc>
          <w:tcPr>
            <w:tcW w:w="588" w:type="pct"/>
            <w:vAlign w:val="center"/>
          </w:tcPr>
          <w:p>
            <w:pPr>
              <w:spacing w:line="240" w:lineRule="auto"/>
              <w:ind w:firstLine="0" w:firstLineChars="0"/>
              <w:jc w:val="both"/>
              <w:rPr>
                <w:bCs/>
              </w:rPr>
            </w:pPr>
            <w:r>
              <w:rPr>
                <w:rFonts w:hint="eastAsia"/>
                <w:bCs/>
              </w:rPr>
              <w:t>联系人</w:t>
            </w:r>
          </w:p>
        </w:tc>
        <w:tc>
          <w:tcPr>
            <w:tcW w:w="1961" w:type="pct"/>
            <w:gridSpan w:val="5"/>
            <w:vAlign w:val="center"/>
          </w:tcPr>
          <w:p>
            <w:pPr>
              <w:spacing w:line="240" w:lineRule="auto"/>
              <w:ind w:firstLine="480"/>
              <w:jc w:val="center"/>
              <w:rPr>
                <w:bCs/>
              </w:rPr>
            </w:pPr>
          </w:p>
        </w:tc>
        <w:tc>
          <w:tcPr>
            <w:tcW w:w="686" w:type="pct"/>
            <w:gridSpan w:val="3"/>
            <w:vAlign w:val="center"/>
          </w:tcPr>
          <w:p>
            <w:pPr>
              <w:spacing w:line="240" w:lineRule="auto"/>
              <w:ind w:firstLine="0" w:firstLineChars="0"/>
              <w:jc w:val="both"/>
              <w:rPr>
                <w:bCs/>
              </w:rPr>
            </w:pPr>
            <w:r>
              <w:rPr>
                <w:rFonts w:hint="eastAsia"/>
                <w:bCs/>
              </w:rPr>
              <w:t>联系电话</w:t>
            </w:r>
          </w:p>
        </w:tc>
        <w:tc>
          <w:tcPr>
            <w:tcW w:w="882" w:type="pct"/>
            <w:gridSpan w:val="2"/>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882" w:type="pct"/>
            <w:vMerge w:val="continue"/>
            <w:vAlign w:val="center"/>
          </w:tcPr>
          <w:p>
            <w:pPr>
              <w:spacing w:line="240" w:lineRule="auto"/>
              <w:ind w:firstLine="480"/>
              <w:jc w:val="center"/>
              <w:rPr>
                <w:bCs/>
              </w:rPr>
            </w:pPr>
          </w:p>
        </w:tc>
        <w:tc>
          <w:tcPr>
            <w:tcW w:w="588" w:type="pct"/>
            <w:vAlign w:val="center"/>
          </w:tcPr>
          <w:p>
            <w:pPr>
              <w:spacing w:line="240" w:lineRule="auto"/>
              <w:ind w:firstLine="0" w:firstLineChars="0"/>
              <w:jc w:val="both"/>
              <w:rPr>
                <w:bCs/>
              </w:rPr>
            </w:pPr>
            <w:r>
              <w:rPr>
                <w:rFonts w:hint="eastAsia"/>
                <w:bCs/>
              </w:rPr>
              <w:t>传真</w:t>
            </w:r>
          </w:p>
        </w:tc>
        <w:tc>
          <w:tcPr>
            <w:tcW w:w="1961" w:type="pct"/>
            <w:gridSpan w:val="5"/>
            <w:vAlign w:val="center"/>
          </w:tcPr>
          <w:p>
            <w:pPr>
              <w:spacing w:line="240" w:lineRule="auto"/>
              <w:ind w:firstLine="480"/>
              <w:jc w:val="center"/>
              <w:rPr>
                <w:bCs/>
              </w:rPr>
            </w:pPr>
          </w:p>
        </w:tc>
        <w:tc>
          <w:tcPr>
            <w:tcW w:w="686" w:type="pct"/>
            <w:gridSpan w:val="3"/>
            <w:vAlign w:val="center"/>
          </w:tcPr>
          <w:p>
            <w:pPr>
              <w:spacing w:line="240" w:lineRule="auto"/>
              <w:ind w:firstLine="0" w:firstLineChars="0"/>
              <w:jc w:val="both"/>
              <w:rPr>
                <w:bCs/>
              </w:rPr>
            </w:pPr>
            <w:r>
              <w:rPr>
                <w:rFonts w:hint="eastAsia"/>
                <w:bCs/>
              </w:rPr>
              <w:t>网址</w:t>
            </w:r>
          </w:p>
        </w:tc>
        <w:tc>
          <w:tcPr>
            <w:tcW w:w="882" w:type="pct"/>
            <w:gridSpan w:val="2"/>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82" w:type="pct"/>
            <w:vAlign w:val="center"/>
          </w:tcPr>
          <w:p>
            <w:pPr>
              <w:spacing w:line="240" w:lineRule="auto"/>
              <w:ind w:firstLine="0" w:firstLineChars="0"/>
              <w:jc w:val="both"/>
              <w:rPr>
                <w:bCs/>
              </w:rPr>
            </w:pPr>
            <w:r>
              <w:rPr>
                <w:rFonts w:hint="eastAsia"/>
                <w:bCs/>
              </w:rPr>
              <w:t>组织结构</w:t>
            </w:r>
          </w:p>
        </w:tc>
        <w:tc>
          <w:tcPr>
            <w:tcW w:w="4117" w:type="pct"/>
            <w:gridSpan w:val="11"/>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882" w:type="pct"/>
            <w:vAlign w:val="center"/>
          </w:tcPr>
          <w:p>
            <w:pPr>
              <w:spacing w:line="240" w:lineRule="auto"/>
              <w:ind w:firstLine="0" w:firstLineChars="0"/>
              <w:jc w:val="both"/>
              <w:rPr>
                <w:bCs/>
              </w:rPr>
            </w:pPr>
            <w:r>
              <w:rPr>
                <w:rFonts w:hint="eastAsia"/>
                <w:bCs/>
              </w:rPr>
              <w:t>法定代表人</w:t>
            </w:r>
          </w:p>
        </w:tc>
        <w:tc>
          <w:tcPr>
            <w:tcW w:w="686" w:type="pct"/>
            <w:gridSpan w:val="2"/>
            <w:vAlign w:val="center"/>
          </w:tcPr>
          <w:p>
            <w:pPr>
              <w:spacing w:line="240" w:lineRule="auto"/>
              <w:ind w:firstLine="480"/>
              <w:jc w:val="center"/>
              <w:rPr>
                <w:bCs/>
              </w:rPr>
            </w:pPr>
            <w:r>
              <w:rPr>
                <w:rFonts w:hint="eastAsia"/>
                <w:bCs/>
              </w:rPr>
              <w:t>姓名</w:t>
            </w:r>
          </w:p>
        </w:tc>
        <w:tc>
          <w:tcPr>
            <w:tcW w:w="686" w:type="pct"/>
            <w:vAlign w:val="center"/>
          </w:tcPr>
          <w:p>
            <w:pPr>
              <w:spacing w:line="240" w:lineRule="auto"/>
              <w:ind w:firstLine="480"/>
              <w:jc w:val="center"/>
              <w:rPr>
                <w:bCs/>
              </w:rPr>
            </w:pPr>
          </w:p>
        </w:tc>
        <w:tc>
          <w:tcPr>
            <w:tcW w:w="686" w:type="pct"/>
            <w:vAlign w:val="center"/>
          </w:tcPr>
          <w:p>
            <w:pPr>
              <w:spacing w:line="240" w:lineRule="auto"/>
              <w:ind w:firstLine="0" w:firstLineChars="0"/>
              <w:jc w:val="both"/>
              <w:rPr>
                <w:bCs/>
              </w:rPr>
            </w:pPr>
            <w:r>
              <w:rPr>
                <w:rFonts w:hint="eastAsia"/>
                <w:bCs/>
              </w:rPr>
              <w:t>技术职称</w:t>
            </w:r>
          </w:p>
        </w:tc>
        <w:tc>
          <w:tcPr>
            <w:tcW w:w="686" w:type="pct"/>
            <w:gridSpan w:val="3"/>
            <w:vAlign w:val="center"/>
          </w:tcPr>
          <w:p>
            <w:pPr>
              <w:spacing w:line="240" w:lineRule="auto"/>
              <w:ind w:firstLine="480"/>
              <w:jc w:val="center"/>
              <w:rPr>
                <w:bCs/>
              </w:rPr>
            </w:pPr>
          </w:p>
        </w:tc>
        <w:tc>
          <w:tcPr>
            <w:tcW w:w="686" w:type="pct"/>
            <w:gridSpan w:val="3"/>
            <w:vAlign w:val="center"/>
          </w:tcPr>
          <w:p>
            <w:pPr>
              <w:spacing w:line="240" w:lineRule="auto"/>
              <w:ind w:firstLine="0" w:firstLineChars="0"/>
              <w:jc w:val="both"/>
              <w:rPr>
                <w:bCs/>
              </w:rPr>
            </w:pPr>
            <w:r>
              <w:rPr>
                <w:rFonts w:hint="eastAsia"/>
                <w:bCs/>
              </w:rPr>
              <w:t>联系电话</w:t>
            </w:r>
          </w:p>
        </w:tc>
        <w:tc>
          <w:tcPr>
            <w:tcW w:w="686" w:type="pct"/>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82" w:type="pct"/>
            <w:vAlign w:val="center"/>
          </w:tcPr>
          <w:p>
            <w:pPr>
              <w:spacing w:line="240" w:lineRule="auto"/>
              <w:ind w:firstLine="0" w:firstLineChars="0"/>
              <w:jc w:val="both"/>
              <w:rPr>
                <w:bCs/>
              </w:rPr>
            </w:pPr>
            <w:r>
              <w:rPr>
                <w:rFonts w:hint="eastAsia"/>
                <w:bCs/>
              </w:rPr>
              <w:t>技术负责人</w:t>
            </w:r>
          </w:p>
        </w:tc>
        <w:tc>
          <w:tcPr>
            <w:tcW w:w="686" w:type="pct"/>
            <w:gridSpan w:val="2"/>
            <w:vAlign w:val="center"/>
          </w:tcPr>
          <w:p>
            <w:pPr>
              <w:spacing w:line="240" w:lineRule="auto"/>
              <w:ind w:firstLine="480"/>
              <w:jc w:val="center"/>
              <w:rPr>
                <w:bCs/>
              </w:rPr>
            </w:pPr>
            <w:r>
              <w:rPr>
                <w:rFonts w:hint="eastAsia"/>
                <w:bCs/>
              </w:rPr>
              <w:t>姓名</w:t>
            </w:r>
          </w:p>
        </w:tc>
        <w:tc>
          <w:tcPr>
            <w:tcW w:w="686" w:type="pct"/>
            <w:vAlign w:val="center"/>
          </w:tcPr>
          <w:p>
            <w:pPr>
              <w:spacing w:line="240" w:lineRule="auto"/>
              <w:ind w:firstLine="480"/>
              <w:jc w:val="center"/>
              <w:rPr>
                <w:bCs/>
              </w:rPr>
            </w:pPr>
          </w:p>
        </w:tc>
        <w:tc>
          <w:tcPr>
            <w:tcW w:w="686" w:type="pct"/>
            <w:vAlign w:val="center"/>
          </w:tcPr>
          <w:p>
            <w:pPr>
              <w:spacing w:line="240" w:lineRule="auto"/>
              <w:ind w:firstLine="0" w:firstLineChars="0"/>
              <w:jc w:val="both"/>
              <w:rPr>
                <w:bCs/>
              </w:rPr>
            </w:pPr>
            <w:r>
              <w:rPr>
                <w:rFonts w:hint="eastAsia"/>
                <w:bCs/>
              </w:rPr>
              <w:t>技术职称</w:t>
            </w:r>
          </w:p>
        </w:tc>
        <w:tc>
          <w:tcPr>
            <w:tcW w:w="686" w:type="pct"/>
            <w:gridSpan w:val="3"/>
            <w:vAlign w:val="center"/>
          </w:tcPr>
          <w:p>
            <w:pPr>
              <w:spacing w:line="240" w:lineRule="auto"/>
              <w:ind w:firstLine="480"/>
              <w:jc w:val="center"/>
              <w:rPr>
                <w:bCs/>
              </w:rPr>
            </w:pPr>
          </w:p>
        </w:tc>
        <w:tc>
          <w:tcPr>
            <w:tcW w:w="686" w:type="pct"/>
            <w:gridSpan w:val="3"/>
            <w:vAlign w:val="center"/>
          </w:tcPr>
          <w:p>
            <w:pPr>
              <w:spacing w:line="240" w:lineRule="auto"/>
              <w:ind w:firstLine="0" w:firstLineChars="0"/>
              <w:jc w:val="both"/>
              <w:rPr>
                <w:bCs/>
              </w:rPr>
            </w:pPr>
            <w:r>
              <w:rPr>
                <w:rFonts w:hint="eastAsia"/>
                <w:bCs/>
              </w:rPr>
              <w:t>联系电话</w:t>
            </w:r>
          </w:p>
        </w:tc>
        <w:tc>
          <w:tcPr>
            <w:tcW w:w="686" w:type="pct"/>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82" w:type="pct"/>
            <w:vAlign w:val="center"/>
          </w:tcPr>
          <w:p>
            <w:pPr>
              <w:spacing w:line="240" w:lineRule="auto"/>
              <w:ind w:firstLine="0" w:firstLineChars="0"/>
              <w:jc w:val="both"/>
              <w:rPr>
                <w:bCs/>
              </w:rPr>
            </w:pPr>
            <w:r>
              <w:rPr>
                <w:rFonts w:hint="eastAsia"/>
                <w:bCs/>
              </w:rPr>
              <w:t>成立时间</w:t>
            </w:r>
          </w:p>
        </w:tc>
        <w:tc>
          <w:tcPr>
            <w:tcW w:w="1372" w:type="pct"/>
            <w:gridSpan w:val="3"/>
            <w:vAlign w:val="center"/>
          </w:tcPr>
          <w:p>
            <w:pPr>
              <w:spacing w:line="240" w:lineRule="auto"/>
              <w:ind w:firstLine="480"/>
              <w:jc w:val="center"/>
              <w:rPr>
                <w:bCs/>
              </w:rPr>
            </w:pPr>
          </w:p>
        </w:tc>
        <w:tc>
          <w:tcPr>
            <w:tcW w:w="2745" w:type="pct"/>
            <w:gridSpan w:val="8"/>
            <w:vAlign w:val="center"/>
          </w:tcPr>
          <w:p>
            <w:pPr>
              <w:spacing w:line="240" w:lineRule="auto"/>
              <w:ind w:firstLine="0" w:firstLineChars="0"/>
              <w:jc w:val="both"/>
              <w:rPr>
                <w:bCs/>
              </w:rPr>
            </w:pPr>
            <w:r>
              <w:rPr>
                <w:rFonts w:hint="eastAsia"/>
                <w:bCs/>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882" w:type="pct"/>
            <w:vAlign w:val="center"/>
          </w:tcPr>
          <w:p>
            <w:pPr>
              <w:spacing w:line="240" w:lineRule="auto"/>
              <w:ind w:firstLine="0" w:firstLineChars="0"/>
              <w:jc w:val="both"/>
              <w:rPr>
                <w:bCs/>
              </w:rPr>
            </w:pPr>
            <w:r>
              <w:rPr>
                <w:rFonts w:hint="eastAsia"/>
                <w:bCs/>
              </w:rPr>
              <w:t>企业资质等级</w:t>
            </w:r>
          </w:p>
        </w:tc>
        <w:tc>
          <w:tcPr>
            <w:tcW w:w="1372" w:type="pct"/>
            <w:gridSpan w:val="3"/>
            <w:vAlign w:val="center"/>
          </w:tcPr>
          <w:p>
            <w:pPr>
              <w:spacing w:line="240" w:lineRule="auto"/>
              <w:ind w:firstLine="480"/>
              <w:jc w:val="center"/>
              <w:rPr>
                <w:bCs/>
              </w:rPr>
            </w:pPr>
          </w:p>
        </w:tc>
        <w:tc>
          <w:tcPr>
            <w:tcW w:w="914" w:type="pct"/>
            <w:gridSpan w:val="2"/>
            <w:vMerge w:val="restart"/>
            <w:vAlign w:val="center"/>
          </w:tcPr>
          <w:p>
            <w:pPr>
              <w:spacing w:line="240" w:lineRule="auto"/>
              <w:ind w:firstLine="480"/>
              <w:jc w:val="center"/>
              <w:rPr>
                <w:bCs/>
              </w:rPr>
            </w:pPr>
            <w:r>
              <w:rPr>
                <w:rFonts w:hint="eastAsia"/>
                <w:bCs/>
              </w:rPr>
              <w:t>其中</w:t>
            </w:r>
          </w:p>
        </w:tc>
        <w:tc>
          <w:tcPr>
            <w:tcW w:w="914" w:type="pct"/>
            <w:gridSpan w:val="3"/>
            <w:vAlign w:val="center"/>
          </w:tcPr>
          <w:p>
            <w:pPr>
              <w:spacing w:line="240" w:lineRule="auto"/>
              <w:ind w:firstLine="0" w:firstLineChars="0"/>
              <w:jc w:val="both"/>
              <w:rPr>
                <w:bCs/>
              </w:rPr>
            </w:pPr>
            <w:r>
              <w:rPr>
                <w:rFonts w:hint="eastAsia"/>
                <w:bCs/>
              </w:rPr>
              <w:t>项目经理</w:t>
            </w:r>
          </w:p>
        </w:tc>
        <w:tc>
          <w:tcPr>
            <w:tcW w:w="915" w:type="pct"/>
            <w:gridSpan w:val="3"/>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82" w:type="pct"/>
            <w:vAlign w:val="center"/>
          </w:tcPr>
          <w:p>
            <w:pPr>
              <w:spacing w:line="240" w:lineRule="auto"/>
              <w:ind w:firstLine="0" w:firstLineChars="0"/>
              <w:jc w:val="both"/>
              <w:rPr>
                <w:bCs/>
              </w:rPr>
            </w:pPr>
            <w:r>
              <w:rPr>
                <w:rFonts w:hint="eastAsia"/>
                <w:bCs/>
              </w:rPr>
              <w:t>营业执照</w:t>
            </w:r>
            <w:r>
              <w:rPr>
                <w:rFonts w:hint="eastAsia"/>
              </w:rPr>
              <w:t>号</w:t>
            </w:r>
          </w:p>
        </w:tc>
        <w:tc>
          <w:tcPr>
            <w:tcW w:w="1372" w:type="pct"/>
            <w:gridSpan w:val="3"/>
            <w:vAlign w:val="center"/>
          </w:tcPr>
          <w:p>
            <w:pPr>
              <w:spacing w:line="240" w:lineRule="auto"/>
              <w:ind w:firstLine="480"/>
              <w:jc w:val="center"/>
              <w:rPr>
                <w:bCs/>
              </w:rPr>
            </w:pPr>
          </w:p>
        </w:tc>
        <w:tc>
          <w:tcPr>
            <w:tcW w:w="914" w:type="pct"/>
            <w:gridSpan w:val="2"/>
            <w:vMerge w:val="continue"/>
            <w:vAlign w:val="center"/>
          </w:tcPr>
          <w:p>
            <w:pPr>
              <w:spacing w:line="240" w:lineRule="auto"/>
              <w:ind w:firstLine="480"/>
              <w:jc w:val="center"/>
              <w:rPr>
                <w:bCs/>
              </w:rPr>
            </w:pPr>
          </w:p>
        </w:tc>
        <w:tc>
          <w:tcPr>
            <w:tcW w:w="914" w:type="pct"/>
            <w:gridSpan w:val="3"/>
            <w:vAlign w:val="center"/>
          </w:tcPr>
          <w:p>
            <w:pPr>
              <w:spacing w:line="240" w:lineRule="auto"/>
              <w:ind w:firstLine="0" w:firstLineChars="0"/>
              <w:jc w:val="both"/>
              <w:rPr>
                <w:bCs/>
              </w:rPr>
            </w:pPr>
            <w:r>
              <w:rPr>
                <w:rFonts w:hint="eastAsia"/>
                <w:bCs/>
              </w:rPr>
              <w:t>高级职称人员</w:t>
            </w:r>
          </w:p>
        </w:tc>
        <w:tc>
          <w:tcPr>
            <w:tcW w:w="915" w:type="pct"/>
            <w:gridSpan w:val="3"/>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882" w:type="pct"/>
            <w:vAlign w:val="center"/>
          </w:tcPr>
          <w:p>
            <w:pPr>
              <w:spacing w:line="240" w:lineRule="auto"/>
              <w:ind w:firstLine="0" w:firstLineChars="0"/>
              <w:jc w:val="both"/>
              <w:rPr>
                <w:bCs/>
              </w:rPr>
            </w:pPr>
            <w:r>
              <w:rPr>
                <w:rFonts w:hint="eastAsia"/>
                <w:bCs/>
              </w:rPr>
              <w:t>注册资金</w:t>
            </w:r>
          </w:p>
        </w:tc>
        <w:tc>
          <w:tcPr>
            <w:tcW w:w="1372" w:type="pct"/>
            <w:gridSpan w:val="3"/>
            <w:vAlign w:val="center"/>
          </w:tcPr>
          <w:p>
            <w:pPr>
              <w:spacing w:line="240" w:lineRule="auto"/>
              <w:ind w:firstLine="480"/>
              <w:jc w:val="center"/>
              <w:rPr>
                <w:bCs/>
              </w:rPr>
            </w:pPr>
          </w:p>
        </w:tc>
        <w:tc>
          <w:tcPr>
            <w:tcW w:w="914" w:type="pct"/>
            <w:gridSpan w:val="2"/>
            <w:vMerge w:val="continue"/>
            <w:vAlign w:val="center"/>
          </w:tcPr>
          <w:p>
            <w:pPr>
              <w:spacing w:line="240" w:lineRule="auto"/>
              <w:ind w:firstLine="480"/>
              <w:jc w:val="center"/>
              <w:rPr>
                <w:bCs/>
              </w:rPr>
            </w:pPr>
          </w:p>
        </w:tc>
        <w:tc>
          <w:tcPr>
            <w:tcW w:w="914" w:type="pct"/>
            <w:gridSpan w:val="3"/>
            <w:vAlign w:val="center"/>
          </w:tcPr>
          <w:p>
            <w:pPr>
              <w:spacing w:line="240" w:lineRule="auto"/>
              <w:ind w:firstLine="0" w:firstLineChars="0"/>
              <w:jc w:val="both"/>
              <w:rPr>
                <w:bCs/>
              </w:rPr>
            </w:pPr>
            <w:r>
              <w:rPr>
                <w:rFonts w:hint="eastAsia"/>
                <w:bCs/>
              </w:rPr>
              <w:t>中级职称人员</w:t>
            </w:r>
          </w:p>
        </w:tc>
        <w:tc>
          <w:tcPr>
            <w:tcW w:w="915" w:type="pct"/>
            <w:gridSpan w:val="3"/>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82" w:type="pct"/>
            <w:vAlign w:val="center"/>
          </w:tcPr>
          <w:p>
            <w:pPr>
              <w:spacing w:line="240" w:lineRule="auto"/>
              <w:ind w:firstLine="0" w:firstLineChars="0"/>
              <w:jc w:val="both"/>
              <w:rPr>
                <w:bCs/>
              </w:rPr>
            </w:pPr>
            <w:r>
              <w:rPr>
                <w:rFonts w:hint="eastAsia"/>
                <w:bCs/>
              </w:rPr>
              <w:t>开户银行</w:t>
            </w:r>
          </w:p>
        </w:tc>
        <w:tc>
          <w:tcPr>
            <w:tcW w:w="1372" w:type="pct"/>
            <w:gridSpan w:val="3"/>
            <w:vAlign w:val="center"/>
          </w:tcPr>
          <w:p>
            <w:pPr>
              <w:spacing w:line="240" w:lineRule="auto"/>
              <w:ind w:firstLine="480"/>
              <w:jc w:val="center"/>
              <w:rPr>
                <w:bCs/>
              </w:rPr>
            </w:pPr>
          </w:p>
        </w:tc>
        <w:tc>
          <w:tcPr>
            <w:tcW w:w="914" w:type="pct"/>
            <w:gridSpan w:val="2"/>
            <w:vMerge w:val="continue"/>
            <w:vAlign w:val="center"/>
          </w:tcPr>
          <w:p>
            <w:pPr>
              <w:spacing w:line="240" w:lineRule="auto"/>
              <w:ind w:firstLine="480"/>
              <w:jc w:val="center"/>
              <w:rPr>
                <w:bCs/>
              </w:rPr>
            </w:pPr>
          </w:p>
        </w:tc>
        <w:tc>
          <w:tcPr>
            <w:tcW w:w="914" w:type="pct"/>
            <w:gridSpan w:val="3"/>
            <w:vAlign w:val="center"/>
          </w:tcPr>
          <w:p>
            <w:pPr>
              <w:spacing w:line="240" w:lineRule="auto"/>
              <w:ind w:firstLine="0" w:firstLineChars="0"/>
              <w:jc w:val="both"/>
              <w:rPr>
                <w:bCs/>
              </w:rPr>
            </w:pPr>
            <w:r>
              <w:rPr>
                <w:rFonts w:hint="eastAsia"/>
                <w:bCs/>
              </w:rPr>
              <w:t>初级职称人员</w:t>
            </w:r>
          </w:p>
        </w:tc>
        <w:tc>
          <w:tcPr>
            <w:tcW w:w="915" w:type="pct"/>
            <w:gridSpan w:val="3"/>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82" w:type="pct"/>
            <w:vAlign w:val="center"/>
          </w:tcPr>
          <w:p>
            <w:pPr>
              <w:spacing w:line="240" w:lineRule="auto"/>
              <w:ind w:firstLine="0" w:firstLineChars="0"/>
              <w:jc w:val="both"/>
              <w:rPr>
                <w:bCs/>
              </w:rPr>
            </w:pPr>
            <w:r>
              <w:rPr>
                <w:rFonts w:hint="eastAsia"/>
                <w:bCs/>
              </w:rPr>
              <w:t>账号</w:t>
            </w:r>
          </w:p>
        </w:tc>
        <w:tc>
          <w:tcPr>
            <w:tcW w:w="1372" w:type="pct"/>
            <w:gridSpan w:val="3"/>
            <w:vAlign w:val="center"/>
          </w:tcPr>
          <w:p>
            <w:pPr>
              <w:spacing w:line="240" w:lineRule="auto"/>
              <w:ind w:firstLine="480"/>
              <w:jc w:val="center"/>
              <w:rPr>
                <w:bCs/>
              </w:rPr>
            </w:pPr>
          </w:p>
        </w:tc>
        <w:tc>
          <w:tcPr>
            <w:tcW w:w="914" w:type="pct"/>
            <w:gridSpan w:val="2"/>
            <w:vMerge w:val="continue"/>
            <w:vAlign w:val="center"/>
          </w:tcPr>
          <w:p>
            <w:pPr>
              <w:spacing w:line="240" w:lineRule="auto"/>
              <w:ind w:firstLine="480"/>
              <w:jc w:val="center"/>
              <w:rPr>
                <w:bCs/>
              </w:rPr>
            </w:pPr>
          </w:p>
        </w:tc>
        <w:tc>
          <w:tcPr>
            <w:tcW w:w="914" w:type="pct"/>
            <w:gridSpan w:val="3"/>
            <w:vAlign w:val="center"/>
          </w:tcPr>
          <w:p>
            <w:pPr>
              <w:spacing w:line="240" w:lineRule="auto"/>
              <w:ind w:firstLine="480"/>
              <w:jc w:val="center"/>
              <w:rPr>
                <w:bCs/>
              </w:rPr>
            </w:pPr>
            <w:r>
              <w:rPr>
                <w:rFonts w:hint="eastAsia"/>
                <w:bCs/>
              </w:rPr>
              <w:t>技工</w:t>
            </w:r>
          </w:p>
        </w:tc>
        <w:tc>
          <w:tcPr>
            <w:tcW w:w="915" w:type="pct"/>
            <w:gridSpan w:val="3"/>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jc w:val="center"/>
        </w:trPr>
        <w:tc>
          <w:tcPr>
            <w:tcW w:w="882" w:type="pct"/>
            <w:vAlign w:val="center"/>
          </w:tcPr>
          <w:p>
            <w:pPr>
              <w:spacing w:line="240" w:lineRule="auto"/>
              <w:ind w:firstLine="0" w:firstLineChars="0"/>
              <w:jc w:val="both"/>
              <w:rPr>
                <w:bCs/>
              </w:rPr>
            </w:pPr>
            <w:r>
              <w:rPr>
                <w:rFonts w:hint="eastAsia"/>
                <w:bCs/>
              </w:rPr>
              <w:t>经营范围</w:t>
            </w:r>
          </w:p>
        </w:tc>
        <w:tc>
          <w:tcPr>
            <w:tcW w:w="4117" w:type="pct"/>
            <w:gridSpan w:val="11"/>
            <w:vAlign w:val="center"/>
          </w:tcPr>
          <w:p>
            <w:pPr>
              <w:spacing w:line="240" w:lineRule="auto"/>
              <w:ind w:firstLine="480"/>
              <w:jc w:val="center"/>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882" w:type="pct"/>
            <w:vAlign w:val="center"/>
          </w:tcPr>
          <w:p>
            <w:pPr>
              <w:spacing w:line="240" w:lineRule="auto"/>
              <w:ind w:firstLine="0" w:firstLineChars="0"/>
              <w:jc w:val="both"/>
              <w:rPr>
                <w:bCs/>
              </w:rPr>
            </w:pPr>
            <w:r>
              <w:rPr>
                <w:rFonts w:hint="eastAsia"/>
                <w:bCs/>
              </w:rPr>
              <w:t>备注</w:t>
            </w:r>
          </w:p>
        </w:tc>
        <w:tc>
          <w:tcPr>
            <w:tcW w:w="4117" w:type="pct"/>
            <w:gridSpan w:val="11"/>
            <w:vAlign w:val="center"/>
          </w:tcPr>
          <w:p>
            <w:pPr>
              <w:spacing w:line="240" w:lineRule="auto"/>
              <w:ind w:firstLine="480"/>
              <w:jc w:val="center"/>
              <w:rPr>
                <w:bCs/>
              </w:rPr>
            </w:pPr>
          </w:p>
        </w:tc>
      </w:tr>
    </w:tbl>
    <w:p>
      <w:pPr>
        <w:adjustRightInd w:val="0"/>
        <w:spacing w:line="400" w:lineRule="exact"/>
        <w:ind w:firstLine="480"/>
      </w:pPr>
      <w:r>
        <w:rPr>
          <w:rFonts w:hint="eastAsia"/>
        </w:rPr>
        <w:t>供应商名称：XXX（盖单位公章）</w:t>
      </w:r>
    </w:p>
    <w:p>
      <w:pPr>
        <w:adjustRightInd w:val="0"/>
        <w:spacing w:line="400" w:lineRule="exact"/>
        <w:ind w:firstLine="480"/>
        <w:rPr>
          <w:bCs/>
        </w:rPr>
      </w:pPr>
      <w:r>
        <w:rPr>
          <w:rFonts w:hint="eastAsia"/>
          <w:bCs/>
        </w:rPr>
        <w:t>法定代表人或授权代表（签字或盖章）：XXX</w:t>
      </w:r>
    </w:p>
    <w:p>
      <w:pPr>
        <w:adjustRightInd w:val="0"/>
        <w:spacing w:line="400" w:lineRule="exact"/>
        <w:ind w:firstLine="480"/>
        <w:rPr>
          <w:bCs/>
        </w:rPr>
      </w:pPr>
      <w:r>
        <w:rPr>
          <w:rFonts w:hint="eastAsia"/>
          <w:bCs/>
        </w:rPr>
        <w:t>日  期：XXX年XXX月XXX日</w:t>
      </w:r>
    </w:p>
    <w:p>
      <w:pPr>
        <w:ind w:firstLine="480"/>
      </w:pPr>
      <w:r>
        <w:rPr>
          <w:rFonts w:hint="eastAsia"/>
        </w:rPr>
        <w:br w:type="page"/>
      </w:r>
    </w:p>
    <w:p>
      <w:pPr>
        <w:pStyle w:val="4"/>
        <w:ind w:firstLine="0" w:firstLineChars="0"/>
      </w:pPr>
      <w:r>
        <w:rPr>
          <w:rFonts w:hint="eastAsia"/>
          <w:lang w:val="en-US"/>
        </w:rPr>
        <w:t>四</w:t>
      </w:r>
      <w:r>
        <w:rPr>
          <w:rFonts w:hint="eastAsia"/>
        </w:rPr>
        <w:t>、供应商类似项目业绩一览表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18"/>
        <w:gridCol w:w="1439"/>
        <w:gridCol w:w="1319"/>
        <w:gridCol w:w="1160"/>
        <w:gridCol w:w="1415"/>
        <w:gridCol w:w="6"/>
        <w:gridCol w:w="1599"/>
        <w:gridCol w:w="15"/>
        <w:gridCol w:w="1377"/>
        <w:gridCol w:w="10"/>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tcBorders>
              <w:top w:val="single" w:color="auto" w:sz="4" w:space="0"/>
            </w:tcBorders>
            <w:vAlign w:val="center"/>
          </w:tcPr>
          <w:p>
            <w:pPr>
              <w:spacing w:line="400" w:lineRule="exact"/>
              <w:ind w:firstLine="120" w:firstLineChars="50"/>
              <w:jc w:val="center"/>
              <w:rPr>
                <w:b/>
              </w:rPr>
            </w:pPr>
            <w:r>
              <w:rPr>
                <w:rFonts w:hint="eastAsia"/>
                <w:b/>
              </w:rPr>
              <w:t>年份</w:t>
            </w:r>
          </w:p>
        </w:tc>
        <w:tc>
          <w:tcPr>
            <w:tcW w:w="1439" w:type="dxa"/>
            <w:vAlign w:val="center"/>
          </w:tcPr>
          <w:p>
            <w:pPr>
              <w:spacing w:line="400" w:lineRule="exact"/>
              <w:ind w:firstLine="0" w:firstLineChars="0"/>
              <w:jc w:val="both"/>
              <w:rPr>
                <w:b/>
              </w:rPr>
            </w:pPr>
            <w:r>
              <w:rPr>
                <w:rFonts w:hint="eastAsia"/>
                <w:b/>
              </w:rPr>
              <w:t>用户名称</w:t>
            </w:r>
          </w:p>
        </w:tc>
        <w:tc>
          <w:tcPr>
            <w:tcW w:w="1319" w:type="dxa"/>
            <w:vAlign w:val="center"/>
          </w:tcPr>
          <w:p>
            <w:pPr>
              <w:spacing w:line="400" w:lineRule="exact"/>
              <w:ind w:firstLine="0" w:firstLineChars="0"/>
              <w:jc w:val="both"/>
              <w:rPr>
                <w:b/>
              </w:rPr>
            </w:pPr>
            <w:r>
              <w:rPr>
                <w:rFonts w:hint="eastAsia"/>
                <w:b/>
              </w:rPr>
              <w:t>项目名称</w:t>
            </w:r>
          </w:p>
        </w:tc>
        <w:tc>
          <w:tcPr>
            <w:tcW w:w="1160" w:type="dxa"/>
            <w:vAlign w:val="center"/>
          </w:tcPr>
          <w:p>
            <w:pPr>
              <w:spacing w:line="400" w:lineRule="exact"/>
              <w:ind w:firstLine="0" w:firstLineChars="0"/>
              <w:jc w:val="both"/>
              <w:rPr>
                <w:b/>
              </w:rPr>
            </w:pPr>
            <w:r>
              <w:rPr>
                <w:rFonts w:hint="eastAsia"/>
                <w:b/>
              </w:rPr>
              <w:t>完成时间</w:t>
            </w:r>
          </w:p>
        </w:tc>
        <w:tc>
          <w:tcPr>
            <w:tcW w:w="1421" w:type="dxa"/>
            <w:gridSpan w:val="2"/>
            <w:vAlign w:val="center"/>
          </w:tcPr>
          <w:p>
            <w:pPr>
              <w:spacing w:line="400" w:lineRule="exact"/>
              <w:ind w:firstLine="120" w:firstLineChars="50"/>
              <w:jc w:val="both"/>
              <w:rPr>
                <w:b/>
              </w:rPr>
            </w:pPr>
            <w:r>
              <w:rPr>
                <w:rFonts w:hint="eastAsia"/>
                <w:b/>
              </w:rPr>
              <w:t>合同金额</w:t>
            </w:r>
          </w:p>
        </w:tc>
        <w:tc>
          <w:tcPr>
            <w:tcW w:w="1614" w:type="dxa"/>
            <w:gridSpan w:val="2"/>
            <w:tcBorders>
              <w:right w:val="single" w:color="auto" w:sz="4" w:space="0"/>
            </w:tcBorders>
            <w:vAlign w:val="center"/>
          </w:tcPr>
          <w:p>
            <w:pPr>
              <w:spacing w:line="400" w:lineRule="exact"/>
              <w:ind w:firstLine="0" w:firstLineChars="0"/>
              <w:jc w:val="both"/>
              <w:rPr>
                <w:b/>
              </w:rPr>
            </w:pPr>
            <w:r>
              <w:rPr>
                <w:rFonts w:hint="eastAsia"/>
                <w:b/>
              </w:rPr>
              <w:t>是否通过验收</w:t>
            </w:r>
          </w:p>
        </w:tc>
        <w:tc>
          <w:tcPr>
            <w:tcW w:w="1387" w:type="dxa"/>
            <w:gridSpan w:val="2"/>
            <w:tcBorders>
              <w:left w:val="single" w:color="auto" w:sz="4" w:space="0"/>
            </w:tcBorders>
            <w:vAlign w:val="center"/>
          </w:tcPr>
          <w:p>
            <w:pPr>
              <w:spacing w:line="400" w:lineRule="exact"/>
              <w:ind w:firstLine="482"/>
              <w:jc w:val="center"/>
              <w:rPr>
                <w:b/>
              </w:rPr>
            </w:pPr>
            <w:r>
              <w:rPr>
                <w:rFonts w:hint="eastAsia"/>
                <w:b/>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pPr>
              <w:spacing w:line="400" w:lineRule="exact"/>
              <w:ind w:firstLine="480"/>
              <w:jc w:val="center"/>
            </w:pPr>
          </w:p>
        </w:tc>
        <w:tc>
          <w:tcPr>
            <w:tcW w:w="1439" w:type="dxa"/>
            <w:vAlign w:val="center"/>
          </w:tcPr>
          <w:p>
            <w:pPr>
              <w:spacing w:line="400" w:lineRule="exact"/>
              <w:ind w:firstLine="480"/>
              <w:jc w:val="center"/>
            </w:pPr>
          </w:p>
        </w:tc>
        <w:tc>
          <w:tcPr>
            <w:tcW w:w="1319" w:type="dxa"/>
            <w:vAlign w:val="center"/>
          </w:tcPr>
          <w:p>
            <w:pPr>
              <w:spacing w:line="400" w:lineRule="exact"/>
              <w:ind w:firstLine="480"/>
              <w:jc w:val="center"/>
            </w:pPr>
          </w:p>
        </w:tc>
        <w:tc>
          <w:tcPr>
            <w:tcW w:w="1160" w:type="dxa"/>
            <w:vAlign w:val="center"/>
          </w:tcPr>
          <w:p>
            <w:pPr>
              <w:spacing w:line="400" w:lineRule="exact"/>
              <w:ind w:firstLine="480"/>
              <w:jc w:val="center"/>
            </w:pPr>
          </w:p>
        </w:tc>
        <w:tc>
          <w:tcPr>
            <w:tcW w:w="1421" w:type="dxa"/>
            <w:gridSpan w:val="2"/>
            <w:vAlign w:val="center"/>
          </w:tcPr>
          <w:p>
            <w:pPr>
              <w:spacing w:line="400" w:lineRule="exact"/>
              <w:ind w:firstLine="480"/>
              <w:jc w:val="center"/>
            </w:pPr>
          </w:p>
        </w:tc>
        <w:tc>
          <w:tcPr>
            <w:tcW w:w="1614" w:type="dxa"/>
            <w:gridSpan w:val="2"/>
            <w:tcBorders>
              <w:right w:val="single" w:color="auto" w:sz="4" w:space="0"/>
            </w:tcBorders>
            <w:vAlign w:val="center"/>
          </w:tcPr>
          <w:p>
            <w:pPr>
              <w:spacing w:line="400" w:lineRule="exact"/>
              <w:ind w:firstLine="480"/>
              <w:jc w:val="center"/>
            </w:pPr>
          </w:p>
        </w:tc>
        <w:tc>
          <w:tcPr>
            <w:tcW w:w="1387" w:type="dxa"/>
            <w:gridSpan w:val="2"/>
            <w:tcBorders>
              <w:left w:val="single" w:color="auto" w:sz="4" w:space="0"/>
            </w:tcBorders>
            <w:vAlign w:val="center"/>
          </w:tcPr>
          <w:p>
            <w:pPr>
              <w:spacing w:line="400" w:lineRule="exact"/>
              <w:ind w:firstLine="480"/>
              <w:jc w:val="cente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pPr>
              <w:spacing w:line="400" w:lineRule="exact"/>
              <w:ind w:firstLine="480"/>
              <w:jc w:val="center"/>
            </w:pPr>
          </w:p>
        </w:tc>
        <w:tc>
          <w:tcPr>
            <w:tcW w:w="1439" w:type="dxa"/>
            <w:vAlign w:val="center"/>
          </w:tcPr>
          <w:p>
            <w:pPr>
              <w:spacing w:line="400" w:lineRule="exact"/>
              <w:ind w:firstLine="480"/>
              <w:jc w:val="center"/>
            </w:pPr>
          </w:p>
        </w:tc>
        <w:tc>
          <w:tcPr>
            <w:tcW w:w="1319" w:type="dxa"/>
            <w:vAlign w:val="center"/>
          </w:tcPr>
          <w:p>
            <w:pPr>
              <w:spacing w:line="400" w:lineRule="exact"/>
              <w:ind w:firstLine="480"/>
              <w:jc w:val="center"/>
            </w:pPr>
          </w:p>
        </w:tc>
        <w:tc>
          <w:tcPr>
            <w:tcW w:w="1160" w:type="dxa"/>
            <w:vAlign w:val="center"/>
          </w:tcPr>
          <w:p>
            <w:pPr>
              <w:spacing w:line="400" w:lineRule="exact"/>
              <w:ind w:firstLine="480"/>
              <w:jc w:val="center"/>
            </w:pPr>
          </w:p>
        </w:tc>
        <w:tc>
          <w:tcPr>
            <w:tcW w:w="1421" w:type="dxa"/>
            <w:gridSpan w:val="2"/>
            <w:vAlign w:val="center"/>
          </w:tcPr>
          <w:p>
            <w:pPr>
              <w:spacing w:line="400" w:lineRule="exact"/>
              <w:ind w:firstLine="480"/>
              <w:jc w:val="center"/>
            </w:pPr>
          </w:p>
        </w:tc>
        <w:tc>
          <w:tcPr>
            <w:tcW w:w="1614" w:type="dxa"/>
            <w:gridSpan w:val="2"/>
            <w:tcBorders>
              <w:right w:val="single" w:color="auto" w:sz="4" w:space="0"/>
            </w:tcBorders>
            <w:vAlign w:val="center"/>
          </w:tcPr>
          <w:p>
            <w:pPr>
              <w:spacing w:line="400" w:lineRule="exact"/>
              <w:ind w:firstLine="480"/>
              <w:jc w:val="center"/>
            </w:pPr>
          </w:p>
        </w:tc>
        <w:tc>
          <w:tcPr>
            <w:tcW w:w="1387" w:type="dxa"/>
            <w:gridSpan w:val="2"/>
            <w:tcBorders>
              <w:left w:val="single" w:color="auto" w:sz="4" w:space="0"/>
            </w:tcBorders>
            <w:vAlign w:val="center"/>
          </w:tcPr>
          <w:p>
            <w:pPr>
              <w:spacing w:line="400" w:lineRule="exact"/>
              <w:ind w:firstLine="480"/>
              <w:jc w:val="cente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pPr>
              <w:spacing w:line="400" w:lineRule="exact"/>
              <w:ind w:firstLine="480"/>
              <w:jc w:val="center"/>
            </w:pPr>
          </w:p>
        </w:tc>
        <w:tc>
          <w:tcPr>
            <w:tcW w:w="1439" w:type="dxa"/>
            <w:vAlign w:val="center"/>
          </w:tcPr>
          <w:p>
            <w:pPr>
              <w:spacing w:line="400" w:lineRule="exact"/>
              <w:ind w:firstLine="480"/>
              <w:jc w:val="center"/>
            </w:pPr>
          </w:p>
        </w:tc>
        <w:tc>
          <w:tcPr>
            <w:tcW w:w="1319" w:type="dxa"/>
            <w:vAlign w:val="center"/>
          </w:tcPr>
          <w:p>
            <w:pPr>
              <w:spacing w:line="400" w:lineRule="exact"/>
              <w:ind w:firstLine="480"/>
              <w:jc w:val="center"/>
            </w:pPr>
          </w:p>
        </w:tc>
        <w:tc>
          <w:tcPr>
            <w:tcW w:w="1160" w:type="dxa"/>
            <w:vAlign w:val="center"/>
          </w:tcPr>
          <w:p>
            <w:pPr>
              <w:spacing w:line="400" w:lineRule="exact"/>
              <w:ind w:firstLine="480"/>
              <w:jc w:val="center"/>
            </w:pPr>
          </w:p>
        </w:tc>
        <w:tc>
          <w:tcPr>
            <w:tcW w:w="1421" w:type="dxa"/>
            <w:gridSpan w:val="2"/>
            <w:vAlign w:val="center"/>
          </w:tcPr>
          <w:p>
            <w:pPr>
              <w:spacing w:line="400" w:lineRule="exact"/>
              <w:ind w:firstLine="480"/>
              <w:jc w:val="center"/>
            </w:pPr>
          </w:p>
        </w:tc>
        <w:tc>
          <w:tcPr>
            <w:tcW w:w="1614" w:type="dxa"/>
            <w:gridSpan w:val="2"/>
            <w:tcBorders>
              <w:right w:val="single" w:color="auto" w:sz="4" w:space="0"/>
            </w:tcBorders>
            <w:vAlign w:val="center"/>
          </w:tcPr>
          <w:p>
            <w:pPr>
              <w:spacing w:line="400" w:lineRule="exact"/>
              <w:ind w:firstLine="480"/>
              <w:jc w:val="center"/>
            </w:pPr>
          </w:p>
        </w:tc>
        <w:tc>
          <w:tcPr>
            <w:tcW w:w="1387" w:type="dxa"/>
            <w:gridSpan w:val="2"/>
            <w:tcBorders>
              <w:left w:val="single" w:color="auto" w:sz="4" w:space="0"/>
            </w:tcBorders>
            <w:vAlign w:val="center"/>
          </w:tcPr>
          <w:p>
            <w:pPr>
              <w:spacing w:line="400" w:lineRule="exact"/>
              <w:ind w:firstLine="480"/>
              <w:jc w:val="cente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pPr>
              <w:spacing w:line="400" w:lineRule="exact"/>
              <w:ind w:firstLine="480"/>
              <w:jc w:val="center"/>
            </w:pPr>
          </w:p>
        </w:tc>
        <w:tc>
          <w:tcPr>
            <w:tcW w:w="1439" w:type="dxa"/>
            <w:tcBorders>
              <w:right w:val="single" w:color="auto" w:sz="4" w:space="0"/>
            </w:tcBorders>
            <w:vAlign w:val="center"/>
          </w:tcPr>
          <w:p>
            <w:pPr>
              <w:spacing w:line="400" w:lineRule="exact"/>
              <w:ind w:firstLine="480"/>
              <w:jc w:val="center"/>
            </w:pPr>
          </w:p>
        </w:tc>
        <w:tc>
          <w:tcPr>
            <w:tcW w:w="1319" w:type="dxa"/>
            <w:tcBorders>
              <w:left w:val="single" w:color="auto" w:sz="4" w:space="0"/>
            </w:tcBorders>
            <w:vAlign w:val="center"/>
          </w:tcPr>
          <w:p>
            <w:pPr>
              <w:spacing w:line="400" w:lineRule="exact"/>
              <w:ind w:firstLine="480"/>
              <w:jc w:val="center"/>
            </w:pPr>
          </w:p>
        </w:tc>
        <w:tc>
          <w:tcPr>
            <w:tcW w:w="1160" w:type="dxa"/>
            <w:vAlign w:val="center"/>
          </w:tcPr>
          <w:p>
            <w:pPr>
              <w:spacing w:line="400" w:lineRule="exact"/>
              <w:ind w:firstLine="480"/>
              <w:jc w:val="center"/>
            </w:pPr>
          </w:p>
        </w:tc>
        <w:tc>
          <w:tcPr>
            <w:tcW w:w="1421" w:type="dxa"/>
            <w:gridSpan w:val="2"/>
            <w:vAlign w:val="center"/>
          </w:tcPr>
          <w:p>
            <w:pPr>
              <w:spacing w:line="400" w:lineRule="exact"/>
              <w:ind w:firstLine="480"/>
              <w:jc w:val="center"/>
            </w:pPr>
          </w:p>
        </w:tc>
        <w:tc>
          <w:tcPr>
            <w:tcW w:w="1614" w:type="dxa"/>
            <w:gridSpan w:val="2"/>
            <w:tcBorders>
              <w:right w:val="single" w:color="auto" w:sz="4" w:space="0"/>
            </w:tcBorders>
            <w:vAlign w:val="center"/>
          </w:tcPr>
          <w:p>
            <w:pPr>
              <w:spacing w:line="400" w:lineRule="exact"/>
              <w:ind w:firstLine="480"/>
              <w:jc w:val="center"/>
            </w:pPr>
          </w:p>
        </w:tc>
        <w:tc>
          <w:tcPr>
            <w:tcW w:w="1387" w:type="dxa"/>
            <w:gridSpan w:val="2"/>
            <w:tcBorders>
              <w:left w:val="single" w:color="auto" w:sz="4" w:space="0"/>
            </w:tcBorders>
            <w:vAlign w:val="center"/>
          </w:tcPr>
          <w:p>
            <w:pPr>
              <w:spacing w:line="400" w:lineRule="exact"/>
              <w:ind w:firstLine="480"/>
              <w:jc w:val="cente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718" w:type="dxa"/>
            <w:tcBorders>
              <w:right w:val="single" w:color="auto" w:sz="4" w:space="0"/>
            </w:tcBorders>
            <w:vAlign w:val="center"/>
          </w:tcPr>
          <w:p>
            <w:pPr>
              <w:spacing w:line="400" w:lineRule="exact"/>
              <w:ind w:firstLine="480"/>
            </w:pPr>
          </w:p>
        </w:tc>
        <w:tc>
          <w:tcPr>
            <w:tcW w:w="1439" w:type="dxa"/>
            <w:tcBorders>
              <w:left w:val="single" w:color="auto" w:sz="4" w:space="0"/>
              <w:right w:val="single" w:color="auto" w:sz="4" w:space="0"/>
            </w:tcBorders>
            <w:vAlign w:val="center"/>
          </w:tcPr>
          <w:p>
            <w:pPr>
              <w:spacing w:line="400" w:lineRule="exact"/>
              <w:ind w:firstLine="480"/>
            </w:pPr>
          </w:p>
        </w:tc>
        <w:tc>
          <w:tcPr>
            <w:tcW w:w="1319" w:type="dxa"/>
            <w:tcBorders>
              <w:left w:val="single" w:color="auto" w:sz="4" w:space="0"/>
              <w:right w:val="single" w:color="auto" w:sz="4" w:space="0"/>
            </w:tcBorders>
            <w:vAlign w:val="center"/>
          </w:tcPr>
          <w:p>
            <w:pPr>
              <w:spacing w:line="400" w:lineRule="exact"/>
              <w:ind w:firstLine="480"/>
            </w:pPr>
          </w:p>
        </w:tc>
        <w:tc>
          <w:tcPr>
            <w:tcW w:w="1160" w:type="dxa"/>
            <w:tcBorders>
              <w:left w:val="single" w:color="auto" w:sz="4" w:space="0"/>
              <w:right w:val="single" w:color="auto" w:sz="4" w:space="0"/>
            </w:tcBorders>
            <w:vAlign w:val="center"/>
          </w:tcPr>
          <w:p>
            <w:pPr>
              <w:spacing w:line="400" w:lineRule="exact"/>
              <w:ind w:firstLine="480"/>
            </w:pPr>
          </w:p>
        </w:tc>
        <w:tc>
          <w:tcPr>
            <w:tcW w:w="1415" w:type="dxa"/>
            <w:tcBorders>
              <w:left w:val="single" w:color="auto" w:sz="4" w:space="0"/>
              <w:right w:val="single" w:color="auto" w:sz="4" w:space="0"/>
            </w:tcBorders>
            <w:vAlign w:val="center"/>
          </w:tcPr>
          <w:p>
            <w:pPr>
              <w:spacing w:line="400" w:lineRule="exact"/>
              <w:ind w:firstLine="480"/>
            </w:pPr>
          </w:p>
        </w:tc>
        <w:tc>
          <w:tcPr>
            <w:tcW w:w="1605" w:type="dxa"/>
            <w:gridSpan w:val="2"/>
            <w:tcBorders>
              <w:left w:val="single" w:color="auto" w:sz="4" w:space="0"/>
              <w:right w:val="single" w:color="auto" w:sz="4" w:space="0"/>
            </w:tcBorders>
            <w:vAlign w:val="center"/>
          </w:tcPr>
          <w:p>
            <w:pPr>
              <w:spacing w:line="400" w:lineRule="exact"/>
              <w:ind w:firstLine="480"/>
            </w:pPr>
          </w:p>
        </w:tc>
        <w:tc>
          <w:tcPr>
            <w:tcW w:w="1392" w:type="dxa"/>
            <w:gridSpan w:val="2"/>
            <w:tcBorders>
              <w:left w:val="single" w:color="auto" w:sz="4" w:space="0"/>
            </w:tcBorders>
            <w:vAlign w:val="center"/>
          </w:tcPr>
          <w:p>
            <w:pPr>
              <w:spacing w:line="400" w:lineRule="exact"/>
              <w:ind w:firstLine="480"/>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pPr>
              <w:spacing w:line="400" w:lineRule="exact"/>
              <w:ind w:firstLine="480"/>
            </w:pPr>
          </w:p>
        </w:tc>
        <w:tc>
          <w:tcPr>
            <w:tcW w:w="1439" w:type="dxa"/>
            <w:vAlign w:val="center"/>
          </w:tcPr>
          <w:p>
            <w:pPr>
              <w:spacing w:line="400" w:lineRule="exact"/>
              <w:ind w:firstLine="480"/>
            </w:pPr>
          </w:p>
        </w:tc>
        <w:tc>
          <w:tcPr>
            <w:tcW w:w="1319" w:type="dxa"/>
            <w:vAlign w:val="center"/>
          </w:tcPr>
          <w:p>
            <w:pPr>
              <w:spacing w:line="400" w:lineRule="exact"/>
              <w:ind w:firstLine="480"/>
            </w:pPr>
          </w:p>
        </w:tc>
        <w:tc>
          <w:tcPr>
            <w:tcW w:w="1160" w:type="dxa"/>
            <w:vAlign w:val="center"/>
          </w:tcPr>
          <w:p>
            <w:pPr>
              <w:spacing w:line="400" w:lineRule="exact"/>
              <w:ind w:firstLine="480"/>
            </w:pPr>
          </w:p>
        </w:tc>
        <w:tc>
          <w:tcPr>
            <w:tcW w:w="1421" w:type="dxa"/>
            <w:gridSpan w:val="2"/>
            <w:tcBorders>
              <w:right w:val="single" w:color="auto" w:sz="4" w:space="0"/>
            </w:tcBorders>
            <w:vAlign w:val="center"/>
          </w:tcPr>
          <w:p>
            <w:pPr>
              <w:spacing w:line="400" w:lineRule="exact"/>
              <w:ind w:firstLine="480"/>
            </w:pPr>
          </w:p>
        </w:tc>
        <w:tc>
          <w:tcPr>
            <w:tcW w:w="1614" w:type="dxa"/>
            <w:gridSpan w:val="2"/>
            <w:tcBorders>
              <w:left w:val="single" w:color="auto" w:sz="4" w:space="0"/>
              <w:right w:val="single" w:color="auto" w:sz="4" w:space="0"/>
            </w:tcBorders>
            <w:vAlign w:val="center"/>
          </w:tcPr>
          <w:p>
            <w:pPr>
              <w:spacing w:line="400" w:lineRule="exact"/>
              <w:ind w:firstLine="480"/>
            </w:pPr>
          </w:p>
        </w:tc>
        <w:tc>
          <w:tcPr>
            <w:tcW w:w="1387" w:type="dxa"/>
            <w:gridSpan w:val="2"/>
            <w:tcBorders>
              <w:left w:val="single" w:color="auto" w:sz="4" w:space="0"/>
            </w:tcBorders>
            <w:vAlign w:val="center"/>
          </w:tcPr>
          <w:p>
            <w:pPr>
              <w:spacing w:line="400" w:lineRule="exact"/>
              <w:ind w:firstLine="480"/>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pPr>
              <w:spacing w:line="400" w:lineRule="exact"/>
              <w:ind w:firstLine="480"/>
              <w:jc w:val="center"/>
            </w:pPr>
          </w:p>
        </w:tc>
        <w:tc>
          <w:tcPr>
            <w:tcW w:w="1439" w:type="dxa"/>
            <w:vAlign w:val="center"/>
          </w:tcPr>
          <w:p>
            <w:pPr>
              <w:spacing w:line="400" w:lineRule="exact"/>
              <w:ind w:firstLine="480"/>
              <w:jc w:val="center"/>
            </w:pPr>
          </w:p>
        </w:tc>
        <w:tc>
          <w:tcPr>
            <w:tcW w:w="1319" w:type="dxa"/>
            <w:vAlign w:val="center"/>
          </w:tcPr>
          <w:p>
            <w:pPr>
              <w:spacing w:line="400" w:lineRule="exact"/>
              <w:ind w:firstLine="480"/>
              <w:jc w:val="center"/>
            </w:pPr>
          </w:p>
        </w:tc>
        <w:tc>
          <w:tcPr>
            <w:tcW w:w="1160" w:type="dxa"/>
            <w:vAlign w:val="center"/>
          </w:tcPr>
          <w:p>
            <w:pPr>
              <w:spacing w:line="400" w:lineRule="exact"/>
              <w:ind w:firstLine="480"/>
              <w:jc w:val="center"/>
            </w:pPr>
          </w:p>
        </w:tc>
        <w:tc>
          <w:tcPr>
            <w:tcW w:w="1421" w:type="dxa"/>
            <w:gridSpan w:val="2"/>
            <w:tcBorders>
              <w:right w:val="single" w:color="auto" w:sz="4" w:space="0"/>
            </w:tcBorders>
            <w:vAlign w:val="center"/>
          </w:tcPr>
          <w:p>
            <w:pPr>
              <w:spacing w:line="400" w:lineRule="exact"/>
              <w:ind w:firstLine="480"/>
              <w:jc w:val="center"/>
            </w:pPr>
          </w:p>
        </w:tc>
        <w:tc>
          <w:tcPr>
            <w:tcW w:w="1614" w:type="dxa"/>
            <w:gridSpan w:val="2"/>
            <w:tcBorders>
              <w:left w:val="single" w:color="auto" w:sz="4" w:space="0"/>
              <w:right w:val="single" w:color="auto" w:sz="4" w:space="0"/>
            </w:tcBorders>
            <w:vAlign w:val="center"/>
          </w:tcPr>
          <w:p>
            <w:pPr>
              <w:spacing w:line="400" w:lineRule="exact"/>
              <w:ind w:firstLine="480"/>
              <w:jc w:val="center"/>
            </w:pPr>
          </w:p>
        </w:tc>
        <w:tc>
          <w:tcPr>
            <w:tcW w:w="1387" w:type="dxa"/>
            <w:gridSpan w:val="2"/>
            <w:tcBorders>
              <w:left w:val="single" w:color="auto" w:sz="4" w:space="0"/>
            </w:tcBorders>
            <w:vAlign w:val="center"/>
          </w:tcPr>
          <w:p>
            <w:pPr>
              <w:spacing w:line="400" w:lineRule="exact"/>
              <w:ind w:firstLine="480"/>
              <w:jc w:val="cente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pPr>
              <w:spacing w:line="400" w:lineRule="exact"/>
              <w:ind w:firstLine="480"/>
              <w:jc w:val="center"/>
            </w:pPr>
          </w:p>
        </w:tc>
        <w:tc>
          <w:tcPr>
            <w:tcW w:w="1439" w:type="dxa"/>
            <w:vAlign w:val="center"/>
          </w:tcPr>
          <w:p>
            <w:pPr>
              <w:spacing w:line="400" w:lineRule="exact"/>
              <w:ind w:firstLine="480"/>
              <w:jc w:val="center"/>
            </w:pPr>
          </w:p>
        </w:tc>
        <w:tc>
          <w:tcPr>
            <w:tcW w:w="1319" w:type="dxa"/>
            <w:vAlign w:val="center"/>
          </w:tcPr>
          <w:p>
            <w:pPr>
              <w:spacing w:line="400" w:lineRule="exact"/>
              <w:ind w:firstLine="480"/>
              <w:jc w:val="center"/>
            </w:pPr>
          </w:p>
        </w:tc>
        <w:tc>
          <w:tcPr>
            <w:tcW w:w="1160" w:type="dxa"/>
            <w:vAlign w:val="center"/>
          </w:tcPr>
          <w:p>
            <w:pPr>
              <w:spacing w:line="400" w:lineRule="exact"/>
              <w:ind w:firstLine="480"/>
              <w:jc w:val="center"/>
            </w:pPr>
          </w:p>
        </w:tc>
        <w:tc>
          <w:tcPr>
            <w:tcW w:w="1421" w:type="dxa"/>
            <w:gridSpan w:val="2"/>
            <w:tcBorders>
              <w:right w:val="single" w:color="auto" w:sz="4" w:space="0"/>
            </w:tcBorders>
            <w:vAlign w:val="center"/>
          </w:tcPr>
          <w:p>
            <w:pPr>
              <w:spacing w:line="400" w:lineRule="exact"/>
              <w:ind w:firstLine="480"/>
              <w:jc w:val="center"/>
            </w:pPr>
          </w:p>
        </w:tc>
        <w:tc>
          <w:tcPr>
            <w:tcW w:w="1614" w:type="dxa"/>
            <w:gridSpan w:val="2"/>
            <w:tcBorders>
              <w:left w:val="single" w:color="auto" w:sz="4" w:space="0"/>
              <w:right w:val="single" w:color="auto" w:sz="4" w:space="0"/>
            </w:tcBorders>
            <w:vAlign w:val="center"/>
          </w:tcPr>
          <w:p>
            <w:pPr>
              <w:spacing w:line="400" w:lineRule="exact"/>
              <w:ind w:firstLine="480"/>
              <w:jc w:val="center"/>
            </w:pPr>
          </w:p>
        </w:tc>
        <w:tc>
          <w:tcPr>
            <w:tcW w:w="1387" w:type="dxa"/>
            <w:gridSpan w:val="2"/>
            <w:tcBorders>
              <w:left w:val="single" w:color="auto" w:sz="4" w:space="0"/>
            </w:tcBorders>
            <w:vAlign w:val="center"/>
          </w:tcPr>
          <w:p>
            <w:pPr>
              <w:spacing w:line="400" w:lineRule="exact"/>
              <w:ind w:firstLine="480"/>
              <w:jc w:val="cente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18" w:type="dxa"/>
            <w:tcBorders>
              <w:bottom w:val="single" w:color="auto" w:sz="4" w:space="0"/>
            </w:tcBorders>
            <w:vAlign w:val="center"/>
          </w:tcPr>
          <w:p>
            <w:pPr>
              <w:spacing w:line="400" w:lineRule="exact"/>
              <w:ind w:firstLine="480"/>
              <w:jc w:val="center"/>
            </w:pPr>
          </w:p>
        </w:tc>
        <w:tc>
          <w:tcPr>
            <w:tcW w:w="1439" w:type="dxa"/>
            <w:tcBorders>
              <w:bottom w:val="single" w:color="auto" w:sz="4" w:space="0"/>
            </w:tcBorders>
            <w:vAlign w:val="center"/>
          </w:tcPr>
          <w:p>
            <w:pPr>
              <w:spacing w:line="400" w:lineRule="exact"/>
              <w:ind w:firstLine="480"/>
              <w:jc w:val="center"/>
            </w:pPr>
          </w:p>
        </w:tc>
        <w:tc>
          <w:tcPr>
            <w:tcW w:w="1319" w:type="dxa"/>
            <w:tcBorders>
              <w:bottom w:val="single" w:color="auto" w:sz="4" w:space="0"/>
            </w:tcBorders>
            <w:vAlign w:val="center"/>
          </w:tcPr>
          <w:p>
            <w:pPr>
              <w:spacing w:line="400" w:lineRule="exact"/>
              <w:ind w:firstLine="480"/>
              <w:jc w:val="center"/>
            </w:pPr>
          </w:p>
        </w:tc>
        <w:tc>
          <w:tcPr>
            <w:tcW w:w="1160" w:type="dxa"/>
            <w:tcBorders>
              <w:bottom w:val="single" w:color="auto" w:sz="4" w:space="0"/>
            </w:tcBorders>
            <w:vAlign w:val="center"/>
          </w:tcPr>
          <w:p>
            <w:pPr>
              <w:spacing w:line="400" w:lineRule="exact"/>
              <w:ind w:firstLine="480"/>
              <w:jc w:val="center"/>
            </w:pPr>
          </w:p>
        </w:tc>
        <w:tc>
          <w:tcPr>
            <w:tcW w:w="1421" w:type="dxa"/>
            <w:gridSpan w:val="2"/>
            <w:tcBorders>
              <w:bottom w:val="single" w:color="auto" w:sz="4" w:space="0"/>
              <w:right w:val="single" w:color="auto" w:sz="4" w:space="0"/>
            </w:tcBorders>
            <w:vAlign w:val="center"/>
          </w:tcPr>
          <w:p>
            <w:pPr>
              <w:spacing w:line="400" w:lineRule="exact"/>
              <w:ind w:firstLine="480"/>
              <w:jc w:val="center"/>
            </w:pPr>
          </w:p>
        </w:tc>
        <w:tc>
          <w:tcPr>
            <w:tcW w:w="1614" w:type="dxa"/>
            <w:gridSpan w:val="2"/>
            <w:tcBorders>
              <w:left w:val="single" w:color="auto" w:sz="4" w:space="0"/>
              <w:bottom w:val="single" w:color="auto" w:sz="4" w:space="0"/>
              <w:right w:val="single" w:color="auto" w:sz="4" w:space="0"/>
            </w:tcBorders>
            <w:vAlign w:val="center"/>
          </w:tcPr>
          <w:p>
            <w:pPr>
              <w:spacing w:line="400" w:lineRule="exact"/>
              <w:ind w:firstLine="480"/>
              <w:jc w:val="center"/>
            </w:pPr>
          </w:p>
        </w:tc>
        <w:tc>
          <w:tcPr>
            <w:tcW w:w="1387" w:type="dxa"/>
            <w:gridSpan w:val="2"/>
            <w:tcBorders>
              <w:left w:val="single" w:color="auto" w:sz="4" w:space="0"/>
              <w:bottom w:val="single" w:color="auto" w:sz="4" w:space="0"/>
            </w:tcBorders>
            <w:vAlign w:val="center"/>
          </w:tcPr>
          <w:p>
            <w:pPr>
              <w:spacing w:line="400" w:lineRule="exact"/>
              <w:ind w:firstLine="480"/>
              <w:jc w:val="cente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vAlign w:val="center"/>
          </w:tcPr>
          <w:p>
            <w:pPr>
              <w:spacing w:line="400" w:lineRule="exact"/>
              <w:ind w:firstLine="480"/>
              <w:jc w:val="center"/>
            </w:pPr>
          </w:p>
        </w:tc>
        <w:tc>
          <w:tcPr>
            <w:tcW w:w="1439" w:type="dxa"/>
            <w:tcBorders>
              <w:top w:val="single" w:color="auto" w:sz="4" w:space="0"/>
              <w:bottom w:val="single" w:color="auto" w:sz="4" w:space="0"/>
            </w:tcBorders>
            <w:vAlign w:val="center"/>
          </w:tcPr>
          <w:p>
            <w:pPr>
              <w:spacing w:line="400" w:lineRule="exact"/>
              <w:ind w:firstLine="480"/>
              <w:jc w:val="center"/>
            </w:pPr>
          </w:p>
        </w:tc>
        <w:tc>
          <w:tcPr>
            <w:tcW w:w="1319" w:type="dxa"/>
            <w:tcBorders>
              <w:top w:val="single" w:color="auto" w:sz="4" w:space="0"/>
              <w:bottom w:val="single" w:color="auto" w:sz="4" w:space="0"/>
            </w:tcBorders>
            <w:vAlign w:val="center"/>
          </w:tcPr>
          <w:p>
            <w:pPr>
              <w:spacing w:line="400" w:lineRule="exact"/>
              <w:ind w:firstLine="480"/>
              <w:jc w:val="center"/>
            </w:pPr>
          </w:p>
        </w:tc>
        <w:tc>
          <w:tcPr>
            <w:tcW w:w="1160" w:type="dxa"/>
            <w:tcBorders>
              <w:top w:val="single" w:color="auto" w:sz="4" w:space="0"/>
              <w:bottom w:val="single" w:color="auto" w:sz="4" w:space="0"/>
            </w:tcBorders>
            <w:vAlign w:val="center"/>
          </w:tcPr>
          <w:p>
            <w:pPr>
              <w:spacing w:line="400" w:lineRule="exact"/>
              <w:ind w:firstLine="480"/>
              <w:jc w:val="center"/>
            </w:pPr>
          </w:p>
        </w:tc>
        <w:tc>
          <w:tcPr>
            <w:tcW w:w="1421" w:type="dxa"/>
            <w:gridSpan w:val="2"/>
            <w:tcBorders>
              <w:top w:val="single" w:color="auto" w:sz="4" w:space="0"/>
              <w:bottom w:val="single" w:color="auto" w:sz="4" w:space="0"/>
              <w:right w:val="single" w:color="auto" w:sz="4" w:space="0"/>
            </w:tcBorders>
            <w:vAlign w:val="center"/>
          </w:tcPr>
          <w:p>
            <w:pPr>
              <w:spacing w:line="400" w:lineRule="exact"/>
              <w:ind w:firstLine="480"/>
              <w:jc w:val="center"/>
            </w:pPr>
          </w:p>
        </w:tc>
        <w:tc>
          <w:tcPr>
            <w:tcW w:w="1614"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80"/>
              <w:jc w:val="center"/>
            </w:pPr>
          </w:p>
        </w:tc>
        <w:tc>
          <w:tcPr>
            <w:tcW w:w="1387" w:type="dxa"/>
            <w:gridSpan w:val="2"/>
            <w:tcBorders>
              <w:top w:val="single" w:color="auto" w:sz="4" w:space="0"/>
              <w:left w:val="single" w:color="auto" w:sz="4" w:space="0"/>
              <w:bottom w:val="single" w:color="auto" w:sz="4" w:space="0"/>
            </w:tcBorders>
            <w:vAlign w:val="center"/>
          </w:tcPr>
          <w:p>
            <w:pPr>
              <w:spacing w:line="400" w:lineRule="exact"/>
              <w:ind w:firstLine="480"/>
              <w:jc w:val="cente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vAlign w:val="center"/>
          </w:tcPr>
          <w:p>
            <w:pPr>
              <w:spacing w:line="400" w:lineRule="exact"/>
              <w:ind w:firstLine="480"/>
              <w:jc w:val="center"/>
            </w:pPr>
          </w:p>
        </w:tc>
        <w:tc>
          <w:tcPr>
            <w:tcW w:w="1439" w:type="dxa"/>
            <w:tcBorders>
              <w:top w:val="single" w:color="auto" w:sz="4" w:space="0"/>
              <w:bottom w:val="single" w:color="auto" w:sz="4" w:space="0"/>
            </w:tcBorders>
            <w:vAlign w:val="center"/>
          </w:tcPr>
          <w:p>
            <w:pPr>
              <w:spacing w:line="400" w:lineRule="exact"/>
              <w:ind w:firstLine="480"/>
              <w:jc w:val="center"/>
            </w:pPr>
          </w:p>
        </w:tc>
        <w:tc>
          <w:tcPr>
            <w:tcW w:w="1319" w:type="dxa"/>
            <w:tcBorders>
              <w:top w:val="single" w:color="auto" w:sz="4" w:space="0"/>
              <w:bottom w:val="single" w:color="auto" w:sz="4" w:space="0"/>
            </w:tcBorders>
            <w:vAlign w:val="center"/>
          </w:tcPr>
          <w:p>
            <w:pPr>
              <w:spacing w:line="400" w:lineRule="exact"/>
              <w:ind w:firstLine="480"/>
              <w:jc w:val="center"/>
            </w:pPr>
          </w:p>
        </w:tc>
        <w:tc>
          <w:tcPr>
            <w:tcW w:w="1160" w:type="dxa"/>
            <w:tcBorders>
              <w:top w:val="single" w:color="auto" w:sz="4" w:space="0"/>
              <w:bottom w:val="single" w:color="auto" w:sz="4" w:space="0"/>
            </w:tcBorders>
            <w:vAlign w:val="center"/>
          </w:tcPr>
          <w:p>
            <w:pPr>
              <w:spacing w:line="400" w:lineRule="exact"/>
              <w:ind w:firstLine="480"/>
              <w:jc w:val="center"/>
            </w:pPr>
          </w:p>
        </w:tc>
        <w:tc>
          <w:tcPr>
            <w:tcW w:w="1421" w:type="dxa"/>
            <w:gridSpan w:val="2"/>
            <w:tcBorders>
              <w:top w:val="single" w:color="auto" w:sz="4" w:space="0"/>
              <w:bottom w:val="single" w:color="auto" w:sz="4" w:space="0"/>
              <w:right w:val="single" w:color="auto" w:sz="4" w:space="0"/>
            </w:tcBorders>
            <w:vAlign w:val="center"/>
          </w:tcPr>
          <w:p>
            <w:pPr>
              <w:spacing w:line="400" w:lineRule="exact"/>
              <w:ind w:firstLine="480"/>
              <w:jc w:val="center"/>
            </w:pPr>
          </w:p>
        </w:tc>
        <w:tc>
          <w:tcPr>
            <w:tcW w:w="1614"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80"/>
              <w:jc w:val="center"/>
            </w:pPr>
          </w:p>
        </w:tc>
        <w:tc>
          <w:tcPr>
            <w:tcW w:w="1387" w:type="dxa"/>
            <w:gridSpan w:val="2"/>
            <w:tcBorders>
              <w:top w:val="single" w:color="auto" w:sz="4" w:space="0"/>
              <w:left w:val="single" w:color="auto" w:sz="4" w:space="0"/>
              <w:bottom w:val="single" w:color="auto" w:sz="4" w:space="0"/>
            </w:tcBorders>
            <w:vAlign w:val="center"/>
          </w:tcPr>
          <w:p>
            <w:pPr>
              <w:spacing w:line="400" w:lineRule="exact"/>
              <w:ind w:firstLine="480"/>
              <w:jc w:val="cente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0" w:hRule="atLeast"/>
          <w:jc w:val="center"/>
        </w:trPr>
        <w:tc>
          <w:tcPr>
            <w:tcW w:w="718" w:type="dxa"/>
            <w:tcBorders>
              <w:top w:val="single" w:color="auto" w:sz="4" w:space="0"/>
              <w:bottom w:val="single" w:color="auto" w:sz="4" w:space="0"/>
            </w:tcBorders>
            <w:vAlign w:val="center"/>
          </w:tcPr>
          <w:p>
            <w:pPr>
              <w:spacing w:line="400" w:lineRule="exact"/>
              <w:ind w:firstLine="480"/>
              <w:jc w:val="center"/>
            </w:pPr>
          </w:p>
        </w:tc>
        <w:tc>
          <w:tcPr>
            <w:tcW w:w="1439" w:type="dxa"/>
            <w:tcBorders>
              <w:top w:val="single" w:color="auto" w:sz="4" w:space="0"/>
              <w:bottom w:val="single" w:color="auto" w:sz="4" w:space="0"/>
            </w:tcBorders>
            <w:vAlign w:val="center"/>
          </w:tcPr>
          <w:p>
            <w:pPr>
              <w:spacing w:line="400" w:lineRule="exact"/>
              <w:ind w:firstLine="480"/>
              <w:jc w:val="center"/>
            </w:pPr>
          </w:p>
        </w:tc>
        <w:tc>
          <w:tcPr>
            <w:tcW w:w="1319" w:type="dxa"/>
            <w:tcBorders>
              <w:top w:val="single" w:color="auto" w:sz="4" w:space="0"/>
              <w:bottom w:val="single" w:color="auto" w:sz="4" w:space="0"/>
            </w:tcBorders>
            <w:vAlign w:val="center"/>
          </w:tcPr>
          <w:p>
            <w:pPr>
              <w:spacing w:line="400" w:lineRule="exact"/>
              <w:ind w:firstLine="480"/>
              <w:jc w:val="center"/>
            </w:pPr>
          </w:p>
        </w:tc>
        <w:tc>
          <w:tcPr>
            <w:tcW w:w="1160" w:type="dxa"/>
            <w:tcBorders>
              <w:top w:val="single" w:color="auto" w:sz="4" w:space="0"/>
              <w:bottom w:val="single" w:color="auto" w:sz="4" w:space="0"/>
            </w:tcBorders>
            <w:vAlign w:val="center"/>
          </w:tcPr>
          <w:p>
            <w:pPr>
              <w:spacing w:line="400" w:lineRule="exact"/>
              <w:ind w:firstLine="480"/>
              <w:jc w:val="center"/>
            </w:pPr>
          </w:p>
        </w:tc>
        <w:tc>
          <w:tcPr>
            <w:tcW w:w="1421" w:type="dxa"/>
            <w:gridSpan w:val="2"/>
            <w:tcBorders>
              <w:top w:val="single" w:color="auto" w:sz="4" w:space="0"/>
              <w:bottom w:val="single" w:color="auto" w:sz="4" w:space="0"/>
              <w:right w:val="single" w:color="auto" w:sz="4" w:space="0"/>
            </w:tcBorders>
            <w:vAlign w:val="center"/>
          </w:tcPr>
          <w:p>
            <w:pPr>
              <w:spacing w:line="400" w:lineRule="exact"/>
              <w:ind w:firstLine="480"/>
              <w:jc w:val="center"/>
            </w:pPr>
          </w:p>
        </w:tc>
        <w:tc>
          <w:tcPr>
            <w:tcW w:w="1614"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ind w:firstLine="480"/>
              <w:jc w:val="center"/>
            </w:pPr>
          </w:p>
        </w:tc>
        <w:tc>
          <w:tcPr>
            <w:tcW w:w="1387" w:type="dxa"/>
            <w:gridSpan w:val="2"/>
            <w:tcBorders>
              <w:top w:val="single" w:color="auto" w:sz="4" w:space="0"/>
              <w:left w:val="single" w:color="auto" w:sz="4" w:space="0"/>
              <w:bottom w:val="single" w:color="auto" w:sz="4" w:space="0"/>
            </w:tcBorders>
            <w:vAlign w:val="center"/>
          </w:tcPr>
          <w:p>
            <w:pPr>
              <w:spacing w:line="400" w:lineRule="exact"/>
              <w:ind w:firstLine="480"/>
              <w:jc w:val="cente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718" w:type="dxa"/>
            <w:tcBorders>
              <w:top w:val="single" w:color="auto" w:sz="4" w:space="0"/>
            </w:tcBorders>
            <w:vAlign w:val="center"/>
          </w:tcPr>
          <w:p>
            <w:pPr>
              <w:spacing w:line="400" w:lineRule="exact"/>
              <w:ind w:firstLine="480"/>
              <w:jc w:val="center"/>
            </w:pPr>
          </w:p>
        </w:tc>
        <w:tc>
          <w:tcPr>
            <w:tcW w:w="1439" w:type="dxa"/>
            <w:tcBorders>
              <w:top w:val="single" w:color="auto" w:sz="4" w:space="0"/>
            </w:tcBorders>
            <w:vAlign w:val="center"/>
          </w:tcPr>
          <w:p>
            <w:pPr>
              <w:spacing w:line="400" w:lineRule="exact"/>
              <w:ind w:firstLine="480"/>
              <w:jc w:val="center"/>
            </w:pPr>
          </w:p>
        </w:tc>
        <w:tc>
          <w:tcPr>
            <w:tcW w:w="1319" w:type="dxa"/>
            <w:tcBorders>
              <w:top w:val="single" w:color="auto" w:sz="4" w:space="0"/>
            </w:tcBorders>
            <w:vAlign w:val="center"/>
          </w:tcPr>
          <w:p>
            <w:pPr>
              <w:spacing w:line="400" w:lineRule="exact"/>
              <w:ind w:firstLine="480"/>
              <w:jc w:val="center"/>
            </w:pPr>
          </w:p>
        </w:tc>
        <w:tc>
          <w:tcPr>
            <w:tcW w:w="1160" w:type="dxa"/>
            <w:tcBorders>
              <w:top w:val="single" w:color="auto" w:sz="4" w:space="0"/>
            </w:tcBorders>
            <w:vAlign w:val="center"/>
          </w:tcPr>
          <w:p>
            <w:pPr>
              <w:spacing w:line="400" w:lineRule="exact"/>
              <w:ind w:firstLine="480"/>
              <w:jc w:val="center"/>
            </w:pPr>
          </w:p>
        </w:tc>
        <w:tc>
          <w:tcPr>
            <w:tcW w:w="1421" w:type="dxa"/>
            <w:gridSpan w:val="2"/>
            <w:tcBorders>
              <w:top w:val="single" w:color="auto" w:sz="4" w:space="0"/>
              <w:right w:val="single" w:color="auto" w:sz="4" w:space="0"/>
            </w:tcBorders>
            <w:vAlign w:val="center"/>
          </w:tcPr>
          <w:p>
            <w:pPr>
              <w:spacing w:line="400" w:lineRule="exact"/>
              <w:ind w:firstLine="480"/>
              <w:jc w:val="center"/>
            </w:pPr>
          </w:p>
        </w:tc>
        <w:tc>
          <w:tcPr>
            <w:tcW w:w="1614" w:type="dxa"/>
            <w:gridSpan w:val="2"/>
            <w:tcBorders>
              <w:top w:val="single" w:color="auto" w:sz="4" w:space="0"/>
              <w:left w:val="single" w:color="auto" w:sz="4" w:space="0"/>
              <w:right w:val="single" w:color="auto" w:sz="4" w:space="0"/>
            </w:tcBorders>
            <w:vAlign w:val="center"/>
          </w:tcPr>
          <w:p>
            <w:pPr>
              <w:spacing w:line="400" w:lineRule="exact"/>
              <w:ind w:firstLine="480"/>
              <w:jc w:val="center"/>
            </w:pPr>
          </w:p>
        </w:tc>
        <w:tc>
          <w:tcPr>
            <w:tcW w:w="1387" w:type="dxa"/>
            <w:gridSpan w:val="2"/>
            <w:tcBorders>
              <w:top w:val="single" w:color="auto" w:sz="4" w:space="0"/>
              <w:left w:val="single" w:color="auto" w:sz="4" w:space="0"/>
            </w:tcBorders>
            <w:vAlign w:val="center"/>
          </w:tcPr>
          <w:p>
            <w:pPr>
              <w:spacing w:line="400" w:lineRule="exact"/>
              <w:ind w:firstLine="480"/>
              <w:jc w:val="center"/>
            </w:pPr>
          </w:p>
        </w:tc>
      </w:tr>
    </w:tbl>
    <w:p>
      <w:pPr>
        <w:spacing w:line="400" w:lineRule="exact"/>
        <w:ind w:firstLine="480"/>
      </w:pPr>
    </w:p>
    <w:p>
      <w:pPr>
        <w:tabs>
          <w:tab w:val="left" w:pos="555"/>
          <w:tab w:val="left" w:pos="2214"/>
          <w:tab w:val="left" w:pos="3774"/>
          <w:tab w:val="left" w:pos="4854"/>
          <w:tab w:val="left" w:pos="5934"/>
          <w:tab w:val="left" w:pos="7014"/>
          <w:tab w:val="left" w:pos="8214"/>
          <w:tab w:val="left" w:pos="10134"/>
          <w:tab w:val="left" w:pos="11124"/>
        </w:tabs>
        <w:spacing w:line="400" w:lineRule="exact"/>
        <w:ind w:firstLine="480"/>
        <w:rPr>
          <w:lang w:val="en-US"/>
        </w:rPr>
      </w:pPr>
      <w:r>
        <w:rPr>
          <w:rFonts w:hint="eastAsia"/>
        </w:rPr>
        <w:t>注：供应商（仅限于供应商自己的）以上业绩需提供有关书面证明材料。“合同金额”需提供合同复印件。</w:t>
      </w:r>
    </w:p>
    <w:p>
      <w:pPr>
        <w:spacing w:line="400" w:lineRule="exact"/>
        <w:ind w:left="360" w:firstLine="480"/>
        <w:jc w:val="center"/>
      </w:pPr>
    </w:p>
    <w:p>
      <w:pPr>
        <w:ind w:firstLine="480"/>
      </w:pPr>
      <w:r>
        <w:rPr>
          <w:rFonts w:hint="eastAsia"/>
        </w:rPr>
        <w:t>供应商名称：XXXX（盖单位公章）</w:t>
      </w:r>
    </w:p>
    <w:p>
      <w:pPr>
        <w:ind w:firstLine="480"/>
      </w:pPr>
      <w:r>
        <w:rPr>
          <w:rFonts w:hint="eastAsia"/>
        </w:rPr>
        <w:t>法定代表人或授权代表（签字）：XXXX</w:t>
      </w:r>
    </w:p>
    <w:p>
      <w:pPr>
        <w:ind w:firstLine="480"/>
      </w:pPr>
      <w:r>
        <w:rPr>
          <w:rFonts w:hint="eastAsia"/>
        </w:rPr>
        <w:t>日期: XXXX</w:t>
      </w:r>
    </w:p>
    <w:p>
      <w:pPr>
        <w:ind w:firstLine="480"/>
      </w:pPr>
      <w:r>
        <w:rPr>
          <w:rFonts w:hint="eastAsia"/>
        </w:rPr>
        <w:br w:type="page"/>
      </w:r>
    </w:p>
    <w:p>
      <w:pPr>
        <w:pStyle w:val="4"/>
        <w:ind w:firstLine="0" w:firstLineChars="0"/>
      </w:pPr>
      <w:r>
        <w:rPr>
          <w:rFonts w:hint="eastAsia"/>
          <w:lang w:val="en-US"/>
        </w:rPr>
        <w:t>五</w:t>
      </w:r>
      <w:r>
        <w:rPr>
          <w:rFonts w:hint="eastAsia"/>
        </w:rPr>
        <w:t>、技术</w:t>
      </w:r>
      <w:r>
        <w:rPr>
          <w:rFonts w:hint="eastAsia"/>
          <w:lang w:val="en-US"/>
        </w:rPr>
        <w:t>参数</w:t>
      </w:r>
      <w:r>
        <w:rPr>
          <w:rFonts w:hint="eastAsia"/>
        </w:rPr>
        <w:t>、服务要求应答表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355"/>
        <w:gridCol w:w="2355"/>
        <w:gridCol w:w="2355"/>
        <w:gridCol w:w="23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06" w:type="dxa"/>
            <w:vAlign w:val="center"/>
          </w:tcPr>
          <w:p>
            <w:pPr>
              <w:ind w:firstLine="0" w:firstLineChars="0"/>
              <w:jc w:val="both"/>
            </w:pPr>
            <w:r>
              <w:rPr>
                <w:rFonts w:hint="eastAsia"/>
              </w:rPr>
              <w:t>序号</w:t>
            </w:r>
          </w:p>
        </w:tc>
        <w:tc>
          <w:tcPr>
            <w:tcW w:w="2355" w:type="dxa"/>
            <w:vAlign w:val="center"/>
          </w:tcPr>
          <w:p>
            <w:pPr>
              <w:ind w:firstLine="0" w:firstLineChars="0"/>
              <w:jc w:val="both"/>
            </w:pPr>
            <w:r>
              <w:rPr>
                <w:rFonts w:hint="eastAsia"/>
              </w:rPr>
              <w:t>磋商文件条目号</w:t>
            </w:r>
          </w:p>
        </w:tc>
        <w:tc>
          <w:tcPr>
            <w:tcW w:w="2355" w:type="dxa"/>
            <w:vAlign w:val="center"/>
          </w:tcPr>
          <w:p>
            <w:pPr>
              <w:ind w:firstLine="480"/>
              <w:jc w:val="center"/>
            </w:pPr>
            <w:r>
              <w:rPr>
                <w:rFonts w:hint="eastAsia"/>
              </w:rPr>
              <w:t>磋商文件要求</w:t>
            </w:r>
          </w:p>
        </w:tc>
        <w:tc>
          <w:tcPr>
            <w:tcW w:w="2355" w:type="dxa"/>
            <w:vAlign w:val="center"/>
          </w:tcPr>
          <w:p>
            <w:pPr>
              <w:ind w:firstLine="0" w:firstLineChars="0"/>
              <w:jc w:val="both"/>
            </w:pPr>
            <w:r>
              <w:rPr>
                <w:rFonts w:hint="eastAsia"/>
              </w:rPr>
              <w:t>响应文件的应答</w:t>
            </w:r>
          </w:p>
        </w:tc>
        <w:tc>
          <w:tcPr>
            <w:tcW w:w="2342" w:type="dxa"/>
            <w:vAlign w:val="center"/>
          </w:tcPr>
          <w:p>
            <w:pPr>
              <w:ind w:firstLine="480"/>
              <w:jc w:val="both"/>
            </w:pPr>
            <w:r>
              <w:rPr>
                <w:rFonts w:hint="eastAsi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6" w:type="dxa"/>
          </w:tcPr>
          <w:p>
            <w:pPr>
              <w:ind w:firstLine="480"/>
              <w:jc w:val="center"/>
            </w:pPr>
          </w:p>
        </w:tc>
        <w:tc>
          <w:tcPr>
            <w:tcW w:w="2355" w:type="dxa"/>
          </w:tcPr>
          <w:p>
            <w:pPr>
              <w:ind w:firstLine="480"/>
              <w:jc w:val="center"/>
            </w:pPr>
          </w:p>
        </w:tc>
        <w:tc>
          <w:tcPr>
            <w:tcW w:w="2355" w:type="dxa"/>
          </w:tcPr>
          <w:p>
            <w:pPr>
              <w:ind w:firstLine="480"/>
              <w:jc w:val="center"/>
            </w:pPr>
          </w:p>
        </w:tc>
        <w:tc>
          <w:tcPr>
            <w:tcW w:w="2355" w:type="dxa"/>
          </w:tcPr>
          <w:p>
            <w:pPr>
              <w:ind w:firstLine="480"/>
              <w:jc w:val="center"/>
            </w:pPr>
          </w:p>
        </w:tc>
        <w:tc>
          <w:tcPr>
            <w:tcW w:w="2342" w:type="dxa"/>
          </w:tcPr>
          <w:p>
            <w:pPr>
              <w:ind w:firstLine="48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6" w:type="dxa"/>
          </w:tcPr>
          <w:p>
            <w:pPr>
              <w:ind w:firstLine="480"/>
              <w:jc w:val="center"/>
            </w:pPr>
          </w:p>
        </w:tc>
        <w:tc>
          <w:tcPr>
            <w:tcW w:w="2355" w:type="dxa"/>
          </w:tcPr>
          <w:p>
            <w:pPr>
              <w:ind w:firstLine="480"/>
              <w:jc w:val="center"/>
            </w:pPr>
          </w:p>
        </w:tc>
        <w:tc>
          <w:tcPr>
            <w:tcW w:w="2355" w:type="dxa"/>
          </w:tcPr>
          <w:p>
            <w:pPr>
              <w:ind w:firstLine="480"/>
              <w:jc w:val="center"/>
            </w:pPr>
          </w:p>
        </w:tc>
        <w:tc>
          <w:tcPr>
            <w:tcW w:w="2355" w:type="dxa"/>
          </w:tcPr>
          <w:p>
            <w:pPr>
              <w:ind w:firstLine="480"/>
              <w:jc w:val="center"/>
            </w:pPr>
          </w:p>
        </w:tc>
        <w:tc>
          <w:tcPr>
            <w:tcW w:w="2342" w:type="dxa"/>
          </w:tcPr>
          <w:p>
            <w:pPr>
              <w:ind w:firstLine="48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6" w:type="dxa"/>
          </w:tcPr>
          <w:p>
            <w:pPr>
              <w:ind w:firstLine="480"/>
              <w:jc w:val="center"/>
            </w:pPr>
          </w:p>
        </w:tc>
        <w:tc>
          <w:tcPr>
            <w:tcW w:w="2355" w:type="dxa"/>
          </w:tcPr>
          <w:p>
            <w:pPr>
              <w:ind w:firstLine="480"/>
              <w:jc w:val="center"/>
            </w:pPr>
          </w:p>
        </w:tc>
        <w:tc>
          <w:tcPr>
            <w:tcW w:w="2355" w:type="dxa"/>
          </w:tcPr>
          <w:p>
            <w:pPr>
              <w:ind w:firstLine="480"/>
              <w:jc w:val="center"/>
            </w:pPr>
          </w:p>
        </w:tc>
        <w:tc>
          <w:tcPr>
            <w:tcW w:w="2355" w:type="dxa"/>
          </w:tcPr>
          <w:p>
            <w:pPr>
              <w:ind w:firstLine="480"/>
              <w:jc w:val="center"/>
            </w:pPr>
          </w:p>
        </w:tc>
        <w:tc>
          <w:tcPr>
            <w:tcW w:w="2342" w:type="dxa"/>
          </w:tcPr>
          <w:p>
            <w:pPr>
              <w:ind w:firstLine="48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6" w:type="dxa"/>
          </w:tcPr>
          <w:p>
            <w:pPr>
              <w:ind w:firstLine="480"/>
              <w:jc w:val="center"/>
            </w:pPr>
          </w:p>
        </w:tc>
        <w:tc>
          <w:tcPr>
            <w:tcW w:w="2355" w:type="dxa"/>
          </w:tcPr>
          <w:p>
            <w:pPr>
              <w:ind w:firstLine="480"/>
              <w:jc w:val="center"/>
            </w:pPr>
          </w:p>
        </w:tc>
        <w:tc>
          <w:tcPr>
            <w:tcW w:w="2355" w:type="dxa"/>
          </w:tcPr>
          <w:p>
            <w:pPr>
              <w:ind w:firstLine="480"/>
              <w:jc w:val="center"/>
            </w:pPr>
          </w:p>
        </w:tc>
        <w:tc>
          <w:tcPr>
            <w:tcW w:w="2355" w:type="dxa"/>
          </w:tcPr>
          <w:p>
            <w:pPr>
              <w:ind w:firstLine="480"/>
              <w:jc w:val="center"/>
            </w:pPr>
          </w:p>
        </w:tc>
        <w:tc>
          <w:tcPr>
            <w:tcW w:w="2342" w:type="dxa"/>
          </w:tcPr>
          <w:p>
            <w:pPr>
              <w:ind w:firstLine="480"/>
              <w:jc w:val="center"/>
            </w:pPr>
          </w:p>
        </w:tc>
      </w:tr>
    </w:tbl>
    <w:p>
      <w:pPr>
        <w:ind w:firstLine="480"/>
      </w:pPr>
    </w:p>
    <w:p>
      <w:pPr>
        <w:ind w:firstLine="480"/>
        <w:rPr>
          <w:b/>
        </w:rPr>
      </w:pPr>
      <w:r>
        <w:rPr>
          <w:rFonts w:hint="eastAsia"/>
        </w:rPr>
        <w:t>注：供应商必须根据磋商文件要求据实逐条填写，不得虚假响应，虚假响应的，其响应文件无效并按规定追究其相关责任。</w:t>
      </w:r>
    </w:p>
    <w:p>
      <w:pPr>
        <w:adjustRightInd w:val="0"/>
        <w:spacing w:line="400" w:lineRule="exact"/>
        <w:ind w:firstLine="480"/>
      </w:pPr>
    </w:p>
    <w:p>
      <w:pPr>
        <w:adjustRightInd w:val="0"/>
        <w:spacing w:line="400" w:lineRule="exact"/>
        <w:ind w:firstLine="480"/>
      </w:pPr>
      <w:r>
        <w:rPr>
          <w:rFonts w:hint="eastAsia"/>
        </w:rPr>
        <w:t>供应商名称：XXX（盖单位公章）</w:t>
      </w:r>
    </w:p>
    <w:p>
      <w:pPr>
        <w:adjustRightInd w:val="0"/>
        <w:spacing w:line="400" w:lineRule="exact"/>
        <w:ind w:firstLine="480"/>
        <w:rPr>
          <w:bCs/>
        </w:rPr>
      </w:pPr>
      <w:r>
        <w:rPr>
          <w:rFonts w:hint="eastAsia"/>
          <w:bCs/>
        </w:rPr>
        <w:t>法定代表人或授权代表（签字或盖章）：XXX</w:t>
      </w:r>
    </w:p>
    <w:p>
      <w:pPr>
        <w:adjustRightInd w:val="0"/>
        <w:spacing w:line="400" w:lineRule="exact"/>
        <w:ind w:firstLine="540" w:firstLineChars="225"/>
        <w:rPr>
          <w:bCs/>
        </w:rPr>
      </w:pPr>
      <w:r>
        <w:rPr>
          <w:rFonts w:hint="eastAsia"/>
          <w:bCs/>
        </w:rPr>
        <w:t>日  期</w:t>
      </w:r>
      <w:r>
        <w:rPr>
          <w:rFonts w:hint="eastAsia"/>
        </w:rPr>
        <w:t>：</w:t>
      </w:r>
      <w:r>
        <w:rPr>
          <w:rFonts w:hint="eastAsia"/>
          <w:bCs/>
        </w:rPr>
        <w:t>XXX年XXX月XXX日</w:t>
      </w:r>
    </w:p>
    <w:p>
      <w:pPr>
        <w:ind w:firstLine="480"/>
      </w:pPr>
      <w:r>
        <w:rPr>
          <w:rFonts w:hint="eastAsia"/>
        </w:rPr>
        <w:br w:type="page"/>
      </w:r>
    </w:p>
    <w:p>
      <w:pPr>
        <w:pStyle w:val="4"/>
        <w:ind w:firstLine="0" w:firstLineChars="0"/>
      </w:pPr>
      <w:r>
        <w:rPr>
          <w:rFonts w:hint="eastAsia"/>
          <w:lang w:val="en-US"/>
        </w:rPr>
        <w:t>六</w:t>
      </w:r>
      <w:r>
        <w:rPr>
          <w:rFonts w:hint="eastAsia"/>
        </w:rPr>
        <w:t>、商务应答表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355"/>
        <w:gridCol w:w="2355"/>
        <w:gridCol w:w="2355"/>
        <w:gridCol w:w="23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806" w:type="dxa"/>
            <w:vAlign w:val="center"/>
          </w:tcPr>
          <w:p>
            <w:pPr>
              <w:ind w:firstLine="0" w:firstLineChars="0"/>
              <w:jc w:val="both"/>
            </w:pPr>
            <w:r>
              <w:rPr>
                <w:rFonts w:hint="eastAsia"/>
              </w:rPr>
              <w:t>序号</w:t>
            </w:r>
          </w:p>
        </w:tc>
        <w:tc>
          <w:tcPr>
            <w:tcW w:w="2355" w:type="dxa"/>
            <w:vAlign w:val="center"/>
          </w:tcPr>
          <w:p>
            <w:pPr>
              <w:ind w:firstLine="0" w:firstLineChars="0"/>
              <w:jc w:val="both"/>
            </w:pPr>
            <w:r>
              <w:rPr>
                <w:rFonts w:hint="eastAsia"/>
              </w:rPr>
              <w:t>磋商文件条目号</w:t>
            </w:r>
          </w:p>
        </w:tc>
        <w:tc>
          <w:tcPr>
            <w:tcW w:w="2355" w:type="dxa"/>
            <w:vAlign w:val="center"/>
          </w:tcPr>
          <w:p>
            <w:pPr>
              <w:ind w:firstLine="480"/>
              <w:jc w:val="center"/>
            </w:pPr>
            <w:r>
              <w:rPr>
                <w:rFonts w:hint="eastAsia"/>
              </w:rPr>
              <w:t>磋商文件要求</w:t>
            </w:r>
          </w:p>
        </w:tc>
        <w:tc>
          <w:tcPr>
            <w:tcW w:w="2355" w:type="dxa"/>
            <w:vAlign w:val="center"/>
          </w:tcPr>
          <w:p>
            <w:pPr>
              <w:ind w:firstLine="0" w:firstLineChars="0"/>
              <w:jc w:val="both"/>
            </w:pPr>
            <w:r>
              <w:rPr>
                <w:rFonts w:hint="eastAsia"/>
              </w:rPr>
              <w:t>响应文件的应答</w:t>
            </w:r>
          </w:p>
        </w:tc>
        <w:tc>
          <w:tcPr>
            <w:tcW w:w="2342" w:type="dxa"/>
            <w:vAlign w:val="center"/>
          </w:tcPr>
          <w:p>
            <w:pPr>
              <w:ind w:firstLine="480"/>
              <w:jc w:val="both"/>
            </w:pPr>
            <w:r>
              <w:rPr>
                <w:rFonts w:hint="eastAsi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6" w:type="dxa"/>
          </w:tcPr>
          <w:p>
            <w:pPr>
              <w:ind w:firstLine="480"/>
              <w:jc w:val="center"/>
            </w:pPr>
          </w:p>
        </w:tc>
        <w:tc>
          <w:tcPr>
            <w:tcW w:w="2355" w:type="dxa"/>
          </w:tcPr>
          <w:p>
            <w:pPr>
              <w:ind w:firstLine="480"/>
              <w:jc w:val="center"/>
            </w:pPr>
          </w:p>
        </w:tc>
        <w:tc>
          <w:tcPr>
            <w:tcW w:w="2355" w:type="dxa"/>
          </w:tcPr>
          <w:p>
            <w:pPr>
              <w:ind w:firstLine="480"/>
              <w:jc w:val="center"/>
            </w:pPr>
          </w:p>
        </w:tc>
        <w:tc>
          <w:tcPr>
            <w:tcW w:w="2355" w:type="dxa"/>
          </w:tcPr>
          <w:p>
            <w:pPr>
              <w:ind w:firstLine="480"/>
              <w:jc w:val="center"/>
            </w:pPr>
          </w:p>
        </w:tc>
        <w:tc>
          <w:tcPr>
            <w:tcW w:w="2342" w:type="dxa"/>
          </w:tcPr>
          <w:p>
            <w:pPr>
              <w:ind w:firstLine="48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6" w:type="dxa"/>
          </w:tcPr>
          <w:p>
            <w:pPr>
              <w:ind w:firstLine="480"/>
              <w:jc w:val="center"/>
            </w:pPr>
          </w:p>
        </w:tc>
        <w:tc>
          <w:tcPr>
            <w:tcW w:w="2355" w:type="dxa"/>
          </w:tcPr>
          <w:p>
            <w:pPr>
              <w:ind w:firstLine="480"/>
              <w:jc w:val="center"/>
            </w:pPr>
          </w:p>
        </w:tc>
        <w:tc>
          <w:tcPr>
            <w:tcW w:w="2355" w:type="dxa"/>
          </w:tcPr>
          <w:p>
            <w:pPr>
              <w:ind w:firstLine="480"/>
              <w:jc w:val="center"/>
            </w:pPr>
          </w:p>
        </w:tc>
        <w:tc>
          <w:tcPr>
            <w:tcW w:w="2355" w:type="dxa"/>
          </w:tcPr>
          <w:p>
            <w:pPr>
              <w:ind w:firstLine="480"/>
              <w:jc w:val="center"/>
            </w:pPr>
          </w:p>
        </w:tc>
        <w:tc>
          <w:tcPr>
            <w:tcW w:w="2342" w:type="dxa"/>
          </w:tcPr>
          <w:p>
            <w:pPr>
              <w:ind w:firstLine="48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6" w:type="dxa"/>
          </w:tcPr>
          <w:p>
            <w:pPr>
              <w:ind w:firstLine="480"/>
              <w:jc w:val="center"/>
            </w:pPr>
          </w:p>
        </w:tc>
        <w:tc>
          <w:tcPr>
            <w:tcW w:w="2355" w:type="dxa"/>
          </w:tcPr>
          <w:p>
            <w:pPr>
              <w:ind w:firstLine="480"/>
              <w:jc w:val="center"/>
            </w:pPr>
          </w:p>
        </w:tc>
        <w:tc>
          <w:tcPr>
            <w:tcW w:w="2355" w:type="dxa"/>
          </w:tcPr>
          <w:p>
            <w:pPr>
              <w:ind w:firstLine="480"/>
              <w:jc w:val="center"/>
            </w:pPr>
          </w:p>
        </w:tc>
        <w:tc>
          <w:tcPr>
            <w:tcW w:w="2355" w:type="dxa"/>
          </w:tcPr>
          <w:p>
            <w:pPr>
              <w:ind w:firstLine="480"/>
              <w:jc w:val="center"/>
            </w:pPr>
          </w:p>
        </w:tc>
        <w:tc>
          <w:tcPr>
            <w:tcW w:w="2342" w:type="dxa"/>
          </w:tcPr>
          <w:p>
            <w:pPr>
              <w:ind w:firstLine="48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806" w:type="dxa"/>
          </w:tcPr>
          <w:p>
            <w:pPr>
              <w:ind w:firstLine="480"/>
              <w:jc w:val="center"/>
            </w:pPr>
          </w:p>
        </w:tc>
        <w:tc>
          <w:tcPr>
            <w:tcW w:w="2355" w:type="dxa"/>
          </w:tcPr>
          <w:p>
            <w:pPr>
              <w:ind w:firstLine="480"/>
              <w:jc w:val="center"/>
            </w:pPr>
          </w:p>
        </w:tc>
        <w:tc>
          <w:tcPr>
            <w:tcW w:w="2355" w:type="dxa"/>
          </w:tcPr>
          <w:p>
            <w:pPr>
              <w:ind w:firstLine="480"/>
              <w:jc w:val="center"/>
            </w:pPr>
          </w:p>
        </w:tc>
        <w:tc>
          <w:tcPr>
            <w:tcW w:w="2355" w:type="dxa"/>
          </w:tcPr>
          <w:p>
            <w:pPr>
              <w:ind w:firstLine="480"/>
              <w:jc w:val="center"/>
            </w:pPr>
          </w:p>
        </w:tc>
        <w:tc>
          <w:tcPr>
            <w:tcW w:w="2342" w:type="dxa"/>
          </w:tcPr>
          <w:p>
            <w:pPr>
              <w:ind w:firstLine="480"/>
              <w:jc w:val="center"/>
            </w:pPr>
          </w:p>
        </w:tc>
      </w:tr>
    </w:tbl>
    <w:p>
      <w:pPr>
        <w:ind w:firstLine="480"/>
        <w:rPr>
          <w:b/>
        </w:rPr>
      </w:pPr>
      <w:r>
        <w:rPr>
          <w:rFonts w:hint="eastAsia"/>
        </w:rPr>
        <w:t>注意：供应商必须据实填写，不得虚假响应，虚假响应的，其响应文件无效并按规定追究其相关责任。</w:t>
      </w:r>
    </w:p>
    <w:p>
      <w:pPr>
        <w:adjustRightInd w:val="0"/>
        <w:spacing w:line="400" w:lineRule="exact"/>
        <w:ind w:firstLine="480"/>
      </w:pPr>
    </w:p>
    <w:p>
      <w:pPr>
        <w:adjustRightInd w:val="0"/>
        <w:spacing w:line="400" w:lineRule="exact"/>
        <w:ind w:firstLine="480"/>
      </w:pPr>
      <w:r>
        <w:rPr>
          <w:rFonts w:hint="eastAsia"/>
        </w:rPr>
        <w:t>供应商人名称：XXX（盖单位公章）</w:t>
      </w:r>
    </w:p>
    <w:p>
      <w:pPr>
        <w:adjustRightInd w:val="0"/>
        <w:spacing w:line="400" w:lineRule="exact"/>
        <w:ind w:firstLine="540" w:firstLineChars="225"/>
        <w:rPr>
          <w:bCs/>
        </w:rPr>
      </w:pPr>
      <w:r>
        <w:rPr>
          <w:rFonts w:hint="eastAsia"/>
          <w:bCs/>
        </w:rPr>
        <w:t>法定代表人或授权代表（签字或盖章）：XXX</w:t>
      </w:r>
    </w:p>
    <w:p>
      <w:pPr>
        <w:adjustRightInd w:val="0"/>
        <w:spacing w:line="400" w:lineRule="exact"/>
        <w:ind w:firstLine="540" w:firstLineChars="225"/>
        <w:rPr>
          <w:bCs/>
        </w:rPr>
      </w:pPr>
      <w:r>
        <w:rPr>
          <w:rFonts w:hint="eastAsia"/>
          <w:bCs/>
        </w:rPr>
        <w:t>日  期：XXX年XXX月XXX日</w:t>
      </w:r>
    </w:p>
    <w:p>
      <w:pPr>
        <w:ind w:left="0" w:leftChars="0" w:firstLine="0" w:firstLineChars="0"/>
      </w:pPr>
      <w:r>
        <w:rPr>
          <w:rFonts w:hint="eastAsia"/>
        </w:rPr>
        <w:br w:type="page"/>
      </w:r>
    </w:p>
    <w:p>
      <w:pPr>
        <w:pStyle w:val="4"/>
        <w:ind w:firstLine="0" w:firstLineChars="0"/>
      </w:pPr>
      <w:r>
        <w:rPr>
          <w:rFonts w:hint="eastAsia"/>
          <w:lang w:val="en-US" w:eastAsia="zh-CN"/>
        </w:rPr>
        <w:t>七</w:t>
      </w:r>
      <w:r>
        <w:rPr>
          <w:rFonts w:hint="eastAsia"/>
        </w:rPr>
        <w:t>、供应商本项目管理、技术、服务人员情况表</w:t>
      </w:r>
    </w:p>
    <w:p>
      <w:pPr>
        <w:ind w:firstLine="0" w:firstLineChars="0"/>
      </w:pPr>
      <w:r>
        <w:rPr>
          <w:rFonts w:hint="eastAsia"/>
        </w:rPr>
        <w:t>采购编号：</w:t>
      </w:r>
    </w:p>
    <w:tbl>
      <w:tblPr>
        <w:tblStyle w:val="24"/>
        <w:tblW w:w="102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418"/>
        <w:gridCol w:w="1136"/>
        <w:gridCol w:w="1135"/>
        <w:gridCol w:w="1135"/>
        <w:gridCol w:w="1206"/>
        <w:gridCol w:w="1064"/>
        <w:gridCol w:w="1136"/>
        <w:gridCol w:w="1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restart"/>
            <w:vAlign w:val="center"/>
          </w:tcPr>
          <w:p>
            <w:pPr>
              <w:ind w:firstLine="0" w:firstLineChars="0"/>
            </w:pPr>
            <w:r>
              <w:rPr>
                <w:rFonts w:hint="eastAsia"/>
              </w:rPr>
              <w:t>类别</w:t>
            </w:r>
          </w:p>
        </w:tc>
        <w:tc>
          <w:tcPr>
            <w:tcW w:w="1418" w:type="dxa"/>
            <w:vMerge w:val="restart"/>
            <w:vAlign w:val="center"/>
          </w:tcPr>
          <w:p>
            <w:pPr>
              <w:ind w:firstLine="0" w:firstLineChars="0"/>
            </w:pPr>
            <w:r>
              <w:rPr>
                <w:rFonts w:hint="eastAsia"/>
              </w:rPr>
              <w:t>职务</w:t>
            </w:r>
          </w:p>
        </w:tc>
        <w:tc>
          <w:tcPr>
            <w:tcW w:w="1136" w:type="dxa"/>
            <w:vMerge w:val="restart"/>
            <w:vAlign w:val="center"/>
          </w:tcPr>
          <w:p>
            <w:pPr>
              <w:ind w:firstLine="0" w:firstLineChars="0"/>
            </w:pPr>
            <w:r>
              <w:rPr>
                <w:rFonts w:hint="eastAsia"/>
              </w:rPr>
              <w:t>姓名</w:t>
            </w:r>
          </w:p>
        </w:tc>
        <w:tc>
          <w:tcPr>
            <w:tcW w:w="1135" w:type="dxa"/>
            <w:vMerge w:val="restart"/>
            <w:vAlign w:val="center"/>
          </w:tcPr>
          <w:p>
            <w:pPr>
              <w:ind w:firstLine="0" w:firstLineChars="0"/>
            </w:pPr>
            <w:r>
              <w:rPr>
                <w:rFonts w:hint="eastAsia"/>
              </w:rPr>
              <w:t>职称</w:t>
            </w:r>
          </w:p>
        </w:tc>
        <w:tc>
          <w:tcPr>
            <w:tcW w:w="1135" w:type="dxa"/>
            <w:vMerge w:val="restart"/>
            <w:vAlign w:val="center"/>
          </w:tcPr>
          <w:p>
            <w:pPr>
              <w:ind w:firstLine="0" w:firstLineChars="0"/>
            </w:pPr>
            <w:r>
              <w:rPr>
                <w:rFonts w:hint="eastAsia"/>
              </w:rPr>
              <w:t>常住地</w:t>
            </w:r>
          </w:p>
        </w:tc>
        <w:tc>
          <w:tcPr>
            <w:tcW w:w="4541" w:type="dxa"/>
            <w:gridSpan w:val="4"/>
            <w:vAlign w:val="center"/>
          </w:tcPr>
          <w:p>
            <w:pPr>
              <w:ind w:firstLine="480"/>
            </w:pPr>
            <w:r>
              <w:rPr>
                <w:rFonts w:hint="eastAsia"/>
              </w:rPr>
              <w:t>资格证明（附复印件）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vAlign w:val="center"/>
          </w:tcPr>
          <w:p>
            <w:pPr>
              <w:ind w:firstLine="480"/>
            </w:pPr>
          </w:p>
        </w:tc>
        <w:tc>
          <w:tcPr>
            <w:tcW w:w="1418" w:type="dxa"/>
            <w:vMerge w:val="continue"/>
            <w:vAlign w:val="center"/>
          </w:tcPr>
          <w:p>
            <w:pPr>
              <w:ind w:firstLine="480"/>
            </w:pPr>
          </w:p>
        </w:tc>
        <w:tc>
          <w:tcPr>
            <w:tcW w:w="1136" w:type="dxa"/>
            <w:vMerge w:val="continue"/>
            <w:vAlign w:val="center"/>
          </w:tcPr>
          <w:p>
            <w:pPr>
              <w:ind w:firstLine="480"/>
            </w:pPr>
          </w:p>
        </w:tc>
        <w:tc>
          <w:tcPr>
            <w:tcW w:w="1135" w:type="dxa"/>
            <w:vMerge w:val="continue"/>
            <w:vAlign w:val="center"/>
          </w:tcPr>
          <w:p>
            <w:pPr>
              <w:ind w:firstLine="480"/>
            </w:pPr>
          </w:p>
        </w:tc>
        <w:tc>
          <w:tcPr>
            <w:tcW w:w="1135" w:type="dxa"/>
            <w:vMerge w:val="continue"/>
            <w:vAlign w:val="center"/>
          </w:tcPr>
          <w:p>
            <w:pPr>
              <w:ind w:firstLine="480"/>
            </w:pPr>
          </w:p>
        </w:tc>
        <w:tc>
          <w:tcPr>
            <w:tcW w:w="1206" w:type="dxa"/>
            <w:vAlign w:val="center"/>
          </w:tcPr>
          <w:p>
            <w:pPr>
              <w:ind w:firstLine="0" w:firstLineChars="0"/>
            </w:pPr>
            <w:r>
              <w:rPr>
                <w:rFonts w:hint="eastAsia"/>
              </w:rPr>
              <w:t>证书名称</w:t>
            </w:r>
          </w:p>
        </w:tc>
        <w:tc>
          <w:tcPr>
            <w:tcW w:w="1064" w:type="dxa"/>
            <w:vAlign w:val="center"/>
          </w:tcPr>
          <w:p>
            <w:pPr>
              <w:ind w:firstLine="0" w:firstLineChars="0"/>
            </w:pPr>
            <w:r>
              <w:rPr>
                <w:rFonts w:hint="eastAsia"/>
              </w:rPr>
              <w:t>级别</w:t>
            </w:r>
          </w:p>
        </w:tc>
        <w:tc>
          <w:tcPr>
            <w:tcW w:w="1136" w:type="dxa"/>
            <w:vAlign w:val="center"/>
          </w:tcPr>
          <w:p>
            <w:pPr>
              <w:ind w:firstLine="0" w:firstLineChars="0"/>
            </w:pPr>
            <w:r>
              <w:rPr>
                <w:rFonts w:hint="eastAsia"/>
              </w:rPr>
              <w:t>证号</w:t>
            </w:r>
          </w:p>
        </w:tc>
        <w:tc>
          <w:tcPr>
            <w:tcW w:w="1135" w:type="dxa"/>
            <w:vAlign w:val="center"/>
          </w:tcPr>
          <w:p>
            <w:pPr>
              <w:ind w:firstLine="0" w:firstLineChars="0"/>
            </w:pPr>
            <w:r>
              <w:rPr>
                <w:rFonts w:hint="eastAsia"/>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restart"/>
            <w:vAlign w:val="center"/>
          </w:tcPr>
          <w:p>
            <w:pPr>
              <w:ind w:firstLine="0" w:firstLineChars="0"/>
              <w:jc w:val="both"/>
            </w:pPr>
            <w:r>
              <w:rPr>
                <w:rFonts w:hint="eastAsia"/>
              </w:rPr>
              <w:t>管理</w:t>
            </w:r>
          </w:p>
          <w:p>
            <w:pPr>
              <w:ind w:firstLine="0" w:firstLineChars="0"/>
              <w:jc w:val="both"/>
            </w:pPr>
            <w:r>
              <w:rPr>
                <w:rFonts w:hint="eastAsia"/>
              </w:rPr>
              <w:t>人员</w:t>
            </w:r>
          </w:p>
        </w:tc>
        <w:tc>
          <w:tcPr>
            <w:tcW w:w="1418" w:type="dxa"/>
          </w:tcPr>
          <w:p>
            <w:pPr>
              <w:ind w:firstLine="480"/>
            </w:pPr>
          </w:p>
        </w:tc>
        <w:tc>
          <w:tcPr>
            <w:tcW w:w="1136" w:type="dxa"/>
          </w:tcPr>
          <w:p>
            <w:pPr>
              <w:ind w:firstLine="480"/>
            </w:pPr>
          </w:p>
        </w:tc>
        <w:tc>
          <w:tcPr>
            <w:tcW w:w="1135" w:type="dxa"/>
          </w:tcPr>
          <w:p>
            <w:pPr>
              <w:ind w:firstLine="480"/>
            </w:pPr>
          </w:p>
        </w:tc>
        <w:tc>
          <w:tcPr>
            <w:tcW w:w="1135" w:type="dxa"/>
          </w:tcPr>
          <w:p>
            <w:pPr>
              <w:ind w:firstLine="480"/>
            </w:pPr>
          </w:p>
        </w:tc>
        <w:tc>
          <w:tcPr>
            <w:tcW w:w="1206" w:type="dxa"/>
          </w:tcPr>
          <w:p>
            <w:pPr>
              <w:ind w:firstLine="480"/>
            </w:pPr>
          </w:p>
        </w:tc>
        <w:tc>
          <w:tcPr>
            <w:tcW w:w="1064" w:type="dxa"/>
          </w:tcPr>
          <w:p>
            <w:pPr>
              <w:ind w:firstLine="480"/>
            </w:pPr>
          </w:p>
        </w:tc>
        <w:tc>
          <w:tcPr>
            <w:tcW w:w="1136" w:type="dxa"/>
          </w:tcPr>
          <w:p>
            <w:pPr>
              <w:ind w:firstLine="480"/>
            </w:pPr>
          </w:p>
        </w:tc>
        <w:tc>
          <w:tcPr>
            <w:tcW w:w="1135" w:type="dxa"/>
          </w:tcPr>
          <w:p>
            <w:pPr>
              <w:ind w:firstLine="48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vAlign w:val="center"/>
          </w:tcPr>
          <w:p>
            <w:pPr>
              <w:ind w:firstLine="480"/>
              <w:jc w:val="center"/>
            </w:pPr>
          </w:p>
        </w:tc>
        <w:tc>
          <w:tcPr>
            <w:tcW w:w="1418" w:type="dxa"/>
          </w:tcPr>
          <w:p>
            <w:pPr>
              <w:ind w:firstLine="480"/>
            </w:pPr>
          </w:p>
        </w:tc>
        <w:tc>
          <w:tcPr>
            <w:tcW w:w="1136" w:type="dxa"/>
          </w:tcPr>
          <w:p>
            <w:pPr>
              <w:ind w:firstLine="480"/>
            </w:pPr>
          </w:p>
        </w:tc>
        <w:tc>
          <w:tcPr>
            <w:tcW w:w="1135" w:type="dxa"/>
          </w:tcPr>
          <w:p>
            <w:pPr>
              <w:ind w:firstLine="480"/>
            </w:pPr>
          </w:p>
        </w:tc>
        <w:tc>
          <w:tcPr>
            <w:tcW w:w="1135" w:type="dxa"/>
          </w:tcPr>
          <w:p>
            <w:pPr>
              <w:ind w:firstLine="480"/>
            </w:pPr>
          </w:p>
        </w:tc>
        <w:tc>
          <w:tcPr>
            <w:tcW w:w="1206" w:type="dxa"/>
          </w:tcPr>
          <w:p>
            <w:pPr>
              <w:ind w:firstLine="480"/>
            </w:pPr>
          </w:p>
        </w:tc>
        <w:tc>
          <w:tcPr>
            <w:tcW w:w="1064" w:type="dxa"/>
          </w:tcPr>
          <w:p>
            <w:pPr>
              <w:ind w:firstLine="480"/>
            </w:pPr>
          </w:p>
        </w:tc>
        <w:tc>
          <w:tcPr>
            <w:tcW w:w="1136" w:type="dxa"/>
          </w:tcPr>
          <w:p>
            <w:pPr>
              <w:ind w:firstLine="480"/>
            </w:pPr>
          </w:p>
        </w:tc>
        <w:tc>
          <w:tcPr>
            <w:tcW w:w="1135" w:type="dxa"/>
          </w:tcPr>
          <w:p>
            <w:pPr>
              <w:ind w:firstLine="48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vAlign w:val="center"/>
          </w:tcPr>
          <w:p>
            <w:pPr>
              <w:ind w:firstLine="480"/>
              <w:jc w:val="center"/>
            </w:pPr>
          </w:p>
        </w:tc>
        <w:tc>
          <w:tcPr>
            <w:tcW w:w="1418" w:type="dxa"/>
          </w:tcPr>
          <w:p>
            <w:pPr>
              <w:ind w:firstLine="480"/>
            </w:pPr>
          </w:p>
        </w:tc>
        <w:tc>
          <w:tcPr>
            <w:tcW w:w="1136" w:type="dxa"/>
          </w:tcPr>
          <w:p>
            <w:pPr>
              <w:ind w:firstLine="480"/>
            </w:pPr>
          </w:p>
        </w:tc>
        <w:tc>
          <w:tcPr>
            <w:tcW w:w="1135" w:type="dxa"/>
          </w:tcPr>
          <w:p>
            <w:pPr>
              <w:ind w:firstLine="480"/>
            </w:pPr>
          </w:p>
        </w:tc>
        <w:tc>
          <w:tcPr>
            <w:tcW w:w="1135" w:type="dxa"/>
          </w:tcPr>
          <w:p>
            <w:pPr>
              <w:ind w:firstLine="480"/>
            </w:pPr>
          </w:p>
        </w:tc>
        <w:tc>
          <w:tcPr>
            <w:tcW w:w="1206" w:type="dxa"/>
          </w:tcPr>
          <w:p>
            <w:pPr>
              <w:ind w:firstLine="480"/>
            </w:pPr>
          </w:p>
        </w:tc>
        <w:tc>
          <w:tcPr>
            <w:tcW w:w="1064" w:type="dxa"/>
          </w:tcPr>
          <w:p>
            <w:pPr>
              <w:ind w:firstLine="480"/>
            </w:pPr>
          </w:p>
        </w:tc>
        <w:tc>
          <w:tcPr>
            <w:tcW w:w="1136" w:type="dxa"/>
          </w:tcPr>
          <w:p>
            <w:pPr>
              <w:ind w:firstLine="480"/>
            </w:pPr>
          </w:p>
        </w:tc>
        <w:tc>
          <w:tcPr>
            <w:tcW w:w="1135" w:type="dxa"/>
          </w:tcPr>
          <w:p>
            <w:pPr>
              <w:ind w:firstLine="48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restart"/>
            <w:vAlign w:val="center"/>
          </w:tcPr>
          <w:p>
            <w:pPr>
              <w:ind w:firstLine="0" w:firstLineChars="0"/>
              <w:jc w:val="both"/>
            </w:pPr>
            <w:r>
              <w:rPr>
                <w:rFonts w:hint="eastAsia"/>
              </w:rPr>
              <w:t>技术</w:t>
            </w:r>
          </w:p>
          <w:p>
            <w:pPr>
              <w:ind w:firstLine="0" w:firstLineChars="0"/>
              <w:jc w:val="both"/>
            </w:pPr>
            <w:r>
              <w:rPr>
                <w:rFonts w:hint="eastAsia"/>
              </w:rPr>
              <w:t>人员</w:t>
            </w:r>
          </w:p>
        </w:tc>
        <w:tc>
          <w:tcPr>
            <w:tcW w:w="1418" w:type="dxa"/>
          </w:tcPr>
          <w:p>
            <w:pPr>
              <w:ind w:firstLine="480"/>
            </w:pPr>
          </w:p>
        </w:tc>
        <w:tc>
          <w:tcPr>
            <w:tcW w:w="1136" w:type="dxa"/>
          </w:tcPr>
          <w:p>
            <w:pPr>
              <w:ind w:firstLine="480"/>
            </w:pPr>
          </w:p>
        </w:tc>
        <w:tc>
          <w:tcPr>
            <w:tcW w:w="1135" w:type="dxa"/>
          </w:tcPr>
          <w:p>
            <w:pPr>
              <w:ind w:firstLine="480"/>
            </w:pPr>
          </w:p>
        </w:tc>
        <w:tc>
          <w:tcPr>
            <w:tcW w:w="1135" w:type="dxa"/>
          </w:tcPr>
          <w:p>
            <w:pPr>
              <w:ind w:firstLine="480"/>
            </w:pPr>
          </w:p>
        </w:tc>
        <w:tc>
          <w:tcPr>
            <w:tcW w:w="1206" w:type="dxa"/>
          </w:tcPr>
          <w:p>
            <w:pPr>
              <w:ind w:firstLine="480"/>
            </w:pPr>
          </w:p>
        </w:tc>
        <w:tc>
          <w:tcPr>
            <w:tcW w:w="1064" w:type="dxa"/>
          </w:tcPr>
          <w:p>
            <w:pPr>
              <w:ind w:firstLine="480"/>
            </w:pPr>
          </w:p>
        </w:tc>
        <w:tc>
          <w:tcPr>
            <w:tcW w:w="1136" w:type="dxa"/>
          </w:tcPr>
          <w:p>
            <w:pPr>
              <w:ind w:firstLine="480"/>
            </w:pPr>
          </w:p>
        </w:tc>
        <w:tc>
          <w:tcPr>
            <w:tcW w:w="1135" w:type="dxa"/>
          </w:tcPr>
          <w:p>
            <w:pPr>
              <w:ind w:firstLine="48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vAlign w:val="center"/>
          </w:tcPr>
          <w:p>
            <w:pPr>
              <w:ind w:firstLine="480"/>
              <w:jc w:val="center"/>
            </w:pPr>
          </w:p>
        </w:tc>
        <w:tc>
          <w:tcPr>
            <w:tcW w:w="1418" w:type="dxa"/>
          </w:tcPr>
          <w:p>
            <w:pPr>
              <w:ind w:firstLine="480"/>
            </w:pPr>
          </w:p>
        </w:tc>
        <w:tc>
          <w:tcPr>
            <w:tcW w:w="1136" w:type="dxa"/>
          </w:tcPr>
          <w:p>
            <w:pPr>
              <w:ind w:firstLine="480"/>
            </w:pPr>
          </w:p>
        </w:tc>
        <w:tc>
          <w:tcPr>
            <w:tcW w:w="1135" w:type="dxa"/>
          </w:tcPr>
          <w:p>
            <w:pPr>
              <w:ind w:firstLine="480"/>
            </w:pPr>
          </w:p>
        </w:tc>
        <w:tc>
          <w:tcPr>
            <w:tcW w:w="1135" w:type="dxa"/>
          </w:tcPr>
          <w:p>
            <w:pPr>
              <w:ind w:firstLine="480"/>
            </w:pPr>
          </w:p>
        </w:tc>
        <w:tc>
          <w:tcPr>
            <w:tcW w:w="1206" w:type="dxa"/>
          </w:tcPr>
          <w:p>
            <w:pPr>
              <w:ind w:firstLine="480"/>
            </w:pPr>
          </w:p>
        </w:tc>
        <w:tc>
          <w:tcPr>
            <w:tcW w:w="1064" w:type="dxa"/>
          </w:tcPr>
          <w:p>
            <w:pPr>
              <w:ind w:firstLine="480"/>
            </w:pPr>
          </w:p>
        </w:tc>
        <w:tc>
          <w:tcPr>
            <w:tcW w:w="1136" w:type="dxa"/>
          </w:tcPr>
          <w:p>
            <w:pPr>
              <w:ind w:firstLine="480"/>
            </w:pPr>
          </w:p>
        </w:tc>
        <w:tc>
          <w:tcPr>
            <w:tcW w:w="1135" w:type="dxa"/>
          </w:tcPr>
          <w:p>
            <w:pPr>
              <w:ind w:firstLine="48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vAlign w:val="center"/>
          </w:tcPr>
          <w:p>
            <w:pPr>
              <w:ind w:firstLine="480"/>
              <w:jc w:val="center"/>
            </w:pPr>
          </w:p>
        </w:tc>
        <w:tc>
          <w:tcPr>
            <w:tcW w:w="1418" w:type="dxa"/>
          </w:tcPr>
          <w:p>
            <w:pPr>
              <w:ind w:firstLine="480"/>
            </w:pPr>
          </w:p>
        </w:tc>
        <w:tc>
          <w:tcPr>
            <w:tcW w:w="1136" w:type="dxa"/>
          </w:tcPr>
          <w:p>
            <w:pPr>
              <w:ind w:firstLine="480"/>
            </w:pPr>
          </w:p>
        </w:tc>
        <w:tc>
          <w:tcPr>
            <w:tcW w:w="1135" w:type="dxa"/>
          </w:tcPr>
          <w:p>
            <w:pPr>
              <w:ind w:firstLine="480"/>
            </w:pPr>
          </w:p>
        </w:tc>
        <w:tc>
          <w:tcPr>
            <w:tcW w:w="1135" w:type="dxa"/>
          </w:tcPr>
          <w:p>
            <w:pPr>
              <w:ind w:firstLine="480"/>
            </w:pPr>
          </w:p>
        </w:tc>
        <w:tc>
          <w:tcPr>
            <w:tcW w:w="1206" w:type="dxa"/>
          </w:tcPr>
          <w:p>
            <w:pPr>
              <w:ind w:firstLine="480"/>
            </w:pPr>
          </w:p>
        </w:tc>
        <w:tc>
          <w:tcPr>
            <w:tcW w:w="1064" w:type="dxa"/>
          </w:tcPr>
          <w:p>
            <w:pPr>
              <w:ind w:firstLine="480"/>
            </w:pPr>
          </w:p>
        </w:tc>
        <w:tc>
          <w:tcPr>
            <w:tcW w:w="1136" w:type="dxa"/>
          </w:tcPr>
          <w:p>
            <w:pPr>
              <w:ind w:firstLine="480"/>
            </w:pPr>
          </w:p>
        </w:tc>
        <w:tc>
          <w:tcPr>
            <w:tcW w:w="1135" w:type="dxa"/>
          </w:tcPr>
          <w:p>
            <w:pPr>
              <w:ind w:firstLine="48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restart"/>
            <w:vAlign w:val="center"/>
          </w:tcPr>
          <w:p>
            <w:pPr>
              <w:ind w:firstLine="0" w:firstLineChars="0"/>
              <w:jc w:val="both"/>
            </w:pPr>
            <w:r>
              <w:rPr>
                <w:rFonts w:hint="eastAsia"/>
              </w:rPr>
              <w:t>售后服务人</w:t>
            </w:r>
            <w:r>
              <w:rPr>
                <w:rFonts w:hint="eastAsia"/>
                <w:lang w:val="en-US"/>
              </w:rPr>
              <w:t xml:space="preserve"> </w:t>
            </w:r>
            <w:r>
              <w:rPr>
                <w:rFonts w:hint="eastAsia"/>
              </w:rPr>
              <w:t>员</w:t>
            </w:r>
          </w:p>
        </w:tc>
        <w:tc>
          <w:tcPr>
            <w:tcW w:w="1418" w:type="dxa"/>
          </w:tcPr>
          <w:p>
            <w:pPr>
              <w:ind w:firstLine="480"/>
            </w:pPr>
          </w:p>
        </w:tc>
        <w:tc>
          <w:tcPr>
            <w:tcW w:w="1136" w:type="dxa"/>
          </w:tcPr>
          <w:p>
            <w:pPr>
              <w:ind w:firstLine="480"/>
            </w:pPr>
          </w:p>
        </w:tc>
        <w:tc>
          <w:tcPr>
            <w:tcW w:w="1135" w:type="dxa"/>
          </w:tcPr>
          <w:p>
            <w:pPr>
              <w:ind w:firstLine="480"/>
            </w:pPr>
          </w:p>
        </w:tc>
        <w:tc>
          <w:tcPr>
            <w:tcW w:w="1135" w:type="dxa"/>
          </w:tcPr>
          <w:p>
            <w:pPr>
              <w:ind w:firstLine="480"/>
            </w:pPr>
          </w:p>
        </w:tc>
        <w:tc>
          <w:tcPr>
            <w:tcW w:w="1206" w:type="dxa"/>
          </w:tcPr>
          <w:p>
            <w:pPr>
              <w:ind w:firstLine="480"/>
            </w:pPr>
          </w:p>
        </w:tc>
        <w:tc>
          <w:tcPr>
            <w:tcW w:w="1064" w:type="dxa"/>
          </w:tcPr>
          <w:p>
            <w:pPr>
              <w:ind w:firstLine="480"/>
            </w:pPr>
          </w:p>
        </w:tc>
        <w:tc>
          <w:tcPr>
            <w:tcW w:w="1136" w:type="dxa"/>
          </w:tcPr>
          <w:p>
            <w:pPr>
              <w:ind w:firstLine="480"/>
            </w:pPr>
          </w:p>
        </w:tc>
        <w:tc>
          <w:tcPr>
            <w:tcW w:w="1135" w:type="dxa"/>
          </w:tcPr>
          <w:p>
            <w:pPr>
              <w:ind w:firstLine="48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Pr>
          <w:p>
            <w:pPr>
              <w:ind w:firstLine="480"/>
            </w:pPr>
          </w:p>
        </w:tc>
        <w:tc>
          <w:tcPr>
            <w:tcW w:w="1418" w:type="dxa"/>
          </w:tcPr>
          <w:p>
            <w:pPr>
              <w:ind w:firstLine="480"/>
            </w:pPr>
          </w:p>
        </w:tc>
        <w:tc>
          <w:tcPr>
            <w:tcW w:w="1136" w:type="dxa"/>
          </w:tcPr>
          <w:p>
            <w:pPr>
              <w:ind w:firstLine="480"/>
            </w:pPr>
          </w:p>
        </w:tc>
        <w:tc>
          <w:tcPr>
            <w:tcW w:w="1135" w:type="dxa"/>
          </w:tcPr>
          <w:p>
            <w:pPr>
              <w:ind w:firstLine="480"/>
            </w:pPr>
          </w:p>
        </w:tc>
        <w:tc>
          <w:tcPr>
            <w:tcW w:w="1135" w:type="dxa"/>
          </w:tcPr>
          <w:p>
            <w:pPr>
              <w:ind w:firstLine="480"/>
            </w:pPr>
          </w:p>
        </w:tc>
        <w:tc>
          <w:tcPr>
            <w:tcW w:w="1206" w:type="dxa"/>
          </w:tcPr>
          <w:p>
            <w:pPr>
              <w:ind w:firstLine="480"/>
            </w:pPr>
          </w:p>
        </w:tc>
        <w:tc>
          <w:tcPr>
            <w:tcW w:w="1064" w:type="dxa"/>
          </w:tcPr>
          <w:p>
            <w:pPr>
              <w:ind w:firstLine="480"/>
            </w:pPr>
          </w:p>
        </w:tc>
        <w:tc>
          <w:tcPr>
            <w:tcW w:w="1136" w:type="dxa"/>
          </w:tcPr>
          <w:p>
            <w:pPr>
              <w:ind w:firstLine="480"/>
            </w:pPr>
          </w:p>
        </w:tc>
        <w:tc>
          <w:tcPr>
            <w:tcW w:w="1135" w:type="dxa"/>
          </w:tcPr>
          <w:p>
            <w:pPr>
              <w:ind w:firstLine="48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vMerge w:val="continue"/>
          </w:tcPr>
          <w:p>
            <w:pPr>
              <w:ind w:firstLine="480"/>
            </w:pPr>
          </w:p>
        </w:tc>
        <w:tc>
          <w:tcPr>
            <w:tcW w:w="1418" w:type="dxa"/>
          </w:tcPr>
          <w:p>
            <w:pPr>
              <w:ind w:firstLine="480"/>
            </w:pPr>
          </w:p>
        </w:tc>
        <w:tc>
          <w:tcPr>
            <w:tcW w:w="1136" w:type="dxa"/>
          </w:tcPr>
          <w:p>
            <w:pPr>
              <w:ind w:firstLine="480"/>
            </w:pPr>
          </w:p>
        </w:tc>
        <w:tc>
          <w:tcPr>
            <w:tcW w:w="1135" w:type="dxa"/>
          </w:tcPr>
          <w:p>
            <w:pPr>
              <w:ind w:firstLine="480"/>
            </w:pPr>
          </w:p>
        </w:tc>
        <w:tc>
          <w:tcPr>
            <w:tcW w:w="1135" w:type="dxa"/>
          </w:tcPr>
          <w:p>
            <w:pPr>
              <w:ind w:firstLine="480"/>
            </w:pPr>
          </w:p>
        </w:tc>
        <w:tc>
          <w:tcPr>
            <w:tcW w:w="1206" w:type="dxa"/>
          </w:tcPr>
          <w:p>
            <w:pPr>
              <w:ind w:firstLine="480"/>
            </w:pPr>
          </w:p>
        </w:tc>
        <w:tc>
          <w:tcPr>
            <w:tcW w:w="1064" w:type="dxa"/>
          </w:tcPr>
          <w:p>
            <w:pPr>
              <w:ind w:firstLine="480"/>
            </w:pPr>
          </w:p>
        </w:tc>
        <w:tc>
          <w:tcPr>
            <w:tcW w:w="1136" w:type="dxa"/>
          </w:tcPr>
          <w:p>
            <w:pPr>
              <w:ind w:firstLine="480"/>
            </w:pPr>
          </w:p>
        </w:tc>
        <w:tc>
          <w:tcPr>
            <w:tcW w:w="1135" w:type="dxa"/>
          </w:tcPr>
          <w:p>
            <w:pPr>
              <w:ind w:firstLine="480"/>
            </w:pPr>
          </w:p>
        </w:tc>
      </w:tr>
    </w:tbl>
    <w:p>
      <w:pPr>
        <w:ind w:firstLine="480"/>
      </w:pPr>
    </w:p>
    <w:p>
      <w:pPr>
        <w:ind w:firstLine="480"/>
      </w:pPr>
    </w:p>
    <w:p>
      <w:pPr>
        <w:ind w:firstLine="480"/>
      </w:pPr>
      <w:r>
        <w:rPr>
          <w:rFonts w:hint="eastAsia"/>
        </w:rPr>
        <w:t>供应商名称：XXX（盖单位公章）</w:t>
      </w:r>
    </w:p>
    <w:p>
      <w:pPr>
        <w:ind w:firstLine="480"/>
      </w:pPr>
      <w:r>
        <w:rPr>
          <w:rFonts w:hint="eastAsia"/>
        </w:rPr>
        <w:t>法定代表人或授权代表（签字）：XXX</w:t>
      </w:r>
    </w:p>
    <w:p>
      <w:pPr>
        <w:ind w:firstLine="480"/>
      </w:pPr>
      <w:r>
        <w:rPr>
          <w:rFonts w:hint="eastAsia"/>
        </w:rPr>
        <w:t>日      期：XXX</w:t>
      </w:r>
    </w:p>
    <w:p>
      <w:pPr>
        <w:ind w:firstLine="640"/>
        <w:rPr>
          <w:sz w:val="32"/>
          <w:szCs w:val="32"/>
        </w:rPr>
      </w:pPr>
      <w:r>
        <w:rPr>
          <w:rFonts w:hint="eastAsia"/>
          <w:sz w:val="32"/>
          <w:szCs w:val="32"/>
        </w:rPr>
        <w:br w:type="page"/>
      </w:r>
    </w:p>
    <w:p>
      <w:pPr>
        <w:pStyle w:val="4"/>
        <w:keepNext w:val="0"/>
        <w:keepLines w:val="0"/>
        <w:pageBreakBefore w:val="0"/>
        <w:widowControl w:val="0"/>
        <w:kinsoku/>
        <w:wordWrap/>
        <w:overflowPunct/>
        <w:topLinePunct w:val="0"/>
        <w:autoSpaceDE w:val="0"/>
        <w:autoSpaceDN w:val="0"/>
        <w:bidi w:val="0"/>
        <w:adjustRightInd/>
        <w:snapToGrid/>
        <w:spacing w:after="0" w:afterLines="100"/>
        <w:ind w:firstLine="641"/>
        <w:textAlignment w:val="auto"/>
        <w:rPr>
          <w:rFonts w:hint="eastAsia" w:ascii="宋体" w:hAnsi="宋体" w:eastAsia="宋体" w:cs="宋体"/>
          <w:lang w:val="en-US" w:eastAsia="zh-CN"/>
        </w:rPr>
      </w:pPr>
      <w:r>
        <w:rPr>
          <w:rFonts w:hint="eastAsia" w:ascii="宋体" w:hAnsi="宋体" w:eastAsia="宋体" w:cs="宋体"/>
          <w:lang w:val="en-US" w:eastAsia="zh-CN"/>
        </w:rPr>
        <w:t>八、关于知识产权的相关承诺（实质性要求）</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sz w:val="24"/>
          <w:szCs w:val="24"/>
        </w:rPr>
      </w:pPr>
      <w:r>
        <w:rPr>
          <w:rFonts w:hint="eastAsia"/>
          <w:sz w:val="24"/>
          <w:szCs w:val="24"/>
          <w:lang w:val="en-US"/>
        </w:rPr>
        <w:t>四川</w:t>
      </w:r>
      <w:r>
        <w:rPr>
          <w:rFonts w:hint="eastAsia"/>
          <w:sz w:val="24"/>
          <w:szCs w:val="24"/>
          <w:lang w:val="en-US" w:eastAsia="zh-CN"/>
        </w:rPr>
        <w:t>正焜</w:t>
      </w:r>
      <w:r>
        <w:rPr>
          <w:rFonts w:hint="eastAsia"/>
          <w:sz w:val="24"/>
          <w:szCs w:val="24"/>
          <w:lang w:val="en-US"/>
        </w:rPr>
        <w:t>项目管理有限公司</w:t>
      </w:r>
      <w:r>
        <w:rPr>
          <w:rFonts w:hint="eastAsia"/>
          <w:sz w:val="24"/>
          <w:szCs w:val="24"/>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sz w:val="24"/>
          <w:szCs w:val="24"/>
        </w:rPr>
      </w:pPr>
      <w:r>
        <w:rPr>
          <w:rFonts w:hint="eastAsia"/>
          <w:sz w:val="24"/>
          <w:szCs w:val="24"/>
        </w:rPr>
        <w:t>本公司（</w:t>
      </w:r>
      <w:r>
        <w:rPr>
          <w:rFonts w:hint="eastAsia"/>
          <w:sz w:val="24"/>
          <w:szCs w:val="24"/>
          <w:lang w:eastAsia="zh-CN"/>
        </w:rPr>
        <w:t>供应商</w:t>
      </w:r>
      <w:r>
        <w:rPr>
          <w:rFonts w:hint="eastAsia"/>
          <w:sz w:val="24"/>
          <w:szCs w:val="24"/>
        </w:rPr>
        <w:t>名称）作为（项目名称及采购编号）的</w:t>
      </w:r>
      <w:r>
        <w:rPr>
          <w:rFonts w:hint="eastAsia"/>
          <w:sz w:val="24"/>
          <w:szCs w:val="24"/>
          <w:lang w:eastAsia="zh-CN"/>
        </w:rPr>
        <w:t>供应商</w:t>
      </w:r>
      <w:r>
        <w:rPr>
          <w:rFonts w:hint="eastAsia"/>
          <w:sz w:val="24"/>
          <w:szCs w:val="24"/>
        </w:rPr>
        <w:t xml:space="preserve">，郑重承诺：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如我方在项目实施过程中采用自有知识成果，我方承诺提供开发接口和开发手册等技术文档，并承诺提供无限期技术支持，采购人享有永久使用权（含采购人委托第三方在该项目后续开发的使用权）。 如我方在项目实施过程中采用非自有的知识产权，则在投标报价中已包括合法获取该知识产权的相关费用。 </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sz w:val="24"/>
          <w:szCs w:val="24"/>
        </w:rPr>
      </w:pPr>
      <w:r>
        <w:rPr>
          <w:rFonts w:hint="eastAsia"/>
          <w:sz w:val="24"/>
          <w:szCs w:val="24"/>
        </w:rPr>
        <w:t xml:space="preserve">我公司对上述承诺的真实性负责。如有虚假，将依法承担相应责任。 </w:t>
      </w:r>
    </w:p>
    <w:p>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sz w:val="24"/>
          <w:szCs w:val="24"/>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sz w:val="24"/>
          <w:szCs w:val="24"/>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sz w:val="24"/>
          <w:szCs w:val="24"/>
        </w:rPr>
      </w:pPr>
      <w:r>
        <w:rPr>
          <w:rFonts w:hint="eastAsia"/>
          <w:sz w:val="24"/>
          <w:szCs w:val="24"/>
          <w:lang w:eastAsia="zh-CN"/>
        </w:rPr>
        <w:t>供应商</w:t>
      </w:r>
      <w:r>
        <w:rPr>
          <w:rFonts w:hint="eastAsia"/>
          <w:sz w:val="24"/>
          <w:szCs w:val="24"/>
        </w:rPr>
        <w:t>名称：        （盖章）</w:t>
      </w:r>
    </w:p>
    <w:p>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sz w:val="24"/>
          <w:szCs w:val="24"/>
        </w:rPr>
      </w:pPr>
      <w:r>
        <w:rPr>
          <w:rFonts w:hint="eastAsia"/>
          <w:sz w:val="24"/>
          <w:szCs w:val="24"/>
        </w:rPr>
        <w:t>法定代表人或授权代表（签字）：</w:t>
      </w:r>
    </w:p>
    <w:p>
      <w:pPr>
        <w:keepNext w:val="0"/>
        <w:keepLines w:val="0"/>
        <w:pageBreakBefore w:val="0"/>
        <w:widowControl w:val="0"/>
        <w:kinsoku/>
        <w:wordWrap/>
        <w:overflowPunct/>
        <w:topLinePunct w:val="0"/>
        <w:autoSpaceDE w:val="0"/>
        <w:autoSpaceDN w:val="0"/>
        <w:bidi w:val="0"/>
        <w:adjustRightInd/>
        <w:snapToGrid/>
        <w:spacing w:line="360" w:lineRule="auto"/>
        <w:ind w:firstLine="480"/>
        <w:textAlignment w:val="auto"/>
        <w:rPr>
          <w:sz w:val="24"/>
          <w:szCs w:val="24"/>
        </w:rPr>
      </w:pPr>
      <w:r>
        <w:rPr>
          <w:rFonts w:hint="eastAsia"/>
          <w:sz w:val="24"/>
          <w:szCs w:val="24"/>
        </w:rPr>
        <w:t>投标日期：</w:t>
      </w:r>
    </w:p>
    <w:p>
      <w:pPr>
        <w:rPr>
          <w:rFonts w:hint="eastAsia"/>
          <w:lang w:val="en-US" w:eastAsia="zh-CN"/>
        </w:rPr>
      </w:pPr>
      <w:r>
        <w:rPr>
          <w:rFonts w:hint="eastAsia"/>
          <w:lang w:val="en-US" w:eastAsia="zh-CN"/>
        </w:rPr>
        <w:br w:type="page"/>
      </w:r>
    </w:p>
    <w:p>
      <w:pPr>
        <w:pStyle w:val="4"/>
        <w:ind w:firstLine="0" w:firstLineChars="0"/>
      </w:pPr>
      <w:r>
        <w:rPr>
          <w:rFonts w:hint="eastAsia"/>
          <w:lang w:val="en-US" w:eastAsia="zh-CN"/>
        </w:rPr>
        <w:t>九</w:t>
      </w:r>
      <w:r>
        <w:rPr>
          <w:rFonts w:hint="eastAsia"/>
        </w:rPr>
        <w:t>、</w:t>
      </w:r>
      <w:r>
        <w:rPr>
          <w:rFonts w:hint="eastAsia"/>
          <w:lang w:val="en-US" w:eastAsia="zh-CN"/>
        </w:rPr>
        <w:t>实施</w:t>
      </w:r>
      <w:r>
        <w:rPr>
          <w:rFonts w:hint="eastAsia"/>
        </w:rPr>
        <w:t>方案</w:t>
      </w:r>
    </w:p>
    <w:p>
      <w:pPr>
        <w:pStyle w:val="4"/>
        <w:ind w:firstLine="602"/>
      </w:pPr>
    </w:p>
    <w:p>
      <w:pPr>
        <w:pStyle w:val="4"/>
        <w:ind w:firstLine="602"/>
      </w:pPr>
    </w:p>
    <w:p>
      <w:pPr>
        <w:pStyle w:val="4"/>
        <w:ind w:firstLine="602"/>
      </w:pPr>
    </w:p>
    <w:p>
      <w:pPr>
        <w:pStyle w:val="4"/>
        <w:ind w:firstLine="602"/>
      </w:pPr>
    </w:p>
    <w:p>
      <w:pPr>
        <w:pStyle w:val="4"/>
        <w:ind w:firstLine="0" w:firstLineChars="0"/>
        <w:jc w:val="center"/>
      </w:pPr>
      <w:r>
        <w:rPr>
          <w:rFonts w:hint="eastAsia"/>
          <w:lang w:val="en-US" w:eastAsia="zh-CN"/>
        </w:rPr>
        <w:t>十</w:t>
      </w:r>
      <w:r>
        <w:rPr>
          <w:rFonts w:hint="eastAsia"/>
        </w:rPr>
        <w:t>、供应商认为需要提供的文件和资料</w:t>
      </w:r>
    </w:p>
    <w:p>
      <w:pPr>
        <w:ind w:firstLine="480"/>
      </w:pPr>
      <w:r>
        <w:rPr>
          <w:rFonts w:hint="eastAsia"/>
        </w:rPr>
        <w:br w:type="page"/>
      </w:r>
    </w:p>
    <w:p>
      <w:pPr>
        <w:pStyle w:val="3"/>
        <w:ind w:firstLine="0" w:firstLineChars="0"/>
      </w:pPr>
      <w:bookmarkStart w:id="75" w:name="_Toc11120"/>
      <w:bookmarkStart w:id="76" w:name="_Toc17890_WPSOffice_Level1"/>
      <w:r>
        <w:rPr>
          <w:rFonts w:hint="eastAsia"/>
        </w:rPr>
        <w:t>第七章  评审方法</w:t>
      </w:r>
      <w:bookmarkEnd w:id="75"/>
      <w:bookmarkEnd w:id="76"/>
    </w:p>
    <w:p>
      <w:pPr>
        <w:pStyle w:val="4"/>
        <w:ind w:firstLine="0" w:firstLineChars="0"/>
        <w:jc w:val="left"/>
      </w:pPr>
      <w:r>
        <w:rPr>
          <w:rFonts w:hint="eastAsia"/>
        </w:rPr>
        <w:t>1.总则</w:t>
      </w:r>
    </w:p>
    <w:p>
      <w:pPr>
        <w:ind w:firstLine="480"/>
      </w:pPr>
      <w:r>
        <w:rPr>
          <w:rFonts w:hint="eastAsia"/>
        </w:rPr>
        <w:t xml:space="preserve">1.1 </w:t>
      </w:r>
      <w:r>
        <w:rPr>
          <w:rFonts w:hint="eastAsia"/>
          <w:lang w:val="en-US" w:eastAsia="zh-CN"/>
        </w:rPr>
        <w:t>参照</w:t>
      </w:r>
      <w:r>
        <w:rPr>
          <w:rFonts w:hint="eastAsia"/>
        </w:rPr>
        <w:t>《中华人民共和国政府采购法》、《中华人民共和国政府采购法实施条例》、《政府采购竞争性磋商采购方式管理暂行办法》等法律制度，结合本采购项目特点制定本磋商方法。</w:t>
      </w:r>
    </w:p>
    <w:p>
      <w:pPr>
        <w:ind w:firstLine="480"/>
      </w:pPr>
      <w:r>
        <w:rPr>
          <w:rFonts w:hint="eastAsia"/>
        </w:rPr>
        <w:t>1.2 磋商工作由采购人负责组织，具体磋商由采购人依法组建的磋商小组负责。</w:t>
      </w:r>
    </w:p>
    <w:p>
      <w:pPr>
        <w:ind w:firstLine="480"/>
      </w:pPr>
      <w:r>
        <w:rPr>
          <w:rFonts w:hint="eastAsia"/>
        </w:rPr>
        <w:t>1.3 磋商工作应遵循公平、公正、科学及择优的原则，并以相同的磋商程序和标准对待所有的供应商。</w:t>
      </w:r>
    </w:p>
    <w:p>
      <w:pPr>
        <w:ind w:firstLine="480"/>
      </w:pPr>
      <w:r>
        <w:rPr>
          <w:rFonts w:hint="eastAsia"/>
        </w:rPr>
        <w:t>1.4 磋商小组按照磋商文件规定的磋商程序、评分方法和标准进行评审，并独立履行下列职责：</w:t>
      </w:r>
    </w:p>
    <w:p>
      <w:pPr>
        <w:ind w:firstLine="480"/>
      </w:pPr>
      <w:r>
        <w:rPr>
          <w:rFonts w:hint="eastAsia"/>
        </w:rPr>
        <w:t>（一）熟悉和理解磋商文件，确定磋商文件内容是否违反国家有关强制性规定或者磋商文件存在歧义、重大缺陷，根据需要书面要求采购人、采购代理机构对磋商文件作出解释；</w:t>
      </w:r>
    </w:p>
    <w:p>
      <w:pPr>
        <w:ind w:firstLine="480"/>
      </w:pPr>
      <w:r>
        <w:rPr>
          <w:rFonts w:hint="eastAsia"/>
        </w:rPr>
        <w:t>（二）审查供应商响应文件是否满足磋商文件要求，并作出公正评价；</w:t>
      </w:r>
    </w:p>
    <w:p>
      <w:pPr>
        <w:ind w:firstLine="480"/>
      </w:pPr>
      <w:r>
        <w:rPr>
          <w:rFonts w:hint="eastAsia"/>
        </w:rPr>
        <w:t>（三）根据需要要求供应商对响应文件中含义不明确、同类问题表述不一致或者有明显文字和计算错误的内容等作出必要的澄清、说明或者更正；</w:t>
      </w:r>
    </w:p>
    <w:p>
      <w:pPr>
        <w:ind w:firstLine="480"/>
      </w:pPr>
      <w:r>
        <w:rPr>
          <w:rFonts w:hint="eastAsia"/>
        </w:rPr>
        <w:t>（四）推荐成交供应商，或者受采购人委托确定成交供应商；</w:t>
      </w:r>
    </w:p>
    <w:p>
      <w:pPr>
        <w:ind w:firstLine="480"/>
      </w:pPr>
      <w:r>
        <w:rPr>
          <w:rFonts w:hint="eastAsia"/>
        </w:rPr>
        <w:t>（五）起草评审报告并进行签署；</w:t>
      </w:r>
    </w:p>
    <w:p>
      <w:pPr>
        <w:ind w:firstLine="480"/>
      </w:pPr>
      <w:r>
        <w:rPr>
          <w:rFonts w:hint="eastAsia"/>
        </w:rPr>
        <w:t>（六）向采购人/采购代理机构、财政部门或者其他监督部门报告非法干预评审工作的行为；</w:t>
      </w:r>
    </w:p>
    <w:p>
      <w:pPr>
        <w:ind w:firstLine="480"/>
      </w:pPr>
      <w:r>
        <w:rPr>
          <w:rFonts w:hint="eastAsia"/>
        </w:rPr>
        <w:t>（七）法律、法规和规章规定的其他职责。</w:t>
      </w:r>
    </w:p>
    <w:p>
      <w:pPr>
        <w:ind w:firstLine="480"/>
      </w:pPr>
      <w:r>
        <w:rPr>
          <w:rFonts w:hint="eastAsia"/>
        </w:rPr>
        <w:t>1.5 （实质性要求）磋商过程独立、保密。供应商非法干预磋商过程的，其响应文件作无效处理。</w:t>
      </w:r>
    </w:p>
    <w:p>
      <w:pPr>
        <w:pStyle w:val="4"/>
        <w:ind w:firstLine="0" w:firstLineChars="0"/>
        <w:jc w:val="left"/>
      </w:pPr>
      <w:r>
        <w:rPr>
          <w:rFonts w:hint="eastAsia"/>
        </w:rPr>
        <w:t>2.磋商程序</w:t>
      </w:r>
    </w:p>
    <w:p>
      <w:pPr>
        <w:ind w:firstLine="480"/>
      </w:pPr>
      <w:r>
        <w:rPr>
          <w:rFonts w:hint="eastAsia"/>
        </w:rPr>
        <w:t>2.1审查磋商文件和停止评审。</w:t>
      </w:r>
    </w:p>
    <w:p>
      <w:pPr>
        <w:ind w:firstLine="480"/>
      </w:pPr>
      <w:r>
        <w:rPr>
          <w:rFonts w:hint="eastAsia"/>
        </w:rPr>
        <w:t>2.1.1 磋商小组正式评审前，应当对磋商文件进行熟悉和理解，内容主要包括磋商文件中供应商资格条件要求、采购项目技术、服务和商务要求、磋商办法和标准、采购政策要求以及采购合同主要条款等。</w:t>
      </w:r>
    </w:p>
    <w:p>
      <w:pPr>
        <w:ind w:firstLine="480"/>
      </w:pPr>
      <w:r>
        <w:rPr>
          <w:rFonts w:hint="eastAsia"/>
        </w:rPr>
        <w:t>2.1.2 本磋商文件有下列情形之一的，磋商小组应当停止评审：</w:t>
      </w:r>
    </w:p>
    <w:p>
      <w:pPr>
        <w:ind w:firstLine="480"/>
      </w:pPr>
      <w:r>
        <w:rPr>
          <w:rFonts w:hint="eastAsia"/>
        </w:rPr>
        <w:t>（1）磋商文件的规定存在歧义、重大缺陷的；</w:t>
      </w:r>
    </w:p>
    <w:p>
      <w:pPr>
        <w:ind w:firstLine="480"/>
      </w:pPr>
      <w:r>
        <w:rPr>
          <w:rFonts w:hint="eastAsia"/>
        </w:rPr>
        <w:t>（2）磋商文件明显以不合理条件对供应商实行差别待遇或者歧视待遇的；</w:t>
      </w:r>
    </w:p>
    <w:p>
      <w:pPr>
        <w:ind w:firstLine="480"/>
      </w:pPr>
      <w:r>
        <w:rPr>
          <w:rFonts w:hint="eastAsia"/>
        </w:rPr>
        <w:t>（3）采购项目属于国家规定的优先、强制采购范围，</w:t>
      </w:r>
      <w:r>
        <w:rPr>
          <w:rFonts w:hint="eastAsia"/>
          <w:lang w:val="en-US" w:eastAsia="zh-CN"/>
        </w:rPr>
        <w:t>但</w:t>
      </w:r>
      <w:r>
        <w:rPr>
          <w:rFonts w:hint="eastAsia"/>
        </w:rPr>
        <w:t>是磋商文件未依法体现优先、强制采购相关规定的；</w:t>
      </w:r>
    </w:p>
    <w:p>
      <w:pPr>
        <w:ind w:firstLine="480"/>
      </w:pPr>
      <w:r>
        <w:rPr>
          <w:rFonts w:hint="eastAsia"/>
        </w:rPr>
        <w:t>（</w:t>
      </w:r>
      <w:r>
        <w:rPr>
          <w:rFonts w:hint="eastAsia"/>
          <w:lang w:val="en-US" w:eastAsia="zh-CN"/>
        </w:rPr>
        <w:t>4</w:t>
      </w:r>
      <w:r>
        <w:rPr>
          <w:rFonts w:hint="eastAsia"/>
        </w:rPr>
        <w:t>）磋商文件将供应商的资格条件列为评分因素的；</w:t>
      </w:r>
    </w:p>
    <w:p>
      <w:pPr>
        <w:ind w:firstLine="480"/>
      </w:pPr>
      <w:r>
        <w:rPr>
          <w:rFonts w:hint="eastAsia"/>
        </w:rPr>
        <w:t>（</w:t>
      </w:r>
      <w:r>
        <w:rPr>
          <w:rFonts w:hint="eastAsia"/>
          <w:lang w:val="en-US" w:eastAsia="zh-CN"/>
        </w:rPr>
        <w:t>5</w:t>
      </w:r>
      <w:r>
        <w:rPr>
          <w:rFonts w:hint="eastAsia"/>
        </w:rPr>
        <w:t>）磋商文件载明的成交原则不合法的；</w:t>
      </w:r>
    </w:p>
    <w:p>
      <w:pPr>
        <w:ind w:firstLine="480"/>
      </w:pPr>
      <w:r>
        <w:rPr>
          <w:rFonts w:hint="eastAsia"/>
        </w:rPr>
        <w:t>（</w:t>
      </w:r>
      <w:r>
        <w:rPr>
          <w:rFonts w:hint="eastAsia"/>
          <w:lang w:val="en-US" w:eastAsia="zh-CN"/>
        </w:rPr>
        <w:t>6</w:t>
      </w:r>
      <w:r>
        <w:rPr>
          <w:rFonts w:hint="eastAsia"/>
        </w:rPr>
        <w:t>）磋商文件有违反国家其他有关强制性规定的情形。</w:t>
      </w:r>
    </w:p>
    <w:p>
      <w:pPr>
        <w:ind w:firstLine="480"/>
      </w:pPr>
      <w:r>
        <w:rPr>
          <w:rFonts w:hint="eastAsia"/>
        </w:rPr>
        <w:t>2.1.3 出现本条2.1.2规定应当停止评审情形的，磋商小组应当向采购人书面说明情况。除本条规定的情形外，磋商小组不得以任何方式和理由停止评审。</w:t>
      </w:r>
    </w:p>
    <w:p>
      <w:pPr>
        <w:ind w:firstLine="480"/>
      </w:pPr>
      <w:r>
        <w:rPr>
          <w:rFonts w:hint="eastAsia"/>
        </w:rPr>
        <w:t>2.2资格性审查。</w:t>
      </w:r>
    </w:p>
    <w:p>
      <w:pPr>
        <w:ind w:firstLine="480"/>
      </w:pPr>
      <w:r>
        <w:rPr>
          <w:rFonts w:hint="eastAsia"/>
        </w:rPr>
        <w:t>2.2.1本项目需要磋商小组进行资格性检查。</w:t>
      </w:r>
    </w:p>
    <w:p>
      <w:pPr>
        <w:ind w:firstLine="480"/>
      </w:pPr>
      <w:r>
        <w:rPr>
          <w:rFonts w:hint="eastAsia"/>
        </w:rPr>
        <w:t>磋商小组应依据法律法规和磋商文件的规定，对响应文件是否按照规定要求提供资格性证明材料、是否属于禁止参加磋商的供应商等进行审查，以确定供应商是否具备磋商资格。</w:t>
      </w:r>
    </w:p>
    <w:p>
      <w:pPr>
        <w:ind w:firstLine="480"/>
      </w:pPr>
      <w:r>
        <w:rPr>
          <w:rFonts w:hint="eastAsia"/>
        </w:rPr>
        <w:t>2.2.2资格性审查结束后，磋商小组应当出具资格性审查报告，没有通过资格审查的供应商，磋商小组应当在资格审查报告中说明原因。</w:t>
      </w:r>
    </w:p>
    <w:p>
      <w:pPr>
        <w:ind w:firstLine="480"/>
      </w:pPr>
      <w:r>
        <w:rPr>
          <w:rFonts w:hint="eastAsia"/>
        </w:rPr>
        <w:t>2.2.3磋商小组应依据磋商文件规定的实质性要求，对符合资格的响应文件进行有效性、完整性和响应程度审查，以确定参加磋商的供应商名单。</w:t>
      </w:r>
    </w:p>
    <w:p>
      <w:pPr>
        <w:ind w:firstLine="480"/>
      </w:pPr>
      <w:r>
        <w:rPr>
          <w:rFonts w:hint="eastAsia"/>
        </w:rPr>
        <w:t>2.2.4采购人或者采购代理机构宣布未通过资格性审查的供应商名单时，应当告知供应商未通过审查的原因。</w:t>
      </w:r>
    </w:p>
    <w:p>
      <w:pPr>
        <w:ind w:firstLine="480"/>
      </w:pPr>
      <w:r>
        <w:rPr>
          <w:rFonts w:hint="eastAsia"/>
        </w:rPr>
        <w:t xml:space="preserve">2.3 </w:t>
      </w:r>
      <w:r>
        <w:rPr>
          <w:rFonts w:hint="eastAsia"/>
          <w:lang w:val="en-US"/>
        </w:rPr>
        <w:t>按照</w:t>
      </w:r>
      <w:r>
        <w:rPr>
          <w:rFonts w:hint="eastAsia"/>
        </w:rPr>
        <w:t>（财库[2015]124号）</w:t>
      </w:r>
      <w:r>
        <w:rPr>
          <w:rFonts w:hint="eastAsia"/>
          <w:lang w:val="en-US"/>
        </w:rPr>
        <w:t>的规定，</w:t>
      </w:r>
      <w:r>
        <w:rPr>
          <w:rFonts w:hint="eastAsia"/>
        </w:rPr>
        <w:t>采用竞争性磋商采购方式采购的政府购买服务项目（含政府和社会资本合作项目），在采购过程中符合要求的供应商（社会资本）只有2家的，竞争性磋商采购活动可以继续进行。采购过程中符合要求的供应商（社会资本）只有</w:t>
      </w:r>
      <w:r>
        <w:rPr>
          <w:rFonts w:hint="eastAsia"/>
          <w:lang w:val="en-US"/>
        </w:rPr>
        <w:t>1</w:t>
      </w:r>
      <w:r>
        <w:rPr>
          <w:rFonts w:hint="eastAsia"/>
        </w:rPr>
        <w:t>家的，</w:t>
      </w:r>
      <w:r>
        <w:rPr>
          <w:rFonts w:hint="eastAsia"/>
          <w:lang w:val="en-US"/>
        </w:rPr>
        <w:t>采购人（项目实施机构）或者采购代理机构应当终止竞争性磋商采购活动，发布项目终止公告并说明原因，重新开展采购活动。</w:t>
      </w:r>
    </w:p>
    <w:p>
      <w:pPr>
        <w:ind w:firstLine="480"/>
      </w:pPr>
      <w:r>
        <w:rPr>
          <w:rFonts w:hint="eastAsia"/>
        </w:rPr>
        <w:t>2.4磋商。</w:t>
      </w:r>
    </w:p>
    <w:p>
      <w:pPr>
        <w:ind w:firstLine="480"/>
      </w:pPr>
      <w:r>
        <w:rPr>
          <w:rFonts w:hint="eastAsia"/>
        </w:rPr>
        <w:t>2.4.1磋商小组所有成员集中与单一供应商分别进行一轮或多轮磋商，并给予所有参加磋商的供应商平等的磋商机会。磋商顺序以现场抽签的方式确定。磋商过程中，磋商小组可以根据磋商情况调整磋商轮次。</w:t>
      </w:r>
    </w:p>
    <w:p>
      <w:pPr>
        <w:ind w:firstLine="480"/>
      </w:pPr>
      <w:r>
        <w:rPr>
          <w:rFonts w:hint="eastAsia"/>
        </w:rPr>
        <w:t>2.4.2每轮磋商开始前，磋商小组应根据磋商文件的规定，并结合各供应商的响应文件拟定磋商内容。</w:t>
      </w:r>
    </w:p>
    <w:p>
      <w:pPr>
        <w:ind w:firstLine="480"/>
      </w:pPr>
      <w:r>
        <w:rPr>
          <w:rFonts w:hint="eastAsia"/>
        </w:rPr>
        <w:t>2.4.3在磋商过程中，磋商小组可以根据磋商文件和磋商情况实质性变动磋商文件的技术、服务要求以及合同草案条款，</w:t>
      </w:r>
      <w:r>
        <w:rPr>
          <w:rFonts w:hint="eastAsia"/>
          <w:lang w:val="en-US" w:eastAsia="zh-CN"/>
        </w:rPr>
        <w:t>但</w:t>
      </w:r>
      <w:r>
        <w:rPr>
          <w:rFonts w:hint="eastAsia"/>
        </w:rPr>
        <w:t>不得变动磋商文件中的其他内容。实质性变动的内容，须经采购人代表书面确认。</w:t>
      </w:r>
    </w:p>
    <w:p>
      <w:pPr>
        <w:ind w:firstLine="480"/>
      </w:pPr>
      <w:r>
        <w:rPr>
          <w:rFonts w:hint="eastAsia"/>
        </w:rPr>
        <w:t>2.4.4对磋商文件作出的实质性变动是磋商文件的有效组成部分，磋商小组应当及时以书面形式同时通知所有参加磋商的供应商。</w:t>
      </w:r>
    </w:p>
    <w:p>
      <w:pPr>
        <w:ind w:firstLine="480"/>
      </w:pPr>
      <w:r>
        <w:rPr>
          <w:rFonts w:hint="eastAsia"/>
        </w:rPr>
        <w:t>2.4.5磋商过程中，磋商文件变动的，供应商应当按照磋商文件的变动情况和磋商小组的要求重新提交响应文件，并由其法定代表人/主要负责人/本人或其授权代表签字或者加盖公章。磋商过程中，供应商根据磋商情况自行决定变更其响应文件的，磋商小组不得拒绝，并应当给予供应商必要的时间，</w:t>
      </w:r>
      <w:r>
        <w:rPr>
          <w:rFonts w:hint="eastAsia"/>
          <w:lang w:eastAsia="zh-CN"/>
        </w:rPr>
        <w:t>但是</w:t>
      </w:r>
      <w:r>
        <w:rPr>
          <w:rFonts w:hint="eastAsia"/>
        </w:rPr>
        <w:t>供应商变更其响应文件，应当以有利于满足磋商文件要求为原则，不得变更为不利于满足磋商文件规定，否则，其响应文件作为无效处理。</w:t>
      </w:r>
    </w:p>
    <w:p>
      <w:pPr>
        <w:ind w:firstLine="480"/>
      </w:pPr>
      <w:r>
        <w:rPr>
          <w:rFonts w:hint="eastAsia"/>
        </w:rPr>
        <w:t>2.4.6磋商过程中，磋商的任何一方不得透露与磋商有关的其他供应商的技术资料、价格和其他信息。</w:t>
      </w:r>
    </w:p>
    <w:p>
      <w:pPr>
        <w:ind w:firstLine="480"/>
      </w:pPr>
      <w:r>
        <w:rPr>
          <w:rFonts w:hint="eastAsia"/>
        </w:rPr>
        <w:t>2.4.7磋商过程中，磋商小组发现或者知晓供应商存在违法、违纪行为的，磋商小组应当将该供应商响应文件作无效处理，不允许其提交最后报价。</w:t>
      </w:r>
    </w:p>
    <w:p>
      <w:pPr>
        <w:ind w:firstLine="480"/>
      </w:pPr>
      <w:r>
        <w:rPr>
          <w:rFonts w:hint="eastAsia"/>
        </w:rPr>
        <w:t xml:space="preserve">2.4.8磋商完成后，磋商小组应出具磋商情况记录表，磋商情况记录表需包含磋商内容、磋商意见、实质性变动内容等。   </w:t>
      </w:r>
    </w:p>
    <w:p>
      <w:pPr>
        <w:ind w:firstLine="480"/>
      </w:pPr>
      <w:r>
        <w:rPr>
          <w:rFonts w:hint="eastAsia"/>
        </w:rPr>
        <w:t>2.5最后报价。</w:t>
      </w:r>
    </w:p>
    <w:p>
      <w:pPr>
        <w:ind w:firstLine="480"/>
      </w:pPr>
      <w:r>
        <w:rPr>
          <w:rFonts w:hint="eastAsia"/>
        </w:rPr>
        <w:t>2.5.1磋商文件能够详细列明采购标的的技术、服务要求的，磋商结束后，磋商小组应当要求所有实质性响应的供应商在规定时间内提交最后报价，提交最后报价的供应商不得少于</w:t>
      </w:r>
      <w:r>
        <w:rPr>
          <w:rFonts w:hint="eastAsia"/>
          <w:lang w:val="en-US"/>
        </w:rPr>
        <w:t>2</w:t>
      </w:r>
      <w:r>
        <w:rPr>
          <w:rFonts w:hint="eastAsia"/>
        </w:rPr>
        <w:t>家。或磋商文件不能详细列明采购标的的技术、服务要求，需经磋商由供应商提供最终设计方案或解决方案的，磋商结束后，磋商小组应当按照少数服从多数的原则投票推荐</w:t>
      </w:r>
      <w:r>
        <w:rPr>
          <w:rFonts w:hint="eastAsia"/>
          <w:lang w:val="en-US"/>
        </w:rPr>
        <w:t>2</w:t>
      </w:r>
      <w:r>
        <w:rPr>
          <w:rFonts w:hint="eastAsia"/>
        </w:rPr>
        <w:t>家以上供应商的设计方案或者解决方案，并要求其在规定时间内提交最后报价。</w:t>
      </w:r>
    </w:p>
    <w:p>
      <w:pPr>
        <w:ind w:firstLine="480"/>
      </w:pPr>
      <w:r>
        <w:rPr>
          <w:rFonts w:hint="eastAsia"/>
        </w:rPr>
        <w:t>2.5.2磋商结束后，磋商小组应当要求所有实质性响应的供应商在规定时间内提交最后报价。两轮（若有）以上报价的，供应商在未提高响应文件中承诺的产品及其服务质量的情况下，其最后报价不得高于对该项目之前的报价，否则，磋商小组应当对其响应文件按无效处理，不允许进入综合评分，并书面告知供应商，说明理由。</w:t>
      </w:r>
    </w:p>
    <w:p>
      <w:pPr>
        <w:ind w:firstLine="480"/>
      </w:pPr>
      <w:r>
        <w:rPr>
          <w:rFonts w:hint="eastAsia"/>
        </w:rPr>
        <w:t>2.5.3供应商最后报价应当由法定代表人/主要负责人/本人或其授权代表签字确认或加盖公章。最后报价是供应商响应文件的有效组成部分。</w:t>
      </w:r>
    </w:p>
    <w:p>
      <w:pPr>
        <w:ind w:firstLine="480"/>
      </w:pPr>
      <w:r>
        <w:rPr>
          <w:rFonts w:hint="eastAsia"/>
        </w:rPr>
        <w:t>2.5.4最后报价中的算术错误将按以下方法修正：响应文件的大写金额和小写金额不一致的，以大写金额为准；总价金额与按单价汇总金额不一致的，以单价金额计算结果为准；单价金额小数点有明显错位的，应以总价为准，并修改单价。如果小写、大写金额和单价、总价金额出现明显文字错误，应当按照澄清、说明或者更正程序先纠正错误后，再行修正，不得不经过澄清、说明或者更正，直接将供应商响应文件作为无效处理。对不同文字文本响应文件的解释发生异议的，以中文文本为准。</w:t>
      </w:r>
    </w:p>
    <w:p>
      <w:pPr>
        <w:ind w:firstLine="480"/>
      </w:pPr>
      <w:r>
        <w:rPr>
          <w:rFonts w:hint="eastAsia"/>
        </w:rPr>
        <w:t>2.6比较与评价。由磋商小组采用综合评分法对提交最后报价的供应商的响应文件和最后报价进行综合评分，具体要求详见本章综合评分部分。</w:t>
      </w:r>
    </w:p>
    <w:p>
      <w:pPr>
        <w:ind w:firstLine="480"/>
      </w:pPr>
      <w:r>
        <w:rPr>
          <w:rFonts w:hint="eastAsia"/>
        </w:rPr>
        <w:t>2.7推荐成交候选供应商。磋商小组应当根据综合评分情况，按照评审得分由高到低顺序推荐1-</w:t>
      </w:r>
      <w:r>
        <w:rPr>
          <w:rFonts w:hint="eastAsia"/>
          <w:lang w:val="en-US"/>
        </w:rPr>
        <w:t>2</w:t>
      </w:r>
      <w:r>
        <w:rPr>
          <w:rFonts w:hint="eastAsia"/>
        </w:rPr>
        <w:t>家以上成交候选供应商，并编写磋商报告。评审得分相同的，按照最后报价由低到高的顺序推荐。评审得分且最后报价相同的，按照技术指标优劣顺序推荐。评审得分且最后报价且技术指标分项得分均相同的，成交候选供应商并列。</w:t>
      </w:r>
    </w:p>
    <w:p>
      <w:pPr>
        <w:ind w:firstLine="480"/>
      </w:pPr>
      <w:r>
        <w:rPr>
          <w:rFonts w:hint="eastAsia"/>
        </w:rPr>
        <w:t>2.8磋商小组复核。磋商小组评分汇总结束后，磋商小组应当进行评审复核，对拟推荐为成交候选供应商的、报价最低的、供应商资格审查未通过的、供应商响应文件作无效处理的重点复核。</w:t>
      </w:r>
    </w:p>
    <w:p>
      <w:pPr>
        <w:ind w:firstLine="480"/>
      </w:pPr>
      <w:r>
        <w:rPr>
          <w:rFonts w:hint="eastAsia"/>
        </w:rPr>
        <w:t>2.9采购组织单位现场复核评审结果。</w:t>
      </w:r>
    </w:p>
    <w:p>
      <w:pPr>
        <w:ind w:firstLine="480"/>
      </w:pPr>
      <w:r>
        <w:rPr>
          <w:rFonts w:hint="eastAsia"/>
        </w:rPr>
        <w:t>2.9.1评审结果汇总完成后，磋商小组拟出具磋商评审报告前，采购人/采购代理机构应当组织2名以上的本单位工作人员，在采购现场监督人员的监督之下，依据有关的法律制度和磋商文件对评审结果进行复核，出具复核报告，存在下列情形之一的，采购人/采购代理机构应当根据情况书面建议磋商小组现场修改评审结果：</w:t>
      </w:r>
    </w:p>
    <w:p>
      <w:pPr>
        <w:ind w:firstLine="480"/>
        <w:jc w:val="both"/>
      </w:pPr>
      <w:r>
        <w:rPr>
          <w:rFonts w:hint="eastAsia"/>
        </w:rPr>
        <w:t>（1）资格性审查认定错误的；</w:t>
      </w:r>
    </w:p>
    <w:p>
      <w:pPr>
        <w:ind w:firstLine="480"/>
        <w:jc w:val="both"/>
      </w:pPr>
      <w:r>
        <w:rPr>
          <w:rFonts w:hint="eastAsia"/>
        </w:rPr>
        <w:t>（2）分值汇总计算错误的；</w:t>
      </w:r>
    </w:p>
    <w:p>
      <w:pPr>
        <w:ind w:firstLine="480"/>
        <w:jc w:val="both"/>
      </w:pPr>
      <w:r>
        <w:rPr>
          <w:rFonts w:hint="eastAsia"/>
        </w:rPr>
        <w:t>（3）分项评分超出评分标准范围的；</w:t>
      </w:r>
    </w:p>
    <w:p>
      <w:pPr>
        <w:ind w:firstLine="480"/>
        <w:jc w:val="both"/>
      </w:pPr>
      <w:r>
        <w:rPr>
          <w:rFonts w:hint="eastAsia"/>
        </w:rPr>
        <w:t>（4）客观评分不一致的。</w:t>
      </w:r>
    </w:p>
    <w:p>
      <w:pPr>
        <w:ind w:firstLine="480"/>
      </w:pPr>
      <w:r>
        <w:rPr>
          <w:rFonts w:hint="eastAsia"/>
        </w:rPr>
        <w:t>存在本条上述情形的，由磋商小组自主决定是否采纳采购人/采购代理机构的书面建议，并承担独立评审责任。磋商小组采纳采购人/采购代理机构书面建议的，应当按照规定现场修改评审结果或者重新评审，并在磋商报告中详细记载有关事宜；不采纳采购人/采购代理机构书面建议的，应当书面说明理由。采购人/采购代理机构书面建议未被磋商小组采纳的，应当接照规定程序要求继续组织实施采购活动，不得擅自中止采购活动。采购人/采购代理机构认为磋商小组评审结果不合法的，应当书面报告采购项目同级财政部门。</w:t>
      </w:r>
    </w:p>
    <w:p>
      <w:pPr>
        <w:ind w:firstLine="480"/>
      </w:pPr>
      <w:r>
        <w:rPr>
          <w:rFonts w:hint="eastAsia"/>
        </w:rPr>
        <w:t>采购人/采购代理机构复核过程中，磋商小组成员不得离开评审现场。</w:t>
      </w:r>
    </w:p>
    <w:p>
      <w:pPr>
        <w:ind w:firstLine="480"/>
      </w:pPr>
      <w:r>
        <w:rPr>
          <w:rFonts w:hint="eastAsia"/>
        </w:rPr>
        <w:t>2.9.2有下列情形之一的，不得现场修改评审结果：</w:t>
      </w:r>
    </w:p>
    <w:p>
      <w:pPr>
        <w:ind w:firstLine="480"/>
      </w:pPr>
      <w:r>
        <w:rPr>
          <w:rFonts w:hint="eastAsia"/>
        </w:rPr>
        <w:t>（1）磋商小组已经出具磋商报告并且离开评审现场的；</w:t>
      </w:r>
    </w:p>
    <w:p>
      <w:pPr>
        <w:ind w:firstLine="480"/>
      </w:pPr>
      <w:r>
        <w:rPr>
          <w:rFonts w:hint="eastAsia"/>
        </w:rPr>
        <w:t>（2）采购人/采购代理机构现场复核时，复核工作人员数量不足的；</w:t>
      </w:r>
    </w:p>
    <w:p>
      <w:pPr>
        <w:ind w:firstLine="480"/>
      </w:pPr>
      <w:r>
        <w:rPr>
          <w:rFonts w:hint="eastAsia"/>
        </w:rPr>
        <w:t>（3）采购人/采购代理机构现场复核时，没有采购监督人员现场监督的；</w:t>
      </w:r>
    </w:p>
    <w:p>
      <w:pPr>
        <w:ind w:firstLine="480"/>
      </w:pPr>
      <w:r>
        <w:rPr>
          <w:rFonts w:hint="eastAsia"/>
        </w:rPr>
        <w:t>（4）采购人/采购代理机构现场复核内容超出规定范围的；</w:t>
      </w:r>
    </w:p>
    <w:p>
      <w:pPr>
        <w:ind w:firstLine="480"/>
      </w:pPr>
      <w:r>
        <w:rPr>
          <w:rFonts w:hint="eastAsia"/>
        </w:rPr>
        <w:t>（5）采购人/采购代理机构未提供书面建议的。</w:t>
      </w:r>
    </w:p>
    <w:p>
      <w:pPr>
        <w:ind w:firstLine="480"/>
      </w:pPr>
      <w:r>
        <w:rPr>
          <w:rFonts w:hint="eastAsia"/>
        </w:rPr>
        <w:t>2.10编写磋商报告。磋商小组推荐成交候选供应商后，应向采购人/采购代理机构出具磋商报告。磋商报告应当包括以下主要内容：</w:t>
      </w:r>
    </w:p>
    <w:p>
      <w:pPr>
        <w:ind w:firstLine="480"/>
      </w:pPr>
      <w:r>
        <w:rPr>
          <w:rFonts w:hint="eastAsia"/>
        </w:rPr>
        <w:t>（1）邀请供应商参加采购活动的具体方式和相关情况；</w:t>
      </w:r>
    </w:p>
    <w:p>
      <w:pPr>
        <w:ind w:firstLine="480"/>
      </w:pPr>
      <w:r>
        <w:rPr>
          <w:rFonts w:hint="eastAsia"/>
        </w:rPr>
        <w:t>（2）响应文件开启日期和地点；</w:t>
      </w:r>
    </w:p>
    <w:p>
      <w:pPr>
        <w:ind w:firstLine="480"/>
      </w:pPr>
      <w:r>
        <w:rPr>
          <w:rFonts w:hint="eastAsia"/>
        </w:rPr>
        <w:t>（3）获取磋商文件的供应商名单和磋商小组成员名单；</w:t>
      </w:r>
    </w:p>
    <w:p>
      <w:pPr>
        <w:ind w:firstLine="480"/>
      </w:pPr>
      <w:r>
        <w:rPr>
          <w:rFonts w:hint="eastAsia"/>
        </w:rPr>
        <w:t>（4）评审情况记录和说明，包括对供应商的资格审查情况、供应商响应文件审查情况、磋商情况、报价情况等；</w:t>
      </w:r>
    </w:p>
    <w:p>
      <w:pPr>
        <w:ind w:firstLine="480"/>
      </w:pPr>
      <w:r>
        <w:rPr>
          <w:rFonts w:hint="eastAsia"/>
        </w:rPr>
        <w:t>（5）提出的成交候选供应商的排序名单及理由。</w:t>
      </w:r>
    </w:p>
    <w:p>
      <w:pPr>
        <w:ind w:firstLine="480"/>
      </w:pPr>
      <w:r>
        <w:rPr>
          <w:rFonts w:hint="eastAsia"/>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pPr>
        <w:ind w:firstLine="480"/>
      </w:pPr>
      <w:r>
        <w:rPr>
          <w:rFonts w:hint="eastAsia"/>
        </w:rPr>
        <w:t>2.11磋商异议处理规则。在磋商过程中，磋商小组成员对响应文件是否符合磋商文件规定存在争议的，应当以少数服从多数的原则处理，</w:t>
      </w:r>
      <w:r>
        <w:rPr>
          <w:rFonts w:hint="eastAsia"/>
          <w:lang w:val="en-US" w:eastAsia="zh-CN"/>
        </w:rPr>
        <w:t>但</w:t>
      </w:r>
      <w:r>
        <w:rPr>
          <w:rFonts w:hint="eastAsia"/>
        </w:rPr>
        <w:t>不违背磋商文件规定。有不同意见的磋商小组成员认为认定过程和结果不符合法律法规或者磋商文件规定的，应当在磋商报告中予以反映。</w:t>
      </w:r>
    </w:p>
    <w:p>
      <w:pPr>
        <w:ind w:firstLine="480"/>
      </w:pPr>
      <w:r>
        <w:rPr>
          <w:rFonts w:hint="eastAsia"/>
        </w:rPr>
        <w:t>2.12供应商澄清、说明</w:t>
      </w:r>
    </w:p>
    <w:p>
      <w:pPr>
        <w:ind w:firstLine="480"/>
      </w:pPr>
      <w:r>
        <w:rPr>
          <w:rFonts w:hint="eastAsia"/>
        </w:rPr>
        <w:t>2.12.1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ind w:firstLine="480"/>
      </w:pPr>
      <w:r>
        <w:rPr>
          <w:rFonts w:hint="eastAsia"/>
        </w:rPr>
        <w:t>2.12.2磋商小组要求供应商澄清、说明或者更正响应文件应当以书面形式作出。供应商的澄清、说明或者更正应当由法定代表人/主要负责人/本人或其授权代表签字或者加盖公章。</w:t>
      </w:r>
    </w:p>
    <w:p>
      <w:pPr>
        <w:ind w:firstLine="480"/>
      </w:pPr>
      <w:r>
        <w:rPr>
          <w:rFonts w:hint="eastAsia"/>
        </w:rPr>
        <w:t>2.13终止磋商采购活动。</w:t>
      </w:r>
    </w:p>
    <w:p>
      <w:pPr>
        <w:ind w:firstLine="480"/>
      </w:pPr>
      <w:r>
        <w:rPr>
          <w:rFonts w:hint="eastAsia"/>
        </w:rPr>
        <w:t>出现下列情形之一的，采购人或者采购代理机构应当终止竞争性磋商采购活动，发布项目终止公告并说明原因，重新开展采购活动：</w:t>
      </w:r>
    </w:p>
    <w:p>
      <w:pPr>
        <w:ind w:firstLine="480"/>
      </w:pPr>
      <w:r>
        <w:rPr>
          <w:rFonts w:hint="eastAsia"/>
        </w:rPr>
        <w:t>（1）因情况变化，不再符合规定的竞争性磋商采购方式适用情形的；</w:t>
      </w:r>
    </w:p>
    <w:p>
      <w:pPr>
        <w:ind w:firstLine="480"/>
      </w:pPr>
      <w:r>
        <w:rPr>
          <w:rFonts w:hint="eastAsia"/>
        </w:rPr>
        <w:t>（2）出现影响采购公正的违法、违规行为的；</w:t>
      </w:r>
    </w:p>
    <w:p>
      <w:pPr>
        <w:ind w:firstLine="480"/>
      </w:pPr>
      <w:r>
        <w:rPr>
          <w:rFonts w:hint="eastAsia"/>
        </w:rPr>
        <w:t>（3）在采购过程中符合要求的供应商或者报价未超过采购预算的供应商不足两家的。</w:t>
      </w:r>
    </w:p>
    <w:p>
      <w:pPr>
        <w:pStyle w:val="4"/>
        <w:ind w:firstLine="0" w:firstLineChars="0"/>
        <w:jc w:val="left"/>
      </w:pPr>
      <w:r>
        <w:rPr>
          <w:rFonts w:hint="eastAsia"/>
        </w:rPr>
        <w:t>3.综合评分</w:t>
      </w:r>
    </w:p>
    <w:p>
      <w:pPr>
        <w:autoSpaceDE/>
        <w:autoSpaceDN/>
        <w:spacing w:line="300" w:lineRule="auto"/>
        <w:ind w:firstLine="480"/>
      </w:pPr>
      <w:r>
        <w:rPr>
          <w:rFonts w:hint="eastAsia"/>
        </w:rPr>
        <w:t>3.1本次综合评分的因素是：详见综合评分明细表</w:t>
      </w:r>
    </w:p>
    <w:p>
      <w:pPr>
        <w:ind w:firstLine="480"/>
      </w:pPr>
      <w:r>
        <w:rPr>
          <w:rFonts w:hint="eastAsia"/>
        </w:rPr>
        <w:t>3.2综合评分明细表</w:t>
      </w:r>
    </w:p>
    <w:p>
      <w:pPr>
        <w:ind w:firstLine="480"/>
      </w:pPr>
      <w:r>
        <w:rPr>
          <w:rFonts w:hint="eastAsia"/>
        </w:rPr>
        <w:t>3.</w:t>
      </w:r>
      <w:r>
        <w:rPr>
          <w:rFonts w:hint="eastAsia"/>
          <w:lang w:val="en-US"/>
        </w:rPr>
        <w:t>2</w:t>
      </w:r>
      <w:r>
        <w:rPr>
          <w:rFonts w:hint="eastAsia"/>
        </w:rPr>
        <w:t>.1综合评分明细表的制定以科学合理、降低评委会自由裁量权为原则。</w:t>
      </w:r>
    </w:p>
    <w:p>
      <w:pPr>
        <w:pStyle w:val="4"/>
        <w:ind w:firstLine="0" w:firstLineChars="0"/>
        <w:jc w:val="left"/>
      </w:pPr>
      <w:r>
        <w:rPr>
          <w:rFonts w:hint="eastAsia"/>
        </w:rPr>
        <w:t>3.</w:t>
      </w:r>
      <w:r>
        <w:rPr>
          <w:rFonts w:hint="eastAsia"/>
          <w:lang w:val="en-US"/>
        </w:rPr>
        <w:t>2</w:t>
      </w:r>
      <w:r>
        <w:rPr>
          <w:rFonts w:hint="eastAsia"/>
        </w:rPr>
        <w:t>.2综合评分明细表</w:t>
      </w:r>
    </w:p>
    <w:tbl>
      <w:tblPr>
        <w:tblStyle w:val="2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1317"/>
        <w:gridCol w:w="1022"/>
        <w:gridCol w:w="5729"/>
        <w:gridCol w:w="1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pPr>
              <w:widowControl w:val="0"/>
              <w:autoSpaceDE w:val="0"/>
              <w:autoSpaceDN w:val="0"/>
              <w:spacing w:line="360" w:lineRule="auto"/>
              <w:ind w:left="0" w:leftChars="0" w:right="0" w:firstLine="0" w:firstLineChars="0"/>
              <w:jc w:val="center"/>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序号</w:t>
            </w:r>
          </w:p>
        </w:tc>
        <w:tc>
          <w:tcPr>
            <w:tcW w:w="657" w:type="pct"/>
            <w:noWrap w:val="0"/>
            <w:vAlign w:val="center"/>
          </w:tcPr>
          <w:p>
            <w:pPr>
              <w:widowControl w:val="0"/>
              <w:autoSpaceDE w:val="0"/>
              <w:autoSpaceDN w:val="0"/>
              <w:spacing w:line="360" w:lineRule="auto"/>
              <w:ind w:left="0" w:leftChars="0" w:right="0" w:firstLine="0" w:firstLineChars="0"/>
              <w:jc w:val="center"/>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评分因素</w:t>
            </w:r>
          </w:p>
          <w:p>
            <w:pPr>
              <w:widowControl w:val="0"/>
              <w:autoSpaceDE w:val="0"/>
              <w:autoSpaceDN w:val="0"/>
              <w:spacing w:line="360" w:lineRule="auto"/>
              <w:ind w:left="0" w:leftChars="0" w:right="0" w:firstLine="0" w:firstLineChars="0"/>
              <w:jc w:val="center"/>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及权重</w:t>
            </w:r>
          </w:p>
        </w:tc>
        <w:tc>
          <w:tcPr>
            <w:tcW w:w="510" w:type="pct"/>
            <w:noWrap w:val="0"/>
            <w:vAlign w:val="center"/>
          </w:tcPr>
          <w:p>
            <w:pPr>
              <w:widowControl w:val="0"/>
              <w:autoSpaceDE w:val="0"/>
              <w:autoSpaceDN w:val="0"/>
              <w:spacing w:line="360" w:lineRule="auto"/>
              <w:ind w:left="0" w:leftChars="0" w:right="0" w:firstLine="0" w:firstLineChars="0"/>
              <w:jc w:val="center"/>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分值</w:t>
            </w:r>
          </w:p>
        </w:tc>
        <w:tc>
          <w:tcPr>
            <w:tcW w:w="2858" w:type="pct"/>
            <w:noWrap w:val="0"/>
            <w:vAlign w:val="center"/>
          </w:tcPr>
          <w:p>
            <w:pPr>
              <w:widowControl w:val="0"/>
              <w:autoSpaceDE w:val="0"/>
              <w:autoSpaceDN w:val="0"/>
              <w:spacing w:line="360" w:lineRule="auto"/>
              <w:ind w:left="0" w:leftChars="0" w:right="0" w:firstLine="0" w:firstLineChars="0"/>
              <w:jc w:val="center"/>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评分标准</w:t>
            </w:r>
          </w:p>
        </w:tc>
        <w:tc>
          <w:tcPr>
            <w:tcW w:w="611" w:type="pct"/>
            <w:noWrap w:val="0"/>
            <w:vAlign w:val="center"/>
          </w:tcPr>
          <w:p>
            <w:pPr>
              <w:widowControl w:val="0"/>
              <w:autoSpaceDE w:val="0"/>
              <w:autoSpaceDN w:val="0"/>
              <w:spacing w:line="360" w:lineRule="auto"/>
              <w:ind w:left="0" w:leftChars="0" w:right="0" w:firstLine="0" w:firstLineChars="0"/>
              <w:jc w:val="center"/>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1</w:t>
            </w:r>
          </w:p>
        </w:tc>
        <w:tc>
          <w:tcPr>
            <w:tcW w:w="657"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报价10%</w:t>
            </w:r>
          </w:p>
        </w:tc>
        <w:tc>
          <w:tcPr>
            <w:tcW w:w="510"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10分</w:t>
            </w:r>
          </w:p>
        </w:tc>
        <w:tc>
          <w:tcPr>
            <w:tcW w:w="2858"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以本次有效的最低磋商报价为基准价，磋商报价得分=(磋商基准价／最后磋商报价)*价格权值*100</w:t>
            </w:r>
          </w:p>
        </w:tc>
        <w:tc>
          <w:tcPr>
            <w:tcW w:w="611"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2</w:t>
            </w:r>
          </w:p>
        </w:tc>
        <w:tc>
          <w:tcPr>
            <w:tcW w:w="657"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技术、服务要求18%</w:t>
            </w:r>
          </w:p>
        </w:tc>
        <w:tc>
          <w:tcPr>
            <w:tcW w:w="510"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18分</w:t>
            </w:r>
          </w:p>
        </w:tc>
        <w:tc>
          <w:tcPr>
            <w:tcW w:w="2858"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ascii="宋体" w:hAnsi="宋体" w:eastAsia="宋体" w:cs="宋体"/>
                <w:sz w:val="24"/>
                <w:szCs w:val="24"/>
                <w:lang w:val="en-US" w:eastAsia="zh-CN" w:bidi="zh-CN"/>
              </w:rPr>
            </w:pPr>
            <w:r>
              <w:rPr>
                <w:rFonts w:hint="eastAsia" w:ascii="宋体" w:hAnsi="宋体" w:eastAsia="宋体" w:cs="宋体"/>
                <w:sz w:val="24"/>
                <w:szCs w:val="24"/>
                <w:lang w:val="en-US" w:eastAsia="zh-CN" w:bidi="zh-CN"/>
              </w:rPr>
              <w:t>完全响应磋商文件服务要求的得1</w:t>
            </w:r>
            <w:r>
              <w:rPr>
                <w:rFonts w:hint="eastAsia" w:cs="宋体"/>
                <w:sz w:val="24"/>
                <w:szCs w:val="24"/>
                <w:lang w:val="en-US" w:eastAsia="zh-CN" w:bidi="zh-CN"/>
              </w:rPr>
              <w:t>8</w:t>
            </w:r>
            <w:r>
              <w:rPr>
                <w:rFonts w:hint="eastAsia" w:ascii="宋体" w:hAnsi="宋体" w:eastAsia="宋体" w:cs="宋体"/>
                <w:sz w:val="24"/>
                <w:szCs w:val="24"/>
                <w:lang w:val="en-US" w:eastAsia="zh-CN" w:bidi="zh-CN"/>
              </w:rPr>
              <w:t>分，每有一项低于磋商文件服务要求的扣2分，扣完为止。</w:t>
            </w:r>
          </w:p>
        </w:tc>
        <w:tc>
          <w:tcPr>
            <w:tcW w:w="611"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3</w:t>
            </w:r>
          </w:p>
        </w:tc>
        <w:tc>
          <w:tcPr>
            <w:tcW w:w="657"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项目实施方案9%</w:t>
            </w:r>
          </w:p>
        </w:tc>
        <w:tc>
          <w:tcPr>
            <w:tcW w:w="510"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9分</w:t>
            </w:r>
          </w:p>
        </w:tc>
        <w:tc>
          <w:tcPr>
            <w:tcW w:w="2858" w:type="pct"/>
            <w:noWrap w:val="0"/>
            <w:vAlign w:val="center"/>
          </w:tcPr>
          <w:p>
            <w:pPr>
              <w:bidi w:val="0"/>
              <w:rPr>
                <w:rFonts w:hint="eastAsia" w:ascii="宋体" w:hAnsi="宋体" w:eastAsia="宋体" w:cs="宋体"/>
                <w:szCs w:val="24"/>
                <w:lang w:val="en-US" w:eastAsia="zh-CN" w:bidi="zh-CN"/>
              </w:rPr>
            </w:pPr>
            <w:r>
              <w:rPr>
                <w:rFonts w:hint="eastAsia"/>
                <w:lang w:val="en-US" w:eastAsia="zh-CN"/>
              </w:rPr>
              <w:t>技术方案：针对本项目提供的维保设备清单的设备内容的技术分析包括①现有设备情况分析；②规范依据；③维保技术难点及解决办；三项皆有描述基础分9分，每缺一项扣3分，方案内容有不足，不完整、不合理或表述不清的，一处扣1分，未提供的不得分。</w:t>
            </w:r>
          </w:p>
        </w:tc>
        <w:tc>
          <w:tcPr>
            <w:tcW w:w="611"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4</w:t>
            </w:r>
          </w:p>
        </w:tc>
        <w:tc>
          <w:tcPr>
            <w:tcW w:w="657"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企业实力29</w:t>
            </w:r>
            <w:r>
              <w:rPr>
                <w:rFonts w:ascii="宋体" w:hAnsi="宋体" w:eastAsia="宋体" w:cs="宋体"/>
                <w:sz w:val="24"/>
                <w:szCs w:val="24"/>
                <w:lang w:val="en-US" w:eastAsia="zh-CN" w:bidi="zh-CN"/>
              </w:rPr>
              <w:t>%</w:t>
            </w:r>
          </w:p>
        </w:tc>
        <w:tc>
          <w:tcPr>
            <w:tcW w:w="510"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29分</w:t>
            </w:r>
          </w:p>
        </w:tc>
        <w:tc>
          <w:tcPr>
            <w:tcW w:w="2858" w:type="pct"/>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right="0" w:firstLine="0" w:firstLineChars="0"/>
              <w:jc w:val="left"/>
              <w:textAlignment w:val="auto"/>
              <w:rPr>
                <w:rFonts w:hint="eastAsia" w:ascii="宋体" w:hAnsi="宋体" w:eastAsia="宋体" w:cs="宋体"/>
                <w:lang w:val="en-US" w:eastAsia="zh-CN"/>
              </w:rPr>
            </w:pPr>
            <w:r>
              <w:rPr>
                <w:rFonts w:hint="eastAsia" w:ascii="宋体" w:hAnsi="宋体" w:eastAsia="宋体" w:cs="宋体"/>
                <w:lang w:val="en-US" w:eastAsia="zh-CN"/>
              </w:rPr>
              <w:t>1、供应商具有质量管理体系认证、环境管理体系认证、职业健康安全管理体系认证、信息安全管理体系认证、信息技术服务管理体系认证的得15分，少一个扣3分，扣完为止。</w:t>
            </w:r>
          </w:p>
          <w:p>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right="0" w:firstLine="0" w:firstLineChars="0"/>
              <w:jc w:val="left"/>
              <w:textAlignment w:val="auto"/>
              <w:rPr>
                <w:rFonts w:ascii="宋体" w:hAnsi="宋体" w:eastAsia="宋体" w:cs="宋体"/>
                <w:lang w:val="en-US" w:eastAsia="zh-CN"/>
              </w:rPr>
            </w:pPr>
            <w:r>
              <w:rPr>
                <w:rFonts w:hint="eastAsia" w:ascii="宋体" w:hAnsi="宋体" w:eastAsia="宋体" w:cs="宋体"/>
                <w:lang w:val="en-US" w:eastAsia="zh-CN"/>
              </w:rPr>
              <w:t>2、供应商具备信息系统安全等级保护备案证书的得3分，未提供不得分。</w:t>
            </w:r>
          </w:p>
          <w:p>
            <w:pPr>
              <w:keepNext w:val="0"/>
              <w:keepLines w:val="0"/>
              <w:pageBreakBefore w:val="0"/>
              <w:widowControl w:val="0"/>
              <w:numPr>
                <w:ilvl w:val="0"/>
                <w:numId w:val="0"/>
              </w:numPr>
              <w:kinsoku/>
              <w:wordWrap/>
              <w:overflowPunct/>
              <w:topLinePunct w:val="0"/>
              <w:autoSpaceDE/>
              <w:autoSpaceDN/>
              <w:bidi w:val="0"/>
              <w:adjustRightInd/>
              <w:snapToGrid/>
              <w:spacing w:line="336" w:lineRule="auto"/>
              <w:ind w:left="0" w:leftChars="0" w:right="0" w:firstLine="0" w:firstLineChars="0"/>
              <w:jc w:val="left"/>
              <w:textAlignment w:val="auto"/>
              <w:rPr>
                <w:rFonts w:hint="eastAsia" w:ascii="宋体" w:hAnsi="宋体" w:eastAsia="宋体" w:cs="宋体"/>
                <w:lang w:val="en-US" w:eastAsia="zh-CN"/>
              </w:rPr>
            </w:pPr>
            <w:r>
              <w:rPr>
                <w:rFonts w:hint="eastAsia" w:ascii="宋体" w:hAnsi="宋体" w:eastAsia="宋体" w:cs="宋体"/>
                <w:lang w:val="en-US" w:eastAsia="zh-CN"/>
              </w:rPr>
              <w:t>3、供应商具有增值电信业务经营许可证的得3分，不提供不得分。</w:t>
            </w:r>
          </w:p>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left"/>
              <w:textAlignment w:val="auto"/>
              <w:rPr>
                <w:rFonts w:hint="eastAsia" w:ascii="宋体" w:hAnsi="宋体" w:eastAsia="宋体" w:cs="宋体"/>
                <w:lang w:val="en-US" w:eastAsia="zh-CN"/>
              </w:rPr>
            </w:pPr>
            <w:r>
              <w:rPr>
                <w:rFonts w:hint="eastAsia" w:ascii="宋体" w:hAnsi="宋体" w:eastAsia="宋体" w:cs="宋体"/>
                <w:lang w:val="en-US" w:eastAsia="zh-CN"/>
              </w:rPr>
              <w:t>4、供应商具有信息网络传播视听节目许可证的得5分，不提供不得分。</w:t>
            </w:r>
          </w:p>
          <w:p>
            <w:pPr>
              <w:keepNext w:val="0"/>
              <w:keepLines w:val="0"/>
              <w:pageBreakBefore w:val="0"/>
              <w:widowControl w:val="0"/>
              <w:kinsoku/>
              <w:wordWrap/>
              <w:overflowPunct/>
              <w:topLinePunct w:val="0"/>
              <w:autoSpaceDE/>
              <w:autoSpaceDN/>
              <w:bidi w:val="0"/>
              <w:adjustRightInd/>
              <w:snapToGrid/>
              <w:spacing w:after="120" w:line="336" w:lineRule="auto"/>
              <w:ind w:left="0" w:leftChars="0" w:right="0" w:firstLine="0" w:firstLineChars="0"/>
              <w:jc w:val="left"/>
              <w:textAlignment w:val="auto"/>
              <w:rPr>
                <w:rFonts w:ascii="宋体" w:hAnsi="宋体" w:eastAsia="宋体" w:cs="宋体"/>
                <w:sz w:val="24"/>
                <w:szCs w:val="22"/>
                <w:lang w:val="en-US" w:eastAsia="zh-CN" w:bidi="zh-CN"/>
              </w:rPr>
            </w:pPr>
            <w:r>
              <w:rPr>
                <w:rFonts w:hint="eastAsia" w:ascii="宋体" w:hAnsi="宋体" w:eastAsia="宋体" w:cs="宋体"/>
                <w:sz w:val="24"/>
                <w:szCs w:val="22"/>
                <w:lang w:val="en-US" w:eastAsia="zh-CN" w:bidi="zh-CN"/>
              </w:rPr>
              <w:t>5、供应商具有广播电视节目传送业务经营许可证的得3分，不提供不得分。</w:t>
            </w:r>
          </w:p>
        </w:tc>
        <w:tc>
          <w:tcPr>
            <w:tcW w:w="611"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以提供的相关证书复印件（加盖供应商公章）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5</w:t>
            </w:r>
          </w:p>
        </w:tc>
        <w:tc>
          <w:tcPr>
            <w:tcW w:w="657"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业绩9</w:t>
            </w:r>
            <w:r>
              <w:rPr>
                <w:rFonts w:ascii="宋体" w:hAnsi="宋体" w:eastAsia="宋体" w:cs="宋体"/>
                <w:sz w:val="24"/>
                <w:szCs w:val="24"/>
                <w:lang w:val="en-US" w:eastAsia="zh-CN" w:bidi="zh-CN"/>
              </w:rPr>
              <w:t>%</w:t>
            </w:r>
          </w:p>
        </w:tc>
        <w:tc>
          <w:tcPr>
            <w:tcW w:w="510"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9分</w:t>
            </w:r>
          </w:p>
        </w:tc>
        <w:tc>
          <w:tcPr>
            <w:tcW w:w="2858" w:type="pct"/>
            <w:noWrap w:val="0"/>
            <w:vAlign w:val="center"/>
          </w:tcPr>
          <w:p>
            <w:pPr>
              <w:bidi w:val="0"/>
              <w:rPr>
                <w:rFonts w:hint="eastAsia" w:ascii="宋体" w:hAnsi="宋体" w:eastAsia="宋体" w:cs="宋体"/>
                <w:szCs w:val="24"/>
                <w:lang w:val="en-US" w:eastAsia="zh-CN" w:bidi="zh-CN"/>
              </w:rPr>
            </w:pPr>
            <w:r>
              <w:rPr>
                <w:rFonts w:hint="eastAsia"/>
                <w:lang w:val="en-US" w:eastAsia="zh-CN"/>
              </w:rPr>
              <w:t>供应商自2018年1月1日以来具有的类似项目业绩，每有一个单笔合同得3分，最高得9分，没有则不得分，不提供不得分。（以提供的中标通知书或合同复印件加盖供应商公章）</w:t>
            </w:r>
          </w:p>
        </w:tc>
        <w:tc>
          <w:tcPr>
            <w:tcW w:w="611"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2"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6</w:t>
            </w:r>
          </w:p>
        </w:tc>
        <w:tc>
          <w:tcPr>
            <w:tcW w:w="657"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ascii="宋体" w:hAnsi="宋体" w:eastAsia="宋体" w:cs="宋体"/>
                <w:sz w:val="24"/>
                <w:szCs w:val="24"/>
                <w:lang w:val="en-US" w:eastAsia="zh-CN" w:bidi="zh-CN"/>
              </w:rPr>
            </w:pPr>
            <w:r>
              <w:rPr>
                <w:rFonts w:hint="eastAsia" w:ascii="宋体" w:hAnsi="宋体" w:eastAsia="宋体" w:cs="宋体"/>
                <w:sz w:val="24"/>
                <w:szCs w:val="24"/>
                <w:lang w:val="en-US" w:eastAsia="zh-CN" w:bidi="zh-CN"/>
              </w:rPr>
              <w:t>服务方案25%</w:t>
            </w:r>
          </w:p>
        </w:tc>
        <w:tc>
          <w:tcPr>
            <w:tcW w:w="510"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ascii="宋体" w:hAnsi="宋体" w:eastAsia="宋体" w:cs="宋体"/>
                <w:sz w:val="24"/>
                <w:szCs w:val="24"/>
                <w:lang w:val="en-US" w:eastAsia="zh-CN" w:bidi="zh-CN"/>
              </w:rPr>
            </w:pPr>
            <w:r>
              <w:rPr>
                <w:rFonts w:hint="eastAsia" w:ascii="宋体" w:hAnsi="宋体" w:eastAsia="宋体" w:cs="宋体"/>
                <w:sz w:val="24"/>
                <w:szCs w:val="24"/>
                <w:lang w:val="en-US" w:eastAsia="zh-CN" w:bidi="zh-CN"/>
              </w:rPr>
              <w:t>25分</w:t>
            </w:r>
          </w:p>
        </w:tc>
        <w:tc>
          <w:tcPr>
            <w:tcW w:w="2858" w:type="pct"/>
            <w:noWrap w:val="0"/>
            <w:vAlign w:val="center"/>
          </w:tcPr>
          <w:p>
            <w:pPr>
              <w:bidi w:val="0"/>
              <w:rPr>
                <w:rFonts w:hint="eastAsia"/>
                <w:lang w:val="en-US" w:eastAsia="zh-CN"/>
              </w:rPr>
            </w:pPr>
            <w:r>
              <w:rPr>
                <w:rFonts w:hint="eastAsia"/>
                <w:lang w:val="en-US" w:eastAsia="zh-CN"/>
              </w:rPr>
              <w:t>1、提供维保服务承诺及方案,方案包括但不限于：①服务网点；②服务人员；③响应时间；④技术支持；⑤应急处理等内容进行评审：根据提供以上内容进行评比，以上各项内容科学规范、合理，具有针对本项目维保实施可靠，且满足项目需求的得15分，每缺一项扣3分，方案内容有不足，不完整、不合理或表述不清的，一处扣1分，未提供的不得分。</w:t>
            </w:r>
          </w:p>
          <w:p>
            <w:pPr>
              <w:bidi w:val="0"/>
              <w:rPr>
                <w:rFonts w:hint="eastAsia"/>
                <w:lang w:val="en-US" w:eastAsia="zh-CN"/>
              </w:rPr>
            </w:pPr>
            <w:r>
              <w:rPr>
                <w:rFonts w:hint="eastAsia"/>
                <w:lang w:val="en-US" w:eastAsia="zh-CN"/>
              </w:rPr>
              <w:t>2、提供培训服务方案，方案包括但不限于：</w:t>
            </w:r>
          </w:p>
          <w:p>
            <w:pPr>
              <w:bidi w:val="0"/>
              <w:rPr>
                <w:rFonts w:hint="eastAsia"/>
                <w:lang w:val="en-US" w:eastAsia="zh-CN"/>
              </w:rPr>
            </w:pPr>
            <w:r>
              <w:rPr>
                <w:rFonts w:hint="eastAsia"/>
                <w:lang w:val="en-US" w:eastAsia="zh-CN"/>
              </w:rPr>
              <w:t>①培训计划；②培训目标；③培训内容；④培训方式等内容进行评审：根据提供以上内容进行评比，培训内容全面完善、严谨易学、操作性强，且满足项目需求的得8分，每缺一项扣2分，方案内容有不足，不完整、不合理或表述不清的，一处扣1分，未提供的不得分。</w:t>
            </w:r>
          </w:p>
          <w:p>
            <w:pPr>
              <w:bidi w:val="0"/>
              <w:rPr>
                <w:rFonts w:hint="eastAsia" w:ascii="宋体" w:hAnsi="宋体" w:eastAsia="宋体" w:cs="宋体"/>
                <w:szCs w:val="24"/>
                <w:lang w:val="en-US" w:eastAsia="zh-CN" w:bidi="zh-CN"/>
              </w:rPr>
            </w:pPr>
            <w:r>
              <w:rPr>
                <w:rFonts w:hint="eastAsia"/>
                <w:lang w:val="en-US" w:eastAsia="zh-CN"/>
              </w:rPr>
              <w:t>3、为保证后续服务及时性：根据投标人针对本项目服务及时性，能在15分钟内派驻人员到现场服务的得2分，在0.5时～1小时内派驻人员到现场服务的得1分，超过1小时的不得分。</w:t>
            </w:r>
          </w:p>
        </w:tc>
        <w:tc>
          <w:tcPr>
            <w:tcW w:w="611" w:type="pct"/>
            <w:noWrap w:val="0"/>
            <w:vAlign w:val="center"/>
          </w:tcPr>
          <w:p>
            <w:pPr>
              <w:keepNext w:val="0"/>
              <w:keepLines w:val="0"/>
              <w:pageBreakBefore w:val="0"/>
              <w:widowControl w:val="0"/>
              <w:kinsoku/>
              <w:wordWrap/>
              <w:overflowPunct/>
              <w:topLinePunct w:val="0"/>
              <w:autoSpaceDE/>
              <w:autoSpaceDN/>
              <w:bidi w:val="0"/>
              <w:adjustRightInd/>
              <w:snapToGrid/>
              <w:spacing w:line="336" w:lineRule="auto"/>
              <w:ind w:left="0" w:leftChars="0" w:right="0" w:firstLine="0" w:firstLineChars="0"/>
              <w:jc w:val="center"/>
              <w:textAlignment w:val="auto"/>
              <w:rPr>
                <w:rFonts w:hint="eastAsia" w:ascii="宋体" w:hAnsi="宋体" w:eastAsia="宋体" w:cs="宋体"/>
                <w:sz w:val="24"/>
                <w:szCs w:val="24"/>
                <w:lang w:val="en-US" w:eastAsia="zh-CN" w:bidi="zh-CN"/>
              </w:rPr>
            </w:pPr>
          </w:p>
        </w:tc>
      </w:tr>
    </w:tbl>
    <w:p>
      <w:pPr>
        <w:pStyle w:val="4"/>
        <w:spacing w:line="360" w:lineRule="auto"/>
        <w:ind w:firstLine="0" w:firstLineChars="0"/>
        <w:jc w:val="both"/>
        <w:rPr>
          <w:rFonts w:hint="eastAsia"/>
        </w:rPr>
      </w:pPr>
    </w:p>
    <w:p>
      <w:pPr>
        <w:pStyle w:val="4"/>
        <w:spacing w:line="360" w:lineRule="auto"/>
        <w:ind w:firstLine="0" w:firstLineChars="0"/>
        <w:jc w:val="both"/>
      </w:pPr>
      <w:r>
        <w:rPr>
          <w:rFonts w:hint="eastAsia"/>
        </w:rPr>
        <w:t>4.磋商纪律及注意事项</w:t>
      </w:r>
    </w:p>
    <w:p>
      <w:pPr>
        <w:tabs>
          <w:tab w:val="left" w:pos="851"/>
        </w:tabs>
        <w:spacing w:line="360" w:lineRule="auto"/>
        <w:ind w:firstLine="480"/>
      </w:pPr>
      <w:r>
        <w:rPr>
          <w:rFonts w:hint="eastAsia"/>
        </w:rPr>
        <w:t>4.1磋商小组内部讨论的情况和意见必须保密，任何人不得以任何形式透露给供应商或与供应商有关的单位或个人。</w:t>
      </w:r>
    </w:p>
    <w:p>
      <w:pPr>
        <w:tabs>
          <w:tab w:val="left" w:pos="851"/>
        </w:tabs>
        <w:spacing w:line="360" w:lineRule="auto"/>
        <w:ind w:firstLine="480"/>
      </w:pPr>
      <w:r>
        <w:rPr>
          <w:rFonts w:hint="eastAsia"/>
        </w:rPr>
        <w:t>4.2在磋商过程中，供应商不得以任何形式对磋商小组成员进行旨在影响磋商结果的私下接触，否则将取消其参与磋商的资格。</w:t>
      </w:r>
    </w:p>
    <w:p>
      <w:pPr>
        <w:tabs>
          <w:tab w:val="left" w:pos="851"/>
        </w:tabs>
        <w:spacing w:line="360" w:lineRule="auto"/>
        <w:ind w:firstLine="480"/>
      </w:pPr>
      <w:r>
        <w:rPr>
          <w:rFonts w:hint="eastAsia"/>
        </w:rPr>
        <w:t>4.3对各供应商的商业秘密，磋商小组成员应予以保密，不得泄露给其他供应商。</w:t>
      </w:r>
    </w:p>
    <w:p>
      <w:pPr>
        <w:tabs>
          <w:tab w:val="left" w:pos="851"/>
        </w:tabs>
        <w:spacing w:line="360" w:lineRule="auto"/>
        <w:ind w:firstLine="480"/>
      </w:pPr>
      <w:r>
        <w:rPr>
          <w:rFonts w:hint="eastAsia"/>
        </w:rPr>
        <w:t>4.4 磋商小组独立评判，推荐成交候选人，并写出书面报告。</w:t>
      </w:r>
    </w:p>
    <w:p>
      <w:pPr>
        <w:tabs>
          <w:tab w:val="left" w:pos="851"/>
        </w:tabs>
        <w:spacing w:line="360" w:lineRule="auto"/>
        <w:ind w:firstLine="480"/>
      </w:pPr>
      <w:r>
        <w:rPr>
          <w:rFonts w:hint="eastAsia"/>
        </w:rPr>
        <w:t>4.5 磋商小组可根据需要对供应商进行实地考察。</w:t>
      </w:r>
    </w:p>
    <w:p>
      <w:pPr>
        <w:pStyle w:val="4"/>
        <w:spacing w:line="360" w:lineRule="auto"/>
        <w:ind w:firstLine="0" w:firstLineChars="0"/>
        <w:jc w:val="both"/>
      </w:pPr>
      <w:r>
        <w:rPr>
          <w:rFonts w:hint="eastAsia"/>
        </w:rPr>
        <w:t>5.磋商小组在采购活动中承担以下义务：</w:t>
      </w:r>
    </w:p>
    <w:p>
      <w:pPr>
        <w:tabs>
          <w:tab w:val="left" w:pos="7665"/>
        </w:tabs>
        <w:spacing w:line="360" w:lineRule="auto"/>
        <w:ind w:firstLine="480"/>
      </w:pPr>
      <w:r>
        <w:rPr>
          <w:rFonts w:hint="eastAsia"/>
        </w:rPr>
        <w:t>（一）遵守评审工作纪律；</w:t>
      </w:r>
    </w:p>
    <w:p>
      <w:pPr>
        <w:tabs>
          <w:tab w:val="left" w:pos="7665"/>
        </w:tabs>
        <w:spacing w:line="360" w:lineRule="auto"/>
        <w:ind w:firstLine="480"/>
      </w:pPr>
      <w:r>
        <w:rPr>
          <w:rFonts w:hint="eastAsia"/>
        </w:rPr>
        <w:t>（二）按照客观、公正、审慎的原则，根据磋商文件规定的评审程序、评审方法和评审标准进行独立评审；</w:t>
      </w:r>
    </w:p>
    <w:p>
      <w:pPr>
        <w:tabs>
          <w:tab w:val="left" w:pos="7665"/>
        </w:tabs>
        <w:spacing w:line="360" w:lineRule="auto"/>
        <w:ind w:firstLine="480"/>
      </w:pPr>
      <w:r>
        <w:rPr>
          <w:rFonts w:hint="eastAsia"/>
        </w:rPr>
        <w:t>（三）不得泄露评审文件、评审情况和在评审过程中获悉的商业秘密；</w:t>
      </w:r>
    </w:p>
    <w:p>
      <w:pPr>
        <w:tabs>
          <w:tab w:val="left" w:pos="7665"/>
        </w:tabs>
        <w:spacing w:line="360" w:lineRule="auto"/>
        <w:ind w:firstLine="480"/>
      </w:pPr>
      <w:r>
        <w:rPr>
          <w:rFonts w:hint="eastAsia"/>
        </w:rPr>
        <w:t>（四）及时向财政部门报告评审过程中发现的采购人、采购代理机构向评审专家做倾向性、误导性的解释或者说明，以及供应商行贿、提供虚假材料或者串通等违法行为；</w:t>
      </w:r>
    </w:p>
    <w:p>
      <w:pPr>
        <w:tabs>
          <w:tab w:val="left" w:pos="7665"/>
        </w:tabs>
        <w:spacing w:line="360" w:lineRule="auto"/>
        <w:ind w:firstLine="480"/>
      </w:pPr>
      <w:r>
        <w:rPr>
          <w:rFonts w:hint="eastAsia"/>
        </w:rPr>
        <w:t>（五）发现磋商文件内容违反国家有关强制性规定或者磋商文件存在歧义、重大缺陷导致评审工作无法进行时，停止评审并向采购人或者采购代理机构书面说明情况；</w:t>
      </w:r>
    </w:p>
    <w:p>
      <w:pPr>
        <w:tabs>
          <w:tab w:val="left" w:pos="7665"/>
        </w:tabs>
        <w:spacing w:line="360" w:lineRule="auto"/>
        <w:ind w:firstLine="480"/>
      </w:pPr>
      <w:r>
        <w:rPr>
          <w:rFonts w:hint="eastAsia"/>
        </w:rPr>
        <w:t>（六）及时向财政、监察等部门举报在评审过程中受到非法干预的情况；</w:t>
      </w:r>
    </w:p>
    <w:p>
      <w:pPr>
        <w:tabs>
          <w:tab w:val="left" w:pos="7665"/>
        </w:tabs>
        <w:spacing w:line="360" w:lineRule="auto"/>
        <w:ind w:firstLine="480"/>
      </w:pPr>
      <w:r>
        <w:rPr>
          <w:rFonts w:hint="eastAsia"/>
        </w:rPr>
        <w:t>（七）配合答复处理供应商的询问、质疑和投诉等事项；</w:t>
      </w:r>
    </w:p>
    <w:p>
      <w:pPr>
        <w:tabs>
          <w:tab w:val="left" w:pos="7665"/>
        </w:tabs>
        <w:spacing w:line="360" w:lineRule="auto"/>
        <w:ind w:firstLine="480"/>
      </w:pPr>
      <w:r>
        <w:rPr>
          <w:rFonts w:hint="eastAsia"/>
        </w:rPr>
        <w:t>（八）法律、法规和规章规定的其他义务。</w:t>
      </w:r>
    </w:p>
    <w:p>
      <w:pPr>
        <w:pStyle w:val="4"/>
        <w:spacing w:line="360" w:lineRule="auto"/>
        <w:ind w:firstLine="0" w:firstLineChars="0"/>
        <w:jc w:val="both"/>
      </w:pPr>
      <w:r>
        <w:rPr>
          <w:rFonts w:hint="eastAsia"/>
        </w:rPr>
        <w:t>6.评审专家在采购活动中应当遵守以下工作纪律：</w:t>
      </w:r>
    </w:p>
    <w:p>
      <w:pPr>
        <w:spacing w:line="360" w:lineRule="auto"/>
        <w:ind w:firstLine="480"/>
      </w:pPr>
      <w:r>
        <w:rPr>
          <w:rFonts w:hint="eastAsia"/>
        </w:rPr>
        <w:t>（一）不得参加与自己有《中华人民共和国政府采购法实施条例》第九条规定的利害关系的采购项目的评标活动。发现参加了与自己有利害关系的评审活动，须主动提出回避，退出评审；</w:t>
      </w:r>
    </w:p>
    <w:p>
      <w:pPr>
        <w:spacing w:line="360" w:lineRule="auto"/>
        <w:ind w:firstLine="480"/>
      </w:pPr>
      <w:r>
        <w:rPr>
          <w:rFonts w:hint="eastAsia"/>
        </w:rPr>
        <w:t>（二）评审前，应当将通讯工具或者相关电子设备交由采购代理机构统一保管；</w:t>
      </w:r>
    </w:p>
    <w:p>
      <w:pPr>
        <w:spacing w:line="360" w:lineRule="auto"/>
        <w:ind w:firstLine="480"/>
      </w:pPr>
      <w:r>
        <w:rPr>
          <w:rFonts w:hint="eastAsia"/>
        </w:rPr>
        <w:t>（三）评审过程中，不得与外界联系，因发生不可预见情况，确实需要与外界联系的，应当在监督人员监督之下办理；</w:t>
      </w:r>
    </w:p>
    <w:p>
      <w:pPr>
        <w:spacing w:line="360" w:lineRule="auto"/>
        <w:ind w:firstLine="480"/>
      </w:pPr>
      <w:r>
        <w:rPr>
          <w:rFonts w:hint="eastAsia"/>
        </w:rPr>
        <w:t>（四）评审过程中，不得发表影响评审公正的倾向性、歧视性言论，不得征询或者接受采购人的倾向性意见，不得明示或暗示供应商在澄清时表达与其响应文件原义不同的意见，不得以磋商文件没有规定的评审方法和标准作为评审的依据，不得修改或者细化评审程序、评审方法、评审因素和评审标准，不得违规撰写评审意见，不得拒绝对自己的评审意见签字确认；</w:t>
      </w:r>
    </w:p>
    <w:p>
      <w:pPr>
        <w:spacing w:line="360" w:lineRule="auto"/>
        <w:ind w:firstLine="480"/>
      </w:pPr>
      <w:r>
        <w:rPr>
          <w:rFonts w:hint="eastAsia"/>
        </w:rPr>
        <w:t>（五）在评审过程中和评审结束后，不得记录、复制或带走任何评审资料，不得向外界透露评审内容；</w:t>
      </w:r>
    </w:p>
    <w:p>
      <w:pPr>
        <w:spacing w:line="360" w:lineRule="auto"/>
        <w:ind w:firstLine="480"/>
      </w:pPr>
      <w:r>
        <w:rPr>
          <w:rFonts w:hint="eastAsia"/>
        </w:rPr>
        <w:t>（六）评审现场服从采购代理机构工作人员的管理，接受现场监督人员的合法监督；</w:t>
      </w:r>
    </w:p>
    <w:p>
      <w:pPr>
        <w:spacing w:line="360" w:lineRule="auto"/>
        <w:ind w:firstLine="480"/>
      </w:pPr>
      <w:r>
        <w:rPr>
          <w:rFonts w:hint="eastAsia"/>
        </w:rPr>
        <w:t>（七）遵守有关廉洁自律规定，不得私下接触供应商，不得收受供应商及有关业务单位和个人的财物或好处，不得接受采购代理机构的请托。</w:t>
      </w:r>
    </w:p>
    <w:p>
      <w:pPr>
        <w:ind w:firstLine="480"/>
      </w:pPr>
    </w:p>
    <w:p>
      <w:pPr>
        <w:pStyle w:val="13"/>
        <w:ind w:firstLine="643"/>
        <w:rPr>
          <w:b/>
          <w:sz w:val="32"/>
        </w:rPr>
      </w:pPr>
    </w:p>
    <w:p>
      <w:pPr>
        <w:pStyle w:val="22"/>
        <w:ind w:firstLine="0" w:firstLineChars="0"/>
        <w:rPr>
          <w:rFonts w:hAnsi="宋体"/>
          <w:b/>
          <w:sz w:val="32"/>
        </w:rPr>
      </w:pPr>
    </w:p>
    <w:p>
      <w:pPr>
        <w:ind w:left="0" w:leftChars="0" w:firstLine="0" w:firstLineChars="0"/>
      </w:pPr>
    </w:p>
    <w:sectPr>
      <w:headerReference r:id="rId7" w:type="first"/>
      <w:footerReference r:id="rId10" w:type="first"/>
      <w:headerReference r:id="rId5" w:type="default"/>
      <w:footerReference r:id="rId8" w:type="default"/>
      <w:headerReference r:id="rId6" w:type="even"/>
      <w:footerReference r:id="rId9" w:type="even"/>
      <w:pgSz w:w="11910" w:h="16840"/>
      <w:pgMar w:top="1587" w:right="1020" w:bottom="1180" w:left="1080" w:header="852" w:footer="99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enter" w:pos="4905"/>
        <w:tab w:val="left" w:pos="5649"/>
      </w:tabs>
      <w:spacing w:line="240" w:lineRule="auto"/>
      <w:ind w:firstLine="0" w:firstLineChars="0"/>
      <w:rPr>
        <w:sz w:val="20"/>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ge">
                <wp:posOffset>9911715</wp:posOffset>
              </wp:positionV>
              <wp:extent cx="546735" cy="161925"/>
              <wp:effectExtent l="0" t="0" r="0" b="0"/>
              <wp:wrapNone/>
              <wp:docPr id="1" name="文本框 26"/>
              <wp:cNvGraphicFramePr/>
              <a:graphic xmlns:a="http://schemas.openxmlformats.org/drawingml/2006/main">
                <a:graphicData uri="http://schemas.microsoft.com/office/word/2010/wordprocessingShape">
                  <wps:wsp>
                    <wps:cNvSpPr txBox="1"/>
                    <wps:spPr>
                      <a:xfrm>
                        <a:off x="0" y="0"/>
                        <a:ext cx="546735" cy="161925"/>
                      </a:xfrm>
                      <a:prstGeom prst="rect">
                        <a:avLst/>
                      </a:prstGeom>
                      <a:noFill/>
                      <a:ln>
                        <a:noFill/>
                      </a:ln>
                    </wps:spPr>
                    <wps:txbx>
                      <w:txbxContent>
                        <w:p>
                          <w:pPr>
                            <w:spacing w:before="12"/>
                            <w:ind w:left="40" w:firstLine="360"/>
                            <w:rPr>
                              <w:rFonts w:ascii="Times New Roman"/>
                              <w:sz w:val="18"/>
                            </w:rPr>
                          </w:pPr>
                          <w:r>
                            <w:rPr>
                              <w:rFonts w:hint="eastAsia" w:ascii="Times New Roman"/>
                              <w:sz w:val="18"/>
                            </w:rPr>
                            <w:fldChar w:fldCharType="begin"/>
                          </w:r>
                          <w:r>
                            <w:rPr>
                              <w:rFonts w:hint="eastAsia" w:ascii="Times New Roman"/>
                              <w:sz w:val="18"/>
                            </w:rPr>
                            <w:instrText xml:space="preserve"> PAGE  \* MERGEFORMAT </w:instrText>
                          </w:r>
                          <w:r>
                            <w:rPr>
                              <w:rFonts w:hint="eastAsia" w:ascii="Times New Roman"/>
                              <w:sz w:val="18"/>
                            </w:rPr>
                            <w:fldChar w:fldCharType="separate"/>
                          </w:r>
                          <w:r>
                            <w:rPr>
                              <w:rFonts w:hint="eastAsia" w:ascii="Times New Roman"/>
                              <w:sz w:val="18"/>
                            </w:rPr>
                            <w:t>45</w:t>
                          </w:r>
                          <w:r>
                            <w:rPr>
                              <w:rFonts w:hint="eastAsia" w:ascii="Times New Roman"/>
                              <w:sz w:val="18"/>
                            </w:rPr>
                            <w:fldChar w:fldCharType="end"/>
                          </w:r>
                        </w:p>
                      </w:txbxContent>
                    </wps:txbx>
                    <wps:bodyPr lIns="0" tIns="0" rIns="0" bIns="0" upright="1"/>
                  </wps:wsp>
                </a:graphicData>
              </a:graphic>
            </wp:anchor>
          </w:drawing>
        </mc:Choice>
        <mc:Fallback>
          <w:pict>
            <v:shape id="文本框 26" o:spid="_x0000_s1026" o:spt="202" type="#_x0000_t202" style="position:absolute;left:0pt;margin-top:780.45pt;height:12.75pt;width:43.05pt;mso-position-horizontal:center;mso-position-horizontal-relative:margin;mso-position-vertical-relative:page;z-index:251659264;mso-width-relative:page;mso-height-relative:page;" filled="f" stroked="f" coordsize="21600,21600" o:gfxdata="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NI71G1wAAAAkBAAAPAAAAAAAAAAEAIAAAACIAAABkcnMvZG93bnJldi54bWxQSwEC&#10;FAAUAAAACACHTuJA9NSGHLwBAAByAwAADgAAAAAAAAABACAAAAAmAQAAZHJzL2Uyb0RvYy54bWxQ&#10;SwUGAAAAAAYABgBZAQAAVAUAAAAA&#10;">
              <v:fill on="f" focussize="0,0"/>
              <v:stroke on="f"/>
              <v:imagedata o:title=""/>
              <o:lock v:ext="edit" aspectratio="f"/>
              <v:textbox inset="0mm,0mm,0mm,0mm">
                <w:txbxContent>
                  <w:p>
                    <w:pPr>
                      <w:spacing w:before="12"/>
                      <w:ind w:left="40" w:firstLine="360"/>
                      <w:rPr>
                        <w:rFonts w:ascii="Times New Roman"/>
                        <w:sz w:val="18"/>
                      </w:rPr>
                    </w:pPr>
                    <w:r>
                      <w:rPr>
                        <w:rFonts w:hint="eastAsia" w:ascii="Times New Roman"/>
                        <w:sz w:val="18"/>
                      </w:rPr>
                      <w:fldChar w:fldCharType="begin"/>
                    </w:r>
                    <w:r>
                      <w:rPr>
                        <w:rFonts w:hint="eastAsia" w:ascii="Times New Roman"/>
                        <w:sz w:val="18"/>
                      </w:rPr>
                      <w:instrText xml:space="preserve"> PAGE  \* MERGEFORMAT </w:instrText>
                    </w:r>
                    <w:r>
                      <w:rPr>
                        <w:rFonts w:hint="eastAsia" w:ascii="Times New Roman"/>
                        <w:sz w:val="18"/>
                      </w:rPr>
                      <w:fldChar w:fldCharType="separate"/>
                    </w:r>
                    <w:r>
                      <w:rPr>
                        <w:rFonts w:hint="eastAsia" w:ascii="Times New Roman"/>
                        <w:sz w:val="18"/>
                      </w:rPr>
                      <w:t>45</w:t>
                    </w:r>
                    <w:r>
                      <w:rPr>
                        <w:rFonts w:hint="eastAsia" w:ascii="Times New Roman"/>
                        <w:sz w:val="18"/>
                      </w:rPr>
                      <w:fldChar w:fldCharType="end"/>
                    </w:r>
                  </w:p>
                </w:txbxContent>
              </v:textbox>
            </v:shape>
          </w:pict>
        </mc:Fallback>
      </mc:AlternateContent>
    </w:r>
    <w:r>
      <w:rPr>
        <w:rFonts w:hint="eastAsia"/>
        <w:sz w:val="20"/>
      </w:rPr>
      <w:tab/>
    </w:r>
    <w:r>
      <w:rPr>
        <w:rFonts w:hint="eastAsia"/>
        <w:sz w:val="20"/>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line="240" w:lineRule="auto"/>
      <w:ind w:firstLine="480"/>
      <w:rPr>
        <w:sz w:val="20"/>
        <w:lang w:val="en-US"/>
      </w:rPr>
    </w:pPr>
    <w:r>
      <mc:AlternateContent>
        <mc:Choice Requires="wps">
          <w:drawing>
            <wp:anchor distT="0" distB="0" distL="114300" distR="114300" simplePos="0" relativeHeight="251660288" behindDoc="1" locked="0" layoutInCell="1" allowOverlap="1">
              <wp:simplePos x="0" y="0"/>
              <wp:positionH relativeFrom="page">
                <wp:posOffset>1548130</wp:posOffset>
              </wp:positionH>
              <wp:positionV relativeFrom="page">
                <wp:posOffset>906145</wp:posOffset>
              </wp:positionV>
              <wp:extent cx="5181600" cy="9525"/>
              <wp:effectExtent l="0" t="0" r="0" b="0"/>
              <wp:wrapNone/>
              <wp:docPr id="5" name="直线 27"/>
              <wp:cNvGraphicFramePr/>
              <a:graphic xmlns:a="http://schemas.openxmlformats.org/drawingml/2006/main">
                <a:graphicData uri="http://schemas.microsoft.com/office/word/2010/wordprocessingShape">
                  <wps:wsp>
                    <wps:cNvCnPr/>
                    <wps:spPr>
                      <a:xfrm>
                        <a:off x="0" y="0"/>
                        <a:ext cx="5181600" cy="9525"/>
                      </a:xfrm>
                      <a:prstGeom prst="line">
                        <a:avLst/>
                      </a:prstGeom>
                      <a:ln w="12192" cap="flat" cmpd="sng">
                        <a:solidFill>
                          <a:srgbClr val="000000"/>
                        </a:solidFill>
                        <a:prstDash val="solid"/>
                        <a:headEnd type="none" w="med" len="med"/>
                        <a:tailEnd type="none" w="med" len="med"/>
                      </a:ln>
                    </wps:spPr>
                    <wps:bodyPr/>
                  </wps:wsp>
                </a:graphicData>
              </a:graphic>
            </wp:anchor>
          </w:drawing>
        </mc:Choice>
        <mc:Fallback>
          <w:pict>
            <v:line id="直线 27" o:spid="_x0000_s1026" o:spt="20" style="position:absolute;left:0pt;margin-left:121.9pt;margin-top:71.35pt;height:0.75pt;width:408pt;mso-position-horizontal-relative:page;mso-position-vertical-relative:page;z-index:-251656192;mso-width-relative:page;mso-height-relative:page;" filled="f" stroked="t" coordsize="21600,21600" o:gfxdata="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xQ3AB2AAAAAwB&#10;AAAPAAAAAAAAAAEAIAAAACIAAABkcnMvZG93bnJldi54bWxQSwECFAAUAAAACACHTuJAGbR/1+IB&#10;AADUAwAADgAAAAAAAAABACAAAAAnAQAAZHJzL2Uyb0RvYy54bWxQSwUGAAAAAAYABgBZAQAAewUA&#10;AAAA&#10;">
              <v:fill on="f" focussize="0,0"/>
              <v:stroke weight="0.96pt" color="#000000" joinstyle="round"/>
              <v:imagedata o:title=""/>
              <o:lock v:ext="edit" aspectratio="f"/>
            </v:line>
          </w:pict>
        </mc:Fallback>
      </mc:AlternateContent>
    </w:r>
    <w:r>
      <mc:AlternateContent>
        <mc:Choice Requires="wps">
          <w:drawing>
            <wp:anchor distT="0" distB="0" distL="114300" distR="114300" simplePos="0" relativeHeight="251661312" behindDoc="1" locked="0" layoutInCell="1" allowOverlap="1">
              <wp:simplePos x="0" y="0"/>
              <wp:positionH relativeFrom="page">
                <wp:posOffset>1654175</wp:posOffset>
              </wp:positionH>
              <wp:positionV relativeFrom="page">
                <wp:posOffset>672465</wp:posOffset>
              </wp:positionV>
              <wp:extent cx="2019935" cy="158115"/>
              <wp:effectExtent l="0" t="0" r="0" b="0"/>
              <wp:wrapNone/>
              <wp:docPr id="6" name="文本框 28"/>
              <wp:cNvGraphicFramePr/>
              <a:graphic xmlns:a="http://schemas.openxmlformats.org/drawingml/2006/main">
                <a:graphicData uri="http://schemas.microsoft.com/office/word/2010/wordprocessingShape">
                  <wps:wsp>
                    <wps:cNvSpPr txBox="1"/>
                    <wps:spPr>
                      <a:xfrm>
                        <a:off x="0" y="0"/>
                        <a:ext cx="2019935" cy="158115"/>
                      </a:xfrm>
                      <a:prstGeom prst="rect">
                        <a:avLst/>
                      </a:prstGeom>
                      <a:noFill/>
                      <a:ln>
                        <a:noFill/>
                      </a:ln>
                    </wps:spPr>
                    <wps:txbx>
                      <w:txbxContent>
                        <w:p>
                          <w:pPr>
                            <w:spacing w:line="249" w:lineRule="exact"/>
                            <w:ind w:left="20"/>
                            <w:rPr>
                              <w:b/>
                              <w:sz w:val="21"/>
                              <w:lang w:val="en-US"/>
                            </w:rPr>
                          </w:pPr>
                          <w:r>
                            <w:rPr>
                              <w:rFonts w:hint="eastAsia"/>
                              <w:b/>
                              <w:sz w:val="21"/>
                              <w:lang w:val="en-US"/>
                            </w:rPr>
                            <w:t>四川正焜项目管理有限公司</w:t>
                          </w:r>
                        </w:p>
                      </w:txbxContent>
                    </wps:txbx>
                    <wps:bodyPr lIns="0" tIns="0" rIns="0" bIns="0" upright="1"/>
                  </wps:wsp>
                </a:graphicData>
              </a:graphic>
            </wp:anchor>
          </w:drawing>
        </mc:Choice>
        <mc:Fallback>
          <w:pict>
            <v:shape id="文本框 28" o:spid="_x0000_s1026" o:spt="202" type="#_x0000_t202" style="position:absolute;left:0pt;margin-left:130.25pt;margin-top:52.95pt;height:12.45pt;width:159.05pt;mso-position-horizontal-relative:page;mso-position-vertical-relative:page;z-index:-251655168;mso-width-relative:page;mso-height-relative:page;" filled="f" stroked="f" coordsize="21600,21600" o:gfxdata="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AQhKbdkAAAALAQAADwAAAAAAAAABACAAAAAiAAAAZHJzL2Rvd25yZXYueG1sUEsB&#10;AhQAFAAAAAgAh07iQOLVyUu7AQAAcwMAAA4AAAAAAAAAAQAgAAAAKAEAAGRycy9lMm9Eb2MueG1s&#10;UEsFBgAAAAAGAAYAWQEAAFUFAAAAAA==&#10;">
              <v:fill on="f" focussize="0,0"/>
              <v:stroke on="f"/>
              <v:imagedata o:title=""/>
              <o:lock v:ext="edit" aspectratio="f"/>
              <v:textbox inset="0mm,0mm,0mm,0mm">
                <w:txbxContent>
                  <w:p>
                    <w:pPr>
                      <w:spacing w:line="249" w:lineRule="exact"/>
                      <w:ind w:left="20"/>
                      <w:rPr>
                        <w:b/>
                        <w:sz w:val="21"/>
                        <w:lang w:val="en-US"/>
                      </w:rPr>
                    </w:pPr>
                    <w:r>
                      <w:rPr>
                        <w:rFonts w:hint="eastAsia"/>
                        <w:b/>
                        <w:sz w:val="21"/>
                        <w:lang w:val="en-US"/>
                      </w:rPr>
                      <w:t>四川正焜项目管理有限公司</w:t>
                    </w:r>
                  </w:p>
                </w:txbxContent>
              </v:textbox>
            </v:shape>
          </w:pict>
        </mc:Fallback>
      </mc:AlternateContent>
    </w:r>
    <w:r>
      <w:drawing>
        <wp:anchor distT="0" distB="0" distL="114300" distR="114300" simplePos="0" relativeHeight="251662336" behindDoc="0" locked="0" layoutInCell="1" allowOverlap="1">
          <wp:simplePos x="0" y="0"/>
          <wp:positionH relativeFrom="column">
            <wp:posOffset>-47625</wp:posOffset>
          </wp:positionH>
          <wp:positionV relativeFrom="paragraph">
            <wp:posOffset>-304800</wp:posOffset>
          </wp:positionV>
          <wp:extent cx="942340" cy="619125"/>
          <wp:effectExtent l="0" t="0" r="10160" b="9525"/>
          <wp:wrapSquare wrapText="bothSides"/>
          <wp:docPr id="3" name="图片 3" descr="微信图片_20200423150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00423150047"/>
                  <pic:cNvPicPr>
                    <a:picLocks noChangeAspect="1"/>
                  </pic:cNvPicPr>
                </pic:nvPicPr>
                <pic:blipFill>
                  <a:blip r:embed="rId1"/>
                  <a:stretch>
                    <a:fillRect/>
                  </a:stretch>
                </pic:blipFill>
                <pic:spPr>
                  <a:xfrm>
                    <a:off x="0" y="0"/>
                    <a:ext cx="942340" cy="619125"/>
                  </a:xfrm>
                  <a:prstGeom prst="rect">
                    <a:avLst/>
                  </a:prstGeom>
                </pic:spPr>
              </pic:pic>
            </a:graphicData>
          </a:graphic>
        </wp:anchor>
      </w:drawing>
    </w:r>
    <w:r>
      <w:rPr>
        <w:rFonts w:hint="eastAsia"/>
        <w:sz w:val="20"/>
        <w:lang w:val="en-U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F6D5BE"/>
    <w:multiLevelType w:val="singleLevel"/>
    <w:tmpl w:val="C6F6D5BE"/>
    <w:lvl w:ilvl="0" w:tentative="0">
      <w:start w:val="5"/>
      <w:numFmt w:val="chineseCounting"/>
      <w:suff w:val="space"/>
      <w:lvlText w:val="第%1章"/>
      <w:lvlJc w:val="left"/>
      <w:rPr>
        <w:rFonts w:hint="eastAsia"/>
      </w:rPr>
    </w:lvl>
  </w:abstractNum>
  <w:abstractNum w:abstractNumId="1">
    <w:nsid w:val="218EFC96"/>
    <w:multiLevelType w:val="singleLevel"/>
    <w:tmpl w:val="218EFC96"/>
    <w:lvl w:ilvl="0" w:tentative="0">
      <w:start w:val="1"/>
      <w:numFmt w:val="decimal"/>
      <w:suff w:val="nothing"/>
      <w:lvlText w:val="（%1）"/>
      <w:lvlJc w:val="left"/>
      <w:pPr>
        <w:ind w:left="480" w:firstLine="0"/>
      </w:pPr>
    </w:lvl>
  </w:abstractNum>
  <w:abstractNum w:abstractNumId="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9"/>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7AE"/>
    <w:rsid w:val="001723B8"/>
    <w:rsid w:val="002B5899"/>
    <w:rsid w:val="00875080"/>
    <w:rsid w:val="00C610B5"/>
    <w:rsid w:val="00E1567A"/>
    <w:rsid w:val="00F17607"/>
    <w:rsid w:val="00F777AE"/>
    <w:rsid w:val="012E73BF"/>
    <w:rsid w:val="01375CF3"/>
    <w:rsid w:val="02A04CCD"/>
    <w:rsid w:val="033652FE"/>
    <w:rsid w:val="036E6497"/>
    <w:rsid w:val="03D3282D"/>
    <w:rsid w:val="040600BA"/>
    <w:rsid w:val="040D5E4E"/>
    <w:rsid w:val="04107470"/>
    <w:rsid w:val="04557D12"/>
    <w:rsid w:val="047A4596"/>
    <w:rsid w:val="04B555A1"/>
    <w:rsid w:val="05100DE4"/>
    <w:rsid w:val="069D667F"/>
    <w:rsid w:val="06DA76E8"/>
    <w:rsid w:val="073C167E"/>
    <w:rsid w:val="076E7B4C"/>
    <w:rsid w:val="07921F2E"/>
    <w:rsid w:val="07953526"/>
    <w:rsid w:val="07B73C0C"/>
    <w:rsid w:val="086D2C47"/>
    <w:rsid w:val="08F94E34"/>
    <w:rsid w:val="09CB2639"/>
    <w:rsid w:val="0A5B4A8A"/>
    <w:rsid w:val="0AAF3D61"/>
    <w:rsid w:val="0BA513BA"/>
    <w:rsid w:val="0BB74C73"/>
    <w:rsid w:val="0BEE0BE0"/>
    <w:rsid w:val="0E965E2D"/>
    <w:rsid w:val="115C7564"/>
    <w:rsid w:val="116F77BA"/>
    <w:rsid w:val="11992F43"/>
    <w:rsid w:val="127A5CBE"/>
    <w:rsid w:val="13BC6A20"/>
    <w:rsid w:val="14C36378"/>
    <w:rsid w:val="16DF5822"/>
    <w:rsid w:val="180D28AE"/>
    <w:rsid w:val="18440A5B"/>
    <w:rsid w:val="18C05247"/>
    <w:rsid w:val="196C2B52"/>
    <w:rsid w:val="197F1727"/>
    <w:rsid w:val="19DE02C9"/>
    <w:rsid w:val="19FE08DC"/>
    <w:rsid w:val="1A7C5EAA"/>
    <w:rsid w:val="1A90605C"/>
    <w:rsid w:val="1AFA0759"/>
    <w:rsid w:val="1B3D0297"/>
    <w:rsid w:val="1B564D26"/>
    <w:rsid w:val="1D0D72D8"/>
    <w:rsid w:val="1D7513C2"/>
    <w:rsid w:val="1D75772A"/>
    <w:rsid w:val="1DE03C1E"/>
    <w:rsid w:val="1DE37BD7"/>
    <w:rsid w:val="1ED517F4"/>
    <w:rsid w:val="1EDB250C"/>
    <w:rsid w:val="20F46339"/>
    <w:rsid w:val="2106695B"/>
    <w:rsid w:val="211F6F30"/>
    <w:rsid w:val="214D2AC0"/>
    <w:rsid w:val="21D4532D"/>
    <w:rsid w:val="222F4788"/>
    <w:rsid w:val="228B484A"/>
    <w:rsid w:val="237B0C57"/>
    <w:rsid w:val="23BD3892"/>
    <w:rsid w:val="242B7376"/>
    <w:rsid w:val="24AA1C67"/>
    <w:rsid w:val="24B1286C"/>
    <w:rsid w:val="24D743D4"/>
    <w:rsid w:val="250916F3"/>
    <w:rsid w:val="263C5E05"/>
    <w:rsid w:val="26FF4FFF"/>
    <w:rsid w:val="27016725"/>
    <w:rsid w:val="273E07FA"/>
    <w:rsid w:val="27961C17"/>
    <w:rsid w:val="280A415B"/>
    <w:rsid w:val="281D68C4"/>
    <w:rsid w:val="293B5A3E"/>
    <w:rsid w:val="297A39E6"/>
    <w:rsid w:val="2A9E14AF"/>
    <w:rsid w:val="2B3D77EA"/>
    <w:rsid w:val="2B5650FC"/>
    <w:rsid w:val="2C99707F"/>
    <w:rsid w:val="2D9E62F6"/>
    <w:rsid w:val="2DCE35F9"/>
    <w:rsid w:val="2E4E2A27"/>
    <w:rsid w:val="2EC14646"/>
    <w:rsid w:val="2EC71D6C"/>
    <w:rsid w:val="2EFA310E"/>
    <w:rsid w:val="2F0321C1"/>
    <w:rsid w:val="2F844CEE"/>
    <w:rsid w:val="2FB21114"/>
    <w:rsid w:val="2FC3015E"/>
    <w:rsid w:val="2FCD7533"/>
    <w:rsid w:val="2FE538E4"/>
    <w:rsid w:val="3215503B"/>
    <w:rsid w:val="323A2100"/>
    <w:rsid w:val="324944E5"/>
    <w:rsid w:val="326425C2"/>
    <w:rsid w:val="32B94270"/>
    <w:rsid w:val="33CB4DB0"/>
    <w:rsid w:val="34604829"/>
    <w:rsid w:val="35BE678A"/>
    <w:rsid w:val="361B4CDC"/>
    <w:rsid w:val="36320AF3"/>
    <w:rsid w:val="363A534E"/>
    <w:rsid w:val="367926E3"/>
    <w:rsid w:val="369F4A0A"/>
    <w:rsid w:val="36FA0BC1"/>
    <w:rsid w:val="375A76D3"/>
    <w:rsid w:val="376F7D05"/>
    <w:rsid w:val="37AB1594"/>
    <w:rsid w:val="37C17303"/>
    <w:rsid w:val="37F02044"/>
    <w:rsid w:val="38AD61D8"/>
    <w:rsid w:val="38F82AB3"/>
    <w:rsid w:val="39406C8F"/>
    <w:rsid w:val="39505079"/>
    <w:rsid w:val="39685C76"/>
    <w:rsid w:val="39791015"/>
    <w:rsid w:val="3A19787B"/>
    <w:rsid w:val="3B3007C0"/>
    <w:rsid w:val="3B3E3FA9"/>
    <w:rsid w:val="3B9E1B05"/>
    <w:rsid w:val="3C692ECD"/>
    <w:rsid w:val="3DD87511"/>
    <w:rsid w:val="3E1E34D0"/>
    <w:rsid w:val="3EB42449"/>
    <w:rsid w:val="3FC530B9"/>
    <w:rsid w:val="3FE66543"/>
    <w:rsid w:val="3FEA220F"/>
    <w:rsid w:val="401C594F"/>
    <w:rsid w:val="40A1360E"/>
    <w:rsid w:val="41440739"/>
    <w:rsid w:val="417C5711"/>
    <w:rsid w:val="418529F7"/>
    <w:rsid w:val="41C06DAC"/>
    <w:rsid w:val="42364B5B"/>
    <w:rsid w:val="42BD6B36"/>
    <w:rsid w:val="43804E42"/>
    <w:rsid w:val="43A74263"/>
    <w:rsid w:val="440535DF"/>
    <w:rsid w:val="46EC3256"/>
    <w:rsid w:val="47471A02"/>
    <w:rsid w:val="478C149A"/>
    <w:rsid w:val="47A31FCF"/>
    <w:rsid w:val="47B13D3B"/>
    <w:rsid w:val="47D23757"/>
    <w:rsid w:val="4816188B"/>
    <w:rsid w:val="48402FA4"/>
    <w:rsid w:val="48AB4019"/>
    <w:rsid w:val="48E360FB"/>
    <w:rsid w:val="496C68B7"/>
    <w:rsid w:val="49915F3A"/>
    <w:rsid w:val="49D0092F"/>
    <w:rsid w:val="49D444C7"/>
    <w:rsid w:val="4BBC00B3"/>
    <w:rsid w:val="4BC92610"/>
    <w:rsid w:val="4BF825CA"/>
    <w:rsid w:val="4C286422"/>
    <w:rsid w:val="4D505093"/>
    <w:rsid w:val="4EA80684"/>
    <w:rsid w:val="4EF969B0"/>
    <w:rsid w:val="4F982EE1"/>
    <w:rsid w:val="4FF736F9"/>
    <w:rsid w:val="50602596"/>
    <w:rsid w:val="510569E6"/>
    <w:rsid w:val="5204305A"/>
    <w:rsid w:val="522342D3"/>
    <w:rsid w:val="5248002B"/>
    <w:rsid w:val="528D50F9"/>
    <w:rsid w:val="52FB1351"/>
    <w:rsid w:val="54077AED"/>
    <w:rsid w:val="541C09FD"/>
    <w:rsid w:val="5462116D"/>
    <w:rsid w:val="547A1230"/>
    <w:rsid w:val="55744473"/>
    <w:rsid w:val="558E6BC0"/>
    <w:rsid w:val="55A668AE"/>
    <w:rsid w:val="55DA36DC"/>
    <w:rsid w:val="56F4477E"/>
    <w:rsid w:val="571A58BC"/>
    <w:rsid w:val="581876AC"/>
    <w:rsid w:val="58A3685C"/>
    <w:rsid w:val="597B5372"/>
    <w:rsid w:val="59BA6A28"/>
    <w:rsid w:val="59ED3790"/>
    <w:rsid w:val="59F56C99"/>
    <w:rsid w:val="5AA75857"/>
    <w:rsid w:val="5B4513A8"/>
    <w:rsid w:val="5BD539CD"/>
    <w:rsid w:val="5C913708"/>
    <w:rsid w:val="5C970666"/>
    <w:rsid w:val="5D6E50C7"/>
    <w:rsid w:val="5DD44F93"/>
    <w:rsid w:val="5E74650E"/>
    <w:rsid w:val="5F9E569E"/>
    <w:rsid w:val="5FF80EFE"/>
    <w:rsid w:val="602A2320"/>
    <w:rsid w:val="60782C5E"/>
    <w:rsid w:val="60807411"/>
    <w:rsid w:val="60E56A41"/>
    <w:rsid w:val="61681E0E"/>
    <w:rsid w:val="61EF178B"/>
    <w:rsid w:val="61F7712B"/>
    <w:rsid w:val="62DA6397"/>
    <w:rsid w:val="631D6D2E"/>
    <w:rsid w:val="63A406F0"/>
    <w:rsid w:val="65167A6A"/>
    <w:rsid w:val="659D4057"/>
    <w:rsid w:val="663073CA"/>
    <w:rsid w:val="66900C7A"/>
    <w:rsid w:val="66B37399"/>
    <w:rsid w:val="67A47E74"/>
    <w:rsid w:val="680817FD"/>
    <w:rsid w:val="68AA4403"/>
    <w:rsid w:val="68C13776"/>
    <w:rsid w:val="6913107B"/>
    <w:rsid w:val="6A3D258B"/>
    <w:rsid w:val="6A6E7132"/>
    <w:rsid w:val="6A9C2264"/>
    <w:rsid w:val="6AAB78AB"/>
    <w:rsid w:val="6AC24040"/>
    <w:rsid w:val="6AE91F94"/>
    <w:rsid w:val="6AF36BDC"/>
    <w:rsid w:val="6B327AB6"/>
    <w:rsid w:val="6D5554BD"/>
    <w:rsid w:val="6D88356C"/>
    <w:rsid w:val="6DDA6CAA"/>
    <w:rsid w:val="6DED20B2"/>
    <w:rsid w:val="6ED60F15"/>
    <w:rsid w:val="6F2B4B1D"/>
    <w:rsid w:val="6F787666"/>
    <w:rsid w:val="6FE35487"/>
    <w:rsid w:val="70440AB8"/>
    <w:rsid w:val="71247C3D"/>
    <w:rsid w:val="718F2F2B"/>
    <w:rsid w:val="72242BA2"/>
    <w:rsid w:val="722F086E"/>
    <w:rsid w:val="72BC564B"/>
    <w:rsid w:val="736375E9"/>
    <w:rsid w:val="737F6CCE"/>
    <w:rsid w:val="73F330E1"/>
    <w:rsid w:val="74444C49"/>
    <w:rsid w:val="75057C42"/>
    <w:rsid w:val="752348F2"/>
    <w:rsid w:val="75885523"/>
    <w:rsid w:val="75AD03C7"/>
    <w:rsid w:val="76275C31"/>
    <w:rsid w:val="766D3D62"/>
    <w:rsid w:val="77246306"/>
    <w:rsid w:val="77251B3A"/>
    <w:rsid w:val="78AC4B2D"/>
    <w:rsid w:val="78C2066F"/>
    <w:rsid w:val="79215869"/>
    <w:rsid w:val="795A4728"/>
    <w:rsid w:val="7B8C64F2"/>
    <w:rsid w:val="7C6C2E78"/>
    <w:rsid w:val="7D4C1C6E"/>
    <w:rsid w:val="7DCC5844"/>
    <w:rsid w:val="7E7D0587"/>
    <w:rsid w:val="7E875573"/>
    <w:rsid w:val="7FD153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line="360" w:lineRule="auto"/>
      <w:ind w:firstLine="422" w:firstLineChars="200"/>
    </w:pPr>
    <w:rPr>
      <w:rFonts w:ascii="宋体" w:hAnsi="宋体" w:eastAsia="宋体" w:cs="宋体"/>
      <w:sz w:val="24"/>
      <w:szCs w:val="22"/>
      <w:lang w:val="zh-CN" w:eastAsia="zh-CN" w:bidi="zh-CN"/>
    </w:rPr>
  </w:style>
  <w:style w:type="paragraph" w:styleId="3">
    <w:name w:val="heading 1"/>
    <w:basedOn w:val="1"/>
    <w:next w:val="1"/>
    <w:link w:val="33"/>
    <w:qFormat/>
    <w:uiPriority w:val="1"/>
    <w:pPr>
      <w:spacing w:before="54"/>
      <w:jc w:val="center"/>
      <w:outlineLvl w:val="0"/>
    </w:pPr>
    <w:rPr>
      <w:b/>
      <w:bCs/>
      <w:sz w:val="36"/>
      <w:szCs w:val="48"/>
    </w:rPr>
  </w:style>
  <w:style w:type="paragraph" w:styleId="4">
    <w:name w:val="heading 2"/>
    <w:basedOn w:val="1"/>
    <w:next w:val="1"/>
    <w:qFormat/>
    <w:uiPriority w:val="1"/>
    <w:pPr>
      <w:spacing w:before="35"/>
      <w:jc w:val="center"/>
      <w:outlineLvl w:val="1"/>
    </w:pPr>
    <w:rPr>
      <w:b/>
      <w:bCs/>
      <w:sz w:val="30"/>
      <w:szCs w:val="44"/>
    </w:rPr>
  </w:style>
  <w:style w:type="paragraph" w:styleId="5">
    <w:name w:val="heading 3"/>
    <w:basedOn w:val="1"/>
    <w:next w:val="1"/>
    <w:link w:val="32"/>
    <w:qFormat/>
    <w:uiPriority w:val="1"/>
    <w:pPr>
      <w:spacing w:before="104"/>
      <w:ind w:right="52"/>
      <w:outlineLvl w:val="2"/>
    </w:pPr>
    <w:rPr>
      <w:b/>
      <w:bCs/>
      <w:szCs w:val="40"/>
    </w:rPr>
  </w:style>
  <w:style w:type="paragraph" w:styleId="6">
    <w:name w:val="heading 4"/>
    <w:basedOn w:val="1"/>
    <w:next w:val="1"/>
    <w:qFormat/>
    <w:uiPriority w:val="1"/>
    <w:pPr>
      <w:spacing w:before="128"/>
      <w:ind w:right="60"/>
      <w:jc w:val="center"/>
      <w:outlineLvl w:val="3"/>
    </w:pPr>
    <w:rPr>
      <w:rFonts w:ascii="黑体" w:hAnsi="黑体" w:eastAsia="黑体" w:cs="黑体"/>
      <w:b/>
      <w:bCs/>
      <w:sz w:val="32"/>
      <w:szCs w:val="32"/>
    </w:rPr>
  </w:style>
  <w:style w:type="paragraph" w:styleId="7">
    <w:name w:val="heading 5"/>
    <w:basedOn w:val="1"/>
    <w:next w:val="1"/>
    <w:qFormat/>
    <w:uiPriority w:val="1"/>
    <w:pPr>
      <w:spacing w:before="141"/>
      <w:ind w:right="57"/>
      <w:jc w:val="center"/>
      <w:outlineLvl w:val="4"/>
    </w:pPr>
    <w:rPr>
      <w:b/>
      <w:bCs/>
      <w:sz w:val="30"/>
      <w:szCs w:val="30"/>
    </w:rPr>
  </w:style>
  <w:style w:type="paragraph" w:styleId="8">
    <w:name w:val="heading 6"/>
    <w:basedOn w:val="1"/>
    <w:next w:val="1"/>
    <w:qFormat/>
    <w:uiPriority w:val="1"/>
    <w:pPr>
      <w:ind w:left="856"/>
      <w:outlineLvl w:val="5"/>
    </w:pPr>
    <w:rPr>
      <w:rFonts w:ascii="黑体" w:hAnsi="黑体" w:eastAsia="黑体" w:cs="黑体"/>
      <w:sz w:val="28"/>
      <w:szCs w:val="28"/>
    </w:rPr>
  </w:style>
  <w:style w:type="paragraph" w:styleId="9">
    <w:name w:val="heading 7"/>
    <w:basedOn w:val="1"/>
    <w:next w:val="1"/>
    <w:qFormat/>
    <w:uiPriority w:val="1"/>
    <w:pPr>
      <w:spacing w:before="40"/>
      <w:ind w:left="709"/>
      <w:outlineLvl w:val="6"/>
    </w:pPr>
    <w:rPr>
      <w:b/>
      <w:bCs/>
      <w:i/>
      <w:sz w:val="25"/>
      <w:szCs w:val="25"/>
    </w:rPr>
  </w:style>
  <w:style w:type="paragraph" w:styleId="10">
    <w:name w:val="heading 8"/>
    <w:basedOn w:val="1"/>
    <w:next w:val="1"/>
    <w:qFormat/>
    <w:uiPriority w:val="1"/>
    <w:pPr>
      <w:ind w:left="720"/>
      <w:outlineLvl w:val="7"/>
    </w:pPr>
    <w:rPr>
      <w:b/>
      <w:bCs/>
      <w:szCs w:val="24"/>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420" w:leftChars="200"/>
    </w:pPr>
  </w:style>
  <w:style w:type="paragraph" w:styleId="11">
    <w:name w:val="Normal Indent"/>
    <w:basedOn w:val="1"/>
    <w:qFormat/>
    <w:uiPriority w:val="0"/>
    <w:pPr>
      <w:ind w:firstLine="420"/>
    </w:pPr>
  </w:style>
  <w:style w:type="paragraph" w:styleId="12">
    <w:name w:val="annotation text"/>
    <w:basedOn w:val="1"/>
    <w:qFormat/>
    <w:uiPriority w:val="0"/>
    <w:rPr>
      <w:sz w:val="18"/>
      <w:szCs w:val="20"/>
    </w:rPr>
  </w:style>
  <w:style w:type="paragraph" w:styleId="13">
    <w:name w:val="Body Text"/>
    <w:basedOn w:val="1"/>
    <w:next w:val="14"/>
    <w:qFormat/>
    <w:uiPriority w:val="1"/>
    <w:rPr>
      <w:szCs w:val="24"/>
    </w:rPr>
  </w:style>
  <w:style w:type="paragraph" w:styleId="14">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15">
    <w:name w:val="Body Text Indent"/>
    <w:basedOn w:val="1"/>
    <w:qFormat/>
    <w:uiPriority w:val="0"/>
    <w:pPr>
      <w:ind w:firstLine="630"/>
    </w:pPr>
    <w:rPr>
      <w:sz w:val="32"/>
      <w:szCs w:val="20"/>
    </w:rPr>
  </w:style>
  <w:style w:type="paragraph" w:styleId="16">
    <w:name w:val="Plain Text"/>
    <w:basedOn w:val="1"/>
    <w:qFormat/>
    <w:uiPriority w:val="0"/>
    <w:pPr>
      <w:adjustRightInd w:val="0"/>
    </w:pPr>
    <w:rPr>
      <w:rFonts w:hAnsi="Tms Rmn"/>
      <w:szCs w:val="20"/>
    </w:rPr>
  </w:style>
  <w:style w:type="paragraph" w:styleId="17">
    <w:name w:val="footer"/>
    <w:basedOn w:val="1"/>
    <w:qFormat/>
    <w:uiPriority w:val="0"/>
    <w:pPr>
      <w:tabs>
        <w:tab w:val="center" w:pos="4153"/>
        <w:tab w:val="right" w:pos="8306"/>
      </w:tabs>
      <w:snapToGrid w:val="0"/>
    </w:pPr>
    <w:rPr>
      <w:sz w:val="18"/>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19">
    <w:name w:val="toc 1"/>
    <w:basedOn w:val="1"/>
    <w:next w:val="1"/>
    <w:qFormat/>
    <w:uiPriority w:val="1"/>
    <w:pPr>
      <w:spacing w:before="334"/>
      <w:ind w:left="720"/>
    </w:pPr>
    <w:rPr>
      <w:b/>
      <w:bCs/>
      <w:sz w:val="32"/>
      <w:szCs w:val="32"/>
    </w:rPr>
  </w:style>
  <w:style w:type="paragraph" w:styleId="2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cs="Times New Roman"/>
      <w:szCs w:val="24"/>
    </w:rPr>
  </w:style>
  <w:style w:type="paragraph" w:styleId="21">
    <w:name w:val="Normal (Web)"/>
    <w:basedOn w:val="1"/>
    <w:qFormat/>
    <w:uiPriority w:val="0"/>
    <w:pPr>
      <w:widowControl/>
      <w:spacing w:before="100" w:beforeAutospacing="1" w:after="100" w:afterAutospacing="1"/>
    </w:pPr>
    <w:rPr>
      <w:sz w:val="18"/>
      <w:szCs w:val="18"/>
    </w:rPr>
  </w:style>
  <w:style w:type="paragraph" w:styleId="22">
    <w:name w:val="Body Text First Indent"/>
    <w:basedOn w:val="13"/>
    <w:qFormat/>
    <w:uiPriority w:val="99"/>
    <w:pPr>
      <w:ind w:firstLine="420" w:firstLineChars="100"/>
    </w:pPr>
    <w:rPr>
      <w:rFonts w:hAnsi="Times New Roman"/>
      <w:sz w:val="34"/>
      <w:szCs w:val="20"/>
    </w:rPr>
  </w:style>
  <w:style w:type="paragraph" w:styleId="23">
    <w:name w:val="Body Text First Indent 2"/>
    <w:basedOn w:val="15"/>
    <w:qFormat/>
    <w:uiPriority w:val="0"/>
    <w:pPr>
      <w:ind w:firstLine="420" w:firstLineChars="200"/>
    </w:p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0"/>
    <w:rPr>
      <w:rFonts w:cs="Times New Roman"/>
      <w:b/>
      <w:bCs/>
    </w:rPr>
  </w:style>
  <w:style w:type="paragraph" w:customStyle="1" w:styleId="28">
    <w:name w:val="Default"/>
    <w:qFormat/>
    <w:uiPriority w:val="0"/>
    <w:pPr>
      <w:widowControl w:val="0"/>
      <w:autoSpaceDE w:val="0"/>
      <w:autoSpaceDN w:val="0"/>
      <w:adjustRightInd w:val="0"/>
    </w:pPr>
    <w:rPr>
      <w:rFonts w:hint="eastAsia" w:ascii="宋体" w:hAnsi="Calibri" w:eastAsia="宋体" w:cs="Times New Roman"/>
      <w:color w:val="000000"/>
      <w:sz w:val="24"/>
      <w:szCs w:val="22"/>
      <w:lang w:val="en-US" w:eastAsia="zh-CN" w:bidi="ar-SA"/>
    </w:rPr>
  </w:style>
  <w:style w:type="paragraph" w:customStyle="1" w:styleId="29">
    <w:name w:val="标题 5（有编号）（绿盟科技）"/>
    <w:basedOn w:val="1"/>
    <w:next w:val="30"/>
    <w:qFormat/>
    <w:uiPriority w:val="0"/>
    <w:pPr>
      <w:keepNext/>
      <w:keepLines/>
      <w:numPr>
        <w:ilvl w:val="4"/>
        <w:numId w:val="1"/>
      </w:numPr>
      <w:spacing w:before="280" w:after="156" w:line="377" w:lineRule="auto"/>
      <w:outlineLvl w:val="4"/>
    </w:pPr>
    <w:rPr>
      <w:rFonts w:ascii="Arial" w:hAnsi="Arial" w:eastAsia="黑体"/>
      <w:b/>
      <w:szCs w:val="28"/>
    </w:rPr>
  </w:style>
  <w:style w:type="paragraph" w:customStyle="1" w:styleId="30">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31">
    <w:name w:val="Style1"/>
    <w:qFormat/>
    <w:uiPriority w:val="0"/>
    <w:pPr>
      <w:spacing w:after="120"/>
      <w:jc w:val="both"/>
    </w:pPr>
    <w:rPr>
      <w:rFonts w:ascii="Calibri" w:hAnsi="Calibri" w:eastAsia="Times New Roman" w:cs="Times New Roman"/>
      <w:color w:val="000000"/>
      <w:spacing w:val="-3"/>
      <w:sz w:val="24"/>
      <w:szCs w:val="24"/>
      <w:lang w:val="en-US" w:eastAsia="zh-CN" w:bidi="ar-SA"/>
    </w:rPr>
  </w:style>
  <w:style w:type="character" w:customStyle="1" w:styleId="32">
    <w:name w:val="标题 3 字符"/>
    <w:link w:val="5"/>
    <w:qFormat/>
    <w:uiPriority w:val="1"/>
    <w:rPr>
      <w:rFonts w:eastAsia="宋体"/>
      <w:b/>
      <w:bCs/>
      <w:sz w:val="24"/>
      <w:szCs w:val="40"/>
    </w:rPr>
  </w:style>
  <w:style w:type="character" w:customStyle="1" w:styleId="33">
    <w:name w:val="标题 1 字符"/>
    <w:link w:val="3"/>
    <w:qFormat/>
    <w:uiPriority w:val="1"/>
    <w:rPr>
      <w:rFonts w:ascii="宋体" w:hAnsi="宋体" w:eastAsia="宋体" w:cs="宋体"/>
      <w:b/>
      <w:bCs/>
      <w:sz w:val="36"/>
      <w:szCs w:val="48"/>
      <w:lang w:val="zh-CN" w:eastAsia="zh-CN" w:bidi="zh-CN"/>
    </w:rPr>
  </w:style>
  <w:style w:type="table" w:customStyle="1" w:styleId="34">
    <w:name w:val="Table Normal"/>
    <w:semiHidden/>
    <w:unhideWhenUsed/>
    <w:qFormat/>
    <w:uiPriority w:val="2"/>
    <w:tblPr>
      <w:tblCellMar>
        <w:top w:w="0" w:type="dxa"/>
        <w:left w:w="0" w:type="dxa"/>
        <w:bottom w:w="0" w:type="dxa"/>
        <w:right w:w="0" w:type="dxa"/>
      </w:tblCellMar>
    </w:tblPr>
  </w:style>
  <w:style w:type="paragraph" w:styleId="35">
    <w:name w:val="List Paragraph"/>
    <w:basedOn w:val="1"/>
    <w:qFormat/>
    <w:uiPriority w:val="1"/>
    <w:pPr>
      <w:ind w:left="720" w:firstLine="480"/>
    </w:pPr>
  </w:style>
  <w:style w:type="paragraph" w:customStyle="1" w:styleId="3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7">
    <w:name w:val="正文1"/>
    <w:qFormat/>
    <w:uiPriority w:val="0"/>
    <w:pPr>
      <w:widowControl w:val="0"/>
      <w:adjustRightInd w:val="0"/>
      <w:spacing w:line="312" w:lineRule="atLeast"/>
      <w:jc w:val="both"/>
      <w:textAlignment w:val="baseline"/>
    </w:pPr>
    <w:rPr>
      <w:rFonts w:ascii="宋体" w:hAnsi="Calibri" w:eastAsia="宋体" w:cs="Times New Roman"/>
      <w:sz w:val="34"/>
      <w:lang w:val="en-US" w:eastAsia="zh-CN" w:bidi="ar-SA"/>
    </w:rPr>
  </w:style>
  <w:style w:type="paragraph" w:customStyle="1" w:styleId="38">
    <w:name w:val="正文首行缩进两字符"/>
    <w:basedOn w:val="1"/>
    <w:qFormat/>
    <w:uiPriority w:val="0"/>
    <w:pPr>
      <w:ind w:firstLine="200"/>
    </w:pPr>
  </w:style>
  <w:style w:type="paragraph" w:customStyle="1" w:styleId="39">
    <w:name w:val="样式 首行缩进:  2 字符"/>
    <w:basedOn w:val="1"/>
    <w:qFormat/>
    <w:uiPriority w:val="0"/>
    <w:pPr>
      <w:spacing w:line="400" w:lineRule="exact"/>
      <w:ind w:firstLine="200"/>
    </w:pPr>
  </w:style>
  <w:style w:type="paragraph" w:customStyle="1" w:styleId="40">
    <w:name w:val="dd2"/>
    <w:qFormat/>
    <w:uiPriority w:val="0"/>
    <w:pPr>
      <w:widowControl w:val="0"/>
    </w:pPr>
    <w:rPr>
      <w:rFonts w:ascii="宋体" w:hAnsi="宋体" w:eastAsia="宋体" w:cs="Times New Roman"/>
      <w:sz w:val="24"/>
      <w:szCs w:val="34"/>
      <w:lang w:val="en-US" w:eastAsia="zh-CN" w:bidi="ar-SA"/>
    </w:rPr>
  </w:style>
  <w:style w:type="paragraph" w:customStyle="1" w:styleId="41">
    <w:name w:val="dt2"/>
    <w:qFormat/>
    <w:uiPriority w:val="0"/>
    <w:pPr>
      <w:widowControl w:val="0"/>
    </w:pPr>
    <w:rPr>
      <w:rFonts w:ascii="宋体" w:hAnsi="宋体" w:eastAsia="宋体" w:cs="Times New Roman"/>
      <w:sz w:val="24"/>
      <w:szCs w:val="34"/>
      <w:lang w:val="en-US" w:eastAsia="zh-CN" w:bidi="ar-SA"/>
    </w:rPr>
  </w:style>
  <w:style w:type="character" w:customStyle="1" w:styleId="42">
    <w:name w:val="font11"/>
    <w:basedOn w:val="26"/>
    <w:qFormat/>
    <w:uiPriority w:val="0"/>
    <w:rPr>
      <w:rFonts w:hint="default" w:ascii="Calibri" w:hAnsi="Calibri" w:cs="Calibri"/>
      <w:color w:val="000000"/>
      <w:sz w:val="16"/>
      <w:szCs w:val="16"/>
      <w:u w:val="none"/>
    </w:rPr>
  </w:style>
  <w:style w:type="character" w:customStyle="1" w:styleId="43">
    <w:name w:val="font01"/>
    <w:basedOn w:val="26"/>
    <w:qFormat/>
    <w:uiPriority w:val="0"/>
    <w:rPr>
      <w:rFonts w:hint="eastAsia" w:ascii="宋体" w:hAnsi="宋体" w:eastAsia="宋体" w:cs="宋体"/>
      <w:color w:val="000000"/>
      <w:sz w:val="16"/>
      <w:szCs w:val="16"/>
      <w:u w:val="none"/>
    </w:rPr>
  </w:style>
  <w:style w:type="paragraph" w:customStyle="1" w:styleId="44">
    <w:name w:val="列出段落1"/>
    <w:basedOn w:val="1"/>
    <w:qFormat/>
    <w:uiPriority w:val="34"/>
    <w:pPr>
      <w:widowControl/>
      <w:ind w:firstLine="420"/>
    </w:pPr>
    <w:rPr>
      <w:rFonts w:ascii="Times New Roman" w:hAnsi="Times New Roman" w:cs="Times New Roman"/>
      <w:sz w:val="20"/>
      <w:szCs w:val="20"/>
    </w:rPr>
  </w:style>
  <w:style w:type="paragraph" w:customStyle="1" w:styleId="45">
    <w:name w:val="Table Paragraph"/>
    <w:basedOn w:val="1"/>
    <w:qFormat/>
    <w:uiPriority w:val="1"/>
  </w:style>
  <w:style w:type="paragraph" w:customStyle="1" w:styleId="46">
    <w:name w:val="样式 楷体_GB2312 小四 行距: 1.5 倍行距"/>
    <w:basedOn w:val="1"/>
    <w:qFormat/>
    <w:uiPriority w:val="0"/>
    <w:pPr>
      <w:ind w:firstLine="200"/>
    </w:pPr>
    <w:rPr>
      <w:rFonts w:ascii="楷体_GB2312" w:eastAsia="楷体_GB2312"/>
      <w:szCs w:val="20"/>
    </w:rPr>
  </w:style>
  <w:style w:type="paragraph" w:customStyle="1" w:styleId="47">
    <w:name w:val="小四正文"/>
    <w:basedOn w:val="1"/>
    <w:next w:val="1"/>
    <w:qFormat/>
    <w:uiPriority w:val="0"/>
    <w:pPr>
      <w:ind w:firstLine="200"/>
    </w:pPr>
    <w:rPr>
      <w:szCs w:val="28"/>
    </w:rPr>
  </w:style>
  <w:style w:type="paragraph" w:customStyle="1" w:styleId="48">
    <w:name w:val="13、表格内居中正文"/>
    <w:basedOn w:val="1"/>
    <w:qFormat/>
    <w:uiPriority w:val="0"/>
    <w:pPr>
      <w:tabs>
        <w:tab w:val="left" w:pos="0"/>
      </w:tabs>
      <w:wordWrap w:val="0"/>
      <w:topLinePunct/>
      <w:spacing w:line="360" w:lineRule="exact"/>
      <w:jc w:val="center"/>
    </w:pPr>
  </w:style>
  <w:style w:type="paragraph" w:customStyle="1" w:styleId="49">
    <w:name w:val="12、表格内左对齐正文"/>
    <w:basedOn w:val="1"/>
    <w:qFormat/>
    <w:uiPriority w:val="0"/>
    <w:pPr>
      <w:tabs>
        <w:tab w:val="left" w:pos="0"/>
      </w:tabs>
      <w:wordWrap w:val="0"/>
      <w:topLinePunct/>
      <w:spacing w:line="360" w:lineRule="exact"/>
      <w:ind w:left="48" w:leftChars="20"/>
    </w:pPr>
    <w:rPr>
      <w:snapToGrid w:val="0"/>
    </w:rPr>
  </w:style>
  <w:style w:type="paragraph" w:customStyle="1" w:styleId="50">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1">
    <w:name w:val="正文文本_0"/>
    <w:basedOn w:val="50"/>
    <w:unhideWhenUsed/>
    <w:qFormat/>
    <w:uiPriority w:val="0"/>
    <w:pPr>
      <w:spacing w:after="120"/>
    </w:pPr>
    <w:rPr>
      <w:rFonts w:ascii="Times New Roman" w:hAnsi="Times New Roman" w:eastAsiaTheme="minorEastAsia" w:cstheme="minorBidi"/>
      <w:szCs w:val="24"/>
    </w:rPr>
  </w:style>
  <w:style w:type="paragraph" w:customStyle="1" w:styleId="52">
    <w:name w:val="正文缩进_0"/>
    <w:basedOn w:val="50"/>
    <w:unhideWhenUsed/>
    <w:qFormat/>
    <w:uiPriority w:val="0"/>
    <w:pPr>
      <w:widowControl/>
      <w:spacing w:line="480" w:lineRule="atLeast"/>
      <w:ind w:firstLine="420"/>
      <w:jc w:val="left"/>
    </w:pPr>
    <w:rPr>
      <w:rFonts w:ascii="宋体" w:hAnsi="宋体" w:eastAsia="仿宋" w:cs="宋体"/>
      <w:kern w:val="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23850</Words>
  <Characters>25061</Characters>
  <Lines>276</Lines>
  <Paragraphs>77</Paragraphs>
  <TotalTime>0</TotalTime>
  <ScaleCrop>false</ScaleCrop>
  <LinksUpToDate>false</LinksUpToDate>
  <CharactersWithSpaces>25628</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2020-04-23T06:57:00Z</dcterms:created>
  <dc:creator>s</dc:creator>
  <cp:lastModifiedBy>。。</cp:lastModifiedBy>
  <cp:lastPrinted>2021-06-09T06:48:00Z</cp:lastPrinted>
  <dcterms:modified xsi:type="dcterms:W3CDTF">2022-02-17T06:46:38Z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2020-03-27T00:00:00Z</vt:filetime>
  </property>
  <property fmtid="{D5CDD505-2E9C-101B-9397-08002B2CF9AE}" pid="3" name="Creator">
    <vt:lpwstr>WPS 文字</vt:lpwstr>
  </property>
  <property fmtid="{D5CDD505-2E9C-101B-9397-08002B2CF9AE}" pid="4" name="LastSaved">
    <vt:filetime>2020-04-23T00:00:00Z</vt:filetime>
  </property>
  <property fmtid="{D5CDD505-2E9C-101B-9397-08002B2CF9AE}" pid="5" name="KSOProductBuildVer">
    <vt:lpwstr>2052-11.1.0.11294</vt:lpwstr>
  </property>
  <property fmtid="{D5CDD505-2E9C-101B-9397-08002B2CF9AE}" pid="6" name="ICV">
    <vt:lpwstr>CFBDD95C65EE4B3EA88708DBCD64D356</vt:lpwstr>
  </property>
</Properties>
</file>