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1EB986F">
      <w:pPr>
        <w:adjustRightInd w:val="0"/>
        <w:snapToGrid w:val="0"/>
        <w:spacing w:after="156" w:afterLines="50" w:line="360" w:lineRule="auto"/>
        <w:jc w:val="center"/>
        <w:outlineLvl w:val="0"/>
        <w:rPr>
          <w:rFonts w:ascii="黑体" w:eastAsia="黑体"/>
          <w:b/>
          <w:color w:val="000000"/>
          <w:kern w:val="44"/>
          <w:sz w:val="48"/>
          <w:szCs w:val="20"/>
        </w:rPr>
      </w:pPr>
      <w:bookmarkStart w:id="0" w:name="_Toc129880039"/>
      <w:r>
        <w:rPr>
          <w:rFonts w:hint="eastAsia" w:ascii="宋体" w:hAnsi="宋体"/>
          <w:b/>
          <w:color w:val="000000"/>
          <w:sz w:val="30"/>
          <w:szCs w:val="30"/>
        </w:rPr>
        <w:t>第八部分 采购需求</w:t>
      </w:r>
      <w:bookmarkEnd w:id="0"/>
    </w:p>
    <w:p w14:paraId="5B131D90">
      <w:pPr>
        <w:adjustRightInd w:val="0"/>
        <w:snapToGrid w:val="0"/>
        <w:spacing w:before="156" w:beforeLines="50" w:after="156" w:afterLines="50" w:line="360" w:lineRule="auto"/>
        <w:jc w:val="center"/>
        <w:rPr>
          <w:rFonts w:ascii="宋体" w:hAnsi="宋体"/>
          <w:b/>
          <w:color w:val="000000"/>
          <w:sz w:val="24"/>
        </w:rPr>
      </w:pPr>
      <w:r>
        <w:rPr>
          <w:rFonts w:hint="eastAsia" w:ascii="宋体" w:hAnsi="宋体"/>
          <w:b/>
          <w:color w:val="000000"/>
          <w:sz w:val="24"/>
        </w:rPr>
        <w:t>货物需求一览表</w:t>
      </w:r>
    </w:p>
    <w:p w14:paraId="7CB19C8C">
      <w:pPr>
        <w:adjustRightInd w:val="0"/>
        <w:snapToGrid w:val="0"/>
        <w:jc w:val="center"/>
        <w:rPr>
          <w:rFonts w:ascii="宋体" w:hAnsi="宋体"/>
          <w:b/>
          <w:color w:val="000000"/>
          <w:sz w:val="30"/>
          <w:szCs w:val="30"/>
        </w:rPr>
      </w:pPr>
    </w:p>
    <w:tbl>
      <w:tblPr>
        <w:tblStyle w:val="4"/>
        <w:tblW w:w="7596"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28" w:type="dxa"/>
          <w:bottom w:w="0" w:type="dxa"/>
          <w:right w:w="28" w:type="dxa"/>
        </w:tblCellMar>
      </w:tblPr>
      <w:tblGrid>
        <w:gridCol w:w="1440"/>
        <w:gridCol w:w="2357"/>
        <w:gridCol w:w="1329"/>
        <w:gridCol w:w="2470"/>
      </w:tblGrid>
      <w:tr w14:paraId="597FFA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602" w:hRule="atLeast"/>
          <w:jc w:val="center"/>
        </w:trPr>
        <w:tc>
          <w:tcPr>
            <w:tcW w:w="1440" w:type="dxa"/>
            <w:vAlign w:val="center"/>
          </w:tcPr>
          <w:p w14:paraId="0329BED7">
            <w:pPr>
              <w:jc w:val="center"/>
              <w:rPr>
                <w:rFonts w:ascii="宋体" w:hAnsi="Bookman Old Style"/>
                <w:color w:val="000000"/>
                <w:sz w:val="24"/>
              </w:rPr>
            </w:pPr>
            <w:r>
              <w:rPr>
                <w:rFonts w:hint="eastAsia" w:ascii="宋体" w:hAnsi="Bookman Old Style"/>
                <w:color w:val="000000"/>
                <w:sz w:val="24"/>
              </w:rPr>
              <w:t>包号</w:t>
            </w:r>
          </w:p>
        </w:tc>
        <w:tc>
          <w:tcPr>
            <w:tcW w:w="2357" w:type="dxa"/>
            <w:vAlign w:val="center"/>
          </w:tcPr>
          <w:p w14:paraId="1357301A">
            <w:pPr>
              <w:jc w:val="center"/>
              <w:rPr>
                <w:rFonts w:ascii="宋体" w:hAnsi="Bookman Old Style"/>
                <w:color w:val="000000"/>
                <w:sz w:val="24"/>
              </w:rPr>
            </w:pPr>
            <w:r>
              <w:rPr>
                <w:rFonts w:hint="eastAsia" w:ascii="宋体" w:hAnsi="Bookman Old Style"/>
                <w:color w:val="000000"/>
                <w:sz w:val="24"/>
              </w:rPr>
              <w:t>货物名称</w:t>
            </w:r>
          </w:p>
        </w:tc>
        <w:tc>
          <w:tcPr>
            <w:tcW w:w="1329" w:type="dxa"/>
            <w:vAlign w:val="center"/>
          </w:tcPr>
          <w:p w14:paraId="12C89CFC">
            <w:pPr>
              <w:jc w:val="center"/>
              <w:rPr>
                <w:rFonts w:ascii="宋体" w:hAnsi="Bookman Old Style"/>
                <w:color w:val="000000"/>
                <w:sz w:val="24"/>
              </w:rPr>
            </w:pPr>
            <w:r>
              <w:rPr>
                <w:rFonts w:hint="eastAsia" w:ascii="宋体" w:hAnsi="Bookman Old Style"/>
                <w:color w:val="000000"/>
                <w:sz w:val="24"/>
              </w:rPr>
              <w:t>数量</w:t>
            </w:r>
          </w:p>
        </w:tc>
        <w:tc>
          <w:tcPr>
            <w:tcW w:w="2470" w:type="dxa"/>
            <w:vAlign w:val="center"/>
          </w:tcPr>
          <w:p w14:paraId="1EA47696">
            <w:pPr>
              <w:jc w:val="center"/>
              <w:rPr>
                <w:rFonts w:ascii="宋体" w:hAnsi="Bookman Old Style"/>
                <w:color w:val="000000"/>
                <w:sz w:val="24"/>
              </w:rPr>
            </w:pPr>
            <w:r>
              <w:rPr>
                <w:rFonts w:hint="eastAsia" w:ascii="宋体" w:hAnsi="Bookman Old Style"/>
                <w:color w:val="000000"/>
                <w:sz w:val="24"/>
              </w:rPr>
              <w:t>是否接受进口</w:t>
            </w:r>
          </w:p>
        </w:tc>
      </w:tr>
      <w:tr w14:paraId="690A0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28" w:type="dxa"/>
            <w:bottom w:w="0" w:type="dxa"/>
            <w:right w:w="28" w:type="dxa"/>
          </w:tblCellMar>
        </w:tblPrEx>
        <w:trPr>
          <w:trHeight w:val="963" w:hRule="atLeast"/>
          <w:jc w:val="center"/>
        </w:trPr>
        <w:tc>
          <w:tcPr>
            <w:tcW w:w="1440" w:type="dxa"/>
            <w:vAlign w:val="center"/>
          </w:tcPr>
          <w:p w14:paraId="25E40FFD">
            <w:pPr>
              <w:jc w:val="center"/>
              <w:rPr>
                <w:rFonts w:hint="default" w:ascii="宋体" w:eastAsia="宋体"/>
                <w:color w:val="000000"/>
                <w:sz w:val="24"/>
                <w:lang w:val="en-US" w:eastAsia="zh-CN"/>
              </w:rPr>
            </w:pPr>
            <w:r>
              <w:rPr>
                <w:rFonts w:hint="eastAsia" w:ascii="宋体"/>
                <w:color w:val="000000"/>
                <w:sz w:val="24"/>
                <w:lang w:val="en-US" w:eastAsia="zh-CN"/>
              </w:rPr>
              <w:t>15</w:t>
            </w:r>
          </w:p>
        </w:tc>
        <w:tc>
          <w:tcPr>
            <w:tcW w:w="2357" w:type="dxa"/>
            <w:vAlign w:val="center"/>
          </w:tcPr>
          <w:p w14:paraId="744F2C20">
            <w:pPr>
              <w:jc w:val="center"/>
              <w:rPr>
                <w:rFonts w:ascii="Bookman Old Style" w:hAnsi="Bookman Old Style"/>
                <w:color w:val="000000"/>
                <w:sz w:val="24"/>
              </w:rPr>
            </w:pPr>
            <w:r>
              <w:rPr>
                <w:rFonts w:hint="eastAsia" w:ascii="Bookman Old Style" w:hAnsi="Bookman Old Style"/>
                <w:color w:val="000000"/>
                <w:sz w:val="24"/>
              </w:rPr>
              <w:t>飞行时间-二次离子质谱</w:t>
            </w:r>
          </w:p>
        </w:tc>
        <w:tc>
          <w:tcPr>
            <w:tcW w:w="1329" w:type="dxa"/>
            <w:vAlign w:val="center"/>
          </w:tcPr>
          <w:p w14:paraId="2BD0A4BE">
            <w:pPr>
              <w:jc w:val="center"/>
              <w:rPr>
                <w:rFonts w:ascii="宋体" w:hAnsi="Bookman Old Style"/>
                <w:color w:val="000000"/>
                <w:sz w:val="24"/>
              </w:rPr>
            </w:pPr>
            <w:r>
              <w:rPr>
                <w:rFonts w:hint="eastAsia" w:ascii="宋体" w:hAnsi="Bookman Old Style"/>
                <w:color w:val="000000"/>
                <w:sz w:val="24"/>
              </w:rPr>
              <w:t>1套</w:t>
            </w:r>
          </w:p>
        </w:tc>
        <w:tc>
          <w:tcPr>
            <w:tcW w:w="2470" w:type="dxa"/>
            <w:vAlign w:val="center"/>
          </w:tcPr>
          <w:p w14:paraId="70DA9CFD">
            <w:pPr>
              <w:jc w:val="center"/>
              <w:rPr>
                <w:rFonts w:ascii="宋体" w:hAnsi="Bookman Old Style"/>
                <w:color w:val="000000"/>
                <w:sz w:val="24"/>
              </w:rPr>
            </w:pPr>
            <w:r>
              <w:rPr>
                <w:rFonts w:hint="eastAsia" w:ascii="宋体" w:hAnsi="Bookman Old Style"/>
                <w:color w:val="000000"/>
                <w:sz w:val="24"/>
              </w:rPr>
              <w:t>是</w:t>
            </w:r>
          </w:p>
        </w:tc>
      </w:tr>
    </w:tbl>
    <w:p w14:paraId="3DAC7171">
      <w:pPr>
        <w:adjustRightInd w:val="0"/>
        <w:snapToGrid w:val="0"/>
        <w:jc w:val="center"/>
        <w:rPr>
          <w:rFonts w:ascii="宋体" w:hAnsi="宋体"/>
          <w:b/>
          <w:color w:val="000000"/>
          <w:sz w:val="30"/>
          <w:szCs w:val="30"/>
        </w:rPr>
      </w:pPr>
    </w:p>
    <w:p w14:paraId="0A239B6E">
      <w:pPr>
        <w:adjustRightInd w:val="0"/>
        <w:snapToGrid w:val="0"/>
        <w:jc w:val="center"/>
        <w:rPr>
          <w:rFonts w:ascii="宋体" w:hAnsi="宋体"/>
          <w:b/>
          <w:color w:val="000000"/>
          <w:sz w:val="30"/>
          <w:szCs w:val="30"/>
        </w:rPr>
      </w:pPr>
    </w:p>
    <w:p w14:paraId="19F6C697">
      <w:pPr>
        <w:rPr>
          <w:rFonts w:ascii="Bookman Old Style" w:hAnsi="Bookman Old Style"/>
          <w:color w:val="000000"/>
          <w:sz w:val="24"/>
        </w:rPr>
      </w:pPr>
      <w:r>
        <w:rPr>
          <w:rFonts w:hint="eastAsia"/>
          <w:color w:val="000000"/>
          <w:sz w:val="24"/>
        </w:rPr>
        <w:t>注：投标人须对上述投标内容中完整的一包进行投标，</w:t>
      </w:r>
      <w:r>
        <w:rPr>
          <w:rFonts w:hint="eastAsia" w:ascii="Bookman Old Style" w:hAnsi="Bookman Old Style"/>
          <w:color w:val="000000"/>
          <w:sz w:val="24"/>
        </w:rPr>
        <w:t>不完整的投标将视为非响应性投标予以拒绝。</w:t>
      </w:r>
    </w:p>
    <w:p w14:paraId="6A83231C">
      <w:pPr>
        <w:adjustRightInd w:val="0"/>
        <w:snapToGrid w:val="0"/>
        <w:rPr>
          <w:rFonts w:ascii="宋体" w:hAnsi="宋体"/>
          <w:color w:val="000000"/>
          <w:szCs w:val="21"/>
        </w:rPr>
      </w:pPr>
    </w:p>
    <w:p w14:paraId="5BD718D5">
      <w:pPr>
        <w:adjustRightInd w:val="0"/>
        <w:snapToGrid w:val="0"/>
        <w:rPr>
          <w:rFonts w:ascii="宋体" w:hAnsi="宋体"/>
          <w:color w:val="000000"/>
          <w:szCs w:val="21"/>
        </w:rPr>
      </w:pPr>
    </w:p>
    <w:p w14:paraId="7E086F59">
      <w:pPr>
        <w:adjustRightInd w:val="0"/>
        <w:snapToGrid w:val="0"/>
        <w:rPr>
          <w:rFonts w:ascii="宋体" w:hAnsi="宋体"/>
          <w:color w:val="000000"/>
          <w:szCs w:val="21"/>
        </w:rPr>
      </w:pPr>
    </w:p>
    <w:p w14:paraId="225A893F">
      <w:pPr>
        <w:adjustRightInd w:val="0"/>
        <w:snapToGrid w:val="0"/>
        <w:spacing w:line="360" w:lineRule="auto"/>
        <w:rPr>
          <w:rFonts w:ascii="宋体" w:hAnsi="宋体"/>
          <w:b/>
          <w:color w:val="000000"/>
          <w:sz w:val="28"/>
          <w:szCs w:val="28"/>
        </w:rPr>
      </w:pPr>
      <w:r>
        <w:rPr>
          <w:rFonts w:ascii="宋体" w:hAnsi="宋体"/>
          <w:b/>
          <w:color w:val="000000"/>
          <w:sz w:val="30"/>
          <w:szCs w:val="30"/>
        </w:rPr>
        <w:br w:type="page"/>
      </w:r>
      <w:r>
        <w:rPr>
          <w:rFonts w:hint="eastAsia" w:ascii="宋体" w:hAnsi="宋体"/>
          <w:b/>
          <w:color w:val="000000"/>
          <w:sz w:val="28"/>
          <w:szCs w:val="28"/>
        </w:rPr>
        <w:t>一、总则</w:t>
      </w:r>
    </w:p>
    <w:p w14:paraId="2F2E2322">
      <w:pPr>
        <w:adjustRightInd w:val="0"/>
        <w:snapToGrid w:val="0"/>
        <w:spacing w:line="360" w:lineRule="auto"/>
        <w:rPr>
          <w:rFonts w:ascii="宋体" w:hAnsi="宋体"/>
          <w:b/>
          <w:color w:val="000000"/>
          <w:sz w:val="28"/>
          <w:szCs w:val="28"/>
        </w:rPr>
      </w:pPr>
      <w:r>
        <w:rPr>
          <w:rFonts w:ascii="宋体" w:hAnsi="宋体"/>
          <w:b/>
          <w:color w:val="000000"/>
          <w:sz w:val="28"/>
          <w:szCs w:val="28"/>
        </w:rPr>
        <w:t>1</w:t>
      </w:r>
      <w:r>
        <w:rPr>
          <w:rFonts w:hint="eastAsia" w:ascii="宋体" w:hAnsi="宋体"/>
          <w:b/>
          <w:color w:val="000000"/>
          <w:sz w:val="28"/>
          <w:szCs w:val="28"/>
        </w:rPr>
        <w:t>、投标要求</w:t>
      </w:r>
    </w:p>
    <w:p w14:paraId="732C8904">
      <w:pPr>
        <w:spacing w:line="360" w:lineRule="auto"/>
        <w:ind w:left="554" w:hanging="554" w:hangingChars="231"/>
        <w:rPr>
          <w:rFonts w:ascii="宋体" w:hAnsi="宋体"/>
          <w:color w:val="000000"/>
          <w:sz w:val="24"/>
        </w:rPr>
      </w:pPr>
      <w:r>
        <w:rPr>
          <w:rFonts w:ascii="宋体" w:hAnsi="宋体"/>
          <w:color w:val="000000"/>
          <w:sz w:val="24"/>
        </w:rPr>
        <w:t xml:space="preserve">1.1 </w:t>
      </w:r>
      <w:r>
        <w:rPr>
          <w:rFonts w:hint="eastAsia" w:ascii="宋体" w:hAnsi="宋体"/>
          <w:color w:val="000000"/>
          <w:sz w:val="24"/>
        </w:rPr>
        <w:t xml:space="preserve"> 投标人在准备投标书时，务必在所提供的商品的技术规格文件中，标明型号、商标名称、目录号。</w:t>
      </w:r>
    </w:p>
    <w:p w14:paraId="60AEDF95">
      <w:pPr>
        <w:spacing w:line="360" w:lineRule="auto"/>
        <w:ind w:left="554" w:hanging="554" w:hangingChars="231"/>
        <w:rPr>
          <w:rFonts w:ascii="宋体" w:hAnsi="宋体"/>
          <w:color w:val="000000"/>
          <w:sz w:val="24"/>
        </w:rPr>
      </w:pPr>
      <w:r>
        <w:rPr>
          <w:rFonts w:hint="eastAsia" w:ascii="宋体" w:hAnsi="宋体"/>
          <w:color w:val="000000"/>
          <w:sz w:val="24"/>
        </w:rPr>
        <w:t>1.2  投标人提供的货物须是成熟的全新的产品，其技术规格应符合招标文件的要求。如与招标文件的技术规格有偏差，应提供技术规格偏差的量值或说明（偏离表）。如投标人有意隐瞒对规格要求的偏差或在开标后提出新的偏差，买方有权扣留其投标保证金或/并拒绝其投标。</w:t>
      </w:r>
    </w:p>
    <w:p w14:paraId="58090A5C">
      <w:pPr>
        <w:spacing w:line="360" w:lineRule="auto"/>
        <w:ind w:left="554" w:hanging="554" w:hangingChars="231"/>
        <w:rPr>
          <w:rFonts w:ascii="宋体"/>
          <w:color w:val="000000"/>
          <w:sz w:val="24"/>
        </w:rPr>
      </w:pPr>
      <w:r>
        <w:rPr>
          <w:rFonts w:hint="eastAsia" w:ascii="宋体" w:hAnsi="宋体"/>
          <w:color w:val="000000"/>
          <w:sz w:val="24"/>
        </w:rPr>
        <w:t xml:space="preserve">1.3  </w:t>
      </w:r>
      <w:r>
        <w:rPr>
          <w:rFonts w:hint="eastAsia"/>
          <w:color w:val="000000"/>
          <w:sz w:val="24"/>
        </w:rPr>
        <w:t>投标人提供的</w:t>
      </w:r>
      <w:r>
        <w:rPr>
          <w:rFonts w:hint="eastAsia" w:ascii="宋体"/>
          <w:color w:val="000000"/>
          <w:sz w:val="24"/>
        </w:rPr>
        <w:t>产品</w:t>
      </w:r>
      <w:r>
        <w:rPr>
          <w:rFonts w:hint="eastAsia"/>
          <w:color w:val="000000"/>
          <w:sz w:val="24"/>
        </w:rPr>
        <w:t>样本，必须是“原件”而非复印件，</w:t>
      </w:r>
      <w:r>
        <w:rPr>
          <w:rFonts w:hint="eastAsia" w:ascii="宋体"/>
          <w:color w:val="000000"/>
          <w:sz w:val="24"/>
        </w:rPr>
        <w:t>图表、简图、电路图以及印刷电路板图等都应</w:t>
      </w:r>
      <w:r>
        <w:rPr>
          <w:rFonts w:hint="eastAsia"/>
          <w:color w:val="000000"/>
          <w:sz w:val="24"/>
        </w:rPr>
        <w:t>清晰易读。买方有权</w:t>
      </w:r>
      <w:r>
        <w:rPr>
          <w:rFonts w:hint="eastAsia" w:ascii="宋体"/>
          <w:color w:val="000000"/>
          <w:sz w:val="24"/>
        </w:rPr>
        <w:t>不付任何附加费用</w:t>
      </w:r>
      <w:r>
        <w:rPr>
          <w:rFonts w:hint="eastAsia"/>
          <w:color w:val="000000"/>
          <w:sz w:val="24"/>
        </w:rPr>
        <w:t>复制这些资料</w:t>
      </w:r>
      <w:r>
        <w:rPr>
          <w:rFonts w:hint="eastAsia" w:ascii="宋体"/>
          <w:color w:val="000000"/>
          <w:sz w:val="24"/>
        </w:rPr>
        <w:t>以供参考。</w:t>
      </w:r>
    </w:p>
    <w:p w14:paraId="5E1EF1CE">
      <w:pPr>
        <w:spacing w:line="360" w:lineRule="auto"/>
        <w:ind w:left="554" w:hanging="554" w:hangingChars="231"/>
        <w:rPr>
          <w:rFonts w:ascii="宋体"/>
          <w:color w:val="000000"/>
          <w:sz w:val="24"/>
        </w:rPr>
      </w:pPr>
      <w:r>
        <w:rPr>
          <w:rFonts w:hint="eastAsia" w:ascii="宋体"/>
          <w:color w:val="000000"/>
          <w:sz w:val="24"/>
        </w:rPr>
        <w:t>1.4  投标人的投标产品应符合国家有关部门规定的相应技术、计量、节能、安全和环保法规及标准；如国家有关部门对投标人的投标产品有强制性规定或要求的，则投标人的投标产品必须符合相应规定或要求，投标人须提供相关证明文件的复印件。</w:t>
      </w:r>
    </w:p>
    <w:p w14:paraId="5E19185D">
      <w:pPr>
        <w:adjustRightInd w:val="0"/>
        <w:snapToGrid w:val="0"/>
        <w:spacing w:line="360" w:lineRule="auto"/>
        <w:rPr>
          <w:rFonts w:ascii="宋体" w:hAnsi="宋体"/>
          <w:b/>
          <w:color w:val="000000"/>
          <w:sz w:val="28"/>
          <w:szCs w:val="28"/>
        </w:rPr>
      </w:pPr>
      <w:r>
        <w:rPr>
          <w:rFonts w:hint="eastAsia" w:ascii="宋体" w:hAnsi="宋体"/>
          <w:b/>
          <w:color w:val="000000"/>
          <w:sz w:val="28"/>
          <w:szCs w:val="28"/>
        </w:rPr>
        <w:t>2、评标标准</w:t>
      </w:r>
    </w:p>
    <w:p w14:paraId="3C8D3866">
      <w:pPr>
        <w:spacing w:line="360" w:lineRule="auto"/>
        <w:ind w:left="554" w:hanging="554" w:hangingChars="231"/>
        <w:rPr>
          <w:rFonts w:ascii="宋体"/>
          <w:color w:val="000000"/>
          <w:sz w:val="24"/>
        </w:rPr>
      </w:pPr>
      <w:r>
        <w:rPr>
          <w:rFonts w:ascii="宋体" w:hAnsi="宋体"/>
          <w:color w:val="000000"/>
          <w:sz w:val="24"/>
        </w:rPr>
        <w:t>2.</w:t>
      </w:r>
      <w:r>
        <w:rPr>
          <w:rFonts w:hint="eastAsia" w:ascii="宋体" w:hAnsi="宋体"/>
          <w:color w:val="000000"/>
          <w:sz w:val="24"/>
        </w:rPr>
        <w:t xml:space="preserve">1  </w:t>
      </w:r>
      <w:r>
        <w:rPr>
          <w:rFonts w:hint="eastAsia"/>
          <w:color w:val="000000"/>
          <w:sz w:val="24"/>
        </w:rPr>
        <w:t>除招标文件中指定的附件和专用工具外，</w:t>
      </w:r>
      <w:r>
        <w:rPr>
          <w:rFonts w:hint="eastAsia" w:ascii="宋体"/>
          <w:color w:val="000000"/>
          <w:sz w:val="24"/>
        </w:rPr>
        <w:t>投标人应提供仪器设备的正常运行和常规保养所需的全套标准附件、专用工具</w:t>
      </w:r>
      <w:r>
        <w:rPr>
          <w:rFonts w:hint="eastAsia"/>
          <w:color w:val="000000"/>
          <w:sz w:val="24"/>
        </w:rPr>
        <w:t>和消耗品</w:t>
      </w:r>
      <w:r>
        <w:rPr>
          <w:rFonts w:hint="eastAsia" w:ascii="宋体"/>
          <w:color w:val="000000"/>
          <w:sz w:val="24"/>
        </w:rPr>
        <w:t>。投标人在投标书中需列出这些附件和工具的数量和单价的清单，这些附件和工具的报价的总值需计入投标价中。</w:t>
      </w:r>
    </w:p>
    <w:p w14:paraId="03896DB1">
      <w:pPr>
        <w:spacing w:line="360" w:lineRule="auto"/>
        <w:ind w:left="554" w:hanging="554" w:hangingChars="231"/>
        <w:rPr>
          <w:color w:val="000000"/>
          <w:sz w:val="24"/>
        </w:rPr>
      </w:pPr>
      <w:r>
        <w:rPr>
          <w:rFonts w:hint="eastAsia" w:ascii="宋体" w:hAnsi="宋体"/>
          <w:color w:val="000000"/>
          <w:sz w:val="24"/>
        </w:rPr>
        <w:t xml:space="preserve">2.2  </w:t>
      </w:r>
      <w:r>
        <w:rPr>
          <w:rFonts w:hint="eastAsia"/>
          <w:color w:val="000000"/>
          <w:sz w:val="24"/>
        </w:rPr>
        <w:t>对于标书</w:t>
      </w:r>
      <w:r>
        <w:rPr>
          <w:rFonts w:hint="eastAsia" w:ascii="宋体"/>
          <w:color w:val="000000"/>
          <w:sz w:val="24"/>
        </w:rPr>
        <w:t>技术规范中已列</w:t>
      </w:r>
      <w:r>
        <w:rPr>
          <w:rFonts w:hint="eastAsia"/>
          <w:color w:val="000000"/>
          <w:sz w:val="24"/>
        </w:rPr>
        <w:t>出的作为查询选件的附件、零配件、专用工具和消耗品，投标书中</w:t>
      </w:r>
      <w:r>
        <w:rPr>
          <w:rFonts w:hint="eastAsia" w:ascii="宋体"/>
          <w:color w:val="000000"/>
          <w:sz w:val="24"/>
        </w:rPr>
        <w:t>应列明其数量、单价、总价供买方参考。投标人也可推荐买方没有要求的附件或专用工具作为选件，并列明其数量、单价、总价供买方参考。选件价格不计入评标价中。</w:t>
      </w:r>
    </w:p>
    <w:p w14:paraId="2ECA9517">
      <w:pPr>
        <w:spacing w:line="360" w:lineRule="auto"/>
        <w:ind w:left="554" w:hanging="554" w:hangingChars="231"/>
        <w:rPr>
          <w:rFonts w:ascii="宋体" w:hAnsi="宋体"/>
          <w:color w:val="000000"/>
          <w:sz w:val="24"/>
        </w:rPr>
      </w:pPr>
      <w:r>
        <w:rPr>
          <w:rFonts w:hint="eastAsia" w:ascii="宋体" w:hAnsi="宋体"/>
          <w:color w:val="000000"/>
          <w:sz w:val="24"/>
        </w:rPr>
        <w:t>2.3  为便于用户进行接收仪器的准备工作，卖方应在合同生效后</w:t>
      </w:r>
      <w:r>
        <w:rPr>
          <w:rFonts w:hint="eastAsia" w:ascii="宋体" w:hAnsi="宋体"/>
          <w:b/>
          <w:color w:val="000000"/>
          <w:sz w:val="24"/>
        </w:rPr>
        <w:t>60</w:t>
      </w:r>
      <w:r>
        <w:rPr>
          <w:rFonts w:hint="eastAsia" w:ascii="宋体" w:hAnsi="宋体"/>
          <w:color w:val="000000"/>
          <w:sz w:val="24"/>
        </w:rPr>
        <w:t>天内向用户提供一套完整的使用说明书、操作手册、维修及安装说明等文件。另一套完整上述资料应在交货时随货包装提供给用户，这些费用应计入投标价中。</w:t>
      </w:r>
    </w:p>
    <w:p w14:paraId="1B79F885">
      <w:pPr>
        <w:spacing w:line="360" w:lineRule="auto"/>
        <w:ind w:left="554" w:hanging="554" w:hangingChars="231"/>
        <w:rPr>
          <w:rFonts w:ascii="宋体" w:hAnsi="宋体"/>
          <w:color w:val="000000"/>
          <w:sz w:val="24"/>
        </w:rPr>
      </w:pPr>
      <w:r>
        <w:rPr>
          <w:rFonts w:hint="eastAsia" w:ascii="宋体" w:hAnsi="宋体"/>
          <w:color w:val="000000"/>
          <w:sz w:val="24"/>
        </w:rPr>
        <w:t>2</w:t>
      </w:r>
      <w:r>
        <w:rPr>
          <w:rFonts w:ascii="宋体" w:hAnsi="宋体"/>
          <w:color w:val="000000"/>
          <w:sz w:val="24"/>
        </w:rPr>
        <w:t>.</w:t>
      </w:r>
      <w:r>
        <w:rPr>
          <w:rFonts w:hint="eastAsia" w:ascii="宋体" w:hAnsi="宋体"/>
          <w:color w:val="000000"/>
          <w:sz w:val="24"/>
        </w:rPr>
        <w:t>4</w:t>
      </w:r>
      <w:r>
        <w:rPr>
          <w:rFonts w:ascii="宋体" w:hAnsi="宋体"/>
          <w:color w:val="000000"/>
          <w:sz w:val="24"/>
        </w:rPr>
        <w:t xml:space="preserve"> </w:t>
      </w:r>
      <w:r>
        <w:rPr>
          <w:rFonts w:hint="eastAsia" w:ascii="宋体" w:hAnsi="宋体"/>
          <w:color w:val="000000"/>
          <w:sz w:val="24"/>
        </w:rPr>
        <w:t xml:space="preserve"> 关于设备的安装调试，如果有必要的安装准备条件，卖方应在合同生效后一个月内向买方提出详细的要求或计划。安装调试的费用应计入投标价中，并应单独列出，供评标使用。</w:t>
      </w:r>
    </w:p>
    <w:p w14:paraId="61824492">
      <w:pPr>
        <w:spacing w:line="360" w:lineRule="auto"/>
        <w:ind w:left="554" w:hanging="554" w:hangingChars="231"/>
        <w:rPr>
          <w:rFonts w:ascii="宋体" w:hAnsi="宋体"/>
          <w:color w:val="000000"/>
          <w:sz w:val="24"/>
        </w:rPr>
      </w:pPr>
      <w:r>
        <w:rPr>
          <w:rFonts w:ascii="宋体" w:hAnsi="宋体"/>
          <w:color w:val="000000"/>
          <w:sz w:val="24"/>
        </w:rPr>
        <w:t>2.</w:t>
      </w:r>
      <w:r>
        <w:rPr>
          <w:rFonts w:hint="eastAsia" w:ascii="宋体" w:hAnsi="宋体"/>
          <w:color w:val="000000"/>
          <w:sz w:val="24"/>
        </w:rPr>
        <w:t>5  制造厂家提供的培训指的是涉及货物的基本原理、操作使用和保养维修等有关内容的培训。培训教员的培训费、旅费、食宿费等费用和培训场地费及培训资料费均应由卖方支付。</w:t>
      </w:r>
    </w:p>
    <w:p w14:paraId="10BF5FF1">
      <w:pPr>
        <w:adjustRightInd w:val="0"/>
        <w:snapToGrid w:val="0"/>
        <w:spacing w:line="360" w:lineRule="auto"/>
        <w:rPr>
          <w:rFonts w:ascii="宋体" w:hAnsi="宋体"/>
          <w:b/>
          <w:color w:val="000000"/>
          <w:sz w:val="28"/>
          <w:szCs w:val="28"/>
        </w:rPr>
      </w:pPr>
      <w:r>
        <w:rPr>
          <w:rFonts w:hint="eastAsia" w:ascii="宋体" w:hAnsi="宋体"/>
          <w:b/>
          <w:color w:val="000000"/>
          <w:sz w:val="28"/>
          <w:szCs w:val="28"/>
        </w:rPr>
        <w:t>3、工作条件</w:t>
      </w:r>
    </w:p>
    <w:p w14:paraId="412D51F6">
      <w:pPr>
        <w:spacing w:after="312" w:afterLines="100" w:line="360" w:lineRule="auto"/>
        <w:rPr>
          <w:rFonts w:ascii="宋体" w:hAnsi="宋体"/>
          <w:color w:val="000000"/>
          <w:sz w:val="24"/>
        </w:rPr>
      </w:pPr>
      <w:r>
        <w:rPr>
          <w:rFonts w:hint="eastAsia" w:ascii="宋体" w:hAnsi="宋体"/>
          <w:color w:val="000000"/>
          <w:sz w:val="24"/>
        </w:rPr>
        <w:t>除非在技术规格中另有说明，所有仪器、设备和系统都应符合下列要求：</w:t>
      </w:r>
      <w:r>
        <w:rPr>
          <w:rFonts w:ascii="宋体" w:hAnsi="宋体"/>
          <w:color w:val="000000"/>
          <w:sz w:val="24"/>
        </w:rPr>
        <w:t xml:space="preserve"> </w:t>
      </w:r>
    </w:p>
    <w:p w14:paraId="49722393">
      <w:pPr>
        <w:spacing w:line="360" w:lineRule="auto"/>
        <w:ind w:left="554" w:hanging="554" w:hangingChars="231"/>
        <w:rPr>
          <w:rFonts w:ascii="宋体" w:hAnsi="宋体"/>
          <w:color w:val="000000"/>
          <w:sz w:val="24"/>
        </w:rPr>
      </w:pPr>
      <w:r>
        <w:rPr>
          <w:rFonts w:hint="eastAsia" w:ascii="宋体" w:hAnsi="宋体"/>
          <w:color w:val="000000"/>
          <w:sz w:val="24"/>
        </w:rPr>
        <w:t>3.1  适于在气温为摄氏</w:t>
      </w:r>
      <w:r>
        <w:rPr>
          <w:rFonts w:ascii="宋体" w:hAnsi="宋体"/>
          <w:b/>
          <w:color w:val="000000"/>
          <w:sz w:val="24"/>
        </w:rPr>
        <w:t>-40</w:t>
      </w:r>
      <w:r>
        <w:rPr>
          <w:rFonts w:hint="eastAsia" w:ascii="宋体" w:hAnsi="宋体"/>
          <w:b/>
          <w:color w:val="000000"/>
          <w:sz w:val="24"/>
        </w:rPr>
        <w:t>℃～＋</w:t>
      </w:r>
      <w:r>
        <w:rPr>
          <w:rFonts w:ascii="宋体" w:hAnsi="宋体"/>
          <w:b/>
          <w:color w:val="000000"/>
          <w:sz w:val="24"/>
        </w:rPr>
        <w:t>50</w:t>
      </w:r>
      <w:r>
        <w:rPr>
          <w:rFonts w:hint="eastAsia" w:ascii="宋体" w:hAnsi="宋体"/>
          <w:b/>
          <w:color w:val="000000"/>
          <w:sz w:val="24"/>
        </w:rPr>
        <w:t>℃</w:t>
      </w:r>
      <w:r>
        <w:rPr>
          <w:rFonts w:hint="eastAsia" w:ascii="宋体" w:hAnsi="宋体"/>
          <w:color w:val="000000"/>
          <w:sz w:val="24"/>
        </w:rPr>
        <w:t>和相对湿度为</w:t>
      </w:r>
      <w:r>
        <w:rPr>
          <w:rFonts w:ascii="宋体" w:hAnsi="宋体"/>
          <w:b/>
          <w:color w:val="000000"/>
          <w:sz w:val="24"/>
        </w:rPr>
        <w:t>90</w:t>
      </w:r>
      <w:r>
        <w:rPr>
          <w:rFonts w:hint="eastAsia" w:ascii="宋体" w:hAnsi="宋体"/>
          <w:b/>
          <w:color w:val="000000"/>
          <w:sz w:val="24"/>
        </w:rPr>
        <w:t>％</w:t>
      </w:r>
      <w:r>
        <w:rPr>
          <w:rFonts w:hint="eastAsia" w:ascii="宋体" w:hAnsi="宋体"/>
          <w:color w:val="000000"/>
          <w:sz w:val="24"/>
        </w:rPr>
        <w:t>的环境条件下运输和贮存。</w:t>
      </w:r>
    </w:p>
    <w:p w14:paraId="412D9EA4">
      <w:pPr>
        <w:spacing w:line="360" w:lineRule="auto"/>
        <w:ind w:left="554" w:hanging="554" w:hangingChars="231"/>
        <w:rPr>
          <w:rFonts w:ascii="宋体" w:hAnsi="宋体"/>
          <w:color w:val="000000"/>
          <w:sz w:val="24"/>
        </w:rPr>
      </w:pPr>
      <w:r>
        <w:rPr>
          <w:rFonts w:hint="eastAsia" w:ascii="宋体" w:hAnsi="宋体"/>
          <w:color w:val="000000"/>
          <w:sz w:val="24"/>
        </w:rPr>
        <w:t>3.2  适于在电源</w:t>
      </w:r>
      <w:r>
        <w:rPr>
          <w:rFonts w:ascii="宋体" w:hAnsi="宋体"/>
          <w:b/>
          <w:color w:val="000000"/>
          <w:sz w:val="24"/>
        </w:rPr>
        <w:t>220V</w:t>
      </w:r>
      <w:r>
        <w:rPr>
          <w:rFonts w:hint="eastAsia" w:ascii="宋体" w:hAnsi="宋体"/>
          <w:b/>
          <w:color w:val="000000"/>
          <w:sz w:val="24"/>
        </w:rPr>
        <w:t>（</w:t>
      </w:r>
      <w:r>
        <w:rPr>
          <w:rFonts w:ascii="宋体" w:hAnsi="宋体"/>
          <w:b/>
          <w:color w:val="000000"/>
          <w:sz w:val="24"/>
        </w:rPr>
        <w:sym w:font="Symbol" w:char="F0B1"/>
      </w:r>
      <w:r>
        <w:rPr>
          <w:rFonts w:ascii="宋体" w:hAnsi="宋体"/>
          <w:b/>
          <w:color w:val="000000"/>
          <w:sz w:val="24"/>
        </w:rPr>
        <w:t>10</w:t>
      </w:r>
      <w:r>
        <w:rPr>
          <w:rFonts w:hint="eastAsia" w:ascii="宋体" w:hAnsi="宋体"/>
          <w:b/>
          <w:color w:val="000000"/>
          <w:sz w:val="24"/>
        </w:rPr>
        <w:t>％）</w:t>
      </w:r>
      <w:r>
        <w:rPr>
          <w:rFonts w:ascii="宋体" w:hAnsi="宋体"/>
          <w:b/>
          <w:color w:val="000000"/>
          <w:sz w:val="24"/>
        </w:rPr>
        <w:t>/50Hz</w:t>
      </w:r>
      <w:r>
        <w:rPr>
          <w:rFonts w:hint="eastAsia" w:ascii="宋体" w:hAnsi="宋体"/>
          <w:color w:val="000000"/>
          <w:sz w:val="24"/>
        </w:rPr>
        <w:t>、气温摄氏</w:t>
      </w:r>
      <w:r>
        <w:rPr>
          <w:rFonts w:hint="eastAsia" w:ascii="宋体" w:hAnsi="宋体"/>
          <w:b/>
          <w:color w:val="000000"/>
          <w:sz w:val="24"/>
        </w:rPr>
        <w:t>+1</w:t>
      </w:r>
      <w:r>
        <w:rPr>
          <w:rFonts w:ascii="宋体" w:hAnsi="宋体"/>
          <w:b/>
          <w:color w:val="000000"/>
          <w:sz w:val="24"/>
        </w:rPr>
        <w:t>5</w:t>
      </w:r>
      <w:r>
        <w:rPr>
          <w:rFonts w:hint="eastAsia" w:ascii="宋体" w:hAnsi="宋体"/>
          <w:b/>
          <w:color w:val="000000"/>
          <w:sz w:val="24"/>
        </w:rPr>
        <w:t>℃～＋3</w:t>
      </w:r>
      <w:r>
        <w:rPr>
          <w:rFonts w:ascii="宋体" w:hAnsi="宋体"/>
          <w:b/>
          <w:color w:val="000000"/>
          <w:sz w:val="24"/>
        </w:rPr>
        <w:t>0</w:t>
      </w:r>
      <w:r>
        <w:rPr>
          <w:rFonts w:hint="eastAsia" w:ascii="宋体" w:hAnsi="宋体"/>
          <w:b/>
          <w:color w:val="000000"/>
          <w:sz w:val="24"/>
        </w:rPr>
        <w:t>℃</w:t>
      </w:r>
      <w:r>
        <w:rPr>
          <w:rFonts w:hint="eastAsia" w:ascii="宋体" w:hAnsi="宋体"/>
          <w:color w:val="000000"/>
          <w:sz w:val="24"/>
        </w:rPr>
        <w:t>和相对湿度小于</w:t>
      </w:r>
      <w:r>
        <w:rPr>
          <w:rFonts w:ascii="宋体" w:hAnsi="宋体"/>
          <w:b/>
          <w:color w:val="000000"/>
          <w:sz w:val="24"/>
        </w:rPr>
        <w:t>8</w:t>
      </w:r>
      <w:r>
        <w:rPr>
          <w:rFonts w:hint="eastAsia" w:ascii="宋体" w:hAnsi="宋体"/>
          <w:b/>
          <w:color w:val="000000"/>
          <w:sz w:val="24"/>
        </w:rPr>
        <w:t>0％</w:t>
      </w:r>
      <w:r>
        <w:rPr>
          <w:rFonts w:hint="eastAsia" w:ascii="宋体" w:hAnsi="宋体"/>
          <w:color w:val="000000"/>
          <w:sz w:val="24"/>
        </w:rPr>
        <w:t>的环境条件下运行。</w:t>
      </w:r>
      <w:r>
        <w:rPr>
          <w:rFonts w:hint="eastAsia" w:ascii="宋体" w:hAnsi="宋体"/>
          <w:b/>
          <w:color w:val="000000"/>
          <w:sz w:val="24"/>
        </w:rPr>
        <w:t>能够连续正常工作。</w:t>
      </w:r>
    </w:p>
    <w:p w14:paraId="6B35AD90">
      <w:pPr>
        <w:spacing w:line="360" w:lineRule="auto"/>
        <w:ind w:left="554" w:hanging="554" w:hangingChars="231"/>
        <w:rPr>
          <w:rFonts w:ascii="宋体" w:hAnsi="宋体"/>
          <w:color w:val="000000"/>
          <w:sz w:val="24"/>
        </w:rPr>
      </w:pPr>
      <w:r>
        <w:rPr>
          <w:rFonts w:hint="eastAsia" w:ascii="宋体" w:hAnsi="宋体"/>
          <w:color w:val="000000"/>
          <w:sz w:val="24"/>
        </w:rPr>
        <w:t>3.3  配置符合中国有关标准要求的插头，如果没有这样的插头，则需</w:t>
      </w:r>
      <w:r>
        <w:rPr>
          <w:rFonts w:hint="eastAsia" w:ascii="宋体"/>
          <w:color w:val="000000"/>
          <w:sz w:val="24"/>
        </w:rPr>
        <w:t>提供适当的转</w:t>
      </w:r>
      <w:r>
        <w:rPr>
          <w:rFonts w:hint="eastAsia" w:ascii="宋体" w:hAnsi="宋体"/>
          <w:color w:val="000000"/>
          <w:sz w:val="24"/>
        </w:rPr>
        <w:t>换插座。</w:t>
      </w:r>
    </w:p>
    <w:p w14:paraId="75E9E3A0">
      <w:pPr>
        <w:spacing w:line="360" w:lineRule="auto"/>
        <w:ind w:left="554" w:hanging="554" w:hangingChars="231"/>
        <w:rPr>
          <w:rFonts w:ascii="宋体" w:hAnsi="宋体"/>
          <w:color w:val="000000"/>
          <w:sz w:val="24"/>
        </w:rPr>
      </w:pPr>
      <w:r>
        <w:rPr>
          <w:rFonts w:hint="eastAsia" w:ascii="宋体" w:hAnsi="宋体"/>
          <w:color w:val="000000"/>
          <w:sz w:val="24"/>
        </w:rPr>
        <w:t>3.4  如产品达不到上述要求，投标人应注明其偏差。如仪器设备需要特殊工作条件（如水、电源、磁场强度、温度、湿度、动强度等）投标人应在投标书中加以说明。</w:t>
      </w:r>
    </w:p>
    <w:p w14:paraId="0EDF277F">
      <w:pPr>
        <w:rPr>
          <w:rFonts w:eastAsia="黑体"/>
          <w:b/>
          <w:bCs/>
          <w:color w:val="000000"/>
          <w:kern w:val="44"/>
          <w:sz w:val="24"/>
        </w:rPr>
      </w:pPr>
    </w:p>
    <w:p w14:paraId="645452FE">
      <w:pPr>
        <w:adjustRightInd w:val="0"/>
        <w:snapToGrid w:val="0"/>
        <w:spacing w:line="360" w:lineRule="auto"/>
        <w:rPr>
          <w:rFonts w:ascii="宋体" w:hAnsi="宋体"/>
          <w:b/>
          <w:color w:val="000000"/>
          <w:sz w:val="28"/>
          <w:szCs w:val="28"/>
        </w:rPr>
      </w:pPr>
      <w:r>
        <w:rPr>
          <w:rFonts w:hint="eastAsia" w:ascii="宋体" w:hAnsi="宋体"/>
          <w:b/>
          <w:color w:val="000000"/>
          <w:sz w:val="28"/>
          <w:szCs w:val="28"/>
        </w:rPr>
        <w:t>4、验收标准</w:t>
      </w:r>
    </w:p>
    <w:p w14:paraId="4E0B9B89">
      <w:pPr>
        <w:spacing w:after="312" w:afterLines="100" w:line="360" w:lineRule="auto"/>
        <w:rPr>
          <w:rFonts w:ascii="宋体" w:hAnsi="宋体"/>
          <w:color w:val="000000"/>
          <w:sz w:val="24"/>
        </w:rPr>
      </w:pPr>
      <w:r>
        <w:rPr>
          <w:rFonts w:hint="eastAsia" w:ascii="宋体" w:hAnsi="宋体"/>
          <w:color w:val="000000"/>
          <w:sz w:val="24"/>
        </w:rPr>
        <w:t>除非另有说明，所有仪器、设备和系统按下列要求进行验收：</w:t>
      </w:r>
      <w:r>
        <w:rPr>
          <w:rFonts w:ascii="宋体" w:hAnsi="宋体"/>
          <w:color w:val="000000"/>
          <w:sz w:val="24"/>
        </w:rPr>
        <w:t xml:space="preserve"> </w:t>
      </w:r>
    </w:p>
    <w:p w14:paraId="1DAC0749">
      <w:pPr>
        <w:spacing w:line="360" w:lineRule="auto"/>
        <w:ind w:left="554" w:hanging="554" w:hangingChars="231"/>
        <w:rPr>
          <w:rFonts w:ascii="宋体" w:hAnsi="宋体"/>
          <w:color w:val="000000"/>
          <w:sz w:val="24"/>
        </w:rPr>
      </w:pPr>
      <w:r>
        <w:rPr>
          <w:rFonts w:hint="eastAsia" w:ascii="宋体" w:hAnsi="宋体"/>
          <w:color w:val="000000"/>
          <w:sz w:val="24"/>
        </w:rPr>
        <w:t>4.1  仪器设备运抵安装现场后，买方将与卖方共同开箱验收</w:t>
      </w:r>
      <w:r>
        <w:rPr>
          <w:rFonts w:ascii="宋体" w:hAnsi="宋体"/>
          <w:color w:val="000000"/>
          <w:sz w:val="24"/>
        </w:rPr>
        <w:t xml:space="preserve">, </w:t>
      </w:r>
      <w:r>
        <w:rPr>
          <w:rFonts w:hint="eastAsia" w:ascii="宋体" w:hAnsi="宋体"/>
          <w:color w:val="000000"/>
          <w:sz w:val="24"/>
        </w:rPr>
        <w:t>如卖方届时不派人来</w:t>
      </w:r>
      <w:r>
        <w:rPr>
          <w:rFonts w:ascii="宋体" w:hAnsi="宋体"/>
          <w:color w:val="000000"/>
          <w:sz w:val="24"/>
        </w:rPr>
        <w:t xml:space="preserve">, </w:t>
      </w:r>
      <w:r>
        <w:rPr>
          <w:rFonts w:hint="eastAsia" w:ascii="宋体" w:hAnsi="宋体"/>
          <w:color w:val="000000"/>
          <w:sz w:val="24"/>
        </w:rPr>
        <w:t>则验收结果应以买方的验收报告为最终验收结果。验收时发现短缺、破损</w:t>
      </w:r>
      <w:r>
        <w:rPr>
          <w:rFonts w:ascii="宋体" w:hAnsi="宋体"/>
          <w:color w:val="000000"/>
          <w:sz w:val="24"/>
        </w:rPr>
        <w:t xml:space="preserve">, </w:t>
      </w:r>
      <w:r>
        <w:rPr>
          <w:rFonts w:hint="eastAsia" w:ascii="宋体" w:hAnsi="宋体"/>
          <w:color w:val="000000"/>
          <w:sz w:val="24"/>
        </w:rPr>
        <w:t>买方有权要求卖方负责更换。</w:t>
      </w:r>
    </w:p>
    <w:p w14:paraId="627D588A">
      <w:pPr>
        <w:spacing w:line="360" w:lineRule="auto"/>
        <w:ind w:left="554" w:hanging="554" w:hangingChars="231"/>
        <w:rPr>
          <w:rFonts w:ascii="宋体" w:hAnsi="宋体"/>
          <w:color w:val="000000"/>
          <w:sz w:val="24"/>
        </w:rPr>
      </w:pPr>
      <w:r>
        <w:rPr>
          <w:rFonts w:hint="eastAsia" w:ascii="宋体" w:hAnsi="宋体"/>
          <w:color w:val="000000"/>
          <w:sz w:val="24"/>
        </w:rPr>
        <w:t xml:space="preserve">4.2  </w:t>
      </w:r>
      <w:r>
        <w:rPr>
          <w:rFonts w:hint="eastAsia"/>
          <w:color w:val="000000"/>
          <w:sz w:val="24"/>
        </w:rPr>
        <w:t>验收标准以中标人提供的投标文件中所列的指标为准（该指标应不低于招标文件所要求的指标）。任何虚假指标响应一经发现即作废标，卖方必须承担由此给买方带来的一切经济损失和其它相关责任。</w:t>
      </w:r>
    </w:p>
    <w:p w14:paraId="3BB3FB0A">
      <w:pPr>
        <w:spacing w:line="360" w:lineRule="auto"/>
        <w:ind w:left="554" w:hanging="554" w:hangingChars="231"/>
        <w:rPr>
          <w:rFonts w:ascii="宋体" w:hAnsi="宋体"/>
          <w:color w:val="000000"/>
          <w:sz w:val="24"/>
        </w:rPr>
      </w:pPr>
      <w:r>
        <w:rPr>
          <w:rFonts w:hint="eastAsia" w:ascii="宋体" w:hAnsi="宋体"/>
          <w:color w:val="000000"/>
          <w:sz w:val="24"/>
        </w:rPr>
        <w:t xml:space="preserve">4.3  </w:t>
      </w:r>
      <w:r>
        <w:rPr>
          <w:rFonts w:ascii="宋体" w:hAnsi="宋体"/>
          <w:color w:val="000000"/>
          <w:sz w:val="24"/>
        </w:rPr>
        <w:t>验收由采购人、中标人及相关人员依国家有关标准、合同及有关附件要求进行，验收完毕由采购人及中标人在验收报告上签名。</w:t>
      </w:r>
    </w:p>
    <w:p w14:paraId="6B7742D0">
      <w:pPr>
        <w:pStyle w:val="3"/>
        <w:spacing w:line="360" w:lineRule="auto"/>
        <w:ind w:left="410" w:hanging="410" w:hangingChars="170"/>
        <w:rPr>
          <w:rFonts w:hAnsi="宋体"/>
          <w:b/>
          <w:color w:val="000000"/>
          <w:sz w:val="24"/>
          <w:szCs w:val="24"/>
        </w:rPr>
      </w:pPr>
    </w:p>
    <w:p w14:paraId="4235F893">
      <w:pPr>
        <w:adjustRightInd w:val="0"/>
        <w:snapToGrid w:val="0"/>
        <w:spacing w:line="360" w:lineRule="auto"/>
        <w:rPr>
          <w:rFonts w:hAnsi="宋体"/>
          <w:b/>
          <w:color w:val="000000"/>
          <w:sz w:val="24"/>
        </w:rPr>
      </w:pPr>
      <w:r>
        <w:rPr>
          <w:rFonts w:hint="eastAsia"/>
          <w:b/>
          <w:bCs/>
          <w:color w:val="000000"/>
          <w:sz w:val="24"/>
        </w:rPr>
        <w:t>5、本采购需求书中标注“★”号技术条款的为实质性要求，不满足其投标将视为无效投标被拒绝。</w:t>
      </w:r>
    </w:p>
    <w:p w14:paraId="57117DF9">
      <w:pPr>
        <w:adjustRightInd w:val="0"/>
        <w:snapToGrid w:val="0"/>
        <w:spacing w:line="360" w:lineRule="auto"/>
        <w:rPr>
          <w:rFonts w:ascii="宋体" w:hAnsi="宋体"/>
          <w:b/>
          <w:color w:val="000000"/>
          <w:sz w:val="24"/>
        </w:rPr>
      </w:pPr>
    </w:p>
    <w:p w14:paraId="23CC282D">
      <w:pPr>
        <w:adjustRightInd w:val="0"/>
        <w:snapToGrid w:val="0"/>
        <w:spacing w:line="360" w:lineRule="auto"/>
        <w:rPr>
          <w:rFonts w:ascii="宋体" w:hAnsi="宋体"/>
          <w:b/>
          <w:color w:val="000000"/>
          <w:sz w:val="24"/>
        </w:rPr>
      </w:pPr>
      <w:r>
        <w:rPr>
          <w:rFonts w:hint="eastAsia" w:ascii="宋体" w:hAnsi="宋体"/>
          <w:b/>
          <w:color w:val="000000"/>
          <w:sz w:val="24"/>
        </w:rPr>
        <w:t>6、如在具体规格要求中有本总则不一致之处，以具体规格中的要求为准。</w:t>
      </w:r>
    </w:p>
    <w:p w14:paraId="1A3102CE">
      <w:pPr>
        <w:adjustRightInd w:val="0"/>
        <w:snapToGrid w:val="0"/>
        <w:spacing w:line="360" w:lineRule="auto"/>
        <w:rPr>
          <w:rFonts w:ascii="宋体" w:hAnsi="宋体"/>
          <w:b/>
          <w:color w:val="000000"/>
          <w:sz w:val="28"/>
          <w:szCs w:val="28"/>
        </w:rPr>
      </w:pPr>
      <w:r>
        <w:rPr>
          <w:rFonts w:ascii="宋体" w:hAnsi="宋体"/>
          <w:b/>
          <w:color w:val="000000"/>
          <w:sz w:val="28"/>
        </w:rPr>
        <w:br w:type="page"/>
      </w:r>
      <w:r>
        <w:rPr>
          <w:rFonts w:hint="eastAsia" w:ascii="宋体" w:hAnsi="宋体"/>
          <w:b/>
          <w:color w:val="000000"/>
          <w:sz w:val="28"/>
          <w:szCs w:val="28"/>
        </w:rPr>
        <w:t>二、具体规格要求</w:t>
      </w:r>
    </w:p>
    <w:p w14:paraId="23EA8F66">
      <w:pPr>
        <w:jc w:val="center"/>
        <w:rPr>
          <w:b/>
          <w:color w:val="000000"/>
          <w:sz w:val="24"/>
        </w:rPr>
      </w:pPr>
      <w:r>
        <w:rPr>
          <w:rFonts w:hint="eastAsia"/>
          <w:b/>
          <w:color w:val="000000"/>
          <w:sz w:val="24"/>
        </w:rPr>
        <w:t>飞行时间-二次离子质谱</w:t>
      </w:r>
    </w:p>
    <w:p w14:paraId="1C683A37">
      <w:pPr>
        <w:rPr>
          <w:b/>
          <w:color w:val="000000"/>
          <w:sz w:val="24"/>
        </w:rPr>
      </w:pPr>
    </w:p>
    <w:p w14:paraId="3142AC89">
      <w:pPr>
        <w:rPr>
          <w:b/>
          <w:color w:val="000000"/>
          <w:sz w:val="24"/>
        </w:rPr>
      </w:pPr>
    </w:p>
    <w:p w14:paraId="48EF00E2">
      <w:pPr>
        <w:numPr>
          <w:ilvl w:val="0"/>
          <w:numId w:val="1"/>
        </w:numPr>
        <w:rPr>
          <w:b/>
          <w:color w:val="000000"/>
          <w:sz w:val="24"/>
        </w:rPr>
      </w:pPr>
      <w:r>
        <w:rPr>
          <w:rFonts w:hint="eastAsia"/>
          <w:b/>
          <w:color w:val="000000"/>
          <w:sz w:val="24"/>
        </w:rPr>
        <w:t>技术要求：</w:t>
      </w:r>
    </w:p>
    <w:p w14:paraId="283B6DB1">
      <w:pPr>
        <w:rPr>
          <w:b/>
          <w:color w:val="000000"/>
          <w:sz w:val="24"/>
        </w:rPr>
      </w:pPr>
    </w:p>
    <w:p w14:paraId="02D83985">
      <w:pPr>
        <w:numPr>
          <w:ilvl w:val="0"/>
          <w:numId w:val="2"/>
        </w:numPr>
        <w:spacing w:line="360" w:lineRule="auto"/>
        <w:rPr>
          <w:b/>
          <w:color w:val="000000"/>
          <w:sz w:val="24"/>
        </w:rPr>
      </w:pPr>
      <w:r>
        <w:rPr>
          <w:rFonts w:hint="eastAsia"/>
          <w:b/>
          <w:color w:val="000000"/>
          <w:sz w:val="24"/>
        </w:rPr>
        <w:t>工作条件：</w:t>
      </w:r>
    </w:p>
    <w:p w14:paraId="34C28C16">
      <w:pPr>
        <w:spacing w:line="360" w:lineRule="auto"/>
        <w:rPr>
          <w:color w:val="000000"/>
          <w:sz w:val="24"/>
        </w:rPr>
      </w:pPr>
      <w:r>
        <w:rPr>
          <w:rFonts w:hint="eastAsia"/>
          <w:color w:val="000000"/>
          <w:sz w:val="24"/>
        </w:rPr>
        <w:t>1.1 电源：三相五线制，3×380V，N，PE（火线和地线间电压220V）；±5%，50–60Hz，20 A，8.5 kW peak</w:t>
      </w:r>
    </w:p>
    <w:p w14:paraId="58500B44">
      <w:pPr>
        <w:spacing w:line="360" w:lineRule="auto"/>
        <w:rPr>
          <w:color w:val="000000"/>
          <w:sz w:val="24"/>
        </w:rPr>
      </w:pPr>
      <w:r>
        <w:rPr>
          <w:rFonts w:hint="eastAsia"/>
          <w:color w:val="000000"/>
          <w:sz w:val="24"/>
        </w:rPr>
        <w:t>1.2 环境温度：18℃～25℃；温度变化＜1℃/h</w:t>
      </w:r>
    </w:p>
    <w:p w14:paraId="7E0A09A9">
      <w:pPr>
        <w:spacing w:line="360" w:lineRule="auto"/>
        <w:rPr>
          <w:color w:val="000000"/>
          <w:sz w:val="24"/>
        </w:rPr>
      </w:pPr>
      <w:r>
        <w:rPr>
          <w:rFonts w:hint="eastAsia"/>
          <w:color w:val="000000"/>
          <w:sz w:val="24"/>
        </w:rPr>
        <w:t>1.3 环境湿度：＜65%</w:t>
      </w:r>
    </w:p>
    <w:p w14:paraId="57A0B05C">
      <w:pPr>
        <w:spacing w:line="360" w:lineRule="auto"/>
        <w:rPr>
          <w:color w:val="000000"/>
          <w:sz w:val="24"/>
        </w:rPr>
      </w:pPr>
      <w:r>
        <w:rPr>
          <w:rFonts w:hint="eastAsia"/>
          <w:color w:val="000000"/>
          <w:sz w:val="24"/>
        </w:rPr>
        <w:t>1.4 交变磁场强度</w:t>
      </w:r>
      <w:r>
        <w:rPr>
          <w:rFonts w:hint="eastAsia"/>
          <w:color w:val="000000"/>
          <w:sz w:val="24"/>
          <w:lang w:eastAsia="zh-CN"/>
        </w:rPr>
        <w:t>：</w:t>
      </w:r>
      <w:r>
        <w:rPr>
          <w:rFonts w:hint="eastAsia"/>
          <w:color w:val="000000"/>
          <w:sz w:val="24"/>
        </w:rPr>
        <w:t>＜1μT （peak to peak）</w:t>
      </w:r>
      <w:r>
        <w:rPr>
          <w:rFonts w:hint="eastAsia"/>
          <w:color w:val="000000"/>
          <w:sz w:val="24"/>
          <w:lang w:eastAsia="zh-CN"/>
        </w:rPr>
        <w:t>；</w:t>
      </w:r>
      <w:r>
        <w:rPr>
          <w:rFonts w:hint="eastAsia"/>
          <w:color w:val="000000"/>
          <w:sz w:val="24"/>
        </w:rPr>
        <w:t>静态磁场：＜80μT</w:t>
      </w:r>
    </w:p>
    <w:p w14:paraId="1237A068">
      <w:pPr>
        <w:spacing w:line="360" w:lineRule="auto"/>
        <w:rPr>
          <w:color w:val="000000"/>
          <w:sz w:val="24"/>
        </w:rPr>
      </w:pPr>
      <w:r>
        <w:rPr>
          <w:rFonts w:hint="eastAsia"/>
          <w:color w:val="000000"/>
          <w:sz w:val="24"/>
        </w:rPr>
        <w:t>1.5 加速度：＜5×10</w:t>
      </w:r>
      <w:r>
        <w:rPr>
          <w:color w:val="000000"/>
          <w:sz w:val="24"/>
          <w:vertAlign w:val="superscript"/>
        </w:rPr>
        <w:t>-4</w:t>
      </w:r>
      <w:r>
        <w:rPr>
          <w:rFonts w:hint="eastAsia"/>
          <w:color w:val="000000"/>
          <w:sz w:val="24"/>
        </w:rPr>
        <w:t xml:space="preserve"> m/s</w:t>
      </w:r>
      <w:r>
        <w:rPr>
          <w:color w:val="000000"/>
          <w:sz w:val="24"/>
          <w:vertAlign w:val="superscript"/>
        </w:rPr>
        <w:t>2</w:t>
      </w:r>
    </w:p>
    <w:p w14:paraId="3822F30E">
      <w:pPr>
        <w:spacing w:line="360" w:lineRule="auto"/>
        <w:ind w:left="435" w:firstLine="240"/>
        <w:rPr>
          <w:color w:val="000000"/>
          <w:sz w:val="24"/>
        </w:rPr>
      </w:pPr>
    </w:p>
    <w:p w14:paraId="60137650">
      <w:pPr>
        <w:numPr>
          <w:ilvl w:val="0"/>
          <w:numId w:val="2"/>
        </w:numPr>
        <w:spacing w:line="360" w:lineRule="auto"/>
        <w:rPr>
          <w:b/>
          <w:color w:val="000000"/>
          <w:sz w:val="24"/>
        </w:rPr>
      </w:pPr>
      <w:r>
        <w:rPr>
          <w:rFonts w:hint="eastAsia"/>
          <w:b/>
          <w:color w:val="000000"/>
          <w:sz w:val="24"/>
        </w:rPr>
        <w:t>设备用途：</w:t>
      </w:r>
    </w:p>
    <w:p w14:paraId="61928C9F">
      <w:pPr>
        <w:spacing w:line="360" w:lineRule="auto"/>
        <w:ind w:firstLine="480" w:firstLineChars="200"/>
        <w:rPr>
          <w:color w:val="000000"/>
          <w:sz w:val="24"/>
        </w:rPr>
      </w:pPr>
      <w:r>
        <w:rPr>
          <w:rFonts w:hint="eastAsia"/>
          <w:color w:val="000000"/>
          <w:sz w:val="24"/>
        </w:rPr>
        <w:t>飞行时间-二次离子质谱（TOF-SIMS）可实现在2-3个原子层对样品进行检测并给出二维和三维图像信息；可在5-10 nm分辨率下实现有机/无机物的表面表征与面分布分析，同时实现样品的成分分析和分子式结构信息解析；其分析区域面积小，可以实现微区成分分析，最小区域直径小于100 nm；深度分辨率约为0.1-1 nm，可实现组分的3D重构；此外，通过与微流控装置结合，TOF-SIMS还可以实现涉水环境微界面相关的多种过程的原位表征。</w:t>
      </w:r>
    </w:p>
    <w:p w14:paraId="69FB8311">
      <w:pPr>
        <w:spacing w:line="360" w:lineRule="auto"/>
        <w:rPr>
          <w:b/>
          <w:color w:val="000000"/>
          <w:sz w:val="24"/>
        </w:rPr>
      </w:pPr>
    </w:p>
    <w:p w14:paraId="58FEC47A">
      <w:pPr>
        <w:numPr>
          <w:ilvl w:val="0"/>
          <w:numId w:val="2"/>
        </w:numPr>
        <w:spacing w:line="360" w:lineRule="auto"/>
        <w:rPr>
          <w:b/>
          <w:color w:val="000000"/>
          <w:sz w:val="24"/>
        </w:rPr>
      </w:pPr>
      <w:r>
        <w:rPr>
          <w:rFonts w:hint="eastAsia"/>
          <w:b/>
          <w:color w:val="000000"/>
          <w:sz w:val="24"/>
        </w:rPr>
        <w:t>技术规格：</w:t>
      </w:r>
    </w:p>
    <w:p w14:paraId="07B3FBB7">
      <w:pPr>
        <w:spacing w:line="360" w:lineRule="auto"/>
        <w:rPr>
          <w:color w:val="000000"/>
          <w:sz w:val="24"/>
        </w:rPr>
      </w:pPr>
      <w:r>
        <w:rPr>
          <w:rFonts w:hint="eastAsia"/>
          <w:color w:val="000000"/>
          <w:sz w:val="24"/>
        </w:rPr>
        <w:t>3.1 分析用Bi离子源（不仅能提供分析离子脉冲，而且可以作为超高真空中对微流体实验装置打孔功能）：</w:t>
      </w:r>
    </w:p>
    <w:p w14:paraId="779771AD">
      <w:pPr>
        <w:spacing w:line="360" w:lineRule="auto"/>
        <w:ind w:firstLine="480" w:firstLineChars="200"/>
        <w:rPr>
          <w:color w:val="000000"/>
          <w:sz w:val="24"/>
        </w:rPr>
      </w:pPr>
      <w:r>
        <w:rPr>
          <w:rFonts w:hint="eastAsia"/>
          <w:color w:val="000000"/>
          <w:sz w:val="24"/>
        </w:rPr>
        <w:t>3.1.1 Bi液态金属团簇离子枪，可以提供BiMn分析离子束</w:t>
      </w:r>
    </w:p>
    <w:p w14:paraId="0EFAD77A">
      <w:pPr>
        <w:spacing w:line="360" w:lineRule="auto"/>
        <w:ind w:firstLine="480" w:firstLineChars="200"/>
        <w:rPr>
          <w:color w:val="000000"/>
          <w:sz w:val="24"/>
        </w:rPr>
      </w:pPr>
      <w:r>
        <w:rPr>
          <w:rFonts w:hint="eastAsia"/>
          <w:color w:val="000000"/>
          <w:sz w:val="24"/>
        </w:rPr>
        <w:t>3.1.2 加速电压：30 keV</w:t>
      </w:r>
    </w:p>
    <w:p w14:paraId="0784FED2">
      <w:pPr>
        <w:spacing w:line="360" w:lineRule="auto"/>
        <w:ind w:firstLine="480" w:firstLineChars="200"/>
        <w:rPr>
          <w:color w:val="000000"/>
          <w:sz w:val="24"/>
        </w:rPr>
      </w:pPr>
      <w:r>
        <w:rPr>
          <w:rFonts w:hint="eastAsia"/>
          <w:color w:val="000000"/>
          <w:sz w:val="24"/>
        </w:rPr>
        <w:t># 3.1.3 离子束流：≥40nA</w:t>
      </w:r>
    </w:p>
    <w:p w14:paraId="7364E609">
      <w:pPr>
        <w:spacing w:line="360" w:lineRule="auto"/>
        <w:ind w:firstLine="480" w:firstLineChars="200"/>
        <w:rPr>
          <w:color w:val="000000"/>
          <w:sz w:val="24"/>
        </w:rPr>
      </w:pPr>
      <w:r>
        <w:rPr>
          <w:rFonts w:hint="eastAsia"/>
          <w:color w:val="000000"/>
          <w:sz w:val="24"/>
        </w:rPr>
        <w:t>3.1.4 最大重复速率：50 kHz（对于所有操作模式）</w:t>
      </w:r>
    </w:p>
    <w:p w14:paraId="4221CD9C">
      <w:pPr>
        <w:spacing w:line="360" w:lineRule="auto"/>
        <w:ind w:firstLine="480" w:firstLineChars="200"/>
        <w:rPr>
          <w:color w:val="000000"/>
          <w:sz w:val="24"/>
        </w:rPr>
      </w:pPr>
      <w:r>
        <w:rPr>
          <w:rFonts w:hint="eastAsia"/>
          <w:color w:val="000000"/>
          <w:sz w:val="24"/>
        </w:rPr>
        <w:t>3.1.5 脉冲宽度：≤0.7ns（FWHM）</w:t>
      </w:r>
    </w:p>
    <w:p w14:paraId="2E2F35BD">
      <w:pPr>
        <w:spacing w:line="360" w:lineRule="auto"/>
        <w:ind w:firstLine="480" w:firstLineChars="200"/>
        <w:rPr>
          <w:color w:val="000000"/>
          <w:sz w:val="24"/>
        </w:rPr>
      </w:pPr>
      <w:r>
        <w:rPr>
          <w:rFonts w:hint="eastAsia"/>
          <w:color w:val="000000"/>
          <w:sz w:val="24"/>
        </w:rPr>
        <w:t xml:space="preserve"># 3.1.6 脉冲离子束流：≥40 pA   </w:t>
      </w:r>
    </w:p>
    <w:p w14:paraId="07DBBF5A">
      <w:pPr>
        <w:spacing w:line="360" w:lineRule="auto"/>
        <w:ind w:firstLine="480" w:firstLineChars="200"/>
        <w:rPr>
          <w:color w:val="000000"/>
          <w:sz w:val="24"/>
        </w:rPr>
      </w:pPr>
      <w:r>
        <w:rPr>
          <w:rFonts w:hint="eastAsia"/>
          <w:color w:val="000000"/>
          <w:sz w:val="24"/>
        </w:rPr>
        <w:t># 3.1.7 最小脉冲束流直径：≤50 nm（高分辨成像模式）</w:t>
      </w:r>
    </w:p>
    <w:p w14:paraId="5D85FD9F">
      <w:pPr>
        <w:spacing w:line="360" w:lineRule="auto"/>
        <w:ind w:firstLine="480" w:firstLineChars="200"/>
        <w:rPr>
          <w:color w:val="000000"/>
          <w:sz w:val="24"/>
        </w:rPr>
      </w:pPr>
      <w:r>
        <w:rPr>
          <w:rFonts w:hint="eastAsia"/>
          <w:color w:val="000000"/>
          <w:sz w:val="24"/>
        </w:rPr>
        <w:t>3.1.8 可以提供快速成像模式，最小束斑直径：≤90nm @ 350pA DC</w:t>
      </w:r>
    </w:p>
    <w:p w14:paraId="3DC96111">
      <w:pPr>
        <w:spacing w:line="360" w:lineRule="auto"/>
        <w:ind w:firstLine="480" w:firstLineChars="200"/>
        <w:rPr>
          <w:color w:val="000000"/>
          <w:sz w:val="24"/>
        </w:rPr>
      </w:pPr>
      <w:r>
        <w:rPr>
          <w:rFonts w:hint="eastAsia"/>
          <w:color w:val="000000"/>
          <w:sz w:val="24"/>
        </w:rPr>
        <w:t>3.1.9 可以提供Delayed Extraction模式，最小束斑直径：≤90nm @ 350pA DC，质量分辨率（m＞50amu）：＞ 9000（FWHM）</w:t>
      </w:r>
    </w:p>
    <w:p w14:paraId="3BDDBA51">
      <w:pPr>
        <w:spacing w:line="360" w:lineRule="auto"/>
        <w:rPr>
          <w:color w:val="000000"/>
          <w:sz w:val="24"/>
        </w:rPr>
      </w:pPr>
      <w:r>
        <w:rPr>
          <w:rFonts w:hint="eastAsia"/>
          <w:color w:val="000000"/>
          <w:sz w:val="24"/>
        </w:rPr>
        <w:t>3.2 G-SIMS分析：</w:t>
      </w:r>
    </w:p>
    <w:p w14:paraId="2899AC55">
      <w:pPr>
        <w:spacing w:line="360" w:lineRule="auto"/>
        <w:ind w:firstLine="480" w:firstLineChars="200"/>
        <w:rPr>
          <w:color w:val="000000"/>
          <w:sz w:val="24"/>
        </w:rPr>
      </w:pPr>
      <w:r>
        <w:rPr>
          <w:rFonts w:hint="eastAsia"/>
          <w:color w:val="000000"/>
          <w:sz w:val="24"/>
        </w:rPr>
        <w:t>3.2.1 软硬件上支持G-SIMS分析，可以对有机大分子进行G-SIMS分析，可以实时改变G参数，改变分子离子峰和碎片峰比值，有助于有机大分子判定。</w:t>
      </w:r>
    </w:p>
    <w:p w14:paraId="0942D6C4">
      <w:pPr>
        <w:spacing w:line="360" w:lineRule="auto"/>
        <w:rPr>
          <w:color w:val="000000"/>
          <w:sz w:val="24"/>
        </w:rPr>
      </w:pPr>
      <w:r>
        <w:rPr>
          <w:rFonts w:hint="eastAsia"/>
          <w:color w:val="000000"/>
          <w:sz w:val="24"/>
        </w:rPr>
        <w:t>3.3 剥离用EI离子源：</w:t>
      </w:r>
    </w:p>
    <w:p w14:paraId="41E318FB">
      <w:pPr>
        <w:spacing w:line="360" w:lineRule="auto"/>
        <w:ind w:firstLine="480" w:firstLineChars="200"/>
        <w:rPr>
          <w:color w:val="000000"/>
          <w:sz w:val="24"/>
        </w:rPr>
      </w:pPr>
      <w:r>
        <w:rPr>
          <w:rFonts w:hint="eastAsia"/>
          <w:color w:val="000000"/>
          <w:sz w:val="24"/>
        </w:rPr>
        <w:t>3.3.1 气体电离离子源（EI源），可以对O</w:t>
      </w:r>
      <w:r>
        <w:rPr>
          <w:color w:val="000000"/>
          <w:sz w:val="24"/>
          <w:vertAlign w:val="subscript"/>
        </w:rPr>
        <w:t>2</w:t>
      </w:r>
      <w:r>
        <w:rPr>
          <w:rFonts w:hint="eastAsia"/>
          <w:color w:val="000000"/>
          <w:sz w:val="24"/>
        </w:rPr>
        <w:t>或Ar气体电离的离子源</w:t>
      </w:r>
    </w:p>
    <w:p w14:paraId="086B9D6E">
      <w:pPr>
        <w:spacing w:line="360" w:lineRule="auto"/>
        <w:ind w:firstLine="480" w:firstLineChars="200"/>
        <w:rPr>
          <w:color w:val="000000"/>
          <w:sz w:val="24"/>
        </w:rPr>
      </w:pPr>
      <w:r>
        <w:rPr>
          <w:rFonts w:hint="eastAsia"/>
          <w:color w:val="000000"/>
          <w:sz w:val="24"/>
        </w:rPr>
        <w:t>3.3.2 离子束能量范围：最小≤100eV；最大≥2.0keV，可覆盖100eV~2.0keV</w:t>
      </w:r>
    </w:p>
    <w:p w14:paraId="7E725150">
      <w:pPr>
        <w:spacing w:line="360" w:lineRule="auto"/>
        <w:ind w:firstLine="480" w:firstLineChars="200"/>
        <w:rPr>
          <w:color w:val="000000" w:themeColor="text1"/>
          <w:sz w:val="24"/>
          <w:highlight w:val="none"/>
          <w14:textFill>
            <w14:solidFill>
              <w14:schemeClr w14:val="tx1"/>
            </w14:solidFill>
          </w14:textFill>
        </w:rPr>
      </w:pPr>
      <w:r>
        <w:rPr>
          <w:rFonts w:hint="eastAsia"/>
          <w:color w:val="000000"/>
          <w:sz w:val="24"/>
        </w:rPr>
        <w:t># 3.</w:t>
      </w:r>
      <w:r>
        <w:rPr>
          <w:rFonts w:hint="eastAsia"/>
          <w:color w:val="000000" w:themeColor="text1"/>
          <w:sz w:val="24"/>
          <w:highlight w:val="none"/>
          <w14:textFill>
            <w14:solidFill>
              <w14:schemeClr w14:val="tx1"/>
            </w14:solidFill>
          </w14:textFill>
        </w:rPr>
        <w:t>3.3 在2KV束流电压下束流密度：≥48mA/cm</w:t>
      </w:r>
      <w:r>
        <w:rPr>
          <w:color w:val="000000" w:themeColor="text1"/>
          <w:sz w:val="24"/>
          <w:highlight w:val="none"/>
          <w:vertAlign w:val="superscript"/>
          <w14:textFill>
            <w14:solidFill>
              <w14:schemeClr w14:val="tx1"/>
            </w14:solidFill>
          </w14:textFill>
        </w:rPr>
        <w:t>2</w:t>
      </w:r>
    </w:p>
    <w:p w14:paraId="14886B7D">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3.3.4 </w:t>
      </w:r>
      <w:r>
        <w:rPr>
          <w:rFonts w:hint="eastAsia"/>
          <w:color w:val="000000" w:themeColor="text1"/>
          <w:sz w:val="24"/>
          <w:highlight w:val="none"/>
          <w14:textFill>
            <w14:solidFill>
              <w14:schemeClr w14:val="tx1"/>
            </w14:solidFill>
          </w14:textFill>
        </w:rPr>
        <w:t>最小束斑直径：＜</w:t>
      </w:r>
      <w:r>
        <w:rPr>
          <w:color w:val="000000" w:themeColor="text1"/>
          <w:sz w:val="24"/>
          <w:highlight w:val="none"/>
          <w14:textFill>
            <w14:solidFill>
              <w14:schemeClr w14:val="tx1"/>
            </w14:solidFill>
          </w14:textFill>
        </w:rPr>
        <w:t xml:space="preserve">10 </w:t>
      </w:r>
      <w:r>
        <w:rPr>
          <w:rFonts w:eastAsia="仿宋_GB2312"/>
          <w:color w:val="000000" w:themeColor="text1"/>
          <w:sz w:val="24"/>
          <w:highlight w:val="none"/>
          <w14:textFill>
            <w14:solidFill>
              <w14:schemeClr w14:val="tx1"/>
            </w14:solidFill>
          </w14:textFill>
        </w:rPr>
        <w:sym w:font="Symbol" w:char="F06D"/>
      </w:r>
      <w:r>
        <w:rPr>
          <w:color w:val="000000" w:themeColor="text1"/>
          <w:sz w:val="24"/>
          <w:highlight w:val="none"/>
          <w14:textFill>
            <w14:solidFill>
              <w14:schemeClr w14:val="tx1"/>
            </w14:solidFill>
          </w14:textFill>
        </w:rPr>
        <w:t>m</w:t>
      </w:r>
    </w:p>
    <w:p w14:paraId="734005E5">
      <w:pPr>
        <w:spacing w:line="360" w:lineRule="auto"/>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3.4 剥离用Cs离子源：</w:t>
      </w:r>
    </w:p>
    <w:p w14:paraId="6B0BA7DA">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3.4.1 溅射剥离用Cs离子源</w:t>
      </w:r>
    </w:p>
    <w:p w14:paraId="2C724BB4">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3.4.2 离子束能量范围：最小≤100eV；最大≥2.0keV</w:t>
      </w:r>
    </w:p>
    <w:p w14:paraId="0DC5A521">
      <w:pPr>
        <w:spacing w:line="360" w:lineRule="auto"/>
        <w:ind w:firstLine="480" w:firstLineChars="20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3.4.3 在2KV束流电压下束流密度：≥12mA/cm</w:t>
      </w:r>
      <w:r>
        <w:rPr>
          <w:color w:val="000000" w:themeColor="text1"/>
          <w:sz w:val="24"/>
          <w:highlight w:val="none"/>
          <w:vertAlign w:val="superscript"/>
          <w14:textFill>
            <w14:solidFill>
              <w14:schemeClr w14:val="tx1"/>
            </w14:solidFill>
          </w14:textFill>
        </w:rPr>
        <w:t>2</w:t>
      </w:r>
    </w:p>
    <w:p w14:paraId="6528935C">
      <w:pPr>
        <w:spacing w:line="360" w:lineRule="auto"/>
        <w:ind w:firstLine="480" w:firstLineChars="200"/>
        <w:rPr>
          <w:color w:val="000000" w:themeColor="text1"/>
          <w:sz w:val="24"/>
          <w:highlight w:val="none"/>
          <w14:textFill>
            <w14:solidFill>
              <w14:schemeClr w14:val="tx1"/>
            </w14:solidFill>
          </w14:textFill>
        </w:rPr>
      </w:pPr>
      <w:r>
        <w:rPr>
          <w:color w:val="000000" w:themeColor="text1"/>
          <w:sz w:val="24"/>
          <w:highlight w:val="none"/>
          <w14:textFill>
            <w14:solidFill>
              <w14:schemeClr w14:val="tx1"/>
            </w14:solidFill>
          </w14:textFill>
        </w:rPr>
        <w:t xml:space="preserve"># 3.4.4 </w:t>
      </w:r>
      <w:r>
        <w:rPr>
          <w:rFonts w:hint="eastAsia"/>
          <w:color w:val="000000" w:themeColor="text1"/>
          <w:sz w:val="24"/>
          <w:highlight w:val="none"/>
          <w14:textFill>
            <w14:solidFill>
              <w14:schemeClr w14:val="tx1"/>
            </w14:solidFill>
          </w14:textFill>
        </w:rPr>
        <w:t>最小束斑直径：＜</w:t>
      </w:r>
      <w:r>
        <w:rPr>
          <w:color w:val="000000" w:themeColor="text1"/>
          <w:sz w:val="24"/>
          <w:highlight w:val="none"/>
          <w14:textFill>
            <w14:solidFill>
              <w14:schemeClr w14:val="tx1"/>
            </w14:solidFill>
          </w14:textFill>
        </w:rPr>
        <w:t xml:space="preserve">5 </w:t>
      </w:r>
      <w:r>
        <w:rPr>
          <w:rFonts w:eastAsia="仿宋_GB2312"/>
          <w:color w:val="000000" w:themeColor="text1"/>
          <w:sz w:val="24"/>
          <w:highlight w:val="none"/>
          <w14:textFill>
            <w14:solidFill>
              <w14:schemeClr w14:val="tx1"/>
            </w14:solidFill>
          </w14:textFill>
        </w:rPr>
        <w:sym w:font="Symbol" w:char="F06D"/>
      </w:r>
      <w:r>
        <w:rPr>
          <w:color w:val="000000" w:themeColor="text1"/>
          <w:sz w:val="24"/>
          <w:highlight w:val="none"/>
          <w14:textFill>
            <w14:solidFill>
              <w14:schemeClr w14:val="tx1"/>
            </w14:solidFill>
          </w14:textFill>
        </w:rPr>
        <w:t>m</w:t>
      </w:r>
    </w:p>
    <w:p w14:paraId="001194F7">
      <w:pPr>
        <w:spacing w:line="360" w:lineRule="auto"/>
        <w:rPr>
          <w:color w:val="000000"/>
          <w:sz w:val="24"/>
        </w:rPr>
      </w:pPr>
      <w:r>
        <w:rPr>
          <w:rFonts w:hint="eastAsia"/>
          <w:color w:val="000000"/>
          <w:sz w:val="24"/>
        </w:rPr>
        <w:t>3.5 质量分析器：</w:t>
      </w:r>
    </w:p>
    <w:p w14:paraId="75A790B8">
      <w:pPr>
        <w:spacing w:line="360" w:lineRule="auto"/>
        <w:ind w:firstLine="480" w:firstLineChars="200"/>
        <w:rPr>
          <w:color w:val="000000"/>
          <w:sz w:val="24"/>
        </w:rPr>
      </w:pPr>
      <w:r>
        <w:rPr>
          <w:rFonts w:hint="eastAsia"/>
          <w:color w:val="000000"/>
          <w:sz w:val="24"/>
        </w:rPr>
        <w:t>3.5.1 质量分析器类型：非线性反射式质量分析器，具有3米飞行路径</w:t>
      </w:r>
    </w:p>
    <w:p w14:paraId="4F8EEAB7">
      <w:pPr>
        <w:spacing w:line="360" w:lineRule="auto"/>
        <w:ind w:firstLine="480" w:firstLineChars="200"/>
        <w:rPr>
          <w:color w:val="000000"/>
          <w:sz w:val="24"/>
        </w:rPr>
      </w:pPr>
      <w:r>
        <w:rPr>
          <w:rFonts w:hint="eastAsia"/>
          <w:color w:val="000000"/>
          <w:sz w:val="24"/>
        </w:rPr>
        <w:t>★3.5.2 低质量时质量分辨率（SiH</w:t>
      </w:r>
      <w:r>
        <w:rPr>
          <w:color w:val="000000"/>
          <w:sz w:val="24"/>
          <w:vertAlign w:val="superscript"/>
        </w:rPr>
        <w:t>+</w:t>
      </w:r>
      <w:r>
        <w:rPr>
          <w:rFonts w:hint="eastAsia"/>
          <w:color w:val="000000"/>
          <w:sz w:val="24"/>
        </w:rPr>
        <w:t>：29amu）：≥17000（半峰宽）</w:t>
      </w:r>
    </w:p>
    <w:p w14:paraId="53113BD2">
      <w:pPr>
        <w:spacing w:line="360" w:lineRule="auto"/>
        <w:ind w:firstLine="480" w:firstLineChars="200"/>
        <w:rPr>
          <w:color w:val="000000"/>
          <w:sz w:val="24"/>
        </w:rPr>
      </w:pPr>
      <w:r>
        <w:rPr>
          <w:rFonts w:hint="eastAsia"/>
          <w:color w:val="000000"/>
          <w:sz w:val="24"/>
        </w:rPr>
        <w:t>★3.5.3 高质量时质量分辨率（＞200amu）：≥26000（半峰宽）</w:t>
      </w:r>
    </w:p>
    <w:p w14:paraId="207B9218">
      <w:pPr>
        <w:spacing w:line="360" w:lineRule="auto"/>
        <w:ind w:firstLine="480" w:firstLineChars="200"/>
        <w:rPr>
          <w:color w:val="000000"/>
          <w:sz w:val="24"/>
        </w:rPr>
      </w:pPr>
      <w:r>
        <w:rPr>
          <w:rFonts w:hint="eastAsia"/>
          <w:color w:val="000000"/>
          <w:sz w:val="24"/>
        </w:rPr>
        <w:t>★3.5.4 分析绝缘体时质量分辨（on PET：10</w:t>
      </w:r>
      <w:r>
        <w:rPr>
          <w:rFonts w:hint="eastAsia"/>
          <w:color w:val="000000"/>
          <w:sz w:val="24"/>
          <w:vertAlign w:val="superscript"/>
        </w:rPr>
        <w:t>4</w:t>
      </w:r>
      <w:r>
        <w:rPr>
          <w:rFonts w:hint="eastAsia"/>
          <w:color w:val="000000"/>
          <w:sz w:val="24"/>
        </w:rPr>
        <w:t>amu）</w:t>
      </w:r>
      <w:r>
        <w:rPr>
          <w:rFonts w:hint="eastAsia"/>
          <w:color w:val="000000"/>
          <w:sz w:val="24"/>
          <w:lang w:eastAsia="zh-CN"/>
        </w:rPr>
        <w:t>：</w:t>
      </w:r>
      <w:r>
        <w:rPr>
          <w:rFonts w:hint="eastAsia"/>
          <w:color w:val="000000"/>
          <w:sz w:val="24"/>
        </w:rPr>
        <w:t>≥18000（半峰宽）</w:t>
      </w:r>
    </w:p>
    <w:p w14:paraId="255B71A0">
      <w:pPr>
        <w:spacing w:line="360" w:lineRule="auto"/>
        <w:ind w:firstLine="480" w:firstLineChars="200"/>
        <w:rPr>
          <w:color w:val="000000"/>
          <w:sz w:val="24"/>
        </w:rPr>
      </w:pPr>
      <w:r>
        <w:rPr>
          <w:rFonts w:hint="eastAsia"/>
          <w:color w:val="000000"/>
          <w:sz w:val="24"/>
        </w:rPr>
        <w:t>3.5.5 质量范围：1～12000amu以上</w:t>
      </w:r>
    </w:p>
    <w:p w14:paraId="60C4E33C">
      <w:pPr>
        <w:spacing w:line="360" w:lineRule="auto"/>
        <w:ind w:firstLine="480" w:firstLineChars="200"/>
        <w:rPr>
          <w:color w:val="000000"/>
          <w:sz w:val="24"/>
        </w:rPr>
      </w:pPr>
      <w:r>
        <w:rPr>
          <w:rFonts w:hint="eastAsia"/>
          <w:color w:val="000000"/>
          <w:sz w:val="24"/>
        </w:rPr>
        <w:t>3.5.6 质量精度：＜1 mamu for m&lt; 100 amu</w:t>
      </w:r>
      <w:r>
        <w:rPr>
          <w:rFonts w:hint="eastAsia"/>
          <w:color w:val="000000"/>
          <w:sz w:val="24"/>
          <w:lang w:eastAsia="zh-CN"/>
        </w:rPr>
        <w:t>；</w:t>
      </w:r>
      <w:r>
        <w:rPr>
          <w:rFonts w:hint="eastAsia"/>
          <w:color w:val="000000"/>
          <w:sz w:val="24"/>
        </w:rPr>
        <w:t>＜ 10 ppm for m ＞100 amu</w:t>
      </w:r>
    </w:p>
    <w:p w14:paraId="2B32D6B1">
      <w:pPr>
        <w:spacing w:line="360" w:lineRule="auto"/>
        <w:ind w:firstLine="480" w:firstLineChars="200"/>
        <w:rPr>
          <w:color w:val="000000"/>
          <w:sz w:val="24"/>
        </w:rPr>
      </w:pPr>
      <w:r>
        <w:rPr>
          <w:rFonts w:hint="eastAsia"/>
          <w:color w:val="000000"/>
          <w:sz w:val="24"/>
        </w:rPr>
        <w:t>#3.5.7 灵敏度：＞8.0×10</w:t>
      </w:r>
      <w:r>
        <w:rPr>
          <w:color w:val="000000"/>
          <w:sz w:val="24"/>
          <w:vertAlign w:val="superscript"/>
        </w:rPr>
        <w:t xml:space="preserve">8 </w:t>
      </w:r>
      <w:r>
        <w:rPr>
          <w:rFonts w:hint="eastAsia"/>
          <w:color w:val="000000"/>
          <w:sz w:val="24"/>
        </w:rPr>
        <w:t>Al+/nC @ 7000（FWHM）</w:t>
      </w:r>
    </w:p>
    <w:p w14:paraId="0D6B60AA">
      <w:pPr>
        <w:spacing w:line="360" w:lineRule="auto"/>
        <w:ind w:firstLine="480" w:firstLineChars="200"/>
        <w:rPr>
          <w:color w:val="000000"/>
          <w:sz w:val="24"/>
        </w:rPr>
      </w:pPr>
      <w:r>
        <w:rPr>
          <w:rFonts w:hint="eastAsia"/>
          <w:color w:val="000000"/>
          <w:sz w:val="24"/>
        </w:rPr>
        <w:t># 3.5.8线性响应范围内最大计数率＞1×10</w:t>
      </w:r>
      <w:r>
        <w:rPr>
          <w:color w:val="000000"/>
          <w:sz w:val="24"/>
          <w:vertAlign w:val="superscript"/>
        </w:rPr>
        <w:t>7</w:t>
      </w:r>
      <w:r>
        <w:rPr>
          <w:rFonts w:hint="eastAsia"/>
          <w:color w:val="000000"/>
          <w:sz w:val="24"/>
        </w:rPr>
        <w:t xml:space="preserve"> 次/秒</w:t>
      </w:r>
    </w:p>
    <w:p w14:paraId="4280F750">
      <w:pPr>
        <w:spacing w:line="360" w:lineRule="auto"/>
        <w:rPr>
          <w:color w:val="000000"/>
          <w:sz w:val="24"/>
        </w:rPr>
      </w:pPr>
      <w:r>
        <w:rPr>
          <w:rFonts w:hint="eastAsia"/>
          <w:color w:val="000000"/>
          <w:sz w:val="24"/>
        </w:rPr>
        <w:t>3.6 电中和系统：</w:t>
      </w:r>
    </w:p>
    <w:p w14:paraId="21543EAB">
      <w:pPr>
        <w:spacing w:line="360" w:lineRule="auto"/>
        <w:ind w:firstLine="480" w:firstLineChars="200"/>
        <w:rPr>
          <w:color w:val="000000"/>
          <w:sz w:val="24"/>
        </w:rPr>
      </w:pPr>
      <w:r>
        <w:rPr>
          <w:rFonts w:hint="eastAsia"/>
          <w:color w:val="000000"/>
          <w:sz w:val="24"/>
        </w:rPr>
        <w:t>3.6.1 包括电中和枪，可用于分析绝缘材料</w:t>
      </w:r>
    </w:p>
    <w:p w14:paraId="5CFDBAFF">
      <w:pPr>
        <w:spacing w:line="360" w:lineRule="auto"/>
        <w:ind w:firstLine="480" w:firstLineChars="200"/>
        <w:rPr>
          <w:color w:val="000000"/>
          <w:sz w:val="24"/>
        </w:rPr>
      </w:pPr>
      <w:r>
        <w:rPr>
          <w:rFonts w:hint="eastAsia"/>
          <w:color w:val="000000"/>
          <w:sz w:val="24"/>
        </w:rPr>
        <w:t>3.6.2分析绝缘体时质量分辨（on PET：10</w:t>
      </w:r>
      <w:r>
        <w:rPr>
          <w:rFonts w:hint="eastAsia"/>
          <w:color w:val="000000"/>
          <w:sz w:val="24"/>
          <w:vertAlign w:val="superscript"/>
        </w:rPr>
        <w:t>4</w:t>
      </w:r>
      <w:r>
        <w:rPr>
          <w:rFonts w:hint="eastAsia"/>
          <w:color w:val="000000"/>
          <w:sz w:val="24"/>
        </w:rPr>
        <w:t>amu）：≥18000 （半峰宽；100%传输率）</w:t>
      </w:r>
    </w:p>
    <w:p w14:paraId="0182F727">
      <w:pPr>
        <w:spacing w:line="360" w:lineRule="auto"/>
        <w:rPr>
          <w:color w:val="000000"/>
          <w:sz w:val="24"/>
        </w:rPr>
      </w:pPr>
      <w:r>
        <w:rPr>
          <w:rFonts w:hint="eastAsia"/>
          <w:color w:val="000000"/>
          <w:sz w:val="24"/>
        </w:rPr>
        <w:t>3.7 真空系统：</w:t>
      </w:r>
    </w:p>
    <w:p w14:paraId="43490122">
      <w:pPr>
        <w:spacing w:line="360" w:lineRule="auto"/>
        <w:ind w:firstLine="480" w:firstLineChars="200"/>
        <w:rPr>
          <w:color w:val="000000"/>
          <w:sz w:val="24"/>
        </w:rPr>
      </w:pPr>
      <w:r>
        <w:rPr>
          <w:rFonts w:hint="eastAsia"/>
          <w:color w:val="000000"/>
          <w:sz w:val="24"/>
        </w:rPr>
        <w:t>3.7.1 配备涡轮分子泵，无油机械泵，主分子泵的抽速≥340 L/s。</w:t>
      </w:r>
    </w:p>
    <w:p w14:paraId="0D0ED777">
      <w:pPr>
        <w:spacing w:line="360" w:lineRule="auto"/>
        <w:ind w:firstLine="480" w:firstLineChars="200"/>
        <w:rPr>
          <w:color w:val="000000"/>
          <w:sz w:val="24"/>
        </w:rPr>
      </w:pPr>
      <w:r>
        <w:rPr>
          <w:rFonts w:hint="eastAsia"/>
          <w:color w:val="000000"/>
          <w:sz w:val="24"/>
        </w:rPr>
        <w:t>3.7.2 主分析室烘烤后系统极限真空5.0×10</w:t>
      </w:r>
      <w:r>
        <w:rPr>
          <w:color w:val="000000"/>
          <w:sz w:val="24"/>
          <w:vertAlign w:val="superscript"/>
        </w:rPr>
        <w:t>-10</w:t>
      </w:r>
      <w:r>
        <w:rPr>
          <w:rFonts w:hint="eastAsia"/>
          <w:color w:val="000000"/>
          <w:sz w:val="24"/>
        </w:rPr>
        <w:t>Torr</w:t>
      </w:r>
    </w:p>
    <w:p w14:paraId="58D00E89">
      <w:pPr>
        <w:spacing w:line="360" w:lineRule="auto"/>
        <w:ind w:firstLine="480" w:firstLineChars="200"/>
        <w:rPr>
          <w:color w:val="000000"/>
          <w:sz w:val="24"/>
        </w:rPr>
      </w:pPr>
      <w:r>
        <w:rPr>
          <w:rFonts w:hint="eastAsia"/>
          <w:color w:val="000000"/>
          <w:sz w:val="24"/>
        </w:rPr>
        <w:t>3.7.3 具有主分析室和快速进样室内烘烤系统</w:t>
      </w:r>
    </w:p>
    <w:p w14:paraId="641B314E">
      <w:pPr>
        <w:spacing w:line="360" w:lineRule="auto"/>
        <w:rPr>
          <w:color w:val="000000"/>
          <w:sz w:val="24"/>
        </w:rPr>
      </w:pPr>
      <w:r>
        <w:rPr>
          <w:rFonts w:hint="eastAsia"/>
          <w:color w:val="000000"/>
          <w:sz w:val="24"/>
        </w:rPr>
        <w:t>3.8 样品台：</w:t>
      </w:r>
    </w:p>
    <w:p w14:paraId="28CEA9A2">
      <w:pPr>
        <w:spacing w:line="360" w:lineRule="auto"/>
        <w:ind w:firstLine="480" w:firstLineChars="200"/>
        <w:rPr>
          <w:color w:val="000000"/>
          <w:sz w:val="24"/>
        </w:rPr>
      </w:pPr>
      <w:r>
        <w:rPr>
          <w:rFonts w:hint="eastAsia"/>
          <w:color w:val="000000"/>
          <w:sz w:val="24"/>
        </w:rPr>
        <w:t>大面积开放式样品台设计，用于在样品托上进行微流体实验装置安装</w:t>
      </w:r>
    </w:p>
    <w:p w14:paraId="513001BD">
      <w:pPr>
        <w:spacing w:line="360" w:lineRule="auto"/>
        <w:ind w:firstLine="480" w:firstLineChars="200"/>
        <w:rPr>
          <w:color w:val="000000"/>
          <w:sz w:val="24"/>
        </w:rPr>
      </w:pPr>
      <w:r>
        <w:rPr>
          <w:rFonts w:hint="eastAsia"/>
          <w:color w:val="000000"/>
          <w:sz w:val="24"/>
        </w:rPr>
        <w:t># 3.8.1 自动五轴超高真空样品台，样品托允许安装最大样品尺寸达到70×80mm，厚度10mm。</w:t>
      </w:r>
    </w:p>
    <w:p w14:paraId="53D06D49">
      <w:pPr>
        <w:spacing w:line="360" w:lineRule="auto"/>
        <w:ind w:firstLine="480" w:firstLineChars="200"/>
        <w:rPr>
          <w:color w:val="000000"/>
          <w:sz w:val="24"/>
        </w:rPr>
      </w:pPr>
      <w:r>
        <w:rPr>
          <w:rFonts w:hint="eastAsia"/>
          <w:color w:val="000000"/>
          <w:sz w:val="24"/>
        </w:rPr>
        <w:t>3.8.2 标准样品台倾斜角度：-15º＜α＜+45º</w:t>
      </w:r>
    </w:p>
    <w:p w14:paraId="29459B98">
      <w:pPr>
        <w:spacing w:line="360" w:lineRule="auto"/>
        <w:ind w:firstLine="480" w:firstLineChars="200"/>
        <w:rPr>
          <w:color w:val="000000"/>
          <w:sz w:val="24"/>
        </w:rPr>
      </w:pPr>
      <w:r>
        <w:rPr>
          <w:rFonts w:hint="eastAsia"/>
          <w:color w:val="000000"/>
          <w:sz w:val="24"/>
        </w:rPr>
        <w:t>3.8.3 样品移动范围：X：=90 mm；Y：=125 mm；Z：=25 mm</w:t>
      </w:r>
    </w:p>
    <w:p w14:paraId="02E429FB">
      <w:pPr>
        <w:spacing w:line="360" w:lineRule="auto"/>
        <w:ind w:firstLine="480" w:firstLineChars="200"/>
        <w:rPr>
          <w:color w:val="000000"/>
          <w:sz w:val="24"/>
        </w:rPr>
      </w:pPr>
      <w:r>
        <w:rPr>
          <w:rFonts w:hint="eastAsia"/>
          <w:color w:val="000000"/>
          <w:sz w:val="24"/>
        </w:rPr>
        <w:t>3.8.4 连续旋转 -180º~ 180º</w:t>
      </w:r>
    </w:p>
    <w:p w14:paraId="22A4DAD5">
      <w:pPr>
        <w:spacing w:line="360" w:lineRule="auto"/>
        <w:ind w:firstLine="480" w:firstLineChars="200"/>
        <w:rPr>
          <w:color w:val="000000"/>
          <w:sz w:val="24"/>
        </w:rPr>
      </w:pPr>
      <w:r>
        <w:rPr>
          <w:rFonts w:hint="eastAsia"/>
          <w:color w:val="000000"/>
          <w:sz w:val="24"/>
        </w:rPr>
        <w:t>3.8.5 样品电位接地，方便对生物样品等非导体进行电荷补偿</w:t>
      </w:r>
    </w:p>
    <w:p w14:paraId="4E5C0A2D">
      <w:pPr>
        <w:spacing w:line="360" w:lineRule="auto"/>
        <w:rPr>
          <w:color w:val="000000"/>
          <w:sz w:val="24"/>
        </w:rPr>
      </w:pPr>
      <w:r>
        <w:rPr>
          <w:rFonts w:hint="eastAsia"/>
          <w:color w:val="000000"/>
          <w:sz w:val="24"/>
        </w:rPr>
        <w:t>3.9 样品表面气体喷嘴：</w:t>
      </w:r>
    </w:p>
    <w:p w14:paraId="28C68402">
      <w:pPr>
        <w:spacing w:line="360" w:lineRule="auto"/>
        <w:ind w:firstLine="480" w:firstLineChars="200"/>
        <w:rPr>
          <w:color w:val="000000"/>
          <w:sz w:val="24"/>
        </w:rPr>
      </w:pPr>
      <w:r>
        <w:rPr>
          <w:rFonts w:hint="eastAsia"/>
          <w:color w:val="000000"/>
          <w:sz w:val="24"/>
        </w:rPr>
        <w:t>3.9.1 在样品测试过程前和测试过程中，可以对样品表面通微量气体（O</w:t>
      </w:r>
      <w:r>
        <w:rPr>
          <w:color w:val="000000"/>
          <w:sz w:val="24"/>
          <w:vertAlign w:val="subscript"/>
        </w:rPr>
        <w:t>2</w:t>
      </w:r>
      <w:r>
        <w:rPr>
          <w:rFonts w:hint="eastAsia"/>
          <w:color w:val="000000"/>
          <w:sz w:val="24"/>
        </w:rPr>
        <w:t>或Ar），用于提高二次离子产额</w:t>
      </w:r>
    </w:p>
    <w:p w14:paraId="4C767CB3">
      <w:pPr>
        <w:spacing w:line="360" w:lineRule="auto"/>
        <w:ind w:firstLine="480" w:firstLineChars="200"/>
        <w:rPr>
          <w:color w:val="000000"/>
          <w:sz w:val="24"/>
        </w:rPr>
      </w:pPr>
      <w:r>
        <w:rPr>
          <w:rFonts w:hint="eastAsia"/>
          <w:color w:val="000000"/>
          <w:sz w:val="24"/>
        </w:rPr>
        <w:t>3.9.2 通入气体选择和切换可以通过软件自动完成，管路中残余气体清洗也可以自动完成</w:t>
      </w:r>
    </w:p>
    <w:p w14:paraId="3B35CE64">
      <w:pPr>
        <w:spacing w:line="360" w:lineRule="auto"/>
        <w:rPr>
          <w:color w:val="000000"/>
          <w:sz w:val="24"/>
        </w:rPr>
      </w:pPr>
      <w:r>
        <w:rPr>
          <w:rFonts w:hint="eastAsia"/>
          <w:color w:val="000000"/>
          <w:sz w:val="24"/>
        </w:rPr>
        <w:t>3.10 样品自动测试导航：</w:t>
      </w:r>
    </w:p>
    <w:p w14:paraId="2FF5180F">
      <w:pPr>
        <w:spacing w:line="360" w:lineRule="auto"/>
        <w:ind w:firstLine="480" w:firstLineChars="200"/>
        <w:rPr>
          <w:color w:val="000000"/>
          <w:sz w:val="24"/>
        </w:rPr>
      </w:pPr>
      <w:r>
        <w:rPr>
          <w:rFonts w:hint="eastAsia"/>
          <w:color w:val="000000"/>
          <w:sz w:val="24"/>
        </w:rPr>
        <w:t>3.10.1可以拍摄和导入样品托的高分辨数字照片，用于样品自动批量测试中的精确定位和导航</w:t>
      </w:r>
    </w:p>
    <w:p w14:paraId="19F8D021">
      <w:pPr>
        <w:spacing w:line="360" w:lineRule="auto"/>
        <w:rPr>
          <w:color w:val="000000"/>
          <w:sz w:val="24"/>
        </w:rPr>
      </w:pPr>
      <w:r>
        <w:rPr>
          <w:rFonts w:hint="eastAsia"/>
          <w:color w:val="000000"/>
          <w:sz w:val="24"/>
        </w:rPr>
        <w:t>3.11数据采集及处理系统</w:t>
      </w:r>
    </w:p>
    <w:p w14:paraId="05BA5189">
      <w:pPr>
        <w:spacing w:line="360" w:lineRule="auto"/>
        <w:ind w:firstLine="480" w:firstLineChars="200"/>
        <w:rPr>
          <w:color w:val="000000"/>
          <w:sz w:val="24"/>
        </w:rPr>
      </w:pPr>
      <w:r>
        <w:rPr>
          <w:rFonts w:hint="eastAsia"/>
          <w:color w:val="000000"/>
          <w:sz w:val="24"/>
        </w:rPr>
        <w:t>3.11.1能够实现二次离子质谱硬件部分的计算机控制和状态显示，做到容易操作和在不同的分析模式间进行快速转换</w:t>
      </w:r>
    </w:p>
    <w:p w14:paraId="35A03938">
      <w:pPr>
        <w:spacing w:line="360" w:lineRule="auto"/>
        <w:ind w:firstLine="480" w:firstLineChars="200"/>
        <w:rPr>
          <w:color w:val="000000"/>
          <w:sz w:val="24"/>
        </w:rPr>
      </w:pPr>
      <w:r>
        <w:rPr>
          <w:rFonts w:hint="eastAsia"/>
          <w:color w:val="000000"/>
          <w:sz w:val="24"/>
        </w:rPr>
        <w:t>3.11.2能够自动完成数据的采集、分析，完成不同成分空间分布成像，深度分析以及三维空间分布的表现与输出</w:t>
      </w:r>
    </w:p>
    <w:p w14:paraId="6B7BCECD">
      <w:pPr>
        <w:spacing w:line="360" w:lineRule="auto"/>
        <w:ind w:firstLine="480" w:firstLineChars="200"/>
        <w:rPr>
          <w:color w:val="000000"/>
          <w:sz w:val="24"/>
        </w:rPr>
      </w:pPr>
      <w:r>
        <w:rPr>
          <w:rFonts w:hint="eastAsia"/>
          <w:color w:val="000000"/>
          <w:sz w:val="24"/>
        </w:rPr>
        <w:t>3.11.3提供完整的质谱数据库并能对测试结果给出定性分析，有完善的数据处理软件</w:t>
      </w:r>
    </w:p>
    <w:p w14:paraId="204129B5">
      <w:pPr>
        <w:pStyle w:val="2"/>
      </w:pPr>
    </w:p>
    <w:p w14:paraId="6F60208F">
      <w:pPr>
        <w:numPr>
          <w:ilvl w:val="0"/>
          <w:numId w:val="2"/>
        </w:numPr>
        <w:spacing w:line="360" w:lineRule="auto"/>
        <w:rPr>
          <w:b/>
          <w:sz w:val="24"/>
        </w:rPr>
      </w:pPr>
      <w:r>
        <w:rPr>
          <w:rFonts w:hint="eastAsia"/>
          <w:b/>
          <w:sz w:val="24"/>
        </w:rPr>
        <w:t>产品配置要求</w:t>
      </w:r>
    </w:p>
    <w:p w14:paraId="2BE65D1C">
      <w:pPr>
        <w:spacing w:line="360" w:lineRule="auto"/>
        <w:rPr>
          <w:sz w:val="24"/>
        </w:rPr>
      </w:pPr>
      <w:r>
        <w:rPr>
          <w:rFonts w:hint="eastAsia"/>
          <w:color w:val="000000"/>
          <w:sz w:val="24"/>
        </w:rPr>
        <w:t>4.1</w:t>
      </w:r>
      <w:r>
        <w:rPr>
          <w:rFonts w:hint="eastAsia"/>
          <w:sz w:val="24"/>
        </w:rPr>
        <w:t>耗材包（包括</w:t>
      </w:r>
      <w:r>
        <w:rPr>
          <w:sz w:val="24"/>
        </w:rPr>
        <w:t>不少于</w:t>
      </w:r>
      <w:r>
        <w:rPr>
          <w:rFonts w:hint="eastAsia"/>
          <w:sz w:val="24"/>
        </w:rPr>
        <w:t>2套</w:t>
      </w:r>
      <w:r>
        <w:rPr>
          <w:sz w:val="24"/>
        </w:rPr>
        <w:t>Bi源，</w:t>
      </w:r>
      <w:r>
        <w:rPr>
          <w:rFonts w:hint="eastAsia"/>
          <w:sz w:val="24"/>
        </w:rPr>
        <w:t>1套Cs</w:t>
      </w:r>
      <w:r>
        <w:rPr>
          <w:sz w:val="24"/>
        </w:rPr>
        <w:t>离子源</w:t>
      </w:r>
      <w:r>
        <w:rPr>
          <w:rFonts w:hint="eastAsia"/>
          <w:sz w:val="24"/>
        </w:rPr>
        <w:t>，1根EI</w:t>
      </w:r>
      <w:r>
        <w:rPr>
          <w:sz w:val="24"/>
        </w:rPr>
        <w:t>离子源灯丝，</w:t>
      </w:r>
      <w:r>
        <w:rPr>
          <w:rFonts w:hint="eastAsia"/>
          <w:sz w:val="24"/>
        </w:rPr>
        <w:t>1根Flood Gun灯丝， 一套垫圈等）</w:t>
      </w:r>
    </w:p>
    <w:p w14:paraId="51BD4A2D">
      <w:pPr>
        <w:jc w:val="left"/>
        <w:rPr>
          <w:sz w:val="24"/>
        </w:rPr>
      </w:pPr>
      <w:r>
        <w:rPr>
          <w:rFonts w:hint="eastAsia"/>
          <w:sz w:val="24"/>
        </w:rPr>
        <w:t>4.2 维修维护工具一套（需带详细清单）</w:t>
      </w:r>
    </w:p>
    <w:p w14:paraId="047F95A4">
      <w:pPr>
        <w:spacing w:line="360" w:lineRule="auto"/>
        <w:ind w:firstLine="480" w:firstLineChars="200"/>
        <w:rPr>
          <w:color w:val="000000"/>
          <w:sz w:val="24"/>
        </w:rPr>
      </w:pPr>
    </w:p>
    <w:p w14:paraId="5E9903A5">
      <w:pPr>
        <w:spacing w:line="360" w:lineRule="auto"/>
        <w:rPr>
          <w:b/>
          <w:color w:val="000000"/>
          <w:sz w:val="24"/>
        </w:rPr>
      </w:pPr>
      <w:r>
        <w:rPr>
          <w:rFonts w:hint="eastAsia"/>
          <w:b/>
          <w:color w:val="000000"/>
          <w:sz w:val="24"/>
        </w:rPr>
        <w:t>（二）质保及售后服务：</w:t>
      </w:r>
    </w:p>
    <w:p w14:paraId="024D2509">
      <w:pPr>
        <w:spacing w:line="360" w:lineRule="auto"/>
        <w:rPr>
          <w:color w:val="000000"/>
          <w:sz w:val="24"/>
        </w:rPr>
      </w:pPr>
      <w:r>
        <w:rPr>
          <w:rFonts w:hint="eastAsia"/>
          <w:color w:val="000000"/>
          <w:sz w:val="24"/>
        </w:rPr>
        <w:t>1.安装调试的要求</w:t>
      </w:r>
    </w:p>
    <w:p w14:paraId="2D903821">
      <w:pPr>
        <w:spacing w:line="360" w:lineRule="auto"/>
        <w:ind w:firstLine="480" w:firstLineChars="200"/>
        <w:rPr>
          <w:color w:val="000000"/>
          <w:sz w:val="24"/>
        </w:rPr>
      </w:pPr>
      <w:r>
        <w:rPr>
          <w:rFonts w:hint="eastAsia"/>
          <w:color w:val="000000"/>
          <w:sz w:val="24"/>
        </w:rPr>
        <w:t>1.1仪器设备运抵安装现场后，在七个工作日内，工程师前往设备使用现场，免费安装调试设备。买方发现所提供的仪器品质和技术规范不符合合同要求时，或有明显损坏，买方有权要求卖方负责更换。卖方应承担相应责任并负责赔偿全部损失，并承担由此给买方带来延期使用等方面造成的损失。</w:t>
      </w:r>
    </w:p>
    <w:p w14:paraId="7FEDCC2B">
      <w:pPr>
        <w:spacing w:line="360" w:lineRule="auto"/>
        <w:ind w:firstLine="480" w:firstLineChars="200"/>
        <w:rPr>
          <w:color w:val="000000"/>
          <w:sz w:val="24"/>
        </w:rPr>
      </w:pPr>
      <w:r>
        <w:rPr>
          <w:rFonts w:hint="eastAsia"/>
          <w:color w:val="000000"/>
          <w:sz w:val="24"/>
        </w:rPr>
        <w:t>1.2验收由采购人及相关人员依国家有关标准、合同及有关附件要求进行，验收完毕由采购人在验收报告上签名。</w:t>
      </w:r>
    </w:p>
    <w:p w14:paraId="5A194180">
      <w:pPr>
        <w:spacing w:line="360" w:lineRule="auto"/>
        <w:rPr>
          <w:color w:val="000000"/>
          <w:sz w:val="24"/>
        </w:rPr>
      </w:pPr>
      <w:r>
        <w:rPr>
          <w:rFonts w:hint="eastAsia"/>
          <w:color w:val="000000"/>
          <w:sz w:val="24"/>
        </w:rPr>
        <w:t>2.技术培训</w:t>
      </w:r>
    </w:p>
    <w:p w14:paraId="2A0F1420">
      <w:pPr>
        <w:spacing w:line="360" w:lineRule="auto"/>
        <w:ind w:firstLine="480" w:firstLineChars="200"/>
        <w:rPr>
          <w:color w:val="000000"/>
          <w:sz w:val="24"/>
        </w:rPr>
      </w:pPr>
      <w:r>
        <w:rPr>
          <w:rFonts w:hint="eastAsia"/>
          <w:color w:val="000000"/>
          <w:sz w:val="24"/>
        </w:rPr>
        <w:t>2.1现场培训：在安装仪器时由专业工程师进行免费安装调试和现场培训。讲解仪器内部构造、仪器维护保养以及简单的故障排除方法，直至用户技术人员熟练使用仪器以及会应用仪器完成整个分析检测工作。</w:t>
      </w:r>
    </w:p>
    <w:p w14:paraId="7E17D970">
      <w:pPr>
        <w:spacing w:line="360" w:lineRule="auto"/>
        <w:ind w:firstLine="480" w:firstLineChars="200"/>
        <w:rPr>
          <w:color w:val="000000"/>
          <w:sz w:val="24"/>
        </w:rPr>
      </w:pPr>
      <w:r>
        <w:rPr>
          <w:rFonts w:hint="eastAsia"/>
          <w:color w:val="000000"/>
          <w:sz w:val="24"/>
        </w:rPr>
        <w:t>2.2现场回访培训。根据用户使用情况及需求，卖方不定期安排专业应用工程师免费对用户的使用情况进行提高培训，帮助客户解决遇到的问题和项目开发，并进行技术提高和方法开发等高级培训。</w:t>
      </w:r>
    </w:p>
    <w:p w14:paraId="62CE86D7">
      <w:pPr>
        <w:spacing w:line="360" w:lineRule="auto"/>
        <w:ind w:firstLine="480" w:firstLineChars="200"/>
        <w:rPr>
          <w:color w:val="000000"/>
          <w:sz w:val="24"/>
        </w:rPr>
      </w:pPr>
      <w:r>
        <w:rPr>
          <w:rFonts w:hint="eastAsia"/>
          <w:color w:val="000000"/>
          <w:sz w:val="24"/>
        </w:rPr>
        <w:t>2.3厂家培训中心培训：提供4个名额的学习班系统培训，包括仪器原理、操作、维护等。</w:t>
      </w:r>
    </w:p>
    <w:p w14:paraId="5D4A4660">
      <w:pPr>
        <w:spacing w:line="360" w:lineRule="auto"/>
        <w:rPr>
          <w:color w:val="000000"/>
          <w:sz w:val="24"/>
        </w:rPr>
      </w:pPr>
      <w:r>
        <w:rPr>
          <w:rFonts w:hint="eastAsia"/>
          <w:color w:val="000000"/>
          <w:sz w:val="24"/>
        </w:rPr>
        <w:t xml:space="preserve">3.质保期 </w:t>
      </w:r>
    </w:p>
    <w:p w14:paraId="70ABA996">
      <w:pPr>
        <w:spacing w:line="360" w:lineRule="auto"/>
        <w:ind w:firstLine="480" w:firstLineChars="200"/>
        <w:rPr>
          <w:color w:val="000000"/>
          <w:sz w:val="24"/>
        </w:rPr>
      </w:pPr>
      <w:r>
        <w:rPr>
          <w:rFonts w:hint="eastAsia"/>
          <w:color w:val="000000"/>
          <w:sz w:val="24"/>
        </w:rPr>
        <w:t>质保期3年，从仪器验收合格，技术验收报告签字盖章后起质保期开始生效。在质保期内，卖方负责免费维修和更换配件，如1个月内不能完全修复，质保期顺延，按照完成修复时间重新计算；如果卖方无法满足全年runtime不低于90%的要求，质保期顺延，按照满足要求时间重新计算。质保期后，卖方提供终身维修，并保证零配件的供应。</w:t>
      </w:r>
    </w:p>
    <w:p w14:paraId="652938C7">
      <w:pPr>
        <w:spacing w:line="360" w:lineRule="auto"/>
        <w:rPr>
          <w:color w:val="000000"/>
          <w:sz w:val="24"/>
        </w:rPr>
      </w:pPr>
      <w:r>
        <w:rPr>
          <w:rFonts w:hint="eastAsia"/>
          <w:color w:val="000000"/>
          <w:sz w:val="24"/>
        </w:rPr>
        <w:t xml:space="preserve">4.售后服务 </w:t>
      </w:r>
    </w:p>
    <w:p w14:paraId="0819C8B3">
      <w:pPr>
        <w:spacing w:line="360" w:lineRule="auto"/>
        <w:ind w:firstLine="480" w:firstLineChars="200"/>
        <w:rPr>
          <w:color w:val="000000"/>
          <w:sz w:val="24"/>
        </w:rPr>
      </w:pPr>
      <w:r>
        <w:rPr>
          <w:rFonts w:hint="eastAsia"/>
          <w:color w:val="000000"/>
          <w:sz w:val="24"/>
        </w:rPr>
        <w:t>4.1 卖方在中国境内有固定的办事处、维修部及零配件保存仓库。质保期内设备出现故障，卖方应在接到需方通知后的2小时内响应，24小时内确定故障原因和维修方法。如需要到现场维修，卖方维修工程师应在48小时内到达现场，免费更换受损元件和提供免费服务，快速排除故障。质保期到期前一个月厂商工程师对谱仪进行完善检修和维护，并形成报告，保证谱仪状态良好。质保期后，卖方承诺将为需方提供终身维修服务，对于买方的任何投诉和要求，卖方将在4小时内做出相应答复；当仪器出现故障时，卖方工程师在接到需方故障通知后24小时内提出处理意见；卖方在接到需方维修通知后72小时到达现场修复。</w:t>
      </w:r>
    </w:p>
    <w:p w14:paraId="05199653">
      <w:pPr>
        <w:spacing w:line="360" w:lineRule="auto"/>
        <w:ind w:firstLine="480" w:firstLineChars="200"/>
        <w:rPr>
          <w:color w:val="000000"/>
          <w:sz w:val="24"/>
        </w:rPr>
      </w:pPr>
      <w:r>
        <w:rPr>
          <w:rFonts w:hint="eastAsia"/>
          <w:color w:val="000000"/>
          <w:sz w:val="24"/>
        </w:rPr>
        <w:t>4.2 卖方提供终身免费的操作、应用、维护培训和技术咨询。并随设备提供基本结构和使用说明书、操作手册及维修保养说明书。主机和各功能部件的性能指标、基本结构和使用说明书，全套维修保养说明书。软件的操作手册和各类操作指令手册。</w:t>
      </w:r>
    </w:p>
    <w:p w14:paraId="6661EEB3">
      <w:pPr>
        <w:spacing w:line="360" w:lineRule="auto"/>
        <w:ind w:firstLine="480" w:firstLineChars="200"/>
        <w:rPr>
          <w:color w:val="000000"/>
          <w:sz w:val="24"/>
        </w:rPr>
      </w:pPr>
      <w:r>
        <w:rPr>
          <w:rFonts w:hint="eastAsia"/>
          <w:color w:val="000000"/>
          <w:sz w:val="24"/>
        </w:rPr>
        <w:t>4.3 卖方应向买方提供全部软件与相应的数据库的使用许可，以及终身仪器软件免费升级服务；与之相关的硬件升级只收取成本。</w:t>
      </w:r>
    </w:p>
    <w:p w14:paraId="36C4817B">
      <w:pPr>
        <w:spacing w:line="360" w:lineRule="auto"/>
        <w:ind w:firstLine="480" w:firstLineChars="200"/>
        <w:rPr>
          <w:color w:val="000000"/>
          <w:sz w:val="24"/>
        </w:rPr>
      </w:pPr>
      <w:r>
        <w:rPr>
          <w:rFonts w:hint="eastAsia"/>
          <w:color w:val="000000"/>
          <w:sz w:val="24"/>
        </w:rPr>
        <w:t>4.4 质保期后更换配件及易耗品成本价，人工费不高于市场价的80%。保障投标设备停产后10年的关键零部件（包括易耗品）供应。</w:t>
      </w:r>
    </w:p>
    <w:p w14:paraId="38C9BBDA">
      <w:pPr>
        <w:pStyle w:val="2"/>
      </w:pPr>
    </w:p>
    <w:p w14:paraId="73A4D3D8">
      <w:pPr>
        <w:spacing w:line="360" w:lineRule="auto"/>
        <w:rPr>
          <w:b/>
          <w:color w:val="000000"/>
          <w:sz w:val="24"/>
        </w:rPr>
      </w:pPr>
      <w:r>
        <w:rPr>
          <w:rFonts w:hint="eastAsia"/>
          <w:b/>
          <w:color w:val="000000"/>
          <w:sz w:val="24"/>
        </w:rPr>
        <w:t>（三） 订货数量：</w:t>
      </w:r>
    </w:p>
    <w:p w14:paraId="4DD798C8">
      <w:pPr>
        <w:spacing w:line="360" w:lineRule="auto"/>
        <w:ind w:firstLine="240" w:firstLineChars="100"/>
        <w:rPr>
          <w:color w:val="000000"/>
          <w:sz w:val="24"/>
        </w:rPr>
      </w:pPr>
      <w:r>
        <w:rPr>
          <w:rFonts w:hint="eastAsia"/>
          <w:color w:val="000000"/>
          <w:sz w:val="24"/>
        </w:rPr>
        <w:t xml:space="preserve"> 1套</w:t>
      </w:r>
    </w:p>
    <w:p w14:paraId="3CD412F2">
      <w:pPr>
        <w:spacing w:line="360" w:lineRule="auto"/>
        <w:rPr>
          <w:color w:val="000000"/>
          <w:sz w:val="24"/>
        </w:rPr>
      </w:pPr>
    </w:p>
    <w:p w14:paraId="695B59BF">
      <w:pPr>
        <w:spacing w:line="360" w:lineRule="auto"/>
        <w:rPr>
          <w:b/>
          <w:color w:val="000000"/>
          <w:sz w:val="24"/>
        </w:rPr>
      </w:pPr>
      <w:r>
        <w:rPr>
          <w:rFonts w:hint="eastAsia"/>
          <w:b/>
          <w:color w:val="000000"/>
          <w:sz w:val="24"/>
        </w:rPr>
        <w:t>（四）交货日期和交货地点（项目现场）：</w:t>
      </w:r>
    </w:p>
    <w:p w14:paraId="4B2404F6">
      <w:pPr>
        <w:spacing w:line="360" w:lineRule="auto"/>
        <w:ind w:firstLine="480" w:firstLineChars="200"/>
        <w:rPr>
          <w:color w:val="000000"/>
          <w:sz w:val="24"/>
        </w:rPr>
      </w:pPr>
      <w:r>
        <w:rPr>
          <w:rFonts w:hint="eastAsia"/>
          <w:color w:val="000000"/>
          <w:sz w:val="24"/>
        </w:rPr>
        <w:t>交货日期：</w:t>
      </w:r>
      <w:r>
        <w:rPr>
          <w:bCs/>
          <w:color w:val="000000"/>
          <w:sz w:val="24"/>
        </w:rPr>
        <w:t>合同生效后</w:t>
      </w:r>
      <w:r>
        <w:rPr>
          <w:rFonts w:hint="eastAsia"/>
          <w:bCs/>
          <w:color w:val="000000"/>
          <w:sz w:val="24"/>
        </w:rPr>
        <w:t>18</w:t>
      </w:r>
      <w:r>
        <w:rPr>
          <w:bCs/>
          <w:color w:val="000000"/>
          <w:sz w:val="24"/>
        </w:rPr>
        <w:t>个月</w:t>
      </w:r>
      <w:r>
        <w:rPr>
          <w:rFonts w:hint="eastAsia"/>
          <w:bCs/>
          <w:color w:val="000000"/>
          <w:sz w:val="24"/>
        </w:rPr>
        <w:t>内。</w:t>
      </w:r>
      <w:r>
        <w:rPr>
          <w:bCs/>
          <w:color w:val="000000"/>
          <w:sz w:val="24"/>
        </w:rPr>
        <w:t xml:space="preserve"> </w:t>
      </w:r>
    </w:p>
    <w:p w14:paraId="664CA6AA">
      <w:pPr>
        <w:spacing w:line="360" w:lineRule="auto"/>
        <w:ind w:firstLine="480" w:firstLineChars="200"/>
        <w:rPr>
          <w:bCs/>
          <w:color w:val="000000"/>
          <w:sz w:val="24"/>
        </w:rPr>
      </w:pPr>
      <w:r>
        <w:rPr>
          <w:rFonts w:hint="eastAsia"/>
          <w:color w:val="000000"/>
          <w:sz w:val="24"/>
        </w:rPr>
        <w:t>交货地点：</w:t>
      </w:r>
      <w:r>
        <w:rPr>
          <w:rFonts w:hint="eastAsia"/>
          <w:bCs/>
          <w:sz w:val="24"/>
        </w:rPr>
        <w:t>中国科学院生态环境研究中心</w:t>
      </w:r>
    </w:p>
    <w:p w14:paraId="3CBCC797">
      <w:pPr>
        <w:spacing w:line="360" w:lineRule="auto"/>
        <w:rPr>
          <w:color w:val="000000"/>
          <w:sz w:val="24"/>
        </w:rPr>
      </w:pPr>
    </w:p>
    <w:p w14:paraId="4E8D9C76">
      <w:pPr>
        <w:spacing w:line="360" w:lineRule="auto"/>
        <w:rPr>
          <w:b/>
          <w:color w:val="000000"/>
          <w:sz w:val="24"/>
        </w:rPr>
      </w:pPr>
      <w:r>
        <w:rPr>
          <w:rFonts w:hint="eastAsia"/>
          <w:b/>
          <w:color w:val="000000"/>
          <w:sz w:val="24"/>
        </w:rPr>
        <w:t xml:space="preserve">（五）付款方式：                                         </w:t>
      </w:r>
    </w:p>
    <w:p w14:paraId="1A974952">
      <w:pPr>
        <w:spacing w:line="360" w:lineRule="auto"/>
        <w:ind w:firstLine="480" w:firstLineChars="200"/>
        <w:rPr>
          <w:color w:val="000000"/>
          <w:sz w:val="24"/>
        </w:rPr>
      </w:pPr>
      <w:r>
        <w:rPr>
          <w:rFonts w:hint="eastAsia"/>
          <w:color w:val="000000"/>
          <w:sz w:val="24"/>
        </w:rPr>
        <w:t>对于进口产品：</w:t>
      </w:r>
      <w:bookmarkStart w:id="1" w:name="OLE_LINK11"/>
      <w:bookmarkStart w:id="2" w:name="OLE_LINK12"/>
      <w:r>
        <w:rPr>
          <w:rFonts w:hint="eastAsia"/>
          <w:color w:val="000000"/>
          <w:sz w:val="24"/>
        </w:rPr>
        <w:t>100%不可撤销信用证，其中80%凭货到现场用户签收单支付，20%凭盖章版技术验收报告支付。</w:t>
      </w:r>
    </w:p>
    <w:bookmarkEnd w:id="1"/>
    <w:bookmarkEnd w:id="2"/>
    <w:p w14:paraId="1666D14B">
      <w:pPr>
        <w:spacing w:line="360" w:lineRule="auto"/>
        <w:ind w:firstLine="480" w:firstLineChars="200"/>
        <w:rPr>
          <w:color w:val="000000"/>
          <w:sz w:val="24"/>
        </w:rPr>
      </w:pPr>
      <w:r>
        <w:rPr>
          <w:rFonts w:hint="eastAsia"/>
          <w:color w:val="000000"/>
          <w:sz w:val="24"/>
        </w:rPr>
        <w:t>对于国产产品：100%凭用户代表签字并加盖单位公章后的验收报告支付；</w:t>
      </w:r>
    </w:p>
    <w:p w14:paraId="510FAC27">
      <w:pPr>
        <w:spacing w:line="360" w:lineRule="auto"/>
        <w:rPr>
          <w:color w:val="000000"/>
          <w:sz w:val="24"/>
        </w:rPr>
      </w:pPr>
    </w:p>
    <w:p w14:paraId="0AED8F5D">
      <w:pPr>
        <w:spacing w:line="360" w:lineRule="auto"/>
        <w:rPr>
          <w:b/>
          <w:color w:val="000000"/>
          <w:sz w:val="24"/>
        </w:rPr>
      </w:pPr>
      <w:r>
        <w:rPr>
          <w:rFonts w:hint="eastAsia"/>
          <w:b/>
          <w:color w:val="000000"/>
          <w:sz w:val="24"/>
        </w:rPr>
        <w:t>（六）执行的相关标准</w:t>
      </w:r>
    </w:p>
    <w:p w14:paraId="076815B0">
      <w:pPr>
        <w:spacing w:line="360" w:lineRule="auto"/>
        <w:rPr>
          <w:rFonts w:ascii="inherit" w:hAnsi="inherit" w:cs="宋体"/>
          <w:color w:val="000000"/>
          <w:kern w:val="0"/>
          <w:sz w:val="24"/>
        </w:rPr>
      </w:pPr>
      <w:r>
        <w:rPr>
          <w:rFonts w:hint="eastAsia" w:ascii="inherit" w:hAnsi="inherit" w:cs="宋体"/>
          <w:color w:val="000000"/>
          <w:kern w:val="0"/>
          <w:sz w:val="24"/>
        </w:rPr>
        <w:t xml:space="preserve">   产品应满足相关国家标准及行业标准。</w:t>
      </w:r>
    </w:p>
    <w:p w14:paraId="69E7D5FC">
      <w:pPr>
        <w:spacing w:line="360" w:lineRule="auto"/>
        <w:rPr>
          <w:rFonts w:ascii="inherit" w:hAnsi="inherit" w:cs="宋体"/>
          <w:color w:val="000000"/>
          <w:kern w:val="0"/>
          <w:sz w:val="24"/>
        </w:rPr>
      </w:pPr>
    </w:p>
    <w:p w14:paraId="0C6BC34C">
      <w:pPr>
        <w:numPr>
          <w:ilvl w:val="0"/>
          <w:numId w:val="3"/>
        </w:numPr>
        <w:spacing w:line="360" w:lineRule="auto"/>
        <w:rPr>
          <w:b/>
          <w:color w:val="000000"/>
          <w:sz w:val="24"/>
        </w:rPr>
      </w:pPr>
      <w:r>
        <w:rPr>
          <w:rFonts w:hint="eastAsia"/>
          <w:b/>
          <w:color w:val="000000"/>
          <w:sz w:val="24"/>
        </w:rPr>
        <w:t>验收标准</w:t>
      </w:r>
    </w:p>
    <w:p w14:paraId="19B43733">
      <w:pPr>
        <w:spacing w:line="360" w:lineRule="auto"/>
        <w:ind w:firstLine="480" w:firstLineChars="200"/>
        <w:rPr>
          <w:b/>
          <w:bCs/>
          <w:color w:val="000000"/>
          <w:sz w:val="24"/>
        </w:rPr>
      </w:pPr>
      <w:r>
        <w:rPr>
          <w:color w:val="000000"/>
          <w:sz w:val="24"/>
        </w:rPr>
        <w:t>*1. 设备的配置、功能和</w:t>
      </w:r>
      <w:r>
        <w:rPr>
          <w:b/>
          <w:bCs/>
          <w:color w:val="000000"/>
          <w:sz w:val="24"/>
        </w:rPr>
        <w:t>技术</w:t>
      </w:r>
      <w:r>
        <w:rPr>
          <w:rFonts w:hint="eastAsia" w:ascii="Times New Roman" w:eastAsia="宋体"/>
          <w:b/>
          <w:bCs/>
          <w:color w:val="000000"/>
          <w:sz w:val="24"/>
          <w:lang w:val="en-US" w:eastAsia="zh-CN"/>
        </w:rPr>
        <w:t>实质性</w:t>
      </w:r>
      <w:r>
        <w:rPr>
          <w:b/>
          <w:bCs/>
          <w:color w:val="000000"/>
          <w:sz w:val="24"/>
        </w:rPr>
        <w:t>指标</w:t>
      </w:r>
      <w:r>
        <w:rPr>
          <w:color w:val="000000"/>
          <w:sz w:val="24"/>
        </w:rPr>
        <w:t>必须满足招标文件要求，所有技术指标必须能够现场验收或提供第三方权威机构的证明材料，投标商需在投标文件中提供完备的现场验收方案，</w:t>
      </w:r>
      <w:r>
        <w:rPr>
          <w:b/>
          <w:bCs/>
          <w:color w:val="000000"/>
          <w:sz w:val="24"/>
        </w:rPr>
        <w:t>未提交现场验收方案将作为废标处理。</w:t>
      </w:r>
    </w:p>
    <w:p w14:paraId="297955C6">
      <w:pPr>
        <w:spacing w:line="360" w:lineRule="auto"/>
        <w:ind w:firstLine="480" w:firstLineChars="200"/>
        <w:rPr>
          <w:color w:val="000000"/>
          <w:sz w:val="24"/>
        </w:rPr>
      </w:pPr>
      <w:r>
        <w:rPr>
          <w:color w:val="000000"/>
          <w:sz w:val="24"/>
        </w:rPr>
        <w:t>2. 技术指标现场验收方案科学、合理，具有可行性。</w:t>
      </w:r>
    </w:p>
    <w:p w14:paraId="4D1AD830">
      <w:bookmarkStart w:id="3" w:name="_GoBack"/>
      <w:bookmarkEnd w:id="3"/>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Bookman Old Style">
    <w:panose1 w:val="02050604050505020204"/>
    <w:charset w:val="00"/>
    <w:family w:val="roman"/>
    <w:pitch w:val="default"/>
    <w:sig w:usb0="00000287" w:usb1="00000000" w:usb2="00000000" w:usb3="00000000" w:csb0="2000009F" w:csb1="DFD70000"/>
  </w:font>
  <w:font w:name="仿宋_GB2312">
    <w:altName w:val="仿宋"/>
    <w:panose1 w:val="02010609030101010101"/>
    <w:charset w:val="86"/>
    <w:family w:val="modern"/>
    <w:pitch w:val="default"/>
    <w:sig w:usb0="00000000" w:usb1="00000000" w:usb2="00000010" w:usb3="00000000" w:csb0="00040000" w:csb1="00000000"/>
  </w:font>
  <w:font w:name="inherit">
    <w:altName w:val="Times New Roman"/>
    <w:panose1 w:val="00000000000000000000"/>
    <w:charset w:val="00"/>
    <w:family w:val="roman"/>
    <w:pitch w:val="default"/>
    <w:sig w:usb0="00000000"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85B104"/>
    <w:multiLevelType w:val="singleLevel"/>
    <w:tmpl w:val="D785B104"/>
    <w:lvl w:ilvl="0" w:tentative="0">
      <w:start w:val="1"/>
      <w:numFmt w:val="chineseCounting"/>
      <w:suff w:val="nothing"/>
      <w:lvlText w:val="（%1）"/>
      <w:lvlJc w:val="left"/>
      <w:rPr>
        <w:rFonts w:hint="eastAsia"/>
      </w:rPr>
    </w:lvl>
  </w:abstractNum>
  <w:abstractNum w:abstractNumId="1">
    <w:nsid w:val="DDAC0A88"/>
    <w:multiLevelType w:val="singleLevel"/>
    <w:tmpl w:val="DDAC0A88"/>
    <w:lvl w:ilvl="0" w:tentative="0">
      <w:start w:val="7"/>
      <w:numFmt w:val="chineseCounting"/>
      <w:suff w:val="nothing"/>
      <w:lvlText w:val="（%1）"/>
      <w:lvlJc w:val="left"/>
      <w:rPr>
        <w:rFonts w:hint="eastAsia"/>
      </w:rPr>
    </w:lvl>
  </w:abstractNum>
  <w:abstractNum w:abstractNumId="2">
    <w:nsid w:val="4E5B42B3"/>
    <w:multiLevelType w:val="multilevel"/>
    <w:tmpl w:val="4E5B42B3"/>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B2431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paragraph" w:styleId="2">
    <w:name w:val="Normal Indent"/>
    <w:basedOn w:val="1"/>
    <w:next w:val="1"/>
    <w:qFormat/>
    <w:uiPriority w:val="0"/>
    <w:pPr>
      <w:autoSpaceDE w:val="0"/>
      <w:autoSpaceDN w:val="0"/>
      <w:adjustRightInd w:val="0"/>
      <w:ind w:firstLine="420"/>
      <w:jc w:val="left"/>
    </w:pPr>
    <w:rPr>
      <w:rFonts w:ascii="宋体"/>
      <w:kern w:val="0"/>
      <w:sz w:val="24"/>
      <w:szCs w:val="20"/>
    </w:rPr>
  </w:style>
  <w:style w:type="paragraph" w:styleId="3">
    <w:name w:val="Plain Text"/>
    <w:basedOn w:val="1"/>
    <w:qFormat/>
    <w:uiPriority w:val="99"/>
    <w:rPr>
      <w:rFonts w:ascii="宋体" w:hAnsi="Courier New"/>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2025-07-01T05:26:21Z</dcterms:created>
  <dc:creator>yzjia</dc:creator>
  <cp:lastModifiedBy>godjiao</cp:lastModifiedBy>
  <dcterms:modified xsi:type="dcterms:W3CDTF">2025-07-01T05:26:40Z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eyJoZGlkIjoiY2IxMDc5ODZkZDE5M2E5MjdjM2ZkNDMyYjY0NzE3YmEiLCJ1c2VySWQiOiIyNDgyNzkwNjcifQ==</vt:lpwstr>
  </property>
  <property fmtid="{D5CDD505-2E9C-101B-9397-08002B2CF9AE}" pid="4" name="ICV">
    <vt:lpwstr>21C5F8F3A85F4F25A0F3CC28F035BE9C_12</vt:lpwstr>
  </property>
</Properties>
</file>