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AF865">
      <w:pPr>
        <w:adjustRightInd w:val="0"/>
        <w:snapToGrid w:val="0"/>
        <w:jc w:val="center"/>
        <w:rPr>
          <w:rFonts w:ascii="宋体" w:hAnsi="宋体"/>
          <w:b/>
          <w:sz w:val="24"/>
        </w:rPr>
      </w:pPr>
      <w:bookmarkStart w:id="1" w:name="_GoBack"/>
      <w:bookmarkEnd w:id="1"/>
      <w:bookmarkStart w:id="0" w:name="_Toc512937852"/>
    </w:p>
    <w:p w14:paraId="7374BF74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69928142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1B63731E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22973C1C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584C4E20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69840C43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790E3050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42D9B07B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5DFFFAA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69F63D55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7D0CE52E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kern w:val="44"/>
          <w:sz w:val="48"/>
          <w:szCs w:val="20"/>
        </w:rPr>
      </w:pPr>
      <w:r>
        <w:rPr>
          <w:rFonts w:hint="eastAsia" w:ascii="黑体" w:eastAsia="黑体"/>
          <w:b/>
          <w:kern w:val="44"/>
          <w:sz w:val="48"/>
          <w:szCs w:val="20"/>
        </w:rPr>
        <w:t>第八部分  采购需求</w:t>
      </w:r>
      <w:r>
        <w:rPr>
          <w:rFonts w:ascii="黑体" w:eastAsia="黑体"/>
          <w:b/>
          <w:kern w:val="44"/>
          <w:sz w:val="48"/>
          <w:szCs w:val="20"/>
        </w:rPr>
        <w:br w:type="page"/>
      </w:r>
    </w:p>
    <w:bookmarkEnd w:id="0"/>
    <w:p w14:paraId="5FD3B117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一、货物需求一览表</w:t>
      </w:r>
    </w:p>
    <w:p w14:paraId="7DDE15CC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29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1011"/>
        <w:gridCol w:w="1567"/>
        <w:gridCol w:w="2459"/>
      </w:tblGrid>
      <w:tr w14:paraId="021E28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 w14:paraId="05849E5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1878" w:type="dxa"/>
            <w:vAlign w:val="center"/>
          </w:tcPr>
          <w:p w14:paraId="751EF55D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397BFD37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011" w:type="dxa"/>
            <w:vAlign w:val="center"/>
          </w:tcPr>
          <w:p w14:paraId="72A9AA7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567" w:type="dxa"/>
            <w:vAlign w:val="center"/>
          </w:tcPr>
          <w:p w14:paraId="582A7F33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459" w:type="dxa"/>
            <w:vAlign w:val="center"/>
          </w:tcPr>
          <w:p w14:paraId="001193B4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75F56F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 w14:paraId="3954FAA6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1878" w:type="dxa"/>
            <w:vAlign w:val="center"/>
          </w:tcPr>
          <w:p w14:paraId="0A322FF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4"/>
              </w:rPr>
              <w:t>离子色谱测试系统</w:t>
            </w:r>
          </w:p>
        </w:tc>
        <w:tc>
          <w:tcPr>
            <w:tcW w:w="1122" w:type="dxa"/>
            <w:vAlign w:val="center"/>
          </w:tcPr>
          <w:p w14:paraId="7DEBD0E9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ascii="宋体" w:hAnsi="宋体"/>
                <w:color w:val="FF0000"/>
                <w:sz w:val="24"/>
              </w:rPr>
              <w:t>1</w:t>
            </w:r>
            <w:r>
              <w:rPr>
                <w:rFonts w:hint="eastAsia" w:ascii="宋体" w:hAnsi="宋体"/>
                <w:color w:val="FF0000"/>
                <w:sz w:val="24"/>
              </w:rPr>
              <w:t>套</w:t>
            </w:r>
          </w:p>
        </w:tc>
        <w:tc>
          <w:tcPr>
            <w:tcW w:w="5037" w:type="dxa"/>
            <w:gridSpan w:val="3"/>
            <w:vAlign w:val="center"/>
          </w:tcPr>
          <w:p w14:paraId="2D8ED661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详见具体技术规格</w:t>
            </w:r>
          </w:p>
        </w:tc>
      </w:tr>
    </w:tbl>
    <w:p w14:paraId="1082944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686CD1D0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7FE437BC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2B57D462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0E26F1CA">
      <w:pPr>
        <w:adjustRightInd w:val="0"/>
        <w:snapToGrid w:val="0"/>
        <w:rPr>
          <w:rFonts w:ascii="宋体" w:hAnsi="宋体"/>
          <w:szCs w:val="21"/>
        </w:rPr>
      </w:pPr>
    </w:p>
    <w:p w14:paraId="3509D3C6">
      <w:pPr>
        <w:adjustRightInd w:val="0"/>
        <w:snapToGrid w:val="0"/>
        <w:rPr>
          <w:rFonts w:ascii="宋体" w:hAnsi="宋体"/>
          <w:szCs w:val="21"/>
        </w:rPr>
      </w:pPr>
    </w:p>
    <w:p w14:paraId="531688D9">
      <w:pPr>
        <w:adjustRightInd w:val="0"/>
        <w:snapToGrid w:val="0"/>
        <w:rPr>
          <w:rFonts w:ascii="宋体" w:hAnsi="宋体"/>
          <w:szCs w:val="21"/>
        </w:rPr>
      </w:pPr>
    </w:p>
    <w:p w14:paraId="62BD6922">
      <w:pPr>
        <w:adjustRightInd w:val="0"/>
        <w:snapToGrid w:val="0"/>
        <w:rPr>
          <w:rFonts w:ascii="宋体" w:hAnsi="宋体"/>
          <w:szCs w:val="21"/>
        </w:rPr>
      </w:pPr>
    </w:p>
    <w:p w14:paraId="34BC06D2">
      <w:pPr>
        <w:adjustRightInd w:val="0"/>
        <w:snapToGrid w:val="0"/>
        <w:rPr>
          <w:rFonts w:ascii="宋体" w:hAnsi="宋体"/>
          <w:szCs w:val="21"/>
        </w:rPr>
      </w:pPr>
    </w:p>
    <w:p w14:paraId="73A43216">
      <w:pPr>
        <w:adjustRightInd w:val="0"/>
        <w:snapToGrid w:val="0"/>
        <w:rPr>
          <w:rFonts w:ascii="宋体" w:hAnsi="宋体"/>
          <w:szCs w:val="21"/>
        </w:rPr>
      </w:pPr>
    </w:p>
    <w:p w14:paraId="386A2CC1">
      <w:pPr>
        <w:adjustRightInd w:val="0"/>
        <w:snapToGrid w:val="0"/>
        <w:rPr>
          <w:rFonts w:ascii="宋体" w:hAnsi="宋体"/>
          <w:szCs w:val="21"/>
        </w:rPr>
      </w:pPr>
    </w:p>
    <w:p w14:paraId="2669EED6">
      <w:pPr>
        <w:adjustRightInd w:val="0"/>
        <w:snapToGrid w:val="0"/>
        <w:rPr>
          <w:rFonts w:ascii="宋体" w:hAnsi="宋体"/>
          <w:szCs w:val="21"/>
        </w:rPr>
      </w:pPr>
    </w:p>
    <w:p w14:paraId="6A8AB4EE">
      <w:pPr>
        <w:adjustRightInd w:val="0"/>
        <w:snapToGrid w:val="0"/>
        <w:rPr>
          <w:rFonts w:ascii="宋体" w:hAnsi="宋体"/>
          <w:szCs w:val="21"/>
        </w:rPr>
      </w:pPr>
    </w:p>
    <w:p w14:paraId="457BD46C">
      <w:pPr>
        <w:adjustRightInd w:val="0"/>
        <w:snapToGrid w:val="0"/>
        <w:rPr>
          <w:rFonts w:ascii="宋体" w:hAnsi="宋体"/>
          <w:szCs w:val="21"/>
        </w:rPr>
      </w:pPr>
    </w:p>
    <w:p w14:paraId="1160790E">
      <w:pPr>
        <w:adjustRightInd w:val="0"/>
        <w:snapToGrid w:val="0"/>
        <w:rPr>
          <w:rFonts w:ascii="宋体" w:hAnsi="宋体"/>
          <w:szCs w:val="21"/>
        </w:rPr>
      </w:pPr>
    </w:p>
    <w:p w14:paraId="751FBD6D">
      <w:pPr>
        <w:adjustRightInd w:val="0"/>
        <w:snapToGrid w:val="0"/>
        <w:rPr>
          <w:rFonts w:ascii="宋体" w:hAnsi="宋体"/>
          <w:szCs w:val="21"/>
        </w:rPr>
      </w:pPr>
    </w:p>
    <w:p w14:paraId="08D69DDE"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30"/>
          <w:szCs w:val="30"/>
        </w:rPr>
        <w:t>二、总则</w:t>
      </w:r>
    </w:p>
    <w:p w14:paraId="38D24B34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09A3D01F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205F847B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89427F0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44803CC4">
      <w:pPr>
        <w:spacing w:line="360" w:lineRule="auto"/>
        <w:ind w:left="554" w:hanging="554" w:hangingChars="231"/>
        <w:rPr>
          <w:rFonts w:ascii="宋体"/>
          <w:color w:val="FF0000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03466517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594174D4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69FCA920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09B6773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4DB6FE2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2EA8E153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8C7AB9A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71639395"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65DA0B0A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16162680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＋1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4623D85F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15F43F09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3F3841D9">
      <w:pPr>
        <w:rPr>
          <w:rFonts w:eastAsia="黑体"/>
          <w:b/>
          <w:bCs/>
          <w:kern w:val="44"/>
          <w:sz w:val="24"/>
        </w:rPr>
      </w:pPr>
    </w:p>
    <w:p w14:paraId="08A245A6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626B8BA8"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612C1F14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41A4A126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091B712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04B911EB">
      <w:pPr>
        <w:pStyle w:val="17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</w:p>
    <w:p w14:paraId="6CE1F746">
      <w:pPr>
        <w:pStyle w:val="17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5、本技术规格书中标注“*”号的为实质性要求，不满足其投标将被拒绝。</w:t>
      </w:r>
    </w:p>
    <w:p w14:paraId="2B6F6721">
      <w:pPr>
        <w:pStyle w:val="17"/>
        <w:spacing w:line="360" w:lineRule="auto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19722C01">
      <w:pPr>
        <w:spacing w:after="156" w:afterLines="50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三、具体技术规格</w:t>
      </w:r>
    </w:p>
    <w:p w14:paraId="481D4A6D">
      <w:pPr>
        <w:rPr>
          <w:sz w:val="24"/>
        </w:rPr>
      </w:pPr>
    </w:p>
    <w:p w14:paraId="6795A581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 xml:space="preserve">第1包 </w:t>
      </w:r>
      <w:r>
        <w:rPr>
          <w:rFonts w:hint="eastAsia" w:ascii="宋体" w:hAnsi="宋体" w:cs="宋体"/>
          <w:b/>
          <w:bCs/>
          <w:color w:val="FF0000"/>
          <w:kern w:val="0"/>
          <w:sz w:val="24"/>
        </w:rPr>
        <w:t>离子色谱测试系统</w:t>
      </w:r>
    </w:p>
    <w:p w14:paraId="66E44020">
      <w:pPr>
        <w:rPr>
          <w:b/>
          <w:sz w:val="24"/>
        </w:rPr>
      </w:pPr>
    </w:p>
    <w:p w14:paraId="35CD7DB0">
      <w:pPr>
        <w:rPr>
          <w:b/>
          <w:sz w:val="24"/>
        </w:rPr>
      </w:pPr>
    </w:p>
    <w:p w14:paraId="2CDE8FCB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0768CA87">
      <w:pPr>
        <w:rPr>
          <w:b/>
          <w:sz w:val="24"/>
        </w:rPr>
      </w:pPr>
    </w:p>
    <w:p w14:paraId="0CC87398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1.工作条件：</w:t>
      </w:r>
    </w:p>
    <w:p w14:paraId="71670039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1.1 环境温度为 20℃±5℃； </w:t>
      </w:r>
    </w:p>
    <w:p w14:paraId="1E537FA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1.2 相对湿度为 30%～80%； </w:t>
      </w:r>
    </w:p>
    <w:p w14:paraId="7FB5515F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1.3 电源电压为 220 V×（1±10%）； </w:t>
      </w:r>
    </w:p>
    <w:p w14:paraId="526B8B42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1.4 电源频率为 50 Hz±1 Hz； </w:t>
      </w:r>
    </w:p>
    <w:p w14:paraId="5ACB7A8D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1.5 电源容量不低于整机额定功率的 2 倍； </w:t>
      </w:r>
    </w:p>
    <w:p w14:paraId="711AAFD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1.6 接地电阻不大于 4 Ω； </w:t>
      </w:r>
    </w:p>
    <w:p w14:paraId="5CB3E07C">
      <w:pPr>
        <w:spacing w:line="360" w:lineRule="auto"/>
        <w:ind w:left="435" w:firstLine="240"/>
        <w:rPr>
          <w:sz w:val="24"/>
        </w:rPr>
      </w:pPr>
    </w:p>
    <w:p w14:paraId="272F87EF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2.设备用途：</w:t>
      </w:r>
    </w:p>
    <w:p w14:paraId="432793DF">
      <w:pPr>
        <w:spacing w:line="360" w:lineRule="auto"/>
        <w:ind w:firstLine="480" w:firstLineChars="200"/>
        <w:rPr>
          <w:b/>
          <w:sz w:val="24"/>
        </w:rPr>
      </w:pPr>
      <w:r>
        <w:rPr>
          <w:rFonts w:hint="eastAsia"/>
          <w:sz w:val="24"/>
        </w:rPr>
        <w:t>离子色谱仪是利用离子交换、色谱分离和离子检测技术，对带电离子进行分离、检测和定量的仪器。</w:t>
      </w:r>
    </w:p>
    <w:p w14:paraId="7CB89632">
      <w:pPr>
        <w:spacing w:line="360" w:lineRule="auto"/>
        <w:rPr>
          <w:b/>
          <w:sz w:val="24"/>
        </w:rPr>
      </w:pPr>
    </w:p>
    <w:p w14:paraId="38E58E81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3.技术规格：</w:t>
      </w:r>
    </w:p>
    <w:p w14:paraId="6877FF58">
      <w:pPr>
        <w:spacing w:line="360" w:lineRule="auto"/>
        <w:rPr>
          <w:sz w:val="24"/>
        </w:rPr>
      </w:pPr>
      <w:r>
        <w:rPr>
          <w:sz w:val="24"/>
        </w:rPr>
        <w:t>3.1电极装置</w:t>
      </w:r>
    </w:p>
    <w:p w14:paraId="40B6AF66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转速:50-10000rpm，电机功率 0.02马力,采用银碳刷接触连接。</w:t>
      </w:r>
    </w:p>
    <w:p w14:paraId="12EECADA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#精度：转速精度误差±1%。</w:t>
      </w:r>
    </w:p>
    <w:p w14:paraId="1857AF0F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*最大连续扭矩：28.3 mN m。</w:t>
      </w:r>
    </w:p>
    <w:p w14:paraId="3A41CD25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高性能加速系统：15W 永磁直流电机，配合双极电源技术，具备优异的动力学性能，平滑加速。</w:t>
      </w:r>
    </w:p>
    <w:p w14:paraId="011DB030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#控制:分体控制，可拆式结构。具备独立的控制系统，旋转电机系统与旋转控制转速系统分开，防止各种易挥发气体进入腐蚀电机。</w:t>
      </w:r>
    </w:p>
    <w:p w14:paraId="75188D99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*单独的控制系统具有信号输入/输出接口，可通过输入外部信号(来自电化学工作站)控制转速，同时单独控制系统可将转速信号输出至测试设备(示波器)或用来控制其它设备。</w:t>
      </w:r>
    </w:p>
    <w:p w14:paraId="0B81AD15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防爆:最新防爆设计，保证人身与设备安全</w:t>
      </w:r>
    </w:p>
    <w:p w14:paraId="7C464EB8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旋转杆:长度 170mm 外径:15mm，适用于各种电解池，方便与其它仪器联用,还有不同型号旋转杆供不同研究使用。</w:t>
      </w:r>
    </w:p>
    <w:p w14:paraId="4E098DED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*陶瓷密封插件：内径为15mm,与外径为15mm的旋转杆配合使用，材质为PEEK</w:t>
      </w:r>
    </w:p>
    <w:p w14:paraId="0F15F7A5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盘电极:外螺纹设计，接触更好，信号传输稳定。盘电极直径:5.0mm，电极外径:15mm工作温度:室温，另有高温可选。</w:t>
      </w:r>
    </w:p>
    <w:p w14:paraId="627797B1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盘环电极：最高转速为3000RPM，铂环收集率为37%。</w:t>
      </w:r>
    </w:p>
    <w:p w14:paraId="34ACCE84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环盘间距：320um 工作温度：10-25℃。</w:t>
      </w:r>
    </w:p>
    <w:p w14:paraId="6BEBAE1A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盘面积：0.2475CM2，环面积：0.1866CM2，玻碳盘电极外径：5.61mm，铂环外径：7.92mm，铂环内径：6.25mm。</w:t>
      </w:r>
    </w:p>
    <w:p w14:paraId="02933AA4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盘材料：玻碳 </w:t>
      </w:r>
    </w:p>
    <w:p w14:paraId="667B7D7F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环材料：铂。</w:t>
      </w:r>
    </w:p>
    <w:p w14:paraId="1A04A176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铂对电极：14/20的口径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原装置铂对电极，配合旋转电极电解池标准口径。 </w:t>
      </w:r>
    </w:p>
    <w:p w14:paraId="789D892E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99.99%纯度的铂丝，铂丝纯度99.99%；电极长度29cm</w:t>
      </w:r>
    </w:p>
    <w:p w14:paraId="0BF3C9BE">
      <w:pPr>
        <w:numPr>
          <w:ilvl w:val="0"/>
          <w:numId w:val="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银/氯化银双接点参比电极：外层溶液为10%KNO3（质量百分比），内层溶液为凝胶饱和KCL</w:t>
      </w:r>
    </w:p>
    <w:p w14:paraId="548A98A4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带夹套五口电解池：150ml，旋转电极口24/25，四侧小口14/20。采用优质玻璃，开模加工而成。具有优良的化学特性。配备全套的封口件。尤其是一个F型双进气口，以及L型出气口，可以有效保证电解池的气密性。双层设计，夹套可以通冷却液，保证电解池中的温度环境。</w:t>
      </w:r>
    </w:p>
    <w:p w14:paraId="22E7D7D1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实验功能:氢燃料电池催化剂研究及评价;锂空气电池研究;电化学动力学研究;氧还原反应(ORR)、氧析出反应(OER)研究;缓蚀剂评价及研究;金属材料腐蚀电位研究，C02 电催化。</w:t>
      </w:r>
    </w:p>
    <w:p w14:paraId="08D511A2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hint="eastAsia"/>
          <w:sz w:val="24"/>
        </w:rPr>
        <w:t>3.2</w:t>
      </w:r>
      <w:r>
        <w:rPr>
          <w:sz w:val="24"/>
        </w:rPr>
        <w:t>电池测试装置</w:t>
      </w:r>
      <w:r>
        <w:rPr>
          <w:sz w:val="24"/>
        </w:rPr>
        <w:tab/>
      </w:r>
    </w:p>
    <w:p w14:paraId="65A5B154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（1）体积 830mm长*705mm宽*730mm高，总体积＜0.5m</w:t>
      </w:r>
      <w:r>
        <w:rPr>
          <w:rFonts w:hint="eastAsia"/>
          <w:sz w:val="24"/>
          <w:vertAlign w:val="superscript"/>
        </w:rPr>
        <w:t>3</w:t>
      </w:r>
    </w:p>
    <w:p w14:paraId="65C7BE7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（2）加湿方式：气泡式加湿</w:t>
      </w:r>
    </w:p>
    <w:p w14:paraId="459823A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（3）*加湿温度范围：室温~90℃</w:t>
      </w:r>
    </w:p>
    <w:p w14:paraId="685F886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（4）加湿湿度范围：100%RH@最大流量（5L)</w:t>
      </w:r>
    </w:p>
    <w:p w14:paraId="56EBE62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（5）*阳极气体流量控制：最大需达2 SLPM</w:t>
      </w:r>
    </w:p>
    <w:p w14:paraId="7680262A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（6）*阴极气体流量控制：最大需达5 SLPM</w:t>
      </w:r>
    </w:p>
    <w:p w14:paraId="6047763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（7）温度控制感测形式：T型热电偶</w:t>
      </w:r>
    </w:p>
    <w:p w14:paraId="246CB25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（8）#安全保护机动作 卸除负载，停止加热，氮气清扫，停止燃料供应</w:t>
      </w:r>
    </w:p>
    <w:p w14:paraId="6D3FA1D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（9）*自动干湿切换；阳极与阴极两组切换频道</w:t>
      </w:r>
    </w:p>
    <w:p w14:paraId="5051380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（10）最大功率：100W</w:t>
      </w:r>
    </w:p>
    <w:p w14:paraId="2D6CF711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（11）电流范围：0~24A/0~240A 支持定制</w:t>
      </w:r>
    </w:p>
    <w:p w14:paraId="57FCE334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（12）电流设定分辨率：0.4~4mA</w:t>
      </w:r>
    </w:p>
    <w:p w14:paraId="016BDD03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（13）电压范围：0.2V~2V/0.2V~10V</w:t>
      </w:r>
    </w:p>
    <w:p w14:paraId="1A2E7D71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（14）电压设定分辨率：0.05/0.25mV</w:t>
      </w:r>
    </w:p>
    <w:p w14:paraId="75B4AF3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（15）具有保护功能：过电流保护，低电压保护，沟通失效保护，温度保护，补水异常保护；加湿瓶液位警示保护，进气压力不足警示保护，手动紧急停止开关</w:t>
      </w:r>
    </w:p>
    <w:p w14:paraId="4EE02B32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3.3恒电流仪</w:t>
      </w:r>
    </w:p>
    <w:p w14:paraId="4604F52C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（1）*恒电流仪恒电流范围： 0.3 nA – 250 mA所加电流分辨率：电流范围的0.03%</w:t>
      </w:r>
    </w:p>
    <w:p w14:paraId="491A5EEE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（2）#测量电位范围： ±0.025V, ±0.1V, ±0.25V, ±1V, ±2.5V,   ±10V</w:t>
      </w:r>
    </w:p>
    <w:p w14:paraId="13D6AA84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（3）测量电位分辨率：测量范围的0.0015%</w:t>
      </w:r>
    </w:p>
    <w:p w14:paraId="298E52C2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（4）所加电流准确度：±20pA，电流3e-7A至 3e-3A时为0.3%，其他范围为1%</w:t>
      </w:r>
    </w:p>
    <w:p w14:paraId="0A4AD96C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电位计</w:t>
      </w:r>
    </w:p>
    <w:p w14:paraId="5EA9B988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（1）*参比电极输入阻抗：1e12 欧姆</w:t>
      </w:r>
    </w:p>
    <w:p w14:paraId="11FAE559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（2）*参比电极输入带宽： 10 MHz</w:t>
      </w:r>
    </w:p>
    <w:p w14:paraId="563C3955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（3）参比电极输入偏置电流：&lt;= 10 pA @ 25°C</w:t>
      </w:r>
    </w:p>
    <w:p w14:paraId="2BCB3911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波形发生和数据获得系统</w:t>
      </w:r>
    </w:p>
    <w:p w14:paraId="4E8C84B1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（1）快速信号发生更新速率：10 MHz， 16位分辨</w:t>
      </w:r>
    </w:p>
    <w:p w14:paraId="1E3E8DD5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（2）快速数据采集系统：16位分辨ADC，双通道同步采样，采样速率2.5M赫兹</w:t>
      </w:r>
    </w:p>
    <w:p w14:paraId="4D99B92D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（3）*外部信号记录通道最高采样速率2.5M Hz</w:t>
      </w:r>
    </w:p>
    <w:p w14:paraId="676991E2">
      <w:pPr>
        <w:spacing w:line="360" w:lineRule="auto"/>
        <w:ind w:left="360" w:hanging="360"/>
        <w:rPr>
          <w:sz w:val="24"/>
        </w:rPr>
      </w:pPr>
      <w:r>
        <w:rPr>
          <w:rFonts w:hint="eastAsia"/>
          <w:sz w:val="24"/>
        </w:rPr>
        <w:t>3.6色谱系统</w:t>
      </w:r>
      <w:r>
        <w:rPr>
          <w:rFonts w:hint="eastAsia"/>
          <w:sz w:val="24"/>
        </w:rPr>
        <w:tab/>
      </w:r>
    </w:p>
    <w:p w14:paraId="0F4A7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（1）组成：惰性输液泵，自动进样器，脱气机，柱温箱，电导检测器，抑制器，色谱柱，色谱工作站。</w:t>
      </w:r>
    </w:p>
    <w:p w14:paraId="192D63C5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（2）泵类型：串联双柱塞泵；</w:t>
      </w:r>
    </w:p>
    <w:p w14:paraId="0BD8C0DA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（3）*流量精密度：0.062%RSD</w:t>
      </w:r>
    </w:p>
    <w:p w14:paraId="54A36974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（4）最大排液压力：35MPa；</w:t>
      </w:r>
    </w:p>
    <w:p w14:paraId="64FB7A08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（5）脱气单元: 膜式在线脱气，3流路</w:t>
      </w:r>
    </w:p>
    <w:p w14:paraId="13E9BAA1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（6）淋洗液发生器生产方式：通过在离子膜的两侧施加一定电压，在线电解产生生成淋洗液。“双膜”型构造，无需额外脱气装置。</w:t>
      </w:r>
    </w:p>
    <w:p w14:paraId="2E645055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7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#用于高灵敏度糖类分析，可以适用于易发生氧化还原反应的化合物，针对不同的分析需求，提供了多种电极选择。</w:t>
      </w:r>
    </w:p>
    <w:p w14:paraId="328468C6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（8）#自动进样器进样方式：全量进样</w:t>
      </w:r>
    </w:p>
    <w:p w14:paraId="5BE35E81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（9）进样量设定范围：0.1-100μL</w:t>
      </w:r>
    </w:p>
    <w:p w14:paraId="1A29F773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（10）样品容量: 1.5mL样品瓶*108位；4.0mL样品瓶*48位；96孔板：最多2块（样品数192个）除上述外, 10mL瓶3个</w:t>
      </w:r>
    </w:p>
    <w:p w14:paraId="2303BBA3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（11）*进样重现性：0.28%RSD以下(5μL进样时）</w:t>
      </w:r>
    </w:p>
    <w:p w14:paraId="01A5BF64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（12）柱温箱控温方式: 半导体模块加热方式</w:t>
      </w:r>
    </w:p>
    <w:p w14:paraId="23FF8EFB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（13）*温度控制范围: 室温+5℃～80°C （1℃步）</w:t>
      </w:r>
    </w:p>
    <w:p w14:paraId="10B6659E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 xml:space="preserve">（14）*交叉污染：0.003% </w:t>
      </w:r>
    </w:p>
    <w:p w14:paraId="7C7A4FF8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（15）电导检测器测定范围：0.01~56,000 μS/cm FS</w:t>
      </w:r>
    </w:p>
    <w:p w14:paraId="2AB3265D">
      <w:pPr>
        <w:spacing w:line="360" w:lineRule="auto"/>
        <w:ind w:left="360" w:hanging="360"/>
        <w:rPr>
          <w:rFonts w:hint="eastAsia"/>
          <w:sz w:val="24"/>
        </w:rPr>
      </w:pPr>
      <w:r>
        <w:rPr>
          <w:rFonts w:hint="eastAsia"/>
          <w:sz w:val="24"/>
        </w:rPr>
        <w:t>（16）抑制器类型：自动再生电致膜式抑制器，抑制过程采用电解方式</w:t>
      </w:r>
    </w:p>
    <w:p w14:paraId="6EA34240">
      <w:pPr>
        <w:spacing w:line="360" w:lineRule="auto"/>
        <w:ind w:left="360" w:hanging="360"/>
        <w:rPr>
          <w:rFonts w:hint="eastAsia"/>
          <w:sz w:val="24"/>
        </w:rPr>
      </w:pPr>
    </w:p>
    <w:p w14:paraId="7C285E5D">
      <w:pPr>
        <w:spacing w:line="360" w:lineRule="auto"/>
        <w:ind w:left="360" w:hanging="360"/>
        <w:rPr>
          <w:rFonts w:ascii="宋体" w:hAnsi="宋体"/>
        </w:rPr>
      </w:pPr>
      <w:r>
        <w:rPr>
          <w:rFonts w:hint="eastAsia"/>
          <w:b/>
          <w:sz w:val="24"/>
        </w:rPr>
        <w:t xml:space="preserve">4.产品配置要求  </w:t>
      </w:r>
      <w:r>
        <w:rPr>
          <w:rFonts w:hint="eastAsia" w:ascii="宋体" w:hAnsi="宋体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DD4E93">
      <w:pPr>
        <w:spacing w:line="360" w:lineRule="auto"/>
        <w:rPr>
          <w:sz w:val="24"/>
        </w:rPr>
      </w:pPr>
      <w:r>
        <w:rPr>
          <w:rFonts w:hint="eastAsia"/>
          <w:sz w:val="24"/>
        </w:rPr>
        <w:t>4.1 离子色谱测试系统 1套</w:t>
      </w:r>
    </w:p>
    <w:p w14:paraId="07B955DF">
      <w:pPr>
        <w:spacing w:line="360" w:lineRule="auto"/>
        <w:rPr>
          <w:sz w:val="24"/>
        </w:rPr>
      </w:pPr>
      <w:r>
        <w:rPr>
          <w:rFonts w:hint="eastAsia"/>
          <w:sz w:val="24"/>
        </w:rPr>
        <w:t>4.2 要求的附件、专用工具和消耗品：电极旋转杆陶瓷密封插件、旋转玻碳盘铂环电极、旋转玻盘电极、铂对电极</w:t>
      </w:r>
    </w:p>
    <w:p w14:paraId="3EFC5E3E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4.3 </w:t>
      </w:r>
      <w:r>
        <w:rPr>
          <w:sz w:val="24"/>
        </w:rPr>
        <w:t>其它保证仪器设备的正常运行和常规保养所需的附件、专用工具和消耗品。</w:t>
      </w:r>
    </w:p>
    <w:p w14:paraId="76F44D67">
      <w:pPr>
        <w:spacing w:line="360" w:lineRule="auto"/>
        <w:rPr>
          <w:sz w:val="24"/>
        </w:rPr>
      </w:pPr>
    </w:p>
    <w:p w14:paraId="66D2096A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3A431D7C">
      <w:pPr>
        <w:spacing w:line="360" w:lineRule="auto"/>
        <w:rPr>
          <w:rFonts w:ascii="宋体"/>
          <w:sz w:val="24"/>
        </w:rPr>
      </w:pPr>
      <w:r>
        <w:rPr>
          <w:rFonts w:hint="eastAsia"/>
          <w:sz w:val="24"/>
        </w:rPr>
        <w:t xml:space="preserve">1.1 负责产品运输、安装、调试及操作人员现场培训； </w:t>
      </w:r>
    </w:p>
    <w:p w14:paraId="3BEA3348">
      <w:pPr>
        <w:spacing w:line="360" w:lineRule="auto"/>
        <w:rPr>
          <w:sz w:val="24"/>
        </w:rPr>
      </w:pPr>
      <w:r>
        <w:rPr>
          <w:rFonts w:hint="eastAsia"/>
          <w:sz w:val="24"/>
        </w:rPr>
        <w:t>1.2 整机质量保证期为壹年，免收所有费用，终身负责仪器的维修；</w:t>
      </w:r>
    </w:p>
    <w:p w14:paraId="631C9CDD">
      <w:pPr>
        <w:spacing w:line="360" w:lineRule="auto"/>
        <w:rPr>
          <w:sz w:val="24"/>
        </w:rPr>
      </w:pPr>
      <w:r>
        <w:rPr>
          <w:rFonts w:hint="eastAsia"/>
          <w:sz w:val="24"/>
        </w:rPr>
        <w:t>1.3 维修响应时间：仪器运行时用户需要服务时，自得到通知后2个小时内拿出处理意见，用户自己不能处理时，48小时内派人到现场处理，保证仪器正常运行；</w:t>
      </w:r>
    </w:p>
    <w:p w14:paraId="781AD43B">
      <w:pPr>
        <w:spacing w:line="360" w:lineRule="auto"/>
        <w:rPr>
          <w:sz w:val="24"/>
        </w:rPr>
      </w:pPr>
      <w:r>
        <w:rPr>
          <w:rFonts w:hint="eastAsia"/>
          <w:sz w:val="24"/>
        </w:rPr>
        <w:t>1.4 每年至少免费提供一次控制软件和应用软件升级</w:t>
      </w:r>
    </w:p>
    <w:p w14:paraId="102A9F47">
      <w:pPr>
        <w:spacing w:line="360" w:lineRule="auto"/>
        <w:rPr>
          <w:b/>
          <w:sz w:val="24"/>
        </w:rPr>
      </w:pPr>
    </w:p>
    <w:p w14:paraId="2FAA5B9C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1FD2524B"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 xml:space="preserve">   1套</w:t>
      </w:r>
    </w:p>
    <w:p w14:paraId="3547B055">
      <w:pPr>
        <w:spacing w:line="360" w:lineRule="auto"/>
        <w:rPr>
          <w:sz w:val="24"/>
        </w:rPr>
      </w:pPr>
    </w:p>
    <w:p w14:paraId="249054A6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 交货地：</w:t>
      </w:r>
    </w:p>
    <w:p w14:paraId="47BBBC9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中国石油大学(北京)。</w:t>
      </w:r>
    </w:p>
    <w:p w14:paraId="2835126A">
      <w:pPr>
        <w:spacing w:line="360" w:lineRule="auto"/>
        <w:rPr>
          <w:sz w:val="24"/>
        </w:rPr>
      </w:pPr>
    </w:p>
    <w:p w14:paraId="7CC44AAB">
      <w:pPr>
        <w:numPr>
          <w:ilvl w:val="0"/>
          <w:numId w:val="3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交货日期：</w:t>
      </w:r>
    </w:p>
    <w:p w14:paraId="22F4FB53">
      <w:pPr>
        <w:spacing w:line="360" w:lineRule="auto"/>
        <w:ind w:firstLine="480" w:firstLineChars="200"/>
        <w:rPr>
          <w:rFonts w:ascii="宋体" w:hAnsi="宋体"/>
          <w:b/>
          <w:sz w:val="30"/>
          <w:szCs w:val="30"/>
        </w:rPr>
      </w:pPr>
      <w:r>
        <w:rPr>
          <w:rFonts w:hint="eastAsia"/>
          <w:sz w:val="24"/>
        </w:rPr>
        <w:t xml:space="preserve"> 签订合同后60日内交货</w:t>
      </w:r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长城仿宋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ime of new roman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5985F">
    <w:pPr>
      <w:pStyle w:val="2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483FFA">
    <w:pPr>
      <w:pStyle w:val="21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6309E1">
    <w:pPr>
      <w:pStyle w:val="22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89B086C"/>
    <w:multiLevelType w:val="singleLevel"/>
    <w:tmpl w:val="489B086C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UxYzZhNDhjOTc2ZjA1OTE4YzJmNTFhNTU3ODNkYjMifQ=="/>
  </w:docVars>
  <w:rsids>
    <w:rsidRoot w:val="00FA3835"/>
    <w:rsid w:val="000050A2"/>
    <w:rsid w:val="000206C1"/>
    <w:rsid w:val="00027C8D"/>
    <w:rsid w:val="00040005"/>
    <w:rsid w:val="000543E7"/>
    <w:rsid w:val="0006010D"/>
    <w:rsid w:val="000668DC"/>
    <w:rsid w:val="00081ADD"/>
    <w:rsid w:val="00085052"/>
    <w:rsid w:val="000922AF"/>
    <w:rsid w:val="000969BB"/>
    <w:rsid w:val="000973D2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5949"/>
    <w:rsid w:val="00107AF4"/>
    <w:rsid w:val="001140D0"/>
    <w:rsid w:val="001235CA"/>
    <w:rsid w:val="00137D93"/>
    <w:rsid w:val="001437EA"/>
    <w:rsid w:val="00144505"/>
    <w:rsid w:val="00144DDA"/>
    <w:rsid w:val="001470D0"/>
    <w:rsid w:val="0014761F"/>
    <w:rsid w:val="00153F11"/>
    <w:rsid w:val="00154F47"/>
    <w:rsid w:val="00155A34"/>
    <w:rsid w:val="00164E27"/>
    <w:rsid w:val="00187304"/>
    <w:rsid w:val="001921CA"/>
    <w:rsid w:val="00194900"/>
    <w:rsid w:val="001A0E56"/>
    <w:rsid w:val="001A6E63"/>
    <w:rsid w:val="001B195C"/>
    <w:rsid w:val="001B5C65"/>
    <w:rsid w:val="001B62CC"/>
    <w:rsid w:val="001B66E1"/>
    <w:rsid w:val="001B6E57"/>
    <w:rsid w:val="001D67C6"/>
    <w:rsid w:val="001D7301"/>
    <w:rsid w:val="001D7C2B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1259E"/>
    <w:rsid w:val="00213C28"/>
    <w:rsid w:val="002208E1"/>
    <w:rsid w:val="00224FE7"/>
    <w:rsid w:val="0023013E"/>
    <w:rsid w:val="00233C8A"/>
    <w:rsid w:val="0023407F"/>
    <w:rsid w:val="00240E7B"/>
    <w:rsid w:val="00247ED0"/>
    <w:rsid w:val="00251DB7"/>
    <w:rsid w:val="00275598"/>
    <w:rsid w:val="002761A3"/>
    <w:rsid w:val="0028124D"/>
    <w:rsid w:val="00282A80"/>
    <w:rsid w:val="00282F14"/>
    <w:rsid w:val="00292E0B"/>
    <w:rsid w:val="00293D1D"/>
    <w:rsid w:val="002A05BB"/>
    <w:rsid w:val="002B44BD"/>
    <w:rsid w:val="002B6E7A"/>
    <w:rsid w:val="002B7380"/>
    <w:rsid w:val="002D5C47"/>
    <w:rsid w:val="002E03AA"/>
    <w:rsid w:val="002E6A76"/>
    <w:rsid w:val="002F1704"/>
    <w:rsid w:val="002F6FCA"/>
    <w:rsid w:val="002F7EF8"/>
    <w:rsid w:val="00301191"/>
    <w:rsid w:val="00316BEC"/>
    <w:rsid w:val="00322611"/>
    <w:rsid w:val="003248D5"/>
    <w:rsid w:val="00326D72"/>
    <w:rsid w:val="0033189B"/>
    <w:rsid w:val="003442AE"/>
    <w:rsid w:val="0034443A"/>
    <w:rsid w:val="003474B8"/>
    <w:rsid w:val="00353E66"/>
    <w:rsid w:val="00357C16"/>
    <w:rsid w:val="003637C6"/>
    <w:rsid w:val="003654F9"/>
    <w:rsid w:val="003732CC"/>
    <w:rsid w:val="00373B63"/>
    <w:rsid w:val="00374F9A"/>
    <w:rsid w:val="003752C8"/>
    <w:rsid w:val="00382C0C"/>
    <w:rsid w:val="00384D29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3F76EE"/>
    <w:rsid w:val="004043A2"/>
    <w:rsid w:val="00404EA5"/>
    <w:rsid w:val="00415144"/>
    <w:rsid w:val="00416D32"/>
    <w:rsid w:val="00420D92"/>
    <w:rsid w:val="0042297A"/>
    <w:rsid w:val="004362C7"/>
    <w:rsid w:val="0044106E"/>
    <w:rsid w:val="00446E68"/>
    <w:rsid w:val="00447503"/>
    <w:rsid w:val="0046038A"/>
    <w:rsid w:val="00471176"/>
    <w:rsid w:val="00484FF8"/>
    <w:rsid w:val="00491CC1"/>
    <w:rsid w:val="00494102"/>
    <w:rsid w:val="004A0EB1"/>
    <w:rsid w:val="004A3B49"/>
    <w:rsid w:val="004A5C14"/>
    <w:rsid w:val="004B3476"/>
    <w:rsid w:val="004B36B8"/>
    <w:rsid w:val="004B7C30"/>
    <w:rsid w:val="004C387C"/>
    <w:rsid w:val="004D0AB9"/>
    <w:rsid w:val="004E042A"/>
    <w:rsid w:val="004E4504"/>
    <w:rsid w:val="004F0FDE"/>
    <w:rsid w:val="004F3E07"/>
    <w:rsid w:val="00504FD3"/>
    <w:rsid w:val="00512882"/>
    <w:rsid w:val="005134AD"/>
    <w:rsid w:val="005143FF"/>
    <w:rsid w:val="00516FEB"/>
    <w:rsid w:val="005244F5"/>
    <w:rsid w:val="00524665"/>
    <w:rsid w:val="005333F9"/>
    <w:rsid w:val="00543C0A"/>
    <w:rsid w:val="0054699B"/>
    <w:rsid w:val="005515EB"/>
    <w:rsid w:val="0055226E"/>
    <w:rsid w:val="00552E7C"/>
    <w:rsid w:val="005601D0"/>
    <w:rsid w:val="005613B2"/>
    <w:rsid w:val="0056304A"/>
    <w:rsid w:val="005656BB"/>
    <w:rsid w:val="0057066D"/>
    <w:rsid w:val="00572671"/>
    <w:rsid w:val="00590BEF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1EE6"/>
    <w:rsid w:val="00602911"/>
    <w:rsid w:val="00602A7A"/>
    <w:rsid w:val="0060509A"/>
    <w:rsid w:val="006125F5"/>
    <w:rsid w:val="00612A9B"/>
    <w:rsid w:val="00614D00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55B80"/>
    <w:rsid w:val="00660515"/>
    <w:rsid w:val="00664D7F"/>
    <w:rsid w:val="006713CD"/>
    <w:rsid w:val="006810E3"/>
    <w:rsid w:val="00681C84"/>
    <w:rsid w:val="006A377B"/>
    <w:rsid w:val="006A6511"/>
    <w:rsid w:val="006B0930"/>
    <w:rsid w:val="006C1EC0"/>
    <w:rsid w:val="006C4384"/>
    <w:rsid w:val="006C5135"/>
    <w:rsid w:val="006C546E"/>
    <w:rsid w:val="006D29F2"/>
    <w:rsid w:val="006E2DE0"/>
    <w:rsid w:val="006E5A8E"/>
    <w:rsid w:val="0070081C"/>
    <w:rsid w:val="0071653B"/>
    <w:rsid w:val="00721985"/>
    <w:rsid w:val="00724C84"/>
    <w:rsid w:val="007252A8"/>
    <w:rsid w:val="00725C0A"/>
    <w:rsid w:val="00726300"/>
    <w:rsid w:val="0073119D"/>
    <w:rsid w:val="0073199C"/>
    <w:rsid w:val="007376B0"/>
    <w:rsid w:val="00740508"/>
    <w:rsid w:val="00740A78"/>
    <w:rsid w:val="00741A82"/>
    <w:rsid w:val="00743776"/>
    <w:rsid w:val="00751428"/>
    <w:rsid w:val="00753063"/>
    <w:rsid w:val="0075674B"/>
    <w:rsid w:val="00761F2B"/>
    <w:rsid w:val="00762D39"/>
    <w:rsid w:val="00763B74"/>
    <w:rsid w:val="007731D0"/>
    <w:rsid w:val="00775B16"/>
    <w:rsid w:val="00785A0A"/>
    <w:rsid w:val="00786491"/>
    <w:rsid w:val="00787CED"/>
    <w:rsid w:val="007905E0"/>
    <w:rsid w:val="0079112E"/>
    <w:rsid w:val="00791C1F"/>
    <w:rsid w:val="007967F8"/>
    <w:rsid w:val="007A3772"/>
    <w:rsid w:val="007A3CCF"/>
    <w:rsid w:val="007C2696"/>
    <w:rsid w:val="007C4C31"/>
    <w:rsid w:val="007C5EA5"/>
    <w:rsid w:val="007D381E"/>
    <w:rsid w:val="007D3EE2"/>
    <w:rsid w:val="007E03CA"/>
    <w:rsid w:val="007E6193"/>
    <w:rsid w:val="007E67CC"/>
    <w:rsid w:val="007F2F97"/>
    <w:rsid w:val="007F387D"/>
    <w:rsid w:val="007F7152"/>
    <w:rsid w:val="008203E6"/>
    <w:rsid w:val="00822633"/>
    <w:rsid w:val="00830107"/>
    <w:rsid w:val="00831B02"/>
    <w:rsid w:val="00833174"/>
    <w:rsid w:val="00846609"/>
    <w:rsid w:val="00852958"/>
    <w:rsid w:val="00864F77"/>
    <w:rsid w:val="008661F8"/>
    <w:rsid w:val="008712FA"/>
    <w:rsid w:val="00876AA9"/>
    <w:rsid w:val="00876EFF"/>
    <w:rsid w:val="00883AB2"/>
    <w:rsid w:val="008861B2"/>
    <w:rsid w:val="0089155D"/>
    <w:rsid w:val="00896377"/>
    <w:rsid w:val="008A09F5"/>
    <w:rsid w:val="008A4B18"/>
    <w:rsid w:val="008A738C"/>
    <w:rsid w:val="008B2645"/>
    <w:rsid w:val="008C36D3"/>
    <w:rsid w:val="008D0675"/>
    <w:rsid w:val="008D1425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12E"/>
    <w:rsid w:val="00930CDE"/>
    <w:rsid w:val="00935AA1"/>
    <w:rsid w:val="00944891"/>
    <w:rsid w:val="009451DC"/>
    <w:rsid w:val="009467F2"/>
    <w:rsid w:val="0095655E"/>
    <w:rsid w:val="009718ED"/>
    <w:rsid w:val="0097297B"/>
    <w:rsid w:val="0098154C"/>
    <w:rsid w:val="0098549E"/>
    <w:rsid w:val="009857EF"/>
    <w:rsid w:val="009941D8"/>
    <w:rsid w:val="00995597"/>
    <w:rsid w:val="009A2C18"/>
    <w:rsid w:val="009C0A0B"/>
    <w:rsid w:val="009C14BD"/>
    <w:rsid w:val="009C621D"/>
    <w:rsid w:val="009D1AF8"/>
    <w:rsid w:val="009E1C84"/>
    <w:rsid w:val="009E32D4"/>
    <w:rsid w:val="009E4080"/>
    <w:rsid w:val="009E4DCB"/>
    <w:rsid w:val="009E580F"/>
    <w:rsid w:val="009E5FCF"/>
    <w:rsid w:val="009F5A6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1826"/>
    <w:rsid w:val="00A53234"/>
    <w:rsid w:val="00A55E4D"/>
    <w:rsid w:val="00A57F47"/>
    <w:rsid w:val="00A870BB"/>
    <w:rsid w:val="00A944DF"/>
    <w:rsid w:val="00AA7A0D"/>
    <w:rsid w:val="00AB113B"/>
    <w:rsid w:val="00AD2FD2"/>
    <w:rsid w:val="00AD41E6"/>
    <w:rsid w:val="00AD4ECF"/>
    <w:rsid w:val="00AD70C8"/>
    <w:rsid w:val="00AF6067"/>
    <w:rsid w:val="00B0445C"/>
    <w:rsid w:val="00B07AAD"/>
    <w:rsid w:val="00B13E9B"/>
    <w:rsid w:val="00B15273"/>
    <w:rsid w:val="00B16887"/>
    <w:rsid w:val="00B1746F"/>
    <w:rsid w:val="00B27A2B"/>
    <w:rsid w:val="00B31F00"/>
    <w:rsid w:val="00B351A2"/>
    <w:rsid w:val="00B41959"/>
    <w:rsid w:val="00B42C18"/>
    <w:rsid w:val="00B43CF7"/>
    <w:rsid w:val="00B44327"/>
    <w:rsid w:val="00B53944"/>
    <w:rsid w:val="00B61FDD"/>
    <w:rsid w:val="00B75B80"/>
    <w:rsid w:val="00B81149"/>
    <w:rsid w:val="00B8672D"/>
    <w:rsid w:val="00B94FB1"/>
    <w:rsid w:val="00BC4B24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C019B6"/>
    <w:rsid w:val="00C056B5"/>
    <w:rsid w:val="00C10630"/>
    <w:rsid w:val="00C12939"/>
    <w:rsid w:val="00C132FC"/>
    <w:rsid w:val="00C14E3B"/>
    <w:rsid w:val="00C23BA4"/>
    <w:rsid w:val="00C241B2"/>
    <w:rsid w:val="00C34485"/>
    <w:rsid w:val="00C40AB3"/>
    <w:rsid w:val="00C43805"/>
    <w:rsid w:val="00C43E24"/>
    <w:rsid w:val="00C45235"/>
    <w:rsid w:val="00C60EF2"/>
    <w:rsid w:val="00C615B2"/>
    <w:rsid w:val="00C702F0"/>
    <w:rsid w:val="00C72836"/>
    <w:rsid w:val="00C74553"/>
    <w:rsid w:val="00C8112C"/>
    <w:rsid w:val="00C87EF4"/>
    <w:rsid w:val="00CA623E"/>
    <w:rsid w:val="00CA630F"/>
    <w:rsid w:val="00CB4EB2"/>
    <w:rsid w:val="00CB7A41"/>
    <w:rsid w:val="00CC2250"/>
    <w:rsid w:val="00CC7A0B"/>
    <w:rsid w:val="00CD64CD"/>
    <w:rsid w:val="00CE2041"/>
    <w:rsid w:val="00CE3059"/>
    <w:rsid w:val="00CE4960"/>
    <w:rsid w:val="00CE56FA"/>
    <w:rsid w:val="00CF0912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263A"/>
    <w:rsid w:val="00D75F69"/>
    <w:rsid w:val="00D778D7"/>
    <w:rsid w:val="00D83934"/>
    <w:rsid w:val="00D861C3"/>
    <w:rsid w:val="00D91A0C"/>
    <w:rsid w:val="00D9239C"/>
    <w:rsid w:val="00D95955"/>
    <w:rsid w:val="00D979AB"/>
    <w:rsid w:val="00DA5817"/>
    <w:rsid w:val="00DA590C"/>
    <w:rsid w:val="00DA703D"/>
    <w:rsid w:val="00DB54CF"/>
    <w:rsid w:val="00DC1546"/>
    <w:rsid w:val="00DD2172"/>
    <w:rsid w:val="00DD2E76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79B5"/>
    <w:rsid w:val="00E26286"/>
    <w:rsid w:val="00E30AC2"/>
    <w:rsid w:val="00E33D84"/>
    <w:rsid w:val="00E34813"/>
    <w:rsid w:val="00E356D2"/>
    <w:rsid w:val="00E401B3"/>
    <w:rsid w:val="00E458DA"/>
    <w:rsid w:val="00E4741B"/>
    <w:rsid w:val="00E5687E"/>
    <w:rsid w:val="00E639CC"/>
    <w:rsid w:val="00E63D5B"/>
    <w:rsid w:val="00E671AD"/>
    <w:rsid w:val="00E7142B"/>
    <w:rsid w:val="00E83E40"/>
    <w:rsid w:val="00E857B8"/>
    <w:rsid w:val="00E907E5"/>
    <w:rsid w:val="00E943B8"/>
    <w:rsid w:val="00EA11F7"/>
    <w:rsid w:val="00EA20B9"/>
    <w:rsid w:val="00EA4549"/>
    <w:rsid w:val="00EB3234"/>
    <w:rsid w:val="00ED0B37"/>
    <w:rsid w:val="00ED22DF"/>
    <w:rsid w:val="00ED4C66"/>
    <w:rsid w:val="00ED6781"/>
    <w:rsid w:val="00EE4BD8"/>
    <w:rsid w:val="00EF383F"/>
    <w:rsid w:val="00EF5BA0"/>
    <w:rsid w:val="00EF64B8"/>
    <w:rsid w:val="00EF658F"/>
    <w:rsid w:val="00F1300D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36C43"/>
    <w:rsid w:val="00F42D68"/>
    <w:rsid w:val="00F436FE"/>
    <w:rsid w:val="00F500D2"/>
    <w:rsid w:val="00F51A9D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C1FDD"/>
    <w:rsid w:val="00FE3D91"/>
    <w:rsid w:val="00FE55D2"/>
    <w:rsid w:val="00FF3E9D"/>
    <w:rsid w:val="00FF728E"/>
    <w:rsid w:val="011B6D03"/>
    <w:rsid w:val="012A4E2C"/>
    <w:rsid w:val="0146689C"/>
    <w:rsid w:val="016D3B07"/>
    <w:rsid w:val="01B6221C"/>
    <w:rsid w:val="02340283"/>
    <w:rsid w:val="02FF600B"/>
    <w:rsid w:val="03822CFE"/>
    <w:rsid w:val="03B210F3"/>
    <w:rsid w:val="05121E5F"/>
    <w:rsid w:val="06BA2C89"/>
    <w:rsid w:val="07002453"/>
    <w:rsid w:val="071F777F"/>
    <w:rsid w:val="08B258EB"/>
    <w:rsid w:val="09A45050"/>
    <w:rsid w:val="09D96A1A"/>
    <w:rsid w:val="0A5B05D9"/>
    <w:rsid w:val="0AE0030A"/>
    <w:rsid w:val="0B7A056A"/>
    <w:rsid w:val="0B927CBA"/>
    <w:rsid w:val="0C681B81"/>
    <w:rsid w:val="0CC46135"/>
    <w:rsid w:val="0D33790E"/>
    <w:rsid w:val="0D7C256C"/>
    <w:rsid w:val="0DD358E2"/>
    <w:rsid w:val="0E06452B"/>
    <w:rsid w:val="0E2B1ADA"/>
    <w:rsid w:val="0E5232CD"/>
    <w:rsid w:val="0E6C1B21"/>
    <w:rsid w:val="0E7E0566"/>
    <w:rsid w:val="0E8931ED"/>
    <w:rsid w:val="0F2447D1"/>
    <w:rsid w:val="10630D41"/>
    <w:rsid w:val="10812156"/>
    <w:rsid w:val="10AD38CA"/>
    <w:rsid w:val="10E279BE"/>
    <w:rsid w:val="10FD3672"/>
    <w:rsid w:val="11382384"/>
    <w:rsid w:val="116F23E8"/>
    <w:rsid w:val="12AF1937"/>
    <w:rsid w:val="13B3093C"/>
    <w:rsid w:val="14BF5570"/>
    <w:rsid w:val="150579A8"/>
    <w:rsid w:val="15431BC1"/>
    <w:rsid w:val="157B0461"/>
    <w:rsid w:val="157E709D"/>
    <w:rsid w:val="16255094"/>
    <w:rsid w:val="182757CA"/>
    <w:rsid w:val="18513720"/>
    <w:rsid w:val="189B0DEC"/>
    <w:rsid w:val="18B02F9E"/>
    <w:rsid w:val="191608B9"/>
    <w:rsid w:val="19CA335A"/>
    <w:rsid w:val="1A895A2E"/>
    <w:rsid w:val="1AA41E68"/>
    <w:rsid w:val="1AD722FD"/>
    <w:rsid w:val="1B0421DB"/>
    <w:rsid w:val="1B601DCB"/>
    <w:rsid w:val="1B7F7E70"/>
    <w:rsid w:val="1B9E3D36"/>
    <w:rsid w:val="1C8F2A04"/>
    <w:rsid w:val="1CCE50AB"/>
    <w:rsid w:val="1CD468D8"/>
    <w:rsid w:val="1D091C84"/>
    <w:rsid w:val="1D3E4C23"/>
    <w:rsid w:val="1D760135"/>
    <w:rsid w:val="1E0265AE"/>
    <w:rsid w:val="1E166652"/>
    <w:rsid w:val="1E682F46"/>
    <w:rsid w:val="1E85E130"/>
    <w:rsid w:val="1EB8717C"/>
    <w:rsid w:val="1F100D66"/>
    <w:rsid w:val="1F105F79"/>
    <w:rsid w:val="1F6F4139"/>
    <w:rsid w:val="20576CF6"/>
    <w:rsid w:val="218B2C39"/>
    <w:rsid w:val="21D70261"/>
    <w:rsid w:val="22291A3F"/>
    <w:rsid w:val="232C78EC"/>
    <w:rsid w:val="2377224A"/>
    <w:rsid w:val="23A7419A"/>
    <w:rsid w:val="23D43367"/>
    <w:rsid w:val="243F7370"/>
    <w:rsid w:val="2498670E"/>
    <w:rsid w:val="262B4CB4"/>
    <w:rsid w:val="2630502B"/>
    <w:rsid w:val="26B807B0"/>
    <w:rsid w:val="26C83883"/>
    <w:rsid w:val="26D25C1B"/>
    <w:rsid w:val="277B1CD6"/>
    <w:rsid w:val="294067C0"/>
    <w:rsid w:val="2A233FCE"/>
    <w:rsid w:val="2A8E004C"/>
    <w:rsid w:val="2AAB028D"/>
    <w:rsid w:val="2B5F96B8"/>
    <w:rsid w:val="2B684C5B"/>
    <w:rsid w:val="2B9E76FA"/>
    <w:rsid w:val="2BC1063F"/>
    <w:rsid w:val="2C5168F6"/>
    <w:rsid w:val="2D230ADF"/>
    <w:rsid w:val="2D5179CF"/>
    <w:rsid w:val="2D9828C4"/>
    <w:rsid w:val="2DFF6B75"/>
    <w:rsid w:val="2E0E0B66"/>
    <w:rsid w:val="2EB36247"/>
    <w:rsid w:val="2FE92712"/>
    <w:rsid w:val="30292B21"/>
    <w:rsid w:val="30D759AA"/>
    <w:rsid w:val="31CC4FC0"/>
    <w:rsid w:val="31DE2F46"/>
    <w:rsid w:val="327F0D3B"/>
    <w:rsid w:val="328E6C13"/>
    <w:rsid w:val="32A55811"/>
    <w:rsid w:val="33CE6EDE"/>
    <w:rsid w:val="34AD3848"/>
    <w:rsid w:val="34D62889"/>
    <w:rsid w:val="34E72C04"/>
    <w:rsid w:val="35076310"/>
    <w:rsid w:val="35224842"/>
    <w:rsid w:val="35C0542C"/>
    <w:rsid w:val="36847D69"/>
    <w:rsid w:val="368C042F"/>
    <w:rsid w:val="368C11B1"/>
    <w:rsid w:val="36965A7B"/>
    <w:rsid w:val="371F2D22"/>
    <w:rsid w:val="38740160"/>
    <w:rsid w:val="394B4530"/>
    <w:rsid w:val="398054B8"/>
    <w:rsid w:val="39C30C0C"/>
    <w:rsid w:val="3AF66579"/>
    <w:rsid w:val="3AFA0DF0"/>
    <w:rsid w:val="3AFF33E8"/>
    <w:rsid w:val="3B81506E"/>
    <w:rsid w:val="3C325184"/>
    <w:rsid w:val="3CD70CBD"/>
    <w:rsid w:val="3D476359"/>
    <w:rsid w:val="3D9A658C"/>
    <w:rsid w:val="3DE10046"/>
    <w:rsid w:val="3DEE1D80"/>
    <w:rsid w:val="3EF3D40F"/>
    <w:rsid w:val="3F4177F3"/>
    <w:rsid w:val="3FFC477B"/>
    <w:rsid w:val="40AF61D9"/>
    <w:rsid w:val="414A4154"/>
    <w:rsid w:val="436A3581"/>
    <w:rsid w:val="43F065F7"/>
    <w:rsid w:val="442F62DC"/>
    <w:rsid w:val="44BD3991"/>
    <w:rsid w:val="45BFB8AB"/>
    <w:rsid w:val="46DB7A17"/>
    <w:rsid w:val="470B1A6B"/>
    <w:rsid w:val="470D6E20"/>
    <w:rsid w:val="47263210"/>
    <w:rsid w:val="477749AA"/>
    <w:rsid w:val="47C16823"/>
    <w:rsid w:val="48333FF5"/>
    <w:rsid w:val="485F1589"/>
    <w:rsid w:val="48BC72E5"/>
    <w:rsid w:val="491711E1"/>
    <w:rsid w:val="49DC2C1A"/>
    <w:rsid w:val="49FA5FEB"/>
    <w:rsid w:val="4B3E4CEE"/>
    <w:rsid w:val="4C8E043C"/>
    <w:rsid w:val="4E7320AC"/>
    <w:rsid w:val="4EA76C25"/>
    <w:rsid w:val="4F8462B8"/>
    <w:rsid w:val="50F33EC0"/>
    <w:rsid w:val="5157551B"/>
    <w:rsid w:val="51CD3614"/>
    <w:rsid w:val="51CE0A2E"/>
    <w:rsid w:val="52800E89"/>
    <w:rsid w:val="52DB7E5C"/>
    <w:rsid w:val="53FC6986"/>
    <w:rsid w:val="55BA1450"/>
    <w:rsid w:val="56220AC4"/>
    <w:rsid w:val="56821842"/>
    <w:rsid w:val="57087F99"/>
    <w:rsid w:val="579B7ED0"/>
    <w:rsid w:val="57C9767E"/>
    <w:rsid w:val="585F0652"/>
    <w:rsid w:val="5912054F"/>
    <w:rsid w:val="5C1D270E"/>
    <w:rsid w:val="5C8A31FF"/>
    <w:rsid w:val="5D920F8A"/>
    <w:rsid w:val="5ED12060"/>
    <w:rsid w:val="5FEE64E2"/>
    <w:rsid w:val="6036685D"/>
    <w:rsid w:val="60712451"/>
    <w:rsid w:val="60F313B0"/>
    <w:rsid w:val="62D25F79"/>
    <w:rsid w:val="6382320C"/>
    <w:rsid w:val="653E1685"/>
    <w:rsid w:val="654A5C21"/>
    <w:rsid w:val="65A62CD8"/>
    <w:rsid w:val="66524D8D"/>
    <w:rsid w:val="66730271"/>
    <w:rsid w:val="6710120C"/>
    <w:rsid w:val="67D85B6C"/>
    <w:rsid w:val="690305C1"/>
    <w:rsid w:val="696C570F"/>
    <w:rsid w:val="6A601F79"/>
    <w:rsid w:val="6B3B0B77"/>
    <w:rsid w:val="6B923E7E"/>
    <w:rsid w:val="6BC21862"/>
    <w:rsid w:val="6C5544DF"/>
    <w:rsid w:val="6C67192F"/>
    <w:rsid w:val="6CBD4F2A"/>
    <w:rsid w:val="6DDA7AC0"/>
    <w:rsid w:val="6E427DDD"/>
    <w:rsid w:val="6E5D3F90"/>
    <w:rsid w:val="6E6919CE"/>
    <w:rsid w:val="6EC9290D"/>
    <w:rsid w:val="6F135C55"/>
    <w:rsid w:val="6F973DFD"/>
    <w:rsid w:val="71630796"/>
    <w:rsid w:val="720D24B0"/>
    <w:rsid w:val="72621496"/>
    <w:rsid w:val="727A5D81"/>
    <w:rsid w:val="72A647FF"/>
    <w:rsid w:val="734D446A"/>
    <w:rsid w:val="73E26E41"/>
    <w:rsid w:val="75616D9B"/>
    <w:rsid w:val="76285B0A"/>
    <w:rsid w:val="762F1382"/>
    <w:rsid w:val="764B5FBB"/>
    <w:rsid w:val="76F123A0"/>
    <w:rsid w:val="77636978"/>
    <w:rsid w:val="77BF1F9A"/>
    <w:rsid w:val="78144598"/>
    <w:rsid w:val="78C830A0"/>
    <w:rsid w:val="79B25E17"/>
    <w:rsid w:val="7B356B4E"/>
    <w:rsid w:val="7B4577C5"/>
    <w:rsid w:val="7BFE3341"/>
    <w:rsid w:val="7BFF28A3"/>
    <w:rsid w:val="7C0E12FE"/>
    <w:rsid w:val="7D9D4043"/>
    <w:rsid w:val="7E7A6107"/>
    <w:rsid w:val="7E821CDD"/>
    <w:rsid w:val="7EE30C9C"/>
    <w:rsid w:val="7EFC6D94"/>
    <w:rsid w:val="7F3E014D"/>
    <w:rsid w:val="7FB782C3"/>
    <w:rsid w:val="939D9EE8"/>
    <w:rsid w:val="9FD7991A"/>
    <w:rsid w:val="AFFCBCA7"/>
    <w:rsid w:val="BBFBCA13"/>
    <w:rsid w:val="CBF3ABCF"/>
    <w:rsid w:val="EBCCE78C"/>
    <w:rsid w:val="F9E84A5F"/>
    <w:rsid w:val="FFB7E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31">
    <w:name w:val="Default Paragraph Font"/>
    <w:semiHidden/>
    <w:unhideWhenUsed/>
    <w:qFormat/>
    <w:uiPriority w:val="1"/>
  </w:style>
  <w:style w:type="table" w:default="1" w:styleId="2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Document Map"/>
    <w:basedOn w:val="1"/>
    <w:semiHidden/>
    <w:qFormat/>
    <w:uiPriority w:val="0"/>
    <w:pPr>
      <w:shd w:val="clear" w:color="auto" w:fill="000080"/>
    </w:pPr>
  </w:style>
  <w:style w:type="paragraph" w:styleId="13">
    <w:name w:val="annotation text"/>
    <w:basedOn w:val="1"/>
    <w:link w:val="37"/>
    <w:qFormat/>
    <w:uiPriority w:val="0"/>
    <w:pPr>
      <w:jc w:val="left"/>
    </w:pPr>
  </w:style>
  <w:style w:type="paragraph" w:styleId="14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6">
    <w:name w:val="Body Text Indent"/>
    <w:basedOn w:val="1"/>
    <w:qFormat/>
    <w:uiPriority w:val="0"/>
    <w:pPr>
      <w:spacing w:after="120"/>
      <w:ind w:left="420" w:leftChars="200"/>
    </w:pPr>
  </w:style>
  <w:style w:type="paragraph" w:styleId="17">
    <w:name w:val="Plain Text"/>
    <w:basedOn w:val="1"/>
    <w:link w:val="38"/>
    <w:qFormat/>
    <w:uiPriority w:val="0"/>
    <w:rPr>
      <w:rFonts w:ascii="宋体" w:hAnsi="Courier New"/>
      <w:szCs w:val="20"/>
    </w:rPr>
  </w:style>
  <w:style w:type="paragraph" w:styleId="18">
    <w:name w:val="Date"/>
    <w:basedOn w:val="1"/>
    <w:next w:val="1"/>
    <w:link w:val="39"/>
    <w:qFormat/>
    <w:uiPriority w:val="0"/>
    <w:rPr>
      <w:szCs w:val="20"/>
    </w:rPr>
  </w:style>
  <w:style w:type="paragraph" w:styleId="19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0">
    <w:name w:val="Balloon Text"/>
    <w:basedOn w:val="1"/>
    <w:semiHidden/>
    <w:qFormat/>
    <w:uiPriority w:val="0"/>
    <w:rPr>
      <w:sz w:val="18"/>
      <w:szCs w:val="18"/>
    </w:rPr>
  </w:style>
  <w:style w:type="paragraph" w:styleId="21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2">
    <w:name w:val="header"/>
    <w:basedOn w:val="1"/>
    <w:next w:val="2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3">
    <w:name w:val="toc 4"/>
    <w:basedOn w:val="1"/>
    <w:next w:val="1"/>
    <w:qFormat/>
    <w:uiPriority w:val="99"/>
    <w:pPr>
      <w:ind w:left="1260" w:leftChars="600"/>
    </w:pPr>
  </w:style>
  <w:style w:type="paragraph" w:styleId="24">
    <w:name w:val="Body Text Indent 3"/>
    <w:qFormat/>
    <w:uiPriority w:val="0"/>
    <w:pPr>
      <w:widowControl w:val="0"/>
      <w:spacing w:after="120"/>
      <w:ind w:left="420" w:leftChars="200"/>
      <w:jc w:val="both"/>
    </w:pPr>
    <w:rPr>
      <w:rFonts w:ascii="仿宋_GB2312" w:hAnsi="Tahoma" w:eastAsia="仿宋_GB2312" w:cs="Times New Roman"/>
      <w:spacing w:val="-20"/>
      <w:sz w:val="16"/>
      <w:szCs w:val="16"/>
      <w:lang w:val="en-US" w:eastAsia="zh-CN" w:bidi="ar-SA"/>
    </w:rPr>
  </w:style>
  <w:style w:type="paragraph" w:styleId="25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2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27">
    <w:name w:val="Title"/>
    <w:basedOn w:val="1"/>
    <w:qFormat/>
    <w:uiPriority w:val="0"/>
    <w:pPr>
      <w:jc w:val="center"/>
    </w:pPr>
    <w:rPr>
      <w:sz w:val="30"/>
    </w:rPr>
  </w:style>
  <w:style w:type="paragraph" w:styleId="28">
    <w:name w:val="annotation subject"/>
    <w:basedOn w:val="13"/>
    <w:next w:val="13"/>
    <w:link w:val="40"/>
    <w:qFormat/>
    <w:uiPriority w:val="0"/>
    <w:rPr>
      <w:b/>
      <w:bCs/>
    </w:rPr>
  </w:style>
  <w:style w:type="table" w:styleId="30">
    <w:name w:val="Table Grid"/>
    <w:basedOn w:val="2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2">
    <w:name w:val="Strong"/>
    <w:qFormat/>
    <w:uiPriority w:val="22"/>
    <w:rPr>
      <w:b/>
      <w:bCs/>
    </w:rPr>
  </w:style>
  <w:style w:type="character" w:styleId="33">
    <w:name w:val="page number"/>
    <w:qFormat/>
    <w:uiPriority w:val="0"/>
  </w:style>
  <w:style w:type="character" w:styleId="34">
    <w:name w:val="Emphasis"/>
    <w:qFormat/>
    <w:uiPriority w:val="20"/>
    <w:rPr>
      <w:i/>
      <w:iCs/>
    </w:rPr>
  </w:style>
  <w:style w:type="character" w:styleId="35">
    <w:name w:val="Hyperlink"/>
    <w:qFormat/>
    <w:uiPriority w:val="0"/>
    <w:rPr>
      <w:color w:val="0000FF"/>
      <w:u w:val="single"/>
    </w:rPr>
  </w:style>
  <w:style w:type="character" w:styleId="36">
    <w:name w:val="annotation reference"/>
    <w:qFormat/>
    <w:uiPriority w:val="0"/>
    <w:rPr>
      <w:sz w:val="21"/>
      <w:szCs w:val="21"/>
    </w:rPr>
  </w:style>
  <w:style w:type="character" w:customStyle="1" w:styleId="37">
    <w:name w:val="批注文字 字符"/>
    <w:link w:val="13"/>
    <w:qFormat/>
    <w:uiPriority w:val="0"/>
    <w:rPr>
      <w:kern w:val="2"/>
      <w:sz w:val="21"/>
      <w:szCs w:val="24"/>
    </w:rPr>
  </w:style>
  <w:style w:type="character" w:customStyle="1" w:styleId="38">
    <w:name w:val="纯文本 字符"/>
    <w:link w:val="17"/>
    <w:qFormat/>
    <w:uiPriority w:val="0"/>
    <w:rPr>
      <w:rFonts w:ascii="宋体" w:hAnsi="Courier New"/>
      <w:kern w:val="2"/>
      <w:sz w:val="21"/>
    </w:rPr>
  </w:style>
  <w:style w:type="character" w:customStyle="1" w:styleId="39">
    <w:name w:val="日期 字符"/>
    <w:link w:val="18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40">
    <w:name w:val="批注主题 字符"/>
    <w:link w:val="28"/>
    <w:qFormat/>
    <w:uiPriority w:val="0"/>
    <w:rPr>
      <w:b/>
      <w:bCs/>
      <w:kern w:val="2"/>
      <w:sz w:val="21"/>
      <w:szCs w:val="24"/>
    </w:rPr>
  </w:style>
  <w:style w:type="character" w:customStyle="1" w:styleId="41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42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3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44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45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46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47">
    <w:name w:val="ng-binding"/>
    <w:qFormat/>
    <w:uiPriority w:val="0"/>
  </w:style>
  <w:style w:type="character" w:customStyle="1" w:styleId="48">
    <w:name w:val="tgt1"/>
    <w:qFormat/>
    <w:uiPriority w:val="0"/>
  </w:style>
  <w:style w:type="paragraph" w:styleId="49">
    <w:name w:val="List Paragraph"/>
    <w:basedOn w:val="1"/>
    <w:qFormat/>
    <w:uiPriority w:val="34"/>
    <w:pPr>
      <w:ind w:firstLine="420" w:firstLineChars="200"/>
    </w:pPr>
  </w:style>
  <w:style w:type="paragraph" w:customStyle="1" w:styleId="5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Times New Roman"/>
      <w:color w:val="000000"/>
      <w:sz w:val="24"/>
      <w:lang w:val="en-US" w:eastAsia="zh-CN" w:bidi="ar-SA"/>
    </w:rPr>
  </w:style>
  <w:style w:type="character" w:customStyle="1" w:styleId="51">
    <w:name w:val="font61"/>
    <w:basedOn w:val="3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2">
    <w:name w:val="16"/>
    <w:basedOn w:val="31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53">
    <w:name w:val="15"/>
    <w:basedOn w:val="31"/>
    <w:qFormat/>
    <w:uiPriority w:val="0"/>
    <w:rPr>
      <w:rFonts w:hint="default" w:ascii="Arial" w:hAnsi="Arial" w:cs="Arial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9</Pages>
  <Words>11952</Words>
  <Characters>13115</Characters>
  <Lines>104</Lines>
  <Paragraphs>29</Paragraphs>
  <TotalTime>19</TotalTime>
  <ScaleCrop>false</ScaleCrop>
  <LinksUpToDate>false</LinksUpToDate>
  <CharactersWithSpaces>14352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2024-11-05T05:11:00Z</dcterms:created>
  <dc:creator>caowuning</dc:creator>
  <cp:lastModifiedBy>C.X.F</cp:lastModifiedBy>
  <cp:lastPrinted>2009-04-22T17:03:00Z</cp:lastPrinted>
  <dcterms:modified xsi:type="dcterms:W3CDTF">2024-11-08T07:57:41Z</dcterms:modified>
  <dc:title>北 京 市 政 府 采 购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F48FFEBA3C3F470D8316033E91399A1E_13</vt:lpwstr>
  </property>
</Properties>
</file>