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版本号：N511425202500012920251128001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2025年办公用房租赁项目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N5114252025000129</w:t>
      </w:r>
    </w:p>
    <w:p>
      <w:pPr>
        <w:pStyle w:val="null3"/>
        <w:jc w:val="left"/>
        <w:outlineLvl w:val="2"/>
      </w:pPr>
      <w:r>
        <w:rPr>
          <w:rFonts w:ascii="仿宋_GB2312" w:hAnsi="仿宋_GB2312" w:cs="仿宋_GB2312" w:eastAsia="仿宋_GB2312"/>
          <w:sz w:val="28"/>
          <w:b/>
        </w:rPr>
        <w:t>青神县农业农村局</w:t>
      </w:r>
    </w:p>
    <w:p>
      <w:pPr>
        <w:pStyle w:val="null3"/>
        <w:jc w:val="center"/>
        <w:outlineLvl w:val="2"/>
      </w:pPr>
      <w:r>
        <w:rPr>
          <w:rFonts w:ascii="仿宋_GB2312" w:hAnsi="仿宋_GB2312" w:cs="仿宋_GB2312" w:eastAsia="仿宋_GB2312"/>
          <w:sz w:val="28"/>
          <w:b/>
        </w:rPr>
        <w:t>四川心诺工程项目管理有限公司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四川心诺工程项目管理有限公司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青神县农业农村局</w:t>
      </w:r>
      <w:r>
        <w:rPr>
          <w:rFonts w:ascii="仿宋_GB2312" w:hAnsi="仿宋_GB2312" w:cs="仿宋_GB2312" w:eastAsia="仿宋_GB2312"/>
        </w:rPr>
        <w:t xml:space="preserve"> 委托，拟对 </w:t>
      </w:r>
      <w:r>
        <w:rPr>
          <w:rFonts w:ascii="仿宋_GB2312" w:hAnsi="仿宋_GB2312" w:cs="仿宋_GB2312" w:eastAsia="仿宋_GB2312"/>
        </w:rPr>
        <w:t>2025年办公用房租赁项目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眉山市青神县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N5114252025000129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2025年办公用房租赁项目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为进一步加强县农业农村局机关综合管理，实现集中办公，经青神县机关服务中心同意，我局拟租用建筑用房一处，总面积3275.16平方米，用于集中办公和业务使用。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青神县农业农村局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青神县青竹街道一环路南段101号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620460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15883834765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四川心诺工程项目管理有限公司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四川省眉山市东坡区三苏大道168号华地沃尔玛1单元903号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张晨曦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18980372682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采购包1：1,360,000.00元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代理服务费收费标准：供应商支付，本项目代理服务费根据《国家发展改革委关于进一步放开建设项目专业服务价格的通知》(发改价格【2015]299号)的规定及代理公司成本加合理利润确定代理服务费15000元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青神县农业农村局</w:t>
      </w:r>
      <w:r>
        <w:rPr>
          <w:rFonts w:ascii="仿宋_GB2312" w:hAnsi="仿宋_GB2312" w:cs="仿宋_GB2312" w:eastAsia="仿宋_GB2312"/>
        </w:rPr>
        <w:t xml:space="preserve"> 和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青神县农业农村局</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四川心诺工程项目管理有限公司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房屋租赁使用期在6个月以上由采购人根据供应商提出验收申请起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按照采购文件要求的商务服务要求进行履约验收。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按照采购文件要求的商务服务要求进行履约验收。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联系电话：18064960031</w:t>
      </w:r>
    </w:p>
    <w:p>
      <w:pPr>
        <w:pStyle w:val="null3"/>
        <w:jc w:val="left"/>
      </w:pPr>
      <w:r>
        <w:rPr>
          <w:rFonts w:ascii="仿宋_GB2312" w:hAnsi="仿宋_GB2312" w:cs="仿宋_GB2312" w:eastAsia="仿宋_GB2312"/>
        </w:rPr>
        <w:t>地址：眉山市东坡区三苏大道168号华地沃尔玛1单元903号</w:t>
      </w:r>
    </w:p>
    <w:p>
      <w:pPr>
        <w:pStyle w:val="null3"/>
        <w:jc w:val="left"/>
      </w:pPr>
      <w:r>
        <w:rPr>
          <w:rFonts w:ascii="仿宋_GB2312" w:hAnsi="仿宋_GB2312" w:cs="仿宋_GB2312" w:eastAsia="仿宋_GB2312"/>
        </w:rPr>
        <w:t>邮编：620000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1,360,000.00</w:t>
      </w:r>
    </w:p>
    <w:p>
      <w:pPr>
        <w:pStyle w:val="null3"/>
        <w:jc w:val="left"/>
      </w:pPr>
      <w:r>
        <w:rPr>
          <w:rFonts w:ascii="仿宋_GB2312" w:hAnsi="仿宋_GB2312" w:cs="仿宋_GB2312" w:eastAsia="仿宋_GB2312"/>
        </w:rPr>
        <w:t>采购包最高限价（元）: 1,360,000.00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C21020000 房屋租赁服务</w:t>
            </w:r>
          </w:p>
        </w:tc>
        <w:tc>
          <w:tcPr>
            <w:tcW w:type="dxa" w:w="821"/>
          </w:tcPr>
          <w:p>
            <w:pPr>
              <w:pStyle w:val="null3"/>
              <w:jc w:val="left"/>
            </w:pPr>
            <w:r>
              <w:rPr>
                <w:rFonts w:ascii="仿宋_GB2312" w:hAnsi="仿宋_GB2312" w:cs="仿宋_GB2312" w:eastAsia="仿宋_GB2312"/>
              </w:rPr>
              <w:t>2025年办公用房租赁服务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1,360,000.00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2025年办公用房租赁服务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标的名称：2025年办公用房租赁服务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房屋租赁服务要求</w:t>
            </w:r>
          </w:p>
        </w:tc>
        <w:tc>
          <w:tcPr>
            <w:tcW w:type="dxa" w:w="5814"/>
          </w:tcPr>
          <w:p>
            <w:pPr>
              <w:pStyle w:val="null3"/>
              <w:ind w:firstLine="600"/>
              <w:jc w:val="left"/>
            </w:pPr>
            <w:r>
              <w:rPr>
                <w:rFonts w:ascii="仿宋_GB2312" w:hAnsi="仿宋_GB2312" w:cs="仿宋_GB2312" w:eastAsia="仿宋_GB2312"/>
                <w:sz w:val="30"/>
              </w:rPr>
              <w:t>1、租赁时间</w:t>
            </w:r>
            <w:r>
              <w:rPr>
                <w:rFonts w:ascii="仿宋_GB2312" w:hAnsi="仿宋_GB2312" w:cs="仿宋_GB2312" w:eastAsia="仿宋_GB2312"/>
                <w:sz w:val="30"/>
              </w:rPr>
              <w:t>：</w:t>
            </w:r>
            <w:r>
              <w:rPr>
                <w:rFonts w:ascii="仿宋_GB2312" w:hAnsi="仿宋_GB2312" w:cs="仿宋_GB2312" w:eastAsia="仿宋_GB2312"/>
                <w:sz w:val="32"/>
              </w:rPr>
              <w:t>202</w:t>
            </w:r>
            <w:r>
              <w:rPr>
                <w:rFonts w:ascii="仿宋_GB2312" w:hAnsi="仿宋_GB2312" w:cs="仿宋_GB2312" w:eastAsia="仿宋_GB2312"/>
                <w:sz w:val="32"/>
              </w:rPr>
              <w:t>5</w:t>
            </w:r>
            <w:r>
              <w:rPr>
                <w:rFonts w:ascii="仿宋_GB2312" w:hAnsi="仿宋_GB2312" w:cs="仿宋_GB2312" w:eastAsia="仿宋_GB2312"/>
                <w:sz w:val="32"/>
              </w:rPr>
              <w:t>年</w:t>
            </w:r>
            <w:r>
              <w:rPr>
                <w:rFonts w:ascii="仿宋_GB2312" w:hAnsi="仿宋_GB2312" w:cs="仿宋_GB2312" w:eastAsia="仿宋_GB2312"/>
                <w:sz w:val="32"/>
              </w:rPr>
              <w:t>12</w:t>
            </w:r>
            <w:r>
              <w:rPr>
                <w:rFonts w:ascii="仿宋_GB2312" w:hAnsi="仿宋_GB2312" w:cs="仿宋_GB2312" w:eastAsia="仿宋_GB2312"/>
                <w:sz w:val="32"/>
              </w:rPr>
              <w:t>月</w:t>
            </w:r>
            <w:r>
              <w:rPr>
                <w:rFonts w:ascii="仿宋_GB2312" w:hAnsi="仿宋_GB2312" w:cs="仿宋_GB2312" w:eastAsia="仿宋_GB2312"/>
                <w:sz w:val="32"/>
              </w:rPr>
              <w:t>5</w:t>
            </w:r>
            <w:r>
              <w:rPr>
                <w:rFonts w:ascii="仿宋_GB2312" w:hAnsi="仿宋_GB2312" w:cs="仿宋_GB2312" w:eastAsia="仿宋_GB2312"/>
                <w:sz w:val="32"/>
              </w:rPr>
              <w:t>日</w:t>
            </w:r>
            <w:r>
              <w:rPr>
                <w:rFonts w:ascii="仿宋_GB2312" w:hAnsi="仿宋_GB2312" w:cs="仿宋_GB2312" w:eastAsia="仿宋_GB2312"/>
                <w:sz w:val="32"/>
              </w:rPr>
              <w:t>-</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w:t>
            </w:r>
            <w:r>
              <w:rPr>
                <w:rFonts w:ascii="仿宋_GB2312" w:hAnsi="仿宋_GB2312" w:cs="仿宋_GB2312" w:eastAsia="仿宋_GB2312"/>
                <w:sz w:val="32"/>
              </w:rPr>
              <w:t>12</w:t>
            </w:r>
            <w:r>
              <w:rPr>
                <w:rFonts w:ascii="仿宋_GB2312" w:hAnsi="仿宋_GB2312" w:cs="仿宋_GB2312" w:eastAsia="仿宋_GB2312"/>
                <w:sz w:val="32"/>
              </w:rPr>
              <w:t>月</w:t>
            </w:r>
            <w:r>
              <w:rPr>
                <w:rFonts w:ascii="仿宋_GB2312" w:hAnsi="仿宋_GB2312" w:cs="仿宋_GB2312" w:eastAsia="仿宋_GB2312"/>
                <w:sz w:val="32"/>
              </w:rPr>
              <w:t>4</w:t>
            </w:r>
            <w:r>
              <w:rPr>
                <w:rFonts w:ascii="仿宋_GB2312" w:hAnsi="仿宋_GB2312" w:cs="仿宋_GB2312" w:eastAsia="仿宋_GB2312"/>
                <w:sz w:val="32"/>
              </w:rPr>
              <w:t>日</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2、租赁办公用房的基本情况：</w:t>
            </w:r>
          </w:p>
          <w:p>
            <w:pPr>
              <w:pStyle w:val="null3"/>
              <w:ind w:firstLine="600"/>
              <w:jc w:val="left"/>
            </w:pPr>
            <w:r>
              <w:rPr>
                <w:rFonts w:ascii="仿宋_GB2312" w:hAnsi="仿宋_GB2312" w:cs="仿宋_GB2312" w:eastAsia="仿宋_GB2312"/>
                <w:sz w:val="30"/>
              </w:rPr>
              <w:t>所租赁的房屋建筑位于</w:t>
            </w:r>
            <w:r>
              <w:rPr>
                <w:rFonts w:ascii="仿宋_GB2312" w:hAnsi="仿宋_GB2312" w:cs="仿宋_GB2312" w:eastAsia="仿宋_GB2312"/>
                <w:sz w:val="32"/>
              </w:rPr>
              <w:t>青神县青竹街道一环路南段</w:t>
            </w:r>
            <w:r>
              <w:rPr>
                <w:rFonts w:ascii="仿宋_GB2312" w:hAnsi="仿宋_GB2312" w:cs="仿宋_GB2312" w:eastAsia="仿宋_GB2312"/>
                <w:sz w:val="32"/>
              </w:rPr>
              <w:t>101</w:t>
            </w:r>
            <w:r>
              <w:rPr>
                <w:rFonts w:ascii="仿宋_GB2312" w:hAnsi="仿宋_GB2312" w:cs="仿宋_GB2312" w:eastAsia="仿宋_GB2312"/>
                <w:sz w:val="32"/>
              </w:rPr>
              <w:t>号，总面积</w:t>
            </w:r>
            <w:r>
              <w:rPr>
                <w:rFonts w:ascii="仿宋_GB2312" w:hAnsi="仿宋_GB2312" w:cs="仿宋_GB2312" w:eastAsia="仿宋_GB2312"/>
                <w:sz w:val="32"/>
              </w:rPr>
              <w:t>3275.16</w:t>
            </w:r>
            <w:r>
              <w:rPr>
                <w:rFonts w:ascii="仿宋_GB2312" w:hAnsi="仿宋_GB2312" w:cs="仿宋_GB2312" w:eastAsia="仿宋_GB2312"/>
                <w:sz w:val="32"/>
              </w:rPr>
              <w:t>平方米，包括办公用房</w:t>
            </w:r>
            <w:r>
              <w:rPr>
                <w:rFonts w:ascii="仿宋_GB2312" w:hAnsi="仿宋_GB2312" w:cs="仿宋_GB2312" w:eastAsia="仿宋_GB2312"/>
                <w:sz w:val="32"/>
              </w:rPr>
              <w:t>1</w:t>
            </w:r>
            <w:r>
              <w:rPr>
                <w:rFonts w:ascii="仿宋_GB2312" w:hAnsi="仿宋_GB2312" w:cs="仿宋_GB2312" w:eastAsia="仿宋_GB2312"/>
                <w:sz w:val="32"/>
              </w:rPr>
              <w:t>号楼（</w:t>
            </w:r>
            <w:r>
              <w:rPr>
                <w:rFonts w:ascii="仿宋_GB2312" w:hAnsi="仿宋_GB2312" w:cs="仿宋_GB2312" w:eastAsia="仿宋_GB2312"/>
                <w:sz w:val="32"/>
              </w:rPr>
              <w:t>1069</w:t>
            </w:r>
            <w:r>
              <w:rPr>
                <w:rFonts w:ascii="仿宋_GB2312" w:hAnsi="仿宋_GB2312" w:cs="仿宋_GB2312" w:eastAsia="仿宋_GB2312"/>
                <w:sz w:val="32"/>
              </w:rPr>
              <w:t>平方米）、</w:t>
            </w:r>
            <w:r>
              <w:rPr>
                <w:rFonts w:ascii="仿宋_GB2312" w:hAnsi="仿宋_GB2312" w:cs="仿宋_GB2312" w:eastAsia="仿宋_GB2312"/>
                <w:sz w:val="32"/>
              </w:rPr>
              <w:t>2</w:t>
            </w:r>
            <w:r>
              <w:rPr>
                <w:rFonts w:ascii="仿宋_GB2312" w:hAnsi="仿宋_GB2312" w:cs="仿宋_GB2312" w:eastAsia="仿宋_GB2312"/>
                <w:sz w:val="32"/>
              </w:rPr>
              <w:t>号楼（</w:t>
            </w:r>
            <w:r>
              <w:rPr>
                <w:rFonts w:ascii="仿宋_GB2312" w:hAnsi="仿宋_GB2312" w:cs="仿宋_GB2312" w:eastAsia="仿宋_GB2312"/>
                <w:sz w:val="32"/>
              </w:rPr>
              <w:t>1218</w:t>
            </w:r>
            <w:r>
              <w:rPr>
                <w:rFonts w:ascii="仿宋_GB2312" w:hAnsi="仿宋_GB2312" w:cs="仿宋_GB2312" w:eastAsia="仿宋_GB2312"/>
                <w:sz w:val="32"/>
              </w:rPr>
              <w:t>平方米）、备用房（</w:t>
            </w:r>
            <w:r>
              <w:rPr>
                <w:rFonts w:ascii="仿宋_GB2312" w:hAnsi="仿宋_GB2312" w:cs="仿宋_GB2312" w:eastAsia="仿宋_GB2312"/>
                <w:sz w:val="32"/>
              </w:rPr>
              <w:t>195</w:t>
            </w:r>
            <w:r>
              <w:rPr>
                <w:rFonts w:ascii="仿宋_GB2312" w:hAnsi="仿宋_GB2312" w:cs="仿宋_GB2312" w:eastAsia="仿宋_GB2312"/>
                <w:sz w:val="32"/>
              </w:rPr>
              <w:t>平方米）和</w:t>
            </w:r>
            <w:r>
              <w:rPr>
                <w:rFonts w:ascii="仿宋_GB2312" w:hAnsi="仿宋_GB2312" w:cs="仿宋_GB2312" w:eastAsia="仿宋_GB2312"/>
                <w:sz w:val="32"/>
              </w:rPr>
              <w:t>5</w:t>
            </w:r>
            <w:r>
              <w:rPr>
                <w:rFonts w:ascii="仿宋_GB2312" w:hAnsi="仿宋_GB2312" w:cs="仿宋_GB2312" w:eastAsia="仿宋_GB2312"/>
                <w:sz w:val="32"/>
              </w:rPr>
              <w:t>号楼五楼会议室（</w:t>
            </w:r>
            <w:r>
              <w:rPr>
                <w:rFonts w:ascii="仿宋_GB2312" w:hAnsi="仿宋_GB2312" w:cs="仿宋_GB2312" w:eastAsia="仿宋_GB2312"/>
                <w:sz w:val="32"/>
              </w:rPr>
              <w:t>396.58</w:t>
            </w:r>
            <w:r>
              <w:rPr>
                <w:rFonts w:ascii="仿宋_GB2312" w:hAnsi="仿宋_GB2312" w:cs="仿宋_GB2312" w:eastAsia="仿宋_GB2312"/>
                <w:sz w:val="32"/>
              </w:rPr>
              <w:t>平方米）以及</w:t>
            </w:r>
            <w:r>
              <w:rPr>
                <w:rFonts w:ascii="仿宋_GB2312" w:hAnsi="仿宋_GB2312" w:cs="仿宋_GB2312" w:eastAsia="仿宋_GB2312"/>
                <w:sz w:val="32"/>
              </w:rPr>
              <w:t>5</w:t>
            </w:r>
            <w:r>
              <w:rPr>
                <w:rFonts w:ascii="仿宋_GB2312" w:hAnsi="仿宋_GB2312" w:cs="仿宋_GB2312" w:eastAsia="仿宋_GB2312"/>
                <w:sz w:val="32"/>
              </w:rPr>
              <w:t>号楼的二楼食堂（</w:t>
            </w:r>
            <w:r>
              <w:rPr>
                <w:rFonts w:ascii="仿宋_GB2312" w:hAnsi="仿宋_GB2312" w:cs="仿宋_GB2312" w:eastAsia="仿宋_GB2312"/>
                <w:sz w:val="32"/>
              </w:rPr>
              <w:t>396.58</w:t>
            </w:r>
            <w:r>
              <w:rPr>
                <w:rFonts w:ascii="仿宋_GB2312" w:hAnsi="仿宋_GB2312" w:cs="仿宋_GB2312" w:eastAsia="仿宋_GB2312"/>
                <w:sz w:val="32"/>
              </w:rPr>
              <w:t>平方米），另配停车场。</w:t>
            </w:r>
          </w:p>
          <w:p>
            <w:pPr>
              <w:pStyle w:val="null3"/>
              <w:ind w:firstLine="600"/>
              <w:jc w:val="left"/>
            </w:pPr>
            <w:r>
              <w:rPr>
                <w:rFonts w:ascii="仿宋_GB2312" w:hAnsi="仿宋_GB2312" w:cs="仿宋_GB2312" w:eastAsia="仿宋_GB2312"/>
                <w:sz w:val="30"/>
              </w:rPr>
              <w:t>3、租赁使用：供应商负责提供房屋建筑的租赁，租赁期间房屋建筑的维修、安全措施、房产税等由供应商承担。采购人租赁期间的水电、通讯、物业等相关的维持费由采购人承担。</w:t>
            </w:r>
          </w:p>
          <w:p>
            <w:pPr>
              <w:pStyle w:val="null3"/>
              <w:ind w:firstLine="600"/>
              <w:jc w:val="left"/>
            </w:pPr>
            <w:r>
              <w:rPr>
                <w:rFonts w:ascii="仿宋_GB2312" w:hAnsi="仿宋_GB2312" w:cs="仿宋_GB2312" w:eastAsia="仿宋_GB2312"/>
                <w:sz w:val="30"/>
              </w:rPr>
              <w:t>4、供应商在房屋租赁期间要提供相应的安全应急措施。供应商在租赁房屋期间采购人在无使用不当情况下，发生与建筑物相关的安全事故，由此造成的一切人身、财产等损失由供应商全部承担，并负责赔偿采购人或第三方受害人的人身或财产损失。</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青神县青竹街道一环路南段101号</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本项目要严格按照《财政部关于进一步加强政府采购需求和履约验收管理的指导意见》(财库〔2016〕205号)文件和青神县农业农村局项目管理内控制度及采购文件与供应商响应文件的要求进行验收。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1、合同签订后满足支付条件，达到付款条件起30日内，支付合同总金额的30.00%</w:t>
            </w:r>
          </w:p>
          <w:p>
            <w:pPr>
              <w:pStyle w:val="null3"/>
              <w:jc w:val="left"/>
            </w:pPr>
            <w:r>
              <w:rPr>
                <w:rFonts w:ascii="仿宋_GB2312" w:hAnsi="仿宋_GB2312" w:cs="仿宋_GB2312" w:eastAsia="仿宋_GB2312"/>
              </w:rPr>
              <w:t>2、合同签订后6个月内满足支付条件，达到付款条件起10日内，支付合同总金额的70.00%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乙双方必须遵守本合同并执行合同中的各项规定，保证本合同的正常履行。如因乙方提供的租赁房屋存在安全隐患原因给甲方造成损失和侵害，包括但不限于甲方本身的财产损失、由此而导致的甲方对任何第三方的法律责任等，乙方对此均应承担全部的赔偿责任。在执行本合同中发生的或与本合同有关的争端，双方应通过友好协商解决，经协商在30天内不能达成协议时，应提交眉山仲裁委员会或青神县仲裁委员会仲裁。在仲裁期间，乙方不得停止服务，并应保证政府采购合同的继续履行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响应文件封面,中小企业声明函,残疾人福利性单位声明函,供应商应提交的相关证明材料,具有健全财务会计制度的证明材料,服务应答表,报价表,投标（响应）函,监狱企业的证明文件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《协商文件》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