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440106-2025-03705</w:t>
      </w:r>
    </w:p>
    <w:p>
      <w:pPr>
        <w:pStyle w:val="null3"/>
        <w:jc w:val="center"/>
        <w:outlineLvl w:val="3"/>
      </w:pPr>
      <w:r>
        <w:rPr>
          <w:sz w:val="24"/>
          <w:b/>
        </w:rPr>
        <w:t>采购项目编号：</w:t>
      </w:r>
      <w:r>
        <w:rPr>
          <w:sz w:val="24"/>
          <w:b/>
        </w:rPr>
        <w:t>TD-GK-2025-031</w:t>
      </w:r>
    </w:p>
    <w:p>
      <w:pPr>
        <w:pStyle w:val="null3"/>
        <w:jc w:val="center"/>
        <w:outlineLvl w:val="3"/>
      </w:pPr>
      <w:r>
        <w:rPr>
          <w:sz w:val="24"/>
          <w:b/>
        </w:rPr>
        <w:t>项目名称：</w:t>
      </w:r>
      <w:r>
        <w:rPr>
          <w:sz w:val="24"/>
          <w:b/>
        </w:rPr>
        <w:t>十五运会开幕式奥体中心周边停车保障项目一体化服务</w:t>
      </w:r>
    </w:p>
    <w:p>
      <w:pPr>
        <w:pStyle w:val="null3"/>
        <w:jc w:val="center"/>
        <w:outlineLvl w:val="3"/>
      </w:pPr>
      <w:r>
        <w:rPr>
          <w:sz w:val="24"/>
          <w:b/>
        </w:rPr>
        <w:t>采购人：</w:t>
      </w:r>
      <w:r>
        <w:rPr>
          <w:sz w:val="24"/>
          <w:b/>
        </w:rPr>
        <w:t>广州市天河区住房建设和园林局</w:t>
      </w:r>
    </w:p>
    <w:p>
      <w:pPr>
        <w:pStyle w:val="null3"/>
        <w:jc w:val="center"/>
        <w:outlineLvl w:val="3"/>
      </w:pPr>
      <w:r>
        <w:rPr>
          <w:sz w:val="24"/>
          <w:b/>
        </w:rPr>
        <w:t>采购代理机构：</w:t>
      </w:r>
      <w:r>
        <w:rPr>
          <w:sz w:val="24"/>
          <w:b/>
        </w:rPr>
        <w:t>天栋建设管理有限公司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天栋建设管理有限公司</w:t>
      </w:r>
      <w:r>
        <w:rPr/>
        <w:t>受</w:t>
      </w:r>
      <w:r>
        <w:rPr/>
        <w:t>广州市天河区住房建设和园林局</w:t>
      </w:r>
      <w:r>
        <w:rPr/>
        <w:t>的委托，采用</w:t>
      </w:r>
      <w:r>
        <w:rPr/>
        <w:t>公开招标</w:t>
      </w:r>
      <w:r>
        <w:rPr/>
        <w:t>方式组织采购</w:t>
      </w:r>
      <w:r>
        <w:rPr/>
        <w:t>十五运会开幕式奥体中心周边停车保障项目一体化服务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十五运会开幕式奥体中心周边停车保障项目一体化服务</w:t>
      </w:r>
    </w:p>
    <w:p>
      <w:pPr>
        <w:pStyle w:val="null3"/>
        <w:ind w:firstLine="480"/>
      </w:pPr>
      <w:r>
        <w:rPr/>
        <w:t>采购计划编号：</w:t>
      </w:r>
      <w:r>
        <w:rPr/>
        <w:t>440106-2025-03705</w:t>
      </w:r>
    </w:p>
    <w:p>
      <w:pPr>
        <w:pStyle w:val="null3"/>
        <w:ind w:firstLine="480"/>
      </w:pPr>
      <w:r>
        <w:rPr/>
        <w:t>采购项目编号：</w:t>
      </w:r>
      <w:r>
        <w:rPr/>
        <w:t>TD-GK-2025-031</w:t>
      </w:r>
    </w:p>
    <w:p>
      <w:pPr>
        <w:pStyle w:val="null3"/>
        <w:ind w:firstLine="480"/>
      </w:pPr>
      <w:r>
        <w:rPr/>
        <w:t>采购方式：</w:t>
      </w:r>
      <w:r>
        <w:rPr/>
        <w:t>公开招标</w:t>
      </w:r>
    </w:p>
    <w:p>
      <w:pPr>
        <w:pStyle w:val="null3"/>
        <w:ind w:firstLine="480"/>
      </w:pPr>
      <w:r>
        <w:rPr/>
        <w:t>预算金额：</w:t>
      </w:r>
      <w:r>
        <w:rPr/>
        <w:t>6,141,200.00</w:t>
      </w:r>
      <w:r>
        <w:rPr/>
        <w:t>元</w:t>
      </w:r>
    </w:p>
    <w:p>
      <w:pPr>
        <w:pStyle w:val="null3"/>
        <w:outlineLvl w:val="3"/>
      </w:pPr>
      <w:r>
        <w:rPr>
          <w:sz w:val="24"/>
          <w:b/>
        </w:rPr>
        <w:t>2.项目内容及需求情况（采购项目技术规格、参数及要求）</w:t>
      </w:r>
    </w:p>
    <w:p>
      <w:pPr>
        <w:pStyle w:val="null3"/>
      </w:pPr>
      <w:r>
        <w:rPr/>
        <w:t>采购包1(十五运会开幕式奥体中心周边停车保障项目一体化服务):</w:t>
      </w:r>
    </w:p>
    <w:p>
      <w:pPr>
        <w:pStyle w:val="null3"/>
      </w:pPr>
      <w:r>
        <w:rPr/>
        <w:t>采购包预算金额：6,141,200.00元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十五运会开幕式奥体中心周边停车场保障项目一体化服务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合同履行期限：自签订合同之日起至2025年11月10日。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自然人，投标时提交有效的营业执照副本复印件；分支机构投标的，必须由总公司授权（提供《投标函》、总公司及分支机构的营业执照复印件及总公司出具给分支机构的授权书）。</w:t>
      </w:r>
    </w:p>
    <w:p>
      <w:pPr>
        <w:pStyle w:val="null3"/>
      </w:pPr>
      <w:r>
        <w:rPr/>
        <w:t>2）有依法缴纳税收和社会保障资金的良好记录：按招标公告附件格式，签署《投标人资格声明函》；</w:t>
      </w:r>
    </w:p>
    <w:p>
      <w:pPr>
        <w:pStyle w:val="null3"/>
      </w:pPr>
      <w:r>
        <w:rPr/>
        <w:t>3）具有良好的商业信誉和健全的财务会计制度：按招标公告附件格式，签署《投标人资格声明函》；</w:t>
      </w:r>
    </w:p>
    <w:p>
      <w:pPr>
        <w:pStyle w:val="null3"/>
      </w:pPr>
      <w:r>
        <w:rPr/>
        <w:t>4）履行合同所必需的设备和专业技术能力：按招标公告附件格式，签署《投标人资格声明函》；</w:t>
      </w:r>
    </w:p>
    <w:p>
      <w:pPr>
        <w:pStyle w:val="null3"/>
      </w:pPr>
      <w:r>
        <w:rPr/>
        <w:t>5）参加采购活动前3年内，在经营活动中没有重大违法记录：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采购包1（十五运会开幕式奥体中心周边停车保障项目一体化服务）：</w:t>
      </w:r>
      <w:r>
        <w:rPr/>
        <w:t>本项目不属于专门面向中小企业采购的项目。</w:t>
      </w:r>
    </w:p>
    <w:p>
      <w:pPr>
        <w:pStyle w:val="null3"/>
        <w:outlineLvl w:val="3"/>
      </w:pPr>
      <w:r>
        <w:rPr>
          <w:sz w:val="24"/>
          <w:b/>
        </w:rPr>
        <w:t>3.本项目特定的资格要求：</w:t>
      </w:r>
    </w:p>
    <w:p>
      <w:pPr>
        <w:pStyle w:val="null3"/>
      </w:pPr>
      <w:r>
        <w:rPr/>
        <w:t>采购包1（十五运会开幕式奥体中心周边停车保障项目一体化服务）：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3)本项目不允许转包分包。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广州市天河区住房建设和园林局</w:t>
      </w:r>
    </w:p>
    <w:p>
      <w:pPr>
        <w:pStyle w:val="null3"/>
        <w:ind w:firstLine="480"/>
      </w:pPr>
      <w:r>
        <w:rPr/>
        <w:t xml:space="preserve"> 地址：</w:t>
      </w:r>
      <w:r>
        <w:rPr/>
        <w:t>天河区黄埔大道中144-152号海景中心四楼</w:t>
      </w:r>
    </w:p>
    <w:p>
      <w:pPr>
        <w:pStyle w:val="null3"/>
        <w:ind w:firstLine="480"/>
      </w:pPr>
      <w:r>
        <w:rPr/>
        <w:t xml:space="preserve"> 联系方式：</w:t>
      </w:r>
      <w:r>
        <w:rPr/>
        <w:t>85626391</w:t>
      </w:r>
    </w:p>
    <w:p>
      <w:pPr>
        <w:pStyle w:val="null3"/>
        <w:outlineLvl w:val="3"/>
      </w:pPr>
      <w:r>
        <w:rPr>
          <w:sz w:val="24"/>
          <w:b/>
        </w:rPr>
        <w:t xml:space="preserve"> 2.采购代理机构信息</w:t>
      </w:r>
    </w:p>
    <w:p>
      <w:pPr>
        <w:pStyle w:val="null3"/>
        <w:ind w:firstLine="480"/>
      </w:pPr>
      <w:r>
        <w:rPr/>
        <w:t xml:space="preserve"> 名称：</w:t>
      </w:r>
      <w:r>
        <w:rPr/>
        <w:t>天栋建设管理有限公司</w:t>
      </w:r>
    </w:p>
    <w:p>
      <w:pPr>
        <w:pStyle w:val="null3"/>
        <w:ind w:firstLine="480"/>
      </w:pPr>
      <w:r>
        <w:rPr/>
        <w:t xml:space="preserve"> 地址：</w:t>
      </w:r>
      <w:r>
        <w:rPr/>
        <w:t>广州市天河区天润路6号三楼</w:t>
      </w:r>
    </w:p>
    <w:p>
      <w:pPr>
        <w:pStyle w:val="null3"/>
        <w:ind w:firstLine="480"/>
      </w:pPr>
      <w:r>
        <w:rPr/>
        <w:t xml:space="preserve"> 联系方式：</w:t>
      </w:r>
      <w:r>
        <w:rPr/>
        <w:t>020-87180896</w:t>
      </w:r>
    </w:p>
    <w:p>
      <w:pPr>
        <w:pStyle w:val="null3"/>
        <w:outlineLvl w:val="3"/>
      </w:pPr>
      <w:r>
        <w:rPr>
          <w:sz w:val="24"/>
          <w:b/>
        </w:rPr>
        <w:t xml:space="preserve"> 3.项目联系方式</w:t>
      </w:r>
    </w:p>
    <w:p>
      <w:pPr>
        <w:pStyle w:val="null3"/>
        <w:ind w:firstLine="480"/>
      </w:pPr>
      <w:r>
        <w:rPr/>
        <w:t xml:space="preserve"> 项目联系人：</w:t>
      </w:r>
      <w:r>
        <w:rPr/>
        <w:t>天栋建设管理有限公司</w:t>
      </w:r>
    </w:p>
    <w:p>
      <w:pPr>
        <w:pStyle w:val="null3"/>
        <w:ind w:firstLine="480"/>
      </w:pPr>
      <w:r>
        <w:rPr/>
        <w:t xml:space="preserve"> 电话：</w:t>
      </w:r>
      <w:r>
        <w:rPr/>
        <w:t>020-87180896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天栋建设管理有限公司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ind w:firstLine="422"/>
      </w:pPr>
      <w:r>
        <w:rPr>
          <w:sz w:val="21"/>
          <w:b/>
        </w:rPr>
        <w:t>本项目总预算为人民币</w:t>
      </w:r>
      <w:r>
        <w:rPr>
          <w:sz w:val="21"/>
          <w:b/>
        </w:rPr>
        <w:t>6,141,200.00元。包含</w:t>
      </w:r>
      <w:r>
        <w:rPr>
          <w:sz w:val="21"/>
          <w:b/>
        </w:rPr>
        <w:t>3项服务内容：（1）智能安防监控服务</w:t>
      </w:r>
      <w:r>
        <w:rPr>
          <w:sz w:val="21"/>
          <w:b/>
        </w:rPr>
        <w:t>、</w:t>
      </w:r>
      <w:r>
        <w:rPr>
          <w:sz w:val="21"/>
          <w:b/>
        </w:rPr>
        <w:t>（</w:t>
      </w:r>
      <w:r>
        <w:rPr>
          <w:sz w:val="21"/>
          <w:b/>
        </w:rPr>
        <w:t>2）太阳能杆智能照明服务、（3）综合辅助服务</w:t>
      </w:r>
      <w:r>
        <w:rPr>
          <w:sz w:val="21"/>
          <w:b/>
        </w:rPr>
        <w:t>。</w:t>
      </w:r>
    </w:p>
    <w:p>
      <w:pPr>
        <w:pStyle w:val="null3"/>
      </w:pPr>
      <w:r>
        <w:rPr>
          <w:sz w:val="21"/>
          <w:b/>
        </w:rPr>
        <w:t>（一）智能安防监控服务：</w:t>
      </w:r>
    </w:p>
    <w:p>
      <w:pPr>
        <w:pStyle w:val="null3"/>
        <w:ind w:firstLine="420"/>
      </w:pPr>
      <w:r>
        <w:rPr>
          <w:sz w:val="21"/>
        </w:rPr>
        <w:t>为保障第十五届全运会期间停车场高效、安全运转，基于视频监控设备提供智能安防监控服务，将为人员车辆管理及安全保障工作提供坚实的技术支撑服务。</w:t>
      </w:r>
    </w:p>
    <w:p>
      <w:pPr>
        <w:pStyle w:val="null3"/>
        <w:ind w:firstLine="420"/>
      </w:pPr>
      <w:r>
        <w:rPr>
          <w:sz w:val="21"/>
        </w:rPr>
        <w:t>1.保障车辆安全：全运会期间相关专业人员前往奥体中心参加赛事，由于停车场车辆停放密集，基于视频监控设备可对停车场进行全方位监控，实时掌握车辆停放情况和周边动态，有效预防车辆盗窃、刮擦等事故发生，保障财产安全；</w:t>
      </w:r>
    </w:p>
    <w:p>
      <w:pPr>
        <w:pStyle w:val="null3"/>
        <w:ind w:firstLine="420"/>
      </w:pPr>
      <w:r>
        <w:rPr>
          <w:sz w:val="21"/>
        </w:rPr>
        <w:t>2.维持停车秩序：赛事期间车流量大，停车场容易出现拥堵。视频监控智能安防能帮助管理人员及时了解各区域停车状况，合理引导车辆停放，提高停车效率，避免混乱，确保停车场内交通顺畅，方便</w:t>
      </w:r>
      <w:r>
        <w:rPr>
          <w:sz w:val="21"/>
        </w:rPr>
        <w:t>赛事相关专业人员</w:t>
      </w:r>
      <w:r>
        <w:rPr>
          <w:sz w:val="21"/>
        </w:rPr>
        <w:t>快速入场和离场；</w:t>
      </w:r>
    </w:p>
    <w:p>
      <w:pPr>
        <w:pStyle w:val="null3"/>
        <w:ind w:firstLine="420"/>
      </w:pPr>
      <w:r>
        <w:rPr>
          <w:sz w:val="21"/>
        </w:rPr>
        <w:t>3.大型赛事安全保障：大型体育赛事安保要求高，奥体中心及周边是安保重点区域。停车场作为人员和车辆进出的重要场所，纳入整体安保体系。视频监控智能安防可与其他安保措施协同工作，为安保人员提供实时画面，便于及时发现和处理可疑人员、物品等安全隐患，保障赛事顺利进行；</w:t>
      </w:r>
    </w:p>
    <w:p>
      <w:pPr>
        <w:pStyle w:val="null3"/>
        <w:ind w:firstLine="420"/>
      </w:pPr>
      <w:r>
        <w:rPr>
          <w:sz w:val="21"/>
        </w:rPr>
        <w:t>4.应对突发情况：全运会期间人员密集，可能出现各类突发事件，如火灾、踩踏等。视频监控智能安防有助于管理人员第一时间掌握现场情况，为应急处置提供决策依据，便于迅速采取措施，减少事故损失和影响。</w:t>
      </w:r>
    </w:p>
    <w:p>
      <w:pPr>
        <w:pStyle w:val="null3"/>
      </w:pPr>
      <w:r>
        <w:rPr>
          <w:sz w:val="21"/>
          <w:b/>
        </w:rPr>
        <w:t>（二）太阳能杆智能照明服务：</w:t>
      </w:r>
    </w:p>
    <w:p>
      <w:pPr>
        <w:pStyle w:val="null3"/>
        <w:ind w:firstLine="420"/>
      </w:pPr>
      <w:r>
        <w:rPr>
          <w:sz w:val="21"/>
        </w:rPr>
        <w:t>在十五届全运会期间，停车场配置太阳能照明的主要效果是实现环保节能与高效照明的结合。太阳能照明减少了对传统电网的依赖。此外太阳能照明配备智能感应和自动控制功能，在无人监管的环境下，可通过</w:t>
      </w:r>
      <w:r>
        <w:rPr>
          <w:sz w:val="21"/>
        </w:rPr>
        <w:t>4G方式接入互联网，数据实时上传至物联网大数据平台，根据实际需求调节亮度，进一步提升能源利用效率。不仅提升了停车场的夜间安全性和使用便利性，还通过其环保特性增强了全运会的绿色办赛形象。</w:t>
      </w:r>
    </w:p>
    <w:p>
      <w:pPr>
        <w:pStyle w:val="null3"/>
        <w:ind w:firstLine="420"/>
      </w:pPr>
      <w:r>
        <w:rPr>
          <w:sz w:val="21"/>
        </w:rPr>
        <w:t>1.大型赛事安全保障：全运会期间奥体中心作为核心场馆，周边停车场承担大量赛事相关专业人员的停车需求，高峰期人流量、车流量剧增。照明是停车场安全运营的基础，须保障车辆停靠、行人通行的夜间视线清晰，避免安全事故。</w:t>
      </w:r>
    </w:p>
    <w:p>
      <w:pPr>
        <w:pStyle w:val="null3"/>
        <w:ind w:firstLine="420"/>
      </w:pPr>
      <w:r>
        <w:rPr>
          <w:sz w:val="21"/>
        </w:rPr>
        <w:t>2.光照资源丰富：太阳能照明通过储能设备实现“白天蓄电、夜间照明”，可满足停车场全天候照明需求；且其独立供电特性（无需依赖电网）能避免因电力故障导致的照明中断，提升赛事期间服务保障的稳定性。</w:t>
      </w:r>
    </w:p>
    <w:p>
      <w:pPr>
        <w:pStyle w:val="null3"/>
        <w:ind w:firstLine="420"/>
      </w:pPr>
      <w:r>
        <w:rPr>
          <w:sz w:val="21"/>
        </w:rPr>
        <w:t>3.技术可靠：现代太阳能照明技术成熟，LED光源高效节能，锂电池储能性能稳定（可满足连续阴雨天照明需求），系统运行可靠，适合大型赛事活动期间的高强度使用。</w:t>
      </w:r>
    </w:p>
    <w:p>
      <w:pPr>
        <w:pStyle w:val="null3"/>
      </w:pPr>
      <w:r>
        <w:rPr>
          <w:sz w:val="21"/>
          <w:b/>
        </w:rPr>
        <w:t>（三）综合辅助服务：</w:t>
      </w:r>
    </w:p>
    <w:p>
      <w:pPr>
        <w:pStyle w:val="null3"/>
        <w:ind w:firstLine="420"/>
      </w:pPr>
      <w:r>
        <w:rPr>
          <w:sz w:val="21"/>
        </w:rPr>
        <w:t>第十五届全运会作为国内规格最高、规模最大、竞技水平最高的综合性体育盛会之一，承载着展示城市形象、促进体育事业发展、凝聚社会力量的重要使命。奥体中心作为全运会的核心举办场地，届时将迎来海量的运动员、观众、媒体记者及工作人员，周边交通及停车保障成为赛事顺利举办的关键环节之一。随着全运会的举办，为了确保车辆能够有序停放、快速流转，避免出现交通拥堵、停车混乱等问题，同时保障车辆及人员的安全，提供全面、完善的停车场综合辅助服务显得尤为必要。</w:t>
      </w:r>
    </w:p>
    <w:p>
      <w:pPr>
        <w:pStyle w:val="null3"/>
        <w:ind w:firstLine="420"/>
      </w:pPr>
      <w:r>
        <w:rPr>
          <w:sz w:val="21"/>
        </w:rPr>
        <w:t>根据《十五运会和残特奥会广州赛区停车保障工作指引》，为保障通行安全和效率，停车场内应实现人车分离，通过围挡物理隔离设施划分人行通道和车行通道，避免人车混行。在标志牌方面能够清晰、准确的指引标识能帮助车辆快速找到停车场入口、出口及内部车位，减少车辆在周边道路的无效绕行，提升停车效率。灭火器是保障停车场消防安全的重要设施，全运会期间人员密集、车辆集中，配备足够且合格的灭火器，可在突发火情时及时进行初期扑救，降低火灾风险。防滑地垫能有效应对可能出现的雨雪等恶劣天气，防止车辆打滑和人员摔倒，保障通行安全。警示带可用于划分停车场区域、隔离危险地带，避免无关人员或车辆进入特定区域，维护停车场秩序。挡车器改造能规范车辆停放位置，防止车辆超出车位范围，避免车辆之间发生碰撞，同时保护停车场地面及其他设施。标线的清晰划分则能明确车位边界、行驶路线等，引导车辆有序行驶和停放。岗亭作为停车场的管理枢纽，可实现对进出车辆的登记、收费及安全管控，便于管理人员及时处理各类突发情况。移动式厕所能满足停车场内人员的如厕需求，提升服务的便利性和人性化水平。停车场休息室为停车场管理人员及有需要的车主提供了临时休息的场所，有助于保障管理人员的工作状态，提升服务质量。手持车辆识别一体机则通过智能化手段实现车辆的快速识别、进出登记，提高车辆通行效率，减少排队等待时间，助力停车场的智能化管理。</w:t>
      </w:r>
    </w:p>
    <w:p>
      <w:pPr>
        <w:pStyle w:val="null3"/>
        <w:ind w:firstLine="420"/>
      </w:pPr>
      <w:r>
        <w:rPr>
          <w:sz w:val="21"/>
        </w:rPr>
        <w:t>在第十五届全运会期间，为奥体周边停车场提供综合辅助服务是保障赛事期间交通顺畅、停车有序、安全可靠的重要举措，也是提升赛事服务质量、展现城市良好形象的具体体现。</w:t>
      </w:r>
    </w:p>
    <w:p>
      <w:pPr>
        <w:pStyle w:val="null3"/>
      </w:pPr>
      <w:r>
        <w:rPr/>
        <w:t>采购包1（十五运会开幕式奥体中心周边停车保障项目一体化服务）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自签订合同之日起至2025年11月10日。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1期：支付比例30%,支付比例30%，合同签订后，采购人在收到中标人提供的正式发票后5个工作日内按照财政支付手续办理申请支付合同金额的30%；</w:t>
            </w:r>
          </w:p>
          <w:p>
            <w:pPr>
              <w:pStyle w:val="null3"/>
            </w:pPr>
            <w:r>
              <w:rPr/>
              <w:t>2期：支付比例30%,支付比例30%，设施设备安装调试完成后，采购人在收到中标人提供的正式发票后5个工作日内按照财政支付手续办理申请支付合同总价的30%；</w:t>
            </w:r>
          </w:p>
          <w:p>
            <w:pPr>
              <w:pStyle w:val="null3"/>
            </w:pPr>
            <w:r>
              <w:rPr/>
              <w:t>3期：支付比例40%,支付比例40%，于合同期服务期结束后，采购人在收到中标人提供的正式发票后5个工作日内按照财政支付手续办理申请支付合同总价的40%。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初步验收：中标人完成所提供服务内容的设备安装调试完成后向采购人提出书面验收申请，采购人无异议的，7日内组织验收，（1）智能安防监控服务：采购人按服务内容交付情况、前端点位数量、监控图像呈现质量、设备参数指标等进行初步验收；（2）太阳能杆智能照明服务：重点对智能照明太阳能杆的安装稳固性、各部件连接情况、照明及太阳能功能的调试效果进行初步验收；（3）综合辅助服务：重点对各类辅助设施的安装规范性、位置合理性、功能完整性及调试效果进行初步检验；</w:t>
            </w:r>
          </w:p>
          <w:p>
            <w:pPr>
              <w:pStyle w:val="null3"/>
            </w:pPr>
            <w:r>
              <w:rPr/>
              <w:t>2期：最终验收：在服务期结束后向采购人提出书面最终验收申请，采购人无异议的，7日内组织验收，（1）智能安防监控服务：全面针对视频监控设备的整体运行状况及服务期内的服务质量等进行最终验收；（2）太阳能杆智能照明服务：全面针对智能照明太阳能杆的整体运行稳定性、太阳能转化效率、照明效果持久性及服务期内的维护服务质量等进行最终验收；（3）综合辅助服务：全面针对辅助设施内容的整体运行稳定性、损耗维护情况、功能持续有效性及服务期内的管理服务质量等进行最终验收； 验收标准按国家或地方有关规定和行业规范进行验收。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说明：1、中标人在中标通知书发出之日起10日内（包括转账、支票、汇票、本票、保函等方式）向采购人缴交中标金额的5%作为履约保证金。 2、采购人在合同期满之日起20天内无息退还给中标人。 3、履约保证金不予退还的情形：（1）未经采购人同意，中标人将本项目进行分包或转包给他人；（2）在履行合同期间，中标人未经采购人同意提前终止本项目合同；（3）在履行合同期间，中标人因在经营活动中存在违法被吊销营业执照或相关许可，导致本项目合同无法继续履行的；（4）中标人违反合同有关规定被采购人终止合约的。4、采购人逾期退还履约保证金的，从逾期之日起每日按履约保证金金额的万分之一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其他，一、报价要求 1、本项目采用总价报价，本项目最高限价为6,141,200.00元，报价不得超过本项目最高限价，否则被视为无效投标处理。报价包括成本、利润、税金等完成本项目所需的全部费用的总和及合同实施过程中应预见和不可预见费用，是对完成工作的全部偿付。投标人不得就报价以外的费用另外向采购人申请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十五运会开幕式奥体中心周边停车场保障项目一体化服务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6,141,200.00</w:t>
            </w:r>
          </w:p>
        </w:tc>
        <w:tc>
          <w:tcPr>
            <w:tcW w:type="dxa" w:w="933"/>
          </w:tcPr>
          <w:p>
            <w:pPr>
              <w:pStyle w:val="null3"/>
              <w:jc w:val="right"/>
            </w:pPr>
            <w:r>
              <w:rPr/>
              <w:t>6,141,200.00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十五运会开幕式奥体中心周边停车场保障项目一体化服务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一、覆盖面积：</w:t>
            </w:r>
          </w:p>
          <w:p>
            <w:pPr>
              <w:pStyle w:val="null3"/>
            </w:pPr>
            <w:r>
              <w:rPr>
                <w:sz w:val="20"/>
                <w:b/>
              </w:rPr>
              <w:t>（一）</w:t>
            </w:r>
            <w:r>
              <w:rPr>
                <w:sz w:val="21"/>
                <w:b/>
              </w:rPr>
              <w:t>智能安防监控服务：</w:t>
            </w:r>
          </w:p>
          <w:p>
            <w:pPr>
              <w:pStyle w:val="null3"/>
              <w:jc w:val="both"/>
            </w:pPr>
            <w:r>
              <w:rPr>
                <w:sz w:val="21"/>
              </w:rPr>
              <w:t>1.思源学校地块P8停车场覆盖面积：1.8万平方米，监控服务：9套；</w:t>
            </w:r>
          </w:p>
          <w:p>
            <w:pPr>
              <w:pStyle w:val="null3"/>
              <w:jc w:val="both"/>
            </w:pPr>
            <w:r>
              <w:rPr>
                <w:sz w:val="21"/>
              </w:rPr>
              <w:t>2.世界大观北地块P9停车场覆盖面积：2万平方米，监控服务：10套；</w:t>
            </w:r>
          </w:p>
          <w:p>
            <w:pPr>
              <w:pStyle w:val="null3"/>
              <w:jc w:val="both"/>
            </w:pPr>
            <w:r>
              <w:rPr>
                <w:sz w:val="21"/>
              </w:rPr>
              <w:t>3.航天奇观P10停车场覆盖面积：4万平方米，监控服务：15套；</w:t>
            </w:r>
          </w:p>
          <w:p>
            <w:pPr>
              <w:pStyle w:val="null3"/>
              <w:jc w:val="both"/>
            </w:pPr>
            <w:r>
              <w:rPr>
                <w:sz w:val="21"/>
              </w:rPr>
              <w:t>4.世界大观中地块P11停车场覆盖面积：1.5万平方米，监控服务：10套；</w:t>
            </w:r>
          </w:p>
          <w:p>
            <w:pPr>
              <w:pStyle w:val="null3"/>
              <w:jc w:val="both"/>
            </w:pPr>
            <w:r>
              <w:rPr>
                <w:sz w:val="21"/>
              </w:rPr>
              <w:t>5.广氮花园东侧空地P15停车场覆盖面积：2.4万平方米，监控服务：16套；</w:t>
            </w:r>
          </w:p>
          <w:p>
            <w:pPr>
              <w:pStyle w:val="null3"/>
            </w:pPr>
            <w:r>
              <w:rPr>
                <w:sz w:val="21"/>
              </w:rPr>
              <w:t>6.奥体5号门北侧空地P18停车场覆盖面积：1.04万平方米，监控服务：2套</w:t>
            </w:r>
            <w:r>
              <w:rPr>
                <w:sz w:val="21"/>
              </w:rPr>
              <w:t>。</w:t>
            </w:r>
          </w:p>
          <w:p>
            <w:pPr>
              <w:pStyle w:val="null3"/>
            </w:pPr>
            <w:r>
              <w:rPr>
                <w:sz w:val="20"/>
                <w:b/>
              </w:rPr>
              <w:t>（二）</w:t>
            </w:r>
            <w:r>
              <w:rPr>
                <w:sz w:val="21"/>
                <w:b/>
              </w:rPr>
              <w:t>太阳能杆智能照明服务：</w:t>
            </w:r>
          </w:p>
          <w:p>
            <w:pPr>
              <w:pStyle w:val="null3"/>
              <w:jc w:val="both"/>
            </w:pPr>
            <w:r>
              <w:rPr>
                <w:sz w:val="21"/>
              </w:rPr>
              <w:t>1.思源学校地块P8停车场覆盖面积：1.8万平方米，照明服务：19套；</w:t>
            </w:r>
          </w:p>
          <w:p>
            <w:pPr>
              <w:pStyle w:val="null3"/>
              <w:jc w:val="both"/>
            </w:pPr>
            <w:r>
              <w:rPr>
                <w:sz w:val="21"/>
              </w:rPr>
              <w:t>2.世界大观北地块P9停车场覆盖面积：2万平方米，照明服务：21套；</w:t>
            </w:r>
          </w:p>
          <w:p>
            <w:pPr>
              <w:pStyle w:val="null3"/>
              <w:jc w:val="both"/>
            </w:pPr>
            <w:r>
              <w:rPr>
                <w:sz w:val="21"/>
              </w:rPr>
              <w:t>3.航天奇观P10停车场覆盖面积：4万平方米，照明服务：23套；</w:t>
            </w:r>
          </w:p>
          <w:p>
            <w:pPr>
              <w:pStyle w:val="null3"/>
              <w:jc w:val="both"/>
            </w:pPr>
            <w:r>
              <w:rPr>
                <w:sz w:val="21"/>
              </w:rPr>
              <w:t>4.世界大观中地块P11停车场覆盖面积：1.5万平方米，照明服务：17套；</w:t>
            </w:r>
          </w:p>
          <w:p>
            <w:pPr>
              <w:pStyle w:val="null3"/>
              <w:jc w:val="both"/>
            </w:pPr>
            <w:r>
              <w:rPr>
                <w:sz w:val="21"/>
              </w:rPr>
              <w:t>5.广氮花园东侧空地P15停车场覆盖面积：2.4万平方米，照明服务：26套；</w:t>
            </w:r>
          </w:p>
          <w:p>
            <w:pPr>
              <w:pStyle w:val="null3"/>
            </w:pPr>
            <w:r>
              <w:rPr>
                <w:sz w:val="21"/>
              </w:rPr>
              <w:t>6.奥体5号门北侧空地P18停车场覆盖面积：1.04万平方米，照明服务：7套。</w:t>
            </w:r>
          </w:p>
          <w:p>
            <w:pPr>
              <w:pStyle w:val="null3"/>
            </w:pPr>
            <w:r>
              <w:rPr>
                <w:sz w:val="20"/>
                <w:b/>
              </w:rPr>
              <w:t>（三）</w:t>
            </w:r>
            <w:r>
              <w:rPr>
                <w:sz w:val="21"/>
                <w:b/>
              </w:rPr>
              <w:t>综合辅助服务：</w:t>
            </w:r>
          </w:p>
          <w:p>
            <w:pPr>
              <w:pStyle w:val="null3"/>
              <w:jc w:val="both"/>
            </w:pPr>
            <w:r>
              <w:rPr>
                <w:sz w:val="21"/>
              </w:rPr>
              <w:t>1.P6和P7南广场停车场覆盖面积：12.7万平方米；</w:t>
            </w:r>
          </w:p>
          <w:p>
            <w:pPr>
              <w:pStyle w:val="null3"/>
              <w:jc w:val="both"/>
            </w:pPr>
            <w:r>
              <w:rPr>
                <w:sz w:val="21"/>
              </w:rPr>
              <w:t>2.思源学校地块P8停车场覆盖面积：1.8万平方米；</w:t>
            </w:r>
          </w:p>
          <w:p>
            <w:pPr>
              <w:pStyle w:val="null3"/>
              <w:jc w:val="both"/>
            </w:pPr>
            <w:r>
              <w:rPr>
                <w:sz w:val="21"/>
              </w:rPr>
              <w:t>3.世界大观北地块P9停车场覆盖面积：2万平方米；</w:t>
            </w:r>
          </w:p>
          <w:p>
            <w:pPr>
              <w:pStyle w:val="null3"/>
              <w:jc w:val="both"/>
            </w:pPr>
            <w:r>
              <w:rPr>
                <w:sz w:val="21"/>
              </w:rPr>
              <w:t>4.航天奇观P10停车场覆盖面积：4万平方米；</w:t>
            </w:r>
          </w:p>
          <w:p>
            <w:pPr>
              <w:pStyle w:val="null3"/>
              <w:jc w:val="both"/>
            </w:pPr>
            <w:r>
              <w:rPr>
                <w:sz w:val="21"/>
              </w:rPr>
              <w:t>5.世界大观中地块P11停车场覆盖面积：1.5万平方米；</w:t>
            </w:r>
          </w:p>
          <w:p>
            <w:pPr>
              <w:pStyle w:val="null3"/>
              <w:jc w:val="both"/>
            </w:pPr>
            <w:r>
              <w:rPr>
                <w:sz w:val="21"/>
              </w:rPr>
              <w:t>6.优托邦公交场站P12停车场覆盖面积：0.8万平方米；</w:t>
            </w:r>
          </w:p>
          <w:p>
            <w:pPr>
              <w:pStyle w:val="null3"/>
              <w:jc w:val="both"/>
            </w:pPr>
            <w:r>
              <w:rPr>
                <w:sz w:val="21"/>
              </w:rPr>
              <w:t>7.优托邦花花世界分公司P13停车场（北侧）覆盖面积：2.5万平方米；</w:t>
            </w:r>
          </w:p>
          <w:p>
            <w:pPr>
              <w:pStyle w:val="null3"/>
              <w:jc w:val="both"/>
            </w:pPr>
            <w:r>
              <w:rPr>
                <w:sz w:val="21"/>
              </w:rPr>
              <w:t>8.优托邦花花世界分公司P13停车场（南侧）覆盖面积：1.9万平方米；</w:t>
            </w:r>
          </w:p>
          <w:p>
            <w:pPr>
              <w:pStyle w:val="null3"/>
              <w:jc w:val="both"/>
            </w:pPr>
            <w:r>
              <w:rPr>
                <w:sz w:val="21"/>
              </w:rPr>
              <w:t>9.优托邦花花世界分公司P13停车场（东侧）覆盖面积：2.1万平方米；</w:t>
            </w:r>
          </w:p>
          <w:p>
            <w:pPr>
              <w:pStyle w:val="null3"/>
              <w:jc w:val="both"/>
            </w:pPr>
            <w:r>
              <w:rPr>
                <w:sz w:val="21"/>
              </w:rPr>
              <w:t>10.黄村公园中科新能源P14停车场覆盖面积：1.5万平方米；</w:t>
            </w:r>
          </w:p>
          <w:p>
            <w:pPr>
              <w:pStyle w:val="null3"/>
              <w:jc w:val="both"/>
            </w:pPr>
            <w:r>
              <w:rPr>
                <w:sz w:val="21"/>
              </w:rPr>
              <w:t>11.广氮花园东侧空地P15停车场覆盖面积：2.4万平方米；</w:t>
            </w:r>
          </w:p>
          <w:p>
            <w:pPr>
              <w:pStyle w:val="null3"/>
              <w:jc w:val="both"/>
            </w:pPr>
            <w:r>
              <w:rPr>
                <w:sz w:val="21"/>
              </w:rPr>
              <w:t>12.美林天地P16停车场覆盖面积：1.2万平方米；</w:t>
            </w:r>
          </w:p>
          <w:p>
            <w:pPr>
              <w:pStyle w:val="null3"/>
              <w:jc w:val="both"/>
            </w:pPr>
            <w:r>
              <w:rPr>
                <w:sz w:val="21"/>
              </w:rPr>
              <w:t>13.奥体5号门北侧空地P18停车场覆盖面积：1.04万平方米。</w:t>
            </w:r>
          </w:p>
        </w:tc>
      </w:tr>
      <w:tr>
        <w:tc>
          <w:tcPr>
            <w:tcW w:type="dxa" w:w="2076"/>
          </w:tcPr>
          <w:p/>
        </w:tc>
        <w:tc>
          <w:tcPr>
            <w:tcW w:type="dxa" w:w="415"/>
          </w:tcPr>
          <w:p>
            <w:pPr>
              <w:pStyle w:val="null3"/>
            </w:pPr>
            <w:r>
              <w:rPr/>
              <w:t>2</w:t>
            </w:r>
          </w:p>
        </w:tc>
        <w:tc>
          <w:tcPr>
            <w:tcW w:type="dxa" w:w="5814"/>
          </w:tcPr>
          <w:p>
            <w:pPr>
              <w:pStyle w:val="null3"/>
              <w:jc w:val="both"/>
            </w:pPr>
            <w:r>
              <w:rPr>
                <w:sz w:val="21"/>
                <w:b/>
              </w:rPr>
              <w:t>二、技术参数要求</w:t>
            </w:r>
          </w:p>
          <w:p>
            <w:pPr>
              <w:pStyle w:val="null3"/>
              <w:jc w:val="both"/>
            </w:pPr>
            <w:r>
              <w:rPr>
                <w:sz w:val="21"/>
                <w:b/>
              </w:rPr>
              <w:t>（一）</w:t>
            </w:r>
            <w:r>
              <w:rPr>
                <w:sz w:val="21"/>
                <w:b/>
              </w:rPr>
              <w:t>智能安防监控服务：</w:t>
            </w:r>
          </w:p>
          <w:p>
            <w:pPr>
              <w:pStyle w:val="null3"/>
              <w:jc w:val="both"/>
            </w:pPr>
            <w:r>
              <w:rPr>
                <w:sz w:val="21"/>
                <w:b/>
              </w:rPr>
              <w:t>（</w:t>
            </w:r>
            <w:r>
              <w:rPr>
                <w:sz w:val="21"/>
                <w:b/>
              </w:rPr>
              <w:t>1）路由器</w:t>
            </w:r>
          </w:p>
          <w:p>
            <w:pPr>
              <w:pStyle w:val="null3"/>
              <w:jc w:val="both"/>
            </w:pPr>
            <w:r>
              <w:rPr>
                <w:sz w:val="21"/>
              </w:rPr>
              <w:t>1.固定接口：4*GE(2Combo)+2*光口；</w:t>
            </w:r>
          </w:p>
          <w:p>
            <w:pPr>
              <w:pStyle w:val="null3"/>
              <w:jc w:val="both"/>
            </w:pPr>
            <w:r>
              <w:rPr>
                <w:sz w:val="21"/>
              </w:rPr>
              <w:t>2.内存：≥2GB；</w:t>
            </w:r>
          </w:p>
          <w:p>
            <w:pPr>
              <w:pStyle w:val="null3"/>
              <w:jc w:val="both"/>
            </w:pPr>
            <w:r>
              <w:rPr>
                <w:sz w:val="21"/>
              </w:rPr>
              <w:t>3.NAT会话数：25万；</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4.▲虚拟化：支持虚拟化特性，将物理上两台设备虚拟化成一台逻辑设备；（提供制造厂商产品官网图片、产品说明手册或制造厂商公开发布的印刷的资料或官网技术资料截图或第三方检测报告复印件）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4</w:t>
            </w:r>
          </w:p>
        </w:tc>
        <w:tc>
          <w:tcPr>
            <w:tcW w:type="dxa" w:w="5814"/>
          </w:tcPr>
          <w:p>
            <w:pPr>
              <w:pStyle w:val="null3"/>
              <w:jc w:val="both"/>
            </w:pPr>
            <w:r>
              <w:rPr>
                <w:sz w:val="21"/>
              </w:rPr>
              <w:t>5.URL过滤黑名单功能：支持对终端用户域名访问控制功能；</w:t>
            </w:r>
          </w:p>
          <w:p>
            <w:pPr>
              <w:pStyle w:val="null3"/>
              <w:jc w:val="both"/>
            </w:pPr>
            <w:r>
              <w:rPr>
                <w:sz w:val="21"/>
              </w:rPr>
              <w:t>6.IPS入侵防御功能：支持对已知网络攻击进行安全防御，提高网络安全性；</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7.▲Web cache技术：支持Web cache技术；（提供制造厂商产品官网图片、产品说明手册或制造厂商公开发布的印刷的资料或官网技术资料截图或第三方检测报告复印件）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8.▲广域网优化：支持对HTTP/FTP等TCP业务流量进行优化传输技术，提高广域网带宽利用率；（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7</w:t>
            </w:r>
          </w:p>
        </w:tc>
        <w:tc>
          <w:tcPr>
            <w:tcW w:type="dxa" w:w="5814"/>
          </w:tcPr>
          <w:p>
            <w:pPr>
              <w:pStyle w:val="null3"/>
              <w:jc w:val="both"/>
            </w:pPr>
            <w:r>
              <w:rPr>
                <w:sz w:val="21"/>
                <w:b/>
              </w:rPr>
              <w:t>（</w:t>
            </w:r>
            <w:r>
              <w:rPr>
                <w:sz w:val="21"/>
                <w:b/>
              </w:rPr>
              <w:t>2）汇聚交换机</w:t>
            </w:r>
          </w:p>
          <w:p>
            <w:pPr>
              <w:pStyle w:val="null3"/>
              <w:jc w:val="both"/>
            </w:pPr>
            <w:r>
              <w:rPr>
                <w:sz w:val="21"/>
              </w:rPr>
              <w:t>1.设备性能：交换性能≥1.36Tbps；包转发率≥144Mpps；</w:t>
            </w:r>
          </w:p>
          <w:p>
            <w:pPr>
              <w:pStyle w:val="null3"/>
              <w:jc w:val="both"/>
            </w:pPr>
            <w:r>
              <w:rPr>
                <w:sz w:val="21"/>
              </w:rPr>
              <w:t>2.端口描述：≥24个千兆SFP口，≥8个10/100/1000Base-T自适应以太网端口，≥4个万兆SFP+口；</w:t>
            </w:r>
          </w:p>
          <w:p>
            <w:pPr>
              <w:pStyle w:val="null3"/>
              <w:jc w:val="both"/>
            </w:pPr>
            <w:r>
              <w:rPr>
                <w:sz w:val="21"/>
              </w:rPr>
              <w:t>3.VLAN：支持基于端口的VLAN；支持基于协议的VLAN；支持基于MAC的VLAN；基于IP子网的VLAN；支持Voice VLAN；支持MVRP；</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4.▲堆叠：支持≥9堆叠；（提供制造厂商产品官网图片、产品说明手册或制造厂商公开发布的印刷的资料或官网技术资料截图或第三方检测报告复印件）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9</w:t>
            </w:r>
          </w:p>
        </w:tc>
        <w:tc>
          <w:tcPr>
            <w:tcW w:type="dxa" w:w="5814"/>
          </w:tcPr>
          <w:p>
            <w:pPr>
              <w:pStyle w:val="null3"/>
              <w:jc w:val="both"/>
            </w:pPr>
            <w:r>
              <w:rPr>
                <w:sz w:val="21"/>
              </w:rPr>
              <w:t>5.路由功能：支持静态路由、RIP 、RIPng、OSPF V1/V2/V3，支持VRRP/VRRPv3等路由特性；</w:t>
            </w:r>
          </w:p>
          <w:p>
            <w:pPr>
              <w:pStyle w:val="null3"/>
              <w:jc w:val="both"/>
            </w:pPr>
            <w:r>
              <w:rPr>
                <w:sz w:val="21"/>
              </w:rPr>
              <w:t>6.二层环网协议：支持STP/RSTP/MSTP协议、支持STP Root Protection、支持BPDU Protection、支持G.8032以太网环保护协议ERPS，可兼容其他支持该协议的产品；</w:t>
            </w:r>
          </w:p>
          <w:p>
            <w:pPr>
              <w:pStyle w:val="null3"/>
              <w:jc w:val="both"/>
            </w:pPr>
            <w:r>
              <w:rPr>
                <w:sz w:val="21"/>
              </w:rPr>
              <w:t>7.管理与维护：支持XModem/FTP/TFTP加载升级、支持命令行接口（CLI），Telnet，Console口进行配置、支持SNMPv1/v2/v3，WEB网管、支持RMON （Remote Monitoring）告警、事件、历史记录；</w:t>
            </w:r>
          </w:p>
          <w:p>
            <w:pPr>
              <w:pStyle w:val="null3"/>
              <w:jc w:val="both"/>
            </w:pPr>
            <w:r>
              <w:rPr>
                <w:sz w:val="21"/>
              </w:rPr>
              <w:t>8.OAM：支持802.1ag，支持802.3ah；</w:t>
            </w:r>
          </w:p>
          <w:p>
            <w:pPr>
              <w:pStyle w:val="null3"/>
              <w:jc w:val="both"/>
            </w:pPr>
            <w:r>
              <w:rPr>
                <w:sz w:val="21"/>
              </w:rPr>
              <w:t>9.绿色节能：支持EEE(802.3az)、端口自动Power down功能、端口定时down功能（Schedule job）；</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10.▲管理中心：支持内置智能网管中心功能，以设备内置及图形化操作的方式，实现对网络的统一运维及管理，包括设备角色选定、FTP服务器配置、全局配置及网管口配置等；支持智能运维功能，主要包括组管理、设备或组升级备份、监控及设备故障替换等；支持视化功能，主要包括组网拓扑可视及管理、设备列表展示等；（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11.▲准入控制：支持EAD（终端准入控制）功能，配合后台系统可以将终端防病毒、补丁修复等终端安全措施与网络接入控制、访问权限控制等网络安全措施整合为一个联动的安全体系；（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12</w:t>
            </w:r>
          </w:p>
        </w:tc>
        <w:tc>
          <w:tcPr>
            <w:tcW w:type="dxa" w:w="5814"/>
          </w:tcPr>
          <w:p>
            <w:pPr>
              <w:pStyle w:val="null3"/>
              <w:jc w:val="both"/>
            </w:pPr>
            <w:r>
              <w:rPr>
                <w:sz w:val="21"/>
                <w:b/>
              </w:rPr>
              <w:t>（</w:t>
            </w:r>
            <w:r>
              <w:rPr>
                <w:sz w:val="21"/>
                <w:b/>
              </w:rPr>
              <w:t>3）防火墙</w:t>
            </w:r>
          </w:p>
          <w:p>
            <w:pPr>
              <w:pStyle w:val="null3"/>
              <w:jc w:val="both"/>
            </w:pPr>
            <w:r>
              <w:rPr>
                <w:sz w:val="21"/>
              </w:rPr>
              <w:t>1.硬件架构：采用非X86多核架构；</w:t>
            </w:r>
          </w:p>
          <w:p>
            <w:pPr>
              <w:pStyle w:val="null3"/>
              <w:jc w:val="both"/>
            </w:pPr>
            <w:r>
              <w:rPr>
                <w:sz w:val="21"/>
              </w:rPr>
              <w:t>2.接口要求：至少配置8个千兆电口，2个Combo口，1个独立管理口；</w:t>
            </w:r>
          </w:p>
          <w:p>
            <w:pPr>
              <w:pStyle w:val="null3"/>
              <w:jc w:val="both"/>
            </w:pPr>
            <w:r>
              <w:rPr>
                <w:sz w:val="21"/>
              </w:rPr>
              <w:t>3.性能要求：应用层吞吐量≥600M，网络层吞吐量≥2.5G，最大并发连接数≥80万，每秒新建连接数≥1.5万；SSL VPN并发用户不低于500；IPSec VPN隧道数不少于500；虚拟防火墙数量≥8；</w:t>
            </w:r>
          </w:p>
          <w:p>
            <w:pPr>
              <w:pStyle w:val="null3"/>
              <w:jc w:val="both"/>
            </w:pPr>
            <w:r>
              <w:rPr>
                <w:sz w:val="21"/>
              </w:rPr>
              <w:t>4．NAT功能：实现一对一、多对一、多对多等多种形式的NAT，实现DNS、FTP、H.323等多种NAT ALG功能；NAT地址池支持动态探测和可用地址分配；</w:t>
            </w:r>
          </w:p>
          <w:p>
            <w:pPr>
              <w:pStyle w:val="null3"/>
              <w:jc w:val="both"/>
            </w:pPr>
            <w:r>
              <w:rPr>
                <w:sz w:val="21"/>
              </w:rPr>
              <w:t>5.数据安全：支持数据防泄露，对传输的文件和内容进行识别过滤，对内容与身份证号、信用卡号、银行卡号、手机号等类型进行匹配；</w:t>
            </w:r>
          </w:p>
          <w:p>
            <w:pPr>
              <w:pStyle w:val="null3"/>
              <w:jc w:val="both"/>
            </w:pPr>
            <w:r>
              <w:rPr>
                <w:sz w:val="21"/>
              </w:rPr>
              <w:t>6.部署模式：实现路由模式、透明（网桥）模式、混合模式；</w:t>
            </w:r>
          </w:p>
          <w:p>
            <w:pPr>
              <w:pStyle w:val="null3"/>
              <w:jc w:val="both"/>
            </w:pPr>
            <w:r>
              <w:rPr>
                <w:sz w:val="21"/>
              </w:rPr>
              <w:t>7.路由实现：实现静态路由、策略路由、RIP、OSPF、BGP等路由协议；</w:t>
            </w:r>
          </w:p>
          <w:p>
            <w:pPr>
              <w:pStyle w:val="null3"/>
              <w:jc w:val="both"/>
            </w:pPr>
            <w:r>
              <w:rPr>
                <w:sz w:val="21"/>
              </w:rPr>
              <w:t>8.VPN：（1）实现高性能IPSec、L2TP、GRE VPN、SSL VPN等功能；（2）支持IPsec VPN隧道自动建立，无需流量触发；</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▲（3）支持IPsec VPN智能选路，根据隧道质量调度流量；（提供制造厂商产品官网图片、产品说明手册或制造厂商公开发布的印刷的资料或官网技术资料截图或第三方检测报告复印件）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14</w:t>
            </w:r>
          </w:p>
        </w:tc>
        <w:tc>
          <w:tcPr>
            <w:tcW w:type="dxa" w:w="5814"/>
          </w:tcPr>
          <w:p>
            <w:pPr>
              <w:pStyle w:val="null3"/>
              <w:jc w:val="both"/>
            </w:pPr>
            <w:r>
              <w:rPr>
                <w:sz w:val="21"/>
              </w:rPr>
              <w:t>（</w:t>
            </w:r>
            <w:r>
              <w:rPr>
                <w:sz w:val="21"/>
              </w:rPr>
              <w:t>4）可基于每个SSL VPN用户的会话连接数、连接时间和流量阀值进行细颗粒度的管控；</w:t>
            </w:r>
          </w:p>
          <w:p>
            <w:pPr>
              <w:pStyle w:val="null3"/>
              <w:jc w:val="both"/>
            </w:pPr>
            <w:r>
              <w:rPr>
                <w:sz w:val="21"/>
              </w:rPr>
              <w:t>9.安全策略：（1）支持一体化安全策略，能够基于时间、用户/用户组、应用层协议、五元组、内容安全统一界面进行安全策略配置；（2）支持策略冗余分析， 冲突策略分析以及命中率统计；</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3）支持策略风险调优，支持安全策略优化分析，支持策略数冗余及命中分析，支持基于应用风险的策略调优，可根据流量、应用、风险类型等细粒度展示，并给出总体安全评分，便于用户更好的管理安全策略；（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16</w:t>
            </w:r>
          </w:p>
        </w:tc>
        <w:tc>
          <w:tcPr>
            <w:tcW w:type="dxa" w:w="5814"/>
          </w:tcPr>
          <w:p>
            <w:pPr>
              <w:pStyle w:val="null3"/>
              <w:jc w:val="both"/>
            </w:pPr>
            <w:r>
              <w:rPr>
                <w:sz w:val="21"/>
              </w:rPr>
              <w:t>10.攻击防护：实现安全区域划分，访问控制列表，配置对象及策略，动态包过滤，黑名单，MAC和IP绑定功能，基于MAC的访问控制列表，802.1q VLAN 透传等功能；</w:t>
            </w:r>
          </w:p>
          <w:p>
            <w:pPr>
              <w:pStyle w:val="null3"/>
              <w:jc w:val="both"/>
            </w:pPr>
            <w:r>
              <w:rPr>
                <w:sz w:val="21"/>
              </w:rPr>
              <w:t>11.应用识别：支持至少5500条或以上的应用识别，且提示风险类型及风险级别，便于用户根据实际情况进行上网行为管理；实现对黑客攻击、蠕虫/病毒、木马、恶意代码、间谍软件/广告软件等攻击的防御，实现缓冲区溢出、SQL注入、IDS/IPS逃逸等攻击的防御，实现攻击特征库的分类；支持超过8000种特征的攻击检测和防御；</w:t>
            </w:r>
          </w:p>
          <w:p>
            <w:pPr>
              <w:pStyle w:val="null3"/>
              <w:jc w:val="both"/>
            </w:pPr>
            <w:r>
              <w:rPr>
                <w:sz w:val="21"/>
              </w:rPr>
              <w:t>12.防病毒：（1）可基于病毒特征进行检测，实现病毒库手动和自动升级，实现病毒日志和报表；（2）支持基于文件协议、邮件协议（SMTP/POP3/imap)、共享协议（NFS/SMB）的病毒功能；（3）可基于病毒特征进行检测、动作响应、提供报表；（4）支持云端防病毒，为保证检测时效性，特征缓存数至少保证20万条且缓存保留时间应不少于700分钟；</w:t>
            </w:r>
          </w:p>
          <w:p>
            <w:pPr>
              <w:pStyle w:val="null3"/>
              <w:jc w:val="both"/>
            </w:pPr>
            <w:r>
              <w:rPr>
                <w:sz w:val="21"/>
              </w:rPr>
              <w:t>13.数据安全：支持数据防泄露，对传输的文件和内容进行识别过滤，对内容与身份证号、信用卡号、银行卡号、手机号等类型进行匹配；</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14.▲虚拟化能力：设备须支持虚拟防火墙功能：支持虚拟防火墙的创建、启动、关闭、删除功能；可独立分配CPU、接口、吞吐量、内存、磁盘空间等资源；（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18</w:t>
            </w:r>
          </w:p>
        </w:tc>
        <w:tc>
          <w:tcPr>
            <w:tcW w:type="dxa" w:w="5814"/>
          </w:tcPr>
          <w:p>
            <w:pPr>
              <w:pStyle w:val="null3"/>
              <w:jc w:val="both"/>
            </w:pPr>
            <w:r>
              <w:rPr>
                <w:sz w:val="21"/>
                <w:b/>
              </w:rPr>
              <w:t>（</w:t>
            </w:r>
            <w:r>
              <w:rPr>
                <w:sz w:val="21"/>
                <w:b/>
              </w:rPr>
              <w:t>4）智能摄像机</w:t>
            </w:r>
          </w:p>
          <w:p>
            <w:pPr>
              <w:pStyle w:val="null3"/>
              <w:jc w:val="both"/>
            </w:pPr>
            <w:r>
              <w:rPr>
                <w:sz w:val="21"/>
              </w:rPr>
              <w:t>1.支持分辨率不小于2560×1440@25fps，分辨力不小于1500TVL；</w:t>
            </w:r>
          </w:p>
          <w:p>
            <w:pPr>
              <w:pStyle w:val="null3"/>
              <w:jc w:val="both"/>
            </w:pPr>
            <w:r>
              <w:rPr>
                <w:sz w:val="21"/>
              </w:rPr>
              <w:t>2.最低照度彩色：≥0.0002 lx，黑白:≥0.0001 lx，最大亮度鉴别等级（灰度等级）不小于11级；</w:t>
            </w:r>
          </w:p>
          <w:p>
            <w:pPr>
              <w:pStyle w:val="null3"/>
              <w:jc w:val="both"/>
            </w:pPr>
            <w:r>
              <w:rPr>
                <w:sz w:val="21"/>
              </w:rPr>
              <w:t>3.支持H.264、H.265、MJPEG视频编码格式，且具有High Profile编码能力；</w:t>
            </w:r>
          </w:p>
          <w:p>
            <w:pPr>
              <w:pStyle w:val="null3"/>
              <w:jc w:val="both"/>
            </w:pPr>
            <w:r>
              <w:rPr>
                <w:sz w:val="21"/>
              </w:rPr>
              <w:t>4.内置GPU芯片；</w:t>
            </w:r>
          </w:p>
          <w:p>
            <w:pPr>
              <w:pStyle w:val="null3"/>
              <w:jc w:val="both"/>
            </w:pPr>
            <w:r>
              <w:rPr>
                <w:sz w:val="21"/>
              </w:rPr>
              <w:t>5.移动通信类型：4G；</w:t>
            </w:r>
          </w:p>
          <w:p>
            <w:pPr>
              <w:pStyle w:val="null3"/>
              <w:jc w:val="both"/>
            </w:pPr>
            <w:r>
              <w:rPr>
                <w:sz w:val="21"/>
              </w:rPr>
              <w:t>6.支持检出两眼瞳距40像素点以上的人脸图片；</w:t>
            </w:r>
          </w:p>
          <w:p>
            <w:pPr>
              <w:pStyle w:val="null3"/>
              <w:jc w:val="both"/>
            </w:pPr>
            <w:r>
              <w:rPr>
                <w:sz w:val="21"/>
              </w:rPr>
              <w:t>7.支持侧脸过滤功能，可过滤上下、左右倾斜角度超过预设值的人脸；</w:t>
            </w:r>
          </w:p>
          <w:p>
            <w:pPr>
              <w:pStyle w:val="null3"/>
              <w:jc w:val="both"/>
            </w:pPr>
            <w:r>
              <w:rPr>
                <w:sz w:val="21"/>
              </w:rPr>
              <w:t>8.支持人数统计功能，支持设置不少于8个多边形人数统计区域，可分别设置不同区域的报警类型、报警时间间隔；</w:t>
            </w:r>
          </w:p>
          <w:p>
            <w:pPr>
              <w:pStyle w:val="null3"/>
              <w:jc w:val="both"/>
            </w:pPr>
            <w:r>
              <w:rPr>
                <w:sz w:val="21"/>
              </w:rPr>
              <w:t>9.当进入区域、离开区域、越界侦测或区域入侵报警产生时，可在报警布防时间内联动声音报警和白光灯闪烁；</w:t>
            </w:r>
          </w:p>
          <w:p>
            <w:pPr>
              <w:pStyle w:val="null3"/>
              <w:jc w:val="both"/>
            </w:pPr>
            <w:r>
              <w:rPr>
                <w:sz w:val="21"/>
              </w:rPr>
              <w:t>10.支持抓拍报警统计、报警质量统计、设备重启和布防动态报警数据感知与记录功能；</w:t>
            </w:r>
          </w:p>
          <w:p>
            <w:pPr>
              <w:pStyle w:val="null3"/>
              <w:jc w:val="both"/>
            </w:pPr>
            <w:r>
              <w:rPr>
                <w:sz w:val="21"/>
              </w:rPr>
              <w:t>11.设备具有耀光抑制功能，耀光区域≤1%；</w:t>
            </w:r>
          </w:p>
          <w:p>
            <w:pPr>
              <w:pStyle w:val="null3"/>
              <w:jc w:val="both"/>
            </w:pPr>
            <w:r>
              <w:rPr>
                <w:sz w:val="21"/>
              </w:rPr>
              <w:t>1</w:t>
            </w:r>
            <w:r>
              <w:rPr>
                <w:sz w:val="21"/>
              </w:rPr>
              <w:t>2</w:t>
            </w:r>
            <w:r>
              <w:rPr>
                <w:sz w:val="21"/>
              </w:rPr>
              <w:t>.内置2个麦克风、1个扬声器，具有1个RS485接口、1个报警输入接口、1个报警输出接口、1个音频输入接口、1个音频输出接口；</w:t>
            </w:r>
          </w:p>
          <w:p>
            <w:pPr>
              <w:pStyle w:val="null3"/>
              <w:jc w:val="both"/>
            </w:pPr>
            <w:r>
              <w:rPr>
                <w:sz w:val="21"/>
              </w:rPr>
              <w:t>1</w:t>
            </w:r>
            <w:r>
              <w:rPr>
                <w:sz w:val="21"/>
              </w:rPr>
              <w:t>3</w:t>
            </w:r>
            <w:r>
              <w:rPr>
                <w:sz w:val="21"/>
              </w:rPr>
              <w:t>.不低于IP67防尘防水等级。</w:t>
            </w:r>
          </w:p>
          <w:p>
            <w:pPr>
              <w:pStyle w:val="null3"/>
              <w:jc w:val="both"/>
            </w:pPr>
            <w:r>
              <w:rPr>
                <w:sz w:val="21"/>
                <w:b/>
              </w:rPr>
              <w:t>（</w:t>
            </w:r>
            <w:r>
              <w:rPr>
                <w:sz w:val="21"/>
                <w:b/>
              </w:rPr>
              <w:t>5）综合管理平台</w:t>
            </w:r>
          </w:p>
          <w:p>
            <w:pPr>
              <w:pStyle w:val="null3"/>
              <w:jc w:val="both"/>
            </w:pPr>
            <w:r>
              <w:rPr>
                <w:sz w:val="21"/>
              </w:rPr>
              <w:t>1.可以统一接入视频监控、设备运维等设备模块；</w:t>
            </w:r>
          </w:p>
          <w:p>
            <w:pPr>
              <w:pStyle w:val="null3"/>
              <w:jc w:val="both"/>
            </w:pPr>
            <w:r>
              <w:rPr>
                <w:sz w:val="21"/>
              </w:rPr>
              <w:t>2.支持图片方式实时预览，抓拍间隔可配置，最小时间为1s，支持以图片回放方式查询抓拍过的图片；</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3.▲要求支持根据用户使用习惯自定义配置快捷功能入口，支持首页投放大屏展示，支持最近7天每日的用户活跃数统计；（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4.▲要求支持多色彩（红、橙、黄）展示运行告警状态，支持告警统计、概览、处理，支持告警记录查看、查询，支持告警单条、批量处理；支持系统最近7天每日告警数统计，支持评分量化系统监控指数，显示系统运行状态；（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21</w:t>
            </w:r>
          </w:p>
        </w:tc>
        <w:tc>
          <w:tcPr>
            <w:tcW w:type="dxa" w:w="5814"/>
          </w:tcPr>
          <w:p>
            <w:pPr>
              <w:pStyle w:val="null3"/>
              <w:jc w:val="both"/>
            </w:pPr>
            <w:r>
              <w:rPr>
                <w:sz w:val="21"/>
              </w:rPr>
              <w:t>5.要求支持对系统服务查询、添加、删除、编辑，服务详情查看；支持系统日志和业务日志的管理、查看、搜索、导出；</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1"/>
              </w:rPr>
              <w:t>6.▲要求支持设备录像回传至中心存储，可以支持计划回传和手动回传两种模式；（提供制造厂商产品官网图片、产品说明手册或制造厂商公开发布的印刷的资料或官网技术资料截图或第三方检测报告复印件）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23</w:t>
            </w:r>
          </w:p>
        </w:tc>
        <w:tc>
          <w:tcPr>
            <w:tcW w:type="dxa" w:w="5814"/>
          </w:tcPr>
          <w:p>
            <w:pPr>
              <w:pStyle w:val="null3"/>
              <w:jc w:val="both"/>
            </w:pPr>
            <w:r>
              <w:rPr>
                <w:sz w:val="21"/>
              </w:rPr>
              <w:t>7.要求支持能按照指定设备、通道、时间、报警信息等要素检索历史图像资料并回放和下载；回放应支持正常播放、快速播放、慢速播放、逐帧进退、画面暂停、图像抓拍等；应能支持回放录像的缩放显示；</w:t>
            </w:r>
          </w:p>
          <w:p>
            <w:pPr>
              <w:pStyle w:val="null3"/>
              <w:jc w:val="both"/>
            </w:pPr>
            <w:r>
              <w:rPr>
                <w:sz w:val="21"/>
              </w:rPr>
              <w:t>8.要求客户端支持主/子码流切换和预览码流自适应功能，可按4/9/16分屏进行主子码流切换，低于配置的数时主码流预览，高于配置的数时自动切换为子码流；</w:t>
            </w:r>
          </w:p>
          <w:p>
            <w:pPr>
              <w:pStyle w:val="null3"/>
              <w:jc w:val="both"/>
            </w:pPr>
            <w:r>
              <w:rPr>
                <w:sz w:val="21"/>
              </w:rPr>
              <w:t>9.要求支持将录像回放和录像下载权限分离，支持为用户分配是否具有录像下载权限；</w:t>
            </w:r>
          </w:p>
          <w:p>
            <w:pPr>
              <w:pStyle w:val="null3"/>
              <w:jc w:val="both"/>
            </w:pPr>
            <w:r>
              <w:rPr>
                <w:sz w:val="21"/>
              </w:rPr>
              <w:t>10.要求支持移动端预览、回放、监控点收藏等功能。</w:t>
            </w:r>
          </w:p>
          <w:p>
            <w:pPr>
              <w:pStyle w:val="null3"/>
              <w:jc w:val="both"/>
            </w:pPr>
            <w:r>
              <w:rPr>
                <w:sz w:val="21"/>
                <w:b/>
              </w:rPr>
              <w:t>（二）</w:t>
            </w:r>
            <w:r>
              <w:rPr>
                <w:sz w:val="21"/>
                <w:b/>
              </w:rPr>
              <w:t>太阳能杆智能照明</w:t>
            </w:r>
            <w:r>
              <w:rPr>
                <w:sz w:val="21"/>
                <w:b/>
              </w:rPr>
              <w:t>服务：</w:t>
            </w:r>
          </w:p>
          <w:p>
            <w:pPr>
              <w:pStyle w:val="null3"/>
              <w:jc w:val="both"/>
            </w:pPr>
            <w:r>
              <w:rPr>
                <w:sz w:val="21"/>
                <w:b/>
              </w:rPr>
              <w:t>（</w:t>
            </w:r>
            <w:r>
              <w:rPr>
                <w:sz w:val="21"/>
                <w:b/>
              </w:rPr>
              <w:t>1）智能照明太阳能杆</w:t>
            </w:r>
          </w:p>
          <w:p>
            <w:pPr>
              <w:pStyle w:val="null3"/>
              <w:jc w:val="both"/>
            </w:pPr>
            <w:r>
              <w:rPr>
                <w:sz w:val="21"/>
              </w:rPr>
              <w:t>1.灯杆高度12米，支臂伸出1.5米，仰角20°；</w:t>
            </w:r>
          </w:p>
          <w:p>
            <w:pPr>
              <w:pStyle w:val="null3"/>
              <w:jc w:val="both"/>
            </w:pPr>
            <w:r>
              <w:rPr>
                <w:sz w:val="21"/>
              </w:rPr>
              <w:t>2.主杆口径76/210，壁厚4.0，法兰400*400*20，地笼M24*H1200*4螺栓；</w:t>
            </w:r>
          </w:p>
          <w:p>
            <w:pPr>
              <w:pStyle w:val="null3"/>
              <w:jc w:val="both"/>
            </w:pPr>
            <w:r>
              <w:rPr>
                <w:sz w:val="21"/>
              </w:rPr>
              <w:t>3.太阳能系统参数：MPPT系统，锂电池240AH，太阳能板250W单晶硅；</w:t>
            </w:r>
          </w:p>
          <w:p>
            <w:pPr>
              <w:pStyle w:val="null3"/>
              <w:jc w:val="both"/>
            </w:pPr>
            <w:r>
              <w:rPr>
                <w:sz w:val="21"/>
              </w:rPr>
              <w:t>4.光源参数：LED路灯，材质：压铸铝散热灯体，二次光学透镜，专业IES配光，外漏螺丝为不锈钢；</w:t>
            </w:r>
          </w:p>
          <w:p>
            <w:pPr>
              <w:pStyle w:val="null3"/>
              <w:jc w:val="both"/>
            </w:pPr>
            <w:r>
              <w:rPr>
                <w:sz w:val="21"/>
              </w:rPr>
              <w:t>5.功率：150W，5050灯珠-200珠，光效：180LM/W，色温6000K，智能MPPT快速充电系统，控制模式(光控+时控）；</w:t>
            </w:r>
          </w:p>
          <w:p>
            <w:pPr>
              <w:pStyle w:val="null3"/>
              <w:jc w:val="both"/>
            </w:pPr>
            <w:r>
              <w:rPr>
                <w:sz w:val="21"/>
              </w:rPr>
              <w:t>6.可通过4G方式接入互联网，并通过互联网平台实现远程控制。其功能包括参数下发、实时运行数据查看、开关灯、亮度调节，历史数据查看，故障报警和统计等功能；</w:t>
            </w:r>
          </w:p>
          <w:p>
            <w:pPr>
              <w:pStyle w:val="null3"/>
              <w:jc w:val="both"/>
            </w:pPr>
            <w:r>
              <w:rPr>
                <w:sz w:val="21"/>
              </w:rPr>
              <w:t>7.支持物联网大数据平台接入，支持对数据的采集，存储，分析等，支持PC和移动端；</w:t>
            </w:r>
          </w:p>
        </w:tc>
      </w:tr>
      <w:tr>
        <w:tc>
          <w:tcPr>
            <w:tcW w:type="dxa" w:w="2076"/>
          </w:tcPr>
          <w:p>
            <w:pPr>
              <w:pStyle w:val="null3"/>
            </w:pPr>
            <w:r>
              <w:rPr/>
              <w:t>▲</w:t>
            </w:r>
          </w:p>
        </w:tc>
        <w:tc>
          <w:tcPr>
            <w:tcW w:type="dxa" w:w="415"/>
          </w:tcPr>
          <w:p>
            <w:pPr>
              <w:pStyle w:val="null3"/>
            </w:pPr>
            <w:r>
              <w:rPr/>
              <w:t>24</w:t>
            </w:r>
          </w:p>
        </w:tc>
        <w:tc>
          <w:tcPr>
            <w:tcW w:type="dxa" w:w="5814"/>
          </w:tcPr>
          <w:p>
            <w:pPr>
              <w:pStyle w:val="null3"/>
              <w:jc w:val="both"/>
            </w:pPr>
            <w:r>
              <w:rPr>
                <w:sz w:val="21"/>
              </w:rPr>
              <w:t>8.▲单控开灯、关灯、调光功能：应可通过单个控制的方式对设备进行手动开灯、关灯以及调光等操作；（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25</w:t>
            </w:r>
          </w:p>
        </w:tc>
        <w:tc>
          <w:tcPr>
            <w:tcW w:type="dxa" w:w="5814"/>
          </w:tcPr>
          <w:p>
            <w:pPr>
              <w:pStyle w:val="null3"/>
              <w:jc w:val="both"/>
            </w:pPr>
            <w:r>
              <w:rPr>
                <w:sz w:val="21"/>
              </w:rPr>
              <w:t>9.▲定时功能：设置开关灯时刻后，按照当地时间进行开灯和关灯，误差应≤±1min；（提供制造厂商产品官网图片、产品说明手册或制造厂商公开发布的印刷的资料或官网技术资料截图或第三方检测报告复印件）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26</w:t>
            </w:r>
          </w:p>
        </w:tc>
        <w:tc>
          <w:tcPr>
            <w:tcW w:type="dxa" w:w="5814"/>
          </w:tcPr>
          <w:p>
            <w:pPr>
              <w:pStyle w:val="null3"/>
              <w:jc w:val="both"/>
            </w:pPr>
            <w:r>
              <w:rPr>
                <w:sz w:val="21"/>
              </w:rPr>
              <w:t>10.每晚亮灯12小时，持续不小于5个阴雨天；</w:t>
            </w:r>
          </w:p>
        </w:tc>
      </w:tr>
      <w:tr>
        <w:tc>
          <w:tcPr>
            <w:tcW w:type="dxa" w:w="2076"/>
          </w:tcPr>
          <w:p>
            <w:pPr>
              <w:pStyle w:val="null3"/>
            </w:pPr>
            <w:r>
              <w:rPr/>
              <w:t>▲</w:t>
            </w:r>
          </w:p>
        </w:tc>
        <w:tc>
          <w:tcPr>
            <w:tcW w:type="dxa" w:w="415"/>
          </w:tcPr>
          <w:p>
            <w:pPr>
              <w:pStyle w:val="null3"/>
            </w:pPr>
            <w:r>
              <w:rPr/>
              <w:t>27</w:t>
            </w:r>
          </w:p>
        </w:tc>
        <w:tc>
          <w:tcPr>
            <w:tcW w:type="dxa" w:w="5814"/>
          </w:tcPr>
          <w:p>
            <w:pPr>
              <w:pStyle w:val="null3"/>
              <w:jc w:val="both"/>
            </w:pPr>
            <w:r>
              <w:rPr>
                <w:sz w:val="21"/>
              </w:rPr>
              <w:t>11.▲系统参数设置：应可通过单个或者群组的方式对设备进行系统参数设置，包括电池、负载、光电池等参数；（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sz w:val="21"/>
              </w:rPr>
              <w:t>12.▲实时数据查看功能：可以查看设备的实时数据，包括电池、负载、光电池等数据；（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29</w:t>
            </w:r>
          </w:p>
        </w:tc>
        <w:tc>
          <w:tcPr>
            <w:tcW w:type="dxa" w:w="5814"/>
          </w:tcPr>
          <w:p>
            <w:pPr>
              <w:pStyle w:val="null3"/>
              <w:jc w:val="both"/>
            </w:pPr>
            <w:r>
              <w:rPr>
                <w:sz w:val="21"/>
              </w:rPr>
              <w:t>13.▲历史数据查询功能：可以查看设备不少于三个月的历史数据，并可导出指定时间段的数据；（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30</w:t>
            </w:r>
          </w:p>
        </w:tc>
        <w:tc>
          <w:tcPr>
            <w:tcW w:type="dxa" w:w="5814"/>
          </w:tcPr>
          <w:p>
            <w:pPr>
              <w:pStyle w:val="null3"/>
              <w:jc w:val="both"/>
            </w:pPr>
            <w:r>
              <w:rPr>
                <w:sz w:val="21"/>
              </w:rPr>
              <w:t>14.▲故障报警功能：当系统运行出现异常时可以及时进行提示；（提供制造厂商产品官网图片、产品说明手册或制造厂商公开发布的印刷的资料或官网技术资料截图或第三方检测报告复印件）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31</w:t>
            </w:r>
          </w:p>
        </w:tc>
        <w:tc>
          <w:tcPr>
            <w:tcW w:type="dxa" w:w="5814"/>
          </w:tcPr>
          <w:p>
            <w:pPr>
              <w:pStyle w:val="null3"/>
              <w:jc w:val="both"/>
            </w:pPr>
            <w:r>
              <w:rPr>
                <w:sz w:val="21"/>
              </w:rPr>
              <w:t>15.▲设备定位功能：可以通过手机扫码的方式对设备进行定位，并在地图中进行显示；（提供制造厂商产品官网图片、产品说明手册或制造厂商公开发布的印刷的资料或官网技术资料截图或第三方检测报告复印件）</w:t>
            </w:r>
          </w:p>
        </w:tc>
      </w:tr>
      <w:tr>
        <w:tc>
          <w:tcPr>
            <w:tcW w:type="dxa" w:w="2076"/>
          </w:tcPr>
          <w:p/>
        </w:tc>
        <w:tc>
          <w:tcPr>
            <w:tcW w:type="dxa" w:w="415"/>
          </w:tcPr>
          <w:p>
            <w:pPr>
              <w:pStyle w:val="null3"/>
            </w:pPr>
            <w:r>
              <w:rPr/>
              <w:t>32</w:t>
            </w:r>
          </w:p>
        </w:tc>
        <w:tc>
          <w:tcPr>
            <w:tcW w:type="dxa" w:w="5814"/>
          </w:tcPr>
          <w:p>
            <w:pPr>
              <w:pStyle w:val="null3"/>
              <w:jc w:val="both"/>
            </w:pPr>
            <w:r>
              <w:rPr>
                <w:sz w:val="21"/>
              </w:rPr>
              <w:t>16.防护等级:</w:t>
            </w:r>
            <w:r>
              <w:rPr>
                <w:sz w:val="21"/>
              </w:rPr>
              <w:t>≥</w:t>
            </w:r>
            <w:r>
              <w:rPr>
                <w:sz w:val="21"/>
              </w:rPr>
              <w:t>IP65；</w:t>
            </w:r>
          </w:p>
          <w:p>
            <w:pPr>
              <w:pStyle w:val="null3"/>
              <w:jc w:val="both"/>
            </w:pPr>
            <w:r>
              <w:rPr>
                <w:sz w:val="21"/>
              </w:rPr>
              <w:t>17.基础开挖，混凝土浇筑；</w:t>
            </w:r>
          </w:p>
          <w:p>
            <w:pPr>
              <w:pStyle w:val="null3"/>
              <w:jc w:val="both"/>
            </w:pPr>
            <w:r>
              <w:rPr>
                <w:sz w:val="21"/>
              </w:rPr>
              <w:t>18.防雷接地制作，接地电阻值≤10Ω；</w:t>
            </w:r>
          </w:p>
          <w:p>
            <w:pPr>
              <w:pStyle w:val="null3"/>
              <w:jc w:val="both"/>
            </w:pPr>
            <w:r>
              <w:rPr>
                <w:sz w:val="21"/>
              </w:rPr>
              <w:t>19.挖机和吊机台班租赁；</w:t>
            </w:r>
          </w:p>
          <w:p>
            <w:pPr>
              <w:pStyle w:val="null3"/>
              <w:jc w:val="both"/>
            </w:pPr>
            <w:r>
              <w:rPr>
                <w:sz w:val="21"/>
              </w:rPr>
              <w:t>20.设备二次搬运、安装、端接、测试、标识及调试</w:t>
            </w:r>
            <w:r>
              <w:rPr>
                <w:sz w:val="21"/>
              </w:rPr>
              <w:t>。</w:t>
            </w:r>
          </w:p>
          <w:p>
            <w:pPr>
              <w:pStyle w:val="null3"/>
              <w:jc w:val="both"/>
            </w:pPr>
            <w:r>
              <w:rPr>
                <w:sz w:val="20"/>
                <w:b/>
              </w:rPr>
              <w:t>（三）</w:t>
            </w:r>
            <w:r>
              <w:rPr>
                <w:sz w:val="21"/>
                <w:b/>
              </w:rPr>
              <w:t>综合辅助服务：</w:t>
            </w:r>
          </w:p>
          <w:tbl>
            <w:tblPr>
              <w:tblBorders>
                <w:top w:val="none" w:color="000000" w:sz="4"/>
                <w:left w:val="none" w:color="000000" w:sz="4"/>
                <w:bottom w:val="none" w:color="000000" w:sz="4"/>
                <w:right w:val="none" w:color="000000" w:sz="4"/>
                <w:insideH w:val="none"/>
                <w:insideV w:val="none"/>
              </w:tblBorders>
            </w:tblPr>
            <w:tblGrid>
              <w:gridCol w:w="425"/>
              <w:gridCol w:w="1625"/>
              <w:gridCol w:w="1625"/>
              <w:gridCol w:w="559"/>
              <w:gridCol w:w="559"/>
              <w:gridCol w:w="759"/>
            </w:tblGrid>
            <w:tr>
              <w:tc>
                <w:tcPr>
                  <w:tcW w:type="dxa" w:w="4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16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服务名称</w:t>
                  </w:r>
                </w:p>
              </w:tc>
              <w:tc>
                <w:tcPr>
                  <w:tcW w:type="dxa" w:w="16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服务内容</w:t>
                  </w:r>
                </w:p>
              </w:tc>
              <w:tc>
                <w:tcPr>
                  <w:tcW w:type="dxa" w:w="55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55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75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标志牌</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1.名称：移动指示牌</w:t>
                  </w:r>
                </w:p>
                <w:p>
                  <w:pPr>
                    <w:pStyle w:val="null3"/>
                    <w:jc w:val="left"/>
                  </w:pPr>
                  <w:r>
                    <w:rPr>
                      <w:sz w:val="21"/>
                    </w:rPr>
                    <w:t>2.其他：牌面尺寸不小于600*900mm（宽*高）（±5mm）</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127</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块</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P8:10块、P9:10块、P10:10块、P11:10块、P12:6块、P13:44块、P14:10块、P15:12块、P16:10块、P18:5块</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灭火器</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1.容量：≥4KG；</w:t>
                  </w:r>
                </w:p>
                <w:p>
                  <w:pPr>
                    <w:pStyle w:val="null3"/>
                    <w:jc w:val="left"/>
                  </w:pPr>
                  <w:r>
                    <w:rPr>
                      <w:sz w:val="21"/>
                    </w:rPr>
                    <w:t>2.罐体材质：碳钢；</w:t>
                  </w:r>
                </w:p>
                <w:p>
                  <w:pPr>
                    <w:pStyle w:val="null3"/>
                    <w:jc w:val="left"/>
                  </w:pPr>
                  <w:r>
                    <w:rPr>
                      <w:sz w:val="21"/>
                    </w:rPr>
                    <w:t>3.灭火类型：A类、B类、C类、E类；</w:t>
                  </w:r>
                </w:p>
                <w:p>
                  <w:pPr>
                    <w:pStyle w:val="null3"/>
                    <w:jc w:val="left"/>
                  </w:pPr>
                  <w:r>
                    <w:rPr>
                      <w:sz w:val="21"/>
                    </w:rPr>
                    <w:t>4.有效喷射距离(最小)：≥3m；</w:t>
                  </w:r>
                </w:p>
                <w:p>
                  <w:pPr>
                    <w:pStyle w:val="null3"/>
                    <w:jc w:val="left"/>
                  </w:pPr>
                  <w:r>
                    <w:rPr>
                      <w:sz w:val="21"/>
                    </w:rPr>
                    <w:t>5.工作压力：≥2.1MPa；</w:t>
                  </w:r>
                </w:p>
                <w:p>
                  <w:pPr>
                    <w:pStyle w:val="null3"/>
                    <w:jc w:val="left"/>
                  </w:pPr>
                  <w:r>
                    <w:rPr>
                      <w:sz w:val="21"/>
                    </w:rPr>
                    <w:t>6.使用温度：-20℃~+55℃；</w:t>
                  </w:r>
                </w:p>
                <w:p>
                  <w:pPr>
                    <w:pStyle w:val="null3"/>
                    <w:jc w:val="left"/>
                  </w:pPr>
                  <w:r>
                    <w:rPr>
                      <w:sz w:val="21"/>
                    </w:rPr>
                    <w:t>7.灭火等级：2A、55B、C、E；</w:t>
                  </w:r>
                </w:p>
                <w:p>
                  <w:pPr>
                    <w:pStyle w:val="null3"/>
                    <w:jc w:val="left"/>
                  </w:pPr>
                  <w:r>
                    <w:rPr>
                      <w:sz w:val="21"/>
                    </w:rPr>
                    <w:t>8.提供3C认证；</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930</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P8:180个、P9:200个、P10:100个、P11:150个、P15:240个、P18:60个</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防滑地垫</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防滑设施（防滑地垫）</w:t>
                  </w:r>
                </w:p>
                <w:p>
                  <w:pPr>
                    <w:pStyle w:val="null3"/>
                    <w:jc w:val="left"/>
                  </w:pPr>
                  <w:r>
                    <w:rPr>
                      <w:sz w:val="21"/>
                    </w:rPr>
                    <w:t>1.材质：PVC(聚氯乙烯)；</w:t>
                  </w:r>
                </w:p>
                <w:p>
                  <w:pPr>
                    <w:pStyle w:val="null3"/>
                    <w:jc w:val="left"/>
                  </w:pPr>
                  <w:r>
                    <w:rPr>
                      <w:sz w:val="21"/>
                    </w:rPr>
                    <w:t>2.厚度：≥4.5mm；</w:t>
                  </w:r>
                </w:p>
                <w:p>
                  <w:pPr>
                    <w:pStyle w:val="null3"/>
                    <w:jc w:val="left"/>
                  </w:pPr>
                  <w:r>
                    <w:rPr>
                      <w:sz w:val="21"/>
                    </w:rPr>
                    <w:t>3.尺寸：900*600mm；</w:t>
                  </w:r>
                </w:p>
                <w:p>
                  <w:pPr>
                    <w:pStyle w:val="null3"/>
                    <w:jc w:val="left"/>
                  </w:pPr>
                  <w:r>
                    <w:rPr>
                      <w:sz w:val="21"/>
                    </w:rPr>
                    <w:t>4.形状：方形；</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10000</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米</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P8:500米、P9:600米、P10:1000米、P11:1000米、P12:600米、P13:3500米、P14:1000米、P15:1000米、P16:500米、P18:300米</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警示带</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隔离设施（警示带）</w:t>
                  </w:r>
                </w:p>
                <w:p>
                  <w:pPr>
                    <w:pStyle w:val="null3"/>
                    <w:jc w:val="left"/>
                  </w:pPr>
                  <w:r>
                    <w:rPr>
                      <w:sz w:val="21"/>
                    </w:rPr>
                    <w:t>1.材质：PE；</w:t>
                  </w:r>
                </w:p>
                <w:p>
                  <w:pPr>
                    <w:pStyle w:val="null3"/>
                    <w:jc w:val="left"/>
                  </w:pPr>
                  <w:r>
                    <w:rPr>
                      <w:sz w:val="21"/>
                    </w:rPr>
                    <w:t>2.厚度：≥0.1mm；</w:t>
                  </w:r>
                </w:p>
                <w:p>
                  <w:pPr>
                    <w:pStyle w:val="null3"/>
                    <w:jc w:val="left"/>
                  </w:pPr>
                  <w:r>
                    <w:rPr>
                      <w:sz w:val="21"/>
                    </w:rPr>
                    <w:t>3.宽度：≥60mm；</w:t>
                  </w:r>
                </w:p>
                <w:p>
                  <w:pPr>
                    <w:pStyle w:val="null3"/>
                    <w:jc w:val="left"/>
                  </w:pPr>
                  <w:r>
                    <w:rPr>
                      <w:sz w:val="21"/>
                    </w:rPr>
                    <w:t>4.颜色：红白警戒线；</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千米</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P12:5千米、P13:30千米、P14:10千米、P16:10千米</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场地改造</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1.名称：场地改造（拆除地面挡车器）</w:t>
                  </w:r>
                </w:p>
                <w:p>
                  <w:pPr>
                    <w:pStyle w:val="null3"/>
                    <w:jc w:val="left"/>
                  </w:pPr>
                  <w:r>
                    <w:rPr>
                      <w:sz w:val="21"/>
                    </w:rPr>
                    <w:t>2.其他：按每泊位1次拆除计算</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550</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P16:550套</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场地改造</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1.名称：场地恢复（复原地面挡车器）</w:t>
                  </w:r>
                </w:p>
                <w:p>
                  <w:pPr>
                    <w:pStyle w:val="null3"/>
                    <w:jc w:val="left"/>
                  </w:pPr>
                  <w:r>
                    <w:rPr>
                      <w:sz w:val="21"/>
                    </w:rPr>
                    <w:t>2.其他：按每泊位1次复原安装计算</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550</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P16:550套</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停车场管理人员</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P6~P16和P18共12处停车场，其中P6和P7各安排2人，P13含3个区域，安排6人，共需</w:t>
                  </w:r>
                  <w:r>
                    <w:rPr>
                      <w:sz w:val="21"/>
                    </w:rPr>
                    <w:t>5</w:t>
                  </w:r>
                  <w:r>
                    <w:rPr>
                      <w:sz w:val="21"/>
                    </w:rPr>
                    <w:t>8人。</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58</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标线</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1.名称：划设标线</w:t>
                  </w:r>
                </w:p>
                <w:p>
                  <w:pPr>
                    <w:pStyle w:val="null3"/>
                    <w:jc w:val="left"/>
                  </w:pPr>
                  <w:r>
                    <w:rPr>
                      <w:sz w:val="21"/>
                    </w:rPr>
                    <w:t>2.其他：停车场地面标线标识（油漆）</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127000</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平方米</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P8:18000平方米、P9:20000平方米、P10:40000平方米、P11:15000平方米、P15:24000平方米、P18:10000平方米</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标线</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1.名称：划设标线</w:t>
                  </w:r>
                </w:p>
                <w:p>
                  <w:pPr>
                    <w:pStyle w:val="null3"/>
                    <w:jc w:val="left"/>
                  </w:pPr>
                  <w:r>
                    <w:rPr>
                      <w:sz w:val="21"/>
                    </w:rPr>
                    <w:t>2.其他：标志标线（胶带）</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18000</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米</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P13:10000米、P14:3500米、P16:4500米</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岗亭（服务）</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1.尺寸：≥2000mm*2000mm*2300mm；</w:t>
                  </w:r>
                </w:p>
                <w:p>
                  <w:pPr>
                    <w:pStyle w:val="null3"/>
                    <w:jc w:val="left"/>
                  </w:pPr>
                  <w:r>
                    <w:rPr>
                      <w:sz w:val="21"/>
                    </w:rPr>
                    <w:t>2.材质：立柱铝合金成模制作；</w:t>
                  </w:r>
                </w:p>
                <w:p>
                  <w:pPr>
                    <w:pStyle w:val="null3"/>
                    <w:jc w:val="left"/>
                  </w:pPr>
                  <w:r>
                    <w:rPr>
                      <w:sz w:val="21"/>
                    </w:rPr>
                    <w:t>3.板面：50MM厚彩钢板；</w:t>
                  </w:r>
                </w:p>
                <w:p>
                  <w:pPr>
                    <w:pStyle w:val="null3"/>
                    <w:jc w:val="left"/>
                  </w:pPr>
                  <w:r>
                    <w:rPr>
                      <w:sz w:val="21"/>
                    </w:rPr>
                    <w:t>4.窗户：耐用耐晒、采用化塑窗；</w:t>
                  </w:r>
                </w:p>
                <w:p>
                  <w:pPr>
                    <w:pStyle w:val="null3"/>
                    <w:jc w:val="left"/>
                  </w:pPr>
                  <w:r>
                    <w:rPr>
                      <w:sz w:val="21"/>
                    </w:rPr>
                    <w:t>5.含1套灯具、1个插座、1个门窗、1套锁；</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座</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P8、P9、P10、P11、P15、P18各1座</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移动式厕所（服务）</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1.尺寸：≥1060mm*1060mm*2400mm；</w:t>
                  </w:r>
                </w:p>
                <w:p>
                  <w:pPr>
                    <w:pStyle w:val="null3"/>
                    <w:jc w:val="left"/>
                  </w:pPr>
                  <w:r>
                    <w:rPr>
                      <w:sz w:val="21"/>
                    </w:rPr>
                    <w:t>2.重量：≥100公斤；</w:t>
                  </w:r>
                </w:p>
                <w:p>
                  <w:pPr>
                    <w:pStyle w:val="null3"/>
                    <w:jc w:val="left"/>
                  </w:pPr>
                  <w:r>
                    <w:rPr>
                      <w:sz w:val="21"/>
                    </w:rPr>
                    <w:t>3.材质：聚乙烯滚塑工艺，双层门板；</w:t>
                  </w:r>
                </w:p>
                <w:p>
                  <w:pPr>
                    <w:pStyle w:val="null3"/>
                    <w:jc w:val="left"/>
                  </w:pPr>
                  <w:r>
                    <w:rPr>
                      <w:sz w:val="21"/>
                    </w:rPr>
                    <w:t>4.水箱容量≥120升、废水箱≥380升、洗手池≥30升；</w:t>
                  </w:r>
                </w:p>
                <w:p>
                  <w:pPr>
                    <w:pStyle w:val="null3"/>
                    <w:jc w:val="left"/>
                  </w:pPr>
                  <w:r>
                    <w:rPr>
                      <w:sz w:val="21"/>
                    </w:rPr>
                    <w:t>5.厕内含1套蹲便器、1套内置水箱和粪箱、1套洗手池、1套手纸盒、1套衣钩，1套整容镜；</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间</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P8、P9、P10、P11、P15、P18各6间</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停车场休息室</w:t>
                  </w:r>
                  <w:r>
                    <w:rPr>
                      <w:sz w:val="21"/>
                    </w:rPr>
                    <w:t>（服务）</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1.A级防火拼装式集装箱；</w:t>
                  </w:r>
                </w:p>
                <w:p>
                  <w:pPr>
                    <w:pStyle w:val="null3"/>
                    <w:jc w:val="left"/>
                  </w:pPr>
                  <w:r>
                    <w:rPr>
                      <w:sz w:val="21"/>
                    </w:rPr>
                    <w:t>2.材质：A级防火岩棉夹芯板；</w:t>
                  </w:r>
                </w:p>
                <w:p>
                  <w:pPr>
                    <w:pStyle w:val="null3"/>
                    <w:jc w:val="left"/>
                  </w:pPr>
                  <w:r>
                    <w:rPr>
                      <w:sz w:val="21"/>
                    </w:rPr>
                    <w:t>3.尺寸：≥3000mm*6000mm*2700mm（宽*长*高）；</w:t>
                  </w:r>
                </w:p>
                <w:p>
                  <w:pPr>
                    <w:pStyle w:val="null3"/>
                    <w:jc w:val="left"/>
                  </w:pPr>
                  <w:r>
                    <w:rPr>
                      <w:sz w:val="21"/>
                    </w:rPr>
                    <w:t>4.配套10张塑料垫；</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间</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P6、P7、P8、P9、P10、P11、P12、P13、P14、P15、P16、P18</w:t>
                  </w:r>
                  <w:r>
                    <w:rPr>
                      <w:sz w:val="21"/>
                    </w:rPr>
                    <w:t>,其中P13有3间，其余各1间</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手持识别一体机</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1.处理器：高速四核64位，≥1 .3GHz；</w:t>
                  </w:r>
                </w:p>
                <w:p>
                  <w:pPr>
                    <w:pStyle w:val="null3"/>
                    <w:jc w:val="left"/>
                  </w:pPr>
                  <w:r>
                    <w:rPr>
                      <w:sz w:val="21"/>
                    </w:rPr>
                    <w:t>2.尺寸：≥5寸IPS高亮显示屏；</w:t>
                  </w:r>
                </w:p>
                <w:p>
                  <w:pPr>
                    <w:pStyle w:val="null3"/>
                    <w:jc w:val="left"/>
                  </w:pPr>
                  <w:r>
                    <w:rPr>
                      <w:sz w:val="21"/>
                    </w:rPr>
                    <w:t>3.系统：≥Android 7 .0；</w:t>
                  </w:r>
                </w:p>
                <w:p>
                  <w:pPr>
                    <w:pStyle w:val="null3"/>
                    <w:jc w:val="left"/>
                  </w:pPr>
                  <w:r>
                    <w:rPr>
                      <w:sz w:val="21"/>
                    </w:rPr>
                    <w:t>4.电池：≥3.8V,4350mAh聚合物锂电池, 可拆卸；</w:t>
                  </w:r>
                </w:p>
                <w:p>
                  <w:pPr>
                    <w:pStyle w:val="null3"/>
                    <w:jc w:val="left"/>
                  </w:pPr>
                  <w:r>
                    <w:rPr>
                      <w:sz w:val="21"/>
                    </w:rPr>
                    <w:t>5.导航定位：支持GPS(AGPS)/北斗/GLONASS, 误差 ±5M；</w:t>
                  </w:r>
                </w:p>
                <w:p>
                  <w:pPr>
                    <w:pStyle w:val="null3"/>
                    <w:jc w:val="left"/>
                  </w:pPr>
                  <w:r>
                    <w:rPr>
                      <w:sz w:val="21"/>
                    </w:rPr>
                    <w:t>6.指示灯/传感器：网络指示灯、充电指示灯；</w:t>
                  </w:r>
                </w:p>
                <w:p>
                  <w:pPr>
                    <w:pStyle w:val="null3"/>
                    <w:jc w:val="left"/>
                  </w:pPr>
                  <w:r>
                    <w:rPr>
                      <w:sz w:val="21"/>
                    </w:rPr>
                    <w:t>7.无线通讯：4G全网通，支持2.4G/5G双频wifi、Bluetooth4 .0；</w:t>
                  </w:r>
                </w:p>
                <w:p>
                  <w:pPr>
                    <w:pStyle w:val="null3"/>
                    <w:jc w:val="left"/>
                  </w:pPr>
                  <w:r>
                    <w:rPr>
                      <w:sz w:val="21"/>
                    </w:rPr>
                    <w:t>8.键盘：≥侧面2个扫描键，≥1个电源键，≥1个音量键，≥正面6个自定义实体按键；</w:t>
                  </w:r>
                </w:p>
                <w:p>
                  <w:pPr>
                    <w:pStyle w:val="null3"/>
                    <w:jc w:val="left"/>
                  </w:pPr>
                  <w:r>
                    <w:rPr>
                      <w:sz w:val="21"/>
                    </w:rPr>
                    <w:t>9.摄像头：后置≥800W，自动对焦、带闪光灯；</w:t>
                  </w:r>
                </w:p>
                <w:p>
                  <w:pPr>
                    <w:pStyle w:val="null3"/>
                    <w:jc w:val="left"/>
                  </w:pPr>
                  <w:r>
                    <w:rPr>
                      <w:sz w:val="21"/>
                    </w:rPr>
                    <w:t>10.接口：支持高速USB2 .0设备端接口，3.5棍插充电口；</w:t>
                  </w:r>
                </w:p>
                <w:p>
                  <w:pPr>
                    <w:pStyle w:val="null3"/>
                    <w:jc w:val="left"/>
                  </w:pPr>
                  <w:r>
                    <w:rPr>
                      <w:sz w:val="21"/>
                    </w:rPr>
                    <w:t>11.储存：2GB RAM+16GB ROM；</w:t>
                  </w:r>
                </w:p>
                <w:p>
                  <w:pPr>
                    <w:pStyle w:val="null3"/>
                    <w:jc w:val="both"/>
                  </w:pPr>
                  <w:r>
                    <w:rPr>
                      <w:sz w:val="21"/>
                    </w:rPr>
                    <w:t>12.防护：≥IP65防护等级标准；</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P6~P12和P15、P18共9处停车场，共计36个车道。</w:t>
                  </w: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云平台服务</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0"/>
                    </w:rPr>
                    <w:t>详见下文</w:t>
                  </w:r>
                  <w:r>
                    <w:rPr>
                      <w:sz w:val="20"/>
                    </w:rPr>
                    <w:t>“</w:t>
                  </w:r>
                  <w:r>
                    <w:rPr>
                      <w:sz w:val="21"/>
                      <w:b/>
                    </w:rPr>
                    <w:t>（</w:t>
                  </w:r>
                  <w:r>
                    <w:rPr>
                      <w:sz w:val="21"/>
                      <w:b/>
                    </w:rPr>
                    <w:t>1）云平台技术参数要求（1项）</w:t>
                  </w:r>
                  <w:r>
                    <w:rPr>
                      <w:sz w:val="20"/>
                    </w:rPr>
                    <w:t>”</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停车场车辆识别管理人员</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P6~P12和P15、P18共9处停车场，共计36个车道。</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围挡（服务）</w:t>
                  </w:r>
                </w:p>
              </w:tc>
              <w:tc>
                <w:tcPr>
                  <w:tcW w:type="dxa" w:w="16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numPr>
                      <w:ilvl w:val="0"/>
                      <w:numId w:val="1"/>
                    </w:numPr>
                    <w:jc w:val="left"/>
                  </w:pPr>
                  <w:r>
                    <w:rPr>
                      <w:sz w:val="21"/>
                    </w:rPr>
                    <w:t>规格：三孔水马；</w:t>
                  </w:r>
                </w:p>
                <w:p>
                  <w:pPr>
                    <w:pStyle w:val="null3"/>
                    <w:numPr>
                      <w:ilvl w:val="0"/>
                      <w:numId w:val="1"/>
                    </w:numPr>
                    <w:jc w:val="left"/>
                  </w:pPr>
                  <w:r>
                    <w:rPr>
                      <w:sz w:val="21"/>
                    </w:rPr>
                    <w:t>长</w:t>
                  </w:r>
                  <w:r>
                    <w:rPr>
                      <w:sz w:val="21"/>
                    </w:rPr>
                    <w:t>*高≥1000*500mm；</w:t>
                  </w:r>
                </w:p>
                <w:p>
                  <w:pPr>
                    <w:pStyle w:val="null3"/>
                    <w:numPr>
                      <w:ilvl w:val="0"/>
                      <w:numId w:val="2"/>
                    </w:numPr>
                    <w:jc w:val="both"/>
                  </w:pPr>
                  <w:r>
                    <w:rPr>
                      <w:sz w:val="21"/>
                    </w:rPr>
                    <w:t>重量：</w:t>
                  </w:r>
                  <w:r>
                    <w:rPr>
                      <w:sz w:val="21"/>
                    </w:rPr>
                    <w:t>≥2KG</w:t>
                  </w:r>
                </w:p>
                <w:p>
                  <w:pPr>
                    <w:pStyle w:val="null3"/>
                    <w:numPr>
                      <w:ilvl w:val="0"/>
                      <w:numId w:val="2"/>
                    </w:numPr>
                    <w:jc w:val="left"/>
                  </w:pPr>
                  <w:r>
                    <w:rPr>
                      <w:sz w:val="21"/>
                    </w:rPr>
                    <w:t>材质：塑料</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满足约</w:t>
                  </w:r>
                  <w:r>
                    <w:rPr>
                      <w:sz w:val="21"/>
                    </w:rPr>
                    <w:t>11000米停车场围挡服务</w:t>
                  </w:r>
                </w:p>
              </w:tc>
              <w:tc>
                <w:tcPr>
                  <w:tcW w:type="dxa" w:w="5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75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为</w:t>
                  </w:r>
                  <w:r>
                    <w:rPr>
                      <w:sz w:val="21"/>
                    </w:rPr>
                    <w:t>P6、P7、P8、P9、P10、P11、P12、P13、P14、P15、P16、P18、停车场提供围挡物理隔离设施，划分人行通道和车行通道</w:t>
                  </w:r>
                </w:p>
              </w:tc>
            </w:tr>
          </w:tbl>
          <w:p>
            <w:pPr>
              <w:pStyle w:val="null3"/>
              <w:jc w:val="both"/>
            </w:pPr>
            <w:r>
              <w:rPr>
                <w:sz w:val="21"/>
                <w:b/>
              </w:rPr>
              <w:t>（</w:t>
            </w:r>
            <w:r>
              <w:rPr>
                <w:sz w:val="21"/>
                <w:b/>
              </w:rPr>
              <w:t>1）云平台技术参数要求（1项）</w:t>
            </w:r>
          </w:p>
          <w:p>
            <w:pPr>
              <w:pStyle w:val="null3"/>
              <w:jc w:val="both"/>
            </w:pPr>
            <w:r>
              <w:rPr>
                <w:sz w:val="21"/>
              </w:rPr>
              <w:t>1.基础管理：主要用于创建系统运行的基础信息，包括参数设置、工作站设置、出入口设置等。各种功能启动，包括收费控制、车辆进入严谨情况控制、大包小控制等；</w:t>
            </w:r>
          </w:p>
          <w:p>
            <w:pPr>
              <w:pStyle w:val="null3"/>
              <w:jc w:val="both"/>
            </w:pPr>
            <w:r>
              <w:rPr>
                <w:sz w:val="21"/>
              </w:rPr>
              <w:t>2.基本信息：以集团式和跨区域管理为基础，提供了基于云的基础信息，包括企业管理、车场管理等，比车场出入口管理高了一个维度的控制能力；</w:t>
            </w:r>
          </w:p>
          <w:p>
            <w:pPr>
              <w:pStyle w:val="null3"/>
              <w:jc w:val="both"/>
            </w:pPr>
            <w:r>
              <w:rPr>
                <w:sz w:val="21"/>
              </w:rPr>
              <w:t>3.车卡信息管理：与车场出入口管理功能同步，可以满足停车场车卡信息管理的远程管控模式，其功能基本覆盖了停车场出入口管理系统的车卡管理功能，不同的是，可以通过互联网，随时随地管理信息，打破了传统停车场信息的孤岛式管理。</w:t>
            </w:r>
          </w:p>
          <w:p>
            <w:pPr>
              <w:pStyle w:val="null3"/>
              <w:jc w:val="both"/>
            </w:pPr>
            <w:r>
              <w:rPr>
                <w:sz w:val="21"/>
              </w:rPr>
              <w:t>4.用户权限:提供云平台的用角管理，角色权限分配等；</w:t>
            </w:r>
          </w:p>
          <w:p>
            <w:pPr>
              <w:pStyle w:val="null3"/>
              <w:jc w:val="both"/>
            </w:pPr>
            <w:r>
              <w:rPr>
                <w:sz w:val="21"/>
              </w:rPr>
              <w:t>5.Openapi接口:提供于与第三方系统对接的各式接口，包括有车辆进出明细、收费明细、场内查询、缴费、优惠核销等；</w:t>
            </w:r>
          </w:p>
        </w:tc>
      </w:tr>
      <w:tr>
        <w:tc>
          <w:tcPr>
            <w:tcW w:type="dxa" w:w="2076"/>
          </w:tcPr>
          <w:p>
            <w:pPr>
              <w:pStyle w:val="null3"/>
            </w:pPr>
            <w:r>
              <w:rPr/>
              <w:t>▲</w:t>
            </w:r>
          </w:p>
        </w:tc>
        <w:tc>
          <w:tcPr>
            <w:tcW w:type="dxa" w:w="415"/>
          </w:tcPr>
          <w:p>
            <w:pPr>
              <w:pStyle w:val="null3"/>
            </w:pPr>
            <w:r>
              <w:rPr/>
              <w:t>33</w:t>
            </w:r>
          </w:p>
        </w:tc>
        <w:tc>
          <w:tcPr>
            <w:tcW w:type="dxa" w:w="5814"/>
          </w:tcPr>
          <w:p>
            <w:pPr>
              <w:pStyle w:val="null3"/>
              <w:jc w:val="both"/>
            </w:pPr>
            <w:r>
              <w:rPr>
                <w:sz w:val="21"/>
              </w:rPr>
              <w:t>6.▲系统能通过手持终端对电动栏杆机进行开启/关工遥控操作。（提供制造厂商产品官网图片、产品说明手册或制造厂商公开发布的印刷的资料或官网技术资料截图或第三方检测报告复印件）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34</w:t>
            </w:r>
          </w:p>
        </w:tc>
        <w:tc>
          <w:tcPr>
            <w:tcW w:type="dxa" w:w="5814"/>
          </w:tcPr>
          <w:p>
            <w:pPr>
              <w:pStyle w:val="null3"/>
              <w:jc w:val="both"/>
            </w:pPr>
            <w:r>
              <w:rPr>
                <w:sz w:val="21"/>
              </w:rPr>
              <w:t>7.▲系统能即时推送所有进出车辆的、部位、出车辆(人员)入时间、牌照/车型、数据/图片类型、关联对象等基本智能集成数据服务设备。通过智能集成数据服务设备应能正确捕获本设备推送数据，并正确解析出相关基本信息。（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35</w:t>
            </w:r>
          </w:p>
        </w:tc>
        <w:tc>
          <w:tcPr>
            <w:tcW w:type="dxa" w:w="5814"/>
          </w:tcPr>
          <w:p>
            <w:pPr>
              <w:pStyle w:val="null3"/>
              <w:jc w:val="both"/>
            </w:pPr>
            <w:r>
              <w:rPr>
                <w:sz w:val="21"/>
              </w:rPr>
              <w:t>8.▲系统能够根据设备编号实时订阅车辆进出事件。（提供制造厂商产品官网图片、产品说明手册或制造厂商公开发布的印刷的资料或官网技术资料截图或第三方检测报告复印件）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36</w:t>
            </w:r>
          </w:p>
        </w:tc>
        <w:tc>
          <w:tcPr>
            <w:tcW w:type="dxa" w:w="5814"/>
          </w:tcPr>
          <w:p>
            <w:pPr>
              <w:pStyle w:val="null3"/>
              <w:jc w:val="both"/>
            </w:pPr>
            <w:r>
              <w:rPr>
                <w:sz w:val="21"/>
              </w:rPr>
              <w:t>9.▲出让事件管理功能检查：系统具有车辆自出入时间、地点、顺序等数据设置，以及显示、记录、查询和打印等应用功能。（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37</w:t>
            </w:r>
          </w:p>
        </w:tc>
        <w:tc>
          <w:tcPr>
            <w:tcW w:type="dxa" w:w="5814"/>
          </w:tcPr>
          <w:p>
            <w:pPr>
              <w:pStyle w:val="null3"/>
              <w:jc w:val="both"/>
            </w:pPr>
            <w:r>
              <w:rPr>
                <w:sz w:val="21"/>
              </w:rPr>
              <w:t>10.▲系统具有系统自动校时功能，每天自动校时应不少于1次。（提供制造厂商产品官网图片、产品说明手册或制造厂商公开发布的印刷的资料或官网技术资料截图或第三方检测报告复印件）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38</w:t>
            </w:r>
          </w:p>
        </w:tc>
        <w:tc>
          <w:tcPr>
            <w:tcW w:type="dxa" w:w="5814"/>
          </w:tcPr>
          <w:p>
            <w:pPr>
              <w:pStyle w:val="null3"/>
              <w:jc w:val="both"/>
            </w:pPr>
            <w:r>
              <w:rPr>
                <w:sz w:val="21"/>
              </w:rPr>
              <w:t>11.▲系统能够自动记录遥控器操作发生时间、出入通道、操作人员等信息。（提供制造厂商产品官网图片、产品说明手册或制造厂商公开发布的印刷的资料或官网技术资料截图或第三方检测报告复印件）</w:t>
            </w:r>
          </w:p>
        </w:tc>
      </w:tr>
      <w:tr>
        <w:tc>
          <w:tcPr>
            <w:tcW w:type="dxa" w:w="2076"/>
          </w:tcPr>
          <w:p>
            <w:pPr>
              <w:pStyle w:val="null3"/>
            </w:pPr>
            <w:r>
              <w:rPr/>
              <w:t>▲</w:t>
            </w:r>
          </w:p>
        </w:tc>
        <w:tc>
          <w:tcPr>
            <w:tcW w:type="dxa" w:w="415"/>
          </w:tcPr>
          <w:p>
            <w:pPr>
              <w:pStyle w:val="null3"/>
            </w:pPr>
            <w:r>
              <w:rPr/>
              <w:t>39</w:t>
            </w:r>
          </w:p>
        </w:tc>
        <w:tc>
          <w:tcPr>
            <w:tcW w:type="dxa" w:w="5814"/>
          </w:tcPr>
          <w:p>
            <w:pPr>
              <w:pStyle w:val="null3"/>
              <w:jc w:val="both"/>
            </w:pPr>
            <w:r>
              <w:rPr>
                <w:sz w:val="21"/>
              </w:rPr>
              <w:t>12.▲根据开幕式工作需要，做好新建停车场场地的停车数据与广州市停车场行业管理平台接入和共享工作，并提供对接技术方案。</w:t>
            </w:r>
          </w:p>
        </w:tc>
      </w:tr>
      <w:tr>
        <w:tc>
          <w:tcPr>
            <w:tcW w:type="dxa" w:w="2076"/>
          </w:tcPr>
          <w:p/>
        </w:tc>
        <w:tc>
          <w:tcPr>
            <w:tcW w:type="dxa" w:w="415"/>
          </w:tcPr>
          <w:p>
            <w:pPr>
              <w:pStyle w:val="null3"/>
            </w:pPr>
            <w:r>
              <w:rPr/>
              <w:t>40</w:t>
            </w:r>
          </w:p>
        </w:tc>
        <w:tc>
          <w:tcPr>
            <w:tcW w:type="dxa" w:w="5814"/>
          </w:tcPr>
          <w:p>
            <w:pPr>
              <w:pStyle w:val="null3"/>
              <w:jc w:val="both"/>
            </w:pPr>
            <w:r>
              <w:rPr>
                <w:sz w:val="21"/>
                <w:b/>
              </w:rPr>
              <w:t>三、工期要求</w:t>
            </w:r>
          </w:p>
          <w:p>
            <w:pPr>
              <w:pStyle w:val="null3"/>
              <w:jc w:val="both"/>
            </w:pPr>
            <w:r>
              <w:rPr>
                <w:sz w:val="21"/>
              </w:rPr>
              <w:t>所有设备设施需在合同签订之日起</w:t>
            </w:r>
            <w:r>
              <w:rPr>
                <w:sz w:val="21"/>
              </w:rPr>
              <w:t>30天内完成配置及安装调试，并通过采购人初步验收合格。</w:t>
            </w:r>
          </w:p>
        </w:tc>
      </w:tr>
      <w:tr>
        <w:tc>
          <w:tcPr>
            <w:tcW w:type="dxa" w:w="2076"/>
          </w:tcPr>
          <w:p/>
        </w:tc>
        <w:tc>
          <w:tcPr>
            <w:tcW w:type="dxa" w:w="415"/>
          </w:tcPr>
          <w:p>
            <w:pPr>
              <w:pStyle w:val="null3"/>
            </w:pPr>
            <w:r>
              <w:rPr/>
              <w:t>41</w:t>
            </w:r>
          </w:p>
        </w:tc>
        <w:tc>
          <w:tcPr>
            <w:tcW w:type="dxa" w:w="5814"/>
          </w:tcPr>
          <w:p>
            <w:pPr>
              <w:pStyle w:val="null3"/>
              <w:jc w:val="both"/>
            </w:pPr>
            <w:r>
              <w:rPr>
                <w:sz w:val="21"/>
                <w:b/>
              </w:rPr>
              <w:t>四、服务要求</w:t>
            </w:r>
          </w:p>
          <w:p>
            <w:pPr>
              <w:pStyle w:val="null3"/>
              <w:jc w:val="both"/>
            </w:pPr>
            <w:r>
              <w:rPr>
                <w:sz w:val="21"/>
              </w:rPr>
              <w:t>1.在服务期内，中标人需为本</w:t>
            </w:r>
            <w:r>
              <w:rPr>
                <w:sz w:val="21"/>
              </w:rPr>
              <w:t>项目</w:t>
            </w:r>
            <w:r>
              <w:rPr>
                <w:sz w:val="21"/>
              </w:rPr>
              <w:t>提供</w:t>
            </w:r>
            <w:r>
              <w:rPr>
                <w:sz w:val="21"/>
              </w:rPr>
              <w:t>7*24小时的热线服务。在接到采购人故障通知后，中标人需在10分钟内响应，60分钟内到达现场，并在2个小时内修复故障，开幕式当天安排5人值守。如遇无法修复的，应及时提供同等产品或同等质量备用设备供采购人使用。中标人迟延响应的，采购人有权另行委托其他第三方提供修复服务，相关费用由中标人承担。</w:t>
            </w:r>
          </w:p>
          <w:p>
            <w:pPr>
              <w:pStyle w:val="null3"/>
              <w:jc w:val="both"/>
            </w:pPr>
            <w:r>
              <w:rPr>
                <w:sz w:val="21"/>
              </w:rPr>
              <w:t>2.备品备件要求：为保障本项目运行稳定，中标人需具有充足的且同等质量的备品备件。</w:t>
            </w:r>
          </w:p>
          <w:p>
            <w:pPr>
              <w:pStyle w:val="null3"/>
              <w:jc w:val="both"/>
            </w:pPr>
            <w:r>
              <w:rPr>
                <w:sz w:val="21"/>
              </w:rPr>
              <w:t>3.中标人提供的相关产品，必须来源合法，质量合格。</w:t>
            </w:r>
          </w:p>
          <w:p>
            <w:pPr>
              <w:pStyle w:val="null3"/>
              <w:jc w:val="both"/>
            </w:pPr>
            <w:r>
              <w:rPr>
                <w:sz w:val="21"/>
              </w:rPr>
              <w:t>4.服务团队：拟派项目负责人（</w:t>
            </w:r>
            <w:r>
              <w:rPr>
                <w:sz w:val="21"/>
              </w:rPr>
              <w:t>1</w:t>
            </w:r>
            <w:r>
              <w:rPr>
                <w:sz w:val="21"/>
              </w:rPr>
              <w:t>名），需具有本科及以上学历，具有信息系统管理工程师或信息系统项目管理师；其他服务人员（项目负责人除外）需具有通信类或网络类或机电类或电力电气类中级或以上工程师。</w:t>
            </w:r>
            <w:r>
              <w:rPr>
                <w:sz w:val="21"/>
              </w:rPr>
              <w:t>中标人需为本项目配备充足的电工等作业人员，保证设备安装调试按期完成。在工作过程中，作业人员应持证上岗。</w:t>
            </w:r>
            <w:r>
              <w:rPr>
                <w:sz w:val="21"/>
              </w:rPr>
              <w:t>未经</w:t>
            </w:r>
            <w:r>
              <w:rPr>
                <w:sz w:val="21"/>
              </w:rPr>
              <w:t>采购人</w:t>
            </w:r>
            <w:r>
              <w:rPr>
                <w:sz w:val="21"/>
              </w:rPr>
              <w:t>书面同意，</w:t>
            </w:r>
            <w:r>
              <w:rPr>
                <w:sz w:val="21"/>
              </w:rPr>
              <w:t>中标人</w:t>
            </w:r>
            <w:r>
              <w:rPr>
                <w:sz w:val="21"/>
              </w:rPr>
              <w:t>不得随意更换项目负责人。</w:t>
            </w:r>
          </w:p>
          <w:p>
            <w:pPr>
              <w:pStyle w:val="null3"/>
              <w:jc w:val="both"/>
            </w:pPr>
            <w:r>
              <w:rPr>
                <w:sz w:val="21"/>
              </w:rPr>
              <w:t>5.</w:t>
            </w:r>
            <w:r>
              <w:rPr>
                <w:sz w:val="21"/>
              </w:rPr>
              <w:t>中标人须保存租赁期间的所有监控录像，于租赁期间，采购人可调取的所有监控录像。</w:t>
            </w:r>
          </w:p>
          <w:p>
            <w:pPr>
              <w:pStyle w:val="null3"/>
              <w:jc w:val="both"/>
            </w:pPr>
            <w:r>
              <w:rPr>
                <w:sz w:val="21"/>
              </w:rPr>
              <w:t>6.</w:t>
            </w:r>
            <w:r>
              <w:rPr>
                <w:sz w:val="21"/>
              </w:rPr>
              <w:t>所有设施设备于租赁期到期且通过采购人的最终验收后，中标人方可回收为本项目实施的设施设备。</w:t>
            </w:r>
          </w:p>
          <w:p>
            <w:pPr>
              <w:pStyle w:val="null3"/>
              <w:jc w:val="both"/>
            </w:pPr>
            <w:r>
              <w:rPr>
                <w:sz w:val="21"/>
              </w:rPr>
              <w:t>7.</w:t>
            </w:r>
            <w:r>
              <w:rPr>
                <w:sz w:val="21"/>
              </w:rPr>
              <w:t>第十五届全运会期间</w:t>
            </w:r>
            <w:r>
              <w:rPr>
                <w:sz w:val="21"/>
              </w:rPr>
              <w:t>，如遇人流、车流剧增等情况，中标人须额外为本项目增派服务人员，保证停车场服务人员满足现场需求，确保停车场的正常运转。（本项费用包含在投标报价中）</w:t>
            </w:r>
          </w:p>
          <w:p>
            <w:pPr>
              <w:pStyle w:val="null3"/>
              <w:jc w:val="both"/>
            </w:pPr>
            <w:r>
              <w:rPr>
                <w:sz w:val="21"/>
              </w:rPr>
              <w:t>8.</w:t>
            </w:r>
            <w:r>
              <w:rPr>
                <w:sz w:val="21"/>
              </w:rPr>
              <w:t>在本合同的履行过程中，中标人服务人员不得随意脱岗、缺岗。</w:t>
            </w:r>
          </w:p>
        </w:tc>
      </w:tr>
      <w:tr>
        <w:tc>
          <w:tcPr>
            <w:tcW w:type="dxa" w:w="2076"/>
          </w:tcPr>
          <w:p/>
        </w:tc>
        <w:tc>
          <w:tcPr>
            <w:tcW w:type="dxa" w:w="415"/>
          </w:tcPr>
          <w:p>
            <w:pPr>
              <w:pStyle w:val="null3"/>
            </w:pPr>
            <w:r>
              <w:rPr/>
              <w:t>42</w:t>
            </w:r>
          </w:p>
        </w:tc>
        <w:tc>
          <w:tcPr>
            <w:tcW w:type="dxa" w:w="5814"/>
          </w:tcPr>
          <w:p>
            <w:pPr>
              <w:pStyle w:val="null3"/>
              <w:jc w:val="both"/>
            </w:pPr>
            <w:r>
              <w:rPr>
                <w:sz w:val="21"/>
                <w:b/>
              </w:rPr>
              <w:t>五、平面图</w:t>
            </w:r>
          </w:p>
          <w:p>
            <w:pPr>
              <w:pStyle w:val="null3"/>
              <w:jc w:val="both"/>
            </w:pPr>
            <w:r>
              <w:rPr>
                <w:sz w:val="21"/>
              </w:rPr>
              <w:t>详见附件：各地块设备设施点位平面图。</w:t>
            </w:r>
          </w:p>
        </w:tc>
      </w:tr>
      <w:tr>
        <w:tc>
          <w:tcPr>
            <w:tcW w:type="dxa" w:w="2076"/>
          </w:tcPr>
          <w:p/>
        </w:tc>
        <w:tc>
          <w:tcPr>
            <w:tcW w:type="dxa" w:w="415"/>
          </w:tcPr>
          <w:p>
            <w:pPr>
              <w:pStyle w:val="null3"/>
            </w:pPr>
            <w:r>
              <w:rPr/>
              <w:t>43</w:t>
            </w:r>
          </w:p>
        </w:tc>
        <w:tc>
          <w:tcPr>
            <w:tcW w:type="dxa" w:w="5814"/>
          </w:tcPr>
          <w:p>
            <w:pPr>
              <w:pStyle w:val="null3"/>
              <w:jc w:val="both"/>
            </w:pPr>
            <w:r>
              <w:rPr>
                <w:sz w:val="21"/>
                <w:b/>
              </w:rPr>
              <w:t>六、违约责任</w:t>
            </w:r>
          </w:p>
          <w:p>
            <w:pPr>
              <w:pStyle w:val="null3"/>
              <w:jc w:val="both"/>
            </w:pPr>
            <w:r>
              <w:rPr>
                <w:sz w:val="21"/>
              </w:rPr>
              <w:t>1.中标人不得将本项目发包或转包，否则，将视中标人违约，采购人可以解除服务合同，中标人需向采购人支付合同总价款30%的违约金。</w:t>
            </w:r>
          </w:p>
          <w:p>
            <w:pPr>
              <w:pStyle w:val="null3"/>
              <w:jc w:val="both"/>
            </w:pPr>
            <w:r>
              <w:rPr>
                <w:sz w:val="21"/>
              </w:rPr>
              <w:t>2.服务期间，双方必须严格履行合同，在执行过程中，如遇未尽事宜，双方可协商解决，单方面无权变更合同。中标人不得随意中止、终止、解除本合同，否则采购人有权要求中标人支付合同总价款30%的违约金并有权不予结算款项。</w:t>
            </w:r>
          </w:p>
          <w:p>
            <w:pPr>
              <w:pStyle w:val="null3"/>
              <w:jc w:val="both"/>
            </w:pPr>
            <w:r>
              <w:rPr>
                <w:sz w:val="21"/>
              </w:rPr>
              <w:t>3.中标人在接到采购人故障通知后，未在采购人规定的时限内进行响应、未按照采购人规定时限内安排工作人员到达现场修复故障或提供备用设备供采购人使用的，采购人有权根据情节轻重对中标人扣减相应服务费，扣减服务费幅度在5000元-10000元（含本数）。若中标人未及时响应的情节较为严重的，采购人有权单方解除合同，且采购人有权要求中标人支付合同总价款30%的违约金。同时，因发生故障或单方解除合同产生的一切经济损失和法律责任均由中标人自行承担，中标人不得以任何理由向采购人追偿。</w:t>
            </w:r>
          </w:p>
          <w:p>
            <w:pPr>
              <w:pStyle w:val="null3"/>
              <w:jc w:val="both"/>
            </w:pPr>
            <w:r>
              <w:rPr>
                <w:sz w:val="21"/>
              </w:rPr>
              <w:t>4.中标人逾期完成本合同项下的义务的，每逾期一天，需向采购人支付合同总金额万分之五的违约金，逾期超过5天，采购人有权解除本合同并要求中标人支付合同总金额30%的违约金。</w:t>
            </w:r>
          </w:p>
          <w:p>
            <w:pPr>
              <w:pStyle w:val="null3"/>
              <w:jc w:val="both"/>
            </w:pPr>
            <w:r>
              <w:rPr>
                <w:sz w:val="21"/>
              </w:rPr>
              <w:t>5.中标人所支付的违约金不足以弥补采购人的损失的，采购人有权另行向中标人主张赔偿。</w:t>
            </w:r>
          </w:p>
          <w:p>
            <w:pPr>
              <w:pStyle w:val="null3"/>
              <w:jc w:val="both"/>
            </w:pPr>
            <w:r>
              <w:rPr>
                <w:sz w:val="21"/>
              </w:rPr>
              <w:t>6.</w:t>
            </w:r>
            <w:r>
              <w:rPr>
                <w:sz w:val="21"/>
              </w:rPr>
              <w:t>因中标人违约等原因需向采购人支付违约金、赔偿金的，采购人有权直接从给中标人的合同费用中予以扣除，不足部分由中标人在采购人指定的时间内另行补足，中标人每逾期一日，按应补足金额的万分之五支付违约金。</w:t>
            </w:r>
          </w:p>
          <w:p>
            <w:pPr>
              <w:pStyle w:val="null3"/>
              <w:jc w:val="both"/>
            </w:pPr>
            <w:r>
              <w:rPr>
                <w:sz w:val="21"/>
              </w:rPr>
              <w:t>7.（1）</w:t>
            </w:r>
            <w:r>
              <w:rPr>
                <w:sz w:val="21"/>
              </w:rPr>
              <w:t>在本合同的履行过程中，若因中标人管理不善，发生安全责任事故造成的所有经济损失，由中标人承担。</w:t>
            </w:r>
          </w:p>
          <w:p>
            <w:pPr>
              <w:pStyle w:val="null3"/>
              <w:jc w:val="both"/>
            </w:pPr>
            <w:r>
              <w:rPr>
                <w:sz w:val="21"/>
              </w:rPr>
              <w:t>（</w:t>
            </w:r>
            <w:r>
              <w:rPr>
                <w:sz w:val="21"/>
              </w:rPr>
              <w:t>2</w:t>
            </w:r>
            <w:r>
              <w:rPr>
                <w:sz w:val="21"/>
              </w:rPr>
              <w:t>）</w:t>
            </w:r>
            <w:r>
              <w:rPr>
                <w:sz w:val="21"/>
              </w:rPr>
              <w:t>在本项目服务范围内，发生火灾、车祸或触电等安全事故或突发情况，中标人未能及时发现并采取积极有效措施对人员实施救治、降低事故影响并完成其他善后工作的，由此产生的一切经济损失</w:t>
            </w:r>
            <w:r>
              <w:rPr>
                <w:sz w:val="21"/>
              </w:rPr>
              <w:t>(包括但不限于第三人索赔、停车场财产损失等)和法律责任由中标人自行承担。</w:t>
            </w:r>
          </w:p>
          <w:p>
            <w:pPr>
              <w:pStyle w:val="null3"/>
              <w:jc w:val="both"/>
            </w:pPr>
            <w:r>
              <w:rPr>
                <w:sz w:val="21"/>
              </w:rPr>
              <w:t>（</w:t>
            </w:r>
            <w:r>
              <w:rPr>
                <w:sz w:val="21"/>
              </w:rPr>
              <w:t>3</w:t>
            </w:r>
            <w:r>
              <w:rPr>
                <w:sz w:val="21"/>
              </w:rPr>
              <w:t>）</w:t>
            </w:r>
            <w:r>
              <w:rPr>
                <w:sz w:val="21"/>
              </w:rPr>
              <w:t>因中标人管理不善发生安全责任事故的，采购人有权视事故责任的轻重、经济损失的大小综合考评，若造成伤人或直接经济损失的，按每宗</w:t>
            </w:r>
            <w:r>
              <w:rPr>
                <w:sz w:val="21"/>
              </w:rPr>
              <w:t>(次)扣减服务费30万元；若特别严重，造成死亡或较大经济损失的，按每宗(次)扣减服务费50万元。同时，采购人有权单方解除合同，若因采购人单方解除合同造成采购人经济损失的，中标人应全部给予赔偿。</w:t>
            </w:r>
          </w:p>
          <w:p>
            <w:pPr>
              <w:pStyle w:val="null3"/>
              <w:jc w:val="both"/>
            </w:pPr>
            <w:r>
              <w:rPr>
                <w:sz w:val="21"/>
              </w:rPr>
              <w:t>8.</w:t>
            </w:r>
            <w:r>
              <w:rPr>
                <w:sz w:val="21"/>
              </w:rPr>
              <w:t>因中标人违约导致采购人单方解除合同的，采购人除有权要求中标人按照合同约定支付违约金、赔偿经济损失外，还有权没收中标人缴纳的全部履约保证金。</w:t>
            </w:r>
          </w:p>
        </w:tc>
      </w:tr>
      <w:tr>
        <w:tc>
          <w:tcPr>
            <w:tcW w:type="dxa" w:w="2076"/>
          </w:tcPr>
          <w:p/>
        </w:tc>
        <w:tc>
          <w:tcPr>
            <w:tcW w:type="dxa" w:w="415"/>
          </w:tcPr>
          <w:p>
            <w:pPr>
              <w:pStyle w:val="null3"/>
            </w:pPr>
            <w:r>
              <w:rPr/>
              <w:t>44</w:t>
            </w:r>
          </w:p>
        </w:tc>
        <w:tc>
          <w:tcPr>
            <w:tcW w:type="dxa" w:w="5814"/>
          </w:tcPr>
          <w:p>
            <w:pPr>
              <w:pStyle w:val="null3"/>
              <w:jc w:val="both"/>
            </w:pPr>
            <w:r>
              <w:rPr>
                <w:sz w:val="21"/>
                <w:b/>
              </w:rPr>
              <w:t>七、服务期限</w:t>
            </w:r>
          </w:p>
          <w:p>
            <w:pPr>
              <w:pStyle w:val="null3"/>
            </w:pPr>
            <w:r>
              <w:rPr>
                <w:sz w:val="21"/>
              </w:rPr>
              <w:t>1.</w:t>
            </w:r>
            <w:r>
              <w:rPr>
                <w:sz w:val="21"/>
              </w:rPr>
              <w:t>智能安防监控服务</w:t>
            </w:r>
            <w:r>
              <w:rPr>
                <w:sz w:val="21"/>
              </w:rPr>
              <w:t>：自签订合同之日起</w:t>
            </w:r>
            <w:r>
              <w:rPr>
                <w:sz w:val="21"/>
              </w:rPr>
              <w:t>至</w:t>
            </w:r>
            <w:r>
              <w:rPr>
                <w:sz w:val="21"/>
              </w:rPr>
              <w:t>2025年11月10日</w:t>
            </w:r>
            <w:r>
              <w:rPr>
                <w:sz w:val="21"/>
              </w:rPr>
              <w:t>。</w:t>
            </w:r>
          </w:p>
          <w:p>
            <w:pPr>
              <w:pStyle w:val="null3"/>
            </w:pPr>
            <w:r>
              <w:rPr>
                <w:sz w:val="21"/>
              </w:rPr>
              <w:t>2.</w:t>
            </w:r>
            <w:r>
              <w:rPr>
                <w:sz w:val="21"/>
              </w:rPr>
              <w:t>太阳能杆智能照明服务</w:t>
            </w:r>
            <w:r>
              <w:rPr>
                <w:sz w:val="21"/>
              </w:rPr>
              <w:t>：自签订合同之日起</w:t>
            </w:r>
            <w:r>
              <w:rPr>
                <w:sz w:val="21"/>
              </w:rPr>
              <w:t>至</w:t>
            </w:r>
            <w:r>
              <w:rPr>
                <w:sz w:val="21"/>
              </w:rPr>
              <w:t>2025年11月10日</w:t>
            </w:r>
            <w:r>
              <w:rPr>
                <w:sz w:val="21"/>
              </w:rPr>
              <w:t>。</w:t>
            </w:r>
          </w:p>
          <w:p>
            <w:pPr>
              <w:pStyle w:val="null3"/>
            </w:pPr>
            <w:r>
              <w:rPr>
                <w:sz w:val="21"/>
              </w:rPr>
              <w:t>3.综合辅助服务：服务起始时间以采购人书面通知为准。</w:t>
            </w:r>
          </w:p>
          <w:p>
            <w:pPr>
              <w:pStyle w:val="null3"/>
              <w:ind w:left="420"/>
            </w:pPr>
            <w:r>
              <w:rPr>
                <w:sz w:val="21"/>
              </w:rPr>
              <w:t>(1)</w:t>
            </w:r>
            <w:r>
              <w:rPr>
                <w:sz w:val="21"/>
              </w:rPr>
              <w:t>移动式厕所（服务）：</w:t>
            </w:r>
            <w:r>
              <w:rPr>
                <w:sz w:val="21"/>
              </w:rPr>
              <w:t>11个日历天；</w:t>
            </w:r>
          </w:p>
          <w:p>
            <w:pPr>
              <w:pStyle w:val="null3"/>
              <w:ind w:left="420"/>
            </w:pPr>
            <w:r>
              <w:rPr>
                <w:sz w:val="21"/>
              </w:rPr>
              <w:t>(2)</w:t>
            </w:r>
            <w:r>
              <w:rPr>
                <w:sz w:val="21"/>
              </w:rPr>
              <w:t>岗亭（服务）：</w:t>
            </w:r>
            <w:r>
              <w:rPr>
                <w:sz w:val="21"/>
              </w:rPr>
              <w:t>采购人</w:t>
            </w:r>
            <w:r>
              <w:rPr>
                <w:sz w:val="21"/>
              </w:rPr>
              <w:t>书面通知之日起至</w:t>
            </w:r>
            <w:r>
              <w:rPr>
                <w:sz w:val="21"/>
              </w:rPr>
              <w:t>2025年11月10日</w:t>
            </w:r>
            <w:r>
              <w:rPr>
                <w:sz w:val="21"/>
              </w:rPr>
              <w:t>；</w:t>
            </w:r>
          </w:p>
          <w:p>
            <w:pPr>
              <w:pStyle w:val="null3"/>
              <w:ind w:left="420"/>
            </w:pPr>
            <w:r>
              <w:rPr>
                <w:sz w:val="21"/>
              </w:rPr>
              <w:t>(3)</w:t>
            </w:r>
            <w:r>
              <w:rPr>
                <w:sz w:val="21"/>
              </w:rPr>
              <w:t>停车场休息室（服务）：</w:t>
            </w:r>
            <w:r>
              <w:rPr>
                <w:sz w:val="21"/>
              </w:rPr>
              <w:t>1个月；</w:t>
            </w:r>
          </w:p>
          <w:p>
            <w:pPr>
              <w:pStyle w:val="null3"/>
              <w:ind w:left="420"/>
            </w:pPr>
            <w:r>
              <w:rPr>
                <w:sz w:val="21"/>
              </w:rPr>
              <w:t>(4)</w:t>
            </w:r>
            <w:r>
              <w:rPr>
                <w:sz w:val="21"/>
              </w:rPr>
              <w:t>停车场管理人员（服务）：</w:t>
            </w:r>
            <w:r>
              <w:rPr>
                <w:sz w:val="21"/>
              </w:rPr>
              <w:t>15个日历天；</w:t>
            </w:r>
          </w:p>
          <w:p>
            <w:pPr>
              <w:pStyle w:val="null3"/>
              <w:ind w:left="420"/>
            </w:pPr>
            <w:r>
              <w:rPr>
                <w:sz w:val="21"/>
              </w:rPr>
              <w:t>(5)</w:t>
            </w:r>
            <w:r>
              <w:rPr>
                <w:sz w:val="21"/>
              </w:rPr>
              <w:t>停车数据（服务）：</w:t>
            </w:r>
            <w:r>
              <w:rPr>
                <w:sz w:val="21"/>
              </w:rPr>
              <w:t>采购人</w:t>
            </w:r>
            <w:r>
              <w:rPr>
                <w:sz w:val="21"/>
              </w:rPr>
              <w:t>书面通知之日起至</w:t>
            </w:r>
            <w:r>
              <w:rPr>
                <w:sz w:val="21"/>
              </w:rPr>
              <w:t>2025年11月10日</w:t>
            </w:r>
            <w:r>
              <w:rPr>
                <w:sz w:val="21"/>
              </w:rPr>
              <w:t>；</w:t>
            </w:r>
          </w:p>
          <w:p>
            <w:pPr>
              <w:pStyle w:val="null3"/>
              <w:jc w:val="both"/>
            </w:pPr>
            <w:r>
              <w:rPr>
                <w:sz w:val="21"/>
              </w:rPr>
              <w:t>(6)</w:t>
            </w:r>
            <w:r>
              <w:rPr>
                <w:sz w:val="21"/>
              </w:rPr>
              <w:t>围挡（服务）：</w:t>
            </w:r>
            <w:r>
              <w:rPr>
                <w:sz w:val="21"/>
              </w:rPr>
              <w:t>1个月。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1.采购代理机构：本项目是指天栋建设管理有限公司，负责整个采购活动的组织，依法负责编制和发布招标文件，对招标文件拥有最终的解释权，不以任何身份出任评标委员会成员。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广州市天河区住房建设和园林局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采购机构代理服务收费标准：（1）以项目预算金额作为招标代理服务费的计算基数； （2）招标代理服务费采用差额定率累进法进行计算，项目按照以下标准计取： 100万元以下的部分，按照1.5%计取； 100-500万元的部分，按照1.1%计取； 500-1000万元的部分，按照0.8%计取； 1000-5000万元的部分，按照0.5%计取。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十五运会开幕式奥体中心周边停车保障项目一体化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天栋建设管理有限公司</w:t>
      </w:r>
      <w:r>
        <w:rPr/>
        <w:t>统一对外发布。</w:t>
      </w:r>
    </w:p>
    <w:p>
      <w:pPr>
        <w:pStyle w:val="null3"/>
        <w:ind w:firstLine="480"/>
      </w:pPr>
      <w:r>
        <w:rPr/>
        <w:t>（2）对</w:t>
      </w:r>
      <w:r>
        <w:rPr/>
        <w:t>天栋建设管理有限公司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采购包1（十五运会开幕式奥体中心周边停车保障项目一体化服务）：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采购包1（十五运会开幕式奥体中心周边停车保障项目一体化服务）：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自然人，投标时提交有效的营业执照副本复印件；分支机构投标的，必须由总公司授权（提供《投标函》、总公司及分支机构的营业执照复印件及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本项目不允许转包分包。</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采购包1（十五运会开幕式奥体中心周边停车保障项目一体化服务）：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招标文件的签署、盖章</w:t>
            </w:r>
          </w:p>
        </w:tc>
        <w:tc>
          <w:tcPr>
            <w:tcW w:type="dxa" w:w="4238"/>
          </w:tcPr>
          <w:p>
            <w:pPr>
              <w:pStyle w:val="null3"/>
            </w:pPr>
            <w:r>
              <w:rPr/>
              <w:t>符合招标文件的签署、盖章要求；</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按规定提交法定代表人证明书、法定代表人授权书；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投标报价是固定价且是唯一的，投标报价未超过招标文件规定的采购预算或最高限价；且投标报价不属于“低于成本价恶意竞争且不能说明理由的”情形；</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投标文件完整且编排有序，投标内容基本完整，无重大错漏，并按要求密封、签署、盖章；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投标文件对招标文件中“★”号条款不产生偏离（投标文件中技术参数、功能或其他内容优于招标要求部分不视作偏离），若有偏离，投标无效。</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采购包1(十五运会开幕式奥体中心周边停车保障项目一体化服务):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重要参数响应情况 (13.0分)</w:t>
            </w:r>
          </w:p>
        </w:tc>
        <w:tc>
          <w:tcPr>
            <w:tcW w:type="dxa" w:w="5076"/>
          </w:tcPr>
          <w:p>
            <w:pPr>
              <w:pStyle w:val="null3"/>
              <w:jc w:val="left"/>
            </w:pPr>
            <w:r>
              <w:rPr/>
              <w:t>根据投标人对招标文件“第二章采购需求：附表一：二、技术参数要求”的响应情况进行评审：其中带“▲”的指标每响应1项要求得0.5分（共26条），共13分。 注：提供《技术和服务要求响应表》，若技术参数要求中有要求提供证明材料的，需提供符合要求证明材料，不提供或不符合的不得分。</w:t>
            </w:r>
          </w:p>
        </w:tc>
      </w:tr>
      <w:tr>
        <w:tc>
          <w:tcPr>
            <w:tcW w:type="dxa" w:w="922"/>
            <w:gridSpan w:val="2"/>
            <w:vMerge/>
          </w:tcPr>
          <w:p/>
        </w:tc>
        <w:tc>
          <w:tcPr>
            <w:tcW w:type="dxa" w:w="2307"/>
          </w:tcPr>
          <w:p>
            <w:pPr>
              <w:pStyle w:val="null3"/>
              <w:jc w:val="left"/>
            </w:pPr>
            <w:r>
              <w:rPr/>
              <w:t>一般技术参数响应情况 (9.0分)</w:t>
            </w:r>
          </w:p>
        </w:tc>
        <w:tc>
          <w:tcPr>
            <w:tcW w:type="dxa" w:w="5076"/>
          </w:tcPr>
          <w:p>
            <w:pPr>
              <w:pStyle w:val="null3"/>
              <w:jc w:val="left"/>
            </w:pPr>
            <w:r>
              <w:rPr/>
              <w:t>根据投标人对招标文件“第二章采购需求：附表一：二、技术参数要求”一般技术参数（指非★、非▲号技术参数）的响应情况进行评审： 完全满足得9分； 有1-5项负偏离，得7分； 有6-10项负偏离，得5分； 有11-15项负偏离，得3分； 有16项以上负偏离，得0分。 注：提供《技术和服务要求响应表》，若技术参数要求中有要求提供证明材料的，需提供符合要求证明材料，不提供或不符合的不得分。</w:t>
            </w:r>
          </w:p>
        </w:tc>
      </w:tr>
      <w:tr>
        <w:tc>
          <w:tcPr>
            <w:tcW w:type="dxa" w:w="922"/>
            <w:gridSpan w:val="2"/>
            <w:vMerge/>
          </w:tcPr>
          <w:p/>
        </w:tc>
        <w:tc>
          <w:tcPr>
            <w:tcW w:type="dxa" w:w="2307"/>
          </w:tcPr>
          <w:p>
            <w:pPr>
              <w:pStyle w:val="null3"/>
              <w:jc w:val="left"/>
            </w:pPr>
            <w:r>
              <w:rPr/>
              <w:t>项目组织实施方案 (10.0分)</w:t>
            </w:r>
          </w:p>
        </w:tc>
        <w:tc>
          <w:tcPr>
            <w:tcW w:type="dxa" w:w="5076"/>
          </w:tcPr>
          <w:p>
            <w:pPr>
              <w:pStyle w:val="null3"/>
              <w:jc w:val="left"/>
            </w:pPr>
            <w:r>
              <w:rPr/>
              <w:t>根据投标人提供的项目组织实施方案（包括但不限于实施计划、服务质量目标、监控设备安装调试方案、太阳能杆智能照明设备安装调试方案、设施设备配备方案、人员管理方案等）进行评审： 1、项目组织实施方案完整、详细，可行性高，完全满足且优于采购需求的，得10分； 2、项目组织实施方案较完整、较详细，可行性较高，完全满足采购需求的，得7分； 3、项目组织实施方案不完整、不详细，可行性不高，不完全满足采购需求的，得4分； 4、不提供相关表述不得分。</w:t>
            </w:r>
          </w:p>
        </w:tc>
      </w:tr>
      <w:tr>
        <w:tc>
          <w:tcPr>
            <w:tcW w:type="dxa" w:w="922"/>
            <w:gridSpan w:val="2"/>
            <w:vMerge/>
          </w:tcPr>
          <w:p/>
        </w:tc>
        <w:tc>
          <w:tcPr>
            <w:tcW w:type="dxa" w:w="2307"/>
          </w:tcPr>
          <w:p>
            <w:pPr>
              <w:pStyle w:val="null3"/>
              <w:jc w:val="left"/>
            </w:pPr>
            <w:r>
              <w:rPr/>
              <w:t>工作进度计划 (8.0分)</w:t>
            </w:r>
          </w:p>
        </w:tc>
        <w:tc>
          <w:tcPr>
            <w:tcW w:type="dxa" w:w="5076"/>
          </w:tcPr>
          <w:p>
            <w:pPr>
              <w:pStyle w:val="null3"/>
              <w:jc w:val="left"/>
            </w:pPr>
            <w:r>
              <w:rPr/>
              <w:t>根据投标人提供的工作进度计划（包括但不限于工作目标、工作安排、进度计划等）进行评审： 1、工作进度计划完整、详细，可行性高，完全满足且优于采购需求的，得8分； 2、工作进度计划较完整、较详细，可行性较高，完全满足采购需求的，得5分； 3、工作进度计划不完整、不详细，可行性不高，不完全满足采购需求的，得2分； 4、不提供相关表述不得分。</w:t>
            </w:r>
          </w:p>
        </w:tc>
      </w:tr>
      <w:tr>
        <w:tc>
          <w:tcPr>
            <w:tcW w:type="dxa" w:w="922"/>
            <w:gridSpan w:val="2"/>
            <w:vMerge/>
          </w:tcPr>
          <w:p/>
        </w:tc>
        <w:tc>
          <w:tcPr>
            <w:tcW w:type="dxa" w:w="2307"/>
          </w:tcPr>
          <w:p>
            <w:pPr>
              <w:pStyle w:val="null3"/>
              <w:jc w:val="left"/>
            </w:pPr>
            <w:r>
              <w:rPr/>
              <w:t>维护服务方案 (5.0分)</w:t>
            </w:r>
          </w:p>
        </w:tc>
        <w:tc>
          <w:tcPr>
            <w:tcW w:type="dxa" w:w="5076"/>
          </w:tcPr>
          <w:p>
            <w:pPr>
              <w:pStyle w:val="null3"/>
              <w:jc w:val="left"/>
            </w:pPr>
            <w:r>
              <w:rPr/>
              <w:t>根据投标人提供的维护服务方案（包括但不限于响应时间、维护方案、备品备件情况等）进行评审： 1、维护服务方案完整、详细，可行性高，完全满足且优于采购需求的，得5分； 2、维护服务方案较完整、较详细，可行性较高，完全满足采购需求的，得3分； 3、维护服务方案不完整、不详细，可行性不高，不完全满足采购需求的，得1分；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投标人2022年1月1日至本项目投标截止之日止（以合同签订时间为准）承接过的同类智能化项目业绩，每提供一项得1分，本项最高得3分。 注：须提供业绩合同(含签订合同双方的单位名称、合同项目名称、签订合同双方的落款盖章、签订日期的关键页)复印件作为证明资料，不提供或资料不全不得分。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根据在投标人提供的自2022年1月1日至本项目投标截止之日止承接的同类智能化项目业绩的用户单位出具的满意度评价，每提供1份加盖用户单位公章或单位内部职能部门章的用户评价为满意或优秀或评分≥90分或相同含义的用户评价证明得1分，最高得3分。 注：未按要求提供证明材料的不得分。</w:t>
            </w:r>
          </w:p>
        </w:tc>
      </w:tr>
      <w:tr>
        <w:tc>
          <w:tcPr>
            <w:tcW w:type="dxa" w:w="922"/>
            <w:gridSpan w:val="2"/>
            <w:vMerge/>
          </w:tcPr>
          <w:p/>
        </w:tc>
        <w:tc>
          <w:tcPr>
            <w:tcW w:type="dxa" w:w="2307"/>
          </w:tcPr>
          <w:p>
            <w:pPr>
              <w:pStyle w:val="null3"/>
              <w:jc w:val="left"/>
            </w:pPr>
            <w:r>
              <w:rPr/>
              <w:t>项目团队情况 (14.0分)</w:t>
            </w:r>
          </w:p>
        </w:tc>
        <w:tc>
          <w:tcPr>
            <w:tcW w:type="dxa" w:w="5076"/>
          </w:tcPr>
          <w:p>
            <w:pPr>
              <w:pStyle w:val="null3"/>
              <w:jc w:val="left"/>
            </w:pPr>
            <w:r>
              <w:rPr/>
              <w:t>根据投标人提供的项目团队情况进行评审： 1、项目负责人1名（本项最高得10分）：（1）具有信息系统管理工程师或信息系统项目管理师的，得3分，本小项最高得3分。（2）具有硕士学位或以上学历，得3分；具有本科学历的，得1分，本小项最高得3分。（3）具有正高级职称的，得4分；具有副高级职称的，得2分；具有中级职称的，得1分，本小项最高得4分。 2、其他服务人员（项目负责人除外）具有通信类或网络类中级或以上工程师的，每提供一名得2分，本小项最高得2分。 3、其他服务人员（项目负责人除外）具有机电类或电力电气类中级或以上工程师的，每提供一名得2分，本小项最高得2分。 注：须提供以上所拟派人员的证书复印件以及投标人为以上所拟派人员所缴纳的投标截止时间前6个月内任意一个月投标人为其购买社保的证明材料或人员劳动合同等相关在职证明材料。未按要求提供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十五运会开幕式奥体中心周边停车保障项目一体化服务</w:t>
      </w:r>
    </w:p>
    <w:p>
      <w:pPr>
        <w:pStyle w:val="null3"/>
        <w:jc w:val="center"/>
      </w:pPr>
      <w:r>
        <w:rPr>
          <w:sz w:val="32"/>
          <w:b/>
        </w:rPr>
        <w:t>采购合同</w:t>
      </w:r>
    </w:p>
    <w:p>
      <w:pPr>
        <w:pStyle w:val="null3"/>
        <w:jc w:val="center"/>
      </w:pPr>
      <w:r>
        <w:rPr>
          <w:sz w:val="21"/>
        </w:rPr>
        <w:t>甲方：</w:t>
      </w:r>
      <w:r>
        <w:rPr>
          <w:u w:val="single"/>
        </w:rPr>
        <w:t xml:space="preserve">    </w:t>
      </w:r>
      <w:r>
        <w:rPr>
          <w:sz w:val="21"/>
          <w:u w:val="single"/>
        </w:rPr>
        <w:t>广州市天河区住房建设和园林局</w:t>
      </w:r>
      <w:r>
        <w:rPr>
          <w:u w:val="single"/>
        </w:rPr>
        <w:t xml:space="preserve">      </w:t>
      </w:r>
      <w:r>
        <w:rPr>
          <w:sz w:val="21"/>
        </w:rPr>
        <w:t>（以下简称甲方）</w:t>
      </w:r>
    </w:p>
    <w:p>
      <w:pPr>
        <w:pStyle w:val="null3"/>
        <w:jc w:val="both"/>
      </w:pPr>
      <w:r>
        <w:rPr>
          <w:sz w:val="21"/>
        </w:rPr>
        <w:t>乙方：</w:t>
      </w:r>
      <w:r>
        <w:rPr>
          <w:u w:val="single"/>
        </w:rPr>
        <w:t xml:space="preserve">                                      </w:t>
      </w:r>
      <w:r>
        <w:rPr>
          <w:sz w:val="21"/>
        </w:rPr>
        <w:t>（以下简称乙方）</w:t>
      </w:r>
    </w:p>
    <w:p>
      <w:pPr>
        <w:pStyle w:val="null3"/>
        <w:jc w:val="both"/>
      </w:pPr>
      <w:r>
        <w:rPr>
          <w:sz w:val="21"/>
        </w:rPr>
        <w:t>根据《中华人民共和国民法典》、《中华人民共和国政府采购法》规定，甲方委托</w:t>
      </w:r>
      <w:r>
        <w:rPr>
          <w:sz w:val="21"/>
          <w:u w:val="single"/>
        </w:rPr>
        <w:t xml:space="preserve"> </w:t>
      </w:r>
      <w:r>
        <w:rPr>
          <w:sz w:val="21"/>
          <w:u w:val="single"/>
        </w:rPr>
        <w:t>（乙方）</w:t>
      </w:r>
      <w:r>
        <w:rPr>
          <w:sz w:val="21"/>
        </w:rPr>
        <w:t>按</w:t>
      </w:r>
      <w:r>
        <w:rPr>
          <w:sz w:val="21"/>
          <w:u w:val="single"/>
        </w:rPr>
        <w:t>十五运会开幕式奥体中心周边停车保障项目一体化服务</w:t>
      </w:r>
      <w:r>
        <w:rPr>
          <w:sz w:val="21"/>
        </w:rPr>
        <w:t>招标文件及投标文件的要求开展工作，经双方协商一致，签订本合同。</w:t>
      </w:r>
    </w:p>
    <w:p>
      <w:pPr>
        <w:pStyle w:val="null3"/>
        <w:jc w:val="both"/>
      </w:pPr>
      <w:r>
        <w:rPr>
          <w:sz w:val="21"/>
          <w:b/>
        </w:rPr>
        <w:t>一、合同的组成</w:t>
      </w:r>
    </w:p>
    <w:p>
      <w:pPr>
        <w:pStyle w:val="null3"/>
        <w:ind w:firstLine="480"/>
        <w:jc w:val="both"/>
      </w:pPr>
      <w:r>
        <w:rPr>
          <w:sz w:val="21"/>
        </w:rPr>
        <w:t>详细价格、服务说明及其它有关合同的特定信息由合同附件说明。所有附件及本项目的招投标文件、会议纪要、协议等均为本合同不可分割之一部分。</w:t>
      </w:r>
    </w:p>
    <w:p>
      <w:pPr>
        <w:pStyle w:val="null3"/>
        <w:jc w:val="both"/>
      </w:pPr>
      <w:r>
        <w:rPr>
          <w:sz w:val="21"/>
          <w:b/>
        </w:rPr>
        <w:t>二、合同金额</w:t>
      </w:r>
    </w:p>
    <w:p>
      <w:pPr>
        <w:pStyle w:val="null3"/>
        <w:ind w:firstLine="424"/>
        <w:jc w:val="both"/>
      </w:pPr>
      <w:r>
        <w:rPr>
          <w:sz w:val="21"/>
        </w:rPr>
        <w:t>合同金额为（大写）：人民币</w:t>
      </w:r>
      <w:r>
        <w:rPr>
          <w:sz w:val="21"/>
        </w:rPr>
        <w:t>_________________</w:t>
      </w:r>
      <w:r>
        <w:rPr>
          <w:sz w:val="21"/>
        </w:rPr>
        <w:t>元（</w:t>
      </w:r>
      <w:r>
        <w:rPr>
          <w:sz w:val="21"/>
        </w:rPr>
        <w:t>¥_______________</w:t>
      </w:r>
      <w:r>
        <w:rPr>
          <w:sz w:val="21"/>
        </w:rPr>
        <w:t>元）。</w:t>
      </w:r>
    </w:p>
    <w:p>
      <w:pPr>
        <w:pStyle w:val="null3"/>
        <w:jc w:val="both"/>
      </w:pPr>
      <w:r>
        <w:rPr>
          <w:sz w:val="21"/>
          <w:b/>
        </w:rPr>
        <w:t>三、</w:t>
      </w:r>
      <w:r>
        <w:rPr>
          <w:sz w:val="21"/>
          <w:b/>
        </w:rPr>
        <w:t>服务期</w:t>
      </w:r>
    </w:p>
    <w:p>
      <w:pPr>
        <w:pStyle w:val="null3"/>
        <w:ind w:firstLine="420"/>
        <w:jc w:val="both"/>
      </w:pPr>
      <w:r>
        <w:rPr>
          <w:sz w:val="21"/>
        </w:rPr>
        <w:t>自签订合同之日起至</w:t>
      </w:r>
      <w:r>
        <w:rPr>
          <w:sz w:val="21"/>
        </w:rPr>
        <w:t>2025</w:t>
      </w:r>
      <w:r>
        <w:rPr>
          <w:sz w:val="21"/>
        </w:rPr>
        <w:t>年</w:t>
      </w:r>
      <w:r>
        <w:rPr>
          <w:sz w:val="21"/>
        </w:rPr>
        <w:t>11</w:t>
      </w:r>
      <w:r>
        <w:rPr>
          <w:sz w:val="21"/>
        </w:rPr>
        <w:t>月</w:t>
      </w:r>
      <w:r>
        <w:rPr>
          <w:sz w:val="21"/>
        </w:rPr>
        <w:t>10</w:t>
      </w:r>
      <w:r>
        <w:rPr>
          <w:sz w:val="21"/>
        </w:rPr>
        <w:t>日。</w:t>
      </w:r>
    </w:p>
    <w:p>
      <w:pPr>
        <w:pStyle w:val="null3"/>
        <w:jc w:val="both"/>
      </w:pPr>
      <w:r>
        <w:rPr>
          <w:sz w:val="21"/>
          <w:b/>
        </w:rPr>
        <w:t>四、</w:t>
      </w:r>
      <w:r>
        <w:rPr>
          <w:sz w:val="21"/>
          <w:b/>
        </w:rPr>
        <w:t>服务内容及要求</w:t>
      </w:r>
    </w:p>
    <w:p>
      <w:pPr>
        <w:pStyle w:val="null3"/>
        <w:jc w:val="both"/>
      </w:pPr>
      <w:r>
        <w:rPr>
          <w:sz w:val="21"/>
        </w:rPr>
        <w:t>（</w:t>
      </w:r>
      <w:r>
        <w:rPr>
          <w:sz w:val="21"/>
        </w:rPr>
        <w:t>一</w:t>
      </w:r>
      <w:r>
        <w:rPr>
          <w:sz w:val="21"/>
        </w:rPr>
        <w:t>）</w:t>
      </w:r>
      <w:r>
        <w:rPr>
          <w:sz w:val="21"/>
        </w:rPr>
        <w:t>项目概况</w:t>
      </w:r>
    </w:p>
    <w:p>
      <w:pPr>
        <w:pStyle w:val="null3"/>
        <w:ind w:firstLine="420"/>
        <w:jc w:val="both"/>
      </w:pPr>
      <w:r>
        <w:rPr>
          <w:sz w:val="21"/>
        </w:rPr>
        <w:t>1.</w:t>
      </w:r>
      <w:r>
        <w:rPr>
          <w:sz w:val="21"/>
        </w:rPr>
        <w:t>智能安防监控服务：</w:t>
      </w:r>
    </w:p>
    <w:p>
      <w:pPr>
        <w:pStyle w:val="null3"/>
        <w:ind w:firstLine="420"/>
        <w:jc w:val="both"/>
      </w:pPr>
      <w:r>
        <w:rPr>
          <w:sz w:val="21"/>
        </w:rPr>
        <w:t>为保障第十五届全运会期间停车场高效、安全运转，基于视频监控设备提供智能安防监控服务，将为人员车辆管理及安全保障工作提供坚实的技术支撑服务。</w:t>
      </w:r>
    </w:p>
    <w:p>
      <w:pPr>
        <w:pStyle w:val="null3"/>
        <w:ind w:firstLine="420"/>
        <w:jc w:val="both"/>
      </w:pPr>
      <w:r>
        <w:rPr>
          <w:sz w:val="21"/>
        </w:rPr>
        <w:t>（</w:t>
      </w:r>
      <w:r>
        <w:rPr>
          <w:sz w:val="21"/>
        </w:rPr>
        <w:t>1</w:t>
      </w:r>
      <w:r>
        <w:rPr>
          <w:sz w:val="21"/>
        </w:rPr>
        <w:t>）</w:t>
      </w:r>
      <w:r>
        <w:rPr>
          <w:sz w:val="21"/>
        </w:rPr>
        <w:t>保障车辆安全：全运会期间相关专业人员前往奥体中心参加赛事，由于停车场车辆停放密集，基于视频监控设备可对停车场进行全方位监控，实时掌握车辆停放情况和周边动态，有效预防车辆盗窃、刮擦等事故发生，保障财产安全；</w:t>
      </w:r>
    </w:p>
    <w:p>
      <w:pPr>
        <w:pStyle w:val="null3"/>
        <w:ind w:firstLine="420"/>
        <w:jc w:val="both"/>
      </w:pPr>
      <w:r>
        <w:rPr>
          <w:sz w:val="21"/>
        </w:rPr>
        <w:t>（</w:t>
      </w:r>
      <w:r>
        <w:rPr>
          <w:sz w:val="21"/>
        </w:rPr>
        <w:t>2</w:t>
      </w:r>
      <w:r>
        <w:rPr>
          <w:sz w:val="21"/>
        </w:rPr>
        <w:t>）</w:t>
      </w:r>
      <w:r>
        <w:rPr>
          <w:sz w:val="21"/>
        </w:rPr>
        <w:t>维持停车秩序：赛事期间车流量大，停车场容易出现拥堵。视频监控智能安防能帮助管理人员及时了解各区域停车状况，合理引导车辆停放，提高停车效率，避免混乱，确保停车场内交通顺畅，方便赛事相关专业人员快速入场和离场；</w:t>
      </w:r>
    </w:p>
    <w:p>
      <w:pPr>
        <w:pStyle w:val="null3"/>
        <w:ind w:firstLine="420"/>
        <w:jc w:val="both"/>
      </w:pPr>
      <w:r>
        <w:rPr>
          <w:sz w:val="21"/>
        </w:rPr>
        <w:t>（</w:t>
      </w:r>
      <w:r>
        <w:rPr>
          <w:sz w:val="21"/>
        </w:rPr>
        <w:t>3</w:t>
      </w:r>
      <w:r>
        <w:rPr>
          <w:sz w:val="21"/>
        </w:rPr>
        <w:t>）</w:t>
      </w:r>
      <w:r>
        <w:rPr>
          <w:sz w:val="21"/>
        </w:rPr>
        <w:t>大型赛事安全保障：大型体育赛事安保要求高，奥体中心及周边是安保重点区域。停车场作为人员和车辆进出的重要场所，纳入整体安保体系。视频监控智能安防可与其他安保措施协同工作，为安保人员提供实时画面，便于及时发现和处理可疑人员、物品等安全隐患，保障赛事顺利进行；</w:t>
      </w:r>
    </w:p>
    <w:p>
      <w:pPr>
        <w:pStyle w:val="null3"/>
        <w:ind w:firstLine="420"/>
        <w:jc w:val="both"/>
      </w:pPr>
      <w:r>
        <w:rPr>
          <w:sz w:val="21"/>
        </w:rPr>
        <w:t>（</w:t>
      </w:r>
      <w:r>
        <w:rPr>
          <w:sz w:val="21"/>
        </w:rPr>
        <w:t>4</w:t>
      </w:r>
      <w:r>
        <w:rPr>
          <w:sz w:val="21"/>
        </w:rPr>
        <w:t>）</w:t>
      </w:r>
      <w:r>
        <w:rPr>
          <w:sz w:val="21"/>
        </w:rPr>
        <w:t>应对突发情况：全运会期间人员密集，可能出现各类突发事件，如火灾、踩踏等。视频监控智能安防有助于管理人员第一时间掌握现场情况，为应急处置提供决策依据，便于迅速采取措施，减少事故损失和影响。</w:t>
      </w:r>
    </w:p>
    <w:p>
      <w:pPr>
        <w:pStyle w:val="null3"/>
        <w:ind w:firstLine="420"/>
        <w:jc w:val="both"/>
      </w:pPr>
      <w:r>
        <w:rPr>
          <w:sz w:val="21"/>
        </w:rPr>
        <w:t>2.</w:t>
      </w:r>
      <w:r>
        <w:rPr>
          <w:sz w:val="21"/>
        </w:rPr>
        <w:t>太阳能杆智能照明服务：</w:t>
      </w:r>
    </w:p>
    <w:p>
      <w:pPr>
        <w:pStyle w:val="null3"/>
        <w:ind w:firstLine="420"/>
        <w:jc w:val="both"/>
      </w:pPr>
      <w:r>
        <w:rPr>
          <w:sz w:val="21"/>
        </w:rPr>
        <w:t>在十五届全运会期间，停车场配置太阳能照明的主要效果是实现环保节能与高效照明的结合。太阳能照明减少了对传统电网的依赖。此外太阳能照明配备智能感应和自动控制功能，在无人监管的环境下，可通过</w:t>
      </w:r>
      <w:r>
        <w:rPr>
          <w:sz w:val="21"/>
        </w:rPr>
        <w:t>4G</w:t>
      </w:r>
      <w:r>
        <w:rPr>
          <w:sz w:val="21"/>
        </w:rPr>
        <w:t>方式接入互联网，数据实时上传至物联网大数据平台，根据实际需求调节亮度，进一步提升能源利用效率。不仅提升了停车场的夜间安全性和使用便利性，还通过其环保特性增强了全运会的绿色办赛形象。</w:t>
      </w:r>
    </w:p>
    <w:p>
      <w:pPr>
        <w:pStyle w:val="null3"/>
        <w:ind w:firstLine="420"/>
        <w:jc w:val="both"/>
      </w:pPr>
      <w:r>
        <w:rPr>
          <w:sz w:val="21"/>
        </w:rPr>
        <w:t>（</w:t>
      </w:r>
      <w:r>
        <w:rPr>
          <w:sz w:val="21"/>
        </w:rPr>
        <w:t>1</w:t>
      </w:r>
      <w:r>
        <w:rPr>
          <w:sz w:val="21"/>
        </w:rPr>
        <w:t>）</w:t>
      </w:r>
      <w:r>
        <w:rPr>
          <w:sz w:val="21"/>
        </w:rPr>
        <w:t>大型赛事安全保障：全运会期间奥体中心作为核心场馆，周边停车场承担大量赛事相关专业人员的停车需求，高峰期人流量、车流量剧增。照明是停车场安全运营的基础，须保障车辆停靠、行人通行的夜间视线清晰，避免安全事故。</w:t>
      </w:r>
    </w:p>
    <w:p>
      <w:pPr>
        <w:pStyle w:val="null3"/>
        <w:ind w:firstLine="420"/>
        <w:jc w:val="both"/>
      </w:pPr>
      <w:r>
        <w:rPr>
          <w:sz w:val="21"/>
        </w:rPr>
        <w:t>（</w:t>
      </w:r>
      <w:r>
        <w:rPr>
          <w:sz w:val="21"/>
        </w:rPr>
        <w:t>2</w:t>
      </w:r>
      <w:r>
        <w:rPr>
          <w:sz w:val="21"/>
        </w:rPr>
        <w:t>）</w:t>
      </w:r>
      <w:r>
        <w:rPr>
          <w:sz w:val="21"/>
        </w:rPr>
        <w:t>光照资源丰富：太阳能照明通过储能设备实现</w:t>
      </w:r>
      <w:r>
        <w:rPr>
          <w:sz w:val="21"/>
        </w:rPr>
        <w:t>“白天蓄电、夜间照明”，可满足停车场全天候照明需求；且其独立供电特性（无需依赖电网）能避免因电力故障导致的照明中断，提升赛事期间服务保障的稳定性。</w:t>
      </w:r>
    </w:p>
    <w:p>
      <w:pPr>
        <w:pStyle w:val="null3"/>
        <w:ind w:firstLine="420"/>
        <w:jc w:val="both"/>
      </w:pPr>
      <w:r>
        <w:rPr>
          <w:sz w:val="21"/>
        </w:rPr>
        <w:t>（</w:t>
      </w:r>
      <w:r>
        <w:rPr>
          <w:sz w:val="21"/>
        </w:rPr>
        <w:t>3</w:t>
      </w:r>
      <w:r>
        <w:rPr>
          <w:sz w:val="21"/>
        </w:rPr>
        <w:t>）</w:t>
      </w:r>
      <w:r>
        <w:rPr>
          <w:sz w:val="21"/>
        </w:rPr>
        <w:t>技术可靠：现代太阳能照明技术成熟，</w:t>
      </w:r>
      <w:r>
        <w:rPr>
          <w:sz w:val="21"/>
        </w:rPr>
        <w:t>LED</w:t>
      </w:r>
      <w:r>
        <w:rPr>
          <w:sz w:val="21"/>
        </w:rPr>
        <w:t>光源高效节能，锂电池储能性能稳定（可满足连续阴雨天照明需求），系统运行可靠，适合大型赛事活动期间的高强度使用。</w:t>
      </w:r>
    </w:p>
    <w:p>
      <w:pPr>
        <w:pStyle w:val="null3"/>
        <w:ind w:firstLine="420"/>
        <w:jc w:val="both"/>
      </w:pPr>
      <w:r>
        <w:rPr>
          <w:sz w:val="21"/>
        </w:rPr>
        <w:t>3.</w:t>
      </w:r>
      <w:r>
        <w:rPr>
          <w:sz w:val="21"/>
        </w:rPr>
        <w:t>综合辅助服务：</w:t>
      </w:r>
    </w:p>
    <w:p>
      <w:pPr>
        <w:pStyle w:val="null3"/>
        <w:ind w:firstLine="420"/>
        <w:jc w:val="both"/>
      </w:pPr>
      <w:r>
        <w:rPr>
          <w:sz w:val="21"/>
        </w:rPr>
        <w:t>第十五届全运会作为国内规格最高、规模最大、竞技水平最高的综合性体育盛会之一，承载着展示城市形象、促进体育事业发展、凝聚社会力量的重要使命。奥体中心作为全运会的核心举办场地，届时将迎来海量的运动员、观众、媒体记者及工作人员，周边交通及停车保障成为赛事顺利举办的关键环节之一。随着全运会的举办，为了确保车辆能够有序停放、快速流转，避免出现交通拥堵、停车混乱等问题，同时保障车辆及人员的安全，提供全面、完善的停车场综合辅助服务显得尤为必要。</w:t>
      </w:r>
    </w:p>
    <w:p>
      <w:pPr>
        <w:pStyle w:val="null3"/>
        <w:ind w:firstLine="420"/>
        <w:jc w:val="both"/>
      </w:pPr>
      <w:r>
        <w:rPr>
          <w:sz w:val="21"/>
        </w:rPr>
        <w:t>在标志牌方面能够清晰、准确的指引标识能帮助车辆快速找到停车场入口、出口及内部车位，减少车辆在周边道路的无效绕行，提升停车效率。灭火器是保障停车场消防安全的重要设施，全运会期间人员密集、车辆集中，配备足够且合格的灭火器，可在突发火情时及时进行初期扑救，降低火灾风险。防滑地垫能有效应对可能出现的雨雪等恶劣天气，防止车辆打滑和人员摔倒，保障通行安全。警示带可用于划分停车场区域、隔离危险地带，避免无关人员或车辆进入特定区域，维护停车场秩序。挡车器改造能规范车辆停放位置，防止车辆超出车位范围，避免车辆之间发生碰撞，同时保护停车场地面及其他设施。标线的清晰划分则能明确车位边界、行驶路线等，引导车辆有序行驶和停放。岗亭作为停车场的管理枢纽，可实现对进出车辆的登记、收费及安全管控，便于管理人员及时处理各类突发情况。移动式厕所能满足停车场内人员的如厕需求，提升服务的便利性和人性化水平。停车场休息室为停车场管理人员及有需要的车主提供了临时休息的场所，有助于保障管理人员的工作状态，提升服务质量。手持车辆识别一体机则通过智能化手段实现车辆的快速识别、进出登记，提高车辆通行效率，减少排队等待时间，助力停车场的智能化管理。</w:t>
      </w:r>
    </w:p>
    <w:p>
      <w:pPr>
        <w:pStyle w:val="null3"/>
        <w:ind w:firstLine="420"/>
        <w:jc w:val="both"/>
      </w:pPr>
      <w:r>
        <w:rPr>
          <w:sz w:val="21"/>
        </w:rPr>
        <w:t>在第十五届全运会期间，为奥体周边停车场提供综合辅助服务是保障赛事期间交通顺畅、停车有序、安全可靠的重要举措，也是提升赛事服务质量、展现城市良好形象的具体体现。</w:t>
      </w:r>
    </w:p>
    <w:p>
      <w:pPr>
        <w:pStyle w:val="null3"/>
        <w:jc w:val="both"/>
      </w:pPr>
      <w:r>
        <w:rPr>
          <w:sz w:val="21"/>
        </w:rPr>
        <w:t>（二）服务内容</w:t>
      </w:r>
    </w:p>
    <w:p>
      <w:pPr>
        <w:pStyle w:val="null3"/>
        <w:ind w:firstLine="424"/>
        <w:jc w:val="both"/>
      </w:pPr>
      <w:r>
        <w:rPr>
          <w:sz w:val="21"/>
        </w:rPr>
        <w:t>1.</w:t>
      </w:r>
      <w:r>
        <w:rPr>
          <w:sz w:val="21"/>
        </w:rPr>
        <w:t>覆盖面积</w:t>
      </w:r>
    </w:p>
    <w:p>
      <w:pPr>
        <w:pStyle w:val="null3"/>
        <w:ind w:firstLine="420"/>
        <w:jc w:val="both"/>
      </w:pPr>
      <w:r>
        <w:rPr>
          <w:sz w:val="21"/>
        </w:rPr>
        <w:t>（</w:t>
      </w:r>
      <w:r>
        <w:rPr>
          <w:sz w:val="21"/>
        </w:rPr>
        <w:t>1</w:t>
      </w:r>
      <w:r>
        <w:rPr>
          <w:sz w:val="21"/>
        </w:rPr>
        <w:t>）智能安防监控服务：</w:t>
      </w:r>
    </w:p>
    <w:p>
      <w:pPr>
        <w:pStyle w:val="null3"/>
        <w:ind w:firstLine="420"/>
        <w:jc w:val="both"/>
      </w:pPr>
      <w:r>
        <w:rPr>
          <w:sz w:val="21"/>
        </w:rPr>
        <w:t>①思源学校地块</w:t>
      </w:r>
      <w:r>
        <w:rPr>
          <w:sz w:val="21"/>
        </w:rPr>
        <w:t>P8</w:t>
      </w:r>
      <w:r>
        <w:rPr>
          <w:sz w:val="21"/>
        </w:rPr>
        <w:t>停车场覆盖面积：</w:t>
      </w:r>
      <w:r>
        <w:rPr>
          <w:sz w:val="21"/>
        </w:rPr>
        <w:t>1.8</w:t>
      </w:r>
      <w:r>
        <w:rPr>
          <w:sz w:val="21"/>
        </w:rPr>
        <w:t>万平方米，监控服务：</w:t>
      </w:r>
      <w:r>
        <w:rPr>
          <w:sz w:val="21"/>
        </w:rPr>
        <w:t>9</w:t>
      </w:r>
      <w:r>
        <w:rPr>
          <w:sz w:val="21"/>
        </w:rPr>
        <w:t>套；</w:t>
      </w:r>
    </w:p>
    <w:p>
      <w:pPr>
        <w:pStyle w:val="null3"/>
        <w:ind w:firstLine="420"/>
        <w:jc w:val="both"/>
      </w:pPr>
      <w:r>
        <w:rPr>
          <w:sz w:val="21"/>
        </w:rPr>
        <w:t>②世界大观北地块</w:t>
      </w:r>
      <w:r>
        <w:rPr>
          <w:sz w:val="21"/>
        </w:rPr>
        <w:t>P9</w:t>
      </w:r>
      <w:r>
        <w:rPr>
          <w:sz w:val="21"/>
        </w:rPr>
        <w:t>停车场覆盖面积：</w:t>
      </w:r>
      <w:r>
        <w:rPr>
          <w:sz w:val="21"/>
        </w:rPr>
        <w:t>2</w:t>
      </w:r>
      <w:r>
        <w:rPr>
          <w:sz w:val="21"/>
        </w:rPr>
        <w:t>万平方米，监控服务：</w:t>
      </w:r>
      <w:r>
        <w:rPr>
          <w:sz w:val="21"/>
        </w:rPr>
        <w:t>10</w:t>
      </w:r>
      <w:r>
        <w:rPr>
          <w:sz w:val="21"/>
        </w:rPr>
        <w:t>套；</w:t>
      </w:r>
    </w:p>
    <w:p>
      <w:pPr>
        <w:pStyle w:val="null3"/>
        <w:ind w:firstLine="420"/>
        <w:jc w:val="both"/>
      </w:pPr>
      <w:r>
        <w:rPr>
          <w:sz w:val="21"/>
        </w:rPr>
        <w:t>③航天奇观</w:t>
      </w:r>
      <w:r>
        <w:rPr>
          <w:sz w:val="21"/>
        </w:rPr>
        <w:t>P10</w:t>
      </w:r>
      <w:r>
        <w:rPr>
          <w:sz w:val="21"/>
        </w:rPr>
        <w:t>停车场覆盖面积：</w:t>
      </w:r>
      <w:r>
        <w:rPr>
          <w:sz w:val="21"/>
        </w:rPr>
        <w:t>4</w:t>
      </w:r>
      <w:r>
        <w:rPr>
          <w:sz w:val="21"/>
        </w:rPr>
        <w:t>万平方米，监控服务：</w:t>
      </w:r>
      <w:r>
        <w:rPr>
          <w:sz w:val="21"/>
        </w:rPr>
        <w:t>15</w:t>
      </w:r>
      <w:r>
        <w:rPr>
          <w:sz w:val="21"/>
        </w:rPr>
        <w:t>套；</w:t>
      </w:r>
    </w:p>
    <w:p>
      <w:pPr>
        <w:pStyle w:val="null3"/>
        <w:ind w:firstLine="420"/>
        <w:jc w:val="both"/>
      </w:pPr>
      <w:r>
        <w:rPr>
          <w:sz w:val="21"/>
        </w:rPr>
        <w:t>④世界大观中地块</w:t>
      </w:r>
      <w:r>
        <w:rPr>
          <w:sz w:val="21"/>
        </w:rPr>
        <w:t>P11</w:t>
      </w:r>
      <w:r>
        <w:rPr>
          <w:sz w:val="21"/>
        </w:rPr>
        <w:t>停车场覆盖面积：</w:t>
      </w:r>
      <w:r>
        <w:rPr>
          <w:sz w:val="21"/>
        </w:rPr>
        <w:t>1.5</w:t>
      </w:r>
      <w:r>
        <w:rPr>
          <w:sz w:val="21"/>
        </w:rPr>
        <w:t>万平方米，监控服务：</w:t>
      </w:r>
      <w:r>
        <w:rPr>
          <w:sz w:val="21"/>
        </w:rPr>
        <w:t>10</w:t>
      </w:r>
      <w:r>
        <w:rPr>
          <w:sz w:val="21"/>
        </w:rPr>
        <w:t>套；</w:t>
      </w:r>
    </w:p>
    <w:p>
      <w:pPr>
        <w:pStyle w:val="null3"/>
        <w:ind w:firstLine="420"/>
        <w:jc w:val="both"/>
      </w:pPr>
      <w:r>
        <w:rPr>
          <w:sz w:val="21"/>
        </w:rPr>
        <w:t>⑤广氮花园东侧空地</w:t>
      </w:r>
      <w:r>
        <w:rPr>
          <w:sz w:val="21"/>
        </w:rPr>
        <w:t>P15</w:t>
      </w:r>
      <w:r>
        <w:rPr>
          <w:sz w:val="21"/>
        </w:rPr>
        <w:t>停车场覆盖面积：</w:t>
      </w:r>
      <w:r>
        <w:rPr>
          <w:sz w:val="21"/>
        </w:rPr>
        <w:t>2.4</w:t>
      </w:r>
      <w:r>
        <w:rPr>
          <w:sz w:val="21"/>
        </w:rPr>
        <w:t>万平方米，监控服务：</w:t>
      </w:r>
      <w:r>
        <w:rPr>
          <w:sz w:val="21"/>
        </w:rPr>
        <w:t>16</w:t>
      </w:r>
      <w:r>
        <w:rPr>
          <w:sz w:val="21"/>
        </w:rPr>
        <w:t>套；</w:t>
      </w:r>
    </w:p>
    <w:p>
      <w:pPr>
        <w:pStyle w:val="null3"/>
        <w:ind w:firstLine="420"/>
        <w:jc w:val="both"/>
      </w:pPr>
      <w:r>
        <w:rPr>
          <w:sz w:val="21"/>
        </w:rPr>
        <w:t>⑥奥体</w:t>
      </w:r>
      <w:r>
        <w:rPr>
          <w:sz w:val="21"/>
        </w:rPr>
        <w:t>5</w:t>
      </w:r>
      <w:r>
        <w:rPr>
          <w:sz w:val="21"/>
        </w:rPr>
        <w:t>号门北侧空地</w:t>
      </w:r>
      <w:r>
        <w:rPr>
          <w:sz w:val="21"/>
        </w:rPr>
        <w:t>P18</w:t>
      </w:r>
      <w:r>
        <w:rPr>
          <w:sz w:val="21"/>
        </w:rPr>
        <w:t>停车场覆盖面积：</w:t>
      </w:r>
      <w:r>
        <w:rPr>
          <w:sz w:val="21"/>
        </w:rPr>
        <w:t>1.04</w:t>
      </w:r>
      <w:r>
        <w:rPr>
          <w:sz w:val="21"/>
        </w:rPr>
        <w:t>万平方米，监控服务：</w:t>
      </w:r>
      <w:r>
        <w:rPr>
          <w:sz w:val="21"/>
        </w:rPr>
        <w:t>2</w:t>
      </w:r>
      <w:r>
        <w:rPr>
          <w:sz w:val="21"/>
        </w:rPr>
        <w:t>套。</w:t>
      </w:r>
    </w:p>
    <w:p>
      <w:pPr>
        <w:pStyle w:val="null3"/>
        <w:ind w:firstLine="420"/>
        <w:jc w:val="both"/>
      </w:pPr>
      <w:r>
        <w:rPr>
          <w:sz w:val="21"/>
        </w:rPr>
        <w:t>（</w:t>
      </w:r>
      <w:r>
        <w:rPr>
          <w:sz w:val="21"/>
        </w:rPr>
        <w:t>2</w:t>
      </w:r>
      <w:r>
        <w:rPr>
          <w:sz w:val="21"/>
        </w:rPr>
        <w:t>）太阳能杆智能照明服务：</w:t>
      </w:r>
    </w:p>
    <w:p>
      <w:pPr>
        <w:pStyle w:val="null3"/>
        <w:ind w:firstLine="420"/>
        <w:jc w:val="both"/>
      </w:pPr>
      <w:r>
        <w:rPr>
          <w:sz w:val="21"/>
        </w:rPr>
        <w:t>①思源学校地块</w:t>
      </w:r>
      <w:r>
        <w:rPr>
          <w:sz w:val="21"/>
        </w:rPr>
        <w:t>P8</w:t>
      </w:r>
      <w:r>
        <w:rPr>
          <w:sz w:val="21"/>
        </w:rPr>
        <w:t>停车场覆盖面积：</w:t>
      </w:r>
      <w:r>
        <w:rPr>
          <w:sz w:val="21"/>
        </w:rPr>
        <w:t>1.8</w:t>
      </w:r>
      <w:r>
        <w:rPr>
          <w:sz w:val="21"/>
        </w:rPr>
        <w:t>万平方米，照明服务：</w:t>
      </w:r>
      <w:r>
        <w:rPr>
          <w:sz w:val="21"/>
        </w:rPr>
        <w:t>19</w:t>
      </w:r>
      <w:r>
        <w:rPr>
          <w:sz w:val="21"/>
        </w:rPr>
        <w:t>套；</w:t>
      </w:r>
    </w:p>
    <w:p>
      <w:pPr>
        <w:pStyle w:val="null3"/>
        <w:ind w:firstLine="420"/>
        <w:jc w:val="both"/>
      </w:pPr>
      <w:r>
        <w:rPr>
          <w:sz w:val="21"/>
        </w:rPr>
        <w:t>②世界大观北地块</w:t>
      </w:r>
      <w:r>
        <w:rPr>
          <w:sz w:val="21"/>
        </w:rPr>
        <w:t>P9</w:t>
      </w:r>
      <w:r>
        <w:rPr>
          <w:sz w:val="21"/>
        </w:rPr>
        <w:t>停车场覆盖面积：</w:t>
      </w:r>
      <w:r>
        <w:rPr>
          <w:sz w:val="21"/>
        </w:rPr>
        <w:t>2</w:t>
      </w:r>
      <w:r>
        <w:rPr>
          <w:sz w:val="21"/>
        </w:rPr>
        <w:t>万平方米，照明服务：</w:t>
      </w:r>
      <w:r>
        <w:rPr>
          <w:sz w:val="21"/>
        </w:rPr>
        <w:t>21</w:t>
      </w:r>
      <w:r>
        <w:rPr>
          <w:sz w:val="21"/>
        </w:rPr>
        <w:t>套；</w:t>
      </w:r>
    </w:p>
    <w:p>
      <w:pPr>
        <w:pStyle w:val="null3"/>
        <w:ind w:firstLine="420"/>
        <w:jc w:val="both"/>
      </w:pPr>
      <w:r>
        <w:rPr>
          <w:sz w:val="21"/>
        </w:rPr>
        <w:t>③航天奇观</w:t>
      </w:r>
      <w:r>
        <w:rPr>
          <w:sz w:val="21"/>
        </w:rPr>
        <w:t>P10</w:t>
      </w:r>
      <w:r>
        <w:rPr>
          <w:sz w:val="21"/>
        </w:rPr>
        <w:t>停车场覆盖面积：</w:t>
      </w:r>
      <w:r>
        <w:rPr>
          <w:sz w:val="21"/>
        </w:rPr>
        <w:t>4</w:t>
      </w:r>
      <w:r>
        <w:rPr>
          <w:sz w:val="21"/>
        </w:rPr>
        <w:t>万平方米，照明服务：</w:t>
      </w:r>
      <w:r>
        <w:rPr>
          <w:sz w:val="21"/>
        </w:rPr>
        <w:t>23</w:t>
      </w:r>
      <w:r>
        <w:rPr>
          <w:sz w:val="21"/>
        </w:rPr>
        <w:t>套；</w:t>
      </w:r>
    </w:p>
    <w:p>
      <w:pPr>
        <w:pStyle w:val="null3"/>
        <w:ind w:firstLine="420"/>
        <w:jc w:val="both"/>
      </w:pPr>
      <w:r>
        <w:rPr>
          <w:sz w:val="21"/>
        </w:rPr>
        <w:t>④世界大观中地块</w:t>
      </w:r>
      <w:r>
        <w:rPr>
          <w:sz w:val="21"/>
        </w:rPr>
        <w:t>P11</w:t>
      </w:r>
      <w:r>
        <w:rPr>
          <w:sz w:val="21"/>
        </w:rPr>
        <w:t>停车场覆盖面积：</w:t>
      </w:r>
      <w:r>
        <w:rPr>
          <w:sz w:val="21"/>
        </w:rPr>
        <w:t>1.5</w:t>
      </w:r>
      <w:r>
        <w:rPr>
          <w:sz w:val="21"/>
        </w:rPr>
        <w:t>万平方米，照明服务：</w:t>
      </w:r>
      <w:r>
        <w:rPr>
          <w:sz w:val="21"/>
        </w:rPr>
        <w:t>17</w:t>
      </w:r>
      <w:r>
        <w:rPr>
          <w:sz w:val="21"/>
        </w:rPr>
        <w:t>套；</w:t>
      </w:r>
    </w:p>
    <w:p>
      <w:pPr>
        <w:pStyle w:val="null3"/>
        <w:ind w:firstLine="420"/>
        <w:jc w:val="both"/>
      </w:pPr>
      <w:r>
        <w:rPr>
          <w:sz w:val="21"/>
        </w:rPr>
        <w:t>⑤广氮花园东侧空地</w:t>
      </w:r>
      <w:r>
        <w:rPr>
          <w:sz w:val="21"/>
        </w:rPr>
        <w:t>P15</w:t>
      </w:r>
      <w:r>
        <w:rPr>
          <w:sz w:val="21"/>
        </w:rPr>
        <w:t>停车场覆盖面积：</w:t>
      </w:r>
      <w:r>
        <w:rPr>
          <w:sz w:val="21"/>
        </w:rPr>
        <w:t>2.4</w:t>
      </w:r>
      <w:r>
        <w:rPr>
          <w:sz w:val="21"/>
        </w:rPr>
        <w:t>万平方米，照明服务：</w:t>
      </w:r>
      <w:r>
        <w:rPr>
          <w:sz w:val="21"/>
        </w:rPr>
        <w:t>26</w:t>
      </w:r>
      <w:r>
        <w:rPr>
          <w:sz w:val="21"/>
        </w:rPr>
        <w:t>套；</w:t>
      </w:r>
    </w:p>
    <w:p>
      <w:pPr>
        <w:pStyle w:val="null3"/>
        <w:ind w:firstLine="420"/>
        <w:jc w:val="both"/>
      </w:pPr>
      <w:r>
        <w:rPr>
          <w:sz w:val="21"/>
        </w:rPr>
        <w:t>⑥奥体</w:t>
      </w:r>
      <w:r>
        <w:rPr>
          <w:sz w:val="21"/>
        </w:rPr>
        <w:t>5</w:t>
      </w:r>
      <w:r>
        <w:rPr>
          <w:sz w:val="21"/>
        </w:rPr>
        <w:t>号门北侧空地</w:t>
      </w:r>
      <w:r>
        <w:rPr>
          <w:sz w:val="21"/>
        </w:rPr>
        <w:t>P18</w:t>
      </w:r>
      <w:r>
        <w:rPr>
          <w:sz w:val="21"/>
        </w:rPr>
        <w:t>停车场覆盖面积：</w:t>
      </w:r>
      <w:r>
        <w:rPr>
          <w:sz w:val="21"/>
        </w:rPr>
        <w:t>1.04</w:t>
      </w:r>
      <w:r>
        <w:rPr>
          <w:sz w:val="21"/>
        </w:rPr>
        <w:t>万平方米，照明服务：</w:t>
      </w:r>
      <w:r>
        <w:rPr>
          <w:sz w:val="21"/>
        </w:rPr>
        <w:t>7</w:t>
      </w:r>
      <w:r>
        <w:rPr>
          <w:sz w:val="21"/>
        </w:rPr>
        <w:t>套。</w:t>
      </w:r>
    </w:p>
    <w:p>
      <w:pPr>
        <w:pStyle w:val="null3"/>
        <w:ind w:firstLine="420"/>
        <w:jc w:val="both"/>
      </w:pPr>
      <w:r>
        <w:rPr>
          <w:sz w:val="21"/>
        </w:rPr>
        <w:t>（</w:t>
      </w:r>
      <w:r>
        <w:rPr>
          <w:sz w:val="21"/>
        </w:rPr>
        <w:t>3</w:t>
      </w:r>
      <w:r>
        <w:rPr>
          <w:sz w:val="21"/>
        </w:rPr>
        <w:t>）综合辅助服务：</w:t>
      </w:r>
    </w:p>
    <w:p>
      <w:pPr>
        <w:pStyle w:val="null3"/>
        <w:ind w:firstLine="420"/>
        <w:jc w:val="both"/>
      </w:pPr>
      <w:r>
        <w:rPr>
          <w:sz w:val="21"/>
        </w:rPr>
        <w:t>①</w:t>
      </w:r>
      <w:r>
        <w:rPr>
          <w:sz w:val="21"/>
        </w:rPr>
        <w:t>P6</w:t>
      </w:r>
      <w:r>
        <w:rPr>
          <w:sz w:val="21"/>
        </w:rPr>
        <w:t>和</w:t>
      </w:r>
      <w:r>
        <w:rPr>
          <w:sz w:val="21"/>
        </w:rPr>
        <w:t>P7</w:t>
      </w:r>
      <w:r>
        <w:rPr>
          <w:sz w:val="21"/>
        </w:rPr>
        <w:t>南广场停车场覆盖面积：</w:t>
      </w:r>
      <w:r>
        <w:rPr>
          <w:sz w:val="21"/>
        </w:rPr>
        <w:t>12.7</w:t>
      </w:r>
      <w:r>
        <w:rPr>
          <w:sz w:val="21"/>
        </w:rPr>
        <w:t>万平方米；</w:t>
      </w:r>
    </w:p>
    <w:p>
      <w:pPr>
        <w:pStyle w:val="null3"/>
        <w:ind w:firstLine="420"/>
        <w:jc w:val="both"/>
      </w:pPr>
      <w:r>
        <w:rPr>
          <w:sz w:val="21"/>
        </w:rPr>
        <w:t>②思源学校地块</w:t>
      </w:r>
      <w:r>
        <w:rPr>
          <w:sz w:val="21"/>
        </w:rPr>
        <w:t>P8</w:t>
      </w:r>
      <w:r>
        <w:rPr>
          <w:sz w:val="21"/>
        </w:rPr>
        <w:t>停车场覆盖面积：</w:t>
      </w:r>
      <w:r>
        <w:rPr>
          <w:sz w:val="21"/>
        </w:rPr>
        <w:t>1.8</w:t>
      </w:r>
      <w:r>
        <w:rPr>
          <w:sz w:val="21"/>
        </w:rPr>
        <w:t>万平方米；</w:t>
      </w:r>
    </w:p>
    <w:p>
      <w:pPr>
        <w:pStyle w:val="null3"/>
        <w:ind w:firstLine="420"/>
        <w:jc w:val="both"/>
      </w:pPr>
      <w:r>
        <w:rPr>
          <w:sz w:val="21"/>
        </w:rPr>
        <w:t>③世界大观北地块</w:t>
      </w:r>
      <w:r>
        <w:rPr>
          <w:sz w:val="21"/>
        </w:rPr>
        <w:t>P9</w:t>
      </w:r>
      <w:r>
        <w:rPr>
          <w:sz w:val="21"/>
        </w:rPr>
        <w:t>停车场覆盖面积：</w:t>
      </w:r>
      <w:r>
        <w:rPr>
          <w:sz w:val="21"/>
        </w:rPr>
        <w:t>2</w:t>
      </w:r>
      <w:r>
        <w:rPr>
          <w:sz w:val="21"/>
        </w:rPr>
        <w:t>万平方米；</w:t>
      </w:r>
    </w:p>
    <w:p>
      <w:pPr>
        <w:pStyle w:val="null3"/>
        <w:ind w:firstLine="420"/>
        <w:jc w:val="both"/>
      </w:pPr>
      <w:r>
        <w:rPr>
          <w:sz w:val="21"/>
        </w:rPr>
        <w:t>④航天奇观</w:t>
      </w:r>
      <w:r>
        <w:rPr>
          <w:sz w:val="21"/>
        </w:rPr>
        <w:t>P10</w:t>
      </w:r>
      <w:r>
        <w:rPr>
          <w:sz w:val="21"/>
        </w:rPr>
        <w:t>停车场覆盖面积：</w:t>
      </w:r>
      <w:r>
        <w:rPr>
          <w:sz w:val="21"/>
        </w:rPr>
        <w:t>4</w:t>
      </w:r>
      <w:r>
        <w:rPr>
          <w:sz w:val="21"/>
        </w:rPr>
        <w:t>万平方米；</w:t>
      </w:r>
    </w:p>
    <w:p>
      <w:pPr>
        <w:pStyle w:val="null3"/>
        <w:ind w:firstLine="420"/>
        <w:jc w:val="both"/>
      </w:pPr>
      <w:r>
        <w:rPr>
          <w:sz w:val="21"/>
        </w:rPr>
        <w:t>⑤世界大观中地块</w:t>
      </w:r>
      <w:r>
        <w:rPr>
          <w:sz w:val="21"/>
        </w:rPr>
        <w:t>P11</w:t>
      </w:r>
      <w:r>
        <w:rPr>
          <w:sz w:val="21"/>
        </w:rPr>
        <w:t>停车场覆盖面积：</w:t>
      </w:r>
      <w:r>
        <w:rPr>
          <w:sz w:val="21"/>
        </w:rPr>
        <w:t>1.5</w:t>
      </w:r>
      <w:r>
        <w:rPr>
          <w:sz w:val="21"/>
        </w:rPr>
        <w:t>万平方米；</w:t>
      </w:r>
    </w:p>
    <w:p>
      <w:pPr>
        <w:pStyle w:val="null3"/>
        <w:ind w:firstLine="420"/>
        <w:jc w:val="both"/>
      </w:pPr>
      <w:r>
        <w:rPr>
          <w:sz w:val="21"/>
        </w:rPr>
        <w:t>⑥优托邦公交场站</w:t>
      </w:r>
      <w:r>
        <w:rPr>
          <w:sz w:val="21"/>
        </w:rPr>
        <w:t>P12</w:t>
      </w:r>
      <w:r>
        <w:rPr>
          <w:sz w:val="21"/>
        </w:rPr>
        <w:t>停车场覆盖面积：</w:t>
      </w:r>
      <w:r>
        <w:rPr>
          <w:sz w:val="21"/>
        </w:rPr>
        <w:t>0.8</w:t>
      </w:r>
      <w:r>
        <w:rPr>
          <w:sz w:val="21"/>
        </w:rPr>
        <w:t>万平方米；</w:t>
      </w:r>
    </w:p>
    <w:p>
      <w:pPr>
        <w:pStyle w:val="null3"/>
        <w:ind w:firstLine="420"/>
        <w:jc w:val="both"/>
      </w:pPr>
      <w:r>
        <w:rPr>
          <w:sz w:val="21"/>
        </w:rPr>
        <w:t>⑦优托邦花花世界分公司</w:t>
      </w:r>
      <w:r>
        <w:rPr>
          <w:sz w:val="21"/>
        </w:rPr>
        <w:t>P13</w:t>
      </w:r>
      <w:r>
        <w:rPr>
          <w:sz w:val="21"/>
        </w:rPr>
        <w:t>停车场（北侧）覆盖面积：</w:t>
      </w:r>
      <w:r>
        <w:rPr>
          <w:sz w:val="21"/>
        </w:rPr>
        <w:t>2.5</w:t>
      </w:r>
      <w:r>
        <w:rPr>
          <w:sz w:val="21"/>
        </w:rPr>
        <w:t>万平方米；</w:t>
      </w:r>
    </w:p>
    <w:p>
      <w:pPr>
        <w:pStyle w:val="null3"/>
        <w:ind w:firstLine="420"/>
        <w:jc w:val="both"/>
      </w:pPr>
      <w:r>
        <w:rPr>
          <w:sz w:val="21"/>
        </w:rPr>
        <w:t>⑧优托邦花花世界分公司</w:t>
      </w:r>
      <w:r>
        <w:rPr>
          <w:sz w:val="21"/>
        </w:rPr>
        <w:t>P13</w:t>
      </w:r>
      <w:r>
        <w:rPr>
          <w:sz w:val="21"/>
        </w:rPr>
        <w:t>停车场（南侧）覆盖面积：</w:t>
      </w:r>
      <w:r>
        <w:rPr>
          <w:sz w:val="21"/>
        </w:rPr>
        <w:t>1.9</w:t>
      </w:r>
      <w:r>
        <w:rPr>
          <w:sz w:val="21"/>
        </w:rPr>
        <w:t>万平方米；</w:t>
      </w:r>
    </w:p>
    <w:p>
      <w:pPr>
        <w:pStyle w:val="null3"/>
        <w:ind w:firstLine="420"/>
        <w:jc w:val="both"/>
      </w:pPr>
      <w:r>
        <w:rPr>
          <w:sz w:val="21"/>
        </w:rPr>
        <w:t>⑨优托邦花花世界分公司</w:t>
      </w:r>
      <w:r>
        <w:rPr>
          <w:sz w:val="21"/>
        </w:rPr>
        <w:t>P13</w:t>
      </w:r>
      <w:r>
        <w:rPr>
          <w:sz w:val="21"/>
        </w:rPr>
        <w:t>停车场（东侧）覆盖面积：</w:t>
      </w:r>
      <w:r>
        <w:rPr>
          <w:sz w:val="21"/>
        </w:rPr>
        <w:t>2.1</w:t>
      </w:r>
      <w:r>
        <w:rPr>
          <w:sz w:val="21"/>
        </w:rPr>
        <w:t>万平方米；</w:t>
      </w:r>
    </w:p>
    <w:p>
      <w:pPr>
        <w:pStyle w:val="null3"/>
        <w:ind w:firstLine="420"/>
        <w:jc w:val="both"/>
      </w:pPr>
      <w:r>
        <w:rPr>
          <w:sz w:val="21"/>
        </w:rPr>
        <w:t>⑩黄村公园中科新能源</w:t>
      </w:r>
      <w:r>
        <w:rPr>
          <w:sz w:val="21"/>
        </w:rPr>
        <w:t>P14</w:t>
      </w:r>
      <w:r>
        <w:rPr>
          <w:sz w:val="21"/>
        </w:rPr>
        <w:t>停车场覆盖面积：</w:t>
      </w:r>
      <w:r>
        <w:rPr>
          <w:sz w:val="21"/>
        </w:rPr>
        <w:t>1.5</w:t>
      </w:r>
      <w:r>
        <w:rPr>
          <w:sz w:val="21"/>
        </w:rPr>
        <w:t>万平方米；</w:t>
      </w:r>
    </w:p>
    <w:p>
      <w:pPr>
        <w:pStyle w:val="null3"/>
        <w:ind w:firstLine="420"/>
        <w:jc w:val="both"/>
      </w:pPr>
      <w:r>
        <w:rPr>
          <w:sz w:val="21"/>
        </w:rPr>
        <w:t>⑪广氮花园东侧空地</w:t>
      </w:r>
      <w:r>
        <w:rPr>
          <w:sz w:val="21"/>
        </w:rPr>
        <w:t>P15</w:t>
      </w:r>
      <w:r>
        <w:rPr>
          <w:sz w:val="21"/>
        </w:rPr>
        <w:t>停车场覆盖面积：</w:t>
      </w:r>
      <w:r>
        <w:rPr>
          <w:sz w:val="21"/>
        </w:rPr>
        <w:t>2.4</w:t>
      </w:r>
      <w:r>
        <w:rPr>
          <w:sz w:val="21"/>
        </w:rPr>
        <w:t>万平方米；</w:t>
      </w:r>
    </w:p>
    <w:p>
      <w:pPr>
        <w:pStyle w:val="null3"/>
        <w:ind w:firstLine="420"/>
        <w:jc w:val="both"/>
      </w:pPr>
      <w:r>
        <w:rPr>
          <w:sz w:val="21"/>
        </w:rPr>
        <w:t>⑫美林天地</w:t>
      </w:r>
      <w:r>
        <w:rPr>
          <w:sz w:val="21"/>
        </w:rPr>
        <w:t>P16</w:t>
      </w:r>
      <w:r>
        <w:rPr>
          <w:sz w:val="21"/>
        </w:rPr>
        <w:t>停车场覆盖面积：</w:t>
      </w:r>
      <w:r>
        <w:rPr>
          <w:sz w:val="21"/>
        </w:rPr>
        <w:t>1.2</w:t>
      </w:r>
      <w:r>
        <w:rPr>
          <w:sz w:val="21"/>
        </w:rPr>
        <w:t>万平方米；</w:t>
      </w:r>
    </w:p>
    <w:p>
      <w:pPr>
        <w:pStyle w:val="null3"/>
        <w:ind w:firstLine="420"/>
        <w:jc w:val="both"/>
      </w:pPr>
      <w:r>
        <w:rPr>
          <w:sz w:val="21"/>
        </w:rPr>
        <w:t>⑬奥体</w:t>
      </w:r>
      <w:r>
        <w:rPr>
          <w:sz w:val="21"/>
        </w:rPr>
        <w:t>5</w:t>
      </w:r>
      <w:r>
        <w:rPr>
          <w:sz w:val="21"/>
        </w:rPr>
        <w:t>号门北侧空地</w:t>
      </w:r>
      <w:r>
        <w:rPr>
          <w:sz w:val="21"/>
        </w:rPr>
        <w:t>P18</w:t>
      </w:r>
      <w:r>
        <w:rPr>
          <w:sz w:val="21"/>
        </w:rPr>
        <w:t>停车场覆盖面积：</w:t>
      </w:r>
      <w:r>
        <w:rPr>
          <w:sz w:val="21"/>
        </w:rPr>
        <w:t>1.04</w:t>
      </w:r>
      <w:r>
        <w:rPr>
          <w:sz w:val="21"/>
        </w:rPr>
        <w:t>万平方米。</w:t>
      </w:r>
    </w:p>
    <w:p>
      <w:pPr>
        <w:pStyle w:val="null3"/>
        <w:ind w:firstLine="424"/>
        <w:jc w:val="both"/>
      </w:pPr>
      <w:r>
        <w:rPr>
          <w:sz w:val="21"/>
        </w:rPr>
        <w:t>2.</w:t>
      </w:r>
      <w:r>
        <w:rPr>
          <w:sz w:val="21"/>
        </w:rPr>
        <w:t>技术参数</w:t>
      </w:r>
    </w:p>
    <w:p>
      <w:pPr>
        <w:pStyle w:val="null3"/>
        <w:jc w:val="both"/>
      </w:pPr>
      <w:r>
        <w:rPr>
          <w:sz w:val="21"/>
        </w:rPr>
        <w:t>（</w:t>
      </w:r>
      <w:r>
        <w:rPr>
          <w:sz w:val="21"/>
        </w:rPr>
        <w:t>1</w:t>
      </w:r>
      <w:r>
        <w:rPr>
          <w:sz w:val="21"/>
        </w:rPr>
        <w:t>）智能安防监控服务：</w:t>
      </w:r>
    </w:p>
    <w:tbl>
      <w:tblPr>
        <w:tblW w:w="0" w:type="auto"/>
        <w:tblBorders>
          <w:top w:val="none" w:color="000000" w:sz="4"/>
          <w:left w:val="none" w:color="000000" w:sz="4"/>
          <w:bottom w:val="none" w:color="000000" w:sz="4"/>
          <w:right w:val="none" w:color="000000" w:sz="4"/>
          <w:insideH w:val="none"/>
          <w:insideV w:val="none"/>
        </w:tblBorders>
      </w:tblPr>
      <w:tblGrid>
        <w:gridCol w:w="1202"/>
        <w:gridCol w:w="2181"/>
        <w:gridCol w:w="4914"/>
      </w:tblGrid>
      <w:tr>
        <w:tc>
          <w:tcPr>
            <w:tcW w:type="dxa" w:w="12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218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名称</w:t>
            </w:r>
          </w:p>
        </w:tc>
        <w:tc>
          <w:tcPr>
            <w:tcW w:type="dxa" w:w="491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技术参数</w:t>
            </w:r>
          </w:p>
        </w:tc>
      </w:tr>
      <w:tr>
        <w:tc>
          <w:tcPr>
            <w:tcW w:type="dxa" w:w="12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both"/>
            </w:pPr>
            <w:r>
              <w:rPr>
                <w:sz w:val="21"/>
              </w:rPr>
              <w:t>1</w:t>
            </w:r>
          </w:p>
        </w:tc>
        <w:tc>
          <w:tcPr>
            <w:tcW w:type="dxa" w:w="2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路由器</w:t>
            </w:r>
          </w:p>
        </w:tc>
        <w:tc>
          <w:tcPr>
            <w:tcW w:type="dxa" w:w="49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r>
      <w:tr>
        <w:tc>
          <w:tcPr>
            <w:tcW w:type="dxa" w:w="12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2</w:t>
            </w:r>
          </w:p>
        </w:tc>
        <w:tc>
          <w:tcPr>
            <w:tcW w:type="dxa" w:w="2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汇聚交换机</w:t>
            </w:r>
          </w:p>
        </w:tc>
        <w:tc>
          <w:tcPr>
            <w:tcW w:type="dxa" w:w="49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r>
      <w:tr>
        <w:tc>
          <w:tcPr>
            <w:tcW w:type="dxa" w:w="12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3</w:t>
            </w:r>
          </w:p>
        </w:tc>
        <w:tc>
          <w:tcPr>
            <w:tcW w:type="dxa" w:w="2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防火墙</w:t>
            </w:r>
          </w:p>
        </w:tc>
        <w:tc>
          <w:tcPr>
            <w:tcW w:type="dxa" w:w="49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r>
      <w:tr>
        <w:tc>
          <w:tcPr>
            <w:tcW w:type="dxa" w:w="12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4</w:t>
            </w:r>
          </w:p>
        </w:tc>
        <w:tc>
          <w:tcPr>
            <w:tcW w:type="dxa" w:w="2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智能摄像机</w:t>
            </w:r>
          </w:p>
        </w:tc>
        <w:tc>
          <w:tcPr>
            <w:tcW w:type="dxa" w:w="49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r>
      <w:tr>
        <w:tc>
          <w:tcPr>
            <w:tcW w:type="dxa" w:w="12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5</w:t>
            </w:r>
          </w:p>
        </w:tc>
        <w:tc>
          <w:tcPr>
            <w:tcW w:type="dxa" w:w="2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综合管理平台</w:t>
            </w:r>
          </w:p>
        </w:tc>
        <w:tc>
          <w:tcPr>
            <w:tcW w:type="dxa" w:w="49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r>
    </w:tbl>
    <w:p>
      <w:pPr>
        <w:pStyle w:val="null3"/>
        <w:jc w:val="both"/>
      </w:pPr>
      <w:r>
        <w:rPr>
          <w:sz w:val="21"/>
        </w:rPr>
        <w:t>（</w:t>
      </w:r>
      <w:r>
        <w:rPr>
          <w:sz w:val="21"/>
        </w:rPr>
        <w:t>2</w:t>
      </w:r>
      <w:r>
        <w:rPr>
          <w:sz w:val="21"/>
        </w:rPr>
        <w:t>）太阳能杆智能照明服务：</w:t>
      </w:r>
    </w:p>
    <w:tbl>
      <w:tblPr>
        <w:tblW w:w="0" w:type="auto"/>
        <w:tblBorders>
          <w:top w:val="none" w:color="000000" w:sz="4"/>
          <w:left w:val="none" w:color="000000" w:sz="4"/>
          <w:bottom w:val="none" w:color="000000" w:sz="4"/>
          <w:right w:val="none" w:color="000000" w:sz="4"/>
          <w:insideH w:val="none"/>
          <w:insideV w:val="none"/>
        </w:tblBorders>
      </w:tblPr>
      <w:tblGrid>
        <w:gridCol w:w="1202"/>
        <w:gridCol w:w="2181"/>
        <w:gridCol w:w="4914"/>
      </w:tblGrid>
      <w:tr>
        <w:tc>
          <w:tcPr>
            <w:tcW w:type="dxa" w:w="12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218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名称</w:t>
            </w:r>
          </w:p>
        </w:tc>
        <w:tc>
          <w:tcPr>
            <w:tcW w:type="dxa" w:w="491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技术参数</w:t>
            </w:r>
          </w:p>
        </w:tc>
      </w:tr>
      <w:tr>
        <w:tc>
          <w:tcPr>
            <w:tcW w:type="dxa" w:w="120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both"/>
            </w:pPr>
            <w:r>
              <w:rPr>
                <w:sz w:val="21"/>
              </w:rPr>
              <w:t>1</w:t>
            </w:r>
          </w:p>
        </w:tc>
        <w:tc>
          <w:tcPr>
            <w:tcW w:type="dxa" w:w="21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智能照明太阳能杆</w:t>
            </w:r>
          </w:p>
        </w:tc>
        <w:tc>
          <w:tcPr>
            <w:tcW w:type="dxa" w:w="49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r>
    </w:tbl>
    <w:p>
      <w:pPr>
        <w:pStyle w:val="null3"/>
        <w:jc w:val="both"/>
      </w:pPr>
      <w:r>
        <w:rPr>
          <w:sz w:val="21"/>
        </w:rPr>
        <w:t>（</w:t>
      </w:r>
      <w:r>
        <w:rPr>
          <w:sz w:val="21"/>
        </w:rPr>
        <w:t>3</w:t>
      </w:r>
      <w:r>
        <w:rPr>
          <w:sz w:val="21"/>
        </w:rPr>
        <w:t>）综合辅助服务：</w:t>
      </w:r>
    </w:p>
    <w:tbl>
      <w:tblPr>
        <w:tblW w:w="0" w:type="auto"/>
        <w:tblBorders>
          <w:top w:val="none" w:color="000000" w:sz="4"/>
          <w:left w:val="none" w:color="000000" w:sz="4"/>
          <w:bottom w:val="none" w:color="000000" w:sz="4"/>
          <w:right w:val="none" w:color="000000" w:sz="4"/>
          <w:insideH w:val="none"/>
          <w:insideV w:val="none"/>
        </w:tblBorders>
      </w:tblPr>
      <w:tblGrid>
        <w:gridCol w:w="752"/>
        <w:gridCol w:w="1370"/>
        <w:gridCol w:w="3089"/>
        <w:gridCol w:w="3089"/>
      </w:tblGrid>
      <w:tr>
        <w:tc>
          <w:tcPr>
            <w:tcW w:type="dxa" w:w="75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137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名称</w:t>
            </w:r>
          </w:p>
        </w:tc>
        <w:tc>
          <w:tcPr>
            <w:tcW w:type="dxa" w:w="308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技术参数</w:t>
            </w:r>
            <w:r>
              <w:rPr>
                <w:sz w:val="21"/>
              </w:rPr>
              <w:t>/</w:t>
            </w:r>
            <w:r>
              <w:rPr>
                <w:sz w:val="21"/>
              </w:rPr>
              <w:t>服务内容</w:t>
            </w:r>
          </w:p>
        </w:tc>
        <w:tc>
          <w:tcPr>
            <w:tcW w:type="dxa" w:w="308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标志牌</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P8:10块、P9:10块、P10:10块、P11:10块、P12:6块、P13:44块、P14:10块、P15:12块、P16:10块、P18:5块</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灭火器</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P8:180个、P9:200个、P10:100个、P11:150个、P15:240个、P18:60个</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防滑地垫</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P8:500米、P9:600米、P10:1000米、P11:1000米、P12:600米、P13:3500米、P14:1000米、P15:1000米、P16:500米、P18:300米</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警示带</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P12:5千米、P13:30千米、P14:10千米、P16:10千米</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场地改造</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P16:550套</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场地改造</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P16:550套</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停车场管理人员</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标线</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P8:18000平方米、P9:20000平方米、P10:40000平方米、P11:15000平方米、P15:24000平方米、P18:10000平方米</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标线</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P13:10000米、P14:3500米、P16:4500米</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岗亭（服务）</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P8、P9、P10、P11、P15、P18各1座</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移动式厕所（服务）</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P8、P9、P10、P11、P15、P18各6间</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停车场休息室（服务）</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P6、P7、P8、P9、P10、P11、P12、P13、P14、P15、P16、P18,其中P13有3间，其余各1间</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手持识别一体机</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P6~P12和P15、P18共9处停车场，共计36个车道。</w:t>
            </w: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云平台服务</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停车场车辆识别管理人员</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75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1"/>
              </w:rPr>
              <w:t>围挡（服务）</w:t>
            </w: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24"/>
              <w:jc w:val="center"/>
            </w:pPr>
          </w:p>
        </w:tc>
        <w:tc>
          <w:tcPr>
            <w:tcW w:type="dxa" w:w="30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bl>
    <w:p>
      <w:pPr>
        <w:pStyle w:val="null3"/>
        <w:jc w:val="both"/>
      </w:pPr>
      <w:r>
        <w:rPr>
          <w:sz w:val="21"/>
        </w:rPr>
        <w:t>3.</w:t>
      </w:r>
      <w:r>
        <w:rPr>
          <w:sz w:val="21"/>
        </w:rPr>
        <w:t>工期要求</w:t>
      </w:r>
    </w:p>
    <w:p>
      <w:pPr>
        <w:pStyle w:val="null3"/>
        <w:ind w:firstLine="424"/>
        <w:jc w:val="both"/>
      </w:pPr>
      <w:r>
        <w:rPr>
          <w:sz w:val="21"/>
        </w:rPr>
        <w:t>所有设备设施需在合同签订之日起</w:t>
      </w:r>
      <w:r>
        <w:rPr>
          <w:sz w:val="21"/>
        </w:rPr>
        <w:t>3</w:t>
      </w:r>
      <w:r>
        <w:rPr>
          <w:sz w:val="21"/>
        </w:rPr>
        <w:t>0</w:t>
      </w:r>
      <w:r>
        <w:rPr>
          <w:sz w:val="21"/>
        </w:rPr>
        <w:t>天内完成配置及安装调试，并通过</w:t>
      </w:r>
      <w:r>
        <w:rPr>
          <w:sz w:val="21"/>
        </w:rPr>
        <w:t>甲方</w:t>
      </w:r>
      <w:r>
        <w:rPr>
          <w:sz w:val="21"/>
        </w:rPr>
        <w:t>初步验收合格。</w:t>
      </w:r>
    </w:p>
    <w:p>
      <w:pPr>
        <w:pStyle w:val="null3"/>
        <w:ind w:firstLine="424"/>
        <w:jc w:val="both"/>
      </w:pPr>
      <w:r>
        <w:rPr>
          <w:sz w:val="21"/>
        </w:rPr>
        <w:t>（三）服务人员要求</w:t>
      </w:r>
    </w:p>
    <w:p>
      <w:pPr>
        <w:pStyle w:val="null3"/>
        <w:ind w:firstLine="424"/>
        <w:jc w:val="both"/>
      </w:pPr>
      <w:r>
        <w:rPr>
          <w:sz w:val="21"/>
        </w:rPr>
        <w:t xml:space="preserve">1. </w:t>
      </w:r>
      <w:r>
        <w:rPr>
          <w:sz w:val="21"/>
        </w:rPr>
        <w:t>服务团队：拟派项目负责人（</w:t>
      </w:r>
      <w:r>
        <w:rPr>
          <w:sz w:val="21"/>
        </w:rPr>
        <w:t>1</w:t>
      </w:r>
      <w:r>
        <w:rPr>
          <w:sz w:val="21"/>
        </w:rPr>
        <w:t>名），需</w:t>
      </w:r>
      <w:r>
        <w:rPr>
          <w:sz w:val="21"/>
        </w:rPr>
        <w:t>具有本科及以上学历，</w:t>
      </w:r>
      <w:r>
        <w:rPr>
          <w:sz w:val="21"/>
        </w:rPr>
        <w:t>具有信息系统管理工程师或信息系统项目管理师；其他服务人员（项目负责人除外）需具有通信类或网络类中级或以上工程师。乙方需为太阳能杆智能照明设备安装配备充足的电工等作业人员，保证设备安装调试按期完成。在工作过程中，作业人员应持证上岗。未经甲方书面同意，乙方不得随意更换项目负责人。</w:t>
      </w:r>
    </w:p>
    <w:p>
      <w:pPr>
        <w:pStyle w:val="null3"/>
        <w:jc w:val="both"/>
      </w:pPr>
      <w:r>
        <w:rPr>
          <w:sz w:val="21"/>
          <w:b/>
        </w:rPr>
        <w:t>五</w:t>
      </w:r>
      <w:r>
        <w:rPr>
          <w:sz w:val="21"/>
          <w:b/>
        </w:rPr>
        <w:t>、验收</w:t>
      </w:r>
      <w:r>
        <w:rPr>
          <w:sz w:val="21"/>
          <w:b/>
        </w:rPr>
        <w:t>要求</w:t>
      </w:r>
      <w:r>
        <w:rPr>
          <w:sz w:val="21"/>
          <w:b/>
        </w:rPr>
        <w:t>：</w:t>
      </w:r>
    </w:p>
    <w:p>
      <w:pPr>
        <w:pStyle w:val="null3"/>
        <w:ind w:firstLine="424"/>
        <w:jc w:val="both"/>
      </w:pPr>
      <w:r>
        <w:rPr>
          <w:sz w:val="21"/>
        </w:rPr>
        <w:t>1</w:t>
      </w:r>
      <w:r>
        <w:rPr>
          <w:sz w:val="21"/>
        </w:rPr>
        <w:t>期（初步验收）：乙方完成所提供服务内容的设备安装调试完成后向甲方提出书面验收申请，甲方无异议的，</w:t>
      </w:r>
      <w:r>
        <w:rPr>
          <w:sz w:val="21"/>
        </w:rPr>
        <w:t>7</w:t>
      </w:r>
      <w:r>
        <w:rPr>
          <w:sz w:val="21"/>
        </w:rPr>
        <w:t>日内组织验收，（</w:t>
      </w:r>
      <w:r>
        <w:rPr>
          <w:sz w:val="21"/>
        </w:rPr>
        <w:t>1</w:t>
      </w:r>
      <w:r>
        <w:rPr>
          <w:sz w:val="21"/>
        </w:rPr>
        <w:t>）智能安防监控服务：甲方按服务内容交付情况、前端点位数量、监控图像呈现质量、设备参数指标等进行初步验收；（</w:t>
      </w:r>
      <w:r>
        <w:rPr>
          <w:sz w:val="21"/>
        </w:rPr>
        <w:t>2</w:t>
      </w:r>
      <w:r>
        <w:rPr>
          <w:sz w:val="21"/>
        </w:rPr>
        <w:t>）太阳能杆智能照明服务：重点对智能照明太阳能杆的安装稳固性、各部件连接情况、照明及太阳能功能的调试效果进行初步验收；（</w:t>
      </w:r>
      <w:r>
        <w:rPr>
          <w:sz w:val="21"/>
        </w:rPr>
        <w:t>3</w:t>
      </w:r>
      <w:r>
        <w:rPr>
          <w:sz w:val="21"/>
        </w:rPr>
        <w:t>）综合辅助服务：重点对各类辅助设施的安装规范性、位置合理性、功能完整性及调试效果进行初步检验；</w:t>
      </w:r>
    </w:p>
    <w:p>
      <w:pPr>
        <w:pStyle w:val="null3"/>
        <w:ind w:firstLine="424"/>
        <w:jc w:val="both"/>
      </w:pPr>
      <w:r>
        <w:rPr>
          <w:sz w:val="21"/>
        </w:rPr>
        <w:t>2</w:t>
      </w:r>
      <w:r>
        <w:rPr>
          <w:sz w:val="21"/>
        </w:rPr>
        <w:t>期（最终验收）：在服务期结束后向甲方提出书面最终验收申请，甲方无异议的，</w:t>
      </w:r>
      <w:r>
        <w:rPr>
          <w:sz w:val="21"/>
        </w:rPr>
        <w:t>7</w:t>
      </w:r>
      <w:r>
        <w:rPr>
          <w:sz w:val="21"/>
        </w:rPr>
        <w:t>日内组织验收，（</w:t>
      </w:r>
      <w:r>
        <w:rPr>
          <w:sz w:val="21"/>
        </w:rPr>
        <w:t>1</w:t>
      </w:r>
      <w:r>
        <w:rPr>
          <w:sz w:val="21"/>
        </w:rPr>
        <w:t>）智能安防监控服务：全面针对视频监控设备的整体运行状况及服务期内的服务质量等进行最终验收；（</w:t>
      </w:r>
      <w:r>
        <w:rPr>
          <w:sz w:val="21"/>
        </w:rPr>
        <w:t>2</w:t>
      </w:r>
      <w:r>
        <w:rPr>
          <w:sz w:val="21"/>
        </w:rPr>
        <w:t>）太阳能杆智能照明服务：全面针对智能照明太阳能杆的整体运行稳定性、太阳能转化效率、照明效果持久性及服务期内的维护服务质量等进行最终验收；（</w:t>
      </w:r>
      <w:r>
        <w:rPr>
          <w:sz w:val="21"/>
        </w:rPr>
        <w:t>3</w:t>
      </w:r>
      <w:r>
        <w:rPr>
          <w:sz w:val="21"/>
        </w:rPr>
        <w:t>）综合辅助服务：全面针对辅助设施内容的整体运行稳定性、损耗维护情况、功能持续有效性及服务期内的管理服务质量等进行最终验收；</w:t>
      </w:r>
    </w:p>
    <w:p>
      <w:pPr>
        <w:pStyle w:val="null3"/>
        <w:ind w:firstLine="424"/>
        <w:jc w:val="both"/>
      </w:pPr>
      <w:r>
        <w:rPr>
          <w:sz w:val="21"/>
        </w:rPr>
        <w:t>验收标准按国家或地方有关规定和行业规范进行验收。</w:t>
      </w:r>
    </w:p>
    <w:p>
      <w:pPr>
        <w:pStyle w:val="null3"/>
        <w:jc w:val="both"/>
      </w:pPr>
      <w:r>
        <w:rPr>
          <w:sz w:val="21"/>
          <w:b/>
        </w:rPr>
        <w:t>六</w:t>
      </w:r>
      <w:r>
        <w:rPr>
          <w:sz w:val="21"/>
          <w:b/>
        </w:rPr>
        <w:t>、乙方要求</w:t>
      </w:r>
    </w:p>
    <w:p>
      <w:pPr>
        <w:pStyle w:val="null3"/>
        <w:ind w:firstLine="420"/>
        <w:jc w:val="both"/>
      </w:pPr>
      <w:r>
        <w:rPr>
          <w:sz w:val="21"/>
        </w:rPr>
        <w:t>1.在服务期内，乙方需为本</w:t>
      </w:r>
      <w:r>
        <w:rPr>
          <w:sz w:val="21"/>
        </w:rPr>
        <w:t>项目</w:t>
      </w:r>
      <w:r>
        <w:rPr>
          <w:sz w:val="21"/>
        </w:rPr>
        <w:t>提供</w:t>
      </w:r>
      <w:r>
        <w:rPr>
          <w:sz w:val="21"/>
        </w:rPr>
        <w:t>7*24小时的热线服务。在接到甲方故障通知后，乙方需在</w:t>
      </w:r>
      <w:r>
        <w:rPr>
          <w:sz w:val="21"/>
        </w:rPr>
        <w:t>1</w:t>
      </w:r>
      <w:r>
        <w:rPr>
          <w:sz w:val="21"/>
        </w:rPr>
        <w:t>0分钟内响应，</w:t>
      </w:r>
      <w:r>
        <w:rPr>
          <w:sz w:val="21"/>
        </w:rPr>
        <w:t>60分钟</w:t>
      </w:r>
      <w:r>
        <w:rPr>
          <w:sz w:val="21"/>
        </w:rPr>
        <w:t>内到达现场，并在</w:t>
      </w:r>
      <w:r>
        <w:rPr>
          <w:sz w:val="21"/>
        </w:rPr>
        <w:t>2</w:t>
      </w:r>
      <w:r>
        <w:rPr>
          <w:sz w:val="21"/>
        </w:rPr>
        <w:t>个小时内修复故障</w:t>
      </w:r>
      <w:r>
        <w:rPr>
          <w:sz w:val="21"/>
        </w:rPr>
        <w:t>，开幕式当天安排</w:t>
      </w:r>
      <w:r>
        <w:rPr>
          <w:sz w:val="21"/>
        </w:rPr>
        <w:t>5人值守</w:t>
      </w:r>
      <w:r>
        <w:rPr>
          <w:sz w:val="21"/>
        </w:rPr>
        <w:t>。如遇无法修复的，应及时提供同等产品或同等质量备用设备供甲方使用。乙方迟延响应的，甲方有权另行委托其他第三方提供修复服务，相关费用由乙方承担。</w:t>
      </w:r>
    </w:p>
    <w:p>
      <w:pPr>
        <w:pStyle w:val="null3"/>
        <w:ind w:firstLine="420"/>
        <w:jc w:val="both"/>
      </w:pPr>
      <w:r>
        <w:rPr>
          <w:sz w:val="21"/>
        </w:rPr>
        <w:t>2.备品备件要求：为保障本</w:t>
      </w:r>
      <w:r>
        <w:rPr>
          <w:sz w:val="21"/>
        </w:rPr>
        <w:t>项目</w:t>
      </w:r>
      <w:r>
        <w:rPr>
          <w:sz w:val="21"/>
        </w:rPr>
        <w:t>运行稳定，乙方需具有充足的且同等质量的备品备件。</w:t>
      </w:r>
    </w:p>
    <w:p>
      <w:pPr>
        <w:pStyle w:val="null3"/>
        <w:ind w:firstLine="420"/>
        <w:jc w:val="both"/>
      </w:pPr>
      <w:r>
        <w:rPr>
          <w:sz w:val="21"/>
        </w:rPr>
        <w:t>3.乙方提供的相关产品，必须来源合法，质量合格。</w:t>
      </w:r>
    </w:p>
    <w:p>
      <w:pPr>
        <w:pStyle w:val="null3"/>
        <w:ind w:firstLine="420"/>
        <w:jc w:val="both"/>
      </w:pPr>
      <w:r>
        <w:rPr>
          <w:sz w:val="21"/>
        </w:rPr>
        <w:t>4.乙方须保存租赁期间的所有监控录像，于租赁期间，甲方可调取的所有监控录像。</w:t>
      </w:r>
    </w:p>
    <w:p>
      <w:pPr>
        <w:pStyle w:val="null3"/>
        <w:ind w:firstLine="420"/>
        <w:jc w:val="both"/>
      </w:pPr>
      <w:r>
        <w:rPr>
          <w:sz w:val="21"/>
        </w:rPr>
        <w:t>5.所有设施设备于租赁期到期且通过甲方的最终验收后，乙方方可回收为本项目实施的设施设备。</w:t>
      </w:r>
    </w:p>
    <w:p>
      <w:pPr>
        <w:pStyle w:val="null3"/>
        <w:ind w:firstLine="420"/>
        <w:jc w:val="both"/>
      </w:pPr>
      <w:r>
        <w:rPr>
          <w:sz w:val="21"/>
        </w:rPr>
        <w:t>6.第十五届全运会期间，如遇人流、车流剧增等情况，乙方须额外为本项目增派服务人员，保证停车场服务人员满足现场需求，确保停车场的正常运转，此已经包含在服务费中，甲方无需再另行支付费用。</w:t>
      </w:r>
    </w:p>
    <w:p>
      <w:pPr>
        <w:pStyle w:val="null3"/>
        <w:ind w:firstLine="420"/>
        <w:jc w:val="both"/>
      </w:pPr>
      <w:r>
        <w:rPr>
          <w:sz w:val="21"/>
        </w:rPr>
        <w:t>7.在本合同的履行过程中，乙方服务人员不得随意脱岗、缺岗。</w:t>
      </w:r>
    </w:p>
    <w:p>
      <w:pPr>
        <w:pStyle w:val="null3"/>
        <w:jc w:val="both"/>
      </w:pPr>
      <w:r>
        <w:rPr>
          <w:sz w:val="21"/>
          <w:b/>
        </w:rPr>
        <w:t>七</w:t>
      </w:r>
      <w:r>
        <w:rPr>
          <w:sz w:val="21"/>
          <w:b/>
        </w:rPr>
        <w:t>、服务期限及服务地点</w:t>
      </w:r>
    </w:p>
    <w:p>
      <w:pPr>
        <w:pStyle w:val="null3"/>
        <w:ind w:firstLine="420"/>
        <w:jc w:val="both"/>
      </w:pPr>
      <w:r>
        <w:rPr>
          <w:sz w:val="21"/>
        </w:rPr>
        <w:t>（一）服务期限：</w:t>
      </w:r>
      <w:r>
        <w:rPr>
          <w:sz w:val="21"/>
        </w:rPr>
        <w:t>（</w:t>
      </w:r>
      <w:r>
        <w:rPr>
          <w:sz w:val="21"/>
        </w:rPr>
        <w:t>1）</w:t>
      </w:r>
      <w:r>
        <w:rPr>
          <w:sz w:val="21"/>
        </w:rPr>
        <w:t>智能安防监控服务：自签订合同之日起</w:t>
      </w:r>
      <w:r>
        <w:rPr>
          <w:sz w:val="21"/>
        </w:rPr>
        <w:t>至</w:t>
      </w:r>
      <w:r>
        <w:rPr>
          <w:sz w:val="21"/>
        </w:rPr>
        <w:t>2025年11月10日</w:t>
      </w:r>
      <w:r>
        <w:rPr>
          <w:sz w:val="21"/>
        </w:rPr>
        <w:t>。</w:t>
      </w:r>
    </w:p>
    <w:p>
      <w:pPr>
        <w:pStyle w:val="null3"/>
        <w:ind w:firstLine="420"/>
        <w:jc w:val="both"/>
      </w:pPr>
      <w:r>
        <w:rPr>
          <w:sz w:val="21"/>
        </w:rPr>
        <w:t>（</w:t>
      </w:r>
      <w:r>
        <w:rPr>
          <w:sz w:val="21"/>
        </w:rPr>
        <w:t>2）</w:t>
      </w:r>
      <w:r>
        <w:rPr>
          <w:sz w:val="21"/>
        </w:rPr>
        <w:t>太阳能杆智能照明服务：自签订合同之日起</w:t>
      </w:r>
      <w:r>
        <w:rPr>
          <w:sz w:val="21"/>
        </w:rPr>
        <w:t>2025年11月10日</w:t>
      </w:r>
      <w:r>
        <w:rPr>
          <w:sz w:val="21"/>
        </w:rPr>
        <w:t>。</w:t>
      </w:r>
    </w:p>
    <w:p>
      <w:pPr>
        <w:pStyle w:val="null3"/>
        <w:ind w:firstLine="420"/>
        <w:jc w:val="both"/>
      </w:pPr>
      <w:r>
        <w:rPr>
          <w:sz w:val="21"/>
        </w:rPr>
        <w:t>（</w:t>
      </w:r>
      <w:r>
        <w:rPr>
          <w:sz w:val="21"/>
        </w:rPr>
        <w:t>3）</w:t>
      </w:r>
      <w:r>
        <w:rPr>
          <w:sz w:val="21"/>
        </w:rPr>
        <w:t>综合辅助服务：服务起始时间以甲方书面通知为准。</w:t>
      </w:r>
    </w:p>
    <w:p>
      <w:pPr>
        <w:pStyle w:val="null3"/>
        <w:ind w:firstLine="420"/>
        <w:jc w:val="both"/>
      </w:pPr>
      <w:r>
        <w:rPr>
          <w:sz w:val="21"/>
        </w:rPr>
        <w:t>1.移动式厕所（服务）：11个日历天；</w:t>
      </w:r>
    </w:p>
    <w:p>
      <w:pPr>
        <w:pStyle w:val="null3"/>
        <w:ind w:firstLine="420"/>
        <w:jc w:val="both"/>
      </w:pPr>
      <w:r>
        <w:rPr>
          <w:sz w:val="21"/>
        </w:rPr>
        <w:t>2.岗亭（服务）：甲方书面通知</w:t>
      </w:r>
      <w:r>
        <w:rPr>
          <w:sz w:val="21"/>
        </w:rPr>
        <w:t>之日起至</w:t>
      </w:r>
      <w:r>
        <w:rPr>
          <w:sz w:val="21"/>
        </w:rPr>
        <w:t>2025年11月10日</w:t>
      </w:r>
      <w:r>
        <w:rPr>
          <w:sz w:val="21"/>
        </w:rPr>
        <w:t>；</w:t>
      </w:r>
    </w:p>
    <w:p>
      <w:pPr>
        <w:pStyle w:val="null3"/>
        <w:ind w:firstLine="420"/>
        <w:jc w:val="both"/>
      </w:pPr>
      <w:r>
        <w:rPr>
          <w:sz w:val="21"/>
        </w:rPr>
        <w:t>3.停车场休息室（服务）：</w:t>
      </w:r>
      <w:r>
        <w:rPr>
          <w:sz w:val="21"/>
        </w:rPr>
        <w:t>1</w:t>
      </w:r>
      <w:r>
        <w:rPr>
          <w:sz w:val="21"/>
        </w:rPr>
        <w:t>个月；</w:t>
      </w:r>
    </w:p>
    <w:p>
      <w:pPr>
        <w:pStyle w:val="null3"/>
        <w:ind w:firstLine="420"/>
        <w:jc w:val="both"/>
      </w:pPr>
      <w:r>
        <w:rPr>
          <w:sz w:val="21"/>
        </w:rPr>
        <w:t>4.停车场管理人员（服务）：15个日历天；</w:t>
      </w:r>
    </w:p>
    <w:p>
      <w:pPr>
        <w:pStyle w:val="null3"/>
        <w:ind w:firstLine="420"/>
        <w:jc w:val="both"/>
      </w:pPr>
      <w:r>
        <w:rPr>
          <w:sz w:val="21"/>
        </w:rPr>
        <w:t>5.停车数据（服务）：甲方书面通知</w:t>
      </w:r>
      <w:r>
        <w:rPr>
          <w:sz w:val="21"/>
        </w:rPr>
        <w:t>之日起至</w:t>
      </w:r>
      <w:r>
        <w:rPr>
          <w:sz w:val="21"/>
        </w:rPr>
        <w:t>2025年11月10日；</w:t>
      </w:r>
    </w:p>
    <w:p>
      <w:pPr>
        <w:pStyle w:val="null3"/>
        <w:ind w:firstLine="420"/>
        <w:jc w:val="both"/>
      </w:pPr>
      <w:r>
        <w:rPr>
          <w:sz w:val="21"/>
        </w:rPr>
        <w:t>6.围挡（服务）：1个月。</w:t>
      </w:r>
    </w:p>
    <w:p>
      <w:pPr>
        <w:pStyle w:val="null3"/>
        <w:ind w:firstLine="420"/>
        <w:jc w:val="both"/>
      </w:pPr>
      <w:r>
        <w:rPr>
          <w:sz w:val="21"/>
        </w:rPr>
        <w:t>（二）服务地点：</w:t>
      </w:r>
      <w:r>
        <w:rPr>
          <w:sz w:val="21"/>
        </w:rPr>
        <w:t>甲方指定地点。</w:t>
      </w:r>
    </w:p>
    <w:p>
      <w:pPr>
        <w:pStyle w:val="null3"/>
        <w:jc w:val="both"/>
      </w:pPr>
      <w:r>
        <w:rPr>
          <w:sz w:val="21"/>
          <w:b/>
        </w:rPr>
        <w:t>八</w:t>
      </w:r>
      <w:r>
        <w:rPr>
          <w:sz w:val="21"/>
          <w:b/>
        </w:rPr>
        <w:t>、违约责任</w:t>
      </w:r>
    </w:p>
    <w:p>
      <w:pPr>
        <w:pStyle w:val="null3"/>
        <w:ind w:firstLine="420"/>
        <w:jc w:val="both"/>
      </w:pPr>
      <w:r>
        <w:rPr>
          <w:sz w:val="21"/>
        </w:rPr>
        <w:t>（一）乙方不得将本项目发包或转包，否则，将视乙方违约，甲方可以解除服务合同，乙方需向甲方支付合同总价款</w:t>
      </w:r>
      <w:r>
        <w:rPr>
          <w:sz w:val="21"/>
        </w:rPr>
        <w:t>30%的违约金。</w:t>
      </w:r>
    </w:p>
    <w:p>
      <w:pPr>
        <w:pStyle w:val="null3"/>
        <w:ind w:firstLine="420"/>
        <w:jc w:val="both"/>
      </w:pPr>
      <w:r>
        <w:rPr>
          <w:sz w:val="21"/>
        </w:rPr>
        <w:t>（二）服务期间，双方必须严格履行合同，在执行过程中，如遇未尽事宜，双方可协商解决，单方面无权变更合同。乙方不得随意中止、终止、解除本合同，否则甲方有权要求乙方支付合同总价款</w:t>
      </w:r>
      <w:r>
        <w:rPr>
          <w:sz w:val="21"/>
        </w:rPr>
        <w:t>30%的违约金并有权不予结算款项。</w:t>
      </w:r>
    </w:p>
    <w:p>
      <w:pPr>
        <w:pStyle w:val="null3"/>
        <w:ind w:firstLine="420"/>
        <w:jc w:val="both"/>
      </w:pPr>
      <w:r>
        <w:rPr>
          <w:sz w:val="21"/>
        </w:rPr>
        <w:t>（三）乙方在接到甲方故障通知后，未在甲方规定的时限内进行响应、未按照甲方规定时限内安排工作人员到达现场修复故障或提供备用设备供甲方使用的，甲方有权根据情节轻重对乙方扣减相应服务费，扣减服务费幅度在</w:t>
      </w:r>
      <w:r>
        <w:rPr>
          <w:sz w:val="21"/>
        </w:rPr>
        <w:t>5000元-10000元（含本数）。若乙方未及时响应的情节较为严重的，甲方有权单方解除合同，且甲方有权要求乙方支付合同总价款30%的违约金。同时，因发生故障或单方解除合同产生的一切经济损失和法律责任均由乙方自行承担，乙方不得以任何理由向甲方追偿。</w:t>
      </w:r>
    </w:p>
    <w:p>
      <w:pPr>
        <w:pStyle w:val="null3"/>
        <w:ind w:firstLine="420"/>
        <w:jc w:val="both"/>
      </w:pPr>
      <w:r>
        <w:rPr>
          <w:sz w:val="21"/>
        </w:rPr>
        <w:t>（四）乙方逾期完成本合同项下的义务的，每逾期一天，需向甲方支付合同总金额万分之五的违约金，逾期超过</w:t>
      </w:r>
      <w:r>
        <w:rPr>
          <w:sz w:val="21"/>
        </w:rPr>
        <w:t>5天，甲方有权解除本合同并要求乙方支付合同总金额30%的违约金。</w:t>
      </w:r>
    </w:p>
    <w:p>
      <w:pPr>
        <w:pStyle w:val="null3"/>
        <w:ind w:firstLine="420"/>
        <w:jc w:val="both"/>
      </w:pPr>
      <w:r>
        <w:rPr>
          <w:sz w:val="21"/>
        </w:rPr>
        <w:t>（五）乙方所支付的违约金不足以弥补甲方的损失的，甲方有权另行向乙方主张赔偿。</w:t>
      </w:r>
    </w:p>
    <w:p>
      <w:pPr>
        <w:pStyle w:val="null3"/>
        <w:ind w:firstLine="420"/>
        <w:jc w:val="both"/>
      </w:pPr>
      <w:r>
        <w:rPr>
          <w:sz w:val="21"/>
        </w:rPr>
        <w:t>（六）因乙方违约等原因需向甲方支付违约金、赔偿金的，甲方有权直接从给乙方的合同费用中予以扣除，不足部分由乙方在甲方指定的时间内另行补足，乙方每逾期一日，按应补足金额的万分之五支付违约金。</w:t>
      </w:r>
    </w:p>
    <w:p>
      <w:pPr>
        <w:pStyle w:val="null3"/>
        <w:ind w:firstLine="420"/>
        <w:jc w:val="both"/>
      </w:pPr>
      <w:r>
        <w:rPr>
          <w:sz w:val="21"/>
        </w:rPr>
        <w:t>（七）</w:t>
      </w:r>
      <w:r>
        <w:rPr>
          <w:sz w:val="21"/>
        </w:rPr>
        <w:t>1.在本合同的履行过程中，若因乙方管理不善，发生安全责任事故造成的所有经济损失，由乙方承担。</w:t>
      </w:r>
    </w:p>
    <w:p>
      <w:pPr>
        <w:pStyle w:val="null3"/>
        <w:ind w:firstLine="420"/>
        <w:jc w:val="both"/>
      </w:pPr>
      <w:r>
        <w:rPr>
          <w:sz w:val="21"/>
        </w:rPr>
        <w:t>2.在本项目服务范围内，发生火灾、车祸或触电等安全事故或突发情况，乙方未能及时发现并采取积极有效措施对人员实施救治、降低事故影响并完成其他善后工作的，由此产生的一切经济损失(包括但不限于第三人索赔、停车场财产损失等)和法律责任由乙方自行承担。</w:t>
      </w:r>
    </w:p>
    <w:p>
      <w:pPr>
        <w:pStyle w:val="null3"/>
        <w:ind w:firstLine="420"/>
        <w:jc w:val="both"/>
      </w:pPr>
      <w:r>
        <w:rPr>
          <w:sz w:val="21"/>
        </w:rPr>
        <w:t>3.因乙方管理不善发生安全责任事故的，甲方有权视事故责任的轻重、经济损失的大小综合考评，若造成伤人或直接经济损失的，按每宗(次)扣减服务费30万元；若特别严重，造成死亡或较大经济损失的，按每宗(次)扣减服务费50万元。同时，甲方有权单方解除合同，若因甲方单方解除合同造成甲方经济损失的，乙方应全部给予赔偿。</w:t>
      </w:r>
    </w:p>
    <w:p>
      <w:pPr>
        <w:pStyle w:val="null3"/>
        <w:ind w:firstLine="420"/>
        <w:jc w:val="both"/>
      </w:pPr>
      <w:r>
        <w:rPr>
          <w:sz w:val="21"/>
        </w:rPr>
        <w:t>（八）因乙方违约导致甲方单方解除合同的，甲方除有权要求乙方按照合同约定支付违约金、赔偿经济损失外，还有权没收乙方缴纳的全部履约保证金。</w:t>
      </w:r>
    </w:p>
    <w:p>
      <w:pPr>
        <w:pStyle w:val="null3"/>
        <w:jc w:val="both"/>
      </w:pPr>
      <w:r>
        <w:rPr>
          <w:sz w:val="21"/>
          <w:b/>
        </w:rPr>
        <w:t>九</w:t>
      </w:r>
      <w:r>
        <w:rPr>
          <w:sz w:val="21"/>
          <w:b/>
        </w:rPr>
        <w:t>、付款方式</w:t>
      </w:r>
    </w:p>
    <w:p>
      <w:pPr>
        <w:pStyle w:val="null3"/>
        <w:ind w:firstLine="480"/>
        <w:jc w:val="both"/>
      </w:pPr>
      <w:r>
        <w:rPr>
          <w:sz w:val="21"/>
        </w:rPr>
        <w:t>第</w:t>
      </w:r>
      <w:r>
        <w:rPr>
          <w:sz w:val="21"/>
        </w:rPr>
        <w:t>1</w:t>
      </w:r>
      <w:r>
        <w:rPr>
          <w:sz w:val="21"/>
        </w:rPr>
        <w:t>期：支付比例</w:t>
      </w:r>
      <w:r>
        <w:rPr>
          <w:sz w:val="21"/>
        </w:rPr>
        <w:t>30%</w:t>
      </w:r>
      <w:r>
        <w:rPr>
          <w:sz w:val="21"/>
        </w:rPr>
        <w:t>，合同签订后，甲方在收到乙方提供的正式发票后</w:t>
      </w:r>
      <w:r>
        <w:rPr>
          <w:sz w:val="21"/>
        </w:rPr>
        <w:t>5</w:t>
      </w:r>
      <w:r>
        <w:rPr>
          <w:sz w:val="21"/>
        </w:rPr>
        <w:t>个工作日内按照财政支付手续办理申请支付合同金额的</w:t>
      </w:r>
      <w:r>
        <w:rPr>
          <w:sz w:val="21"/>
        </w:rPr>
        <w:t>30%</w:t>
      </w:r>
      <w:r>
        <w:rPr>
          <w:sz w:val="21"/>
        </w:rPr>
        <w:t>；</w:t>
      </w:r>
    </w:p>
    <w:p>
      <w:pPr>
        <w:pStyle w:val="null3"/>
        <w:ind w:firstLine="480"/>
        <w:jc w:val="both"/>
      </w:pPr>
      <w:r>
        <w:rPr>
          <w:sz w:val="21"/>
        </w:rPr>
        <w:t>第</w:t>
      </w:r>
      <w:r>
        <w:rPr>
          <w:sz w:val="21"/>
        </w:rPr>
        <w:t>2</w:t>
      </w:r>
      <w:r>
        <w:rPr>
          <w:sz w:val="21"/>
        </w:rPr>
        <w:t>期：支付比例</w:t>
      </w:r>
      <w:r>
        <w:rPr>
          <w:sz w:val="21"/>
        </w:rPr>
        <w:t>30%</w:t>
      </w:r>
      <w:r>
        <w:rPr>
          <w:sz w:val="21"/>
        </w:rPr>
        <w:t>，设施设备安装调试完成后，甲方在收到乙方提供的正式发票后</w:t>
      </w:r>
      <w:r>
        <w:rPr>
          <w:sz w:val="21"/>
        </w:rPr>
        <w:t>5</w:t>
      </w:r>
      <w:r>
        <w:rPr>
          <w:sz w:val="21"/>
        </w:rPr>
        <w:t>个工作日内按照财政支付手续办理申请支付合同总价的</w:t>
      </w:r>
      <w:r>
        <w:rPr>
          <w:sz w:val="21"/>
        </w:rPr>
        <w:t>30%</w:t>
      </w:r>
      <w:r>
        <w:rPr>
          <w:sz w:val="21"/>
        </w:rPr>
        <w:t>；</w:t>
      </w:r>
    </w:p>
    <w:p>
      <w:pPr>
        <w:pStyle w:val="null3"/>
        <w:ind w:firstLine="480"/>
        <w:jc w:val="both"/>
      </w:pPr>
      <w:r>
        <w:rPr>
          <w:sz w:val="21"/>
        </w:rPr>
        <w:t>第</w:t>
      </w:r>
      <w:r>
        <w:rPr>
          <w:sz w:val="21"/>
        </w:rPr>
        <w:t>3</w:t>
      </w:r>
      <w:r>
        <w:rPr>
          <w:sz w:val="21"/>
        </w:rPr>
        <w:t>期：支付比例</w:t>
      </w:r>
      <w:r>
        <w:rPr>
          <w:sz w:val="21"/>
        </w:rPr>
        <w:t>40%</w:t>
      </w:r>
      <w:r>
        <w:rPr>
          <w:sz w:val="21"/>
        </w:rPr>
        <w:t>，于合同期服务期结束后，甲方在收到乙方提供的正式发票后</w:t>
      </w:r>
      <w:r>
        <w:rPr>
          <w:sz w:val="21"/>
        </w:rPr>
        <w:t>5</w:t>
      </w:r>
      <w:r>
        <w:rPr>
          <w:sz w:val="21"/>
        </w:rPr>
        <w:t>个工作日内按照财政支付手续办理申请支付合同总价的</w:t>
      </w:r>
      <w:r>
        <w:rPr>
          <w:sz w:val="21"/>
        </w:rPr>
        <w:t>40%</w:t>
      </w:r>
      <w:r>
        <w:rPr>
          <w:sz w:val="21"/>
        </w:rPr>
        <w:t>。</w:t>
      </w:r>
    </w:p>
    <w:p>
      <w:pPr>
        <w:pStyle w:val="null3"/>
        <w:ind w:firstLine="420"/>
        <w:jc w:val="both"/>
      </w:pPr>
      <w:r>
        <w:rPr>
          <w:sz w:val="21"/>
        </w:rPr>
        <w:t>本合同所约定的付款时间是指甲方完成向财政部门申报支付手续的时间（不含政府财政支付部门审核的时间），实际付款时间以财政部门支付时间为准，财政部门审查或资金安排不及时等原因造成实际支付时间延误不视为甲方违约，甲方无须承担任何法律责任，乙方不得以此为由拒绝履行合同义务，否则视为乙方违约。</w:t>
      </w:r>
    </w:p>
    <w:p>
      <w:pPr>
        <w:pStyle w:val="null3"/>
        <w:jc w:val="both"/>
      </w:pPr>
      <w:r>
        <w:rPr>
          <w:sz w:val="21"/>
          <w:b/>
        </w:rPr>
        <w:t>十、</w:t>
      </w:r>
      <w:r>
        <w:rPr>
          <w:sz w:val="21"/>
          <w:b/>
        </w:rPr>
        <w:t>履约保证金</w:t>
      </w:r>
    </w:p>
    <w:p>
      <w:pPr>
        <w:pStyle w:val="null3"/>
        <w:ind w:firstLine="420"/>
        <w:jc w:val="both"/>
      </w:pPr>
      <w:r>
        <w:rPr>
          <w:sz w:val="21"/>
        </w:rPr>
        <w:t>收取比例：</w:t>
      </w:r>
      <w:r>
        <w:rPr>
          <w:sz w:val="21"/>
        </w:rPr>
        <w:t>5%,</w:t>
      </w:r>
      <w:r>
        <w:rPr>
          <w:sz w:val="21"/>
        </w:rPr>
        <w:t>说明：</w:t>
      </w:r>
      <w:r>
        <w:rPr>
          <w:sz w:val="21"/>
        </w:rPr>
        <w:t>1</w:t>
      </w:r>
      <w:r>
        <w:rPr>
          <w:sz w:val="21"/>
        </w:rPr>
        <w:t>、</w:t>
      </w:r>
      <w:r>
        <w:rPr>
          <w:sz w:val="21"/>
        </w:rPr>
        <w:t>乙方</w:t>
      </w:r>
      <w:r>
        <w:rPr>
          <w:sz w:val="21"/>
        </w:rPr>
        <w:t>在中标通知书发出之日起</w:t>
      </w:r>
      <w:r>
        <w:rPr>
          <w:sz w:val="21"/>
        </w:rPr>
        <w:t>10</w:t>
      </w:r>
      <w:r>
        <w:rPr>
          <w:sz w:val="21"/>
        </w:rPr>
        <w:t>日内（包括转账、支票、汇票、本票、保函等方式）向</w:t>
      </w:r>
      <w:r>
        <w:rPr>
          <w:sz w:val="21"/>
        </w:rPr>
        <w:t>甲方</w:t>
      </w:r>
      <w:r>
        <w:rPr>
          <w:sz w:val="21"/>
        </w:rPr>
        <w:t>缴交中标金额的</w:t>
      </w:r>
      <w:r>
        <w:rPr>
          <w:sz w:val="21"/>
        </w:rPr>
        <w:t>5%</w:t>
      </w:r>
      <w:r>
        <w:rPr>
          <w:sz w:val="21"/>
        </w:rPr>
        <w:t xml:space="preserve">作为履约保证金。 </w:t>
      </w:r>
      <w:r>
        <w:rPr>
          <w:sz w:val="21"/>
        </w:rPr>
        <w:t>2</w:t>
      </w:r>
      <w:r>
        <w:rPr>
          <w:sz w:val="21"/>
        </w:rPr>
        <w:t>、</w:t>
      </w:r>
      <w:r>
        <w:rPr>
          <w:sz w:val="21"/>
        </w:rPr>
        <w:t>甲方</w:t>
      </w:r>
      <w:r>
        <w:rPr>
          <w:sz w:val="21"/>
        </w:rPr>
        <w:t>在合同期满之日起</w:t>
      </w:r>
      <w:r>
        <w:rPr>
          <w:sz w:val="21"/>
        </w:rPr>
        <w:t>20</w:t>
      </w:r>
      <w:r>
        <w:rPr>
          <w:sz w:val="21"/>
        </w:rPr>
        <w:t>天内无息退还给</w:t>
      </w:r>
      <w:r>
        <w:rPr>
          <w:sz w:val="21"/>
        </w:rPr>
        <w:t>乙方</w:t>
      </w:r>
      <w:r>
        <w:rPr>
          <w:sz w:val="21"/>
        </w:rPr>
        <w:t>。</w:t>
      </w:r>
      <w:r>
        <w:rPr>
          <w:sz w:val="21"/>
        </w:rPr>
        <w:t>3</w:t>
      </w:r>
      <w:r>
        <w:rPr>
          <w:sz w:val="21"/>
        </w:rPr>
        <w:t>、履约保证金不予退还的情形：（</w:t>
      </w:r>
      <w:r>
        <w:rPr>
          <w:sz w:val="21"/>
        </w:rPr>
        <w:t>1</w:t>
      </w:r>
      <w:r>
        <w:rPr>
          <w:sz w:val="21"/>
        </w:rPr>
        <w:t>）未经</w:t>
      </w:r>
      <w:r>
        <w:rPr>
          <w:sz w:val="21"/>
        </w:rPr>
        <w:t>甲方</w:t>
      </w:r>
      <w:r>
        <w:rPr>
          <w:sz w:val="21"/>
        </w:rPr>
        <w:t>同意，</w:t>
      </w:r>
      <w:r>
        <w:rPr>
          <w:sz w:val="21"/>
        </w:rPr>
        <w:t>乙方</w:t>
      </w:r>
      <w:r>
        <w:rPr>
          <w:sz w:val="21"/>
        </w:rPr>
        <w:t>将本项目进行分包或转包给他人；（</w:t>
      </w:r>
      <w:r>
        <w:rPr>
          <w:sz w:val="21"/>
        </w:rPr>
        <w:t>2</w:t>
      </w:r>
      <w:r>
        <w:rPr>
          <w:sz w:val="21"/>
        </w:rPr>
        <w:t>）在履行合同期间，</w:t>
      </w:r>
      <w:r>
        <w:rPr>
          <w:sz w:val="21"/>
        </w:rPr>
        <w:t>乙方</w:t>
      </w:r>
      <w:r>
        <w:rPr>
          <w:sz w:val="21"/>
        </w:rPr>
        <w:t>未经</w:t>
      </w:r>
      <w:r>
        <w:rPr>
          <w:sz w:val="21"/>
        </w:rPr>
        <w:t>甲方</w:t>
      </w:r>
      <w:r>
        <w:rPr>
          <w:sz w:val="21"/>
        </w:rPr>
        <w:t>同意提前终止本项目合同；（</w:t>
      </w:r>
      <w:r>
        <w:rPr>
          <w:sz w:val="21"/>
        </w:rPr>
        <w:t>3</w:t>
      </w:r>
      <w:r>
        <w:rPr>
          <w:sz w:val="21"/>
        </w:rPr>
        <w:t>）在履行合同期间，</w:t>
      </w:r>
      <w:r>
        <w:rPr>
          <w:sz w:val="21"/>
        </w:rPr>
        <w:t>乙方</w:t>
      </w:r>
      <w:r>
        <w:rPr>
          <w:sz w:val="21"/>
        </w:rPr>
        <w:t>因在经营活动中存在违法被吊销营业执照或相关许可，导致本项目合同无法继续履行的；（</w:t>
      </w:r>
      <w:r>
        <w:rPr>
          <w:sz w:val="21"/>
        </w:rPr>
        <w:t>4</w:t>
      </w:r>
      <w:r>
        <w:rPr>
          <w:sz w:val="21"/>
        </w:rPr>
        <w:t>）</w:t>
      </w:r>
      <w:r>
        <w:rPr>
          <w:sz w:val="21"/>
        </w:rPr>
        <w:t>乙方</w:t>
      </w:r>
      <w:r>
        <w:rPr>
          <w:sz w:val="21"/>
        </w:rPr>
        <w:t>违反合同有关规定被</w:t>
      </w:r>
      <w:r>
        <w:rPr>
          <w:sz w:val="21"/>
        </w:rPr>
        <w:t>甲方</w:t>
      </w:r>
      <w:r>
        <w:rPr>
          <w:sz w:val="21"/>
        </w:rPr>
        <w:t>终止合约的。</w:t>
      </w:r>
      <w:r>
        <w:rPr>
          <w:sz w:val="21"/>
        </w:rPr>
        <w:t>4</w:t>
      </w:r>
      <w:r>
        <w:rPr>
          <w:sz w:val="21"/>
        </w:rPr>
        <w:t>、</w:t>
      </w:r>
      <w:r>
        <w:rPr>
          <w:sz w:val="21"/>
        </w:rPr>
        <w:t>甲方</w:t>
      </w:r>
      <w:r>
        <w:rPr>
          <w:sz w:val="21"/>
        </w:rPr>
        <w:t>逾期退还履约保证金的，从逾期之日起每日按履约保证金金额的</w:t>
      </w:r>
      <w:r>
        <w:rPr>
          <w:sz w:val="21"/>
        </w:rPr>
        <w:t>万分之一</w:t>
      </w:r>
      <w:r>
        <w:rPr>
          <w:sz w:val="21"/>
        </w:rPr>
        <w:t>的数额向</w:t>
      </w:r>
      <w:r>
        <w:rPr>
          <w:sz w:val="21"/>
        </w:rPr>
        <w:t>乙方</w:t>
      </w:r>
      <w:r>
        <w:rPr>
          <w:sz w:val="21"/>
        </w:rPr>
        <w:t>支付违约金。但因</w:t>
      </w:r>
      <w:r>
        <w:rPr>
          <w:sz w:val="21"/>
        </w:rPr>
        <w:t>乙方</w:t>
      </w:r>
      <w:r>
        <w:rPr>
          <w:sz w:val="21"/>
        </w:rPr>
        <w:t>自身原因导致无法及时退还的除外。</w:t>
      </w:r>
    </w:p>
    <w:p>
      <w:pPr>
        <w:pStyle w:val="null3"/>
        <w:jc w:val="both"/>
      </w:pPr>
      <w:r>
        <w:rPr>
          <w:sz w:val="21"/>
          <w:b/>
        </w:rPr>
        <w:t>十一</w:t>
      </w:r>
      <w:r>
        <w:rPr>
          <w:sz w:val="21"/>
          <w:b/>
        </w:rPr>
        <w:t>、争端的解决</w:t>
      </w:r>
    </w:p>
    <w:p>
      <w:pPr>
        <w:pStyle w:val="null3"/>
        <w:ind w:firstLine="480"/>
        <w:jc w:val="both"/>
      </w:pPr>
      <w:r>
        <w:rPr>
          <w:sz w:val="21"/>
        </w:rPr>
        <w:t>合同执行过程中发生的任何争议，如双方不能通过友好协商解决，甲、乙双方一致同意向甲方所在地人民法院提起诉讼。因乙方违约，甲方为维权而支付的所有费用（包括但不限于律师费、诉讼费、担保费、保全费、评估费、差旅费）均由乙方承担。</w:t>
      </w:r>
    </w:p>
    <w:p>
      <w:pPr>
        <w:pStyle w:val="null3"/>
        <w:jc w:val="both"/>
      </w:pPr>
      <w:r>
        <w:rPr>
          <w:sz w:val="21"/>
          <w:b/>
        </w:rPr>
        <w:t>十二、不可抗力</w:t>
      </w:r>
    </w:p>
    <w:p>
      <w:pPr>
        <w:pStyle w:val="null3"/>
        <w:ind w:firstLine="480"/>
        <w:jc w:val="both"/>
      </w:pPr>
      <w:r>
        <w:rPr>
          <w:sz w:val="21"/>
        </w:rPr>
        <w:t>任何一方由于不可抗力原因不能履行合同时，应在不可抗力事件结束后</w:t>
      </w:r>
      <w:r>
        <w:rPr>
          <w:sz w:val="21"/>
        </w:rPr>
        <w:t xml:space="preserve">1 </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十三、税费</w:t>
      </w:r>
    </w:p>
    <w:p>
      <w:pPr>
        <w:pStyle w:val="null3"/>
        <w:ind w:firstLine="480"/>
        <w:jc w:val="both"/>
      </w:pPr>
      <w:r>
        <w:rPr>
          <w:sz w:val="21"/>
        </w:rPr>
        <w:t>在中国境内、外发生的与本合同执行有关的一切税费均由乙方负担。</w:t>
      </w:r>
    </w:p>
    <w:p>
      <w:pPr>
        <w:pStyle w:val="null3"/>
        <w:jc w:val="both"/>
      </w:pPr>
      <w:r>
        <w:rPr>
          <w:sz w:val="21"/>
          <w:b/>
        </w:rPr>
        <w:t>十四、合同生效</w:t>
      </w:r>
    </w:p>
    <w:p>
      <w:pPr>
        <w:pStyle w:val="null3"/>
        <w:ind w:firstLine="480"/>
        <w:jc w:val="both"/>
      </w:pPr>
      <w:r>
        <w:rPr>
          <w:sz w:val="21"/>
        </w:rPr>
        <w:t>1.</w:t>
      </w:r>
      <w:r>
        <w:rPr>
          <w:sz w:val="21"/>
        </w:rPr>
        <w:t>本合同正本</w:t>
      </w:r>
      <w:r>
        <w:rPr>
          <w:u w:val="single"/>
        </w:rPr>
        <w:t xml:space="preserve">   </w:t>
      </w:r>
      <w:r>
        <w:rPr>
          <w:sz w:val="21"/>
        </w:rPr>
        <w:t>份，具有同等法律效力，甲、乙双方各执</w:t>
      </w:r>
      <w:r>
        <w:rPr>
          <w:u w:val="single"/>
        </w:rPr>
        <w:t xml:space="preserve">   </w:t>
      </w:r>
      <w:r>
        <w:rPr>
          <w:sz w:val="21"/>
        </w:rPr>
        <w:t>份。合同自双方法定代表人或授权代表签字并加盖公章后生效。</w:t>
      </w:r>
    </w:p>
    <w:p>
      <w:pPr>
        <w:pStyle w:val="null3"/>
        <w:ind w:firstLine="480"/>
        <w:jc w:val="both"/>
      </w:pPr>
      <w:r>
        <w:rPr>
          <w:sz w:val="21"/>
        </w:rPr>
        <w:t>2.</w:t>
      </w:r>
      <w:r>
        <w:rPr>
          <w:sz w:val="21"/>
        </w:rPr>
        <w:t>本合同未尽事宜，由双方协商处理。</w:t>
      </w:r>
    </w:p>
    <w:p>
      <w:pPr>
        <w:pStyle w:val="null3"/>
        <w:jc w:val="both"/>
      </w:pPr>
      <w:r>
        <w:rPr>
          <w:sz w:val="21"/>
        </w:rPr>
        <w:t>十三、送达</w:t>
      </w:r>
    </w:p>
    <w:p>
      <w:pPr>
        <w:pStyle w:val="null3"/>
        <w:jc w:val="both"/>
      </w:pPr>
      <w:r>
        <w:rPr>
          <w:sz w:val="21"/>
        </w:rPr>
        <w:t xml:space="preserve">      </w:t>
      </w:r>
      <w:r>
        <w:rPr>
          <w:sz w:val="21"/>
        </w:rPr>
        <w:t>双方确认本合同所记载的住所地址为其送达地址，如有变更，应在变更后</w:t>
      </w:r>
      <w:r>
        <w:rPr>
          <w:sz w:val="21"/>
        </w:rPr>
        <w:t>3</w:t>
      </w:r>
      <w:r>
        <w:rPr>
          <w:sz w:val="21"/>
        </w:rPr>
        <w:t>日内书面通知对方，否则双方的文件、资料、诉讼文书（一审、二审、执行）等一经发至前述地址，即视为送达。</w:t>
      </w:r>
    </w:p>
    <w:p>
      <w:pPr>
        <w:pStyle w:val="null3"/>
        <w:jc w:val="both"/>
      </w:pPr>
      <w:r>
        <w:rPr>
          <w:sz w:val="21"/>
        </w:rPr>
        <w:t>甲方：</w:t>
      </w:r>
      <w:r>
        <w:rPr>
          <w:sz w:val="21"/>
        </w:rPr>
        <w:t>广州市天河区住房建设和园林局</w:t>
      </w:r>
      <w:r>
        <w:rPr>
          <w:sz w:val="21"/>
        </w:rPr>
        <w:t xml:space="preserve">         </w:t>
      </w:r>
      <w:r>
        <w:rPr>
          <w:sz w:val="21"/>
        </w:rPr>
        <w:t>乙方：</w:t>
      </w:r>
    </w:p>
    <w:p>
      <w:pPr>
        <w:pStyle w:val="null3"/>
        <w:ind w:firstLine="991"/>
        <w:jc w:val="both"/>
      </w:pPr>
      <w:r>
        <w:rPr>
          <w:sz w:val="21"/>
        </w:rPr>
        <w:t>（盖章）</w:t>
      </w:r>
      <w:r>
        <w:rPr>
          <w:sz w:val="21"/>
        </w:rPr>
        <w:t xml:space="preserve">                                             </w:t>
      </w:r>
      <w:r>
        <w:rPr>
          <w:sz w:val="21"/>
        </w:rPr>
        <w:t>（盖章）</w:t>
      </w:r>
    </w:p>
    <w:p>
      <w:pPr>
        <w:pStyle w:val="null3"/>
        <w:jc w:val="both"/>
      </w:pPr>
      <w:r>
        <w:rPr>
          <w:sz w:val="21"/>
        </w:rPr>
        <w:t>地址：</w:t>
      </w:r>
      <w:r>
        <w:rPr>
          <w:sz w:val="21"/>
        </w:rPr>
        <w:t xml:space="preserve">                     </w:t>
      </w:r>
      <w:r>
        <w:rPr/>
        <w:t xml:space="preserve"> </w:t>
      </w:r>
      <w:r>
        <w:rPr>
          <w:sz w:val="21"/>
        </w:rPr>
        <w:t xml:space="preserve">               </w:t>
      </w:r>
      <w:r>
        <w:rPr>
          <w:sz w:val="21"/>
        </w:rPr>
        <w:t>地址：</w:t>
      </w:r>
    </w:p>
    <w:p>
      <w:pPr>
        <w:pStyle w:val="null3"/>
        <w:jc w:val="both"/>
      </w:pPr>
      <w:r>
        <w:rPr>
          <w:sz w:val="21"/>
        </w:rPr>
        <w:t>负责人</w:t>
      </w:r>
      <w:r>
        <w:rPr>
          <w:sz w:val="21"/>
        </w:rPr>
        <w:t>/</w:t>
      </w:r>
      <w:r>
        <w:rPr>
          <w:sz w:val="21"/>
        </w:rPr>
        <w:t>授权代表</w:t>
      </w:r>
      <w:r>
        <w:rPr>
          <w:sz w:val="21"/>
        </w:rPr>
        <w:t>：</w:t>
      </w:r>
      <w:r>
        <w:rPr>
          <w:sz w:val="21"/>
        </w:rPr>
        <w:t xml:space="preserve">                    </w:t>
      </w:r>
      <w:r>
        <w:rPr/>
        <w:t xml:space="preserve">            </w:t>
      </w:r>
      <w:r>
        <w:rPr>
          <w:sz w:val="21"/>
        </w:rPr>
        <w:t xml:space="preserve">   </w:t>
      </w:r>
      <w:r>
        <w:rPr>
          <w:sz w:val="21"/>
        </w:rPr>
        <w:t>法</w:t>
      </w:r>
      <w:r>
        <w:rPr>
          <w:sz w:val="21"/>
        </w:rPr>
        <w:t>定</w:t>
      </w:r>
      <w:r>
        <w:rPr>
          <w:sz w:val="21"/>
        </w:rPr>
        <w:t>代表人</w:t>
      </w:r>
      <w:r>
        <w:rPr>
          <w:sz w:val="21"/>
        </w:rPr>
        <w:t>/</w:t>
      </w:r>
      <w:r>
        <w:rPr>
          <w:sz w:val="21"/>
        </w:rPr>
        <w:t>授权代表</w:t>
      </w:r>
      <w:r>
        <w:rPr>
          <w:sz w:val="21"/>
        </w:rPr>
        <w:t>：</w:t>
      </w:r>
    </w:p>
    <w:p>
      <w:pPr>
        <w:pStyle w:val="null3"/>
        <w:jc w:val="both"/>
      </w:pPr>
      <w:r>
        <w:rPr>
          <w:sz w:val="21"/>
        </w:rPr>
        <w:t>电话：</w:t>
      </w:r>
      <w:r>
        <w:rPr>
          <w:sz w:val="21"/>
        </w:rPr>
        <w:t xml:space="preserve">                                     </w:t>
      </w:r>
      <w:r>
        <w:rPr>
          <w:sz w:val="21"/>
        </w:rPr>
        <w:t>联系人：</w:t>
      </w:r>
    </w:p>
    <w:p>
      <w:pPr>
        <w:pStyle w:val="null3"/>
        <w:jc w:val="both"/>
      </w:pPr>
      <w:r>
        <w:rPr>
          <w:sz w:val="21"/>
        </w:rPr>
        <w:t xml:space="preserve">                                           </w:t>
      </w:r>
      <w:r>
        <w:rPr>
          <w:sz w:val="21"/>
        </w:rPr>
        <w:t>电话：</w:t>
      </w:r>
    </w:p>
    <w:p>
      <w:pPr>
        <w:pStyle w:val="null3"/>
        <w:ind w:firstLine="1200"/>
        <w:jc w:val="both"/>
      </w:pPr>
      <w:r>
        <w:rPr>
          <w:sz w:val="21"/>
        </w:rPr>
        <w:t xml:space="preserve">                                </w:t>
      </w:r>
      <w:r>
        <w:rPr>
          <w:sz w:val="21"/>
        </w:rPr>
        <w:t>开户银行：</w:t>
      </w:r>
    </w:p>
    <w:p>
      <w:pPr>
        <w:pStyle w:val="null3"/>
        <w:ind w:firstLine="720"/>
        <w:jc w:val="both"/>
      </w:pPr>
      <w:r>
        <w:rPr>
          <w:sz w:val="21"/>
        </w:rPr>
        <w:t xml:space="preserve">                                     </w:t>
      </w:r>
      <w:r>
        <w:rPr>
          <w:sz w:val="21"/>
        </w:rPr>
        <w:t>帐号：</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t xml:space="preserve"> </w:t>
      </w:r>
      <w:r>
        <w:rPr>
          <w:sz w:val="21"/>
        </w:rPr>
        <w:t>签约日期：</w:t>
      </w:r>
      <w:r>
        <w:rPr>
          <w:sz w:val="21"/>
        </w:rPr>
        <w:t xml:space="preserve">  </w:t>
      </w:r>
      <w:r>
        <w:rPr>
          <w:sz w:val="21"/>
        </w:rPr>
        <w:t>年</w:t>
      </w:r>
      <w:r>
        <w:rPr/>
        <w:t xml:space="preserve">  </w:t>
      </w:r>
      <w:r>
        <w:rPr>
          <w:sz w:val="21"/>
        </w:rPr>
        <w:t>月</w:t>
      </w:r>
      <w:r>
        <w:rPr/>
        <w:t xml:space="preserve">  </w:t>
      </w:r>
      <w:r>
        <w:rPr>
          <w:sz w:val="21"/>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440106-2025-03705</w:t>
      </w:r>
    </w:p>
    <w:p>
      <w:pPr>
        <w:pStyle w:val="null3"/>
        <w:jc w:val="center"/>
        <w:outlineLvl w:val="3"/>
      </w:pPr>
      <w:r>
        <w:rPr>
          <w:sz w:val="24"/>
          <w:b/>
        </w:rPr>
        <w:t>采购项目编号：</w:t>
      </w:r>
      <w:r>
        <w:rPr>
          <w:sz w:val="24"/>
          <w:b/>
        </w:rPr>
        <w:t>TD-GK-2025-031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天栋建设管理有限公司</w:t>
      </w:r>
    </w:p>
    <w:p>
      <w:pPr>
        <w:pStyle w:val="null3"/>
        <w:ind w:firstLine="480"/>
      </w:pPr>
      <w:r>
        <w:rPr/>
        <w:t xml:space="preserve"> 你方组织的</w:t>
      </w:r>
      <w:r>
        <w:rPr>
          <w:u w:val="single"/>
        </w:rPr>
        <w:t>“</w:t>
      </w:r>
      <w:r>
        <w:rPr>
          <w:u w:val="single"/>
        </w:rPr>
        <w:t>十五运会开幕式奥体中心周边停车保障项目一体化服务</w:t>
      </w:r>
      <w:r>
        <w:rPr>
          <w:u w:val="single"/>
        </w:rPr>
        <w:t>”</w:t>
      </w:r>
      <w:r>
        <w:rPr/>
        <w:t>项目的招标[采购项目编号为：</w:t>
      </w:r>
      <w:r>
        <w:rPr>
          <w:u w:val="single"/>
        </w:rPr>
        <w:t>TD-GK-2025-031</w:t>
      </w:r>
      <w:r>
        <w:rPr/>
        <w:t>]，我方愿参与投标。</w:t>
      </w:r>
    </w:p>
    <w:p>
      <w:pPr>
        <w:pStyle w:val="null3"/>
        <w:ind w:firstLine="480"/>
      </w:pPr>
      <w:r>
        <w:rPr/>
        <w:t>我方确认收到贵方提供的</w:t>
      </w:r>
      <w:r>
        <w:rPr>
          <w:u w:val="single"/>
        </w:rPr>
        <w:t>“</w:t>
      </w:r>
      <w:r>
        <w:rPr>
          <w:u w:val="single"/>
        </w:rPr>
        <w:t>十五运会开幕式奥体中心周边停车保障项目一体化服务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天栋建设管理有限公司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十五运会开幕式奥体中心周边停车保障项目一体化服务</w:t>
      </w:r>
      <w:r>
        <w:rPr/>
        <w:t>”项目采购[采购项目编号为</w:t>
      </w:r>
      <w:r>
        <w:rPr/>
        <w:t>TD-GK-2025-031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广州市天河区住房建设和园林局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天栋建设管理有限公司</w:t>
      </w:r>
    </w:p>
    <w:p>
      <w:pPr>
        <w:pStyle w:val="null3"/>
        <w:ind w:firstLine="480"/>
      </w:pPr>
      <w:r>
        <w:rPr/>
        <w:t xml:space="preserve"> 如果我方在贵采购代理机构组织的</w:t>
      </w:r>
      <w:r>
        <w:rPr/>
        <w:t>十五运会开幕式奥体中心周边停车保障项目一体化服务</w:t>
      </w:r>
      <w:r>
        <w:rPr/>
        <w:t>招标中获中标（采购项目编号：</w:t>
      </w:r>
      <w:r>
        <w:rPr/>
        <w:t>TD-GK-2025-031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天栋建设管理有限公司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