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22632">
      <w:pPr>
        <w:pStyle w:val="8"/>
        <w:jc w:val="center"/>
        <w:outlineLvl w:val="0"/>
        <w:rPr>
          <w:color w:val="0000FF"/>
          <w:highlight w:val="none"/>
        </w:rPr>
      </w:pPr>
      <w:r>
        <w:rPr>
          <w:rFonts w:ascii="仿宋_GB2312" w:hAnsi="仿宋_GB2312" w:eastAsia="仿宋_GB2312" w:cs="仿宋_GB2312"/>
          <w:b/>
          <w:color w:val="auto"/>
          <w:sz w:val="36"/>
          <w:highlight w:val="none"/>
        </w:rPr>
        <w:t>拟签订采购合同文本</w:t>
      </w:r>
    </w:p>
    <w:p w14:paraId="2E877246">
      <w:pPr>
        <w:pStyle w:val="8"/>
        <w:jc w:val="center"/>
        <w:outlineLvl w:val="9"/>
        <w:rPr>
          <w:rFonts w:hint="eastAsia" w:ascii="宋体" w:hAnsi="宋体" w:cs="宋体"/>
          <w:bCs/>
          <w:sz w:val="32"/>
          <w:szCs w:val="32"/>
          <w:highlight w:val="none"/>
        </w:rPr>
      </w:pPr>
      <w:r>
        <w:rPr>
          <w:rFonts w:hint="eastAsia" w:ascii="宋体" w:hAnsi="宋体" w:cs="宋体"/>
          <w:bCs/>
          <w:sz w:val="32"/>
          <w:szCs w:val="32"/>
          <w:highlight w:val="none"/>
        </w:rPr>
        <w:t xml:space="preserve">  </w:t>
      </w:r>
    </w:p>
    <w:p w14:paraId="6BA11F33">
      <w:pPr>
        <w:pStyle w:val="8"/>
        <w:jc w:val="left"/>
        <w:outlineLvl w:val="0"/>
        <w:rPr>
          <w:rFonts w:hint="eastAsia" w:ascii="宋体" w:hAnsi="宋体" w:cs="宋体"/>
          <w:bCs/>
          <w:sz w:val="32"/>
          <w:szCs w:val="32"/>
        </w:rPr>
      </w:pPr>
      <w:r>
        <w:rPr>
          <w:rFonts w:hint="eastAsia" w:ascii="宋体" w:hAnsi="宋体" w:cs="宋体"/>
          <w:bCs/>
          <w:sz w:val="32"/>
          <w:szCs w:val="32"/>
          <w:lang w:val="en-US" w:eastAsia="zh-CN"/>
        </w:rPr>
        <w:t>包一：</w:t>
      </w:r>
      <w:r>
        <w:rPr>
          <w:rFonts w:hint="eastAsia" w:ascii="宋体" w:hAnsi="宋体" w:cs="宋体"/>
          <w:bCs/>
          <w:sz w:val="32"/>
          <w:szCs w:val="32"/>
        </w:rPr>
        <w:t xml:space="preserve">  </w:t>
      </w:r>
    </w:p>
    <w:p w14:paraId="2AD106B8">
      <w:pPr>
        <w:pStyle w:val="8"/>
        <w:jc w:val="center"/>
        <w:outlineLvl w:val="0"/>
      </w:pPr>
      <w:r>
        <w:rPr>
          <w:rFonts w:ascii="仿宋_GB2312" w:hAnsi="仿宋_GB2312" w:eastAsia="仿宋_GB2312" w:cs="仿宋_GB2312"/>
          <w:b/>
          <w:sz w:val="48"/>
        </w:rPr>
        <w:t>政府采购合同</w:t>
      </w:r>
    </w:p>
    <w:p w14:paraId="7E3ECC3C">
      <w:pPr>
        <w:pStyle w:val="8"/>
        <w:jc w:val="center"/>
        <w:outlineLvl w:val="0"/>
      </w:pPr>
      <w:r>
        <w:rPr>
          <w:rFonts w:ascii="仿宋_GB2312" w:hAnsi="仿宋_GB2312" w:eastAsia="仿宋_GB2312" w:cs="仿宋_GB2312"/>
          <w:b/>
          <w:sz w:val="48"/>
        </w:rPr>
        <w:t xml:space="preserve"> （服务类）</w:t>
      </w:r>
      <w:r>
        <w:br w:type="textWrapping"/>
      </w:r>
      <w:r>
        <w:br w:type="textWrapping"/>
      </w:r>
      <w:r>
        <w:br w:type="textWrapping"/>
      </w:r>
    </w:p>
    <w:p w14:paraId="17C89805">
      <w:pPr>
        <w:pStyle w:val="8"/>
        <w:ind w:left="1800"/>
        <w:jc w:val="left"/>
      </w:pPr>
      <w:r>
        <w:rPr>
          <w:rFonts w:ascii="仿宋_GB2312" w:hAnsi="仿宋_GB2312" w:eastAsia="仿宋_GB2312" w:cs="仿宋_GB2312"/>
          <w:b/>
          <w:sz w:val="27"/>
        </w:rPr>
        <w:t xml:space="preserve"> 政府采购合同编号：__________________</w:t>
      </w:r>
    </w:p>
    <w:p w14:paraId="719A71EC">
      <w:pPr>
        <w:pStyle w:val="8"/>
        <w:jc w:val="left"/>
      </w:pPr>
      <w:r>
        <w:rPr>
          <w:rFonts w:ascii="仿宋_GB2312" w:hAnsi="仿宋_GB2312" w:eastAsia="仿宋_GB2312" w:cs="仿宋_GB2312"/>
          <w:b/>
          <w:sz w:val="27"/>
        </w:rPr>
        <w:t xml:space="preserve"> 履约地点：__</w:t>
      </w:r>
      <w:r>
        <w:rPr>
          <w:rFonts w:hint="eastAsia" w:ascii="仿宋_GB2312" w:hAnsi="仿宋_GB2312" w:eastAsia="仿宋_GB2312" w:cs="仿宋_GB2312"/>
          <w:b/>
          <w:sz w:val="27"/>
          <w:lang w:val="en-US" w:eastAsia="zh-CN"/>
        </w:rPr>
        <w:t xml:space="preserve">乐山市市域内 </w:t>
      </w:r>
      <w:r>
        <w:rPr>
          <w:rFonts w:ascii="仿宋_GB2312" w:hAnsi="仿宋_GB2312" w:eastAsia="仿宋_GB2312" w:cs="仿宋_GB2312"/>
          <w:b/>
          <w:sz w:val="27"/>
        </w:rPr>
        <w:t>___</w:t>
      </w:r>
    </w:p>
    <w:p w14:paraId="0B244549">
      <w:pPr>
        <w:pStyle w:val="8"/>
        <w:jc w:val="left"/>
      </w:pPr>
      <w:r>
        <w:rPr>
          <w:rFonts w:ascii="仿宋_GB2312" w:hAnsi="仿宋_GB2312" w:eastAsia="仿宋_GB2312" w:cs="仿宋_GB2312"/>
          <w:b/>
          <w:sz w:val="27"/>
        </w:rPr>
        <w:t xml:space="preserve"> 签订地点：__</w:t>
      </w:r>
      <w:r>
        <w:rPr>
          <w:rFonts w:hint="eastAsia" w:ascii="仿宋_GB2312" w:hAnsi="仿宋_GB2312" w:eastAsia="仿宋_GB2312" w:cs="仿宋_GB2312"/>
          <w:b/>
          <w:sz w:val="27"/>
          <w:lang w:val="en-US" w:eastAsia="zh-CN"/>
        </w:rPr>
        <w:t>乐山市审计局</w:t>
      </w:r>
      <w:r>
        <w:rPr>
          <w:rFonts w:ascii="仿宋_GB2312" w:hAnsi="仿宋_GB2312" w:eastAsia="仿宋_GB2312" w:cs="仿宋_GB2312"/>
          <w:b/>
          <w:sz w:val="27"/>
        </w:rPr>
        <w:t>____</w:t>
      </w:r>
    </w:p>
    <w:p w14:paraId="3859D0DD">
      <w:pPr>
        <w:pStyle w:val="8"/>
        <w:jc w:val="left"/>
      </w:pPr>
      <w:r>
        <w:rPr>
          <w:rFonts w:ascii="仿宋_GB2312" w:hAnsi="仿宋_GB2312" w:eastAsia="仿宋_GB2312" w:cs="仿宋_GB2312"/>
          <w:b/>
          <w:sz w:val="27"/>
        </w:rPr>
        <w:t xml:space="preserve"> 签订时间：20___年___月___日</w:t>
      </w:r>
    </w:p>
    <w:p w14:paraId="47E37B37">
      <w:pPr>
        <w:pStyle w:val="8"/>
        <w:jc w:val="left"/>
      </w:pPr>
      <w:r>
        <w:rPr>
          <w:rFonts w:ascii="仿宋_GB2312" w:hAnsi="仿宋_GB2312" w:eastAsia="仿宋_GB2312" w:cs="仿宋_GB2312"/>
          <w:b/>
          <w:sz w:val="27"/>
        </w:rPr>
        <w:t xml:space="preserve"> 采购人（甲方）：_</w:t>
      </w:r>
      <w:r>
        <w:rPr>
          <w:rFonts w:hint="eastAsia" w:ascii="仿宋_GB2312" w:hAnsi="仿宋_GB2312" w:eastAsia="仿宋_GB2312" w:cs="仿宋_GB2312"/>
          <w:b/>
          <w:sz w:val="27"/>
          <w:lang w:val="en-US" w:eastAsia="zh-CN"/>
        </w:rPr>
        <w:t>乐山市审计局</w:t>
      </w:r>
      <w:r>
        <w:rPr>
          <w:rFonts w:ascii="仿宋_GB2312" w:hAnsi="仿宋_GB2312" w:eastAsia="仿宋_GB2312" w:cs="仿宋_GB2312"/>
          <w:b/>
          <w:sz w:val="27"/>
        </w:rPr>
        <w:t>__</w:t>
      </w:r>
    </w:p>
    <w:p w14:paraId="4E923B06">
      <w:pPr>
        <w:pStyle w:val="8"/>
        <w:jc w:val="left"/>
      </w:pPr>
      <w:r>
        <w:rPr>
          <w:rFonts w:ascii="仿宋_GB2312" w:hAnsi="仿宋_GB2312" w:eastAsia="仿宋_GB2312" w:cs="仿宋_GB2312"/>
          <w:b/>
          <w:sz w:val="27"/>
        </w:rPr>
        <w:t xml:space="preserve"> 采购人地址：__________________</w:t>
      </w:r>
    </w:p>
    <w:p w14:paraId="216A1A61">
      <w:pPr>
        <w:pStyle w:val="8"/>
        <w:jc w:val="left"/>
      </w:pPr>
      <w:r>
        <w:rPr>
          <w:rFonts w:ascii="仿宋_GB2312" w:hAnsi="仿宋_GB2312" w:eastAsia="仿宋_GB2312" w:cs="仿宋_GB2312"/>
          <w:b/>
          <w:sz w:val="27"/>
        </w:rPr>
        <w:t xml:space="preserve"> 供应商(乙方)：__________________</w:t>
      </w:r>
    </w:p>
    <w:p w14:paraId="4CF2302A">
      <w:pPr>
        <w:pStyle w:val="8"/>
        <w:jc w:val="left"/>
      </w:pPr>
      <w:r>
        <w:rPr>
          <w:rFonts w:ascii="仿宋_GB2312" w:hAnsi="仿宋_GB2312" w:eastAsia="仿宋_GB2312" w:cs="仿宋_GB2312"/>
          <w:b/>
          <w:sz w:val="27"/>
        </w:rPr>
        <w:t xml:space="preserve"> 供应商地址：__________________</w:t>
      </w:r>
    </w:p>
    <w:p w14:paraId="1EC2044A">
      <w:pPr>
        <w:pStyle w:val="8"/>
        <w:jc w:val="left"/>
      </w:pPr>
      <w:r>
        <w:rPr>
          <w:rFonts w:ascii="仿宋_GB2312" w:hAnsi="仿宋_GB2312" w:eastAsia="仿宋_GB2312" w:cs="仿宋_GB2312"/>
        </w:rPr>
        <w:t xml:space="preserve"> </w:t>
      </w:r>
    </w:p>
    <w:p w14:paraId="601DFEF3">
      <w:pPr>
        <w:pStyle w:val="8"/>
        <w:jc w:val="left"/>
      </w:pPr>
      <w:r>
        <w:rPr>
          <w:rFonts w:ascii="仿宋_GB2312" w:hAnsi="仿宋_GB2312" w:eastAsia="仿宋_GB2312" w:cs="仿宋_GB2312"/>
          <w:sz w:val="21"/>
          <w:szCs w:val="21"/>
        </w:rPr>
        <w:t xml:space="preserve"> 依据《中华人民共和国民法典》 《中华人民共和国政府采购法》与项目行业有关的法律法规，以及_</w:t>
      </w:r>
      <w:r>
        <w:rPr>
          <w:rStyle w:val="9"/>
          <w:rFonts w:hint="eastAsia" w:ascii="仿宋" w:hAnsi="仿宋" w:eastAsia="仿宋" w:cs="仿宋"/>
          <w:kern w:val="0"/>
          <w:sz w:val="24"/>
          <w:lang w:val="en-US"/>
        </w:rPr>
        <w:t>全市</w:t>
      </w:r>
      <w:r>
        <w:rPr>
          <w:rStyle w:val="9"/>
          <w:rFonts w:hint="eastAsia" w:ascii="仿宋" w:hAnsi="仿宋" w:eastAsia="仿宋" w:cs="仿宋"/>
          <w:kern w:val="0"/>
          <w:sz w:val="24"/>
        </w:rPr>
        <w:t>审计数据规划及治理服务项目（</w:t>
      </w:r>
      <w:r>
        <w:rPr>
          <w:rStyle w:val="9"/>
          <w:rFonts w:hint="eastAsia" w:ascii="仿宋" w:hAnsi="仿宋" w:eastAsia="仿宋" w:cs="仿宋"/>
          <w:kern w:val="0"/>
          <w:sz w:val="24"/>
          <w:lang w:val="en-US"/>
        </w:rPr>
        <w:t>包一</w:t>
      </w:r>
      <w:r>
        <w:rPr>
          <w:rStyle w:val="9"/>
          <w:rFonts w:hint="eastAsia" w:ascii="仿宋" w:hAnsi="仿宋" w:eastAsia="仿宋" w:cs="仿宋"/>
          <w:kern w:val="0"/>
          <w:sz w:val="24"/>
        </w:rPr>
        <w:t>）</w:t>
      </w:r>
      <w:r>
        <w:rPr>
          <w:rFonts w:ascii="仿宋_GB2312" w:hAnsi="仿宋_GB2312" w:eastAsia="仿宋_GB2312" w:cs="仿宋_GB2312"/>
          <w:sz w:val="21"/>
          <w:szCs w:val="21"/>
        </w:rPr>
        <w:t>_采购项目的 《磋商文件》，乙方的《投标（响应）文件》及《中标（成交）通知书》，甲乙双方同意签订本合同。具体情况及要求如下：</w:t>
      </w:r>
    </w:p>
    <w:p w14:paraId="04CBAF20">
      <w:pPr>
        <w:pStyle w:val="8"/>
        <w:numPr>
          <w:ilvl w:val="0"/>
          <w:numId w:val="1"/>
        </w:numPr>
        <w:ind w:left="140"/>
        <w:jc w:val="left"/>
        <w:outlineLvl w:val="2"/>
        <w:rPr>
          <w:rFonts w:ascii="仿宋_GB2312" w:hAnsi="仿宋_GB2312" w:eastAsia="仿宋_GB2312" w:cs="仿宋_GB2312"/>
          <w:b/>
          <w:sz w:val="28"/>
        </w:rPr>
      </w:pPr>
      <w:r>
        <w:rPr>
          <w:rFonts w:ascii="仿宋_GB2312" w:hAnsi="仿宋_GB2312" w:eastAsia="仿宋_GB2312" w:cs="仿宋_GB2312"/>
          <w:b/>
          <w:sz w:val="28"/>
        </w:rPr>
        <w:t>标的信息</w:t>
      </w:r>
    </w:p>
    <w:p w14:paraId="44B38117">
      <w:pPr>
        <w:pStyle w:val="8"/>
        <w:numPr>
          <w:ilvl w:val="0"/>
          <w:numId w:val="0"/>
        </w:numPr>
        <w:ind w:left="140"/>
        <w:jc w:val="left"/>
        <w:outlineLvl w:val="2"/>
        <w:rPr>
          <w:rFonts w:hint="default" w:ascii="仿宋_GB2312" w:hAnsi="仿宋_GB2312" w:eastAsia="仿宋_GB2312" w:cs="仿宋_GB2312"/>
          <w:b/>
          <w:sz w:val="28"/>
          <w:lang w:val="en-US"/>
        </w:rPr>
      </w:pPr>
      <w:r>
        <w:rPr>
          <w:rStyle w:val="9"/>
          <w:rFonts w:hint="eastAsia" w:ascii="仿宋" w:hAnsi="仿宋" w:eastAsia="仿宋" w:cs="仿宋"/>
          <w:kern w:val="0"/>
          <w:sz w:val="24"/>
          <w:lang w:val="en-US"/>
        </w:rPr>
        <w:t>全市</w:t>
      </w:r>
      <w:r>
        <w:rPr>
          <w:rStyle w:val="9"/>
          <w:rFonts w:hint="eastAsia" w:ascii="仿宋" w:hAnsi="仿宋" w:eastAsia="仿宋" w:cs="仿宋"/>
          <w:kern w:val="0"/>
          <w:sz w:val="24"/>
        </w:rPr>
        <w:t>审计数据规划及治理服务项目（</w:t>
      </w:r>
      <w:r>
        <w:rPr>
          <w:rStyle w:val="9"/>
          <w:rFonts w:hint="eastAsia" w:ascii="仿宋" w:hAnsi="仿宋" w:eastAsia="仿宋" w:cs="仿宋"/>
          <w:kern w:val="0"/>
          <w:sz w:val="24"/>
          <w:lang w:val="en-US"/>
        </w:rPr>
        <w:t>包一</w:t>
      </w:r>
      <w:r>
        <w:rPr>
          <w:rStyle w:val="9"/>
          <w:rFonts w:hint="eastAsia" w:ascii="仿宋" w:hAnsi="仿宋" w:eastAsia="仿宋" w:cs="仿宋"/>
          <w:kern w:val="0"/>
          <w:sz w:val="24"/>
        </w:rPr>
        <w:t>）</w:t>
      </w:r>
    </w:p>
    <w:p w14:paraId="04B0F7F0">
      <w:pPr>
        <w:pStyle w:val="8"/>
        <w:numPr>
          <w:ilvl w:val="0"/>
          <w:numId w:val="1"/>
        </w:numPr>
        <w:ind w:left="140"/>
        <w:jc w:val="left"/>
        <w:outlineLvl w:val="2"/>
        <w:rPr>
          <w:rFonts w:ascii="仿宋_GB2312" w:hAnsi="仿宋_GB2312" w:eastAsia="仿宋_GB2312" w:cs="仿宋_GB2312"/>
          <w:b/>
          <w:sz w:val="28"/>
        </w:rPr>
      </w:pPr>
      <w:r>
        <w:rPr>
          <w:rFonts w:ascii="仿宋_GB2312" w:hAnsi="仿宋_GB2312" w:eastAsia="仿宋_GB2312" w:cs="仿宋_GB2312"/>
          <w:b/>
          <w:sz w:val="28"/>
        </w:rPr>
        <w:t>服务要求</w:t>
      </w:r>
    </w:p>
    <w:p w14:paraId="21D340F3">
      <w:pPr>
        <w:pStyle w:val="8"/>
        <w:numPr>
          <w:ilvl w:val="0"/>
          <w:numId w:val="0"/>
        </w:numPr>
        <w:ind w:left="140"/>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1、服务内容清单</w:t>
      </w:r>
    </w:p>
    <w:tbl>
      <w:tblPr>
        <w:tblStyle w:val="5"/>
        <w:tblpPr w:leftFromText="180" w:rightFromText="180" w:vertAnchor="text" w:horzAnchor="page" w:tblpXSpec="center" w:tblpY="62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1498"/>
        <w:gridCol w:w="1908"/>
        <w:gridCol w:w="4025"/>
      </w:tblGrid>
      <w:tr w14:paraId="5EB4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81" w:type="dxa"/>
            <w:shd w:val="clear" w:color="000000" w:fill="FFFFFF"/>
            <w:noWrap w:val="0"/>
            <w:vAlign w:val="center"/>
          </w:tcPr>
          <w:p w14:paraId="4E965A90">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498" w:type="dxa"/>
            <w:shd w:val="clear" w:color="000000" w:fill="FFFFFF"/>
            <w:noWrap w:val="0"/>
            <w:vAlign w:val="center"/>
          </w:tcPr>
          <w:p w14:paraId="684F790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服务名称</w:t>
            </w:r>
          </w:p>
        </w:tc>
        <w:tc>
          <w:tcPr>
            <w:tcW w:w="1908" w:type="dxa"/>
            <w:shd w:val="clear" w:color="000000" w:fill="FFFFFF"/>
            <w:noWrap w:val="0"/>
            <w:vAlign w:val="center"/>
          </w:tcPr>
          <w:p w14:paraId="310E3DF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服务子项</w:t>
            </w:r>
          </w:p>
        </w:tc>
        <w:tc>
          <w:tcPr>
            <w:tcW w:w="4025" w:type="dxa"/>
            <w:shd w:val="clear" w:color="000000" w:fill="FFFFFF"/>
            <w:noWrap w:val="0"/>
            <w:vAlign w:val="center"/>
          </w:tcPr>
          <w:p w14:paraId="68829359">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内容描述</w:t>
            </w:r>
          </w:p>
        </w:tc>
      </w:tr>
      <w:tr w14:paraId="5358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481" w:type="dxa"/>
            <w:vMerge w:val="restart"/>
            <w:noWrap w:val="0"/>
            <w:vAlign w:val="center"/>
          </w:tcPr>
          <w:p w14:paraId="4C549AF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1498" w:type="dxa"/>
            <w:vMerge w:val="restart"/>
            <w:noWrap w:val="0"/>
            <w:vAlign w:val="center"/>
          </w:tcPr>
          <w:p w14:paraId="08973D19">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审计对象主题库服务</w:t>
            </w:r>
          </w:p>
        </w:tc>
        <w:tc>
          <w:tcPr>
            <w:tcW w:w="1908" w:type="dxa"/>
            <w:noWrap w:val="0"/>
            <w:vAlign w:val="center"/>
          </w:tcPr>
          <w:p w14:paraId="4AABC7A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审计对象业务科（股）室调研</w:t>
            </w:r>
          </w:p>
        </w:tc>
        <w:tc>
          <w:tcPr>
            <w:tcW w:w="4025" w:type="dxa"/>
            <w:noWrap w:val="0"/>
            <w:vAlign w:val="center"/>
          </w:tcPr>
          <w:p w14:paraId="4EC7A87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调研各业务科（股）室的审计对象，以及关注的业务指标</w:t>
            </w:r>
          </w:p>
        </w:tc>
      </w:tr>
      <w:tr w14:paraId="7A51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481" w:type="dxa"/>
            <w:vMerge w:val="continue"/>
            <w:noWrap w:val="0"/>
            <w:vAlign w:val="center"/>
          </w:tcPr>
          <w:p w14:paraId="396AD3C3">
            <w:pPr>
              <w:keepNext w:val="0"/>
              <w:keepLines w:val="0"/>
              <w:widowControl/>
              <w:suppressLineNumbers w:val="0"/>
              <w:spacing w:line="360" w:lineRule="auto"/>
              <w:jc w:val="right"/>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98" w:type="dxa"/>
            <w:vMerge w:val="continue"/>
            <w:noWrap w:val="0"/>
            <w:vAlign w:val="center"/>
          </w:tcPr>
          <w:p w14:paraId="1199DA3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DFB815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审计对象业务指标设计</w:t>
            </w:r>
          </w:p>
        </w:tc>
        <w:tc>
          <w:tcPr>
            <w:tcW w:w="4025" w:type="dxa"/>
            <w:noWrap w:val="0"/>
            <w:vAlign w:val="center"/>
          </w:tcPr>
          <w:p w14:paraId="76BFB036">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基于调研结果，对各审计对象的业务指标进行数据表设计</w:t>
            </w:r>
          </w:p>
        </w:tc>
      </w:tr>
      <w:tr w14:paraId="31EB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481" w:type="dxa"/>
            <w:vMerge w:val="continue"/>
            <w:noWrap w:val="0"/>
            <w:vAlign w:val="center"/>
          </w:tcPr>
          <w:p w14:paraId="510AFE21">
            <w:pPr>
              <w:keepNext w:val="0"/>
              <w:keepLines w:val="0"/>
              <w:widowControl/>
              <w:suppressLineNumbers w:val="0"/>
              <w:spacing w:line="360" w:lineRule="auto"/>
              <w:jc w:val="right"/>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98" w:type="dxa"/>
            <w:vMerge w:val="continue"/>
            <w:noWrap w:val="0"/>
            <w:vAlign w:val="center"/>
          </w:tcPr>
          <w:p w14:paraId="7DF8DB1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4D54B1C5">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历史审计对象数据入库</w:t>
            </w:r>
          </w:p>
        </w:tc>
        <w:tc>
          <w:tcPr>
            <w:tcW w:w="4025" w:type="dxa"/>
            <w:noWrap w:val="0"/>
            <w:vAlign w:val="center"/>
          </w:tcPr>
          <w:p w14:paraId="6FA0243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基于审计对象库的设计结果，将历史审计对象数据进行清洗治理并维护到数据库中</w:t>
            </w:r>
          </w:p>
        </w:tc>
      </w:tr>
      <w:tr w14:paraId="2DF2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481" w:type="dxa"/>
            <w:vMerge w:val="continue"/>
            <w:noWrap w:val="0"/>
            <w:vAlign w:val="center"/>
          </w:tcPr>
          <w:p w14:paraId="3D18F40D">
            <w:pPr>
              <w:keepNext w:val="0"/>
              <w:keepLines w:val="0"/>
              <w:widowControl/>
              <w:suppressLineNumbers w:val="0"/>
              <w:spacing w:line="360" w:lineRule="auto"/>
              <w:jc w:val="right"/>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98" w:type="dxa"/>
            <w:vMerge w:val="continue"/>
            <w:noWrap w:val="0"/>
            <w:vAlign w:val="center"/>
          </w:tcPr>
          <w:p w14:paraId="5D8D1D9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6AEF12D7">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年度审计对象数据维护</w:t>
            </w:r>
          </w:p>
        </w:tc>
        <w:tc>
          <w:tcPr>
            <w:tcW w:w="4025" w:type="dxa"/>
            <w:noWrap w:val="0"/>
            <w:vAlign w:val="center"/>
          </w:tcPr>
          <w:p w14:paraId="6EF74F2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维护发生变化的审计对象数据</w:t>
            </w:r>
          </w:p>
        </w:tc>
      </w:tr>
      <w:tr w14:paraId="4D40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481" w:type="dxa"/>
            <w:vMerge w:val="restart"/>
            <w:noWrap w:val="0"/>
            <w:vAlign w:val="center"/>
          </w:tcPr>
          <w:p w14:paraId="38665286">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1498" w:type="dxa"/>
            <w:vMerge w:val="restart"/>
            <w:noWrap w:val="0"/>
            <w:vAlign w:val="center"/>
          </w:tcPr>
          <w:p w14:paraId="62BB283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审计数据主题库服务</w:t>
            </w:r>
          </w:p>
        </w:tc>
        <w:tc>
          <w:tcPr>
            <w:tcW w:w="1908" w:type="dxa"/>
            <w:noWrap w:val="0"/>
            <w:vAlign w:val="center"/>
          </w:tcPr>
          <w:p w14:paraId="7E316117">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审计主题库业务科（股）室调研</w:t>
            </w:r>
          </w:p>
        </w:tc>
        <w:tc>
          <w:tcPr>
            <w:tcW w:w="4025" w:type="dxa"/>
            <w:noWrap w:val="0"/>
            <w:vAlign w:val="center"/>
          </w:tcPr>
          <w:p w14:paraId="496AE64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调研各业务科（股）室的审计业务，以及需要用到的主题数据表</w:t>
            </w:r>
          </w:p>
        </w:tc>
      </w:tr>
      <w:tr w14:paraId="5AD8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81" w:type="dxa"/>
            <w:vMerge w:val="continue"/>
            <w:noWrap w:val="0"/>
            <w:vAlign w:val="center"/>
          </w:tcPr>
          <w:p w14:paraId="55107C07">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D5E0877">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3C9A267A">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审计主题库数据表设计</w:t>
            </w:r>
          </w:p>
        </w:tc>
        <w:tc>
          <w:tcPr>
            <w:tcW w:w="4025" w:type="dxa"/>
            <w:noWrap w:val="0"/>
            <w:vAlign w:val="center"/>
          </w:tcPr>
          <w:p w14:paraId="2A497288">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基于调研结果，设计各业务科（股）室用到的主题数据表</w:t>
            </w:r>
          </w:p>
        </w:tc>
      </w:tr>
      <w:tr w14:paraId="664D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81" w:type="dxa"/>
            <w:vMerge w:val="continue"/>
            <w:noWrap w:val="0"/>
            <w:vAlign w:val="center"/>
          </w:tcPr>
          <w:p w14:paraId="3B781CA2">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77839EF">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5C86006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审计主题库数据表创建</w:t>
            </w:r>
          </w:p>
        </w:tc>
        <w:tc>
          <w:tcPr>
            <w:tcW w:w="4025" w:type="dxa"/>
            <w:noWrap w:val="0"/>
            <w:vAlign w:val="center"/>
          </w:tcPr>
          <w:p w14:paraId="7D330CD6">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基于主题数据表设计结果，利用管理工具创建相应的数据表</w:t>
            </w:r>
          </w:p>
        </w:tc>
      </w:tr>
      <w:tr w14:paraId="2BDB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481" w:type="dxa"/>
            <w:vMerge w:val="continue"/>
            <w:noWrap w:val="0"/>
            <w:vAlign w:val="center"/>
          </w:tcPr>
          <w:p w14:paraId="1C99B473">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B1877D6">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39659A0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年度主题库数据表维护</w:t>
            </w:r>
          </w:p>
        </w:tc>
        <w:tc>
          <w:tcPr>
            <w:tcW w:w="4025" w:type="dxa"/>
            <w:noWrap w:val="0"/>
            <w:vAlign w:val="center"/>
          </w:tcPr>
          <w:p w14:paraId="2E1FA45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维护每年发生变化的审计主题数据表及历史数据</w:t>
            </w:r>
          </w:p>
        </w:tc>
      </w:tr>
      <w:tr w14:paraId="2350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restart"/>
            <w:noWrap w:val="0"/>
            <w:vAlign w:val="center"/>
          </w:tcPr>
          <w:p w14:paraId="6A55ED79">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1498" w:type="dxa"/>
            <w:vMerge w:val="restart"/>
            <w:noWrap w:val="0"/>
            <w:vAlign w:val="center"/>
          </w:tcPr>
          <w:p w14:paraId="1D99FE0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审计数据标准服务</w:t>
            </w:r>
          </w:p>
        </w:tc>
        <w:tc>
          <w:tcPr>
            <w:tcW w:w="1908" w:type="dxa"/>
            <w:noWrap w:val="0"/>
            <w:vAlign w:val="center"/>
          </w:tcPr>
          <w:p w14:paraId="47C7BF5E">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审计数据标准科室调研</w:t>
            </w:r>
          </w:p>
        </w:tc>
        <w:tc>
          <w:tcPr>
            <w:tcW w:w="4025" w:type="dxa"/>
            <w:noWrap w:val="0"/>
            <w:vAlign w:val="center"/>
          </w:tcPr>
          <w:p w14:paraId="6340D21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调研各业务科（股）室的审计数据标准</w:t>
            </w:r>
          </w:p>
        </w:tc>
      </w:tr>
      <w:tr w14:paraId="39F9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continue"/>
            <w:noWrap w:val="0"/>
            <w:vAlign w:val="center"/>
          </w:tcPr>
          <w:p w14:paraId="739FE775">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FFC9AF1">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3438333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审计数据标准设计</w:t>
            </w:r>
          </w:p>
        </w:tc>
        <w:tc>
          <w:tcPr>
            <w:tcW w:w="4025" w:type="dxa"/>
            <w:noWrap w:val="0"/>
            <w:vAlign w:val="center"/>
          </w:tcPr>
          <w:p w14:paraId="122B199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基于调研结果，对各业务科（股）室用到的数据标准进行数据设计</w:t>
            </w:r>
          </w:p>
        </w:tc>
      </w:tr>
      <w:tr w14:paraId="4D49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continue"/>
            <w:noWrap w:val="0"/>
            <w:vAlign w:val="center"/>
          </w:tcPr>
          <w:p w14:paraId="2259962E">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217682D5">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68B9467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审计数据标准入库</w:t>
            </w:r>
          </w:p>
        </w:tc>
        <w:tc>
          <w:tcPr>
            <w:tcW w:w="4025" w:type="dxa"/>
            <w:noWrap w:val="0"/>
            <w:vAlign w:val="center"/>
          </w:tcPr>
          <w:p w14:paraId="30BB10C8">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基于数据标准的设计结果，建立审计标准数据表，并将标准数据存入到标准数据表</w:t>
            </w:r>
          </w:p>
        </w:tc>
      </w:tr>
      <w:tr w14:paraId="0AF0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continue"/>
            <w:noWrap w:val="0"/>
            <w:vAlign w:val="center"/>
          </w:tcPr>
          <w:p w14:paraId="058917A9">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774F5710">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5555DD7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年度审计数据标准维护</w:t>
            </w:r>
          </w:p>
        </w:tc>
        <w:tc>
          <w:tcPr>
            <w:tcW w:w="4025" w:type="dxa"/>
            <w:noWrap w:val="0"/>
            <w:vAlign w:val="center"/>
          </w:tcPr>
          <w:p w14:paraId="66794C7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维护发生变化的审计数据标准</w:t>
            </w:r>
          </w:p>
        </w:tc>
      </w:tr>
      <w:tr w14:paraId="1D60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restart"/>
            <w:noWrap w:val="0"/>
            <w:vAlign w:val="center"/>
          </w:tcPr>
          <w:p w14:paraId="46DAB08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1498" w:type="dxa"/>
            <w:vMerge w:val="restart"/>
            <w:noWrap w:val="0"/>
            <w:vAlign w:val="center"/>
          </w:tcPr>
          <w:p w14:paraId="35619020">
            <w:pPr>
              <w:spacing w:line="360" w:lineRule="auto"/>
              <w:jc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历史数据服务</w:t>
            </w:r>
          </w:p>
        </w:tc>
        <w:tc>
          <w:tcPr>
            <w:tcW w:w="1908" w:type="dxa"/>
            <w:noWrap w:val="0"/>
            <w:vAlign w:val="center"/>
          </w:tcPr>
          <w:p w14:paraId="76B68B21">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历史数据摸排调研</w:t>
            </w:r>
          </w:p>
        </w:tc>
        <w:tc>
          <w:tcPr>
            <w:tcW w:w="4025" w:type="dxa"/>
            <w:noWrap w:val="0"/>
            <w:vAlign w:val="center"/>
          </w:tcPr>
          <w:p w14:paraId="61EA4A3D">
            <w:pPr>
              <w:keepNext w:val="0"/>
              <w:keepLines w:val="0"/>
              <w:widowControl/>
              <w:suppressLineNumbers w:val="0"/>
              <w:spacing w:line="360" w:lineRule="auto"/>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摸排调研各业务科（股）室的历史数据情况信息和需求</w:t>
            </w:r>
          </w:p>
        </w:tc>
      </w:tr>
      <w:tr w14:paraId="0189C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continue"/>
            <w:noWrap w:val="0"/>
            <w:vAlign w:val="center"/>
          </w:tcPr>
          <w:p w14:paraId="13C4AC5C">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18BB80F5">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61AFE3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历史数据质量检测</w:t>
            </w:r>
          </w:p>
        </w:tc>
        <w:tc>
          <w:tcPr>
            <w:tcW w:w="4025" w:type="dxa"/>
            <w:noWrap w:val="0"/>
            <w:vAlign w:val="center"/>
          </w:tcPr>
          <w:p w14:paraId="6EA8DBCD">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基于历史数据的摸排调研结果，以及审计主题数据的的要求，需要对历史数据进行质量检测</w:t>
            </w:r>
          </w:p>
        </w:tc>
      </w:tr>
      <w:tr w14:paraId="24FF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481" w:type="dxa"/>
            <w:vMerge w:val="continue"/>
            <w:noWrap w:val="0"/>
            <w:vAlign w:val="center"/>
          </w:tcPr>
          <w:p w14:paraId="0329F8AF">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EBCE4F2">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7725575">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历史数据清洗治理</w:t>
            </w:r>
          </w:p>
        </w:tc>
        <w:tc>
          <w:tcPr>
            <w:tcW w:w="4025" w:type="dxa"/>
            <w:noWrap w:val="0"/>
            <w:vAlign w:val="center"/>
          </w:tcPr>
          <w:p w14:paraId="5719715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基于历史数据的质量检测结果，以及审计数据标准的要求，需要对历史数据进行清洗治理</w:t>
            </w:r>
          </w:p>
        </w:tc>
      </w:tr>
      <w:tr w14:paraId="26FB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81" w:type="dxa"/>
            <w:vMerge w:val="continue"/>
            <w:noWrap w:val="0"/>
            <w:vAlign w:val="center"/>
          </w:tcPr>
          <w:p w14:paraId="60C4428D">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7ECBC20A">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6F038F49">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历史数据入库</w:t>
            </w:r>
          </w:p>
        </w:tc>
        <w:tc>
          <w:tcPr>
            <w:tcW w:w="4025" w:type="dxa"/>
            <w:noWrap w:val="0"/>
            <w:vAlign w:val="center"/>
          </w:tcPr>
          <w:p w14:paraId="6611864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将清洗治理后的历史数据存入到数据标准表中，以提供给各业务科（股）室使用</w:t>
            </w:r>
          </w:p>
        </w:tc>
      </w:tr>
      <w:tr w14:paraId="226D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60F4AE94">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5</w:t>
            </w:r>
          </w:p>
        </w:tc>
        <w:tc>
          <w:tcPr>
            <w:tcW w:w="1498" w:type="dxa"/>
            <w:vMerge w:val="restart"/>
            <w:noWrap w:val="0"/>
            <w:vAlign w:val="center"/>
          </w:tcPr>
          <w:p w14:paraId="72160B4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共享数据接入服务</w:t>
            </w:r>
          </w:p>
        </w:tc>
        <w:tc>
          <w:tcPr>
            <w:tcW w:w="1908" w:type="dxa"/>
            <w:noWrap w:val="0"/>
            <w:vAlign w:val="center"/>
          </w:tcPr>
          <w:p w14:paraId="6402C3A5">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共享数据摸排调研</w:t>
            </w:r>
          </w:p>
        </w:tc>
        <w:tc>
          <w:tcPr>
            <w:tcW w:w="4025" w:type="dxa"/>
            <w:noWrap w:val="0"/>
            <w:vAlign w:val="center"/>
          </w:tcPr>
          <w:p w14:paraId="44B0686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调研乐山市数据共享目录里的数据情况</w:t>
            </w:r>
          </w:p>
        </w:tc>
      </w:tr>
      <w:tr w14:paraId="37AA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2515EC1B">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63858914">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756BDAC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共享数据接入接口</w:t>
            </w:r>
          </w:p>
        </w:tc>
        <w:tc>
          <w:tcPr>
            <w:tcW w:w="4025" w:type="dxa"/>
            <w:noWrap w:val="0"/>
            <w:vAlign w:val="center"/>
          </w:tcPr>
          <w:p w14:paraId="5BE3171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基于共享数据摸排调研的结果，编写共享数据接入接口读取共享数据，且在数据和需求发生变化时能够调整数据接口</w:t>
            </w:r>
          </w:p>
        </w:tc>
      </w:tr>
      <w:tr w14:paraId="025E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4DDE8B10">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1FDEC4A8">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06136C5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highlight w:val="none"/>
              </w:rPr>
              <w:t>共享数据直连采集</w:t>
            </w:r>
          </w:p>
        </w:tc>
        <w:tc>
          <w:tcPr>
            <w:tcW w:w="4025" w:type="dxa"/>
            <w:noWrap w:val="0"/>
            <w:vAlign w:val="center"/>
          </w:tcPr>
          <w:p w14:paraId="25AFDA28">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对于以数据库表存在的共享数据，利用共享数据接入接口进行采集。</w:t>
            </w:r>
          </w:p>
        </w:tc>
      </w:tr>
      <w:tr w14:paraId="169C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25E57C27">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6B2E4F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1C516B7F">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共享数据质量检测</w:t>
            </w:r>
          </w:p>
        </w:tc>
        <w:tc>
          <w:tcPr>
            <w:tcW w:w="4025" w:type="dxa"/>
            <w:noWrap w:val="0"/>
            <w:vAlign w:val="center"/>
          </w:tcPr>
          <w:p w14:paraId="45F7D34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根据各业务科（股）室的数据标准，对数据进行数据质量检测</w:t>
            </w:r>
          </w:p>
        </w:tc>
      </w:tr>
      <w:tr w14:paraId="364A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708C4919">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703C102D">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1E097048">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共享数据清洗治理</w:t>
            </w:r>
          </w:p>
        </w:tc>
        <w:tc>
          <w:tcPr>
            <w:tcW w:w="4025" w:type="dxa"/>
            <w:noWrap w:val="0"/>
            <w:vAlign w:val="center"/>
          </w:tcPr>
          <w:p w14:paraId="51237CFB">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基于共享数据的质量检测结果，以及审计数据标准的要求，需要对获取到的共享数据进行清洗治理</w:t>
            </w:r>
          </w:p>
        </w:tc>
      </w:tr>
      <w:tr w14:paraId="72C6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034A2952">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01CD8C6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5E8A4EB0">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共享数据入库</w:t>
            </w:r>
          </w:p>
        </w:tc>
        <w:tc>
          <w:tcPr>
            <w:tcW w:w="4025" w:type="dxa"/>
            <w:noWrap w:val="0"/>
            <w:vAlign w:val="center"/>
          </w:tcPr>
          <w:p w14:paraId="1C45FB4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将清洗治理后的共享数据存入到数据标准表中，以提供给各业务科（股）室使用</w:t>
            </w:r>
          </w:p>
        </w:tc>
      </w:tr>
      <w:tr w14:paraId="43ED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681C860F">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6</w:t>
            </w:r>
          </w:p>
        </w:tc>
        <w:tc>
          <w:tcPr>
            <w:tcW w:w="1498" w:type="dxa"/>
            <w:vMerge w:val="restart"/>
            <w:noWrap w:val="0"/>
            <w:vAlign w:val="center"/>
          </w:tcPr>
          <w:p w14:paraId="5ABC7889">
            <w:pPr>
              <w:spacing w:line="360" w:lineRule="auto"/>
              <w:jc w:val="both"/>
              <w:rPr>
                <w:rFonts w:hint="eastAsia"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年度数据服务</w:t>
            </w:r>
          </w:p>
        </w:tc>
        <w:tc>
          <w:tcPr>
            <w:tcW w:w="1908" w:type="dxa"/>
            <w:noWrap w:val="0"/>
            <w:vAlign w:val="center"/>
          </w:tcPr>
          <w:p w14:paraId="58210E7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年度数据调研</w:t>
            </w:r>
          </w:p>
        </w:tc>
        <w:tc>
          <w:tcPr>
            <w:tcW w:w="4025" w:type="dxa"/>
            <w:noWrap w:val="0"/>
            <w:vAlign w:val="center"/>
          </w:tcPr>
          <w:p w14:paraId="2D2A3F7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调研年度数据及主题数据的变化，以适应审计业务的需要</w:t>
            </w:r>
          </w:p>
        </w:tc>
      </w:tr>
      <w:tr w14:paraId="40C7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0EE94375">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2C297904">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F6A7137">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年度数据采集</w:t>
            </w:r>
          </w:p>
        </w:tc>
        <w:tc>
          <w:tcPr>
            <w:tcW w:w="4025" w:type="dxa"/>
            <w:noWrap w:val="0"/>
            <w:vAlign w:val="center"/>
          </w:tcPr>
          <w:p w14:paraId="651272D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基于年度数据采集的周期性要求，以及周期数据的调研结果，进行年度数据采集</w:t>
            </w:r>
          </w:p>
        </w:tc>
      </w:tr>
      <w:tr w14:paraId="46FA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761749A">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A730ACE">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68184B22">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年度数据质量检测</w:t>
            </w:r>
          </w:p>
        </w:tc>
        <w:tc>
          <w:tcPr>
            <w:tcW w:w="4025" w:type="dxa"/>
            <w:noWrap w:val="0"/>
            <w:vAlign w:val="center"/>
          </w:tcPr>
          <w:p w14:paraId="25D9453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对每年采集得到的年度数据，结合各业务科（股）室的数据标准，对数据进行数据质量检测</w:t>
            </w:r>
          </w:p>
        </w:tc>
      </w:tr>
      <w:tr w14:paraId="5478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0EDCDE3C">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EC9A46A">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78CA4C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年度数据清洗治理</w:t>
            </w:r>
          </w:p>
        </w:tc>
        <w:tc>
          <w:tcPr>
            <w:tcW w:w="4025" w:type="dxa"/>
            <w:noWrap w:val="0"/>
            <w:vAlign w:val="center"/>
          </w:tcPr>
          <w:p w14:paraId="68BAD90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基于年度数据的质量检测结果，以及审计数据标准的要求，对采集到的年度数据进行清洗治理</w:t>
            </w:r>
          </w:p>
        </w:tc>
      </w:tr>
      <w:tr w14:paraId="6265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2C8BFDCC">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6E1A4D32">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25FF3E0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年度数据入库</w:t>
            </w:r>
          </w:p>
        </w:tc>
        <w:tc>
          <w:tcPr>
            <w:tcW w:w="4025" w:type="dxa"/>
            <w:noWrap w:val="0"/>
            <w:vAlign w:val="center"/>
          </w:tcPr>
          <w:p w14:paraId="6362130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将清洗治理后的年度数据存入到数据标准表中，以提供给各业务科（股）室使用</w:t>
            </w:r>
          </w:p>
        </w:tc>
      </w:tr>
      <w:tr w14:paraId="46E9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34B682BD">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7</w:t>
            </w:r>
          </w:p>
        </w:tc>
        <w:tc>
          <w:tcPr>
            <w:tcW w:w="1498" w:type="dxa"/>
            <w:vMerge w:val="restart"/>
            <w:noWrap w:val="0"/>
            <w:vAlign w:val="center"/>
          </w:tcPr>
          <w:p w14:paraId="411D2019">
            <w:pPr>
              <w:spacing w:line="360" w:lineRule="auto"/>
              <w:jc w:val="both"/>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年度项目数据服务</w:t>
            </w:r>
          </w:p>
        </w:tc>
        <w:tc>
          <w:tcPr>
            <w:tcW w:w="1908" w:type="dxa"/>
            <w:noWrap w:val="0"/>
            <w:vAlign w:val="center"/>
          </w:tcPr>
          <w:p w14:paraId="420E73B6">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年度项目数据调研</w:t>
            </w:r>
          </w:p>
        </w:tc>
        <w:tc>
          <w:tcPr>
            <w:tcW w:w="4025" w:type="dxa"/>
            <w:noWrap w:val="0"/>
            <w:vAlign w:val="center"/>
          </w:tcPr>
          <w:p w14:paraId="0BB6723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审计项目开始前根据具体的审计事项，对需要用到的数据做需求调研</w:t>
            </w:r>
          </w:p>
        </w:tc>
      </w:tr>
      <w:tr w14:paraId="4B22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6FD07EDA">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5F4BD9F">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56E8D855">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年度项目数据采集</w:t>
            </w:r>
          </w:p>
        </w:tc>
        <w:tc>
          <w:tcPr>
            <w:tcW w:w="4025" w:type="dxa"/>
            <w:noWrap w:val="0"/>
            <w:vAlign w:val="center"/>
          </w:tcPr>
          <w:p w14:paraId="68D928E9">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基于项目数据的调研结果，采集项目所需要的数据，并存入到原始库中</w:t>
            </w:r>
          </w:p>
        </w:tc>
      </w:tr>
      <w:tr w14:paraId="3EE0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239B4AE0">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24476F64">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2EBA908B">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年度项目数据质量检测</w:t>
            </w:r>
          </w:p>
        </w:tc>
        <w:tc>
          <w:tcPr>
            <w:tcW w:w="4025" w:type="dxa"/>
            <w:noWrap w:val="0"/>
            <w:vAlign w:val="center"/>
          </w:tcPr>
          <w:p w14:paraId="47BE328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针对每个项目采集得到的数据，结合各业务科（股）室的标准及各项目实施的具体要求，对项目数据进行质量检测</w:t>
            </w:r>
          </w:p>
        </w:tc>
      </w:tr>
      <w:tr w14:paraId="484A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66548207">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1A83A1EA">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CEAFC2E">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年度项目数据清洗治理</w:t>
            </w:r>
          </w:p>
        </w:tc>
        <w:tc>
          <w:tcPr>
            <w:tcW w:w="4025" w:type="dxa"/>
            <w:noWrap w:val="0"/>
            <w:vAlign w:val="center"/>
          </w:tcPr>
          <w:p w14:paraId="4F13868D">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基于项目数据的质量检测结果，以及审计数据标准的要求，并结合各项目实施的具体数据要求，对采集到的数据进行清洗治理</w:t>
            </w:r>
          </w:p>
        </w:tc>
      </w:tr>
      <w:tr w14:paraId="7D45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0AE8F079">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80C0AF4">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3090FBD5">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年度项目数据入库</w:t>
            </w:r>
          </w:p>
        </w:tc>
        <w:tc>
          <w:tcPr>
            <w:tcW w:w="4025" w:type="dxa"/>
            <w:noWrap w:val="0"/>
            <w:vAlign w:val="center"/>
          </w:tcPr>
          <w:p w14:paraId="138D200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将清洗治理后的年度项目数据存入到数据标准表中，以提供给各审计项目使用</w:t>
            </w:r>
          </w:p>
        </w:tc>
      </w:tr>
      <w:tr w14:paraId="77F1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006586D2">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w:t>
            </w:r>
          </w:p>
        </w:tc>
        <w:tc>
          <w:tcPr>
            <w:tcW w:w="1498" w:type="dxa"/>
            <w:vMerge w:val="restart"/>
            <w:noWrap w:val="0"/>
            <w:vAlign w:val="center"/>
          </w:tcPr>
          <w:p w14:paraId="3E85A8B6">
            <w:pPr>
              <w:spacing w:line="360" w:lineRule="auto"/>
              <w:jc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审计数据分析服务</w:t>
            </w:r>
          </w:p>
        </w:tc>
        <w:tc>
          <w:tcPr>
            <w:tcW w:w="1908" w:type="dxa"/>
            <w:noWrap w:val="0"/>
            <w:vAlign w:val="center"/>
          </w:tcPr>
          <w:p w14:paraId="2C23CA58">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数据分析需求调研</w:t>
            </w:r>
          </w:p>
        </w:tc>
        <w:tc>
          <w:tcPr>
            <w:tcW w:w="4025" w:type="dxa"/>
            <w:noWrap w:val="0"/>
            <w:vAlign w:val="center"/>
          </w:tcPr>
          <w:p w14:paraId="248D41E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调研各业务科（股）室的数据分析需求，包括数据分析名称，数据分析思路，数据分析数据表等</w:t>
            </w:r>
          </w:p>
        </w:tc>
      </w:tr>
      <w:tr w14:paraId="546C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7549FD6">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0D1168A0">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181289A">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数据分析模型构建</w:t>
            </w:r>
          </w:p>
        </w:tc>
        <w:tc>
          <w:tcPr>
            <w:tcW w:w="4025" w:type="dxa"/>
            <w:noWrap w:val="0"/>
            <w:vAlign w:val="center"/>
          </w:tcPr>
          <w:p w14:paraId="20C500CB">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基于数据分析需求调研结果、已建立的审计主题数据库以及导入的审计主题数据，建立各业务科（股）室的审计数据分析模型</w:t>
            </w:r>
          </w:p>
        </w:tc>
      </w:tr>
      <w:tr w14:paraId="3ECE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88619FC">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518CB829">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52D7B34A">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数据分析体系管理</w:t>
            </w:r>
          </w:p>
        </w:tc>
        <w:tc>
          <w:tcPr>
            <w:tcW w:w="4025" w:type="dxa"/>
            <w:noWrap w:val="0"/>
            <w:vAlign w:val="center"/>
          </w:tcPr>
          <w:p w14:paraId="093C9445">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维护管理审计体系，按照不同审计分析专题、事项，进行审计分析模型体系化梳理</w:t>
            </w:r>
          </w:p>
        </w:tc>
      </w:tr>
      <w:tr w14:paraId="5794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CCD45AD">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0178060E">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247E60FB">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年度数据分析模型优化</w:t>
            </w:r>
          </w:p>
        </w:tc>
        <w:tc>
          <w:tcPr>
            <w:tcW w:w="4025" w:type="dxa"/>
            <w:noWrap w:val="0"/>
            <w:vAlign w:val="center"/>
          </w:tcPr>
          <w:p w14:paraId="78EDA4A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根据业务的发展及数据变化及时调整优化审计分析模型，以满足审计业务的发展需要</w:t>
            </w:r>
          </w:p>
        </w:tc>
      </w:tr>
      <w:tr w14:paraId="0CD5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292370A">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669EE633">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286D59AA">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年度数据分析体系优化</w:t>
            </w:r>
          </w:p>
        </w:tc>
        <w:tc>
          <w:tcPr>
            <w:tcW w:w="4025" w:type="dxa"/>
            <w:noWrap w:val="0"/>
            <w:vAlign w:val="center"/>
          </w:tcPr>
          <w:p w14:paraId="7F34ACE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基于审计科室的审计业务变化及模型优化，不定时的优化数据分析体系，以满足审计业务的发展需要</w:t>
            </w:r>
          </w:p>
        </w:tc>
      </w:tr>
      <w:tr w14:paraId="05E3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1" w:type="dxa"/>
            <w:vMerge w:val="restart"/>
            <w:noWrap w:val="0"/>
            <w:vAlign w:val="center"/>
          </w:tcPr>
          <w:p w14:paraId="55266B2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9</w:t>
            </w:r>
          </w:p>
        </w:tc>
        <w:tc>
          <w:tcPr>
            <w:tcW w:w="1498" w:type="dxa"/>
            <w:vMerge w:val="restart"/>
            <w:noWrap w:val="0"/>
            <w:vAlign w:val="center"/>
          </w:tcPr>
          <w:p w14:paraId="48E3F194">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服务器基础环境</w:t>
            </w:r>
          </w:p>
        </w:tc>
        <w:tc>
          <w:tcPr>
            <w:tcW w:w="1908" w:type="dxa"/>
            <w:noWrap w:val="0"/>
            <w:vAlign w:val="center"/>
          </w:tcPr>
          <w:p w14:paraId="69B17D1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操作系统</w:t>
            </w:r>
          </w:p>
        </w:tc>
        <w:tc>
          <w:tcPr>
            <w:tcW w:w="4025" w:type="dxa"/>
            <w:noWrap w:val="0"/>
            <w:vAlign w:val="center"/>
          </w:tcPr>
          <w:p w14:paraId="679F26A5">
            <w:pPr>
              <w:widowControl/>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2"/>
                <w:sz w:val="24"/>
                <w:szCs w:val="24"/>
                <w:highlight w:val="none"/>
                <w:u w:val="none"/>
                <w:lang w:val="en-US" w:eastAsia="zh-CN" w:bidi="ar-SA"/>
              </w:rPr>
              <w:t>国产系统、ARM架构</w:t>
            </w:r>
          </w:p>
        </w:tc>
      </w:tr>
      <w:tr w14:paraId="6AAC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1" w:type="dxa"/>
            <w:vMerge w:val="continue"/>
            <w:noWrap w:val="0"/>
            <w:vAlign w:val="center"/>
          </w:tcPr>
          <w:p w14:paraId="6885E85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498" w:type="dxa"/>
            <w:vMerge w:val="continue"/>
            <w:noWrap w:val="0"/>
            <w:vAlign w:val="center"/>
          </w:tcPr>
          <w:p w14:paraId="75754CD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163930B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数据库</w:t>
            </w:r>
          </w:p>
        </w:tc>
        <w:tc>
          <w:tcPr>
            <w:tcW w:w="4025" w:type="dxa"/>
            <w:noWrap w:val="0"/>
            <w:vAlign w:val="center"/>
          </w:tcPr>
          <w:p w14:paraId="0FDF58F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国产数据库，支持高并发高吞吐量</w:t>
            </w:r>
          </w:p>
        </w:tc>
      </w:tr>
      <w:tr w14:paraId="3CDF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1" w:type="dxa"/>
            <w:vMerge w:val="continue"/>
            <w:noWrap w:val="0"/>
            <w:vAlign w:val="center"/>
          </w:tcPr>
          <w:p w14:paraId="0B3E3E2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498" w:type="dxa"/>
            <w:vMerge w:val="continue"/>
            <w:noWrap w:val="0"/>
            <w:vAlign w:val="center"/>
          </w:tcPr>
          <w:p w14:paraId="481FAEB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6E40F6F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Web服务器</w:t>
            </w:r>
          </w:p>
        </w:tc>
        <w:tc>
          <w:tcPr>
            <w:tcW w:w="4025" w:type="dxa"/>
            <w:noWrap w:val="0"/>
            <w:vAlign w:val="center"/>
          </w:tcPr>
          <w:p w14:paraId="405B3BB9">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国产软件</w:t>
            </w:r>
          </w:p>
        </w:tc>
      </w:tr>
      <w:tr w14:paraId="3AB5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1" w:type="dxa"/>
            <w:vMerge w:val="continue"/>
            <w:noWrap w:val="0"/>
            <w:vAlign w:val="center"/>
          </w:tcPr>
          <w:p w14:paraId="57D882F9">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498" w:type="dxa"/>
            <w:vMerge w:val="continue"/>
            <w:noWrap w:val="0"/>
            <w:vAlign w:val="center"/>
          </w:tcPr>
          <w:p w14:paraId="55A14D7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2A915EE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容器集群管理</w:t>
            </w:r>
          </w:p>
        </w:tc>
        <w:tc>
          <w:tcPr>
            <w:tcW w:w="4025" w:type="dxa"/>
            <w:noWrap w:val="0"/>
            <w:vAlign w:val="center"/>
          </w:tcPr>
          <w:p w14:paraId="5304BF00">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国产平台</w:t>
            </w:r>
          </w:p>
        </w:tc>
      </w:tr>
      <w:tr w14:paraId="252B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1" w:type="dxa"/>
            <w:vMerge w:val="continue"/>
            <w:noWrap w:val="0"/>
            <w:vAlign w:val="center"/>
          </w:tcPr>
          <w:p w14:paraId="0994BA2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498" w:type="dxa"/>
            <w:vMerge w:val="continue"/>
            <w:noWrap w:val="0"/>
            <w:vAlign w:val="center"/>
          </w:tcPr>
          <w:p w14:paraId="54B2061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p>
        </w:tc>
        <w:tc>
          <w:tcPr>
            <w:tcW w:w="1908" w:type="dxa"/>
            <w:noWrap w:val="0"/>
            <w:vAlign w:val="center"/>
          </w:tcPr>
          <w:p w14:paraId="3E90E906">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高速缓存</w:t>
            </w:r>
          </w:p>
        </w:tc>
        <w:tc>
          <w:tcPr>
            <w:tcW w:w="4025" w:type="dxa"/>
            <w:noWrap w:val="0"/>
            <w:vAlign w:val="center"/>
          </w:tcPr>
          <w:p w14:paraId="2FB4801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国产缓存</w:t>
            </w:r>
          </w:p>
        </w:tc>
      </w:tr>
      <w:tr w14:paraId="30B1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2E3AD3C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10</w:t>
            </w:r>
          </w:p>
        </w:tc>
        <w:tc>
          <w:tcPr>
            <w:tcW w:w="1498" w:type="dxa"/>
            <w:vMerge w:val="restart"/>
            <w:noWrap w:val="0"/>
            <w:vAlign w:val="center"/>
          </w:tcPr>
          <w:p w14:paraId="3E7BE3A3">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服务依赖工具</w:t>
            </w:r>
          </w:p>
        </w:tc>
        <w:tc>
          <w:tcPr>
            <w:tcW w:w="1908" w:type="dxa"/>
            <w:noWrap w:val="0"/>
            <w:vAlign w:val="center"/>
          </w:tcPr>
          <w:p w14:paraId="098B8B6C">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bidi="ar"/>
              </w:rPr>
              <w:t>审计对象库管理工具</w:t>
            </w:r>
          </w:p>
        </w:tc>
        <w:tc>
          <w:tcPr>
            <w:tcW w:w="4025" w:type="dxa"/>
            <w:noWrap w:val="0"/>
            <w:vAlign w:val="center"/>
          </w:tcPr>
          <w:p w14:paraId="2B06466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管理审计对象，包括审计对象汇总、审计对象类型维护、审计对象管理等功能。</w:t>
            </w:r>
          </w:p>
        </w:tc>
      </w:tr>
      <w:tr w14:paraId="58FA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81" w:type="dxa"/>
            <w:vMerge w:val="continue"/>
            <w:noWrap w:val="0"/>
            <w:vAlign w:val="center"/>
          </w:tcPr>
          <w:p w14:paraId="0FADD8A2">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1975FA79">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69121B3A">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bidi="ar"/>
              </w:rPr>
              <w:t>审计主题库管理工具</w:t>
            </w:r>
          </w:p>
        </w:tc>
        <w:tc>
          <w:tcPr>
            <w:tcW w:w="4025" w:type="dxa"/>
            <w:noWrap w:val="0"/>
            <w:vAlign w:val="center"/>
          </w:tcPr>
          <w:p w14:paraId="6853243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管理审计主题库，包括数仓分层、主题域管理、数据表管理、元数据管理等功能。</w:t>
            </w:r>
          </w:p>
        </w:tc>
      </w:tr>
      <w:tr w14:paraId="1A1F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0B09D798">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B57E733">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50CA25DC">
            <w:pPr>
              <w:keepNext w:val="0"/>
              <w:keepLines w:val="0"/>
              <w:widowControl/>
              <w:suppressLineNumbers w:val="0"/>
              <w:spacing w:line="360" w:lineRule="auto"/>
              <w:jc w:val="both"/>
              <w:textAlignment w:val="bottom"/>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bidi="ar"/>
              </w:rPr>
              <w:t>审计数据标准管理工具</w:t>
            </w:r>
          </w:p>
        </w:tc>
        <w:tc>
          <w:tcPr>
            <w:tcW w:w="4025" w:type="dxa"/>
            <w:noWrap w:val="0"/>
            <w:vAlign w:val="center"/>
          </w:tcPr>
          <w:p w14:paraId="14659A1F">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管理审计</w:t>
            </w:r>
            <w:r>
              <w:rPr>
                <w:rFonts w:hint="eastAsia" w:ascii="仿宋" w:hAnsi="仿宋" w:eastAsia="仿宋" w:cs="仿宋"/>
                <w:i w:val="0"/>
                <w:color w:val="000000"/>
                <w:kern w:val="0"/>
                <w:sz w:val="24"/>
                <w:szCs w:val="24"/>
                <w:highlight w:val="none"/>
                <w:u w:val="none"/>
                <w:lang w:val="en-US" w:eastAsia="zh-CN" w:bidi="ar"/>
              </w:rPr>
              <w:t>数据标准，包括单标准数据管理及层级标准数据管理</w:t>
            </w:r>
          </w:p>
        </w:tc>
      </w:tr>
      <w:tr w14:paraId="1722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19FFF857">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5D7E01B6">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6969A9A">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bidi="ar"/>
              </w:rPr>
              <w:t>审计数据管理工具</w:t>
            </w:r>
          </w:p>
        </w:tc>
        <w:tc>
          <w:tcPr>
            <w:tcW w:w="4025" w:type="dxa"/>
            <w:noWrap w:val="0"/>
            <w:vAlign w:val="center"/>
          </w:tcPr>
          <w:p w14:paraId="0D460FF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管理审计数据采、治、管、用全流程，包括数据源管理、数据采集、数据质检、数据清洗治理、数据管理等功能</w:t>
            </w:r>
          </w:p>
        </w:tc>
      </w:tr>
      <w:tr w14:paraId="2ED8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7D3E1871">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0297C0C0">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0CFE3D24">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bidi="ar"/>
              </w:rPr>
              <w:t>审计数据分析工具</w:t>
            </w:r>
          </w:p>
        </w:tc>
        <w:tc>
          <w:tcPr>
            <w:tcW w:w="4025" w:type="dxa"/>
            <w:noWrap w:val="0"/>
            <w:vAlign w:val="center"/>
          </w:tcPr>
          <w:p w14:paraId="14741CD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进行审计数据分析，包括模型管理、创建模型、模型执行、分析记录、模型预警、定时任务、体系管理等功能</w:t>
            </w:r>
          </w:p>
        </w:tc>
      </w:tr>
      <w:tr w14:paraId="0018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restart"/>
            <w:noWrap w:val="0"/>
            <w:vAlign w:val="center"/>
          </w:tcPr>
          <w:p w14:paraId="4E4D07C9">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11</w:t>
            </w:r>
          </w:p>
        </w:tc>
        <w:tc>
          <w:tcPr>
            <w:tcW w:w="1498" w:type="dxa"/>
            <w:vMerge w:val="restart"/>
            <w:noWrap w:val="0"/>
            <w:vAlign w:val="center"/>
          </w:tcPr>
          <w:p w14:paraId="590C5375">
            <w:pPr>
              <w:spacing w:line="360" w:lineRule="auto"/>
              <w:jc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其他数据分析工具</w:t>
            </w:r>
          </w:p>
        </w:tc>
        <w:tc>
          <w:tcPr>
            <w:tcW w:w="1908" w:type="dxa"/>
            <w:noWrap w:val="0"/>
            <w:vAlign w:val="center"/>
          </w:tcPr>
          <w:p w14:paraId="49F27DF8">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财务数据采集</w:t>
            </w:r>
          </w:p>
        </w:tc>
        <w:tc>
          <w:tcPr>
            <w:tcW w:w="4025" w:type="dxa"/>
            <w:noWrap w:val="0"/>
            <w:vAlign w:val="center"/>
          </w:tcPr>
          <w:p w14:paraId="7524B2E8">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自动识别各审计对象的财务软件将采集的财务数据一键转换为审计署12张标准财务数据表。</w:t>
            </w:r>
          </w:p>
        </w:tc>
      </w:tr>
      <w:tr w14:paraId="52C1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51252CF7">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767C2F46">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0FAECB7E">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财务数据账套查账</w:t>
            </w:r>
          </w:p>
        </w:tc>
        <w:tc>
          <w:tcPr>
            <w:tcW w:w="4025" w:type="dxa"/>
            <w:noWrap w:val="0"/>
            <w:vAlign w:val="center"/>
          </w:tcPr>
          <w:p w14:paraId="3DADCD70">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提供单帐套财务数据查账能力，帮助</w:t>
            </w:r>
            <w:r>
              <w:rPr>
                <w:rFonts w:hint="eastAsia" w:ascii="仿宋" w:hAnsi="仿宋" w:eastAsia="仿宋" w:cs="仿宋"/>
                <w:i w:val="0"/>
                <w:iCs w:val="0"/>
                <w:color w:val="000000"/>
                <w:sz w:val="24"/>
                <w:szCs w:val="24"/>
                <w:highlight w:val="none"/>
                <w:u w:val="none"/>
                <w:lang w:val="zh-CN" w:eastAsia="zh-CN"/>
              </w:rPr>
              <w:t>审计人员对审计对象“纵向到底”的全部财务数据进行核算与分析</w:t>
            </w:r>
          </w:p>
        </w:tc>
      </w:tr>
      <w:tr w14:paraId="4E8E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6A800F65">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603015DC">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BBFF3D9">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工商关联分析</w:t>
            </w:r>
          </w:p>
        </w:tc>
        <w:tc>
          <w:tcPr>
            <w:tcW w:w="4025" w:type="dxa"/>
            <w:noWrap w:val="0"/>
            <w:vAlign w:val="center"/>
          </w:tcPr>
          <w:p w14:paraId="507630F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展示工商相关要素关联信息，同时以拓扑图的形式展示各投资人，主要人员之间的关联关系</w:t>
            </w:r>
          </w:p>
        </w:tc>
      </w:tr>
      <w:tr w14:paraId="50D9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7DE6B17C">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898DA31">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7BCC15C8">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供应商抱团分析</w:t>
            </w:r>
          </w:p>
        </w:tc>
        <w:tc>
          <w:tcPr>
            <w:tcW w:w="4025" w:type="dxa"/>
            <w:noWrap w:val="0"/>
            <w:vAlign w:val="center"/>
          </w:tcPr>
          <w:p w14:paraId="76FEF064">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能够根据政府采购项目名称或者供应商名称查询到该供应商经常抱团的其他供应商以及参与的采购项目信息。</w:t>
            </w:r>
          </w:p>
        </w:tc>
      </w:tr>
      <w:tr w14:paraId="0EBC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32E3A1B4">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F7112E4">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8C0162D">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财政支付流分析</w:t>
            </w:r>
          </w:p>
        </w:tc>
        <w:tc>
          <w:tcPr>
            <w:tcW w:w="4025" w:type="dxa"/>
            <w:noWrap w:val="0"/>
            <w:vAlign w:val="center"/>
          </w:tcPr>
          <w:p w14:paraId="2319781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以数据流的方式从左到右展示财政资金的流向</w:t>
            </w:r>
          </w:p>
        </w:tc>
      </w:tr>
      <w:tr w14:paraId="0188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7A5C7E8D">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7B647E63">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2A774C74">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体系化数据分析</w:t>
            </w:r>
          </w:p>
        </w:tc>
        <w:tc>
          <w:tcPr>
            <w:tcW w:w="4025" w:type="dxa"/>
            <w:noWrap w:val="0"/>
            <w:vAlign w:val="center"/>
          </w:tcPr>
          <w:p w14:paraId="695BA94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体系化的进行数据分析，并生成审计体系数据分析报告，分析报告中应包含执行的具体分析模型以及每个模型的疑点数据。</w:t>
            </w:r>
          </w:p>
        </w:tc>
      </w:tr>
      <w:tr w14:paraId="7A7D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vMerge w:val="continue"/>
            <w:noWrap w:val="0"/>
            <w:vAlign w:val="center"/>
          </w:tcPr>
          <w:p w14:paraId="175B369B">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38535133">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173D1BA6">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数据关联分析</w:t>
            </w:r>
          </w:p>
        </w:tc>
        <w:tc>
          <w:tcPr>
            <w:tcW w:w="4025" w:type="dxa"/>
            <w:noWrap w:val="0"/>
            <w:vAlign w:val="center"/>
          </w:tcPr>
          <w:p w14:paraId="6B66576B">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基于数据表的全局数据关联分析能力，可根据需要，实现数据基于表和字段的关联查询和结果比对</w:t>
            </w:r>
          </w:p>
        </w:tc>
      </w:tr>
      <w:tr w14:paraId="5FFB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481" w:type="dxa"/>
            <w:vMerge w:val="continue"/>
            <w:noWrap w:val="0"/>
            <w:vAlign w:val="center"/>
          </w:tcPr>
          <w:p w14:paraId="4CE569CD">
            <w:pPr>
              <w:spacing w:line="360" w:lineRule="auto"/>
              <w:jc w:val="center"/>
              <w:rPr>
                <w:rFonts w:hint="eastAsia" w:ascii="仿宋" w:hAnsi="仿宋" w:eastAsia="仿宋" w:cs="仿宋"/>
                <w:i w:val="0"/>
                <w:iCs w:val="0"/>
                <w:color w:val="000000"/>
                <w:sz w:val="24"/>
                <w:szCs w:val="24"/>
                <w:highlight w:val="none"/>
                <w:u w:val="none"/>
              </w:rPr>
            </w:pPr>
          </w:p>
        </w:tc>
        <w:tc>
          <w:tcPr>
            <w:tcW w:w="1498" w:type="dxa"/>
            <w:vMerge w:val="continue"/>
            <w:noWrap w:val="0"/>
            <w:vAlign w:val="center"/>
          </w:tcPr>
          <w:p w14:paraId="4C7B91C3">
            <w:pPr>
              <w:spacing w:line="360" w:lineRule="auto"/>
              <w:jc w:val="center"/>
              <w:rPr>
                <w:rFonts w:hint="eastAsia" w:ascii="仿宋" w:hAnsi="仿宋" w:eastAsia="仿宋" w:cs="仿宋"/>
                <w:i w:val="0"/>
                <w:iCs w:val="0"/>
                <w:color w:val="000000"/>
                <w:sz w:val="24"/>
                <w:szCs w:val="24"/>
                <w:highlight w:val="none"/>
                <w:u w:val="none"/>
              </w:rPr>
            </w:pPr>
          </w:p>
        </w:tc>
        <w:tc>
          <w:tcPr>
            <w:tcW w:w="1908" w:type="dxa"/>
            <w:noWrap w:val="0"/>
            <w:vAlign w:val="center"/>
          </w:tcPr>
          <w:p w14:paraId="474BF94F">
            <w:pPr>
              <w:keepNext w:val="0"/>
              <w:keepLines w:val="0"/>
              <w:widowControl/>
              <w:suppressLineNumbers w:val="0"/>
              <w:spacing w:line="360" w:lineRule="auto"/>
              <w:jc w:val="both"/>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iCs w:val="0"/>
                <w:color w:val="000000"/>
                <w:sz w:val="24"/>
                <w:szCs w:val="24"/>
                <w:highlight w:val="none"/>
                <w:u w:val="none"/>
                <w:lang w:val="en-US" w:eastAsia="zh-CN"/>
              </w:rPr>
              <w:t>全局数据检索</w:t>
            </w:r>
          </w:p>
        </w:tc>
        <w:tc>
          <w:tcPr>
            <w:tcW w:w="4025" w:type="dxa"/>
            <w:noWrap w:val="0"/>
            <w:vAlign w:val="center"/>
          </w:tcPr>
          <w:p w14:paraId="7478443F">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需要提供全文检索能力，形成使用便捷的审计数据检索工具</w:t>
            </w:r>
          </w:p>
        </w:tc>
      </w:tr>
      <w:tr w14:paraId="3B1A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81" w:type="dxa"/>
            <w:noWrap w:val="0"/>
            <w:vAlign w:val="center"/>
          </w:tcPr>
          <w:p w14:paraId="5B17123E">
            <w:pPr>
              <w:spacing w:line="360" w:lineRule="auto"/>
              <w:jc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12</w:t>
            </w:r>
          </w:p>
        </w:tc>
        <w:tc>
          <w:tcPr>
            <w:tcW w:w="1498" w:type="dxa"/>
            <w:noWrap w:val="0"/>
            <w:vAlign w:val="center"/>
          </w:tcPr>
          <w:p w14:paraId="50D0980B">
            <w:pPr>
              <w:spacing w:line="360" w:lineRule="auto"/>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rPr>
              <w:t>培训</w:t>
            </w:r>
            <w:r>
              <w:rPr>
                <w:rFonts w:hint="eastAsia" w:ascii="仿宋" w:hAnsi="仿宋" w:eastAsia="仿宋" w:cs="仿宋"/>
                <w:i w:val="0"/>
                <w:iCs w:val="0"/>
                <w:color w:val="000000"/>
                <w:sz w:val="24"/>
                <w:szCs w:val="24"/>
                <w:highlight w:val="none"/>
                <w:u w:val="none"/>
                <w:lang w:val="en-US" w:eastAsia="zh-CN"/>
              </w:rPr>
              <w:t>服务</w:t>
            </w:r>
          </w:p>
        </w:tc>
        <w:tc>
          <w:tcPr>
            <w:tcW w:w="1908" w:type="dxa"/>
            <w:noWrap w:val="0"/>
            <w:vAlign w:val="center"/>
          </w:tcPr>
          <w:p w14:paraId="2E2EDC81">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乐山市审计局及各区县审计局培训</w:t>
            </w:r>
          </w:p>
        </w:tc>
        <w:tc>
          <w:tcPr>
            <w:tcW w:w="4025" w:type="dxa"/>
            <w:noWrap w:val="0"/>
            <w:vAlign w:val="center"/>
          </w:tcPr>
          <w:p w14:paraId="2CAA431A">
            <w:pPr>
              <w:keepNext w:val="0"/>
              <w:keepLines w:val="0"/>
              <w:widowControl/>
              <w:suppressLineNumbers w:val="0"/>
              <w:spacing w:line="360" w:lineRule="auto"/>
              <w:jc w:val="both"/>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理论培训+实践操作培训，其中对每个区县审计局每年开展的现场操作培训不少于2次。费用不单独计算。</w:t>
            </w:r>
          </w:p>
        </w:tc>
      </w:tr>
    </w:tbl>
    <w:p w14:paraId="2E388F80">
      <w:pPr>
        <w:spacing w:line="460" w:lineRule="exact"/>
        <w:rPr>
          <w:rFonts w:ascii="仿宋_GB2312" w:hAnsi="仿宋_GB2312" w:eastAsia="仿宋_GB2312" w:cs="仿宋_GB2312"/>
          <w:b/>
          <w:sz w:val="28"/>
        </w:rPr>
      </w:pPr>
    </w:p>
    <w:p w14:paraId="104828E7">
      <w:pPr>
        <w:pStyle w:val="3"/>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具体内容详见磋商文件及响应文件</w:t>
      </w:r>
    </w:p>
    <w:p w14:paraId="6BA4054B">
      <w:pPr>
        <w:pStyle w:val="10"/>
        <w:snapToGrid w:val="0"/>
        <w:ind w:firstLine="0"/>
        <w:rPr>
          <w:rFonts w:hint="eastAsia" w:ascii="仿宋" w:hAnsi="仿宋" w:eastAsia="仿宋" w:cs="仿宋"/>
          <w:sz w:val="24"/>
          <w:szCs w:val="24"/>
          <w:lang w:eastAsia="zh-CN"/>
        </w:rPr>
      </w:pPr>
      <w:r>
        <w:rPr>
          <w:rFonts w:hint="eastAsia" w:ascii="仿宋" w:hAnsi="仿宋" w:eastAsia="仿宋" w:cs="仿宋"/>
          <w:sz w:val="24"/>
          <w:lang w:val="en-US" w:eastAsia="zh-CN"/>
        </w:rPr>
        <w:t>2</w:t>
      </w:r>
      <w:r>
        <w:rPr>
          <w:rFonts w:hint="eastAsia" w:ascii="仿宋" w:hAnsi="仿宋" w:eastAsia="仿宋" w:cs="仿宋"/>
          <w:sz w:val="24"/>
        </w:rPr>
        <w:t>、知识产权：（1）</w:t>
      </w:r>
      <w:r>
        <w:rPr>
          <w:rFonts w:hint="eastAsia" w:ascii="仿宋" w:hAnsi="仿宋" w:eastAsia="仿宋" w:cs="仿宋"/>
          <w:sz w:val="24"/>
          <w:lang w:val="en-US" w:eastAsia="zh-CN"/>
        </w:rPr>
        <w:t>乙方</w:t>
      </w:r>
      <w:r>
        <w:rPr>
          <w:rFonts w:hint="eastAsia" w:ascii="仿宋" w:hAnsi="仿宋" w:eastAsia="仿宋" w:cs="仿宋"/>
          <w:sz w:val="24"/>
        </w:rPr>
        <w:t>应保证在本项目中使用的任何产品和服务（包括部分使用），不会产生因第三方提出侵犯其专利权、商标权或其它知识产权而引起的法律和经济纠纷，如因专利权、商标权或其它知识产权而引起法律和经济纠纷，由</w:t>
      </w:r>
      <w:r>
        <w:rPr>
          <w:rFonts w:hint="eastAsia" w:ascii="仿宋" w:hAnsi="仿宋" w:eastAsia="仿宋" w:cs="仿宋"/>
          <w:sz w:val="24"/>
          <w:lang w:eastAsia="zh-CN"/>
        </w:rPr>
        <w:t>成交人</w:t>
      </w:r>
      <w:r>
        <w:rPr>
          <w:rFonts w:hint="eastAsia" w:ascii="仿宋" w:hAnsi="仿宋" w:eastAsia="仿宋" w:cs="仿宋"/>
          <w:sz w:val="24"/>
        </w:rPr>
        <w:t>承担所有相关责任。（2）本项目实施过程中所产生的成果资料、所有知识产权归采购人所有，未经采购人许可，</w:t>
      </w:r>
      <w:r>
        <w:rPr>
          <w:rFonts w:hint="eastAsia" w:ascii="仿宋" w:hAnsi="仿宋" w:eastAsia="仿宋" w:cs="仿宋"/>
          <w:sz w:val="24"/>
          <w:lang w:val="en-US" w:eastAsia="zh-CN"/>
        </w:rPr>
        <w:t>乙方</w:t>
      </w:r>
      <w:r>
        <w:rPr>
          <w:rFonts w:hint="eastAsia" w:ascii="仿宋" w:hAnsi="仿宋" w:eastAsia="仿宋" w:cs="仿宋"/>
          <w:sz w:val="24"/>
        </w:rPr>
        <w:t>不得公开发表或对外提供，否则由此给采购人或相关人员造成的一切损失由</w:t>
      </w:r>
      <w:r>
        <w:rPr>
          <w:rFonts w:hint="eastAsia" w:ascii="仿宋" w:hAnsi="仿宋" w:eastAsia="仿宋" w:cs="仿宋"/>
          <w:sz w:val="24"/>
          <w:lang w:eastAsia="zh-CN"/>
        </w:rPr>
        <w:t>成交人</w:t>
      </w:r>
      <w:r>
        <w:rPr>
          <w:rFonts w:hint="eastAsia" w:ascii="仿宋" w:hAnsi="仿宋" w:eastAsia="仿宋" w:cs="仿宋"/>
          <w:sz w:val="24"/>
        </w:rPr>
        <w:t>一方承担</w:t>
      </w:r>
      <w:r>
        <w:rPr>
          <w:rFonts w:hint="eastAsia" w:ascii="仿宋" w:hAnsi="仿宋" w:eastAsia="仿宋" w:cs="仿宋"/>
          <w:sz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成果：项目相关二次开发，接口开发产权归采购人所有，源代码移交</w:t>
      </w:r>
      <w:r>
        <w:rPr>
          <w:rFonts w:hint="eastAsia" w:ascii="仿宋" w:hAnsi="仿宋" w:eastAsia="仿宋" w:cs="仿宋"/>
          <w:sz w:val="24"/>
          <w:szCs w:val="24"/>
          <w:lang w:val="en-US" w:eastAsia="zh-CN"/>
        </w:rPr>
        <w:t>甲方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三年</w:t>
      </w:r>
      <w:r>
        <w:rPr>
          <w:rFonts w:hint="eastAsia" w:ascii="仿宋" w:hAnsi="仿宋" w:eastAsia="仿宋" w:cs="仿宋"/>
          <w:sz w:val="24"/>
          <w:szCs w:val="24"/>
        </w:rPr>
        <w:t>服务期满后，</w:t>
      </w:r>
      <w:r>
        <w:rPr>
          <w:rFonts w:hint="eastAsia" w:ascii="仿宋" w:hAnsi="仿宋" w:eastAsia="仿宋" w:cs="仿宋"/>
          <w:sz w:val="24"/>
          <w:szCs w:val="24"/>
          <w:lang w:val="en-US" w:eastAsia="zh-CN"/>
        </w:rPr>
        <w:t>乙方</w:t>
      </w:r>
      <w:r>
        <w:rPr>
          <w:rFonts w:hint="eastAsia" w:ascii="仿宋" w:hAnsi="仿宋" w:eastAsia="仿宋" w:cs="仿宋"/>
          <w:sz w:val="24"/>
          <w:szCs w:val="24"/>
        </w:rPr>
        <w:t>所有部署的和服务期间开发的工具、形成的技术资料</w:t>
      </w:r>
      <w:r>
        <w:rPr>
          <w:rFonts w:hint="eastAsia" w:ascii="仿宋" w:hAnsi="仿宋" w:eastAsia="仿宋" w:cs="仿宋"/>
          <w:sz w:val="24"/>
          <w:szCs w:val="24"/>
          <w:lang w:val="en-US" w:eastAsia="zh-CN"/>
        </w:rPr>
        <w:t>及数据</w:t>
      </w:r>
      <w:r>
        <w:rPr>
          <w:rFonts w:hint="eastAsia" w:ascii="仿宋" w:hAnsi="仿宋" w:eastAsia="仿宋" w:cs="仿宋"/>
          <w:sz w:val="24"/>
          <w:szCs w:val="24"/>
        </w:rPr>
        <w:t>均移交给乐山市审计局及各区县审计局</w:t>
      </w:r>
      <w:r>
        <w:rPr>
          <w:rFonts w:hint="eastAsia" w:ascii="仿宋" w:hAnsi="仿宋" w:eastAsia="仿宋" w:cs="仿宋"/>
          <w:sz w:val="24"/>
          <w:szCs w:val="24"/>
          <w:lang w:val="en-US" w:eastAsia="zh-CN"/>
        </w:rPr>
        <w:t>一直免费</w:t>
      </w:r>
      <w:r>
        <w:rPr>
          <w:rFonts w:hint="eastAsia" w:ascii="仿宋" w:hAnsi="仿宋" w:eastAsia="仿宋" w:cs="仿宋"/>
          <w:sz w:val="24"/>
          <w:szCs w:val="24"/>
        </w:rPr>
        <w:t>使用。</w:t>
      </w:r>
    </w:p>
    <w:p w14:paraId="35DFB7BC">
      <w:pPr>
        <w:pageBreakBefore w:val="0"/>
        <w:kinsoku/>
        <w:wordWrap/>
        <w:overflowPunct/>
        <w:topLinePunct w:val="0"/>
        <w:bidi w:val="0"/>
        <w:adjustRightInd/>
        <w:snapToGrid/>
        <w:spacing w:line="360" w:lineRule="auto"/>
        <w:textAlignment w:val="auto"/>
        <w:outlineLvl w:val="9"/>
        <w:rPr>
          <w:rFonts w:hint="eastAsia" w:ascii="仿宋" w:hAnsi="仿宋" w:eastAsia="仿宋" w:cs="仿宋"/>
          <w:kern w:val="2"/>
          <w:sz w:val="24"/>
          <w:szCs w:val="24"/>
          <w:shd w:val="clear" w:color="auto" w:fill="FFFFFF"/>
          <w:lang w:val="en-US" w:eastAsia="zh-CN" w:bidi="ar-SA"/>
        </w:rPr>
      </w:pPr>
      <w:r>
        <w:rPr>
          <w:rFonts w:hint="eastAsia" w:ascii="仿宋" w:hAnsi="仿宋" w:eastAsia="仿宋" w:cs="仿宋"/>
          <w:kern w:val="2"/>
          <w:sz w:val="24"/>
          <w:szCs w:val="24"/>
          <w:shd w:val="clear" w:color="auto" w:fill="FFFFFF"/>
          <w:lang w:val="en-US" w:eastAsia="zh-CN" w:bidi="ar-SA"/>
        </w:rPr>
        <w:t>3、成本补偿和风险分担约定</w:t>
      </w:r>
      <w:r>
        <w:rPr>
          <w:rFonts w:hint="eastAsia" w:ascii="仿宋" w:hAnsi="仿宋" w:eastAsia="仿宋" w:cs="仿宋"/>
          <w:kern w:val="2"/>
          <w:sz w:val="24"/>
          <w:szCs w:val="24"/>
          <w:highlight w:val="none"/>
          <w:shd w:val="clear" w:color="auto" w:fill="FFFFFF"/>
          <w:lang w:val="en-US" w:eastAsia="zh-CN" w:bidi="ar-SA"/>
        </w:rPr>
        <w:t>：</w:t>
      </w:r>
      <w:r>
        <w:rPr>
          <w:rFonts w:hint="eastAsia" w:ascii="仿宋" w:hAnsi="仿宋" w:eastAsia="仿宋" w:cs="仿宋"/>
          <w:bCs w:val="0"/>
          <w:sz w:val="24"/>
          <w:szCs w:val="24"/>
          <w:highlight w:val="none"/>
          <w:lang w:eastAsia="zh-CN"/>
        </w:rPr>
        <w:t>（</w:t>
      </w:r>
      <w:r>
        <w:rPr>
          <w:rFonts w:hint="eastAsia" w:ascii="仿宋" w:hAnsi="仿宋" w:eastAsia="仿宋" w:cs="仿宋"/>
          <w:bCs w:val="0"/>
          <w:sz w:val="24"/>
          <w:szCs w:val="24"/>
          <w:highlight w:val="none"/>
          <w:lang w:val="en-US" w:eastAsia="zh-CN"/>
        </w:rPr>
        <w:t>1</w:t>
      </w:r>
      <w:r>
        <w:rPr>
          <w:rFonts w:hint="eastAsia" w:ascii="仿宋" w:hAnsi="仿宋" w:eastAsia="仿宋" w:cs="仿宋"/>
          <w:bCs w:val="0"/>
          <w:sz w:val="24"/>
          <w:szCs w:val="24"/>
          <w:highlight w:val="none"/>
          <w:lang w:eastAsia="zh-CN"/>
        </w:rPr>
        <w:t>）</w:t>
      </w:r>
      <w:r>
        <w:rPr>
          <w:rFonts w:hint="eastAsia" w:ascii="仿宋" w:hAnsi="仿宋" w:eastAsia="仿宋" w:cs="仿宋"/>
          <w:bCs w:val="0"/>
          <w:sz w:val="24"/>
          <w:szCs w:val="24"/>
          <w:highlight w:val="none"/>
        </w:rPr>
        <w:t>本次招标最终</w:t>
      </w:r>
      <w:r>
        <w:rPr>
          <w:rFonts w:hint="eastAsia" w:ascii="仿宋" w:hAnsi="仿宋" w:eastAsia="仿宋" w:cs="仿宋"/>
          <w:bCs w:val="0"/>
          <w:sz w:val="24"/>
          <w:szCs w:val="24"/>
          <w:highlight w:val="none"/>
          <w:lang w:val="en-US" w:eastAsia="zh-CN"/>
        </w:rPr>
        <w:t>成交</w:t>
      </w:r>
      <w:r>
        <w:rPr>
          <w:rFonts w:hint="eastAsia" w:ascii="仿宋" w:hAnsi="仿宋" w:eastAsia="仿宋" w:cs="仿宋"/>
          <w:bCs w:val="0"/>
          <w:sz w:val="24"/>
          <w:szCs w:val="24"/>
          <w:highlight w:val="none"/>
        </w:rPr>
        <w:t>价格包含了本服务项目的所有全部费用</w:t>
      </w:r>
      <w:r>
        <w:rPr>
          <w:rFonts w:hint="eastAsia" w:ascii="仿宋" w:hAnsi="仿宋" w:eastAsia="仿宋" w:cs="仿宋"/>
          <w:color w:val="auto"/>
          <w:sz w:val="24"/>
          <w:szCs w:val="24"/>
          <w:highlight w:val="none"/>
          <w:lang w:val="en-US" w:eastAsia="zh-CN"/>
        </w:rPr>
        <w:t>，采购人无需为履行本合同支付任何其他费用，</w:t>
      </w:r>
      <w:r>
        <w:rPr>
          <w:rFonts w:hint="eastAsia" w:ascii="仿宋" w:hAnsi="仿宋" w:eastAsia="仿宋" w:cs="仿宋"/>
          <w:bCs w:val="0"/>
          <w:sz w:val="24"/>
          <w:szCs w:val="24"/>
          <w:highlight w:val="none"/>
        </w:rPr>
        <w:t>包括但不限于</w:t>
      </w:r>
      <w:r>
        <w:rPr>
          <w:rFonts w:hint="eastAsia" w:ascii="仿宋" w:hAnsi="仿宋" w:eastAsia="仿宋" w:cs="仿宋"/>
          <w:bCs w:val="0"/>
          <w:sz w:val="24"/>
          <w:szCs w:val="24"/>
          <w:highlight w:val="none"/>
          <w:lang w:eastAsia="zh-CN"/>
        </w:rPr>
        <w:t>因</w:t>
      </w:r>
      <w:r>
        <w:rPr>
          <w:rFonts w:hint="eastAsia" w:ascii="仿宋" w:hAnsi="仿宋" w:eastAsia="仿宋" w:cs="仿宋"/>
          <w:bCs w:val="0"/>
          <w:sz w:val="24"/>
          <w:szCs w:val="24"/>
          <w:highlight w:val="none"/>
        </w:rPr>
        <w:t>加班、值班等</w:t>
      </w:r>
      <w:r>
        <w:rPr>
          <w:rFonts w:hint="eastAsia" w:ascii="仿宋" w:hAnsi="仿宋" w:eastAsia="仿宋" w:cs="仿宋"/>
          <w:bCs w:val="0"/>
          <w:sz w:val="24"/>
          <w:szCs w:val="24"/>
          <w:highlight w:val="none"/>
          <w:lang w:eastAsia="zh-CN"/>
        </w:rPr>
        <w:t>产生的人员工资、补贴等</w:t>
      </w:r>
      <w:r>
        <w:rPr>
          <w:rFonts w:hint="eastAsia" w:ascii="仿宋" w:hAnsi="仿宋" w:eastAsia="仿宋" w:cs="仿宋"/>
          <w:bCs w:val="0"/>
          <w:sz w:val="24"/>
          <w:szCs w:val="24"/>
          <w:highlight w:val="none"/>
        </w:rPr>
        <w:t>。</w:t>
      </w:r>
      <w:r>
        <w:rPr>
          <w:rFonts w:hint="eastAsia" w:ascii="仿宋" w:hAnsi="仿宋" w:eastAsia="仿宋" w:cs="仿宋"/>
          <w:kern w:val="2"/>
          <w:sz w:val="24"/>
          <w:szCs w:val="24"/>
          <w:shd w:val="clear" w:color="auto" w:fill="FFFFFF"/>
          <w:lang w:val="en-US" w:eastAsia="zh-CN" w:bidi="ar-SA"/>
        </w:rPr>
        <w:t>（2）本采购项目合同履约期内，国家政策性调整、市场价格波动、安装环境变化、风险等所有因素的影响，采购人均不再增加任何费用。</w:t>
      </w:r>
    </w:p>
    <w:p w14:paraId="75FD41AC">
      <w:pPr>
        <w:pStyle w:val="10"/>
        <w:snapToGrid w:val="0"/>
        <w:ind w:firstLine="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、安全责任：</w:t>
      </w:r>
      <w:r>
        <w:rPr>
          <w:rFonts w:hint="eastAsia" w:ascii="仿宋" w:hAnsi="仿宋" w:eastAsia="仿宋" w:cs="仿宋"/>
          <w:sz w:val="24"/>
          <w:szCs w:val="24"/>
          <w:lang w:val="en-US" w:eastAsia="zh-CN"/>
        </w:rPr>
        <w:t>乙方</w:t>
      </w:r>
      <w:r>
        <w:rPr>
          <w:rFonts w:hint="eastAsia" w:ascii="仿宋" w:hAnsi="仿宋" w:eastAsia="仿宋" w:cs="仿宋"/>
          <w:sz w:val="24"/>
          <w:szCs w:val="24"/>
        </w:rPr>
        <w:t>在服务实施过程中的安全责任、不良行为及所产生的法律责任由</w:t>
      </w:r>
      <w:r>
        <w:rPr>
          <w:rFonts w:hint="eastAsia" w:ascii="仿宋" w:hAnsi="仿宋" w:eastAsia="仿宋" w:cs="仿宋"/>
          <w:sz w:val="24"/>
          <w:szCs w:val="24"/>
          <w:lang w:eastAsia="zh-CN"/>
        </w:rPr>
        <w:t>成交人</w:t>
      </w:r>
      <w:r>
        <w:rPr>
          <w:rFonts w:hint="eastAsia" w:ascii="仿宋" w:hAnsi="仿宋" w:eastAsia="仿宋" w:cs="仿宋"/>
          <w:sz w:val="24"/>
          <w:szCs w:val="24"/>
        </w:rPr>
        <w:t>负全责，</w:t>
      </w:r>
      <w:r>
        <w:rPr>
          <w:rFonts w:hint="eastAsia" w:ascii="仿宋" w:hAnsi="仿宋" w:eastAsia="仿宋" w:cs="仿宋"/>
          <w:sz w:val="24"/>
          <w:szCs w:val="24"/>
          <w:lang w:val="en-US" w:eastAsia="zh-CN"/>
        </w:rPr>
        <w:t>甲方</w:t>
      </w:r>
      <w:r>
        <w:rPr>
          <w:rFonts w:hint="eastAsia" w:ascii="仿宋" w:hAnsi="仿宋" w:eastAsia="仿宋" w:cs="仿宋"/>
          <w:sz w:val="24"/>
          <w:szCs w:val="24"/>
        </w:rPr>
        <w:t>不承担任何安全责任和不良行为及所产生的法律责任，也不承担如发生安全事故、不良行为产生的任何责任。</w:t>
      </w:r>
    </w:p>
    <w:p w14:paraId="29DD1311">
      <w:pPr>
        <w:pageBreakBefore w:val="0"/>
        <w:kinsoku/>
        <w:wordWrap/>
        <w:overflowPunct/>
        <w:topLinePunct w:val="0"/>
        <w:bidi w:val="0"/>
        <w:adjustRightInd/>
        <w:snapToGrid/>
        <w:spacing w:line="360" w:lineRule="auto"/>
        <w:textAlignment w:val="auto"/>
        <w:outlineLvl w:val="9"/>
        <w:rPr>
          <w:rFonts w:hint="eastAsia" w:ascii="仿宋" w:hAnsi="仿宋" w:eastAsia="仿宋" w:cs="仿宋"/>
          <w:sz w:val="24"/>
        </w:rPr>
      </w:pPr>
      <w:r>
        <w:rPr>
          <w:rFonts w:hint="eastAsia" w:ascii="仿宋" w:hAnsi="仿宋" w:eastAsia="仿宋" w:cs="仿宋"/>
          <w:sz w:val="24"/>
          <w:szCs w:val="24"/>
          <w:lang w:val="en-US" w:eastAsia="zh-CN"/>
        </w:rPr>
        <w:t>5、其他要求：</w:t>
      </w:r>
      <w:r>
        <w:rPr>
          <w:rFonts w:hint="eastAsia" w:ascii="仿宋" w:hAnsi="仿宋" w:eastAsia="仿宋" w:cs="仿宋"/>
          <w:sz w:val="24"/>
        </w:rPr>
        <w:t>(1)</w:t>
      </w:r>
      <w:r>
        <w:rPr>
          <w:rFonts w:hint="eastAsia" w:ascii="仿宋" w:hAnsi="仿宋" w:eastAsia="仿宋" w:cs="仿宋"/>
          <w:sz w:val="24"/>
          <w:lang w:val="en-US" w:eastAsia="zh-CN"/>
        </w:rPr>
        <w:t>乙方</w:t>
      </w:r>
      <w:r>
        <w:rPr>
          <w:rFonts w:hint="eastAsia" w:ascii="仿宋" w:hAnsi="仿宋" w:eastAsia="仿宋" w:cs="仿宋"/>
          <w:sz w:val="24"/>
        </w:rPr>
        <w:t>须提供对本项目的保密承诺，保证对本项目涉及的文件以及由</w:t>
      </w:r>
      <w:r>
        <w:rPr>
          <w:rFonts w:hint="eastAsia" w:ascii="仿宋" w:hAnsi="仿宋" w:eastAsia="仿宋" w:cs="仿宋"/>
          <w:sz w:val="24"/>
          <w:lang w:val="en-US" w:eastAsia="zh-CN"/>
        </w:rPr>
        <w:t>甲方</w:t>
      </w:r>
      <w:r>
        <w:rPr>
          <w:rFonts w:hint="eastAsia" w:ascii="仿宋" w:hAnsi="仿宋" w:eastAsia="仿宋" w:cs="仿宋"/>
          <w:sz w:val="24"/>
        </w:rPr>
        <w:t>提供的所有数据、内部资料、技术文档和信息予以保密。未</w:t>
      </w:r>
      <w:r>
        <w:rPr>
          <w:rFonts w:hint="eastAsia" w:ascii="仿宋" w:hAnsi="仿宋" w:eastAsia="仿宋" w:cs="仿宋"/>
          <w:sz w:val="24"/>
          <w:lang w:val="en-US" w:eastAsia="zh-CN"/>
        </w:rPr>
        <w:t>甲方</w:t>
      </w:r>
      <w:r>
        <w:rPr>
          <w:rFonts w:hint="eastAsia" w:ascii="仿宋" w:hAnsi="仿宋" w:eastAsia="仿宋" w:cs="仿宋"/>
          <w:sz w:val="24"/>
        </w:rPr>
        <w:t>书面许可，</w:t>
      </w:r>
      <w:r>
        <w:rPr>
          <w:rFonts w:hint="eastAsia" w:ascii="仿宋" w:hAnsi="仿宋" w:eastAsia="仿宋" w:cs="仿宋"/>
          <w:sz w:val="24"/>
          <w:lang w:val="en-US" w:eastAsia="zh-CN"/>
        </w:rPr>
        <w:t>乙方</w:t>
      </w:r>
      <w:r>
        <w:rPr>
          <w:rFonts w:hint="eastAsia" w:ascii="仿宋" w:hAnsi="仿宋" w:eastAsia="仿宋" w:cs="仿宋"/>
          <w:sz w:val="24"/>
        </w:rPr>
        <w:t>不得将采购人提供的本项目数据、资料以及项目成果以任何形式向第三方透露或使用。本条款在项目完成或无论何种原因导致合同终止后依然有效。</w:t>
      </w:r>
    </w:p>
    <w:p w14:paraId="65660D35">
      <w:pPr>
        <w:widowControl/>
        <w:spacing w:line="360" w:lineRule="auto"/>
        <w:jc w:val="left"/>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乙方</w:t>
      </w:r>
      <w:r>
        <w:rPr>
          <w:rFonts w:hint="eastAsia" w:ascii="仿宋" w:hAnsi="仿宋" w:eastAsia="仿宋" w:cs="仿宋"/>
          <w:sz w:val="24"/>
        </w:rPr>
        <w:t>违反上述保密约定，故意、过错或过失泄密的，除应立即采取措施停止泄密行为，减小泄密造成的损失外，还应向</w:t>
      </w:r>
      <w:r>
        <w:rPr>
          <w:rFonts w:hint="eastAsia" w:ascii="仿宋" w:hAnsi="仿宋" w:eastAsia="仿宋" w:cs="仿宋"/>
          <w:sz w:val="24"/>
          <w:lang w:val="en-US" w:eastAsia="zh-CN"/>
        </w:rPr>
        <w:t>甲方</w:t>
      </w:r>
      <w:r>
        <w:rPr>
          <w:rFonts w:hint="eastAsia" w:ascii="仿宋" w:hAnsi="仿宋" w:eastAsia="仿宋" w:cs="仿宋"/>
          <w:sz w:val="24"/>
        </w:rPr>
        <w:t>支付泄密造成是损失和该采购包合同总价5%的违约金。同时，</w:t>
      </w:r>
      <w:r>
        <w:rPr>
          <w:rFonts w:hint="eastAsia" w:ascii="仿宋" w:hAnsi="仿宋" w:eastAsia="仿宋" w:cs="仿宋"/>
          <w:sz w:val="24"/>
          <w:lang w:val="en-US" w:eastAsia="zh-CN"/>
        </w:rPr>
        <w:t>甲方</w:t>
      </w:r>
      <w:r>
        <w:rPr>
          <w:rFonts w:hint="eastAsia" w:ascii="仿宋" w:hAnsi="仿宋" w:eastAsia="仿宋" w:cs="仿宋"/>
          <w:sz w:val="24"/>
        </w:rPr>
        <w:t>还有权根据泄密造成损失的大小，单方无责解除本合同。</w:t>
      </w:r>
    </w:p>
    <w:p w14:paraId="6FB41500">
      <w:pPr>
        <w:widowControl/>
        <w:spacing w:line="360" w:lineRule="auto"/>
        <w:jc w:val="left"/>
        <w:rPr>
          <w:rStyle w:val="7"/>
          <w:rFonts w:hint="eastAsia" w:ascii="仿宋" w:hAnsi="仿宋" w:eastAsia="仿宋" w:cs="仿宋"/>
          <w:sz w:val="24"/>
          <w:szCs w:val="24"/>
          <w:lang w:eastAsia="zh-CN"/>
        </w:rPr>
      </w:pPr>
      <w:r>
        <w:rPr>
          <w:rStyle w:val="7"/>
          <w:rFonts w:hint="eastAsia" w:ascii="仿宋" w:hAnsi="仿宋" w:eastAsia="仿宋" w:cs="仿宋"/>
          <w:strike w:val="0"/>
          <w:sz w:val="24"/>
          <w:szCs w:val="24"/>
          <w:lang w:eastAsia="zh-CN"/>
        </w:rPr>
        <w:t>（</w:t>
      </w:r>
      <w:r>
        <w:rPr>
          <w:rStyle w:val="7"/>
          <w:rFonts w:hint="eastAsia" w:ascii="仿宋" w:hAnsi="仿宋" w:eastAsia="仿宋" w:cs="仿宋"/>
          <w:strike w:val="0"/>
          <w:sz w:val="24"/>
          <w:szCs w:val="24"/>
          <w:lang w:val="en-US" w:eastAsia="zh-CN"/>
        </w:rPr>
        <w:t>3</w:t>
      </w:r>
      <w:r>
        <w:rPr>
          <w:rStyle w:val="7"/>
          <w:rFonts w:hint="eastAsia" w:ascii="仿宋" w:hAnsi="仿宋" w:eastAsia="仿宋" w:cs="仿宋"/>
          <w:strike w:val="0"/>
          <w:sz w:val="24"/>
          <w:szCs w:val="24"/>
          <w:lang w:eastAsia="zh-CN"/>
        </w:rPr>
        <w:t>）</w:t>
      </w:r>
      <w:r>
        <w:rPr>
          <w:rFonts w:hint="eastAsia" w:ascii="仿宋" w:hAnsi="仿宋" w:eastAsia="仿宋" w:cs="仿宋"/>
          <w:strike w:val="0"/>
          <w:sz w:val="24"/>
          <w:szCs w:val="24"/>
          <w:lang w:val="en-US" w:eastAsia="zh-CN"/>
        </w:rPr>
        <w:t>乙方</w:t>
      </w:r>
      <w:r>
        <w:rPr>
          <w:rStyle w:val="7"/>
          <w:rFonts w:hint="eastAsia" w:ascii="仿宋" w:hAnsi="仿宋" w:eastAsia="仿宋" w:cs="仿宋"/>
          <w:strike w:val="0"/>
          <w:sz w:val="24"/>
          <w:szCs w:val="24"/>
        </w:rPr>
        <w:t>在项目实施期间配备</w:t>
      </w:r>
      <w:r>
        <w:rPr>
          <w:rStyle w:val="7"/>
          <w:rFonts w:hint="eastAsia" w:ascii="仿宋" w:hAnsi="仿宋" w:eastAsia="仿宋" w:cs="仿宋"/>
          <w:strike w:val="0"/>
          <w:sz w:val="24"/>
          <w:szCs w:val="24"/>
          <w:lang w:val="en-US" w:eastAsia="zh-CN"/>
        </w:rPr>
        <w:t>专职人员</w:t>
      </w:r>
      <w:r>
        <w:rPr>
          <w:rStyle w:val="7"/>
          <w:rFonts w:hint="eastAsia" w:ascii="仿宋" w:hAnsi="仿宋" w:eastAsia="仿宋" w:cs="仿宋"/>
          <w:strike w:val="0"/>
          <w:sz w:val="24"/>
          <w:szCs w:val="24"/>
        </w:rPr>
        <w:t>至少3人（含项目经理）的项目实施团队。</w:t>
      </w:r>
    </w:p>
    <w:p w14:paraId="0E55DF7E">
      <w:pPr>
        <w:spacing w:line="360" w:lineRule="auto"/>
        <w:outlineLvl w:val="9"/>
        <w:rPr>
          <w:rFonts w:hint="default"/>
          <w:lang w:val="en-US" w:eastAsia="zh-CN"/>
        </w:rPr>
      </w:pPr>
      <w:r>
        <w:rPr>
          <w:rStyle w:val="7"/>
          <w:rFonts w:hint="eastAsia" w:ascii="仿宋" w:hAnsi="仿宋" w:eastAsia="仿宋" w:cs="仿宋"/>
          <w:sz w:val="24"/>
          <w:szCs w:val="24"/>
          <w:lang w:eastAsia="zh-CN"/>
        </w:rPr>
        <w:t>（</w:t>
      </w:r>
      <w:r>
        <w:rPr>
          <w:rStyle w:val="7"/>
          <w:rFonts w:hint="eastAsia" w:ascii="仿宋" w:hAnsi="仿宋" w:eastAsia="仿宋" w:cs="仿宋"/>
          <w:sz w:val="24"/>
          <w:szCs w:val="24"/>
          <w:lang w:val="en-US" w:eastAsia="zh-CN"/>
        </w:rPr>
        <w:t>4</w:t>
      </w:r>
      <w:r>
        <w:rPr>
          <w:rStyle w:val="7"/>
          <w:rFonts w:hint="eastAsia" w:ascii="仿宋" w:hAnsi="仿宋" w:eastAsia="仿宋" w:cs="仿宋"/>
          <w:sz w:val="24"/>
          <w:szCs w:val="24"/>
          <w:lang w:eastAsia="zh-CN"/>
        </w:rPr>
        <w:t>）</w:t>
      </w:r>
      <w:r>
        <w:rPr>
          <w:rFonts w:hint="eastAsia" w:ascii="仿宋" w:hAnsi="仿宋" w:eastAsia="仿宋" w:cs="仿宋"/>
          <w:sz w:val="24"/>
          <w:szCs w:val="24"/>
          <w:lang w:val="en-US" w:eastAsia="zh-CN"/>
        </w:rPr>
        <w:t>乙方</w:t>
      </w:r>
      <w:r>
        <w:rPr>
          <w:rStyle w:val="7"/>
          <w:rFonts w:hint="eastAsia" w:ascii="仿宋" w:hAnsi="仿宋" w:eastAsia="仿宋" w:cs="仿宋"/>
          <w:sz w:val="24"/>
          <w:szCs w:val="24"/>
        </w:rPr>
        <w:t>在年度服务完成前项目实施团队人员（含项目经理）原则上不得变更，</w:t>
      </w:r>
      <w:r>
        <w:rPr>
          <w:rStyle w:val="7"/>
          <w:rFonts w:hint="eastAsia" w:ascii="仿宋" w:hAnsi="仿宋" w:eastAsia="仿宋" w:cs="仿宋"/>
          <w:sz w:val="24"/>
          <w:szCs w:val="24"/>
          <w:lang w:val="en-US" w:eastAsia="zh-CN"/>
        </w:rPr>
        <w:t>经与甲方协商同意变更的</w:t>
      </w:r>
      <w:r>
        <w:rPr>
          <w:rStyle w:val="7"/>
          <w:rFonts w:hint="eastAsia" w:ascii="仿宋" w:hAnsi="仿宋" w:eastAsia="仿宋" w:cs="仿宋"/>
          <w:sz w:val="24"/>
          <w:szCs w:val="24"/>
        </w:rPr>
        <w:t>，变更后的人员条件（包括执业资格、职称、以及响应招标文件要求的其他条件）不得低于变更前人员条件。</w:t>
      </w:r>
    </w:p>
    <w:p w14:paraId="62CB39A8">
      <w:pPr>
        <w:numPr>
          <w:ilvl w:val="0"/>
          <w:numId w:val="1"/>
        </w:numPr>
        <w:spacing w:line="460" w:lineRule="exact"/>
        <w:ind w:left="140" w:firstLine="0"/>
        <w:rPr>
          <w:rFonts w:ascii="仿宋_GB2312" w:hAnsi="仿宋_GB2312" w:eastAsia="仿宋_GB2312" w:cs="仿宋_GB2312"/>
        </w:rPr>
      </w:pPr>
      <w:r>
        <w:rPr>
          <w:rFonts w:ascii="仿宋_GB2312" w:hAnsi="仿宋_GB2312" w:eastAsia="仿宋_GB2312" w:cs="仿宋_GB2312"/>
          <w:b/>
          <w:sz w:val="28"/>
        </w:rPr>
        <w:t xml:space="preserve">合同定价方式、付款进度和支付方式 </w:t>
      </w:r>
      <w:r>
        <w:rPr>
          <w:rFonts w:ascii="仿宋_GB2312" w:hAnsi="仿宋_GB2312" w:eastAsia="仿宋_GB2312" w:cs="仿宋_GB2312"/>
        </w:rPr>
        <w:t xml:space="preserve"> </w:t>
      </w:r>
    </w:p>
    <w:p w14:paraId="7C722602">
      <w:pPr>
        <w:numPr>
          <w:ilvl w:val="0"/>
          <w:numId w:val="0"/>
        </w:numPr>
        <w:spacing w:line="460" w:lineRule="exact"/>
        <w:ind w:left="140" w:firstLine="420" w:firstLineChars="200"/>
        <w:rPr>
          <w:rFonts w:ascii="仿宋_GB2312" w:hAnsi="仿宋_GB2312" w:eastAsia="仿宋_GB2312" w:cs="仿宋_GB2312"/>
        </w:rPr>
      </w:pPr>
      <w:r>
        <w:rPr>
          <w:rFonts w:ascii="仿宋_GB2312" w:hAnsi="仿宋_GB2312" w:eastAsia="仿宋_GB2312" w:cs="仿宋_GB2312"/>
        </w:rPr>
        <w:t>合同定价方式：</w:t>
      </w:r>
    </w:p>
    <w:p w14:paraId="00003CC9">
      <w:pPr>
        <w:spacing w:line="460" w:lineRule="exact"/>
        <w:ind w:firstLine="480"/>
        <w:rPr>
          <w:rFonts w:hint="eastAsia" w:ascii="宋体" w:hAnsi="宋体" w:cs="宋体"/>
        </w:rPr>
      </w:pPr>
      <w:r>
        <w:rPr>
          <w:rFonts w:hint="eastAsia" w:ascii="宋体" w:hAnsi="宋体" w:cs="宋体"/>
        </w:rPr>
        <w:t>1.本项目费用由以下组成：</w:t>
      </w:r>
    </w:p>
    <w:p w14:paraId="2DE92C10">
      <w:pPr>
        <w:pStyle w:val="11"/>
        <w:tabs>
          <w:tab w:val="left" w:pos="904"/>
        </w:tabs>
        <w:spacing w:line="523" w:lineRule="exact"/>
        <w:ind w:firstLine="520"/>
        <w:jc w:val="both"/>
        <w:rPr>
          <w:lang w:val="en-US" w:eastAsia="zh-CN"/>
        </w:rPr>
      </w:pPr>
      <w:r>
        <w:rPr>
          <w:rFonts w:hint="eastAsia"/>
          <w:lang w:val="en-US" w:eastAsia="zh-CN"/>
        </w:rPr>
        <w:t>经甲方招标程序，就现有服务内容等事宜进行确定本项目合同金额为：人民币XXXX元（含税），大写金额：XXXXX。</w:t>
      </w:r>
    </w:p>
    <w:p w14:paraId="5D247038">
      <w:pPr>
        <w:pStyle w:val="11"/>
        <w:tabs>
          <w:tab w:val="left" w:pos="904"/>
        </w:tabs>
        <w:spacing w:line="523" w:lineRule="exact"/>
        <w:ind w:firstLine="0"/>
        <w:jc w:val="both"/>
        <w:rPr>
          <w:lang w:val="en-US" w:eastAsia="zh-CN"/>
        </w:rPr>
      </w:pPr>
      <w:r>
        <w:rPr>
          <w:rFonts w:hint="eastAsia"/>
          <w:lang w:eastAsia="zh-CN"/>
        </w:rPr>
        <w:t xml:space="preserve">    2. </w:t>
      </w:r>
      <w:r>
        <w:rPr>
          <w:rFonts w:hint="eastAsia"/>
        </w:rPr>
        <w:t>支付方式：</w:t>
      </w:r>
      <w:r>
        <w:rPr>
          <w:rFonts w:hint="eastAsia"/>
          <w:lang w:val="en-US" w:eastAsia="zh-CN"/>
        </w:rPr>
        <w:t>银行转账</w:t>
      </w:r>
    </w:p>
    <w:p w14:paraId="5AC6B714">
      <w:pPr>
        <w:pageBreakBefore w:val="0"/>
        <w:kinsoku/>
        <w:wordWrap/>
        <w:overflowPunct/>
        <w:topLinePunct w:val="0"/>
        <w:autoSpaceDE/>
        <w:autoSpaceDN/>
        <w:bidi w:val="0"/>
        <w:adjustRightInd/>
        <w:snapToGrid/>
        <w:spacing w:beforeAutospacing="0" w:afterAutospacing="0" w:line="360" w:lineRule="auto"/>
        <w:ind w:firstLine="440" w:firstLineChars="200"/>
        <w:jc w:val="left"/>
        <w:textAlignment w:val="auto"/>
        <w:outlineLvl w:val="9"/>
        <w:rPr>
          <w:rFonts w:hint="eastAsia" w:ascii="宋体" w:hAnsi="宋体" w:eastAsia="宋体" w:cs="宋体"/>
          <w:color w:val="000000"/>
          <w:kern w:val="2"/>
          <w:sz w:val="22"/>
          <w:szCs w:val="22"/>
          <w:lang w:val="en-US" w:eastAsia="zh-CN" w:bidi="zh-TW"/>
        </w:rPr>
      </w:pPr>
      <w:r>
        <w:rPr>
          <w:rFonts w:hint="eastAsia" w:ascii="宋体" w:hAnsi="宋体" w:eastAsia="宋体" w:cs="宋体"/>
          <w:color w:val="000000"/>
          <w:kern w:val="2"/>
          <w:sz w:val="22"/>
          <w:szCs w:val="22"/>
          <w:lang w:val="en-US" w:eastAsia="zh-CN" w:bidi="zh-TW"/>
        </w:rPr>
        <w:t>付款方式：本次采购服务期为三年，每年合同价款分两次支付。每个年度签订合同后，分别在服务满6个月、服务满1年时进行考核评分，根据评分规则确认当期应支付的服务费用。每次付款前，</w:t>
      </w:r>
      <w:bookmarkStart w:id="0" w:name="_GoBack"/>
      <w:bookmarkEnd w:id="0"/>
      <w:r>
        <w:rPr>
          <w:rFonts w:hint="eastAsia" w:ascii="宋体" w:hAnsi="宋体" w:eastAsia="宋体" w:cs="宋体"/>
          <w:color w:val="000000"/>
          <w:kern w:val="2"/>
          <w:sz w:val="22"/>
          <w:szCs w:val="22"/>
          <w:lang w:val="en-US" w:eastAsia="zh-CN" w:bidi="zh-TW"/>
        </w:rPr>
        <w:t>供应商向采购人出具服务费发票。</w:t>
      </w:r>
    </w:p>
    <w:p w14:paraId="4C899F8D">
      <w:pPr>
        <w:pStyle w:val="2"/>
        <w:rPr>
          <w:rFonts w:hint="default" w:ascii="宋体" w:hAnsi="宋体" w:eastAsia="宋体" w:cs="宋体"/>
          <w:color w:val="000000"/>
          <w:kern w:val="2"/>
          <w:sz w:val="22"/>
          <w:szCs w:val="22"/>
          <w:lang w:val="en-US" w:eastAsia="zh-CN" w:bidi="zh-TW"/>
        </w:rPr>
      </w:pPr>
      <w:r>
        <w:rPr>
          <w:rFonts w:hint="eastAsia" w:ascii="宋体" w:hAnsi="宋体" w:eastAsia="宋体" w:cs="宋体"/>
          <w:color w:val="000000"/>
          <w:kern w:val="2"/>
          <w:sz w:val="22"/>
          <w:szCs w:val="22"/>
          <w:lang w:val="en-US" w:eastAsia="zh-CN" w:bidi="zh-TW"/>
        </w:rPr>
        <w:t>应支付服务费用=合同金额/2*考核结果系数</w:t>
      </w:r>
    </w:p>
    <w:p w14:paraId="646391A8">
      <w:pPr>
        <w:pStyle w:val="11"/>
        <w:tabs>
          <w:tab w:val="left" w:pos="904"/>
        </w:tabs>
        <w:spacing w:line="523" w:lineRule="exact"/>
        <w:ind w:firstLine="520"/>
        <w:jc w:val="both"/>
        <w:rPr>
          <w:rFonts w:hint="eastAsia"/>
          <w:lang w:val="en-US" w:eastAsia="zh-CN"/>
        </w:rPr>
      </w:pPr>
      <w:r>
        <w:rPr>
          <w:rFonts w:hint="eastAsia"/>
        </w:rPr>
        <w:t>3.乙方若违反</w:t>
      </w:r>
      <w:r>
        <w:rPr>
          <w:rFonts w:hint="eastAsia"/>
          <w:lang w:val="en-US" w:eastAsia="zh-CN"/>
        </w:rPr>
        <w:t>本合同约定或相关法律、法规、</w:t>
      </w:r>
      <w:r>
        <w:rPr>
          <w:rFonts w:hint="eastAsia"/>
        </w:rPr>
        <w:t>政策规定</w:t>
      </w:r>
      <w:r>
        <w:rPr>
          <w:rFonts w:hint="eastAsia"/>
          <w:lang w:val="en-US" w:eastAsia="zh-CN"/>
        </w:rPr>
        <w:t>的</w:t>
      </w:r>
      <w:r>
        <w:rPr>
          <w:rFonts w:hint="eastAsia"/>
        </w:rPr>
        <w:t>，须</w:t>
      </w:r>
      <w:r>
        <w:rPr>
          <w:rFonts w:hint="eastAsia"/>
          <w:lang w:val="en-US" w:eastAsia="zh-CN"/>
        </w:rPr>
        <w:t>全额</w:t>
      </w:r>
      <w:r>
        <w:rPr>
          <w:rFonts w:hint="eastAsia"/>
        </w:rPr>
        <w:t>退还</w:t>
      </w:r>
      <w:r>
        <w:rPr>
          <w:rFonts w:hint="eastAsia"/>
          <w:lang w:val="en-US" w:eastAsia="zh-CN"/>
        </w:rPr>
        <w:t>甲方</w:t>
      </w:r>
      <w:r>
        <w:rPr>
          <w:rFonts w:hint="eastAsia"/>
        </w:rPr>
        <w:t>已</w:t>
      </w:r>
      <w:r>
        <w:rPr>
          <w:rFonts w:hint="eastAsia"/>
          <w:lang w:val="en-US" w:eastAsia="zh-CN"/>
        </w:rPr>
        <w:t>支付费用</w:t>
      </w:r>
      <w:r>
        <w:rPr>
          <w:rFonts w:hint="eastAsia"/>
        </w:rPr>
        <w:t>。</w:t>
      </w:r>
    </w:p>
    <w:p w14:paraId="79A2711D">
      <w:pPr>
        <w:pStyle w:val="8"/>
        <w:jc w:val="left"/>
        <w:outlineLvl w:val="2"/>
      </w:pPr>
    </w:p>
    <w:p w14:paraId="10C1E756">
      <w:pPr>
        <w:pStyle w:val="8"/>
        <w:numPr>
          <w:ilvl w:val="0"/>
          <w:numId w:val="0"/>
        </w:numPr>
        <w:ind w:left="140"/>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履约保证金</w:t>
      </w:r>
    </w:p>
    <w:p w14:paraId="36EB77D1">
      <w:pPr>
        <w:pStyle w:val="8"/>
        <w:numPr>
          <w:ilvl w:val="0"/>
          <w:numId w:val="0"/>
        </w:numPr>
        <w:ind w:left="140"/>
        <w:jc w:val="left"/>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无</w:t>
      </w:r>
    </w:p>
    <w:p w14:paraId="7731F3E8">
      <w:pPr>
        <w:pStyle w:val="8"/>
        <w:numPr>
          <w:ilvl w:val="0"/>
          <w:numId w:val="0"/>
        </w:numPr>
        <w:ind w:left="140"/>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五、</w:t>
      </w:r>
      <w:r>
        <w:rPr>
          <w:rFonts w:ascii="仿宋_GB2312" w:hAnsi="仿宋_GB2312" w:eastAsia="仿宋_GB2312" w:cs="仿宋_GB2312"/>
          <w:b/>
          <w:sz w:val="28"/>
        </w:rPr>
        <w:t>验收标准和方法</w:t>
      </w:r>
    </w:p>
    <w:p w14:paraId="36448881">
      <w:pPr>
        <w:pStyle w:val="10"/>
        <w:snapToGrid w:val="0"/>
        <w:ind w:firstLine="0"/>
        <w:rPr>
          <w:rFonts w:hint="eastAsia" w:ascii="仿宋" w:hAnsi="仿宋" w:eastAsia="仿宋" w:cs="仿宋"/>
          <w:sz w:val="24"/>
          <w:szCs w:val="24"/>
        </w:rPr>
      </w:pPr>
      <w:r>
        <w:rPr>
          <w:rFonts w:hint="eastAsia" w:ascii="仿宋" w:hAnsi="仿宋" w:eastAsia="仿宋" w:cs="仿宋"/>
          <w:sz w:val="24"/>
          <w:szCs w:val="24"/>
        </w:rPr>
        <w:t>1、验收主体：</w:t>
      </w:r>
      <w:r>
        <w:rPr>
          <w:rFonts w:hint="eastAsia" w:ascii="仿宋" w:hAnsi="仿宋" w:eastAsia="仿宋" w:cs="仿宋"/>
          <w:sz w:val="24"/>
          <w:szCs w:val="24"/>
          <w:lang w:val="en-US" w:eastAsia="zh-CN"/>
        </w:rPr>
        <w:t>甲方</w:t>
      </w:r>
      <w:r>
        <w:rPr>
          <w:rFonts w:hint="eastAsia" w:ascii="仿宋" w:hAnsi="仿宋" w:eastAsia="仿宋" w:cs="仿宋"/>
          <w:sz w:val="24"/>
          <w:szCs w:val="24"/>
        </w:rPr>
        <w:t>；</w:t>
      </w:r>
    </w:p>
    <w:p w14:paraId="73E4CCC2">
      <w:pPr>
        <w:pStyle w:val="10"/>
        <w:snapToGrid w:val="0"/>
        <w:ind w:firstLine="0"/>
        <w:rPr>
          <w:rFonts w:hint="eastAsia" w:ascii="仿宋" w:hAnsi="仿宋" w:eastAsia="仿宋" w:cs="仿宋"/>
          <w:sz w:val="24"/>
          <w:szCs w:val="24"/>
          <w:highlight w:val="yellow"/>
        </w:rPr>
      </w:pPr>
      <w:r>
        <w:rPr>
          <w:rFonts w:hint="eastAsia" w:ascii="仿宋" w:hAnsi="仿宋" w:eastAsia="仿宋" w:cs="仿宋"/>
          <w:sz w:val="24"/>
          <w:szCs w:val="24"/>
        </w:rPr>
        <w:t>2、验收时间：</w:t>
      </w:r>
      <w:r>
        <w:rPr>
          <w:rFonts w:hint="eastAsia" w:ascii="仿宋" w:hAnsi="仿宋" w:eastAsia="仿宋" w:cs="仿宋"/>
          <w:sz w:val="24"/>
          <w:szCs w:val="24"/>
          <w:lang w:val="en-US" w:eastAsia="zh-CN"/>
        </w:rPr>
        <w:t>乙方</w:t>
      </w:r>
      <w:r>
        <w:rPr>
          <w:rFonts w:hint="eastAsia" w:ascii="仿宋" w:hAnsi="仿宋" w:eastAsia="仿宋" w:cs="仿宋"/>
          <w:sz w:val="24"/>
          <w:szCs w:val="24"/>
        </w:rPr>
        <w:t>按照招标文件、响应文件、合同文件完成所有服务内容，及时向</w:t>
      </w:r>
      <w:r>
        <w:rPr>
          <w:rFonts w:hint="eastAsia" w:ascii="仿宋" w:hAnsi="仿宋" w:eastAsia="仿宋" w:cs="仿宋"/>
          <w:sz w:val="24"/>
          <w:szCs w:val="24"/>
          <w:lang w:val="en-US" w:eastAsia="zh-CN"/>
        </w:rPr>
        <w:t>甲方</w:t>
      </w:r>
      <w:r>
        <w:rPr>
          <w:rFonts w:hint="eastAsia" w:ascii="仿宋" w:hAnsi="仿宋" w:eastAsia="仿宋" w:cs="仿宋"/>
          <w:sz w:val="24"/>
          <w:szCs w:val="24"/>
        </w:rPr>
        <w:t>申请项目验收，</w:t>
      </w:r>
      <w:r>
        <w:rPr>
          <w:rFonts w:hint="eastAsia" w:ascii="仿宋" w:hAnsi="仿宋" w:eastAsia="仿宋" w:cs="仿宋"/>
          <w:sz w:val="24"/>
          <w:szCs w:val="24"/>
          <w:lang w:val="en-US" w:eastAsia="zh-CN"/>
        </w:rPr>
        <w:t>甲方</w:t>
      </w:r>
      <w:r>
        <w:rPr>
          <w:rFonts w:hint="eastAsia" w:ascii="仿宋" w:hAnsi="仿宋" w:eastAsia="仿宋" w:cs="仿宋"/>
          <w:sz w:val="24"/>
          <w:szCs w:val="24"/>
        </w:rPr>
        <w:t>收到申请后，应在15个工作日内组织验收；</w:t>
      </w:r>
    </w:p>
    <w:p w14:paraId="52D8954F">
      <w:pPr>
        <w:pStyle w:val="10"/>
        <w:snapToGrid w:val="0"/>
        <w:ind w:firstLine="0"/>
        <w:rPr>
          <w:rFonts w:hint="eastAsia" w:ascii="仿宋" w:hAnsi="仿宋" w:eastAsia="仿宋" w:cs="仿宋"/>
          <w:sz w:val="24"/>
          <w:szCs w:val="24"/>
        </w:rPr>
      </w:pPr>
      <w:r>
        <w:rPr>
          <w:rFonts w:hint="eastAsia" w:ascii="仿宋" w:hAnsi="仿宋" w:eastAsia="仿宋" w:cs="仿宋"/>
          <w:sz w:val="24"/>
          <w:szCs w:val="24"/>
        </w:rPr>
        <w:t>3、验收方式：</w:t>
      </w:r>
      <w:r>
        <w:rPr>
          <w:rFonts w:hint="eastAsia" w:ascii="仿宋" w:hAnsi="仿宋" w:eastAsia="仿宋" w:cs="仿宋"/>
          <w:sz w:val="24"/>
          <w:szCs w:val="24"/>
          <w:lang w:val="en-US" w:eastAsia="zh-CN"/>
        </w:rPr>
        <w:t>甲方</w:t>
      </w:r>
      <w:r>
        <w:rPr>
          <w:rFonts w:hint="eastAsia" w:ascii="仿宋" w:hAnsi="仿宋" w:eastAsia="仿宋" w:cs="仿宋"/>
          <w:sz w:val="24"/>
          <w:szCs w:val="24"/>
        </w:rPr>
        <w:t>自行验收，</w:t>
      </w:r>
      <w:r>
        <w:rPr>
          <w:rFonts w:hint="eastAsia" w:ascii="仿宋" w:hAnsi="仿宋" w:eastAsia="仿宋" w:cs="仿宋"/>
          <w:sz w:val="24"/>
          <w:szCs w:val="24"/>
          <w:lang w:val="en-US" w:eastAsia="zh-CN"/>
        </w:rPr>
        <w:t>乙方</w:t>
      </w:r>
      <w:r>
        <w:rPr>
          <w:rFonts w:hint="eastAsia" w:ascii="仿宋" w:hAnsi="仿宋" w:eastAsia="仿宋" w:cs="仿宋"/>
          <w:sz w:val="24"/>
          <w:szCs w:val="24"/>
        </w:rPr>
        <w:t>须配合</w:t>
      </w:r>
      <w:r>
        <w:rPr>
          <w:rFonts w:hint="eastAsia" w:ascii="仿宋" w:hAnsi="仿宋" w:eastAsia="仿宋" w:cs="仿宋"/>
          <w:sz w:val="24"/>
          <w:szCs w:val="24"/>
          <w:lang w:val="en-US" w:eastAsia="zh-CN"/>
        </w:rPr>
        <w:t>甲方</w:t>
      </w:r>
      <w:r>
        <w:rPr>
          <w:rFonts w:hint="eastAsia" w:ascii="仿宋" w:hAnsi="仿宋" w:eastAsia="仿宋" w:cs="仿宋"/>
          <w:sz w:val="24"/>
          <w:szCs w:val="24"/>
        </w:rPr>
        <w:t>，并提供</w:t>
      </w:r>
      <w:r>
        <w:rPr>
          <w:rFonts w:hint="eastAsia" w:ascii="仿宋" w:hAnsi="仿宋" w:eastAsia="仿宋" w:cs="仿宋"/>
          <w:sz w:val="24"/>
          <w:szCs w:val="24"/>
          <w:lang w:val="en-US" w:eastAsia="zh-CN"/>
        </w:rPr>
        <w:t>甲方</w:t>
      </w:r>
      <w:r>
        <w:rPr>
          <w:rFonts w:hint="eastAsia" w:ascii="仿宋" w:hAnsi="仿宋" w:eastAsia="仿宋" w:cs="仿宋"/>
          <w:sz w:val="24"/>
          <w:szCs w:val="24"/>
        </w:rPr>
        <w:t>认为必要的佐证资料；</w:t>
      </w:r>
    </w:p>
    <w:p w14:paraId="63AC8DB2">
      <w:pPr>
        <w:pStyle w:val="10"/>
        <w:snapToGrid w:val="0"/>
        <w:ind w:firstLine="0"/>
        <w:rPr>
          <w:rFonts w:hint="eastAsia" w:ascii="仿宋" w:hAnsi="仿宋" w:eastAsia="仿宋" w:cs="仿宋"/>
          <w:sz w:val="24"/>
          <w:szCs w:val="24"/>
        </w:rPr>
      </w:pPr>
      <w:r>
        <w:rPr>
          <w:rFonts w:hint="eastAsia" w:ascii="仿宋" w:hAnsi="仿宋" w:eastAsia="仿宋" w:cs="仿宋"/>
          <w:sz w:val="24"/>
          <w:szCs w:val="24"/>
        </w:rPr>
        <w:t>4、验收程序：一次性验收；</w:t>
      </w:r>
    </w:p>
    <w:p w14:paraId="6777BCD2">
      <w:pPr>
        <w:pStyle w:val="8"/>
        <w:numPr>
          <w:ilvl w:val="0"/>
          <w:numId w:val="0"/>
        </w:numPr>
        <w:ind w:left="0"/>
        <w:jc w:val="left"/>
        <w:outlineLvl w:val="2"/>
        <w:rPr>
          <w:rFonts w:hint="eastAsia" w:ascii="仿宋" w:hAnsi="仿宋" w:eastAsia="仿宋" w:cs="仿宋"/>
          <w:sz w:val="24"/>
          <w:szCs w:val="24"/>
        </w:rPr>
      </w:pPr>
      <w:r>
        <w:rPr>
          <w:rFonts w:hint="eastAsia" w:ascii="仿宋" w:hAnsi="仿宋" w:eastAsia="仿宋" w:cs="仿宋"/>
          <w:sz w:val="24"/>
          <w:szCs w:val="24"/>
        </w:rPr>
        <w:t>5、验收内容：采购文件需求、</w:t>
      </w:r>
      <w:r>
        <w:rPr>
          <w:rFonts w:hint="eastAsia" w:ascii="仿宋" w:hAnsi="仿宋" w:eastAsia="仿宋" w:cs="仿宋"/>
          <w:sz w:val="24"/>
          <w:szCs w:val="24"/>
          <w:lang w:val="en-US" w:eastAsia="zh-CN"/>
        </w:rPr>
        <w:t>乙方</w:t>
      </w:r>
      <w:r>
        <w:rPr>
          <w:rFonts w:hint="eastAsia" w:ascii="仿宋" w:hAnsi="仿宋" w:eastAsia="仿宋" w:cs="仿宋"/>
          <w:sz w:val="24"/>
          <w:szCs w:val="24"/>
        </w:rPr>
        <w:t>的投标文件内容、合同条款等要求内容；</w:t>
      </w:r>
    </w:p>
    <w:p w14:paraId="405A0350">
      <w:pPr>
        <w:pStyle w:val="8"/>
        <w:numPr>
          <w:ilvl w:val="0"/>
          <w:numId w:val="0"/>
        </w:numPr>
        <w:ind w:left="0"/>
        <w:jc w:val="left"/>
        <w:outlineLvl w:val="2"/>
        <w:rPr>
          <w:rFonts w:ascii="仿宋_GB2312" w:hAnsi="仿宋_GB2312" w:eastAsia="仿宋_GB2312" w:cs="仿宋_GB2312"/>
          <w:b/>
          <w:sz w:val="28"/>
        </w:rPr>
      </w:pPr>
      <w:r>
        <w:rPr>
          <w:rFonts w:hint="eastAsia" w:ascii="仿宋" w:hAnsi="仿宋" w:eastAsia="仿宋" w:cs="仿宋"/>
          <w:sz w:val="24"/>
          <w:szCs w:val="24"/>
        </w:rPr>
        <w:t>6、验收标准：严格按照《财政部关于进一步加强政府采购需求和履约验收管理的指导意见》(财库〔2016〕205号)及《乐山市政府采购项目需求论证和履约验收管理实施细则》（乐市财政采〔2018〕16号）、《关于沿用&lt;乐山市政府采购项目需求论证和履约验收管理实施细则&gt;的通知》（乐市财政采〔2021〕8号）等规定的要求和招标文件、中标供应商的投标文件、合同条款要求执行。</w:t>
      </w:r>
    </w:p>
    <w:p w14:paraId="59DC9EF0">
      <w:pPr>
        <w:pStyle w:val="8"/>
        <w:jc w:val="left"/>
        <w:outlineLvl w:val="2"/>
      </w:pPr>
      <w:r>
        <w:rPr>
          <w:rFonts w:ascii="仿宋_GB2312" w:hAnsi="仿宋_GB2312" w:eastAsia="仿宋_GB2312" w:cs="仿宋_GB2312"/>
          <w:b/>
          <w:sz w:val="28"/>
        </w:rPr>
        <w:t xml:space="preserve"> 六、甲方的权利和义务</w:t>
      </w:r>
    </w:p>
    <w:p w14:paraId="3EFA1F9E">
      <w:pPr>
        <w:pStyle w:val="8"/>
        <w:jc w:val="left"/>
      </w:pPr>
      <w:r>
        <w:rPr>
          <w:rFonts w:ascii="仿宋_GB2312" w:hAnsi="仿宋_GB2312" w:eastAsia="仿宋_GB2312" w:cs="仿宋_GB2312"/>
        </w:rPr>
        <w:t>1.甲方有权对合同规定范围内乙方的服务行为进行监督和检查，拥有监管权。有权定期核对乙方提供服务所配备的人员数量。对甲方认为不合理的部分XXX。</w:t>
      </w:r>
    </w:p>
    <w:p w14:paraId="7684E328">
      <w:pPr>
        <w:pStyle w:val="8"/>
        <w:jc w:val="left"/>
      </w:pPr>
      <w:r>
        <w:rPr>
          <w:rFonts w:ascii="仿宋_GB2312" w:hAnsi="仿宋_GB2312" w:eastAsia="仿宋_GB2312" w:cs="仿宋_GB2312"/>
        </w:rPr>
        <w:t>2.根据本合同规定，按时向乙方支付应付服务费用。</w:t>
      </w:r>
    </w:p>
    <w:p w14:paraId="33BA654E">
      <w:pPr>
        <w:pStyle w:val="8"/>
        <w:jc w:val="left"/>
      </w:pPr>
      <w:r>
        <w:rPr>
          <w:rFonts w:ascii="仿宋_GB2312" w:hAnsi="仿宋_GB2312" w:eastAsia="仿宋_GB2312" w:cs="仿宋_GB2312"/>
        </w:rPr>
        <w:t>3.国家法律、法规所规定由甲方承担的其它责任。</w:t>
      </w:r>
    </w:p>
    <w:p w14:paraId="36D8FD6C">
      <w:pPr>
        <w:pStyle w:val="8"/>
        <w:jc w:val="left"/>
        <w:outlineLvl w:val="2"/>
      </w:pPr>
      <w:r>
        <w:rPr>
          <w:rFonts w:ascii="仿宋_GB2312" w:hAnsi="仿宋_GB2312" w:eastAsia="仿宋_GB2312" w:cs="仿宋_GB2312"/>
          <w:b/>
          <w:sz w:val="28"/>
        </w:rPr>
        <w:t xml:space="preserve"> 七、乙方的权利和义务</w:t>
      </w:r>
    </w:p>
    <w:p w14:paraId="0C93D8BB">
      <w:pPr>
        <w:pStyle w:val="8"/>
        <w:jc w:val="left"/>
      </w:pPr>
      <w:r>
        <w:rPr>
          <w:rFonts w:ascii="仿宋_GB2312" w:hAnsi="仿宋_GB2312" w:eastAsia="仿宋_GB2312" w:cs="仿宋_GB2312"/>
        </w:rPr>
        <w:t>1.根据本合同的约定向甲方收取相关服务费用。</w:t>
      </w:r>
    </w:p>
    <w:p w14:paraId="0DA22FA8">
      <w:pPr>
        <w:pStyle w:val="8"/>
        <w:jc w:val="left"/>
      </w:pPr>
      <w:r>
        <w:rPr>
          <w:rFonts w:ascii="仿宋_GB2312" w:hAnsi="仿宋_GB2312" w:eastAsia="仿宋_GB2312" w:cs="仿宋_GB2312"/>
        </w:rPr>
        <w:t>2.接受项目行业管理部门及政府有关部门的指导，接受甲方的监督。</w:t>
      </w:r>
    </w:p>
    <w:p w14:paraId="7D09EC44">
      <w:pPr>
        <w:pStyle w:val="8"/>
        <w:jc w:val="left"/>
      </w:pPr>
      <w:r>
        <w:rPr>
          <w:rFonts w:ascii="仿宋_GB2312" w:hAnsi="仿宋_GB2312" w:eastAsia="仿宋_GB2312" w:cs="仿宋_GB2312"/>
        </w:rPr>
        <w:t>3.乙方承诺遵守《中华人民共和国劳动合同法》有关规定和《中华人民共和国妇女权益保障法》中关于“劳动和社会保障权益”的有关要求。</w:t>
      </w:r>
    </w:p>
    <w:p w14:paraId="5D79682B">
      <w:pPr>
        <w:pStyle w:val="8"/>
        <w:jc w:val="left"/>
      </w:pPr>
      <w:r>
        <w:rPr>
          <w:rFonts w:ascii="仿宋_GB2312" w:hAnsi="仿宋_GB2312" w:eastAsia="仿宋_GB2312" w:cs="仿宋_GB2312"/>
        </w:rPr>
        <w:t>4.国家法律、法规所规定由乙方承担的其它责任。</w:t>
      </w:r>
    </w:p>
    <w:p w14:paraId="0F542B74">
      <w:pPr>
        <w:pStyle w:val="8"/>
        <w:jc w:val="left"/>
        <w:outlineLvl w:val="2"/>
        <w:rPr>
          <w:rFonts w:ascii="仿宋_GB2312" w:hAnsi="仿宋_GB2312" w:eastAsia="仿宋_GB2312" w:cs="仿宋_GB2312"/>
          <w:b/>
          <w:sz w:val="28"/>
        </w:rPr>
      </w:pPr>
      <w:r>
        <w:rPr>
          <w:rFonts w:ascii="仿宋_GB2312" w:hAnsi="仿宋_GB2312" w:eastAsia="仿宋_GB2312" w:cs="仿宋_GB2312"/>
          <w:b/>
          <w:sz w:val="28"/>
        </w:rPr>
        <w:t xml:space="preserve"> 八、违约责任</w:t>
      </w:r>
    </w:p>
    <w:p w14:paraId="3520E1F5">
      <w:pPr>
        <w:pStyle w:val="3"/>
        <w:spacing w:line="360" w:lineRule="auto"/>
        <w:rPr>
          <w:rFonts w:ascii="仿宋_GB2312" w:hAnsi="仿宋_GB2312" w:eastAsia="仿宋_GB2312" w:cs="仿宋_GB2312"/>
          <w:b/>
          <w:sz w:val="28"/>
        </w:rPr>
      </w:pPr>
      <w:r>
        <w:rPr>
          <w:rFonts w:hint="eastAsia" w:ascii="仿宋" w:hAnsi="仿宋" w:eastAsia="仿宋" w:cs="仿宋"/>
          <w:sz w:val="24"/>
          <w:shd w:val="clear" w:color="auto" w:fill="FFFFFF"/>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3）、若乙方所提供的服务不符合合同约定情况的，应按照甲方要求及时改正，乙方拒不改正或改正3次后仍不符合要求的，甲方有权单方解除合同，且乙方应按照合同总金额的20%向甲方支付违约金，并赔偿因此给甲方造成的全部损失。</w:t>
      </w:r>
    </w:p>
    <w:p w14:paraId="1F9B80FF">
      <w:pPr>
        <w:pStyle w:val="8"/>
        <w:jc w:val="left"/>
        <w:outlineLvl w:val="2"/>
      </w:pPr>
      <w:r>
        <w:rPr>
          <w:rFonts w:ascii="仿宋_GB2312" w:hAnsi="仿宋_GB2312" w:eastAsia="仿宋_GB2312" w:cs="仿宋_GB2312"/>
          <w:b/>
          <w:sz w:val="28"/>
        </w:rPr>
        <w:t xml:space="preserve"> 九、不可抗事件处理</w:t>
      </w:r>
    </w:p>
    <w:p w14:paraId="577DA700">
      <w:pPr>
        <w:pStyle w:val="8"/>
        <w:jc w:val="left"/>
      </w:pPr>
      <w:r>
        <w:rPr>
          <w:rFonts w:ascii="仿宋_GB2312" w:hAnsi="仿宋_GB2312" w:eastAsia="仿宋_GB2312" w:cs="仿宋_GB2312"/>
        </w:rPr>
        <w:t>1.在合同有效期内，任何一方因战争、洪灾、台风、地震等不可抗力事件导致不能履行合同，则合同履行期可延长，其延长期与不可抗力事件影响期相同。</w:t>
      </w:r>
    </w:p>
    <w:p w14:paraId="04A69A94">
      <w:pPr>
        <w:pStyle w:val="8"/>
        <w:jc w:val="left"/>
      </w:pPr>
      <w:r>
        <w:rPr>
          <w:rFonts w:ascii="仿宋_GB2312" w:hAnsi="仿宋_GB2312" w:eastAsia="仿宋_GB2312" w:cs="仿宋_GB2312"/>
        </w:rPr>
        <w:t>2.受阻一方应在不可抗事件发生后尽快用电话通知对方并于事故发生后XX天内将有关部门出具的证明文件等用特快专递或挂号信寄给对方审阅确认。</w:t>
      </w:r>
    </w:p>
    <w:p w14:paraId="3687FA59">
      <w:pPr>
        <w:pStyle w:val="8"/>
        <w:jc w:val="left"/>
      </w:pPr>
      <w:r>
        <w:rPr>
          <w:rFonts w:ascii="仿宋_GB2312" w:hAnsi="仿宋_GB2312" w:eastAsia="仿宋_GB2312" w:cs="仿宋_GB2312"/>
        </w:rPr>
        <w:t>3.不可抗事件延续XX天以上，双方应通过友好协商，确定是否继续履行合同。</w:t>
      </w:r>
    </w:p>
    <w:p w14:paraId="4C55C7C3">
      <w:pPr>
        <w:pStyle w:val="8"/>
        <w:jc w:val="left"/>
        <w:outlineLvl w:val="2"/>
      </w:pPr>
      <w:r>
        <w:rPr>
          <w:rFonts w:ascii="仿宋_GB2312" w:hAnsi="仿宋_GB2312" w:eastAsia="仿宋_GB2312" w:cs="仿宋_GB2312"/>
          <w:b/>
          <w:sz w:val="28"/>
        </w:rPr>
        <w:t xml:space="preserve"> 十、解决合同纠纷的方式</w:t>
      </w:r>
    </w:p>
    <w:p w14:paraId="0CC0524F">
      <w:pPr>
        <w:pStyle w:val="8"/>
        <w:jc w:val="left"/>
        <w:outlineLvl w:val="2"/>
      </w:pPr>
      <w:r>
        <w:rPr>
          <w:rFonts w:ascii="仿宋_GB2312" w:hAnsi="仿宋_GB2312" w:eastAsia="仿宋_GB2312" w:cs="仿宋_GB2312"/>
          <w:b/>
          <w:sz w:val="28"/>
        </w:rPr>
        <w:t xml:space="preserve"> 十一、合同生效及其他</w:t>
      </w:r>
    </w:p>
    <w:p w14:paraId="52AA8000">
      <w:pPr>
        <w:pStyle w:val="8"/>
        <w:jc w:val="left"/>
      </w:pPr>
      <w:r>
        <w:rPr>
          <w:rFonts w:ascii="仿宋_GB2312" w:hAnsi="仿宋_GB2312" w:eastAsia="仿宋_GB2312" w:cs="仿宋_GB2312"/>
        </w:rPr>
        <w:t>1.合同经双方法定代表人（或主要负责人）或授权委托代理人签字并加盖公章后生效。</w:t>
      </w:r>
    </w:p>
    <w:p w14:paraId="06E503A6">
      <w:pPr>
        <w:pStyle w:val="8"/>
        <w:jc w:val="left"/>
      </w:pPr>
      <w:r>
        <w:rPr>
          <w:rFonts w:ascii="仿宋_GB2312" w:hAnsi="仿宋_GB2312" w:eastAsia="仿宋_GB2312" w:cs="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6D6873D0">
      <w:pPr>
        <w:pStyle w:val="8"/>
        <w:jc w:val="left"/>
      </w:pPr>
      <w:r>
        <w:rPr>
          <w:rFonts w:ascii="仿宋_GB2312" w:hAnsi="仿宋_GB2312" w:eastAsia="仿宋_GB2312" w:cs="仿宋_GB2312"/>
        </w:rPr>
        <w:t>3.本合同一式3份，自双方签章之日起生效。甲方持有1份，乙方持有1份，同级财政部门备案1份，具有同等法律效力。</w:t>
      </w:r>
    </w:p>
    <w:p w14:paraId="1BE4AF9B">
      <w:pPr>
        <w:pStyle w:val="8"/>
        <w:jc w:val="left"/>
      </w:pPr>
      <w:r>
        <w:br w:type="textWrapping"/>
      </w:r>
      <w:r>
        <w:rPr>
          <w:rFonts w:ascii="仿宋_GB2312" w:hAnsi="仿宋_GB2312" w:eastAsia="仿宋_GB2312" w:cs="仿宋_GB2312"/>
        </w:rPr>
        <w:t xml:space="preserve"> 甲方： （盖章）</w:t>
      </w:r>
    </w:p>
    <w:p w14:paraId="39276A6F">
      <w:pPr>
        <w:pStyle w:val="8"/>
        <w:jc w:val="left"/>
      </w:pPr>
      <w:r>
        <w:rPr>
          <w:rFonts w:ascii="仿宋_GB2312" w:hAnsi="仿宋_GB2312" w:eastAsia="仿宋_GB2312" w:cs="仿宋_GB2312"/>
        </w:rPr>
        <w:t xml:space="preserve"> 法定代表人或主要负责人（授权代表）：</w:t>
      </w:r>
    </w:p>
    <w:p w14:paraId="56C88D59">
      <w:pPr>
        <w:pStyle w:val="8"/>
        <w:jc w:val="left"/>
      </w:pPr>
      <w:r>
        <w:rPr>
          <w:rFonts w:ascii="仿宋_GB2312" w:hAnsi="仿宋_GB2312" w:eastAsia="仿宋_GB2312" w:cs="仿宋_GB2312"/>
        </w:rPr>
        <w:t xml:space="preserve"> 地 址：</w:t>
      </w:r>
    </w:p>
    <w:p w14:paraId="2DE88C63">
      <w:pPr>
        <w:pStyle w:val="8"/>
        <w:jc w:val="left"/>
      </w:pPr>
      <w:r>
        <w:rPr>
          <w:rFonts w:ascii="仿宋_GB2312" w:hAnsi="仿宋_GB2312" w:eastAsia="仿宋_GB2312" w:cs="仿宋_GB2312"/>
        </w:rPr>
        <w:t xml:space="preserve"> 开户银行：</w:t>
      </w:r>
    </w:p>
    <w:p w14:paraId="4441CDA1">
      <w:pPr>
        <w:pStyle w:val="8"/>
        <w:jc w:val="left"/>
      </w:pPr>
      <w:r>
        <w:rPr>
          <w:rFonts w:ascii="仿宋_GB2312" w:hAnsi="仿宋_GB2312" w:eastAsia="仿宋_GB2312" w:cs="仿宋_GB2312"/>
        </w:rPr>
        <w:t xml:space="preserve"> 账号：</w:t>
      </w:r>
    </w:p>
    <w:p w14:paraId="3933765A">
      <w:pPr>
        <w:pStyle w:val="8"/>
        <w:jc w:val="left"/>
      </w:pPr>
      <w:r>
        <w:rPr>
          <w:rFonts w:ascii="仿宋_GB2312" w:hAnsi="仿宋_GB2312" w:eastAsia="仿宋_GB2312" w:cs="仿宋_GB2312"/>
        </w:rPr>
        <w:t xml:space="preserve"> 签订时间： 年 月 日</w:t>
      </w:r>
    </w:p>
    <w:p w14:paraId="62FEDDEB">
      <w:pPr>
        <w:pStyle w:val="8"/>
        <w:jc w:val="left"/>
      </w:pPr>
      <w:r>
        <w:rPr>
          <w:rFonts w:ascii="仿宋_GB2312" w:hAnsi="仿宋_GB2312" w:eastAsia="仿宋_GB2312" w:cs="仿宋_GB2312"/>
        </w:rPr>
        <w:t xml:space="preserve"> 乙方：(盖章）</w:t>
      </w:r>
    </w:p>
    <w:p w14:paraId="7D3D8A63">
      <w:pPr>
        <w:pStyle w:val="8"/>
        <w:jc w:val="left"/>
      </w:pPr>
      <w:r>
        <w:rPr>
          <w:rFonts w:ascii="仿宋_GB2312" w:hAnsi="仿宋_GB2312" w:eastAsia="仿宋_GB2312" w:cs="仿宋_GB2312"/>
        </w:rPr>
        <w:t xml:space="preserve"> 法定代表人或主要负责人（授权代表）：</w:t>
      </w:r>
    </w:p>
    <w:p w14:paraId="0B976A0A">
      <w:pPr>
        <w:pStyle w:val="8"/>
        <w:jc w:val="left"/>
      </w:pPr>
      <w:r>
        <w:rPr>
          <w:rFonts w:ascii="仿宋_GB2312" w:hAnsi="仿宋_GB2312" w:eastAsia="仿宋_GB2312" w:cs="仿宋_GB2312"/>
        </w:rPr>
        <w:t xml:space="preserve"> 地 址：</w:t>
      </w:r>
    </w:p>
    <w:p w14:paraId="6126A3AC">
      <w:pPr>
        <w:pStyle w:val="8"/>
        <w:jc w:val="left"/>
      </w:pPr>
      <w:r>
        <w:rPr>
          <w:rFonts w:ascii="仿宋_GB2312" w:hAnsi="仿宋_GB2312" w:eastAsia="仿宋_GB2312" w:cs="仿宋_GB2312"/>
        </w:rPr>
        <w:t xml:space="preserve"> 开户银行：</w:t>
      </w:r>
    </w:p>
    <w:p w14:paraId="34AAE0A8">
      <w:pPr>
        <w:pStyle w:val="8"/>
        <w:jc w:val="left"/>
      </w:pPr>
      <w:r>
        <w:rPr>
          <w:rFonts w:ascii="仿宋_GB2312" w:hAnsi="仿宋_GB2312" w:eastAsia="仿宋_GB2312" w:cs="仿宋_GB2312"/>
        </w:rPr>
        <w:t xml:space="preserve"> 账号：</w:t>
      </w:r>
    </w:p>
    <w:p w14:paraId="7D6C1715">
      <w:pPr>
        <w:pStyle w:val="8"/>
        <w:jc w:val="left"/>
      </w:pPr>
      <w:r>
        <w:rPr>
          <w:rFonts w:ascii="仿宋_GB2312" w:hAnsi="仿宋_GB2312" w:eastAsia="仿宋_GB2312" w:cs="仿宋_GB2312"/>
        </w:rPr>
        <w:t xml:space="preserve"> 签订时间： 年 月 日</w:t>
      </w:r>
    </w:p>
    <w:p w14:paraId="2478B0F0">
      <w:pPr>
        <w:pStyle w:val="3"/>
        <w:rPr>
          <w:rFonts w:hint="eastAsia" w:ascii="宋体" w:hAnsi="宋体" w:cs="宋体"/>
          <w:bCs/>
          <w:sz w:val="32"/>
          <w:szCs w:val="32"/>
        </w:rPr>
      </w:pPr>
    </w:p>
    <w:p w14:paraId="536033F7">
      <w:pPr>
        <w:pStyle w:val="4"/>
        <w:rPr>
          <w:rFonts w:hint="eastAsia" w:ascii="宋体" w:hAnsi="宋体" w:cs="宋体"/>
          <w:bCs/>
          <w:sz w:val="32"/>
          <w:szCs w:val="32"/>
        </w:rPr>
      </w:pPr>
    </w:p>
    <w:p w14:paraId="007C7AEF">
      <w:pPr>
        <w:rPr>
          <w:rFonts w:hint="default" w:ascii="宋体" w:hAnsi="宋体" w:eastAsia="宋体" w:cs="宋体"/>
          <w:bCs/>
          <w:sz w:val="32"/>
          <w:szCs w:val="32"/>
          <w:lang w:val="en-US" w:eastAsia="zh-CN"/>
        </w:rPr>
      </w:pPr>
      <w:r>
        <w:rPr>
          <w:rFonts w:hint="eastAsia" w:ascii="宋体" w:hAnsi="宋体" w:cs="宋体"/>
          <w:bCs/>
          <w:sz w:val="32"/>
          <w:szCs w:val="32"/>
          <w:lang w:val="en-US" w:eastAsia="zh-CN"/>
        </w:rPr>
        <w:t>附件 考核标准及内容</w:t>
      </w:r>
    </w:p>
    <w:p w14:paraId="78F538E5">
      <w:pPr>
        <w:jc w:val="center"/>
      </w:pPr>
    </w:p>
    <w:p w14:paraId="7019DCEF">
      <w:pPr>
        <w:pStyle w:val="2"/>
      </w:pPr>
    </w:p>
    <w:p w14:paraId="3E375398">
      <w:pPr>
        <w:pStyle w:val="2"/>
      </w:pPr>
    </w:p>
    <w:p w14:paraId="7641E469">
      <w:pPr>
        <w:pStyle w:val="2"/>
      </w:pPr>
    </w:p>
    <w:p w14:paraId="03381340">
      <w:pPr>
        <w:pStyle w:val="2"/>
      </w:pPr>
    </w:p>
    <w:p w14:paraId="4E8A3352">
      <w:pPr>
        <w:pStyle w:val="2"/>
      </w:pPr>
    </w:p>
    <w:p w14:paraId="0181514A">
      <w:pPr>
        <w:pStyle w:val="2"/>
      </w:pPr>
    </w:p>
    <w:p w14:paraId="6EC5FE5C">
      <w:pPr>
        <w:pStyle w:val="2"/>
      </w:pPr>
    </w:p>
    <w:p w14:paraId="3D6DFECA">
      <w:pPr>
        <w:pStyle w:val="2"/>
      </w:pPr>
    </w:p>
    <w:p w14:paraId="1BA2A451">
      <w:pPr>
        <w:pStyle w:val="2"/>
      </w:pPr>
    </w:p>
    <w:p w14:paraId="692BB126">
      <w:pPr>
        <w:pStyle w:val="2"/>
      </w:pPr>
    </w:p>
    <w:p w14:paraId="54D284CD">
      <w:pPr>
        <w:pStyle w:val="2"/>
      </w:pPr>
    </w:p>
    <w:p w14:paraId="62D7D477">
      <w:pPr>
        <w:pStyle w:val="2"/>
      </w:pPr>
    </w:p>
    <w:p w14:paraId="12757483">
      <w:pPr>
        <w:pStyle w:val="2"/>
      </w:pPr>
    </w:p>
    <w:p w14:paraId="269ED9ED">
      <w:pPr>
        <w:pStyle w:val="2"/>
      </w:pPr>
    </w:p>
    <w:p w14:paraId="71EC4A5C">
      <w:pPr>
        <w:pStyle w:val="2"/>
      </w:pPr>
    </w:p>
    <w:p w14:paraId="3825CFE4">
      <w:pPr>
        <w:pStyle w:val="2"/>
      </w:pPr>
    </w:p>
    <w:p w14:paraId="28120FC8">
      <w:pPr>
        <w:pStyle w:val="2"/>
      </w:pPr>
    </w:p>
    <w:p w14:paraId="282808A6">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E679A"/>
    <w:multiLevelType w:val="singleLevel"/>
    <w:tmpl w:val="A4EE679A"/>
    <w:lvl w:ilvl="0" w:tentative="0">
      <w:start w:val="1"/>
      <w:numFmt w:val="chineseCounting"/>
      <w:suff w:val="nothing"/>
      <w:lvlText w:val="%1、"/>
      <w:lvlJc w:val="left"/>
      <w:pPr>
        <w:ind w:left="1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A60E8"/>
    <w:rsid w:val="212D7524"/>
    <w:rsid w:val="2FDA60E8"/>
    <w:rsid w:val="63B86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Body Text"/>
    <w:basedOn w:val="1"/>
    <w:unhideWhenUsed/>
    <w:qFormat/>
    <w:uiPriority w:val="99"/>
    <w:pPr>
      <w:spacing w:after="120"/>
    </w:pPr>
  </w:style>
  <w:style w:type="paragraph" w:styleId="4">
    <w:name w:val="Subtitle"/>
    <w:basedOn w:val="1"/>
    <w:next w:val="1"/>
    <w:qFormat/>
    <w:uiPriority w:val="6"/>
    <w:pPr>
      <w:spacing w:before="240" w:after="60" w:line="312" w:lineRule="auto"/>
      <w:jc w:val="center"/>
      <w:outlineLvl w:val="1"/>
    </w:pPr>
    <w:rPr>
      <w:rFonts w:ascii="Cambria" w:hAnsi="Cambria" w:cs="Cambria"/>
      <w:b/>
      <w:kern w:val="1"/>
      <w:sz w:val="32"/>
      <w:szCs w:val="32"/>
    </w:rPr>
  </w:style>
  <w:style w:type="character" w:styleId="7">
    <w:name w:val="annotation reference"/>
    <w:qFormat/>
    <w:uiPriority w:val="0"/>
    <w:rPr>
      <w:sz w:val="21"/>
    </w:rPr>
  </w:style>
  <w:style w:type="paragraph" w:customStyle="1" w:styleId="8">
    <w:name w:val="null3"/>
    <w:qFormat/>
    <w:uiPriority w:val="0"/>
    <w:rPr>
      <w:rFonts w:hint="eastAsia" w:ascii="Calibri" w:hAnsi="Calibri" w:eastAsia="宋体" w:cs="Times New Roman"/>
      <w:lang w:val="en-US" w:eastAsia="zh-Hans" w:bidi="ar-SA"/>
    </w:rPr>
  </w:style>
  <w:style w:type="character" w:customStyle="1" w:styleId="9">
    <w:name w:val="NormalCharacter"/>
    <w:qFormat/>
    <w:uiPriority w:val="0"/>
    <w:rPr>
      <w:kern w:val="2"/>
      <w:sz w:val="21"/>
      <w:szCs w:val="24"/>
      <w:lang w:val="en-US" w:eastAsia="zh-CN" w:bidi="ar-SA"/>
    </w:rPr>
  </w:style>
  <w:style w:type="paragraph" w:customStyle="1" w:styleId="10">
    <w:name w:val="*正文"/>
    <w:basedOn w:val="1"/>
    <w:qFormat/>
    <w:uiPriority w:val="0"/>
    <w:pPr>
      <w:widowControl w:val="0"/>
      <w:spacing w:line="360" w:lineRule="auto"/>
      <w:ind w:firstLine="482"/>
      <w:jc w:val="both"/>
    </w:pPr>
    <w:rPr>
      <w:rFonts w:ascii="宋体" w:hAnsi="宋体"/>
      <w:szCs w:val="20"/>
    </w:rPr>
  </w:style>
  <w:style w:type="paragraph" w:customStyle="1" w:styleId="11">
    <w:name w:val="Body text|2"/>
    <w:basedOn w:val="1"/>
    <w:qFormat/>
    <w:uiPriority w:val="0"/>
    <w:pPr>
      <w:widowControl w:val="0"/>
      <w:spacing w:line="480" w:lineRule="auto"/>
      <w:ind w:firstLine="400"/>
    </w:pPr>
    <w:rPr>
      <w:rFonts w:ascii="宋体" w:hAnsi="宋体" w:cs="宋体"/>
      <w:color w:val="000000"/>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7967</Words>
  <Characters>8240</Characters>
  <Lines>0</Lines>
  <Paragraphs>0</Paragraphs>
  <TotalTime>1</TotalTime>
  <ScaleCrop>false</ScaleCrop>
  <LinksUpToDate>false</LinksUpToDate>
  <CharactersWithSpaces>8366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2025-10-10T07:53:00Z</dcterms:created>
  <dc:creator>LinyuaN</dc:creator>
  <cp:lastModifiedBy>LinyuaN</cp:lastModifiedBy>
  <dcterms:modified xsi:type="dcterms:W3CDTF">2025-11-07T02:45:28Z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8F727056A3744754B4A3F6824285090F_11</vt:lpwstr>
  </property>
  <property fmtid="{D5CDD505-2E9C-101B-9397-08002B2CF9AE}" pid="4" name="KSOTemplateDocerSaveRecord">
    <vt:lpwstr>eyJoZGlkIjoiZDIzY2YzZDNlMWI2MDhkOTMwYTE5MDY2ZjMzZTkyNmIiLCJ1c2VySWQiOiI2NjA4NTQxMTUifQ==</vt:lpwstr>
  </property>
</Properties>
</file>