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版本号：N513411202600014820260604001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州综治中心实体化运行经费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N5134112026000148</w:t>
      </w:r>
    </w:p>
    <w:p>
      <w:pPr>
        <w:pStyle w:val="null3"/>
        <w:jc w:val="center"/>
        <w:outlineLvl w:val="2"/>
      </w:pPr>
      <w:r>
        <w:rPr>
          <w:rFonts w:ascii="仿宋_GB2312" w:hAnsi="仿宋_GB2312" w:cs="仿宋_GB2312" w:eastAsia="仿宋_GB2312"/>
          <w:sz w:val="28"/>
          <w:b/>
        </w:rPr>
        <w:t>中共凉山彝族自治州委政法委员会</w:t>
      </w:r>
    </w:p>
    <w:p>
      <w:pPr>
        <w:pStyle w:val="null3"/>
        <w:jc w:val="center"/>
        <w:outlineLvl w:val="2"/>
      </w:pPr>
      <w:r>
        <w:rPr>
          <w:rFonts w:ascii="仿宋_GB2312" w:hAnsi="仿宋_GB2312" w:cs="仿宋_GB2312" w:eastAsia="仿宋_GB2312"/>
          <w:sz w:val="28"/>
          <w:b/>
        </w:rPr>
        <w:t>四川标源招标代理有限公司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四川标源招标代理有限公司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中共凉山彝族自治州委政法委员会</w:t>
      </w:r>
      <w:r>
        <w:rPr>
          <w:rFonts w:ascii="仿宋_GB2312" w:hAnsi="仿宋_GB2312" w:cs="仿宋_GB2312" w:eastAsia="仿宋_GB2312"/>
        </w:rPr>
        <w:t xml:space="preserve"> 委托，拟对 </w:t>
      </w:r>
      <w:r>
        <w:rPr>
          <w:rFonts w:ascii="仿宋_GB2312" w:hAnsi="仿宋_GB2312" w:cs="仿宋_GB2312" w:eastAsia="仿宋_GB2312"/>
        </w:rPr>
        <w:t>州综治中心实体化运行经费</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N5134112026000148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州综治中心实体化运行经费</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本项目共1个包，采购州综治中心实体化运行服务。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中共凉山彝族自治州委政法委员会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四川省西昌市正义路1号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曲木老师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0834-2291915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四川标源招标代理有限公司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四川省成都市金牛区兴盛西路2号6栋B座13楼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028-87791929、0834-2180998（凉山）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代理服务费收费标准：本项目代理服务费按照《四川省政府采购营商环境指标提升专项行动工作方案》(川财采〔2020〕74号)中“成本+合理利润”的原则，收取成交金额的1.5%。</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中共凉山彝族自治州委政法委员会</w:t>
      </w:r>
      <w:r>
        <w:rPr>
          <w:rFonts w:ascii="仿宋_GB2312" w:hAnsi="仿宋_GB2312" w:cs="仿宋_GB2312" w:eastAsia="仿宋_GB2312"/>
        </w:rPr>
        <w:t xml:space="preserve"> 和 </w:t>
      </w:r>
      <w:r>
        <w:rPr>
          <w:rFonts w:ascii="仿宋_GB2312" w:hAnsi="仿宋_GB2312" w:cs="仿宋_GB2312" w:eastAsia="仿宋_GB2312"/>
        </w:rPr>
        <w:t>四川标源招标代理有限公司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中共凉山彝族自治州委政法委员会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四川标源招标代理有限公司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财库〔2016〕205号）的要求，采购文件的相关要求及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中共凉山彝族自治州委政法委员会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四川标源招标代理有限公司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四川标源招标代理有限公司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联系人：曲木老师</w:t>
      </w:r>
    </w:p>
    <w:p>
      <w:pPr>
        <w:pStyle w:val="null3"/>
        <w:jc w:val="left"/>
      </w:pPr>
      <w:r>
        <w:rPr>
          <w:rFonts w:ascii="仿宋_GB2312" w:hAnsi="仿宋_GB2312" w:cs="仿宋_GB2312" w:eastAsia="仿宋_GB2312"/>
        </w:rPr>
        <w:t>联系电话：0834-2291915</w:t>
      </w:r>
    </w:p>
    <w:p>
      <w:pPr>
        <w:pStyle w:val="null3"/>
        <w:jc w:val="left"/>
      </w:pPr>
      <w:r>
        <w:rPr>
          <w:rFonts w:ascii="仿宋_GB2312" w:hAnsi="仿宋_GB2312" w:cs="仿宋_GB2312" w:eastAsia="仿宋_GB2312"/>
        </w:rPr>
        <w:t>地址：四川省西昌市正义路1号</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联系人：田女士</w:t>
      </w:r>
    </w:p>
    <w:p>
      <w:pPr>
        <w:pStyle w:val="null3"/>
        <w:jc w:val="left"/>
      </w:pPr>
      <w:r>
        <w:rPr>
          <w:rFonts w:ascii="仿宋_GB2312" w:hAnsi="仿宋_GB2312" w:cs="仿宋_GB2312" w:eastAsia="仿宋_GB2312"/>
        </w:rPr>
        <w:t>联系电话：0834-2180998</w:t>
      </w:r>
    </w:p>
    <w:p>
      <w:pPr>
        <w:pStyle w:val="null3"/>
        <w:jc w:val="left"/>
      </w:pPr>
      <w:r>
        <w:rPr>
          <w:rFonts w:ascii="仿宋_GB2312" w:hAnsi="仿宋_GB2312" w:cs="仿宋_GB2312" w:eastAsia="仿宋_GB2312"/>
        </w:rPr>
        <w:t>地址：西昌市凯乐路109号海能大厦13楼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州综治中心实体化运行服务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州综治中心实体化运行服务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本项目报价是履行合同的最终价格，应包括完成本项目所需的一切费用，采购人不再支付任何费用；磋商报价估算错误等引起的风险由供应商自行承担。</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标的名称：州综治中心实体化运行服务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一、服务内容及要求</w:t>
            </w:r>
          </w:p>
          <w:p>
            <w:pPr>
              <w:pStyle w:val="null3"/>
              <w:ind w:firstLine="420"/>
              <w:jc w:val="left"/>
            </w:pPr>
            <w:r>
              <w:rPr>
                <w:rFonts w:ascii="仿宋_GB2312" w:hAnsi="仿宋_GB2312" w:cs="仿宋_GB2312" w:eastAsia="仿宋_GB2312"/>
                <w:sz w:val="28"/>
              </w:rPr>
              <w:t>1、提供</w:t>
            </w:r>
            <w:r>
              <w:rPr>
                <w:rFonts w:ascii="仿宋_GB2312" w:hAnsi="仿宋_GB2312" w:cs="仿宋_GB2312" w:eastAsia="仿宋_GB2312"/>
                <w:sz w:val="28"/>
              </w:rPr>
              <w:t>综治中心</w:t>
            </w:r>
            <w:r>
              <w:rPr>
                <w:rFonts w:ascii="仿宋_GB2312" w:hAnsi="仿宋_GB2312" w:cs="仿宋_GB2312" w:eastAsia="仿宋_GB2312"/>
                <w:sz w:val="28"/>
              </w:rPr>
              <w:t>大厅的日常网络安全保障和维护保障服务，协助开展州综治中心工作人员的系统使用培训工作。</w:t>
            </w:r>
          </w:p>
          <w:p>
            <w:pPr>
              <w:pStyle w:val="null3"/>
              <w:ind w:firstLine="420"/>
              <w:jc w:val="left"/>
            </w:pPr>
            <w:r>
              <w:rPr>
                <w:rFonts w:ascii="仿宋_GB2312" w:hAnsi="仿宋_GB2312" w:cs="仿宋_GB2312" w:eastAsia="仿宋_GB2312"/>
                <w:sz w:val="28"/>
              </w:rPr>
              <w:t>2、提供网格化服务管理信息系统、雪亮工程、跨部门矛盾风险防范化解平台、平安凉山APP的日常运维管理服务。</w:t>
            </w:r>
          </w:p>
          <w:p>
            <w:pPr>
              <w:pStyle w:val="null3"/>
              <w:ind w:firstLine="420"/>
              <w:jc w:val="left"/>
            </w:pPr>
            <w:r>
              <w:rPr>
                <w:rFonts w:ascii="仿宋_GB2312" w:hAnsi="仿宋_GB2312" w:cs="仿宋_GB2312" w:eastAsia="仿宋_GB2312"/>
                <w:sz w:val="28"/>
              </w:rPr>
              <w:t>3、协助推进“雪亮工程”建设与联网运用，配合完成指导各地按照相关技术规范标准进行建设。</w:t>
            </w:r>
          </w:p>
          <w:p>
            <w:pPr>
              <w:pStyle w:val="null3"/>
              <w:ind w:firstLine="420"/>
              <w:jc w:val="left"/>
            </w:pPr>
            <w:r>
              <w:rPr>
                <w:rFonts w:ascii="仿宋_GB2312" w:hAnsi="仿宋_GB2312" w:cs="仿宋_GB2312" w:eastAsia="仿宋_GB2312"/>
                <w:sz w:val="28"/>
              </w:rPr>
              <w:t>4、配合完成“雪亮工程”“天网”“慧眼工程”等监控视频资源的整合和运维，负责其他视频资源共享单位的权限管控和平台对接视频资源使用情况的跟踪。</w:t>
            </w:r>
          </w:p>
          <w:p>
            <w:pPr>
              <w:pStyle w:val="null3"/>
              <w:ind w:firstLine="420"/>
              <w:jc w:val="left"/>
            </w:pPr>
            <w:r>
              <w:rPr>
                <w:rFonts w:ascii="仿宋_GB2312" w:hAnsi="仿宋_GB2312" w:cs="仿宋_GB2312" w:eastAsia="仿宋_GB2312"/>
                <w:sz w:val="28"/>
              </w:rPr>
              <w:t>5、严密遵守安全管理规定，在工作中确保各视频系统的信息化安全，消除隐患，确保视频系统正常稳定运行。</w:t>
            </w:r>
          </w:p>
          <w:p>
            <w:pPr>
              <w:pStyle w:val="null3"/>
              <w:ind w:firstLine="420"/>
              <w:jc w:val="left"/>
            </w:pPr>
            <w:r>
              <w:rPr>
                <w:rFonts w:ascii="仿宋_GB2312" w:hAnsi="仿宋_GB2312" w:cs="仿宋_GB2312" w:eastAsia="仿宋_GB2312"/>
                <w:sz w:val="28"/>
              </w:rPr>
              <w:t>6、提供视频联网服务，保障国家、省、市、县各级共享交换平台互联互通、资源共享。</w:t>
            </w:r>
          </w:p>
          <w:p>
            <w:pPr>
              <w:pStyle w:val="null3"/>
              <w:ind w:firstLine="420"/>
              <w:jc w:val="left"/>
            </w:pPr>
            <w:r>
              <w:rPr>
                <w:rFonts w:ascii="仿宋_GB2312" w:hAnsi="仿宋_GB2312" w:cs="仿宋_GB2312" w:eastAsia="仿宋_GB2312"/>
                <w:sz w:val="28"/>
              </w:rPr>
              <w:t>7、提供全州雪亮工程、跨部门矛盾风险平台、平安凉山APP等应用系统的日常网络数据通信正常运行服务。</w:t>
            </w:r>
          </w:p>
          <w:p>
            <w:pPr>
              <w:pStyle w:val="null3"/>
              <w:ind w:firstLine="420"/>
              <w:jc w:val="left"/>
            </w:pPr>
            <w:r>
              <w:rPr>
                <w:rFonts w:ascii="仿宋_GB2312" w:hAnsi="仿宋_GB2312" w:cs="仿宋_GB2312" w:eastAsia="仿宋_GB2312"/>
                <w:sz w:val="28"/>
              </w:rPr>
              <w:t>9、确保全州雪亮工程、跨部门矛盾风险平台、平安凉山APP等应用系统的日常网络安全，数据安全。</w:t>
            </w:r>
          </w:p>
          <w:p>
            <w:pPr>
              <w:pStyle w:val="null3"/>
              <w:ind w:firstLine="420"/>
              <w:jc w:val="left"/>
            </w:pPr>
            <w:r>
              <w:rPr>
                <w:rFonts w:ascii="仿宋_GB2312" w:hAnsi="仿宋_GB2312" w:cs="仿宋_GB2312" w:eastAsia="仿宋_GB2312"/>
                <w:sz w:val="28"/>
              </w:rPr>
              <w:t>10、提供州综治中心的会议保障服务，确保会议畅通、安全。</w:t>
            </w:r>
          </w:p>
          <w:p>
            <w:pPr>
              <w:pStyle w:val="null3"/>
              <w:ind w:firstLine="420"/>
              <w:jc w:val="left"/>
            </w:pPr>
            <w:r>
              <w:rPr>
                <w:rFonts w:ascii="仿宋_GB2312" w:hAnsi="仿宋_GB2312" w:cs="仿宋_GB2312" w:eastAsia="仿宋_GB2312"/>
                <w:sz w:val="28"/>
              </w:rPr>
              <w:t>11、提供州综治中心网络设备、安全设备及相关信息化基础设施的日常运行维护服务，定期对交换设备、防火墙、VPN设备、视频接入设备等进行运行状态检查、配置核查及性能巡检，及时发现并消除网络运行隐患，确保各类业务系统稳定可靠运行。</w:t>
            </w:r>
          </w:p>
          <w:p>
            <w:pPr>
              <w:pStyle w:val="null3"/>
              <w:ind w:firstLine="420"/>
              <w:jc w:val="left"/>
            </w:pPr>
            <w:r>
              <w:rPr>
                <w:rFonts w:ascii="仿宋_GB2312" w:hAnsi="仿宋_GB2312" w:cs="仿宋_GB2312" w:eastAsia="仿宋_GB2312"/>
                <w:sz w:val="28"/>
              </w:rPr>
              <w:t>12、定期开展网络安全漏洞排查、弱口令检查、非法接入检查及异常流量分析工作，对发现的问题形成整改台账并跟踪闭环处理，持续提升州综治中心网络安全防护能力。</w:t>
            </w:r>
          </w:p>
          <w:p>
            <w:pPr>
              <w:pStyle w:val="null3"/>
              <w:ind w:firstLine="420"/>
              <w:jc w:val="left"/>
            </w:pPr>
            <w:r>
              <w:rPr>
                <w:rFonts w:ascii="仿宋_GB2312" w:hAnsi="仿宋_GB2312" w:cs="仿宋_GB2312" w:eastAsia="仿宋_GB2312"/>
                <w:sz w:val="28"/>
              </w:rPr>
              <w:t>13、提供州综治中心服务器、终端设备及视频应用设备的安全维护管理服务，定期开展如病毒查杀、补丁更新等检查，确保终端设备、业务系统及视频资源平台安全稳定运行。</w:t>
            </w:r>
          </w:p>
          <w:p>
            <w:pPr>
              <w:pStyle w:val="null3"/>
              <w:ind w:firstLine="420"/>
              <w:jc w:val="left"/>
            </w:pPr>
            <w:r>
              <w:rPr>
                <w:rFonts w:ascii="仿宋_GB2312" w:hAnsi="仿宋_GB2312" w:cs="仿宋_GB2312" w:eastAsia="仿宋_GB2312"/>
                <w:sz w:val="28"/>
              </w:rPr>
              <w:t>14、提供对州综治中心重要业务数据及系统运行日志进行日常检查和备份服务，协助开展数据安全管理、日志留存及安全审计相关工作，确保重要数据完整可追溯，防止数据泄露、丢失或被非法篡改。</w:t>
            </w:r>
          </w:p>
          <w:p>
            <w:pPr>
              <w:pStyle w:val="null3"/>
              <w:ind w:firstLine="420"/>
              <w:jc w:val="left"/>
            </w:pPr>
            <w:r>
              <w:rPr>
                <w:rFonts w:ascii="仿宋_GB2312" w:hAnsi="仿宋_GB2312" w:cs="仿宋_GB2312" w:eastAsia="仿宋_GB2312"/>
                <w:sz w:val="28"/>
              </w:rPr>
              <w:t>15、针对突发网络中断、设备故障、视频掉线、平台异常等问题及时响应处置，并形成故障处理记录和分析报告，保障综治中心各类业务系统持续稳定运行。</w:t>
            </w:r>
          </w:p>
          <w:p>
            <w:pPr>
              <w:pStyle w:val="null3"/>
              <w:ind w:firstLine="420"/>
              <w:jc w:val="left"/>
            </w:pPr>
            <w:r>
              <w:rPr>
                <w:rFonts w:ascii="仿宋_GB2312" w:hAnsi="仿宋_GB2312" w:cs="仿宋_GB2312" w:eastAsia="仿宋_GB2312"/>
                <w:sz w:val="28"/>
              </w:rPr>
              <w:t>16、配合采购人落实国家、省、州关于网络安全及数据安全相关管理要求，协助开展网络安全检查、风险整改、攻防演练、安全加固及重要时期网络安全保障工作，确保综治中心信息化系统符合相关安全管理规范。</w:t>
            </w:r>
          </w:p>
          <w:p>
            <w:pPr>
              <w:pStyle w:val="null3"/>
              <w:ind w:firstLine="420"/>
              <w:jc w:val="left"/>
            </w:pPr>
            <w:r>
              <w:rPr>
                <w:rFonts w:ascii="仿宋_GB2312" w:hAnsi="仿宋_GB2312" w:cs="仿宋_GB2312" w:eastAsia="仿宋_GB2312"/>
                <w:sz w:val="28"/>
              </w:rPr>
              <w:t>17、满足采购人提出的其他与</w:t>
            </w:r>
            <w:r>
              <w:rPr>
                <w:rFonts w:ascii="仿宋_GB2312" w:hAnsi="仿宋_GB2312" w:cs="仿宋_GB2312" w:eastAsia="仿宋_GB2312"/>
                <w:sz w:val="28"/>
              </w:rPr>
              <w:t>州综治中心实体化运行</w:t>
            </w:r>
            <w:r>
              <w:rPr>
                <w:rFonts w:ascii="仿宋_GB2312" w:hAnsi="仿宋_GB2312" w:cs="仿宋_GB2312" w:eastAsia="仿宋_GB2312"/>
                <w:sz w:val="28"/>
              </w:rPr>
              <w:t>服务相关的</w:t>
            </w:r>
            <w:r>
              <w:rPr>
                <w:rFonts w:ascii="仿宋_GB2312" w:hAnsi="仿宋_GB2312" w:cs="仿宋_GB2312" w:eastAsia="仿宋_GB2312"/>
                <w:sz w:val="28"/>
              </w:rPr>
              <w:t>工作要求。</w:t>
            </w:r>
          </w:p>
          <w:p>
            <w:pPr>
              <w:pStyle w:val="null3"/>
              <w:ind w:firstLine="420"/>
              <w:jc w:val="left"/>
            </w:pPr>
            <w:r>
              <w:rPr>
                <w:rFonts w:ascii="仿宋_GB2312" w:hAnsi="仿宋_GB2312" w:cs="仿宋_GB2312" w:eastAsia="仿宋_GB2312"/>
                <w:sz w:val="28"/>
              </w:rPr>
              <w:t>18、</w:t>
            </w:r>
            <w:r>
              <w:rPr>
                <w:rFonts w:ascii="仿宋_GB2312" w:hAnsi="仿宋_GB2312" w:cs="仿宋_GB2312" w:eastAsia="仿宋_GB2312"/>
                <w:sz w:val="28"/>
              </w:rPr>
              <w:t>在服务期内供应商须安排满足州综治中心实体化运行服务所需的人员常驻采购人现场工作，</w:t>
            </w:r>
            <w:r>
              <w:rPr>
                <w:rFonts w:ascii="仿宋_GB2312" w:hAnsi="仿宋_GB2312" w:cs="仿宋_GB2312" w:eastAsia="仿宋_GB2312"/>
                <w:sz w:val="28"/>
              </w:rPr>
              <w:t>并对驻场人员进行岗前培训，以确保驻场人员具备相应的专业技能，具有良好的职业操守。</w:t>
            </w:r>
            <w:r>
              <w:rPr>
                <w:rFonts w:ascii="仿宋_GB2312" w:hAnsi="仿宋_GB2312" w:cs="仿宋_GB2312" w:eastAsia="仿宋_GB2312"/>
                <w:sz w:val="28"/>
                <w:b/>
              </w:rPr>
              <w:t>（提供人员名单及身份证复印（扫描）件并加盖供应商电子签章）</w:t>
            </w:r>
          </w:p>
          <w:p>
            <w:pPr>
              <w:pStyle w:val="null3"/>
              <w:ind w:firstLine="420"/>
              <w:jc w:val="left"/>
            </w:pPr>
            <w:r>
              <w:rPr>
                <w:rFonts w:ascii="仿宋_GB2312" w:hAnsi="仿宋_GB2312" w:cs="仿宋_GB2312" w:eastAsia="仿宋_GB2312"/>
                <w:sz w:val="28"/>
              </w:rPr>
              <w:t>19、供应商应当保证驻场人员每周5天*8小时的工作时间，并根据国家最新规定为驻场人员缴纳相关劳动保险及公积金，如有违规，由供应商自行承担相关责任。</w:t>
            </w:r>
          </w:p>
          <w:p>
            <w:pPr>
              <w:pStyle w:val="null3"/>
              <w:ind w:firstLine="420"/>
              <w:jc w:val="left"/>
            </w:pPr>
            <w:r>
              <w:rPr>
                <w:rFonts w:ascii="仿宋_GB2312" w:hAnsi="仿宋_GB2312" w:cs="仿宋_GB2312" w:eastAsia="仿宋_GB2312"/>
                <w:sz w:val="28"/>
              </w:rPr>
              <w:t>20、驻场人员还需满足以下要求：①年龄在45周岁以下，具备大专及以上学历，专业和性别不限，且无犯罪记录；②具备较强的文字功底、语言表达及沟通协调能力，能熟练操作计算机办公软件，并具有一定的综合分析能力；</w:t>
            </w:r>
            <w:r>
              <w:rPr>
                <w:rFonts w:ascii="仿宋_GB2312" w:hAnsi="仿宋_GB2312" w:cs="仿宋_GB2312" w:eastAsia="仿宋_GB2312"/>
                <w:sz w:val="28"/>
              </w:rPr>
              <w:t>③身体健康状况需满足岗位工作需要。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20"/>
              <w:jc w:val="left"/>
            </w:pPr>
            <w:r>
              <w:rPr>
                <w:rFonts w:ascii="仿宋_GB2312" w:hAnsi="仿宋_GB2312" w:cs="仿宋_GB2312" w:eastAsia="仿宋_GB2312"/>
                <w:sz w:val="28"/>
              </w:rPr>
              <w:t>1、供应商应充分考虑本项目实际需求，并针对本项目拟定服务方案。服务方案应包含：①服务统筹计划；②服务目标及方法；③服务质量管理；④服务保障措施；⑤服务管理规范。</w:t>
            </w:r>
          </w:p>
          <w:p>
            <w:pPr>
              <w:pStyle w:val="null3"/>
              <w:ind w:firstLine="420"/>
              <w:jc w:val="left"/>
            </w:pPr>
            <w:r>
              <w:rPr>
                <w:rFonts w:ascii="仿宋_GB2312" w:hAnsi="仿宋_GB2312" w:cs="仿宋_GB2312" w:eastAsia="仿宋_GB2312"/>
                <w:sz w:val="28"/>
              </w:rPr>
              <w:t>2、供应商应充分考虑本项目实际需求，并针对本项目拟定人员管理方案。人员管理方案应包含：①人员管理体系；②运营人员管理制度；③人员培训；④人员考勤制度及行为管理。</w:t>
            </w:r>
          </w:p>
          <w:p>
            <w:pPr>
              <w:pStyle w:val="null3"/>
              <w:ind w:firstLine="420"/>
              <w:jc w:val="left"/>
            </w:pPr>
            <w:r>
              <w:rPr>
                <w:rFonts w:ascii="仿宋_GB2312" w:hAnsi="仿宋_GB2312" w:cs="仿宋_GB2312" w:eastAsia="仿宋_GB2312"/>
                <w:sz w:val="28"/>
              </w:rPr>
              <w:t>3、供应商应充分考虑本项目实际需求，并针对本项目拟定应急保障方案。应急保障方案应包含：</w:t>
            </w:r>
            <w:r>
              <w:rPr>
                <w:rFonts w:ascii="仿宋_GB2312" w:hAnsi="仿宋_GB2312" w:cs="仿宋_GB2312" w:eastAsia="仿宋_GB2312"/>
                <w:sz w:val="28"/>
              </w:rPr>
              <w:t>①应急响应组织架构与职责；②定期巡检安排；③风险评估与处理；④应急保障措施</w:t>
            </w:r>
            <w:r>
              <w:rPr>
                <w:rFonts w:ascii="仿宋_GB2312" w:hAnsi="仿宋_GB2312" w:cs="仿宋_GB2312" w:eastAsia="仿宋_GB2312"/>
                <w:sz w:val="28"/>
              </w:rPr>
              <w:t>。</w:t>
            </w:r>
          </w:p>
          <w:p>
            <w:pPr>
              <w:pStyle w:val="null3"/>
              <w:ind w:firstLine="420"/>
              <w:jc w:val="left"/>
            </w:pPr>
            <w:r>
              <w:rPr>
                <w:rFonts w:ascii="仿宋_GB2312" w:hAnsi="仿宋_GB2312" w:cs="仿宋_GB2312" w:eastAsia="仿宋_GB2312"/>
                <w:sz w:val="28"/>
              </w:rPr>
              <w:t>4、供应商应充分考虑本项目实际需求，并针对本项目提供相应人员进行现场操作技能演示。（服务人员操作技能演示要求：1.对目前主流防火墙进行远程ssh登录，创建一个只能查看配置权限，不能操作新增，修改的用户。2.对目前主流安全设备的基本功能使用，演示基本渗透能力，对提供的网址进行渗透，网络安全漏洞扫描，并找到对应的开放端口。3.通过远程设备登录，实现对sslVPN设备进行，新增一个VPN拨号用户，能拨号成功访问到内网开放的资源。4.海康平台经纬度采集率统计。）</w:t>
            </w:r>
          </w:p>
          <w:p>
            <w:pPr>
              <w:pStyle w:val="null3"/>
              <w:jc w:val="left"/>
            </w:pPr>
            <w:r>
              <w:rPr>
                <w:rFonts w:ascii="仿宋_GB2312" w:hAnsi="仿宋_GB2312" w:cs="仿宋_GB2312" w:eastAsia="仿宋_GB2312"/>
                <w:sz w:val="28"/>
              </w:rPr>
              <w:t>注：以上要求无须在服务应答表及商务应答表中进行响应，但供应商应根据自身实际情况提供相应方案及相关证明材料，并安排相应人员进行现场操作演示，评审时，磋商小组将根据评审细则及标准进行评分。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自合同签订之日起至2026年12月31日止。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凉山州境内采购人指定地点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财库〔2016〕205号）的要求，采购文件的相关要求及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1、预付款，合同签订后，达到付款条件起7日内，支付合同总金额的50.00%</w:t>
            </w:r>
          </w:p>
          <w:p>
            <w:pPr>
              <w:pStyle w:val="null3"/>
              <w:jc w:val="left"/>
            </w:pPr>
            <w:r>
              <w:rPr>
                <w:rFonts w:ascii="仿宋_GB2312" w:hAnsi="仿宋_GB2312" w:cs="仿宋_GB2312" w:eastAsia="仿宋_GB2312"/>
              </w:rPr>
              <w:t>2、尾款，服务满五个月后，达到付款条件起7日内，支付合同总金额的50.00%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双方均应遵守合同，非因不可抗力而单方面终止执行合同的，将赔偿因违约给对方造成的经济损失，并向对方支付合同总额10%的违约金，如因成交供应商原因造成的，由采购人提请项目同级财政部门将其列入不良行为记录。 2、若因成交供应商原因在合同规定期限内无法提供服务，采购人有权终止合同，并请示项目同级财政部门进行处理，并由成交供应商向采购人支付10%的违约金；或经采购双方协商同意继续履行合同。因不可抗拒力所导致的服务及付款延期等按照《中华人民共和国民法典》有关条文处理。 3、成交供应商提供的服务质量不符合合同规定的，须在15日内整改完成且在后续的服务中不得再出现同类问题，若未在15日内整改完成，成交供应商应向采购人支付合同总价的5%的违约金。 4、采购人由于不可抗力的原因不能履行合同时，应及时向成交供应商和见证方、项目同级财政部门通报不能履行或不能完全履行的理由；成交供应商由于不可抗力的原因不能履行合同时，应在服务期到期以前及时向采购人和见证方、项目同级财政部门通报不能履行或不能完全履行的理由；在取得有关主管机关证明以后，可以签订延期履行、部分履行补充合同或者不履行合同，并根据情况可部分或全部免予承担违约责任。 5、解决争议的方法：合同履行期间,若双方发生争议，双方本着友好合作的态度，对合同履行过程中发生的违约行为进行及时的协商解决或由有关部门调解解决，如不能协商解决可向合同签约地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★1、采购人付款前，供应商应提交等额合规税务发票，否则采购人将顺延付款时间。 ★2、保密要求：成交供应商为项目提供服务过程中，所涉及到的所有业务及数据等需要严格保密，如果出现泄密事件，由成交供应商承担全部责任，并追究相应法律责任。（提供承诺函，格式自拟） ★3、安全要求：本项目自成交供应商签订合同之日起至项目实施完成验收合格日止，成交供应商将负责实施过程中的人身安全、财产安全、环境安全等一切安全责任。因项目实施过程中造成的直接或间接损失，均由成交供应商自行承担。（提供承诺函，格式自拟） ★4、合同签订后，供应商应于次日安排人员立即进驻现场并熟练开展工作，确保综治中心正常运行，驻场人员须与响应文件中人员一致，且在服务期内不可撤换，否则视为虚假响应，供应商须承担由此产生的一切法律责任。（提供承诺函，格式自拟） （注：此部分内容为本项目3.3.2.商务要求的补充内容，均为实质性要求，除商务要求外，上述内容供应商还须在《商务应答表》中进行响应。）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磋商小组可以根据磋商文件和磋商情况实质性变动第三章“技术、服务及其他要求”相关内容，但不得变动磋商文件中的其他内容。实质性变动的内容，须经采购人代表及监督代表确认。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磋商小组可以根据磋商文件和磋商情况实质性变动第七章“拟签订采购合同文本”，但不得变动磋商文件中的其他内容。实质性变动的内容，须经采购人代表及监督代表确认。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根据自身情况选择提供其中任意一项:①供应商若为企业法人：提供“统一社会信用代码营业执照”复印（扫描）件；②若为事业法人：提供“统一社会信用代码法人登记证书”复印（扫描）件；③若为其他组织：提供“对应主管部门颁发的准许执业证明文件或营业执照”复印（扫描）件；④若为自然人：提供“身份证”复印（扫描）件；⑤供应商属于银行、保险、石油石化、电力、电信、移动、联通、广电等有行业特殊情况的，可提供企业分支机构统一社会信用代码的营业执照或其他企业分支机构证明文件复印（扫描）件，法定代表人签署和授权可由分支机构负责人签署和授权；⑥也可按要求填写《投标（响应）函》完成具有独立承担民事责任的能力承诺。 注：供应商需在项目电子化交易系统中按要求上传相应证明文件并进行电子签章。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提供2023年至今任意一年度经审计的财务报告复印（扫描）件(包含审计报告和审计报告中所涉及的财务报表和报表附注)；(2)提供供应商内部的2023年至今任意一年度财务报表复印（扫描）件(至少包含资产负债表)；(3)提供截至提交首次响应文件截止日一年内银行出具的资信证明复印（扫描）件； (4)供应商注册时间截至提交首次响应文件截止日不足一年的,也可提供相关行政管理部门备案的公司章程复印（扫描）件；(5)非营利性单位或者社会团体或者其他机关事业单位提供符合财务会计制度的证明材料；（6)也可按要求填写《投标（响应）函》完成具有健全的财务会计制度的承诺。 注：供应商需在项目电子化交易系统中按要求上传相应证明文件并进行电子签章。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在评审过程中，磋商小组须对供应商3.2.技术要求的响应情况进行逐项审查。其中标注“★”条款为实质性条款，供应商未响应或响应不完整的，磋商小组应将其响应文件按无效文件处理。</w:t>
            </w:r>
          </w:p>
        </w:tc>
        <w:tc>
          <w:tcPr>
            <w:tcW w:type="dxa" w:w="1661"/>
          </w:tcPr>
          <w:p>
            <w:pPr>
              <w:pStyle w:val="null3"/>
              <w:jc w:val="left"/>
            </w:pPr>
            <w:r>
              <w:rPr>
                <w:rFonts w:ascii="仿宋_GB2312" w:hAnsi="仿宋_GB2312" w:cs="仿宋_GB2312" w:eastAsia="仿宋_GB2312"/>
              </w:rPr>
              <w:t>技术、服务要求应答表.docx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商务要求响应</w:t>
            </w:r>
          </w:p>
        </w:tc>
        <w:tc>
          <w:tcPr>
            <w:tcW w:type="dxa" w:w="3322"/>
          </w:tcPr>
          <w:p>
            <w:pPr>
              <w:pStyle w:val="null3"/>
              <w:jc w:val="left"/>
            </w:pPr>
            <w:r>
              <w:rPr>
                <w:rFonts w:ascii="仿宋_GB2312" w:hAnsi="仿宋_GB2312" w:cs="仿宋_GB2312" w:eastAsia="仿宋_GB2312"/>
              </w:rPr>
              <w:t>在评审过程中，磋商小组须对供应商3.3.2.商务要求的响应情况进行逐项审查。供应商未响应或响应不完整的，磋商小组应将其响应文件按无效文件处理。</w:t>
            </w:r>
          </w:p>
        </w:tc>
        <w:tc>
          <w:tcPr>
            <w:tcW w:type="dxa" w:w="1661"/>
          </w:tcPr>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其他要求响应</w:t>
            </w:r>
          </w:p>
        </w:tc>
        <w:tc>
          <w:tcPr>
            <w:tcW w:type="dxa" w:w="3322"/>
          </w:tcPr>
          <w:p>
            <w:pPr>
              <w:pStyle w:val="null3"/>
              <w:jc w:val="left"/>
            </w:pPr>
            <w:r>
              <w:rPr>
                <w:rFonts w:ascii="仿宋_GB2312" w:hAnsi="仿宋_GB2312" w:cs="仿宋_GB2312" w:eastAsia="仿宋_GB2312"/>
              </w:rPr>
              <w:t>在评审过程中，磋商小组应对供应商3.4.其他要求响应情况进行审查，未响应的或未响应完全的，磋商小组应当将其响应文件作为无效响应处理。</w:t>
            </w:r>
          </w:p>
        </w:tc>
        <w:tc>
          <w:tcPr>
            <w:tcW w:type="dxa" w:w="1661"/>
          </w:tcPr>
          <w:p>
            <w:pPr>
              <w:pStyle w:val="null3"/>
              <w:jc w:val="left"/>
            </w:pPr>
            <w:r>
              <w:rPr>
                <w:rFonts w:ascii="仿宋_GB2312" w:hAnsi="仿宋_GB2312" w:cs="仿宋_GB2312" w:eastAsia="仿宋_GB2312"/>
              </w:rPr>
              <w:t>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根据供应商针对本项目制定的服务方案进行评分，内容包括：①服务统筹计划；②服务目标及方法；③服务质量管理；④服务保障措施；⑤服务管理规范。 包含以上所有内容的得30分，每有一项内容缺失扣6分，每有一项存在缺陷（缺陷指：项目名称不符、内容与项目需求不一致、阐述内容仅罗列了上述要点，没有进行相应的说明、缺少具体的实施措施、方案内容缺少关键节点、仅有框架或标题、未能体现出本项目的特点或与实际需求不相符、安排无条理性、进度计划安排混乱或超期、明显复制其他项目内容或套用其他项目方案、不利于项目实施等任意一种情形）的扣3分，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人员管理方案</w:t>
            </w:r>
          </w:p>
        </w:tc>
        <w:tc>
          <w:tcPr>
            <w:tcW w:type="dxa" w:w="2575"/>
          </w:tcPr>
          <w:p>
            <w:pPr>
              <w:pStyle w:val="null3"/>
              <w:jc w:val="left"/>
            </w:pPr>
            <w:r>
              <w:rPr>
                <w:rFonts w:ascii="仿宋_GB2312" w:hAnsi="仿宋_GB2312" w:cs="仿宋_GB2312" w:eastAsia="仿宋_GB2312"/>
              </w:rPr>
              <w:t>根据供应商针对本项目制定的人员管理方案进行评分，内容包括：①人员管理体系；②运营人员管理制度；③人员培训；④人员考勤制度及行为管理。 包含以上所有内容的得20分，每有一项内容缺失扣5分，每有一项存在缺陷（缺陷指：项目名称不符、内容与项目需求不一致、阐述内容仅罗列了上述要点，没有进行相应的说明、缺少具体的实施措施、方案内容缺少关键节点、仅有框架或标题、未能体现出本项目的特点或与实际需求不相符、安排无条理性、进度计划安排混乱或超期、明显复制其他项目内容或套用其他项目方案、不利于项目实施等任意一种情形）的扣2.5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应急保障方案</w:t>
            </w:r>
          </w:p>
        </w:tc>
        <w:tc>
          <w:tcPr>
            <w:tcW w:type="dxa" w:w="2575"/>
          </w:tcPr>
          <w:p>
            <w:pPr>
              <w:pStyle w:val="null3"/>
              <w:jc w:val="left"/>
            </w:pPr>
            <w:r>
              <w:rPr>
                <w:rFonts w:ascii="仿宋_GB2312" w:hAnsi="仿宋_GB2312" w:cs="仿宋_GB2312" w:eastAsia="仿宋_GB2312"/>
              </w:rPr>
              <w:t>根据供应商针对本项目制定的应急保障方案进行评分，内容包括：①应急响应组织架构与职责；②定期巡检安排；③风险评估与处理；④应急保障措施。 包含以上所有内容的得20分，每有一项内容缺失扣5分，每有一项存在缺陷（缺陷指：项目名称不符、内容与项目需求不一致、阐述内容仅罗列了上述要点，没有进行相应的说明、缺少具体的实施措施、方案内容缺少关键节点、仅有框架或标题、未能体现出本项目的特点或与实际需求不相符、安排无条理性、进度计划安排混乱或超期、明显复制其他项目内容或套用其他项目方案、不利于项目实施等任意一种情形）的扣2.5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操作技能演示</w:t>
            </w:r>
          </w:p>
        </w:tc>
        <w:tc>
          <w:tcPr>
            <w:tcW w:type="dxa" w:w="2575"/>
          </w:tcPr>
          <w:p>
            <w:pPr>
              <w:pStyle w:val="null3"/>
              <w:jc w:val="left"/>
            </w:pPr>
            <w:r>
              <w:rPr>
                <w:rFonts w:ascii="仿宋_GB2312" w:hAnsi="仿宋_GB2312" w:cs="仿宋_GB2312" w:eastAsia="仿宋_GB2312"/>
              </w:rPr>
              <w:t>供应商针对磋商文件服务内容要求中“服务人员操作技能演示要求”提供演示，完全满足得20分。每有一项未能完全满足磋商文件要求或未完全演示的扣5分，扣完为止。 注：①本项目演示采取线下演示方式，演示地点：西昌市凯乐路109号海能大厦13楼；②演示须基于采购人真实系统，演示电脑、系统平台及登陆用户均由采购人提供，现场演示不超过15分钟；③演示人员须为本项目驻场服务人员，否则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操作技能演示说明.docx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磋商小组评审，通过资格和符合性审查，且响应报价最低的供应商的响应报价作为基准价。2.响应报价得分=(基准价／响应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详见附件：操作技能演示说明.docx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