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048966">
      <w:pPr>
        <w:spacing w:line="360" w:lineRule="auto"/>
        <w:jc w:val="center"/>
        <w:rPr>
          <w:rFonts w:ascii="宋体" w:hAnsi="宋体"/>
          <w:sz w:val="24"/>
          <w:szCs w:val="24"/>
        </w:rPr>
      </w:pPr>
      <w:r>
        <w:rPr>
          <w:rFonts w:hint="eastAsia" w:ascii="宋体" w:hAnsi="宋体"/>
          <w:sz w:val="24"/>
          <w:szCs w:val="24"/>
        </w:rPr>
        <w:t>实质性响应一览表</w:t>
      </w:r>
    </w:p>
    <w:tbl>
      <w:tblPr>
        <w:tblStyle w:val="9"/>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6472"/>
        <w:gridCol w:w="1200"/>
        <w:gridCol w:w="822"/>
      </w:tblGrid>
      <w:tr w14:paraId="7858A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73408EA8">
            <w:pPr>
              <w:spacing w:line="360" w:lineRule="auto"/>
              <w:jc w:val="center"/>
              <w:rPr>
                <w:rFonts w:ascii="宋体" w:hAnsi="宋体"/>
                <w:sz w:val="24"/>
                <w:szCs w:val="24"/>
              </w:rPr>
            </w:pPr>
            <w:r>
              <w:rPr>
                <w:rFonts w:hint="eastAsia" w:ascii="宋体" w:hAnsi="宋体"/>
                <w:sz w:val="24"/>
                <w:szCs w:val="24"/>
              </w:rPr>
              <w:t>序号</w:t>
            </w:r>
          </w:p>
        </w:tc>
        <w:tc>
          <w:tcPr>
            <w:tcW w:w="6472" w:type="dxa"/>
            <w:tcBorders>
              <w:top w:val="single" w:color="auto" w:sz="4" w:space="0"/>
              <w:left w:val="single" w:color="auto" w:sz="4" w:space="0"/>
              <w:bottom w:val="single" w:color="auto" w:sz="4" w:space="0"/>
              <w:right w:val="single" w:color="auto" w:sz="4" w:space="0"/>
            </w:tcBorders>
          </w:tcPr>
          <w:p w14:paraId="20377AE9">
            <w:pPr>
              <w:spacing w:line="360" w:lineRule="auto"/>
              <w:jc w:val="center"/>
              <w:rPr>
                <w:rFonts w:ascii="宋体" w:hAnsi="宋体"/>
                <w:sz w:val="24"/>
                <w:szCs w:val="24"/>
              </w:rPr>
            </w:pPr>
            <w:r>
              <w:rPr>
                <w:rFonts w:hint="eastAsia" w:ascii="宋体" w:hAnsi="宋体"/>
                <w:sz w:val="24"/>
                <w:szCs w:val="24"/>
              </w:rPr>
              <w:t>实质性响应条款</w:t>
            </w:r>
          </w:p>
        </w:tc>
        <w:tc>
          <w:tcPr>
            <w:tcW w:w="1200" w:type="dxa"/>
            <w:tcBorders>
              <w:top w:val="single" w:color="auto" w:sz="4" w:space="0"/>
              <w:left w:val="single" w:color="auto" w:sz="4" w:space="0"/>
              <w:bottom w:val="single" w:color="auto" w:sz="4" w:space="0"/>
              <w:right w:val="single" w:color="auto" w:sz="4" w:space="0"/>
            </w:tcBorders>
          </w:tcPr>
          <w:p w14:paraId="5C02A66E">
            <w:pPr>
              <w:spacing w:line="360" w:lineRule="auto"/>
              <w:jc w:val="center"/>
              <w:rPr>
                <w:rFonts w:ascii="宋体" w:hAnsi="宋体"/>
                <w:sz w:val="24"/>
                <w:szCs w:val="24"/>
              </w:rPr>
            </w:pPr>
            <w:r>
              <w:rPr>
                <w:rFonts w:hint="eastAsia" w:ascii="宋体" w:hAnsi="宋体"/>
                <w:sz w:val="24"/>
                <w:szCs w:val="24"/>
              </w:rPr>
              <w:t>投标人响应情况</w:t>
            </w:r>
          </w:p>
        </w:tc>
        <w:tc>
          <w:tcPr>
            <w:tcW w:w="822" w:type="dxa"/>
            <w:tcBorders>
              <w:top w:val="single" w:color="auto" w:sz="4" w:space="0"/>
              <w:left w:val="single" w:color="auto" w:sz="4" w:space="0"/>
              <w:bottom w:val="single" w:color="auto" w:sz="4" w:space="0"/>
              <w:right w:val="single" w:color="auto" w:sz="4" w:space="0"/>
            </w:tcBorders>
          </w:tcPr>
          <w:p w14:paraId="7AB5067D">
            <w:pPr>
              <w:spacing w:line="360" w:lineRule="auto"/>
              <w:jc w:val="center"/>
              <w:rPr>
                <w:rFonts w:ascii="宋体" w:hAnsi="宋体"/>
                <w:sz w:val="24"/>
                <w:szCs w:val="24"/>
              </w:rPr>
            </w:pPr>
            <w:r>
              <w:rPr>
                <w:rFonts w:hint="eastAsia" w:ascii="宋体" w:hAnsi="宋体"/>
                <w:sz w:val="24"/>
                <w:szCs w:val="24"/>
              </w:rPr>
              <w:t>差异</w:t>
            </w:r>
          </w:p>
        </w:tc>
      </w:tr>
      <w:tr w14:paraId="43CC0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tcPr>
          <w:p w14:paraId="3A233E7C">
            <w:pPr>
              <w:spacing w:line="360" w:lineRule="auto"/>
              <w:jc w:val="center"/>
              <w:rPr>
                <w:rFonts w:ascii="宋体" w:hAnsi="宋体"/>
                <w:sz w:val="24"/>
                <w:szCs w:val="24"/>
              </w:rPr>
            </w:pPr>
            <w:r>
              <w:rPr>
                <w:rFonts w:hint="eastAsia" w:ascii="宋体" w:hAnsi="宋体"/>
                <w:sz w:val="24"/>
                <w:szCs w:val="24"/>
              </w:rPr>
              <w:t>1</w:t>
            </w:r>
          </w:p>
        </w:tc>
        <w:tc>
          <w:tcPr>
            <w:tcW w:w="6472" w:type="dxa"/>
            <w:tcBorders>
              <w:top w:val="single" w:color="auto" w:sz="4" w:space="0"/>
              <w:left w:val="single" w:color="auto" w:sz="4" w:space="0"/>
              <w:bottom w:val="single" w:color="auto" w:sz="4" w:space="0"/>
              <w:right w:val="single" w:color="auto" w:sz="4" w:space="0"/>
            </w:tcBorders>
          </w:tcPr>
          <w:p w14:paraId="3E4C3105">
            <w:pPr>
              <w:spacing w:line="360" w:lineRule="auto"/>
              <w:rPr>
                <w:rFonts w:ascii="宋体" w:hAnsi="宋体"/>
                <w:sz w:val="24"/>
                <w:szCs w:val="24"/>
              </w:rPr>
            </w:pPr>
            <w:r>
              <w:rPr>
                <w:rFonts w:ascii="宋体" w:hAnsi="宋体"/>
                <w:sz w:val="24"/>
                <w:szCs w:val="24"/>
              </w:rPr>
              <w:t>★凡属于《中华人民共和国实施强制性产品认证的产品目录》的产品，请投标人在投标文件中承诺在交货时提供该产品的“中国强制性产品认证”（CCC认证）证书。</w:t>
            </w:r>
          </w:p>
        </w:tc>
        <w:tc>
          <w:tcPr>
            <w:tcW w:w="1200" w:type="dxa"/>
            <w:tcBorders>
              <w:top w:val="single" w:color="auto" w:sz="4" w:space="0"/>
              <w:left w:val="single" w:color="auto" w:sz="4" w:space="0"/>
              <w:bottom w:val="single" w:color="auto" w:sz="4" w:space="0"/>
              <w:right w:val="single" w:color="auto" w:sz="4" w:space="0"/>
            </w:tcBorders>
          </w:tcPr>
          <w:p w14:paraId="0494C635">
            <w:pPr>
              <w:spacing w:line="360" w:lineRule="auto"/>
              <w:rPr>
                <w:rFonts w:ascii="宋体" w:hAnsi="宋体"/>
                <w:sz w:val="24"/>
                <w:szCs w:val="24"/>
              </w:rPr>
            </w:pPr>
          </w:p>
        </w:tc>
        <w:tc>
          <w:tcPr>
            <w:tcW w:w="822" w:type="dxa"/>
            <w:tcBorders>
              <w:top w:val="single" w:color="auto" w:sz="4" w:space="0"/>
              <w:left w:val="single" w:color="auto" w:sz="4" w:space="0"/>
              <w:bottom w:val="single" w:color="auto" w:sz="4" w:space="0"/>
              <w:right w:val="single" w:color="auto" w:sz="4" w:space="0"/>
            </w:tcBorders>
          </w:tcPr>
          <w:p w14:paraId="3B5684D9">
            <w:pPr>
              <w:spacing w:line="360" w:lineRule="auto"/>
              <w:jc w:val="center"/>
              <w:rPr>
                <w:rFonts w:ascii="宋体" w:hAnsi="宋体"/>
                <w:sz w:val="24"/>
                <w:szCs w:val="24"/>
              </w:rPr>
            </w:pPr>
          </w:p>
        </w:tc>
      </w:tr>
      <w:tr w14:paraId="70FAE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2BA96878">
            <w:pPr>
              <w:spacing w:line="360" w:lineRule="auto"/>
              <w:jc w:val="center"/>
              <w:rPr>
                <w:rFonts w:ascii="宋体" w:hAnsi="宋体"/>
                <w:sz w:val="24"/>
                <w:szCs w:val="24"/>
              </w:rPr>
            </w:pPr>
            <w:r>
              <w:rPr>
                <w:rFonts w:hint="eastAsia" w:ascii="宋体" w:hAnsi="宋体"/>
                <w:sz w:val="24"/>
                <w:szCs w:val="24"/>
              </w:rPr>
              <w:t>2</w:t>
            </w:r>
          </w:p>
        </w:tc>
        <w:tc>
          <w:tcPr>
            <w:tcW w:w="6472" w:type="dxa"/>
            <w:tcBorders>
              <w:top w:val="single" w:color="auto" w:sz="4" w:space="0"/>
              <w:left w:val="single" w:color="auto" w:sz="4" w:space="0"/>
              <w:bottom w:val="single" w:color="auto" w:sz="4" w:space="0"/>
              <w:right w:val="single" w:color="auto" w:sz="4" w:space="0"/>
            </w:tcBorders>
          </w:tcPr>
          <w:p w14:paraId="30C29BF4">
            <w:pPr>
              <w:spacing w:line="360" w:lineRule="auto"/>
              <w:rPr>
                <w:rFonts w:ascii="宋体" w:hAnsi="宋体"/>
                <w:sz w:val="24"/>
                <w:szCs w:val="24"/>
              </w:rPr>
            </w:pPr>
            <w:r>
              <w:rPr>
                <w:sz w:val="24"/>
              </w:rPr>
              <w:t>★本次采购产品为非进口产品（进口产品指通过中国海关报关验放进入中国境内且产自关境外的产品）。</w:t>
            </w:r>
          </w:p>
        </w:tc>
        <w:tc>
          <w:tcPr>
            <w:tcW w:w="1200" w:type="dxa"/>
            <w:tcBorders>
              <w:top w:val="single" w:color="auto" w:sz="4" w:space="0"/>
              <w:left w:val="single" w:color="auto" w:sz="4" w:space="0"/>
              <w:bottom w:val="single" w:color="auto" w:sz="4" w:space="0"/>
              <w:right w:val="single" w:color="auto" w:sz="4" w:space="0"/>
            </w:tcBorders>
          </w:tcPr>
          <w:p w14:paraId="0C1A1920">
            <w:pPr>
              <w:spacing w:line="360" w:lineRule="auto"/>
              <w:rPr>
                <w:rFonts w:ascii="宋体" w:hAnsi="宋体"/>
                <w:sz w:val="24"/>
                <w:szCs w:val="24"/>
              </w:rPr>
            </w:pPr>
          </w:p>
        </w:tc>
        <w:tc>
          <w:tcPr>
            <w:tcW w:w="822" w:type="dxa"/>
            <w:tcBorders>
              <w:top w:val="single" w:color="auto" w:sz="4" w:space="0"/>
              <w:left w:val="single" w:color="auto" w:sz="4" w:space="0"/>
              <w:bottom w:val="single" w:color="auto" w:sz="4" w:space="0"/>
              <w:right w:val="single" w:color="auto" w:sz="4" w:space="0"/>
            </w:tcBorders>
          </w:tcPr>
          <w:p w14:paraId="36667BAF">
            <w:pPr>
              <w:spacing w:line="360" w:lineRule="auto"/>
              <w:rPr>
                <w:rFonts w:ascii="宋体" w:hAnsi="宋体"/>
                <w:sz w:val="24"/>
                <w:szCs w:val="24"/>
              </w:rPr>
            </w:pPr>
          </w:p>
        </w:tc>
      </w:tr>
      <w:tr w14:paraId="38C58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346A4240">
            <w:pPr>
              <w:spacing w:line="360" w:lineRule="auto"/>
              <w:jc w:val="center"/>
              <w:rPr>
                <w:rFonts w:hint="default" w:ascii="宋体" w:hAnsi="宋体" w:eastAsia="宋体"/>
                <w:sz w:val="24"/>
                <w:szCs w:val="24"/>
                <w:lang w:val="en-US" w:eastAsia="zh-CN"/>
              </w:rPr>
            </w:pPr>
            <w:r>
              <w:rPr>
                <w:rFonts w:hint="eastAsia" w:ascii="宋体" w:hAnsi="宋体"/>
                <w:sz w:val="24"/>
                <w:szCs w:val="24"/>
                <w:lang w:val="en-US" w:eastAsia="zh-CN"/>
              </w:rPr>
              <w:t>3</w:t>
            </w:r>
          </w:p>
        </w:tc>
        <w:tc>
          <w:tcPr>
            <w:tcW w:w="6472" w:type="dxa"/>
            <w:tcBorders>
              <w:top w:val="single" w:color="auto" w:sz="4" w:space="0"/>
              <w:left w:val="single" w:color="auto" w:sz="4" w:space="0"/>
              <w:bottom w:val="single" w:color="auto" w:sz="4" w:space="0"/>
              <w:right w:val="single" w:color="auto" w:sz="4" w:space="0"/>
            </w:tcBorders>
          </w:tcPr>
          <w:p w14:paraId="26A5037E">
            <w:pPr>
              <w:pStyle w:val="17"/>
              <w:keepNext w:val="0"/>
              <w:keepLines w:val="0"/>
              <w:pageBreakBefore w:val="0"/>
              <w:kinsoku/>
              <w:wordWrap/>
              <w:overflowPunct/>
              <w:topLinePunct w:val="0"/>
              <w:autoSpaceDE/>
              <w:autoSpaceDN/>
              <w:bidi w:val="0"/>
              <w:adjustRightInd/>
              <w:snapToGrid/>
              <w:spacing w:line="480" w:lineRule="exact"/>
              <w:jc w:val="both"/>
              <w:textAlignment w:val="auto"/>
            </w:pPr>
            <w:r>
              <w:rPr>
                <w:rFonts w:hint="default" w:ascii="Times New Roman" w:hAnsi="Times New Roman" w:eastAsia="宋体" w:cs="Times New Roman"/>
                <w:kern w:val="0"/>
                <w:sz w:val="24"/>
                <w:szCs w:val="20"/>
                <w:lang w:val="en-US" w:eastAsia="zh-CN" w:bidi="ar-SA"/>
              </w:rPr>
              <w:t>★</w:t>
            </w:r>
            <w:r>
              <w:rPr>
                <w:sz w:val="24"/>
              </w:rPr>
              <w:t>《警用装备</w:t>
            </w:r>
            <w:r>
              <w:rPr>
                <w:rFonts w:hint="eastAsia" w:ascii="Times New Roman" w:hAnsi="Times New Roman" w:eastAsia="宋体" w:cs="Times New Roman"/>
                <w:sz w:val="24"/>
              </w:rPr>
              <w:t>购置清单》</w:t>
            </w:r>
            <w:r>
              <w:rPr>
                <w:rFonts w:hint="eastAsia" w:ascii="Times New Roman" w:hAnsi="Times New Roman" w:eastAsia="宋体" w:cs="Times New Roman"/>
                <w:sz w:val="24"/>
                <w:lang w:eastAsia="zh-CN"/>
              </w:rPr>
              <w:t>中的数量</w:t>
            </w:r>
            <w:r>
              <w:rPr>
                <w:rFonts w:hint="eastAsia" w:ascii="Times New Roman" w:hAnsi="Times New Roman" w:eastAsia="宋体" w:cs="Times New Roman"/>
                <w:sz w:val="24"/>
              </w:rPr>
              <w:t>为采购人预估的</w:t>
            </w:r>
            <w:r>
              <w:rPr>
                <w:rFonts w:hint="eastAsia" w:ascii="Times New Roman" w:hAnsi="Times New Roman" w:eastAsia="宋体" w:cs="Times New Roman"/>
                <w:sz w:val="24"/>
                <w:lang w:eastAsia="zh-CN"/>
              </w:rPr>
              <w:t>采购</w:t>
            </w:r>
            <w:r>
              <w:rPr>
                <w:rFonts w:hint="eastAsia" w:ascii="Times New Roman" w:hAnsi="Times New Roman" w:eastAsia="宋体" w:cs="Times New Roman"/>
                <w:sz w:val="24"/>
              </w:rPr>
              <w:t>数量</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投标人须按照招标文件采购货物进行全部报价，结算时以实际采购数量为准</w:t>
            </w:r>
            <w:r>
              <w:rPr>
                <w:rFonts w:hint="eastAsia" w:ascii="Times New Roman" w:hAnsi="Times New Roman" w:eastAsia="宋体" w:cs="Times New Roman"/>
                <w:sz w:val="24"/>
                <w:lang w:eastAsia="zh-CN"/>
              </w:rPr>
              <w:t>。</w:t>
            </w:r>
            <w:r>
              <w:rPr>
                <w:rFonts w:hint="eastAsia" w:ascii="Times New Roman" w:hAnsi="Times New Roman" w:eastAsia="宋体" w:cs="Times New Roman"/>
                <w:sz w:val="24"/>
              </w:rPr>
              <w:t>本项目总</w:t>
            </w:r>
            <w:r>
              <w:rPr>
                <w:sz w:val="24"/>
              </w:rPr>
              <w:t>价最高限价人民币</w:t>
            </w:r>
            <w:r>
              <w:rPr>
                <w:rFonts w:hint="eastAsia"/>
                <w:sz w:val="24"/>
                <w:highlight w:val="none"/>
                <w:lang w:val="en-US" w:eastAsia="zh-CN"/>
              </w:rPr>
              <w:t>2</w:t>
            </w:r>
            <w:r>
              <w:rPr>
                <w:sz w:val="24"/>
                <w:highlight w:val="none"/>
              </w:rPr>
              <w:t>,</w:t>
            </w:r>
            <w:r>
              <w:rPr>
                <w:rFonts w:hint="eastAsia"/>
                <w:sz w:val="24"/>
                <w:highlight w:val="none"/>
                <w:lang w:val="en-US" w:eastAsia="zh-CN"/>
              </w:rPr>
              <w:t>358</w:t>
            </w:r>
            <w:r>
              <w:rPr>
                <w:sz w:val="24"/>
                <w:highlight w:val="none"/>
              </w:rPr>
              <w:t>,0</w:t>
            </w:r>
            <w:r>
              <w:rPr>
                <w:rFonts w:hint="eastAsia"/>
                <w:sz w:val="24"/>
                <w:highlight w:val="none"/>
                <w:lang w:val="en-US" w:eastAsia="zh-CN"/>
              </w:rPr>
              <w:t>0</w:t>
            </w:r>
            <w:r>
              <w:rPr>
                <w:sz w:val="24"/>
                <w:highlight w:val="none"/>
              </w:rPr>
              <w:t>0</w:t>
            </w:r>
            <w:r>
              <w:rPr>
                <w:sz w:val="24"/>
              </w:rPr>
              <w:t>元，</w:t>
            </w:r>
            <w:r>
              <w:rPr>
                <w:rFonts w:ascii="Times New Roman" w:hAnsi="Times New Roman" w:eastAsia="宋体" w:cs="Times New Roman"/>
                <w:sz w:val="24"/>
              </w:rPr>
              <w:t>投标人须按照招标文件采购货物进行全部报价，投标总价不得超过总价最高限价，分项</w:t>
            </w:r>
            <w:r>
              <w:rPr>
                <w:rFonts w:hint="eastAsia" w:ascii="Times New Roman" w:hAnsi="Times New Roman" w:eastAsia="宋体" w:cs="Times New Roman"/>
                <w:sz w:val="24"/>
                <w:lang w:eastAsia="zh-CN"/>
              </w:rPr>
              <w:t>单价</w:t>
            </w:r>
            <w:r>
              <w:rPr>
                <w:rFonts w:ascii="Times New Roman" w:hAnsi="Times New Roman" w:eastAsia="宋体" w:cs="Times New Roman"/>
                <w:sz w:val="24"/>
              </w:rPr>
              <w:t>报价不得超过该项单价最高限价。</w:t>
            </w:r>
            <w:r>
              <w:rPr>
                <w:b/>
                <w:bCs/>
                <w:sz w:val="24"/>
                <w:lang w:eastAsia="zh-CN"/>
              </w:rPr>
              <w:t>投标人必须</w:t>
            </w:r>
            <w:r>
              <w:rPr>
                <w:b/>
                <w:sz w:val="24"/>
              </w:rPr>
              <w:t>在投标文件中提供所投产品实物图片（含配置）或产品的电子图片</w:t>
            </w:r>
            <w:r>
              <w:rPr>
                <w:sz w:val="24"/>
              </w:rPr>
              <w:t>。</w:t>
            </w:r>
          </w:p>
          <w:tbl>
            <w:tblPr>
              <w:tblStyle w:val="9"/>
              <w:tblW w:w="0" w:type="auto"/>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71"/>
              <w:gridCol w:w="2441"/>
              <w:gridCol w:w="681"/>
              <w:gridCol w:w="2463"/>
            </w:tblGrid>
            <w:tr w14:paraId="4D535C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79" w:hRule="atLeast"/>
                <w:jc w:val="center"/>
              </w:trPr>
              <w:tc>
                <w:tcPr>
                  <w:tcW w:w="0" w:type="auto"/>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FE7963E">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b/>
                      <w:sz w:val="24"/>
                      <w:szCs w:val="24"/>
                    </w:rPr>
                    <w:t>序号</w:t>
                  </w:r>
                </w:p>
              </w:tc>
              <w:tc>
                <w:tcPr>
                  <w:tcW w:w="0" w:type="auto"/>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center"/>
                </w:tcPr>
                <w:p w14:paraId="1A7C2FD7">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rFonts w:hint="eastAsia"/>
                      <w:b/>
                      <w:sz w:val="24"/>
                      <w:szCs w:val="24"/>
                      <w:lang w:eastAsia="zh-CN"/>
                    </w:rPr>
                    <w:t>装备</w:t>
                  </w:r>
                  <w:r>
                    <w:rPr>
                      <w:b/>
                      <w:sz w:val="24"/>
                      <w:szCs w:val="24"/>
                    </w:rPr>
                    <w:t>名称</w:t>
                  </w:r>
                </w:p>
              </w:tc>
              <w:tc>
                <w:tcPr>
                  <w:tcW w:w="0" w:type="auto"/>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center"/>
                </w:tcPr>
                <w:p w14:paraId="394C4096">
                  <w:pPr>
                    <w:pStyle w:val="17"/>
                    <w:keepNext w:val="0"/>
                    <w:keepLines w:val="0"/>
                    <w:pageBreakBefore w:val="0"/>
                    <w:kinsoku/>
                    <w:wordWrap/>
                    <w:overflowPunct/>
                    <w:topLinePunct w:val="0"/>
                    <w:autoSpaceDE/>
                    <w:autoSpaceDN/>
                    <w:bidi w:val="0"/>
                    <w:adjustRightInd/>
                    <w:snapToGrid/>
                    <w:spacing w:line="480" w:lineRule="exact"/>
                    <w:jc w:val="center"/>
                    <w:textAlignment w:val="auto"/>
                    <w:rPr>
                      <w:rFonts w:hint="eastAsia"/>
                      <w:b/>
                      <w:sz w:val="24"/>
                      <w:szCs w:val="24"/>
                      <w:lang w:eastAsia="zh-CN"/>
                    </w:rPr>
                  </w:pPr>
                  <w:r>
                    <w:rPr>
                      <w:b/>
                      <w:sz w:val="24"/>
                      <w:szCs w:val="24"/>
                    </w:rPr>
                    <w:t>数量</w:t>
                  </w:r>
                </w:p>
              </w:tc>
              <w:tc>
                <w:tcPr>
                  <w:tcW w:w="0" w:type="auto"/>
                  <w:tcBorders>
                    <w:top w:val="single" w:color="000000" w:sz="4" w:space="0"/>
                    <w:left w:val="nil"/>
                    <w:bottom w:val="single" w:color="000000" w:sz="4" w:space="0"/>
                    <w:right w:val="single" w:color="000000" w:sz="4" w:space="0"/>
                  </w:tcBorders>
                  <w:noWrap w:val="0"/>
                  <w:tcMar>
                    <w:top w:w="0" w:type="dxa"/>
                    <w:left w:w="105" w:type="dxa"/>
                    <w:bottom w:w="0" w:type="dxa"/>
                    <w:right w:w="105" w:type="dxa"/>
                  </w:tcMar>
                  <w:vAlign w:val="center"/>
                </w:tcPr>
                <w:p w14:paraId="7E4E943C">
                  <w:pPr>
                    <w:pStyle w:val="17"/>
                    <w:keepNext w:val="0"/>
                    <w:keepLines w:val="0"/>
                    <w:pageBreakBefore w:val="0"/>
                    <w:kinsoku/>
                    <w:wordWrap/>
                    <w:overflowPunct/>
                    <w:topLinePunct w:val="0"/>
                    <w:autoSpaceDE/>
                    <w:autoSpaceDN/>
                    <w:bidi w:val="0"/>
                    <w:adjustRightInd/>
                    <w:snapToGrid/>
                    <w:spacing w:line="480" w:lineRule="exact"/>
                    <w:jc w:val="center"/>
                    <w:textAlignment w:val="auto"/>
                    <w:rPr>
                      <w:rFonts w:hint="eastAsia" w:eastAsia="宋体"/>
                      <w:sz w:val="24"/>
                      <w:szCs w:val="24"/>
                      <w:lang w:eastAsia="zh-CN"/>
                    </w:rPr>
                  </w:pPr>
                  <w:r>
                    <w:rPr>
                      <w:rFonts w:hint="eastAsia"/>
                      <w:sz w:val="24"/>
                      <w:szCs w:val="24"/>
                      <w:lang w:eastAsia="zh-CN"/>
                    </w:rPr>
                    <w:t>投标人单价报价（元）</w:t>
                  </w:r>
                </w:p>
              </w:tc>
            </w:tr>
            <w:tr w14:paraId="03754C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266" w:hRule="atLeast"/>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CD57FB9">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23B7F4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防刺背心</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8244988">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442</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A36BB1C">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3C464E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F20BFBB">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2</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A84C5E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防暴头盔</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3C145D7">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150</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CB45B9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099A88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344C862">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3</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2192958">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防暴盾牌</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C72DC0C">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150</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336A1D9">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7FEE6F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657" w:hRule="atLeast"/>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717D987">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4</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B16A64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丁字警棍</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D09E854">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150</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62F0E7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29285B4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3BB8E5D">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5</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FBF4A85">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防暴钢叉</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EF65E07">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114</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59CB96C">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349EDD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6A284579">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6</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85C16C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多功能捕捉器</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17D03E9">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144</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2CD42A8">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39330B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CE35C3C">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7</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5BDAB3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破拆工具组</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91A838A">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2</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8CB18FA">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6666CB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3E82279">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8</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78975D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灭火毯</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5380DE4">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145</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7F6D31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43E39D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05B07A7F">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9</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EA9D97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消防面具</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661FF21">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60</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EB28F24">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0BE839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A444AE2">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10</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1E4B7D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手持式防爆探照灯</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C04E70A">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40</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99A44B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0F95F6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DB18F7B">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11</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8A11130">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手持式喊话器</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1A04D97">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40</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768CFF9">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22B7F4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35A5CCBB">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12</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F0E21DF">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警绳</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03F1156">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500</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7E2F48D">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07AC63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CBED86A">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13</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302B5697">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警戒带</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97C03A3">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70</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2CD820C">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0F2CA2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75CD2235">
                  <w:pPr>
                    <w:pStyle w:val="17"/>
                    <w:keepNext w:val="0"/>
                    <w:keepLines w:val="0"/>
                    <w:pageBreakBefore w:val="0"/>
                    <w:kinsoku/>
                    <w:wordWrap/>
                    <w:overflowPunct/>
                    <w:topLinePunct w:val="0"/>
                    <w:autoSpaceDE/>
                    <w:autoSpaceDN/>
                    <w:bidi w:val="0"/>
                    <w:adjustRightInd/>
                    <w:snapToGrid/>
                    <w:spacing w:line="480" w:lineRule="exact"/>
                    <w:jc w:val="center"/>
                    <w:textAlignment w:val="auto"/>
                    <w:rPr>
                      <w:sz w:val="24"/>
                      <w:szCs w:val="24"/>
                    </w:rPr>
                  </w:pPr>
                  <w:r>
                    <w:rPr>
                      <w:sz w:val="24"/>
                      <w:szCs w:val="24"/>
                    </w:rPr>
                    <w:t>14</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3BD5466">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约束毯</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E94F8B8">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164</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796906A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p w14:paraId="7A75AB36">
                  <w:pPr>
                    <w:bidi w:val="0"/>
                    <w:jc w:val="left"/>
                    <w:rPr>
                      <w:rFonts w:hint="eastAsia" w:ascii="Times New Roman" w:hAnsi="Times New Roman" w:eastAsia="宋体" w:cs="Times New Roman"/>
                      <w:kern w:val="2"/>
                      <w:sz w:val="21"/>
                      <w:szCs w:val="24"/>
                      <w:lang w:val="en-US" w:eastAsia="zh-CN" w:bidi="ar-SA"/>
                    </w:rPr>
                  </w:pPr>
                </w:p>
              </w:tc>
            </w:tr>
            <w:tr w14:paraId="04E69A0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205B671F">
                  <w:pPr>
                    <w:pStyle w:val="17"/>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15</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5ED2D0E">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过滤式综合型防毒面具</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0927B8DF">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384</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5F85C010">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3BBDBD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46D3B4D6">
                  <w:pPr>
                    <w:pStyle w:val="17"/>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16</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9969814">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隔绝式防毒衣</w:t>
                  </w:r>
                </w:p>
                <w:p w14:paraId="12F599FC">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（带靴子、手套）</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927B72A">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414</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2F04112">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18B203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52E8F603">
                  <w:pPr>
                    <w:pStyle w:val="17"/>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17</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18D353D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正压式空气呼吸器</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FEC08B5">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90</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B2200F2">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3D31AF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center"/>
                </w:tcPr>
                <w:p w14:paraId="1A472FCE">
                  <w:pPr>
                    <w:pStyle w:val="17"/>
                    <w:keepNext w:val="0"/>
                    <w:keepLines w:val="0"/>
                    <w:pageBreakBefore w:val="0"/>
                    <w:kinsoku/>
                    <w:wordWrap/>
                    <w:overflowPunct/>
                    <w:topLinePunct w:val="0"/>
                    <w:autoSpaceDE/>
                    <w:autoSpaceDN/>
                    <w:bidi w:val="0"/>
                    <w:adjustRightInd/>
                    <w:snapToGrid/>
                    <w:spacing w:line="480" w:lineRule="exact"/>
                    <w:jc w:val="center"/>
                    <w:textAlignment w:val="auto"/>
                    <w:rPr>
                      <w:rFonts w:hint="default" w:eastAsia="宋体"/>
                      <w:sz w:val="24"/>
                      <w:szCs w:val="24"/>
                      <w:lang w:val="en-US" w:eastAsia="zh-CN"/>
                    </w:rPr>
                  </w:pPr>
                  <w:r>
                    <w:rPr>
                      <w:rFonts w:hint="eastAsia"/>
                      <w:sz w:val="24"/>
                      <w:szCs w:val="24"/>
                      <w:lang w:val="en-US" w:eastAsia="zh-CN"/>
                    </w:rPr>
                    <w:t>18</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4E233663">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10kg装活性炭</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6AC40AA5">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r>
                    <w:rPr>
                      <w:rFonts w:hint="eastAsia" w:ascii="宋体" w:hAnsi="宋体" w:eastAsia="宋体" w:cs="宋体"/>
                      <w:i w:val="0"/>
                      <w:color w:val="000000"/>
                      <w:kern w:val="0"/>
                      <w:sz w:val="24"/>
                      <w:szCs w:val="24"/>
                      <w:u w:val="none"/>
                      <w:lang w:val="en-US" w:eastAsia="zh-CN" w:bidi="ar"/>
                    </w:rPr>
                    <w:t>30</w:t>
                  </w:r>
                </w:p>
              </w:tc>
              <w:tc>
                <w:tcPr>
                  <w:tcW w:w="0" w:type="auto"/>
                  <w:tcBorders>
                    <w:top w:val="nil"/>
                    <w:left w:val="nil"/>
                    <w:bottom w:val="single" w:color="000000" w:sz="4" w:space="0"/>
                    <w:right w:val="single" w:color="000000" w:sz="4" w:space="0"/>
                  </w:tcBorders>
                  <w:noWrap w:val="0"/>
                  <w:tcMar>
                    <w:top w:w="0" w:type="dxa"/>
                    <w:left w:w="105" w:type="dxa"/>
                    <w:bottom w:w="0" w:type="dxa"/>
                    <w:right w:w="105" w:type="dxa"/>
                  </w:tcMar>
                  <w:vAlign w:val="center"/>
                </w:tcPr>
                <w:p w14:paraId="2D9B3A41">
                  <w:pPr>
                    <w:keepNext w:val="0"/>
                    <w:keepLines w:val="0"/>
                    <w:widowControl/>
                    <w:suppressLineNumbers w:val="0"/>
                    <w:jc w:val="center"/>
                    <w:textAlignment w:val="center"/>
                    <w:rPr>
                      <w:rFonts w:hint="eastAsia" w:ascii="宋体" w:hAnsi="宋体" w:eastAsia="宋体" w:cs="宋体"/>
                      <w:i w:val="0"/>
                      <w:color w:val="000000"/>
                      <w:kern w:val="2"/>
                      <w:sz w:val="24"/>
                      <w:szCs w:val="24"/>
                      <w:u w:val="none"/>
                      <w:lang w:val="en-US" w:eastAsia="zh-CN" w:bidi="ar-SA"/>
                    </w:rPr>
                  </w:pPr>
                </w:p>
              </w:tc>
            </w:tr>
            <w:tr w14:paraId="5DBBF8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nil"/>
                    <w:left w:val="single" w:color="000000" w:sz="4" w:space="0"/>
                    <w:bottom w:val="single" w:color="auto" w:sz="4" w:space="0"/>
                    <w:right w:val="single" w:color="000000" w:sz="4" w:space="0"/>
                  </w:tcBorders>
                  <w:noWrap w:val="0"/>
                  <w:tcMar>
                    <w:top w:w="0" w:type="dxa"/>
                    <w:left w:w="105" w:type="dxa"/>
                    <w:bottom w:w="0" w:type="dxa"/>
                    <w:right w:w="105" w:type="dxa"/>
                  </w:tcMar>
                  <w:vAlign w:val="center"/>
                </w:tcPr>
                <w:p w14:paraId="495AB72A">
                  <w:pPr>
                    <w:pStyle w:val="17"/>
                    <w:keepNext w:val="0"/>
                    <w:keepLines w:val="0"/>
                    <w:pageBreakBefore w:val="0"/>
                    <w:kinsoku/>
                    <w:wordWrap/>
                    <w:overflowPunct/>
                    <w:topLinePunct w:val="0"/>
                    <w:autoSpaceDE/>
                    <w:autoSpaceDN/>
                    <w:bidi w:val="0"/>
                    <w:adjustRightInd/>
                    <w:snapToGrid/>
                    <w:spacing w:line="480" w:lineRule="exact"/>
                    <w:jc w:val="center"/>
                    <w:textAlignment w:val="auto"/>
                    <w:rPr>
                      <w:rFonts w:hint="default"/>
                      <w:sz w:val="24"/>
                      <w:szCs w:val="24"/>
                      <w:lang w:val="en-US" w:eastAsia="zh-CN"/>
                    </w:rPr>
                  </w:pPr>
                  <w:r>
                    <w:rPr>
                      <w:rFonts w:hint="eastAsia"/>
                      <w:sz w:val="24"/>
                      <w:szCs w:val="24"/>
                      <w:lang w:val="en-US" w:eastAsia="zh-CN"/>
                    </w:rPr>
                    <w:t>19</w:t>
                  </w:r>
                </w:p>
              </w:tc>
              <w:tc>
                <w:tcPr>
                  <w:tcW w:w="0" w:type="auto"/>
                  <w:tcBorders>
                    <w:top w:val="nil"/>
                    <w:left w:val="nil"/>
                    <w:bottom w:val="single" w:color="auto" w:sz="4" w:space="0"/>
                    <w:right w:val="single" w:color="000000" w:sz="4" w:space="0"/>
                  </w:tcBorders>
                  <w:noWrap w:val="0"/>
                  <w:tcMar>
                    <w:top w:w="0" w:type="dxa"/>
                    <w:left w:w="105" w:type="dxa"/>
                    <w:bottom w:w="0" w:type="dxa"/>
                    <w:right w:w="105" w:type="dxa"/>
                  </w:tcMar>
                  <w:vAlign w:val="center"/>
                </w:tcPr>
                <w:p w14:paraId="210D773B">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防爆毯（带围栏）</w:t>
                  </w:r>
                </w:p>
              </w:tc>
              <w:tc>
                <w:tcPr>
                  <w:tcW w:w="0" w:type="auto"/>
                  <w:tcBorders>
                    <w:top w:val="nil"/>
                    <w:left w:val="nil"/>
                    <w:bottom w:val="single" w:color="auto" w:sz="4" w:space="0"/>
                    <w:right w:val="single" w:color="000000" w:sz="4" w:space="0"/>
                  </w:tcBorders>
                  <w:noWrap w:val="0"/>
                  <w:tcMar>
                    <w:top w:w="0" w:type="dxa"/>
                    <w:left w:w="105" w:type="dxa"/>
                    <w:bottom w:w="0" w:type="dxa"/>
                    <w:right w:w="105" w:type="dxa"/>
                  </w:tcMar>
                  <w:vAlign w:val="center"/>
                </w:tcPr>
                <w:p w14:paraId="2C3ED698">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0" w:type="auto"/>
                  <w:tcBorders>
                    <w:top w:val="nil"/>
                    <w:left w:val="nil"/>
                    <w:bottom w:val="single" w:color="auto" w:sz="4" w:space="0"/>
                    <w:right w:val="single" w:color="000000" w:sz="4" w:space="0"/>
                  </w:tcBorders>
                  <w:noWrap w:val="0"/>
                  <w:tcMar>
                    <w:top w:w="0" w:type="dxa"/>
                    <w:left w:w="105" w:type="dxa"/>
                    <w:bottom w:w="0" w:type="dxa"/>
                    <w:right w:w="105" w:type="dxa"/>
                  </w:tcMar>
                  <w:vAlign w:val="center"/>
                </w:tcPr>
                <w:p w14:paraId="38EC84A3">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p>
              </w:tc>
            </w:tr>
            <w:tr w14:paraId="1FD5F6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A3E25B8">
                  <w:pPr>
                    <w:pStyle w:val="17"/>
                    <w:keepNext w:val="0"/>
                    <w:keepLines w:val="0"/>
                    <w:pageBreakBefore w:val="0"/>
                    <w:kinsoku/>
                    <w:wordWrap/>
                    <w:overflowPunct/>
                    <w:topLinePunct w:val="0"/>
                    <w:autoSpaceDE/>
                    <w:autoSpaceDN/>
                    <w:bidi w:val="0"/>
                    <w:adjustRightInd/>
                    <w:snapToGrid/>
                    <w:spacing w:line="480" w:lineRule="exact"/>
                    <w:jc w:val="center"/>
                    <w:textAlignment w:val="auto"/>
                    <w:rPr>
                      <w:rFonts w:hint="default"/>
                      <w:sz w:val="24"/>
                      <w:szCs w:val="24"/>
                      <w:lang w:val="en-US" w:eastAsia="zh-CN"/>
                    </w:rPr>
                  </w:pPr>
                  <w:r>
                    <w:rPr>
                      <w:rFonts w:hint="eastAsia"/>
                      <w:sz w:val="24"/>
                      <w:szCs w:val="24"/>
                      <w:lang w:val="en-US" w:eastAsia="zh-CN"/>
                    </w:rPr>
                    <w:t>20</w:t>
                  </w:r>
                </w:p>
              </w:tc>
              <w:tc>
                <w:tcPr>
                  <w:tcW w:w="0" w:type="auto"/>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B17EB29">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搜爆服</w:t>
                  </w:r>
                </w:p>
              </w:tc>
              <w:tc>
                <w:tcPr>
                  <w:tcW w:w="0" w:type="auto"/>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7AD80AFE">
                  <w:pPr>
                    <w:keepNext w:val="0"/>
                    <w:keepLines w:val="0"/>
                    <w:widowControl/>
                    <w:suppressLineNumbers w:val="0"/>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2</w:t>
                  </w:r>
                </w:p>
              </w:tc>
              <w:tc>
                <w:tcPr>
                  <w:tcW w:w="0" w:type="auto"/>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4BF38FDC">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p>
              </w:tc>
            </w:tr>
            <w:tr w14:paraId="0AB46B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0" w:type="auto"/>
                  <w:gridSpan w:val="2"/>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6FBC761D">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i w:val="0"/>
                      <w:color w:val="000000"/>
                      <w:kern w:val="0"/>
                      <w:sz w:val="24"/>
                      <w:szCs w:val="24"/>
                      <w:u w:val="none"/>
                      <w:lang w:val="en-US" w:eastAsia="zh-CN" w:bidi="ar"/>
                    </w:rPr>
                    <w:t>合计（元）</w:t>
                  </w:r>
                </w:p>
              </w:tc>
              <w:tc>
                <w:tcPr>
                  <w:tcW w:w="0" w:type="auto"/>
                  <w:gridSpan w:val="2"/>
                  <w:tcBorders>
                    <w:top w:val="single" w:color="auto" w:sz="4" w:space="0"/>
                    <w:left w:val="single" w:color="auto" w:sz="4" w:space="0"/>
                    <w:bottom w:val="single" w:color="auto" w:sz="4" w:space="0"/>
                    <w:right w:val="single" w:color="auto" w:sz="4" w:space="0"/>
                  </w:tcBorders>
                  <w:noWrap w:val="0"/>
                  <w:tcMar>
                    <w:top w:w="0" w:type="dxa"/>
                    <w:left w:w="105" w:type="dxa"/>
                    <w:bottom w:w="0" w:type="dxa"/>
                    <w:right w:w="105" w:type="dxa"/>
                  </w:tcMar>
                  <w:vAlign w:val="center"/>
                </w:tcPr>
                <w:p w14:paraId="358D18B1">
                  <w:pPr>
                    <w:keepNext w:val="0"/>
                    <w:keepLines w:val="0"/>
                    <w:widowControl/>
                    <w:suppressLineNumbers w:val="0"/>
                    <w:jc w:val="center"/>
                    <w:textAlignment w:val="center"/>
                    <w:rPr>
                      <w:rFonts w:hint="default" w:ascii="宋体" w:hAnsi="宋体" w:eastAsia="宋体" w:cs="宋体"/>
                      <w:i w:val="0"/>
                      <w:color w:val="000000"/>
                      <w:kern w:val="0"/>
                      <w:sz w:val="24"/>
                      <w:szCs w:val="24"/>
                      <w:u w:val="none"/>
                      <w:lang w:val="en-US" w:eastAsia="zh-CN" w:bidi="ar"/>
                    </w:rPr>
                  </w:pPr>
                </w:p>
              </w:tc>
            </w:tr>
          </w:tbl>
          <w:p w14:paraId="4C5E004F">
            <w:pPr>
              <w:spacing w:line="360" w:lineRule="auto"/>
              <w:rPr>
                <w:rFonts w:ascii="宋体" w:hAnsi="宋体"/>
                <w:sz w:val="24"/>
                <w:szCs w:val="24"/>
              </w:rPr>
            </w:pPr>
          </w:p>
        </w:tc>
        <w:tc>
          <w:tcPr>
            <w:tcW w:w="1200" w:type="dxa"/>
            <w:tcBorders>
              <w:top w:val="single" w:color="auto" w:sz="4" w:space="0"/>
              <w:left w:val="single" w:color="auto" w:sz="4" w:space="0"/>
              <w:bottom w:val="single" w:color="auto" w:sz="4" w:space="0"/>
              <w:right w:val="single" w:color="auto" w:sz="4" w:space="0"/>
            </w:tcBorders>
          </w:tcPr>
          <w:p w14:paraId="21B878A1">
            <w:pPr>
              <w:spacing w:line="360" w:lineRule="auto"/>
              <w:rPr>
                <w:rFonts w:ascii="宋体" w:hAnsi="宋体"/>
                <w:sz w:val="24"/>
                <w:szCs w:val="24"/>
              </w:rPr>
            </w:pPr>
          </w:p>
        </w:tc>
        <w:tc>
          <w:tcPr>
            <w:tcW w:w="822" w:type="dxa"/>
            <w:tcBorders>
              <w:top w:val="single" w:color="auto" w:sz="4" w:space="0"/>
              <w:left w:val="single" w:color="auto" w:sz="4" w:space="0"/>
              <w:bottom w:val="single" w:color="auto" w:sz="4" w:space="0"/>
              <w:right w:val="single" w:color="auto" w:sz="4" w:space="0"/>
            </w:tcBorders>
          </w:tcPr>
          <w:p w14:paraId="20BBEFC2">
            <w:pPr>
              <w:spacing w:line="360" w:lineRule="auto"/>
              <w:rPr>
                <w:rFonts w:ascii="宋体" w:hAnsi="宋体"/>
                <w:sz w:val="24"/>
                <w:szCs w:val="24"/>
              </w:rPr>
            </w:pPr>
          </w:p>
        </w:tc>
      </w:tr>
      <w:tr w14:paraId="21FCA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14:paraId="7F0B6965">
            <w:pPr>
              <w:spacing w:line="360" w:lineRule="auto"/>
              <w:jc w:val="center"/>
              <w:rPr>
                <w:rFonts w:hint="default" w:ascii="宋体" w:hAnsi="宋体"/>
                <w:sz w:val="24"/>
                <w:szCs w:val="24"/>
                <w:lang w:val="en-US" w:eastAsia="zh-CN"/>
              </w:rPr>
            </w:pPr>
            <w:r>
              <w:rPr>
                <w:rFonts w:hint="eastAsia" w:ascii="宋体" w:hAnsi="宋体"/>
                <w:sz w:val="24"/>
                <w:szCs w:val="24"/>
                <w:lang w:val="en-US" w:eastAsia="zh-CN"/>
              </w:rPr>
              <w:t>4</w:t>
            </w:r>
          </w:p>
        </w:tc>
        <w:tc>
          <w:tcPr>
            <w:tcW w:w="6472" w:type="dxa"/>
            <w:tcBorders>
              <w:top w:val="single" w:color="auto" w:sz="4" w:space="0"/>
              <w:left w:val="single" w:color="auto" w:sz="4" w:space="0"/>
              <w:bottom w:val="single" w:color="auto" w:sz="4" w:space="0"/>
              <w:right w:val="single" w:color="auto" w:sz="4" w:space="0"/>
            </w:tcBorders>
          </w:tcPr>
          <w:p w14:paraId="129A8B0A">
            <w:pPr>
              <w:pStyle w:val="17"/>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eastAsia="宋体" w:cs="Times New Roman"/>
                <w:sz w:val="24"/>
                <w:lang w:val="en-US" w:eastAsia="zh-CN"/>
              </w:rPr>
            </w:pPr>
            <w:r>
              <w:rPr>
                <w:rFonts w:hint="eastAsia" w:eastAsia="宋体" w:cs="Times New Roman"/>
                <w:sz w:val="24"/>
                <w:lang w:val="en-US" w:eastAsia="zh-CN"/>
              </w:rPr>
              <w:t>★5、投标人需在投标文件中承诺以下产品符合国家强制性标准要求（提供承诺函，格式自拟）：</w:t>
            </w:r>
          </w:p>
          <w:p w14:paraId="39E53EB3">
            <w:pPr>
              <w:pStyle w:val="17"/>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eastAsia="宋体" w:cs="Times New Roman"/>
                <w:sz w:val="24"/>
                <w:lang w:val="en-US" w:eastAsia="zh-CN"/>
              </w:rPr>
            </w:pPr>
            <w:r>
              <w:rPr>
                <w:rFonts w:hint="eastAsia" w:eastAsia="宋体" w:cs="Times New Roman"/>
                <w:sz w:val="24"/>
                <w:lang w:val="en-US" w:eastAsia="zh-CN"/>
              </w:rPr>
              <w:t>①手持式防爆探照灯：符合《GB 30734-2014消防员照明灯具》中手提式Ⅰ型的要求，防爆性能应符合《GB 3836.1-2021 爆炸性环境第1部分：设备 通用要求》的要求，并附有防爆标志。</w:t>
            </w:r>
          </w:p>
          <w:p w14:paraId="4314AA56">
            <w:pPr>
              <w:pStyle w:val="17"/>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eastAsia="宋体" w:cs="Times New Roman"/>
                <w:sz w:val="24"/>
                <w:lang w:val="en-US" w:eastAsia="zh-CN"/>
              </w:rPr>
            </w:pPr>
            <w:r>
              <w:rPr>
                <w:rFonts w:hint="eastAsia" w:eastAsia="宋体" w:cs="Times New Roman"/>
                <w:sz w:val="24"/>
                <w:lang w:val="en-US" w:eastAsia="zh-CN"/>
              </w:rPr>
              <w:t>②正压式空气呼吸器：电气元件的防爆性能符合《GB 3836.1—2021爆炸性环境 第1部分》、《GB 3836.4—2021爆炸性环境 第4部分》中Ex ia IIC T3级的要求。</w:t>
            </w:r>
          </w:p>
          <w:p w14:paraId="5BD3ECE6">
            <w:pPr>
              <w:pStyle w:val="17"/>
              <w:keepNext w:val="0"/>
              <w:keepLines w:val="0"/>
              <w:pageBreakBefore w:val="0"/>
              <w:widowControl/>
              <w:kinsoku/>
              <w:wordWrap/>
              <w:overflowPunct/>
              <w:topLinePunct w:val="0"/>
              <w:autoSpaceDE/>
              <w:autoSpaceDN/>
              <w:bidi w:val="0"/>
              <w:adjustRightInd/>
              <w:snapToGrid/>
              <w:spacing w:line="480" w:lineRule="exact"/>
              <w:ind w:firstLine="480"/>
              <w:textAlignment w:val="auto"/>
              <w:rPr>
                <w:rFonts w:hint="eastAsia" w:eastAsia="宋体" w:cs="Times New Roman"/>
                <w:sz w:val="24"/>
                <w:lang w:val="en-US" w:eastAsia="zh-CN"/>
              </w:rPr>
            </w:pPr>
            <w:bookmarkStart w:id="0" w:name="_GoBack"/>
            <w:bookmarkEnd w:id="0"/>
            <w:r>
              <w:rPr>
                <w:rFonts w:hint="eastAsia" w:eastAsia="宋体" w:cs="Times New Roman"/>
                <w:sz w:val="24"/>
                <w:lang w:val="en-US" w:eastAsia="zh-CN"/>
              </w:rPr>
              <w:t>③消防面具：符合GB21976.7-2012《建筑火宅逃生避难器材 第7部分：过滤式消防自救呼吸器》的要求。</w:t>
            </w:r>
          </w:p>
        </w:tc>
        <w:tc>
          <w:tcPr>
            <w:tcW w:w="1200" w:type="dxa"/>
            <w:tcBorders>
              <w:top w:val="single" w:color="auto" w:sz="4" w:space="0"/>
              <w:left w:val="single" w:color="auto" w:sz="4" w:space="0"/>
              <w:bottom w:val="single" w:color="auto" w:sz="4" w:space="0"/>
              <w:right w:val="single" w:color="auto" w:sz="4" w:space="0"/>
            </w:tcBorders>
          </w:tcPr>
          <w:p w14:paraId="689F0DC9">
            <w:pPr>
              <w:spacing w:line="360" w:lineRule="auto"/>
              <w:rPr>
                <w:rFonts w:ascii="宋体" w:hAnsi="宋体"/>
                <w:sz w:val="24"/>
                <w:szCs w:val="24"/>
              </w:rPr>
            </w:pPr>
          </w:p>
        </w:tc>
        <w:tc>
          <w:tcPr>
            <w:tcW w:w="822" w:type="dxa"/>
            <w:tcBorders>
              <w:top w:val="single" w:color="auto" w:sz="4" w:space="0"/>
              <w:left w:val="single" w:color="auto" w:sz="4" w:space="0"/>
              <w:bottom w:val="single" w:color="auto" w:sz="4" w:space="0"/>
              <w:right w:val="single" w:color="auto" w:sz="4" w:space="0"/>
            </w:tcBorders>
          </w:tcPr>
          <w:p w14:paraId="085E3E0D">
            <w:pPr>
              <w:spacing w:line="360" w:lineRule="auto"/>
              <w:rPr>
                <w:rFonts w:ascii="宋体" w:hAnsi="宋体"/>
                <w:sz w:val="24"/>
                <w:szCs w:val="24"/>
              </w:rPr>
            </w:pPr>
          </w:p>
        </w:tc>
      </w:tr>
    </w:tbl>
    <w:p w14:paraId="2D341D02">
      <w:pPr>
        <w:spacing w:line="360" w:lineRule="auto"/>
        <w:rPr>
          <w:rFonts w:ascii="宋体" w:hAnsi="宋体"/>
          <w:sz w:val="24"/>
          <w:szCs w:val="24"/>
        </w:rPr>
      </w:pPr>
      <w:r>
        <w:rPr>
          <w:rFonts w:hint="eastAsia" w:ascii="宋体" w:hAnsi="宋体"/>
          <w:sz w:val="24"/>
          <w:szCs w:val="24"/>
        </w:rPr>
        <w:t>说明：</w:t>
      </w:r>
    </w:p>
    <w:p w14:paraId="5EB489E8">
      <w:pPr>
        <w:pStyle w:val="8"/>
        <w:shd w:val="clear" w:color="auto" w:fill="FFFFFF"/>
        <w:ind w:firstLine="480"/>
      </w:pPr>
      <w:r>
        <w:rPr>
          <w:rFonts w:hint="eastAsia"/>
        </w:rPr>
        <w:t>1.实质性响应条款一览表后续内容请根据第二章采购需求</w:t>
      </w:r>
      <w:r>
        <w:rPr>
          <w:rStyle w:val="11"/>
          <w:rFonts w:hint="eastAsia"/>
          <w:b w:val="0"/>
        </w:rPr>
        <w:t>★</w:t>
      </w:r>
      <w:r>
        <w:rPr>
          <w:rFonts w:hint="eastAsia"/>
        </w:rPr>
        <w:t>号条款详细列举</w:t>
      </w:r>
    </w:p>
    <w:p w14:paraId="4BD98782">
      <w:pPr>
        <w:pStyle w:val="8"/>
        <w:shd w:val="clear" w:color="auto" w:fill="FFFFFF"/>
        <w:ind w:firstLine="480"/>
      </w:pPr>
      <w:r>
        <w:rPr>
          <w:rFonts w:hint="eastAsia"/>
        </w:rPr>
        <w:t>2.本表所列条款必须一一予以响应，“投标人响应情况”一栏应</w:t>
      </w:r>
      <w:r>
        <w:rPr>
          <w:rStyle w:val="11"/>
          <w:rFonts w:hint="eastAsia"/>
          <w:b w:val="0"/>
        </w:rPr>
        <w:t>填写具体的响应内容，有差异</w:t>
      </w:r>
      <w:r>
        <w:rPr>
          <w:rFonts w:hint="eastAsia"/>
        </w:rPr>
        <w:t>的要具体说明。</w:t>
      </w:r>
    </w:p>
    <w:p w14:paraId="313685DD">
      <w:pPr>
        <w:pStyle w:val="8"/>
        <w:shd w:val="clear" w:color="auto" w:fill="FFFFFF"/>
        <w:ind w:firstLine="480"/>
      </w:pPr>
      <w:r>
        <w:rPr>
          <w:rFonts w:hint="eastAsia"/>
        </w:rPr>
        <w:t>3.请投标人认真填写本表内容，如填写错误将可能导致投标无效。</w:t>
      </w:r>
    </w:p>
    <w:p w14:paraId="7D167A0E">
      <w:pPr>
        <w:spacing w:line="360" w:lineRule="auto"/>
        <w:rPr>
          <w:rFonts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汉仪叶叶相思体简">
    <w:altName w:val="Arial Unicode MS"/>
    <w:panose1 w:val="00000000000000000000"/>
    <w:charset w:val="00"/>
    <w:family w:val="auto"/>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M2MDdmMWJhZTM5ZTFiNDc4OTNmMWM0ZTQxMDcwZjkifQ=="/>
  </w:docVars>
  <w:rsids>
    <w:rsidRoot w:val="002F3044"/>
    <w:rsid w:val="00076C5F"/>
    <w:rsid w:val="000C13F0"/>
    <w:rsid w:val="001079D2"/>
    <w:rsid w:val="00194F3E"/>
    <w:rsid w:val="001B369A"/>
    <w:rsid w:val="002048E3"/>
    <w:rsid w:val="0021128E"/>
    <w:rsid w:val="002F3044"/>
    <w:rsid w:val="003105EE"/>
    <w:rsid w:val="00321F0D"/>
    <w:rsid w:val="00387B33"/>
    <w:rsid w:val="004523E4"/>
    <w:rsid w:val="004B30C6"/>
    <w:rsid w:val="00544002"/>
    <w:rsid w:val="00706877"/>
    <w:rsid w:val="008103F4"/>
    <w:rsid w:val="008826E0"/>
    <w:rsid w:val="00906CA6"/>
    <w:rsid w:val="009238D2"/>
    <w:rsid w:val="00926E05"/>
    <w:rsid w:val="00967340"/>
    <w:rsid w:val="00A0648E"/>
    <w:rsid w:val="00A1664F"/>
    <w:rsid w:val="00A30155"/>
    <w:rsid w:val="00A50151"/>
    <w:rsid w:val="00A73AE4"/>
    <w:rsid w:val="00B47072"/>
    <w:rsid w:val="00BB1460"/>
    <w:rsid w:val="00BB7663"/>
    <w:rsid w:val="00C554C7"/>
    <w:rsid w:val="00CD0E81"/>
    <w:rsid w:val="00CF3FAB"/>
    <w:rsid w:val="00DF0BC4"/>
    <w:rsid w:val="00E33BF2"/>
    <w:rsid w:val="00F84676"/>
    <w:rsid w:val="10C402F2"/>
    <w:rsid w:val="16DE392A"/>
    <w:rsid w:val="18061EF0"/>
    <w:rsid w:val="1A991632"/>
    <w:rsid w:val="1C624FE5"/>
    <w:rsid w:val="1C72222F"/>
    <w:rsid w:val="1D0225B9"/>
    <w:rsid w:val="1D4D639F"/>
    <w:rsid w:val="1F805735"/>
    <w:rsid w:val="23A4247F"/>
    <w:rsid w:val="267D1793"/>
    <w:rsid w:val="27D500C3"/>
    <w:rsid w:val="27EF44F0"/>
    <w:rsid w:val="36682AC8"/>
    <w:rsid w:val="37CF1A52"/>
    <w:rsid w:val="43ED4C44"/>
    <w:rsid w:val="4D2117E2"/>
    <w:rsid w:val="4F1669FE"/>
    <w:rsid w:val="5C826306"/>
    <w:rsid w:val="5EB445F4"/>
    <w:rsid w:val="605E1F8B"/>
    <w:rsid w:val="666A5795"/>
    <w:rsid w:val="66B71414"/>
    <w:rsid w:val="6796520F"/>
    <w:rsid w:val="6888180A"/>
    <w:rsid w:val="75D643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9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0"/>
      <w:sz w:val="21"/>
      <w:szCs w:val="20"/>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99"/>
    <w:pPr>
      <w:tabs>
        <w:tab w:val="left" w:pos="0"/>
        <w:tab w:val="left" w:pos="150"/>
        <w:tab w:val="left" w:pos="180"/>
        <w:tab w:val="left" w:pos="630"/>
        <w:tab w:val="right" w:leader="dot" w:pos="9459"/>
      </w:tabs>
      <w:spacing w:before="120"/>
      <w:ind w:left="-2" w:leftChars="-1"/>
      <w:jc w:val="left"/>
    </w:pPr>
    <w:rPr>
      <w:rFonts w:ascii="Times New Roman" w:hAnsi="Times New Roman" w:eastAsia="宋体" w:cs="Times New Roman"/>
      <w:bCs/>
      <w:smallCaps/>
      <w:sz w:val="24"/>
    </w:rPr>
  </w:style>
  <w:style w:type="paragraph" w:styleId="3">
    <w:name w:val="annotation text"/>
    <w:basedOn w:val="1"/>
    <w:link w:val="16"/>
    <w:unhideWhenUsed/>
    <w:qFormat/>
    <w:uiPriority w:val="0"/>
    <w:rPr>
      <w:sz w:val="20"/>
    </w:rPr>
  </w:style>
  <w:style w:type="paragraph" w:styleId="4">
    <w:name w:val="Body Text"/>
    <w:basedOn w:val="1"/>
    <w:next w:val="1"/>
    <w:qFormat/>
    <w:uiPriority w:val="0"/>
    <w:pPr>
      <w:autoSpaceDE w:val="0"/>
      <w:autoSpaceDN w:val="0"/>
      <w:jc w:val="left"/>
    </w:pPr>
    <w:rPr>
      <w:rFonts w:ascii="仿宋_GB2312" w:hAnsi="仿宋_GB2312" w:eastAsia="仿宋_GB2312" w:cs="仿宋_GB2312"/>
      <w:kern w:val="0"/>
      <w:sz w:val="28"/>
      <w:szCs w:val="28"/>
      <w:lang w:eastAsia="en-US"/>
    </w:rPr>
  </w:style>
  <w:style w:type="paragraph" w:styleId="5">
    <w:name w:val="Balloon Text"/>
    <w:basedOn w:val="1"/>
    <w:link w:val="15"/>
    <w:semiHidden/>
    <w:unhideWhenUsed/>
    <w:qFormat/>
    <w:uiPriority w:val="99"/>
    <w:rPr>
      <w:sz w:val="18"/>
      <w:szCs w:val="18"/>
    </w:rPr>
  </w:style>
  <w:style w:type="paragraph" w:styleId="6">
    <w:name w:val="footer"/>
    <w:basedOn w:val="1"/>
    <w:link w:val="14"/>
    <w:unhideWhenUsed/>
    <w:qFormat/>
    <w:uiPriority w:val="99"/>
    <w:pPr>
      <w:tabs>
        <w:tab w:val="center" w:pos="4153"/>
        <w:tab w:val="right" w:pos="8306"/>
      </w:tabs>
      <w:snapToGrid w:val="0"/>
    </w:pPr>
    <w:rPr>
      <w:sz w:val="18"/>
      <w:szCs w:val="18"/>
    </w:rPr>
  </w:style>
  <w:style w:type="paragraph" w:styleId="7">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spacing w:line="360" w:lineRule="auto"/>
    </w:pPr>
    <w:rPr>
      <w:rFonts w:ascii="宋体" w:hAnsi="宋体" w:cs="宋体"/>
      <w:sz w:val="24"/>
      <w:szCs w:val="24"/>
    </w:rPr>
  </w:style>
  <w:style w:type="character" w:styleId="11">
    <w:name w:val="Strong"/>
    <w:basedOn w:val="10"/>
    <w:qFormat/>
    <w:uiPriority w:val="22"/>
    <w:rPr>
      <w:b/>
      <w:bCs/>
    </w:rPr>
  </w:style>
  <w:style w:type="character" w:styleId="12">
    <w:name w:val="annotation reference"/>
    <w:qFormat/>
    <w:uiPriority w:val="99"/>
    <w:rPr>
      <w:rFonts w:ascii="Tahoma" w:hAnsi="Tahoma"/>
      <w:kern w:val="2"/>
      <w:sz w:val="21"/>
      <w:szCs w:val="21"/>
    </w:rPr>
  </w:style>
  <w:style w:type="character" w:customStyle="1" w:styleId="13">
    <w:name w:val="页眉 字符"/>
    <w:basedOn w:val="10"/>
    <w:link w:val="7"/>
    <w:qFormat/>
    <w:uiPriority w:val="99"/>
    <w:rPr>
      <w:sz w:val="18"/>
      <w:szCs w:val="18"/>
    </w:rPr>
  </w:style>
  <w:style w:type="character" w:customStyle="1" w:styleId="14">
    <w:name w:val="页脚 字符"/>
    <w:basedOn w:val="10"/>
    <w:link w:val="6"/>
    <w:qFormat/>
    <w:uiPriority w:val="99"/>
    <w:rPr>
      <w:sz w:val="18"/>
      <w:szCs w:val="18"/>
    </w:rPr>
  </w:style>
  <w:style w:type="character" w:customStyle="1" w:styleId="15">
    <w:name w:val="批注框文本 字符"/>
    <w:basedOn w:val="10"/>
    <w:link w:val="5"/>
    <w:semiHidden/>
    <w:qFormat/>
    <w:uiPriority w:val="99"/>
    <w:rPr>
      <w:sz w:val="18"/>
      <w:szCs w:val="18"/>
    </w:rPr>
  </w:style>
  <w:style w:type="character" w:customStyle="1" w:styleId="16">
    <w:name w:val="批注文字 字符"/>
    <w:basedOn w:val="10"/>
    <w:link w:val="3"/>
    <w:qFormat/>
    <w:uiPriority w:val="0"/>
    <w:rPr>
      <w:rFonts w:ascii="Times New Roman" w:hAnsi="Times New Roman" w:eastAsia="宋体" w:cs="Times New Roman"/>
      <w:kern w:val="0"/>
      <w:sz w:val="20"/>
      <w:szCs w:val="20"/>
    </w:rPr>
  </w:style>
  <w:style w:type="paragraph" w:customStyle="1" w:styleId="17">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259</Words>
  <Characters>264</Characters>
  <Lines>2</Lines>
  <Paragraphs>1</Paragraphs>
  <TotalTime>0</TotalTime>
  <ScaleCrop>false</ScaleCrop>
  <LinksUpToDate>false</LinksUpToDate>
  <CharactersWithSpaces>264</CharactersWithSpaces>
  <Application>WPS Office_12.1.0.17145_F1E327BC-269C-435d-A152-05C5408002CA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黄熙栋</cp:lastModifiedBy>
  <dcterms:modified xsi:type="dcterms:W3CDTF">2025-03-06T08:14:34Z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2052-12.1.0.17145</vt:lpwstr>
  </property>
  <property fmtid="{D5CDD505-2E9C-101B-9397-08002B2CF9AE}" pid="3" name="ICV">
    <vt:lpwstr>1EC1DDEA26304333B4FC199A07A91443_13</vt:lpwstr>
  </property>
</Properties>
</file>