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441AD7">
      <w:pPr>
        <w:keepNext/>
        <w:keepLines w:val="0"/>
        <w:widowControl w:val="0"/>
        <w:tabs>
          <w:tab w:val="left" w:pos="432"/>
        </w:tabs>
        <w:wordWrap w:val="0"/>
        <w:topLinePunct/>
        <w:autoSpaceDE/>
        <w:autoSpaceDN/>
        <w:adjustRightInd w:val="0"/>
        <w:snapToGrid w:val="0"/>
        <w:spacing w:before="0" w:after="0" w:line="360" w:lineRule="auto"/>
        <w:jc w:val="center"/>
        <w:outlineLvl w:val="0"/>
        <w:rPr>
          <w:rFonts w:ascii="宋体" w:hAnsi="Times New Roman" w:eastAsia="宋体" w:cs="Times New Roman"/>
          <w:b/>
          <w:color w:val="auto"/>
          <w:kern w:val="44"/>
          <w:sz w:val="36"/>
          <w:szCs w:val="36"/>
          <w:lang w:val="en-US" w:eastAsia="zh-CN" w:bidi="ar-SA"/>
        </w:rPr>
      </w:pPr>
      <w:r>
        <w:rPr>
          <w:rFonts w:hint="eastAsia" w:ascii="宋体" w:hAnsi="Times New Roman" w:eastAsia="宋体" w:cs="Times New Roman"/>
          <w:b/>
          <w:color w:val="auto"/>
          <w:kern w:val="44"/>
          <w:sz w:val="36"/>
          <w:szCs w:val="36"/>
          <w:lang w:val="en-US" w:eastAsia="zh-CN" w:bidi="ar-SA"/>
        </w:rPr>
        <w:t>第四章  采购需求</w:t>
      </w:r>
    </w:p>
    <w:p w14:paraId="5970D81E">
      <w:pPr>
        <w:keepNext/>
        <w:widowControl w:val="0"/>
        <w:autoSpaceDE w:val="0"/>
        <w:autoSpaceDN w:val="0"/>
        <w:adjustRightInd w:val="0"/>
        <w:spacing w:line="360" w:lineRule="auto"/>
        <w:ind w:firstLine="420"/>
        <w:jc w:val="both"/>
        <w:outlineLvl w:val="1"/>
        <w:rPr>
          <w:rFonts w:ascii="宋体" w:hAnsi="Times New Roman" w:eastAsia="宋体" w:cs="Times New Roman"/>
          <w:b/>
          <w:bCs/>
          <w:color w:val="auto"/>
          <w:kern w:val="2"/>
          <w:sz w:val="24"/>
          <w:szCs w:val="24"/>
          <w:lang w:val="en-US" w:eastAsia="zh-CN" w:bidi="ar-SA"/>
        </w:rPr>
      </w:pPr>
      <w:bookmarkStart w:id="0" w:name="_Toc6078"/>
      <w:r>
        <w:rPr>
          <w:rFonts w:hint="eastAsia" w:ascii="宋体" w:hAnsi="Times New Roman" w:eastAsia="宋体" w:cs="Times New Roman"/>
          <w:b/>
          <w:bCs/>
          <w:color w:val="auto"/>
          <w:kern w:val="2"/>
          <w:sz w:val="24"/>
          <w:szCs w:val="24"/>
          <w:lang w:val="en-US" w:eastAsia="zh-CN" w:bidi="ar-SA"/>
        </w:rPr>
        <w:t>一、项目背景</w:t>
      </w:r>
      <w:bookmarkEnd w:id="0"/>
    </w:p>
    <w:p w14:paraId="1E28B057">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当前，数字经济与人工智能技术正全面重塑经管类行业形态与人才需求结构。2025 年，中共中央、国务院印发的《教育强国建设规划纲要（2024-2035 年）》明确要求“促进人工智能助力教育变革”，推动人工智能与教育教学全要素深度融合；教育部等五部门同步部署“推进文科专业数字化改造”，深化新文科建设内涵，为高校经管类专业数智化转型指明了方向。</w:t>
      </w:r>
    </w:p>
    <w:p w14:paraId="77EC004D">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从产业发展来看，智能财务、大数据分析、AI决策、跨境电商数智化运营、公共管理智能推演等场景加速落地，企业对兼具专业素养与数智化能力的复合型人才需求激增，传统单一技能型人才已难以适配行业岗位新要求，懂专业、能分析、会决策、善实操的数智化经管人才成为市场核心需求。</w:t>
      </w:r>
    </w:p>
    <w:p w14:paraId="5A126F5B">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楚雄师范学院管理与经济学院现有会计学、金融学、贸易经济、公共事业管理、财务管理、市场营销等11个全日制本科专业，在校本科生2400余人，形成了以管理学、经济学为重点支撑，社会学为特色的多学科融合专业体系。其中会计学为校级一流本科专业，财务管理为应用型人才培养示范专业，贸易经济、金融学等为校级一流专业，多年来致力于培养服务区域经济社会发展的应用型经管人才。面对人工智能时代对经管人才能力框架的新要求，本项目建设数智经管应用实训平台，融入AI智能核算、智能建模、大数据决策、AI助教等新技术，覆盖财务、外贸、公共管理等多场景实训，通过模拟真实商业与公共治理环境、对抗式决策演练，系统培养学生数智化实操、数据分析、经营决策与公共治理能力，为学院经管类专业内涵提质、数智化升级注入新动能，助力云南“3815”战略与数字经济发展。</w:t>
      </w:r>
    </w:p>
    <w:p w14:paraId="18DB2AD2">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ascii="宋体" w:hAnsi="Times New Roman" w:eastAsia="宋体" w:cs="Times New Roman"/>
          <w:color w:val="auto"/>
          <w:kern w:val="2"/>
          <w:sz w:val="24"/>
          <w:szCs w:val="24"/>
          <w:lang w:val="en-US" w:eastAsia="zh-CN" w:bidi="ar-SA"/>
        </w:rPr>
        <w:t>【口径衔接说明】本项目首期重点服务会计学、财务管理、贸易经济、公共事业管理 4 个专业（约 800 人 / 学年），同时面向金融学、市场营销、行政管理等其余 7 个专业开放使用，预计 3 年内全院 2400 余人不同程度受益。</w:t>
      </w:r>
    </w:p>
    <w:p w14:paraId="0B678647">
      <w:pPr>
        <w:keepNext/>
        <w:widowControl w:val="0"/>
        <w:autoSpaceDE w:val="0"/>
        <w:autoSpaceDN w:val="0"/>
        <w:adjustRightInd w:val="0"/>
        <w:spacing w:line="360" w:lineRule="auto"/>
        <w:ind w:firstLine="420"/>
        <w:jc w:val="both"/>
        <w:outlineLvl w:val="1"/>
        <w:rPr>
          <w:rFonts w:ascii="宋体" w:hAnsi="Times New Roman" w:eastAsia="宋体" w:cs="Times New Roman"/>
          <w:b/>
          <w:bCs/>
          <w:color w:val="auto"/>
          <w:kern w:val="2"/>
          <w:sz w:val="24"/>
          <w:szCs w:val="24"/>
          <w:lang w:val="en-US" w:eastAsia="zh-CN" w:bidi="ar-SA"/>
        </w:rPr>
      </w:pPr>
      <w:bookmarkStart w:id="1" w:name="_Toc9149"/>
      <w:r>
        <w:rPr>
          <w:rFonts w:hint="eastAsia" w:ascii="宋体" w:hAnsi="Times New Roman" w:eastAsia="宋体" w:cs="Times New Roman"/>
          <w:b/>
          <w:bCs/>
          <w:color w:val="auto"/>
          <w:kern w:val="2"/>
          <w:sz w:val="24"/>
          <w:szCs w:val="24"/>
          <w:lang w:val="en-US" w:eastAsia="zh-CN" w:bidi="ar-SA"/>
        </w:rPr>
        <w:t>二、建设目标</w:t>
      </w:r>
      <w:bookmarkEnd w:id="1"/>
    </w:p>
    <w:p w14:paraId="7D952FB2">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本项目立足国家新文科建设与教育数字化战略要求，紧扣云南省“3815”战略发展目标及数字经济发展需求，依托楚雄师范学院管理与经济学院多专业协同发展基础，围绕数智经管应用实训平台核心功能，面向应用型数智化经管人才培养需求，分层次设定以下建设目标。</w:t>
      </w:r>
    </w:p>
    <w:p w14:paraId="4B796858">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2" w:name="_Toc32488"/>
      <w:r>
        <w:rPr>
          <w:rFonts w:hint="eastAsia" w:ascii="宋体" w:hAnsi="Times New Roman" w:eastAsia="宋体" w:cs="Times New Roman"/>
          <w:b/>
          <w:bCs/>
          <w:color w:val="auto"/>
          <w:kern w:val="2"/>
          <w:sz w:val="24"/>
          <w:szCs w:val="24"/>
          <w:lang w:val="en-US" w:eastAsia="zh-CN" w:bidi="ar-SA"/>
        </w:rPr>
        <w:t>（一）支撑多专业核心课程教学改革</w:t>
      </w:r>
      <w:bookmarkEnd w:id="2"/>
    </w:p>
    <w:p w14:paraId="3E70E37D">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平台直接服务于《管理会计》《财务管理》《成本会计》《国际贸易实务》《公共管理决策模拟》等核心课程的教学实训环节。每学年覆盖会计学、财务管理、贸易经济、公共事业管理等专业本科生约800人，实训学时由纯理论讲授调整为“理论+实操”模式，其中平台实训课时不低于总课时的30%。通过多场景实战训练，帮助学生将专业理论转化为智能核算、大数据分析、跨境电商实操、公共管理决策等核心实操能力。</w:t>
      </w:r>
    </w:p>
    <w:p w14:paraId="6073293B">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3" w:name="_Toc10781"/>
      <w:r>
        <w:rPr>
          <w:rFonts w:hint="eastAsia" w:ascii="宋体" w:hAnsi="Times New Roman" w:eastAsia="宋体" w:cs="Times New Roman"/>
          <w:b/>
          <w:bCs/>
          <w:color w:val="auto"/>
          <w:kern w:val="2"/>
          <w:sz w:val="24"/>
          <w:szCs w:val="24"/>
          <w:lang w:val="en-US" w:eastAsia="zh-CN" w:bidi="ar-SA"/>
        </w:rPr>
        <w:t>（二）推动经管类专业数智化转型升级</w:t>
      </w:r>
      <w:bookmarkEnd w:id="3"/>
    </w:p>
    <w:p w14:paraId="54C8F832">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以新文科建设为引领，深化人工智能与经管类专业的交叉融合，优化课程体系结构，增设AI财务、数智外贸、智能公共管理等实训模块，推动传统课程向“数据驱动、场景导向、AI赋能”转型，形成“AI+经管”的专业特色。项目建成后，每学年组织2-3次校级数智经管实战竞赛（覆盖财务、外贸、公共管理等赛道），参与学生不少于200人。通过系统实训，显著提升学生在智能财务处理、大数据经营分析、跨境电商全流程实操、公共管理智能决策等方面的能力，增强其对财务 BP、数智外贸运营、公共管理分析师等新型岗位的就业竞争力。</w:t>
      </w:r>
    </w:p>
    <w:p w14:paraId="6750ED72">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4" w:name="_Toc975"/>
      <w:r>
        <w:rPr>
          <w:rFonts w:hint="eastAsia" w:ascii="宋体" w:hAnsi="Times New Roman" w:eastAsia="宋体" w:cs="Times New Roman"/>
          <w:b/>
          <w:bCs/>
          <w:color w:val="auto"/>
          <w:kern w:val="2"/>
          <w:sz w:val="24"/>
          <w:szCs w:val="24"/>
          <w:lang w:val="en-US" w:eastAsia="zh-CN" w:bidi="ar-SA"/>
        </w:rPr>
        <w:t>（三）提升师资队伍数智化教学与科研能力</w:t>
      </w:r>
      <w:bookmarkEnd w:id="4"/>
    </w:p>
    <w:p w14:paraId="0E57B4AB">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以项目建设为载体，推动教师教学理念与能力转型升级。通过校企合作、专项培训、教研共建等途径，提升教师团队在数智化教学工具应用、AI实训案例开发、跨专业教学研究等方面的水平。依托平台积累的教学数据、实训案例与行业资源，鼓励教师开展人工智能与财务、国际贸易、公共管理交叉领域的教研科研工作，形成“以教促研、以研促教” 的良性发展格局，打造一支 “双师型 + 数智化”的高水平师资队伍。</w:t>
      </w:r>
    </w:p>
    <w:p w14:paraId="57CA84C0">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5" w:name="_Toc28795"/>
      <w:r>
        <w:rPr>
          <w:rFonts w:hint="eastAsia" w:ascii="宋体" w:hAnsi="Times New Roman" w:eastAsia="宋体" w:cs="Times New Roman"/>
          <w:b/>
          <w:bCs/>
          <w:color w:val="auto"/>
          <w:kern w:val="2"/>
          <w:sz w:val="24"/>
          <w:szCs w:val="24"/>
          <w:lang w:val="en-US" w:eastAsia="zh-CN" w:bidi="ar-SA"/>
        </w:rPr>
        <w:t>（四）增强服务区域经济社会发展能力</w:t>
      </w:r>
      <w:bookmarkEnd w:id="5"/>
    </w:p>
    <w:p w14:paraId="4D5D3EB5">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立足滇中、服务云南，主动融入地方数字经济与产业升级进程。以项目建设为纽带，加强与地方企业、政府部门、行业组织的合作，拓展社会服务渠道，开展数智财务咨询、外贸实操培训、公共管理干部AI决策能力提升等产教融合项目，充分发挥高校在服务区域经济中的智力支撑作用，助力楚雄州及云南省中小企业数字化转型与公共治理效能提升，增强学校社会影响力与贡献度。</w:t>
      </w:r>
    </w:p>
    <w:p w14:paraId="4F155A81">
      <w:pPr>
        <w:keepNext/>
        <w:widowControl w:val="0"/>
        <w:autoSpaceDE w:val="0"/>
        <w:autoSpaceDN w:val="0"/>
        <w:adjustRightInd w:val="0"/>
        <w:spacing w:line="360" w:lineRule="auto"/>
        <w:ind w:firstLine="420"/>
        <w:jc w:val="both"/>
        <w:outlineLvl w:val="1"/>
        <w:rPr>
          <w:rFonts w:ascii="宋体" w:hAnsi="Times New Roman" w:eastAsia="宋体" w:cs="Times New Roman"/>
          <w:b/>
          <w:bCs/>
          <w:color w:val="auto"/>
          <w:kern w:val="2"/>
          <w:sz w:val="24"/>
          <w:szCs w:val="24"/>
          <w:lang w:val="en-US" w:eastAsia="zh-CN" w:bidi="ar-SA"/>
        </w:rPr>
      </w:pPr>
      <w:bookmarkStart w:id="6" w:name="_Toc23072"/>
      <w:r>
        <w:rPr>
          <w:rFonts w:hint="eastAsia" w:ascii="宋体" w:hAnsi="Times New Roman" w:eastAsia="宋体" w:cs="Times New Roman"/>
          <w:b/>
          <w:bCs/>
          <w:color w:val="auto"/>
          <w:kern w:val="2"/>
          <w:sz w:val="24"/>
          <w:szCs w:val="24"/>
          <w:lang w:val="en-US" w:eastAsia="zh-CN" w:bidi="ar-SA"/>
        </w:rPr>
        <w:t>三、建设内容与要求</w:t>
      </w:r>
      <w:bookmarkEnd w:id="6"/>
    </w:p>
    <w:p w14:paraId="6EB740BB">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本项目</w:t>
      </w:r>
      <w:r>
        <w:rPr>
          <w:rFonts w:hint="eastAsia" w:ascii="宋体" w:hAnsi="Times New Roman" w:eastAsia="宋体" w:cs="Times New Roman"/>
          <w:b/>
          <w:bCs/>
          <w:color w:val="auto"/>
          <w:kern w:val="2"/>
          <w:sz w:val="24"/>
          <w:szCs w:val="24"/>
          <w:lang w:val="en-US" w:eastAsia="zh-CN" w:bidi="ar-SA"/>
        </w:rPr>
        <w:t>采购数智经管应用实训平台，共划分四个采购包：</w:t>
      </w:r>
      <w:r>
        <w:rPr>
          <w:rFonts w:hint="eastAsia" w:ascii="宋体" w:hAnsi="Times New Roman" w:eastAsia="宋体" w:cs="Times New Roman"/>
          <w:color w:val="auto"/>
          <w:kern w:val="2"/>
          <w:sz w:val="24"/>
          <w:szCs w:val="24"/>
          <w:lang w:val="en-US" w:eastAsia="zh-CN" w:bidi="ar-SA"/>
        </w:rPr>
        <w:t>包含AI数字化管理会计实战平台、AI数智财务实践平台、互联网+国际贸易综合技能与竞赛实训平台、公共管理AI决策演练沙盘对抗比赛平台软件四大核心模块，配套AI实验教学专用计算机，具体建设内容如下：</w:t>
      </w:r>
    </w:p>
    <w:p w14:paraId="15AFFABE">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7" w:name="_Toc30567"/>
      <w:r>
        <w:rPr>
          <w:rFonts w:hint="eastAsia" w:ascii="宋体" w:hAnsi="Times New Roman" w:eastAsia="宋体" w:cs="Times New Roman"/>
          <w:b/>
          <w:bCs/>
          <w:color w:val="auto"/>
          <w:kern w:val="2"/>
          <w:sz w:val="24"/>
          <w:szCs w:val="24"/>
          <w:lang w:val="en-US" w:eastAsia="zh-CN" w:bidi="ar-SA"/>
        </w:rPr>
        <w:t>包1：AI数字化管理会计实战平台（1套）</w:t>
      </w:r>
      <w:bookmarkEnd w:id="7"/>
    </w:p>
    <w:p w14:paraId="01E7AD54">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平台应基于B/S架构，部署于学校本地服务器，支持PC端网页访问，无用户数量限制。系统应具备完整的教师管理功能和学生实训功能（战略分析、行业分析、商战模拟、经营决策、预算分析、财报分析、自动评分等）。平台内置宏观经济参数调节机制，能够根据学生组数自动形成动态行业竞争体系，每期经营结束后自动生成财务指标排名与商业分析报告。平台应包含全面预算、成本性态分析、本量利计算、杜邦分析等教学分析工具，并支持学生导出经营数据与学习报告。</w:t>
      </w:r>
    </w:p>
    <w:p w14:paraId="64FF98D4">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以业务为本、决策管理为导向、融入智能核算机器人、智能建模机器人、大数据决策预测模型、AI智能助教、AI智能决策、AI智能报告等数智化新技术，将业务、财务数据通过BI可视化展示形成数据中心，帮助学生进行预测、决策分析，体验管理会计在企业中的实践应用，实现跨学科综合实践教学。</w:t>
      </w:r>
    </w:p>
    <w:p w14:paraId="5F7EB7C4">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8" w:name="_Toc5470"/>
      <w:r>
        <w:rPr>
          <w:rFonts w:hint="eastAsia" w:ascii="宋体" w:hAnsi="Times New Roman" w:eastAsia="宋体" w:cs="Times New Roman"/>
          <w:b/>
          <w:bCs/>
          <w:color w:val="auto"/>
          <w:kern w:val="2"/>
          <w:sz w:val="24"/>
          <w:szCs w:val="24"/>
          <w:lang w:val="en-US" w:eastAsia="zh-CN" w:bidi="ar-SA"/>
        </w:rPr>
        <w:t>包2：AI 数智财务实践平台（1套）</w:t>
      </w:r>
      <w:bookmarkEnd w:id="8"/>
    </w:p>
    <w:p w14:paraId="5362AAA7">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围绕AI智能体在财会领域的应用，将AI智能体与具体的财会业务场景相结合，支持智能凭证处理、财务智能分析、审计风险预警、业财融合模拟等多场景AI智能体开发，培养学生运用 AI 智能体解决财会实际问题的实操能力，使其熟练掌握大模型交互、工作流设计、知识库构建与工具调用的通用方法框架，打造“AI+财务”复合型专业能力。</w:t>
      </w:r>
    </w:p>
    <w:p w14:paraId="62686652">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9" w:name="_Toc3267"/>
      <w:r>
        <w:rPr>
          <w:rFonts w:hint="eastAsia" w:ascii="宋体" w:hAnsi="Times New Roman" w:eastAsia="宋体" w:cs="Times New Roman"/>
          <w:b/>
          <w:bCs/>
          <w:color w:val="auto"/>
          <w:kern w:val="2"/>
          <w:sz w:val="24"/>
          <w:szCs w:val="24"/>
          <w:lang w:val="en-US" w:eastAsia="zh-CN" w:bidi="ar-SA"/>
        </w:rPr>
        <w:t>包3：互联网+国际贸易综合技能与竞赛实训平台（1套）</w:t>
      </w:r>
      <w:bookmarkEnd w:id="9"/>
    </w:p>
    <w:p w14:paraId="24D1200A">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以外贸业务为本、实操能力培养为导向，融入AI仿真场景机器人、AI审单核算机器人、AI履约规划模型、AI学情测评模型、AI赛事管理系统等数智化新技术，将实训全流程数据通过BI可视化展示形成实训数据中心，帮助学生开展外贸全流程实操训练，体验外贸企业真实业务运作，实现院校教学与企业岗位培训融合的国际贸易综合实践教学。</w:t>
      </w:r>
    </w:p>
    <w:p w14:paraId="0B80C4EE">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10" w:name="_Toc23209"/>
      <w:r>
        <w:rPr>
          <w:rFonts w:hint="eastAsia" w:ascii="宋体" w:hAnsi="Times New Roman" w:eastAsia="宋体" w:cs="Times New Roman"/>
          <w:b/>
          <w:bCs/>
          <w:color w:val="auto"/>
          <w:kern w:val="2"/>
          <w:sz w:val="24"/>
          <w:szCs w:val="24"/>
          <w:lang w:val="en-US" w:eastAsia="zh-CN" w:bidi="ar-SA"/>
        </w:rPr>
        <w:t>包4：公共管理AI决策演练沙盘对抗比赛平台软件（1套）</w:t>
      </w:r>
      <w:bookmarkEnd w:id="10"/>
    </w:p>
    <w:p w14:paraId="65226319">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以公共管理为业务核心、决策管理为导向，融入AI智能建模、智能反馈等数智化技术，依托上百个数理模型与大数据决策逻辑，通过BI式可视化形成数据中心，AI自动生成沙盘对抗报告，搭配AI智能城市模型及背景生成，实现公共管理跨学科综合实践教学，赋能学生决策分析与实操能力提升。</w:t>
      </w:r>
    </w:p>
    <w:p w14:paraId="63E50AE0">
      <w:pPr>
        <w:keepNext/>
        <w:widowControl w:val="0"/>
        <w:autoSpaceDE w:val="0"/>
        <w:autoSpaceDN w:val="0"/>
        <w:adjustRightInd w:val="0"/>
        <w:spacing w:line="360" w:lineRule="auto"/>
        <w:ind w:firstLine="420"/>
        <w:jc w:val="both"/>
        <w:outlineLvl w:val="1"/>
        <w:rPr>
          <w:rFonts w:ascii="宋体" w:hAnsi="Times New Roman" w:eastAsia="宋体" w:cs="Times New Roman"/>
          <w:b/>
          <w:bCs/>
          <w:color w:val="auto"/>
          <w:kern w:val="2"/>
          <w:sz w:val="24"/>
          <w:szCs w:val="24"/>
          <w:lang w:val="en-US" w:eastAsia="zh-CN" w:bidi="ar-SA"/>
        </w:rPr>
      </w:pPr>
      <w:bookmarkStart w:id="11" w:name="_Toc7400"/>
      <w:r>
        <w:rPr>
          <w:rFonts w:hint="eastAsia" w:ascii="宋体" w:hAnsi="Times New Roman" w:eastAsia="宋体" w:cs="Times New Roman"/>
          <w:b/>
          <w:bCs/>
          <w:color w:val="auto"/>
          <w:kern w:val="2"/>
          <w:sz w:val="24"/>
          <w:szCs w:val="24"/>
          <w:lang w:val="en-US" w:eastAsia="zh-CN" w:bidi="ar-SA"/>
        </w:rPr>
        <w:t>四、采购需求一览表</w:t>
      </w:r>
      <w:bookmarkEnd w:id="11"/>
    </w:p>
    <w:tbl>
      <w:tblPr>
        <w:tblStyle w:val="1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4930"/>
        <w:gridCol w:w="1425"/>
        <w:gridCol w:w="2041"/>
      </w:tblGrid>
      <w:tr w14:paraId="7E3A9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0" w:type="pct"/>
            <w:vAlign w:val="center"/>
          </w:tcPr>
          <w:p w14:paraId="60726DE0">
            <w:pPr>
              <w:keepNext/>
              <w:widowControl w:val="0"/>
              <w:autoSpaceDE w:val="0"/>
              <w:autoSpaceDN w:val="0"/>
              <w:adjustRightInd w:val="0"/>
              <w:ind w:firstLine="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包号</w:t>
            </w:r>
          </w:p>
        </w:tc>
        <w:tc>
          <w:tcPr>
            <w:tcW w:w="2688" w:type="pct"/>
            <w:vAlign w:val="center"/>
          </w:tcPr>
          <w:p w14:paraId="1B7AC985">
            <w:pPr>
              <w:keepNext/>
              <w:widowControl w:val="0"/>
              <w:autoSpaceDE w:val="0"/>
              <w:autoSpaceDN w:val="0"/>
              <w:adjustRightInd w:val="0"/>
              <w:ind w:firstLine="0"/>
              <w:jc w:val="center"/>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标的名称</w:t>
            </w:r>
          </w:p>
        </w:tc>
        <w:tc>
          <w:tcPr>
            <w:tcW w:w="777" w:type="pct"/>
            <w:vAlign w:val="center"/>
          </w:tcPr>
          <w:p w14:paraId="34D03F8A">
            <w:pPr>
              <w:keepNext/>
              <w:widowControl w:val="0"/>
              <w:autoSpaceDE w:val="0"/>
              <w:autoSpaceDN w:val="0"/>
              <w:adjustRightInd w:val="0"/>
              <w:ind w:firstLine="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数量及单位</w:t>
            </w:r>
          </w:p>
        </w:tc>
        <w:tc>
          <w:tcPr>
            <w:tcW w:w="1113" w:type="pct"/>
            <w:vAlign w:val="center"/>
          </w:tcPr>
          <w:p w14:paraId="5A83373B">
            <w:pPr>
              <w:keepNext/>
              <w:widowControl w:val="0"/>
              <w:autoSpaceDE w:val="0"/>
              <w:autoSpaceDN w:val="0"/>
              <w:adjustRightInd w:val="0"/>
              <w:ind w:firstLine="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采购预算（元）</w:t>
            </w:r>
          </w:p>
        </w:tc>
      </w:tr>
      <w:tr w14:paraId="65743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0" w:type="pct"/>
            <w:vAlign w:val="center"/>
          </w:tcPr>
          <w:p w14:paraId="1C0E7AF5">
            <w:pPr>
              <w:keepNext/>
              <w:widowControl w:val="0"/>
              <w:autoSpaceDE w:val="0"/>
              <w:autoSpaceDN w:val="0"/>
              <w:adjustRightInd w:val="0"/>
              <w:ind w:firstLine="0"/>
              <w:jc w:val="center"/>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w:t>
            </w:r>
          </w:p>
        </w:tc>
        <w:tc>
          <w:tcPr>
            <w:tcW w:w="2688" w:type="pct"/>
            <w:vAlign w:val="center"/>
          </w:tcPr>
          <w:p w14:paraId="324E0301">
            <w:pPr>
              <w:keepNext/>
              <w:widowControl w:val="0"/>
              <w:autoSpaceDE w:val="0"/>
              <w:autoSpaceDN w:val="0"/>
              <w:adjustRightInd w:val="0"/>
              <w:ind w:firstLine="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AI数字化管理会计实战平台</w:t>
            </w:r>
          </w:p>
        </w:tc>
        <w:tc>
          <w:tcPr>
            <w:tcW w:w="777" w:type="pct"/>
            <w:vAlign w:val="center"/>
          </w:tcPr>
          <w:p w14:paraId="27BFFDE0">
            <w:pPr>
              <w:keepNext/>
              <w:widowControl w:val="0"/>
              <w:autoSpaceDE w:val="0"/>
              <w:autoSpaceDN w:val="0"/>
              <w:adjustRightInd w:val="0"/>
              <w:ind w:firstLine="0"/>
              <w:jc w:val="center"/>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1套</w:t>
            </w:r>
          </w:p>
        </w:tc>
        <w:tc>
          <w:tcPr>
            <w:tcW w:w="1113" w:type="pct"/>
            <w:vAlign w:val="center"/>
          </w:tcPr>
          <w:p w14:paraId="1E4FDDB4">
            <w:pPr>
              <w:keepNext/>
              <w:widowControl w:val="0"/>
              <w:autoSpaceDE w:val="0"/>
              <w:autoSpaceDN w:val="0"/>
              <w:adjustRightInd w:val="0"/>
              <w:ind w:left="0" w:leftChars="0" w:firstLine="0" w:firstLineChars="0"/>
              <w:jc w:val="center"/>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300000.00</w:t>
            </w:r>
          </w:p>
        </w:tc>
      </w:tr>
      <w:tr w14:paraId="7143A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0" w:type="pct"/>
            <w:vAlign w:val="center"/>
          </w:tcPr>
          <w:p w14:paraId="1F9722CD">
            <w:pPr>
              <w:keepNext/>
              <w:widowControl w:val="0"/>
              <w:autoSpaceDE w:val="0"/>
              <w:autoSpaceDN w:val="0"/>
              <w:adjustRightInd w:val="0"/>
              <w:ind w:firstLine="0"/>
              <w:jc w:val="center"/>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w:t>
            </w:r>
          </w:p>
        </w:tc>
        <w:tc>
          <w:tcPr>
            <w:tcW w:w="2688" w:type="pct"/>
            <w:vAlign w:val="center"/>
          </w:tcPr>
          <w:p w14:paraId="3AC1A2D0">
            <w:pPr>
              <w:keepNext/>
              <w:widowControl w:val="0"/>
              <w:autoSpaceDE w:val="0"/>
              <w:autoSpaceDN w:val="0"/>
              <w:adjustRightInd w:val="0"/>
              <w:ind w:firstLine="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AI数智财务实践平台</w:t>
            </w:r>
          </w:p>
        </w:tc>
        <w:tc>
          <w:tcPr>
            <w:tcW w:w="777" w:type="pct"/>
            <w:vAlign w:val="center"/>
          </w:tcPr>
          <w:p w14:paraId="72F368F7">
            <w:pPr>
              <w:keepNext/>
              <w:widowControl w:val="0"/>
              <w:autoSpaceDE w:val="0"/>
              <w:autoSpaceDN w:val="0"/>
              <w:adjustRightInd w:val="0"/>
              <w:ind w:firstLine="0"/>
              <w:jc w:val="center"/>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1套</w:t>
            </w:r>
          </w:p>
        </w:tc>
        <w:tc>
          <w:tcPr>
            <w:tcW w:w="1113" w:type="pct"/>
            <w:vAlign w:val="center"/>
          </w:tcPr>
          <w:p w14:paraId="081989F6">
            <w:pPr>
              <w:keepNext/>
              <w:widowControl w:val="0"/>
              <w:autoSpaceDE w:val="0"/>
              <w:autoSpaceDN w:val="0"/>
              <w:adjustRightInd w:val="0"/>
              <w:ind w:left="0" w:leftChars="0" w:firstLine="0" w:firstLineChars="0"/>
              <w:jc w:val="center"/>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200000.00</w:t>
            </w:r>
          </w:p>
        </w:tc>
      </w:tr>
      <w:tr w14:paraId="5A09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0" w:type="pct"/>
            <w:vAlign w:val="center"/>
          </w:tcPr>
          <w:p w14:paraId="45856DF6">
            <w:pPr>
              <w:keepNext/>
              <w:widowControl w:val="0"/>
              <w:autoSpaceDE w:val="0"/>
              <w:autoSpaceDN w:val="0"/>
              <w:adjustRightInd w:val="0"/>
              <w:ind w:firstLine="0"/>
              <w:jc w:val="center"/>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w:t>
            </w:r>
          </w:p>
        </w:tc>
        <w:tc>
          <w:tcPr>
            <w:tcW w:w="2688" w:type="pct"/>
            <w:vAlign w:val="center"/>
          </w:tcPr>
          <w:p w14:paraId="19BD4B47">
            <w:pPr>
              <w:keepNext/>
              <w:widowControl w:val="0"/>
              <w:autoSpaceDE w:val="0"/>
              <w:autoSpaceDN w:val="0"/>
              <w:adjustRightInd w:val="0"/>
              <w:ind w:firstLine="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互联网+国际贸易综合技能与竞赛实训平台</w:t>
            </w:r>
          </w:p>
        </w:tc>
        <w:tc>
          <w:tcPr>
            <w:tcW w:w="777" w:type="pct"/>
            <w:vAlign w:val="center"/>
          </w:tcPr>
          <w:p w14:paraId="6F7753D3">
            <w:pPr>
              <w:keepNext/>
              <w:widowControl w:val="0"/>
              <w:autoSpaceDE w:val="0"/>
              <w:autoSpaceDN w:val="0"/>
              <w:adjustRightInd w:val="0"/>
              <w:ind w:firstLine="0"/>
              <w:jc w:val="center"/>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1套</w:t>
            </w:r>
          </w:p>
        </w:tc>
        <w:tc>
          <w:tcPr>
            <w:tcW w:w="1113" w:type="pct"/>
            <w:vAlign w:val="center"/>
          </w:tcPr>
          <w:p w14:paraId="097BF3BC">
            <w:pPr>
              <w:keepNext/>
              <w:widowControl w:val="0"/>
              <w:autoSpaceDE w:val="0"/>
              <w:autoSpaceDN w:val="0"/>
              <w:adjustRightInd w:val="0"/>
              <w:ind w:firstLine="0"/>
              <w:jc w:val="center"/>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160000.00</w:t>
            </w:r>
          </w:p>
        </w:tc>
      </w:tr>
      <w:tr w14:paraId="2C47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0" w:type="pct"/>
            <w:vAlign w:val="center"/>
          </w:tcPr>
          <w:p w14:paraId="4DCC1514">
            <w:pPr>
              <w:keepNext/>
              <w:widowControl w:val="0"/>
              <w:autoSpaceDE w:val="0"/>
              <w:autoSpaceDN w:val="0"/>
              <w:adjustRightInd w:val="0"/>
              <w:ind w:firstLine="0"/>
              <w:jc w:val="center"/>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4</w:t>
            </w:r>
          </w:p>
        </w:tc>
        <w:tc>
          <w:tcPr>
            <w:tcW w:w="2688" w:type="pct"/>
            <w:vAlign w:val="center"/>
          </w:tcPr>
          <w:p w14:paraId="7215EFFE">
            <w:pPr>
              <w:keepNext/>
              <w:widowControl w:val="0"/>
              <w:autoSpaceDE w:val="0"/>
              <w:autoSpaceDN w:val="0"/>
              <w:adjustRightInd w:val="0"/>
              <w:ind w:firstLine="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公共管理AI决策演练沙盘对抗比赛平台软件</w:t>
            </w:r>
          </w:p>
        </w:tc>
        <w:tc>
          <w:tcPr>
            <w:tcW w:w="777" w:type="pct"/>
            <w:vAlign w:val="center"/>
          </w:tcPr>
          <w:p w14:paraId="18ABCC68">
            <w:pPr>
              <w:keepNext/>
              <w:widowControl w:val="0"/>
              <w:autoSpaceDE w:val="0"/>
              <w:autoSpaceDN w:val="0"/>
              <w:adjustRightInd w:val="0"/>
              <w:ind w:firstLine="0"/>
              <w:jc w:val="center"/>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1套</w:t>
            </w:r>
          </w:p>
        </w:tc>
        <w:tc>
          <w:tcPr>
            <w:tcW w:w="1113" w:type="pct"/>
            <w:vAlign w:val="center"/>
          </w:tcPr>
          <w:p w14:paraId="78235D71">
            <w:pPr>
              <w:keepNext/>
              <w:widowControl w:val="0"/>
              <w:autoSpaceDE w:val="0"/>
              <w:autoSpaceDN w:val="0"/>
              <w:adjustRightInd w:val="0"/>
              <w:ind w:firstLine="0"/>
              <w:jc w:val="center"/>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200000.00</w:t>
            </w:r>
          </w:p>
        </w:tc>
      </w:tr>
    </w:tbl>
    <w:p w14:paraId="47A44E19">
      <w:pPr>
        <w:keepNext/>
        <w:widowControl w:val="0"/>
        <w:autoSpaceDE w:val="0"/>
        <w:autoSpaceDN w:val="0"/>
        <w:adjustRightInd w:val="0"/>
        <w:spacing w:line="360" w:lineRule="auto"/>
        <w:ind w:firstLine="420"/>
        <w:jc w:val="both"/>
        <w:outlineLvl w:val="1"/>
        <w:rPr>
          <w:rFonts w:ascii="宋体" w:hAnsi="Times New Roman" w:eastAsia="宋体" w:cs="Times New Roman"/>
          <w:b/>
          <w:bCs/>
          <w:color w:val="auto"/>
          <w:kern w:val="2"/>
          <w:sz w:val="24"/>
          <w:szCs w:val="24"/>
          <w:lang w:val="en-US" w:eastAsia="zh-CN" w:bidi="ar-SA"/>
        </w:rPr>
      </w:pPr>
      <w:bookmarkStart w:id="12" w:name="_Toc14787"/>
      <w:r>
        <w:rPr>
          <w:rFonts w:hint="eastAsia" w:ascii="宋体" w:hAnsi="Times New Roman" w:eastAsia="宋体" w:cs="Times New Roman"/>
          <w:b/>
          <w:bCs/>
          <w:color w:val="auto"/>
          <w:kern w:val="2"/>
          <w:sz w:val="24"/>
          <w:szCs w:val="24"/>
          <w:lang w:val="en-US" w:eastAsia="zh-CN" w:bidi="ar-SA"/>
        </w:rPr>
        <w:t>五、技术要求</w:t>
      </w:r>
      <w:bookmarkEnd w:id="12"/>
    </w:p>
    <w:p w14:paraId="5BEA36E8">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13" w:name="_Toc16927"/>
      <w:r>
        <w:rPr>
          <w:rFonts w:hint="eastAsia" w:ascii="宋体" w:hAnsi="Times New Roman" w:eastAsia="宋体" w:cs="Times New Roman"/>
          <w:b/>
          <w:bCs/>
          <w:color w:val="auto"/>
          <w:kern w:val="2"/>
          <w:sz w:val="24"/>
          <w:szCs w:val="24"/>
          <w:lang w:val="en-US" w:eastAsia="zh-CN" w:bidi="ar-SA"/>
        </w:rPr>
        <w:t>（一）采购标的需实现的功能</w:t>
      </w:r>
      <w:bookmarkEnd w:id="13"/>
    </w:p>
    <w:p w14:paraId="507F8B05">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b/>
          <w:bCs/>
          <w:color w:val="auto"/>
          <w:kern w:val="2"/>
          <w:sz w:val="24"/>
          <w:szCs w:val="24"/>
          <w:lang w:val="en-US" w:eastAsia="zh-CN" w:bidi="ar-SA"/>
        </w:rPr>
        <w:t>1.总体功能目标：</w:t>
      </w:r>
      <w:r>
        <w:rPr>
          <w:rFonts w:hint="eastAsia" w:ascii="宋体" w:hAnsi="Times New Roman" w:eastAsia="宋体" w:cs="Times New Roman"/>
          <w:color w:val="auto"/>
          <w:kern w:val="2"/>
          <w:sz w:val="24"/>
          <w:szCs w:val="24"/>
          <w:lang w:val="en-US" w:eastAsia="zh-CN" w:bidi="ar-SA"/>
        </w:rPr>
        <w:t>本次采购数智经管应用实训平台，涵盖AI数字化管理会计实战平台、AI数智财务实践平台、互联网+国际贸易综合技能与竞赛实训平台、公共管理AI决策演练沙盘对抗比赛平台软件四大核心模块，以及配套的AI实验教学专用计算机。平台应支持B/S架构，部署于学校本地服务器环境，支持PC端网页访问，无用户数量限制，满足管理与经济学院会计学、财务管理、贸易经济、公共事业管理等专业约800名学生/学年的实训教学需求。</w:t>
      </w:r>
    </w:p>
    <w:p w14:paraId="49F0BC39">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b/>
          <w:bCs/>
          <w:color w:val="auto"/>
          <w:kern w:val="2"/>
          <w:sz w:val="24"/>
          <w:szCs w:val="24"/>
          <w:lang w:val="en-US" w:eastAsia="zh-CN" w:bidi="ar-SA"/>
        </w:rPr>
        <w:t>2.教学实训功能：</w:t>
      </w:r>
      <w:r>
        <w:rPr>
          <w:rFonts w:hint="eastAsia" w:ascii="宋体" w:hAnsi="Times New Roman" w:eastAsia="宋体" w:cs="Times New Roman"/>
          <w:color w:val="auto"/>
          <w:kern w:val="2"/>
          <w:sz w:val="24"/>
          <w:szCs w:val="24"/>
          <w:lang w:val="en-US" w:eastAsia="zh-CN" w:bidi="ar-SA"/>
        </w:rPr>
        <w:t>平台须覆盖《管理会计》《财务管理》《成本会计》《国际贸易实务》《公共管理决策模拟》等核心课程的实训环节，实训课时不低于总课时的30%。通过多场景实战训练，帮助学生将专业理论转化为智能核算、大数据分析、跨境电商实操、公共管理决策等核心实操能力。</w:t>
      </w:r>
    </w:p>
    <w:p w14:paraId="02FA1671">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b/>
          <w:bCs/>
          <w:color w:val="auto"/>
          <w:kern w:val="2"/>
          <w:sz w:val="24"/>
          <w:szCs w:val="24"/>
          <w:lang w:val="en-US" w:eastAsia="zh-CN" w:bidi="ar-SA"/>
        </w:rPr>
        <w:t>3.AI智能辅助功能：</w:t>
      </w:r>
      <w:r>
        <w:rPr>
          <w:rFonts w:hint="eastAsia" w:ascii="宋体" w:hAnsi="Times New Roman" w:eastAsia="宋体" w:cs="Times New Roman"/>
          <w:color w:val="auto"/>
          <w:kern w:val="2"/>
          <w:sz w:val="24"/>
          <w:szCs w:val="24"/>
          <w:lang w:val="en-US" w:eastAsia="zh-CN" w:bidi="ar-SA"/>
        </w:rPr>
        <w:t>平台须融入AI智能核算机器人、智能建模机器人、大数据决策预测模型、AI智能助教、AI智能决策、AI智能报告等数智化新技术，实现业务与财务数据通过BI可视化展示形成数据中心，帮助学生进行预测、决策分析。</w:t>
      </w:r>
    </w:p>
    <w:p w14:paraId="1AAC9B86">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b/>
          <w:bCs/>
          <w:color w:val="auto"/>
          <w:kern w:val="2"/>
          <w:sz w:val="24"/>
          <w:szCs w:val="24"/>
          <w:lang w:val="en-US" w:eastAsia="zh-CN" w:bidi="ar-SA"/>
        </w:rPr>
        <w:t>4.竞赛与考核功能：</w:t>
      </w:r>
      <w:r>
        <w:rPr>
          <w:rFonts w:hint="eastAsia" w:ascii="宋体" w:hAnsi="Times New Roman" w:eastAsia="宋体" w:cs="Times New Roman"/>
          <w:color w:val="auto"/>
          <w:kern w:val="2"/>
          <w:sz w:val="24"/>
          <w:szCs w:val="24"/>
          <w:lang w:val="en-US" w:eastAsia="zh-CN" w:bidi="ar-SA"/>
        </w:rPr>
        <w:t>平台须支持组织校级数智经管实战竞赛，覆盖财务、外贸、公共管理等赛道，参与学生不少于200人/学年。系统应具备自动评分、学情数据分析、经营数据排名与商业分析报告生成等功能。</w:t>
      </w:r>
    </w:p>
    <w:p w14:paraId="44A19911">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b/>
          <w:bCs/>
          <w:color w:val="auto"/>
          <w:kern w:val="2"/>
          <w:sz w:val="24"/>
          <w:szCs w:val="24"/>
          <w:lang w:val="en-US" w:eastAsia="zh-CN" w:bidi="ar-SA"/>
        </w:rPr>
        <w:t>5.数据管理与导出功能：</w:t>
      </w:r>
      <w:r>
        <w:rPr>
          <w:rFonts w:hint="eastAsia" w:ascii="宋体" w:hAnsi="Times New Roman" w:eastAsia="宋体" w:cs="Times New Roman"/>
          <w:color w:val="auto"/>
          <w:kern w:val="2"/>
          <w:sz w:val="24"/>
          <w:szCs w:val="24"/>
          <w:lang w:val="en-US" w:eastAsia="zh-CN" w:bidi="ar-SA"/>
        </w:rPr>
        <w:t>平台须支持学生导出经营数据与学习报告，教师可查看分析学生学习进度、操作内容、财务指标对比等，支持多角度多层级学情数据展示。</w:t>
      </w:r>
    </w:p>
    <w:p w14:paraId="2E79B2A5">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14" w:name="_Toc12085"/>
      <w:r>
        <w:rPr>
          <w:rFonts w:hint="eastAsia" w:ascii="宋体" w:hAnsi="Times New Roman" w:eastAsia="宋体" w:cs="Times New Roman"/>
          <w:b/>
          <w:bCs/>
          <w:color w:val="auto"/>
          <w:kern w:val="2"/>
          <w:sz w:val="24"/>
          <w:szCs w:val="24"/>
          <w:lang w:val="en-US" w:eastAsia="zh-CN" w:bidi="ar-SA"/>
        </w:rPr>
        <w:t>（二）需执行的技术标准或规范</w:t>
      </w:r>
      <w:bookmarkEnd w:id="14"/>
    </w:p>
    <w:p w14:paraId="399E2D8D">
      <w:pPr>
        <w:keepNext/>
        <w:widowControl w:val="0"/>
        <w:wordWrap w:val="0"/>
        <w:autoSpaceDE/>
        <w:autoSpaceDN/>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1.平台开发与部署须符合国家信息安全等级保护相关要求，确保数据安全与用户隐私保护。</w:t>
      </w:r>
    </w:p>
    <w:p w14:paraId="6734FFAB">
      <w:pPr>
        <w:keepNext/>
        <w:widowControl w:val="0"/>
        <w:wordWrap w:val="0"/>
        <w:autoSpaceDE/>
        <w:autoSpaceDN/>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2.软件系统应符合《计算机信息系统安全保护等级划分准则》（GB 17859-1999）、《信息安全技术 网络安全等级保护基本要求》（GB/T 22239-2019）等国家信息安全标准。</w:t>
      </w:r>
    </w:p>
    <w:p w14:paraId="09DBDB84">
      <w:pPr>
        <w:keepNext/>
        <w:widowControl w:val="0"/>
        <w:wordWrap w:val="0"/>
        <w:autoSpaceDE/>
        <w:autoSpaceDN/>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3.平台技术架构须符合主流技术规范：应采用主流 Java 企业级开发技术栈（如 Spring 全家桶 / Jakarta EE 等），三层式架构；数据库采用主流成熟的关系型数据库（如 MySQL 8.0 LTS 及以上、PostgreSQL 13 及以上或同水平国产数据库），版本须在质保期内官方仍提供安全补丁支持，支持横向扩展；系统应采用合理的前后端分层架构，数据库交互通过成熟的 ORM 或数据访问框架实现，不限定具体技术框架版本。</w:t>
      </w:r>
    </w:p>
    <w:p w14:paraId="72D196F1">
      <w:pPr>
        <w:keepNext/>
        <w:widowControl w:val="0"/>
        <w:wordWrap w:val="0"/>
        <w:autoSpaceDE/>
        <w:autoSpaceDN/>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4.平台须符合教育信息化技术标准，支持《教育管理信息 教育管理基础代码》（JY/T 1001-2012）、《教育管理信息 高等学校管理信息》（JY/T 1006-2019）等教育行业数据标准。</w:t>
      </w:r>
    </w:p>
    <w:p w14:paraId="72C761F1">
      <w:pPr>
        <w:keepNext/>
        <w:widowControl w:val="0"/>
        <w:wordWrap w:val="0"/>
        <w:autoSpaceDE/>
        <w:autoSpaceDN/>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5.平台界面设计应符合《软件工程 软件产品质量要求与评价》（GB/T 25000.51-2016）的可用性要求，操作界面友好、交互逻辑清晰、响应速度及时。</w:t>
      </w:r>
    </w:p>
    <w:p w14:paraId="3FAF7567">
      <w:pPr>
        <w:keepNext/>
        <w:widowControl w:val="0"/>
        <w:wordWrap w:val="0"/>
        <w:autoSpaceDE/>
        <w:autoSpaceDN/>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6.平台提供的电子发票、税务申报等功能模块须符合现行金税四期相关规范和电子发票国家标准。</w:t>
      </w:r>
    </w:p>
    <w:p w14:paraId="40234CAA">
      <w:pPr>
        <w:keepNext/>
        <w:widowControl w:val="0"/>
        <w:autoSpaceDE w:val="0"/>
        <w:autoSpaceDN w:val="0"/>
        <w:adjustRightInd w:val="0"/>
        <w:spacing w:line="360" w:lineRule="auto"/>
        <w:ind w:firstLine="420"/>
        <w:jc w:val="left"/>
        <w:outlineLvl w:val="2"/>
        <w:rPr>
          <w:rFonts w:ascii="宋体" w:hAnsi="Times New Roman" w:eastAsia="宋体" w:cs="Times New Roman"/>
          <w:b/>
          <w:bCs/>
          <w:color w:val="auto"/>
          <w:kern w:val="2"/>
          <w:sz w:val="24"/>
          <w:szCs w:val="24"/>
          <w:lang w:val="en-US" w:eastAsia="zh-CN" w:bidi="ar-SA"/>
        </w:rPr>
      </w:pPr>
      <w:bookmarkStart w:id="15" w:name="_Toc11423"/>
      <w:r>
        <w:rPr>
          <w:rFonts w:hint="eastAsia" w:ascii="宋体" w:hAnsi="Times New Roman" w:eastAsia="宋体" w:cs="Times New Roman"/>
          <w:b/>
          <w:bCs/>
          <w:color w:val="auto"/>
          <w:kern w:val="2"/>
          <w:sz w:val="24"/>
          <w:szCs w:val="24"/>
          <w:lang w:val="en-US" w:eastAsia="zh-CN" w:bidi="ar-SA"/>
        </w:rPr>
        <w:t>（三）主要技术参数要求</w:t>
      </w:r>
      <w:bookmarkEnd w:id="15"/>
    </w:p>
    <w:tbl>
      <w:tblPr>
        <w:tblStyle w:val="12"/>
        <w:tblW w:w="5014" w:type="pct"/>
        <w:tblInd w:w="0" w:type="dxa"/>
        <w:tblLayout w:type="fixed"/>
        <w:tblCellMar>
          <w:top w:w="0" w:type="dxa"/>
          <w:left w:w="108" w:type="dxa"/>
          <w:bottom w:w="0" w:type="dxa"/>
          <w:right w:w="108" w:type="dxa"/>
        </w:tblCellMar>
      </w:tblPr>
      <w:tblGrid>
        <w:gridCol w:w="749"/>
        <w:gridCol w:w="1623"/>
        <w:gridCol w:w="6827"/>
      </w:tblGrid>
      <w:tr w14:paraId="5DDCC0D6">
        <w:tblPrEx>
          <w:tblCellMar>
            <w:top w:w="0" w:type="dxa"/>
            <w:left w:w="108" w:type="dxa"/>
            <w:bottom w:w="0" w:type="dxa"/>
            <w:right w:w="108" w:type="dxa"/>
          </w:tblCellMar>
        </w:tblPrEx>
        <w:trPr>
          <w:trHeight w:val="515"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D13C5">
            <w:pPr>
              <w:keepNext/>
              <w:widowControl/>
              <w:spacing w:line="320" w:lineRule="exact"/>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lang w:val="en-US" w:eastAsia="zh-CN" w:bidi="ar"/>
              </w:rPr>
              <w:t>包</w:t>
            </w:r>
            <w:r>
              <w:rPr>
                <w:rFonts w:hint="eastAsia" w:ascii="宋体" w:hAnsi="宋体" w:eastAsia="宋体" w:cs="宋体"/>
                <w:b/>
                <w:bCs/>
                <w:color w:val="auto"/>
                <w:kern w:val="0"/>
                <w:sz w:val="22"/>
                <w:szCs w:val="22"/>
                <w:lang w:bidi="ar"/>
              </w:rPr>
              <w:t>号</w:t>
            </w:r>
          </w:p>
        </w:tc>
        <w:tc>
          <w:tcPr>
            <w:tcW w:w="8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9C2F9">
            <w:pPr>
              <w:keepNext/>
              <w:widowControl/>
              <w:spacing w:line="320" w:lineRule="exact"/>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lang w:bidi="ar"/>
              </w:rPr>
              <w:t>货物名称</w:t>
            </w:r>
          </w:p>
        </w:tc>
        <w:tc>
          <w:tcPr>
            <w:tcW w:w="3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447839">
            <w:pPr>
              <w:keepNext/>
              <w:widowControl/>
              <w:spacing w:line="320" w:lineRule="exact"/>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kern w:val="0"/>
                <w:sz w:val="22"/>
                <w:szCs w:val="22"/>
                <w:lang w:bidi="ar"/>
              </w:rPr>
              <w:t>详细参数</w:t>
            </w:r>
          </w:p>
        </w:tc>
      </w:tr>
      <w:tr w14:paraId="18594BA1">
        <w:tblPrEx>
          <w:tblCellMar>
            <w:top w:w="0" w:type="dxa"/>
            <w:left w:w="108" w:type="dxa"/>
            <w:bottom w:w="0" w:type="dxa"/>
            <w:right w:w="108" w:type="dxa"/>
          </w:tblCellMar>
        </w:tblPrEx>
        <w:trPr>
          <w:trHeight w:val="1645" w:hRule="atLeast"/>
        </w:trPr>
        <w:tc>
          <w:tcPr>
            <w:tcW w:w="407" w:type="pct"/>
            <w:tcBorders>
              <w:top w:val="single" w:color="000000" w:sz="4" w:space="0"/>
              <w:left w:val="single" w:color="000000" w:sz="4" w:space="0"/>
              <w:bottom w:val="single" w:color="auto" w:sz="4" w:space="0"/>
              <w:right w:val="single" w:color="auto" w:sz="4" w:space="0"/>
            </w:tcBorders>
            <w:shd w:val="clear" w:color="auto" w:fill="auto"/>
            <w:noWrap/>
            <w:vAlign w:val="center"/>
          </w:tcPr>
          <w:p w14:paraId="47090032">
            <w:pPr>
              <w:keepNext/>
              <w:widowControl/>
              <w:spacing w:line="320" w:lineRule="exact"/>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1</w:t>
            </w:r>
          </w:p>
        </w:tc>
        <w:tc>
          <w:tcPr>
            <w:tcW w:w="882" w:type="pct"/>
            <w:tcBorders>
              <w:top w:val="single" w:color="000000" w:sz="4" w:space="0"/>
              <w:left w:val="single" w:color="auto" w:sz="4" w:space="0"/>
              <w:bottom w:val="single" w:color="auto" w:sz="4" w:space="0"/>
              <w:right w:val="single" w:color="000000" w:sz="4" w:space="0"/>
            </w:tcBorders>
            <w:shd w:val="clear" w:color="auto" w:fill="auto"/>
            <w:noWrap/>
            <w:vAlign w:val="center"/>
          </w:tcPr>
          <w:p w14:paraId="1132E90B">
            <w:pPr>
              <w:keepNext/>
              <w:widowControl/>
              <w:spacing w:line="320" w:lineRule="exact"/>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AI数字化管理会计实战平台</w:t>
            </w:r>
          </w:p>
        </w:tc>
        <w:tc>
          <w:tcPr>
            <w:tcW w:w="3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CABAA">
            <w:pPr>
              <w:keepNext/>
              <w:widowControl/>
              <w:spacing w:line="320" w:lineRule="exact"/>
              <w:jc w:val="left"/>
              <w:textAlignment w:val="center"/>
              <w:rPr>
                <w:rFonts w:hint="eastAsia" w:ascii="宋体" w:hAnsi="宋体" w:eastAsia="宋体" w:cs="宋体"/>
                <w:color w:val="auto"/>
                <w:kern w:val="0"/>
                <w:sz w:val="22"/>
                <w:szCs w:val="22"/>
                <w:lang w:bidi="ar"/>
              </w:rPr>
            </w:pPr>
            <w:r>
              <w:rPr>
                <w:rFonts w:hint="eastAsia" w:ascii="宋体" w:hAnsi="宋体" w:eastAsia="宋体" w:cs="宋体"/>
                <w:b/>
                <w:bCs/>
                <w:color w:val="auto"/>
                <w:kern w:val="0"/>
                <w:sz w:val="22"/>
                <w:szCs w:val="22"/>
                <w:lang w:bidi="ar"/>
              </w:rPr>
              <w:t>一、总体技术指标</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1.平台为B/S网络版，部署于机房服务器，学生电脑直接通过网页访问使用，无用户数量限制，一个账号只能在一个地方登录，方便所有相关专业学生使用。</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2.平台采用主流成熟的关系型数据库（如 MySQL 8.0 LTS 及以上、PostgreSQL 13 及以上或同水平国产数据库），版本须在质保期内官方仍提供安全补丁支持；支持业务横向扩展，具备分库、分表、读写分离等扩容优化能力，适配教学业务增量需求。</w:t>
            </w:r>
          </w:p>
          <w:p w14:paraId="03879134">
            <w:pPr>
              <w:keepNext/>
              <w:widowControl/>
              <w:spacing w:line="320" w:lineRule="exact"/>
              <w:jc w:val="left"/>
              <w:textAlignment w:val="center"/>
              <w:rPr>
                <w:rFonts w:hint="eastAsia" w:ascii="宋体" w:hAnsi="宋体" w:eastAsia="宋体" w:cs="宋体"/>
                <w:b/>
                <w:bCs/>
                <w:color w:val="auto"/>
                <w:kern w:val="0"/>
                <w:sz w:val="22"/>
                <w:szCs w:val="22"/>
                <w:lang w:bidi="ar"/>
              </w:rPr>
            </w:pPr>
            <w:r>
              <w:rPr>
                <w:rFonts w:hint="eastAsia" w:ascii="宋体" w:hAnsi="宋体" w:eastAsia="宋体" w:cs="宋体"/>
                <w:color w:val="auto"/>
                <w:kern w:val="0"/>
                <w:sz w:val="22"/>
                <w:szCs w:val="22"/>
                <w:lang w:bidi="ar"/>
              </w:rPr>
              <w:t>3.软件采用主流 Java 企业级开发技术栈（如 Spring 全家桶 / Jakarta EE 等），合理的分层架构，实现高可用性、安全性、可扩展性和可靠性；既可运行在 Windows 操作系统，也可运行在 Unix、Linux 等操作系统上。</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4.系统采用标准MVC分层架构，展现层、控制层、模型层分层清晰，通过标准数据库接口实现数据交互，架构规范、耦合度低。</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5.系统中使用Websocket推送消息，可以在小组内即时推送业务完成情况。</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6.系统所有操作通过</w:t>
            </w:r>
            <w:r>
              <w:rPr>
                <w:rFonts w:hint="eastAsia" w:ascii="宋体" w:hAnsi="宋体" w:cs="宋体"/>
                <w:color w:val="auto"/>
                <w:kern w:val="0"/>
                <w:sz w:val="22"/>
                <w:szCs w:val="22"/>
                <w:lang w:eastAsia="zh-CN" w:bidi="ar"/>
              </w:rPr>
              <w:t>Logback</w:t>
            </w:r>
            <w:r>
              <w:rPr>
                <w:rFonts w:hint="eastAsia" w:ascii="宋体" w:hAnsi="宋体" w:eastAsia="宋体" w:cs="宋体"/>
                <w:color w:val="auto"/>
                <w:kern w:val="0"/>
                <w:sz w:val="22"/>
                <w:szCs w:val="22"/>
                <w:lang w:bidi="ar"/>
              </w:rPr>
              <w:t>记录操作日志；层与层之间关联采用松耦合框架技术实现业务。以业务模型为中心，实现数据、业务逻辑和展现分离；通过对业务的统筹分组达到系统的模块化和可配置化；通过对系统不同层次的管理增强了系统的稳定性、兼容性。</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二、▲</w:t>
            </w:r>
            <w:r>
              <w:rPr>
                <w:rFonts w:hint="eastAsia" w:ascii="宋体" w:hAnsi="宋体" w:eastAsia="宋体" w:cs="宋体"/>
                <w:b/>
                <w:bCs/>
                <w:color w:val="auto"/>
                <w:kern w:val="0"/>
                <w:sz w:val="22"/>
                <w:szCs w:val="22"/>
                <w:lang w:bidi="ar"/>
              </w:rPr>
              <w:t>教师管理系统功能（供应商需提供现场演示予以佐证，演示需能对应显示本条参数内容）</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1.教师信息管理：支持创建教师名单，并进行基本信息维护。</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 xml:space="preserve">2.班级管理：支持教师直接根据行政班对班级进行创建、编辑、删除的操作；支持教师将学生添加至行政班、批量生成学生账号、导入批量学生信息、重置学生密码。 </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3.批次管理：支持批次内组队管理 、批次内初始化管理、批次内开始及结束管理，根据学生名单创建学生信息形成批次组和批次学生信息。</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4.结算管理：支持自动、手动两种结算时间设置模式；自动设置学生实训或者考试时间，系统自动结算学生报表、成绩等设置。</w:t>
            </w:r>
          </w:p>
          <w:p w14:paraId="0CBE0A2A">
            <w:pPr>
              <w:keepNext/>
              <w:widowControl/>
              <w:spacing w:line="320" w:lineRule="exact"/>
              <w:jc w:val="left"/>
              <w:textAlignment w:val="center"/>
              <w:rPr>
                <w:rFonts w:hint="eastAsia" w:ascii="宋体" w:hAnsi="宋体" w:eastAsia="宋体" w:cs="宋体"/>
                <w:b/>
                <w:bCs/>
                <w:color w:val="auto"/>
                <w:kern w:val="0"/>
                <w:sz w:val="22"/>
                <w:szCs w:val="22"/>
                <w:lang w:bidi="ar"/>
              </w:rPr>
            </w:pPr>
            <w:r>
              <w:rPr>
                <w:rFonts w:hint="eastAsia" w:ascii="宋体" w:hAnsi="宋体" w:eastAsia="宋体" w:cs="宋体"/>
                <w:color w:val="auto"/>
                <w:kern w:val="0"/>
                <w:sz w:val="22"/>
                <w:szCs w:val="22"/>
                <w:lang w:bidi="ar"/>
              </w:rPr>
              <w:t>5.考核方案管理：支持考核成绩排名，按组、按团队进行排名，支持平时测评和期末测评相结合的考核方案。</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6.学情数据看板功能：平台满足教师在独立界面查看分析学生企业进度、每个模块的具体进度、操作内容等；平台通过业务执行、资金分析、生产分析、营销分析、指标分析、成绩分析等多角度多层级，展示学生学习进度、学习难度和学习数据，帮助教师分析学生的学习轨迹，调整战略规划。支持教师在独立界面查看学生企业财务指标的对比，利用大数据分析学生企业经营结果，对每组学生企业进行点评。</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7.数据重置功能：平台满足教师在学生企业破产或经营不善的情况下进行重置的功能，帮助学生加强学习力度。</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8.平台满足教师根据不同批次、班级的进度不同设置提交时间，提交时间可自动设置也可手动设置，方便教学和课程管理。</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三、▲学生实训系统功能</w:t>
            </w:r>
            <w:r>
              <w:rPr>
                <w:rFonts w:hint="eastAsia" w:ascii="宋体" w:hAnsi="宋体" w:eastAsia="宋体" w:cs="宋体"/>
                <w:b/>
                <w:bCs/>
                <w:color w:val="auto"/>
                <w:kern w:val="0"/>
                <w:sz w:val="22"/>
                <w:szCs w:val="22"/>
                <w:lang w:bidi="ar"/>
              </w:rPr>
              <w:t>（供应商需提供现场演示予以佐证，演示需能对应显示本条参数内容）</w:t>
            </w:r>
            <w:r>
              <w:rPr>
                <w:rFonts w:hint="eastAsia" w:ascii="宋体" w:hAnsi="宋体" w:eastAsia="宋体" w:cs="宋体"/>
                <w:color w:val="auto"/>
                <w:kern w:val="0"/>
                <w:sz w:val="22"/>
                <w:szCs w:val="22"/>
                <w:lang w:bidi="ar"/>
              </w:rPr>
              <w:br w:type="textWrapping"/>
            </w:r>
            <w:r>
              <w:rPr>
                <w:rFonts w:hint="eastAsia" w:ascii="宋体" w:hAnsi="宋体" w:eastAsia="宋体" w:cs="宋体"/>
                <w:b/>
                <w:bCs/>
                <w:color w:val="auto"/>
                <w:kern w:val="0"/>
                <w:sz w:val="22"/>
                <w:szCs w:val="22"/>
                <w:lang w:bidi="ar"/>
              </w:rPr>
              <w:t>（一）战略分析模块</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1.平台要求学生进入平台前先进行企业创立的战略制定，召开企业战略研讨会，共同协商企业名称、企业愿景、企业使命、进行资本注册、角色选择等操作。</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2.根据平台给的行业资讯和动态资讯结合公司战略目标制定企业近期经营计划。并进行现金预算。</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3.平台设置了可行性分析模块，根据宏观经济形势分析、市场分析、项目投资估算、资金筹集、经济和社会效益分析等七个方面分析，让学生从投产建厂的初始阶段来考察其可行性。其文本可作为学习资料导出保存。通过可行性分析对企业进行长期战略规划。</w:t>
            </w:r>
            <w:r>
              <w:rPr>
                <w:rFonts w:hint="eastAsia" w:ascii="宋体" w:hAnsi="宋体" w:eastAsia="宋体" w:cs="宋体"/>
                <w:b/>
                <w:bCs/>
                <w:color w:val="auto"/>
                <w:kern w:val="0"/>
                <w:sz w:val="22"/>
                <w:szCs w:val="22"/>
                <w:lang w:bidi="ar"/>
              </w:rPr>
              <w:br w:type="textWrapping"/>
            </w:r>
            <w:r>
              <w:rPr>
                <w:rFonts w:hint="eastAsia" w:ascii="宋体" w:hAnsi="宋体" w:eastAsia="宋体" w:cs="宋体"/>
                <w:b/>
                <w:bCs/>
                <w:color w:val="auto"/>
                <w:kern w:val="0"/>
                <w:sz w:val="22"/>
                <w:szCs w:val="22"/>
                <w:lang w:bidi="ar"/>
              </w:rPr>
              <w:t>（二）外部宏观背景分析及行业分析模块</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1.平台满足学生对宏观经济的观察、了解、体验宏观经济变化对实体企业的影响，同时学习宏观指标的概念含义。平台设置了GDP、CPI、M2、PMI、银行存款准备金、基准利率等多个宏观经济参数指标；并通过这些参数指标的变化直接影响资本市场、资源市场、金融市场、消费市场；平台共分6期，每期根据宏观经济走势设置具体参数指标，从而形成企业外部环境的影响因素 。</w:t>
            </w:r>
            <w:r>
              <w:rPr>
                <w:rFonts w:hint="eastAsia" w:ascii="宋体" w:hAnsi="宋体" w:eastAsia="宋体" w:cs="宋体"/>
                <w:b/>
                <w:bCs/>
                <w:color w:val="auto"/>
                <w:kern w:val="0"/>
                <w:sz w:val="22"/>
                <w:szCs w:val="22"/>
                <w:lang w:bidi="ar"/>
              </w:rPr>
              <w:br w:type="textWrapping"/>
            </w:r>
            <w:r>
              <w:rPr>
                <w:rFonts w:hint="eastAsia" w:ascii="宋体" w:hAnsi="宋体" w:eastAsia="宋体" w:cs="宋体"/>
                <w:color w:val="auto"/>
                <w:kern w:val="0"/>
                <w:sz w:val="22"/>
                <w:szCs w:val="22"/>
                <w:lang w:bidi="ar"/>
              </w:rPr>
              <w:t>2.平台根据批次内学生组数数量自动形成行业体系，该行业受宏观经济影响，其行业周期有起有伏。营造出真实的行业环境。每期结束后均出具该行业的商业分析数据和行业平均财务指标，并进行行业内部排名。让学生通过标杆企业和行业平均指标，找出本企业的经营差异，随时改变经营策略进行决策分析。</w:t>
            </w:r>
            <w:r>
              <w:rPr>
                <w:rFonts w:hint="eastAsia" w:ascii="宋体" w:hAnsi="宋体" w:eastAsia="宋体" w:cs="宋体"/>
                <w:b/>
                <w:bCs/>
                <w:color w:val="auto"/>
                <w:kern w:val="0"/>
                <w:sz w:val="22"/>
                <w:szCs w:val="22"/>
                <w:lang w:bidi="ar"/>
              </w:rPr>
              <w:br w:type="textWrapping"/>
            </w:r>
            <w:r>
              <w:rPr>
                <w:rFonts w:hint="eastAsia" w:ascii="宋体" w:hAnsi="宋体" w:eastAsia="宋体" w:cs="宋体"/>
                <w:color w:val="auto"/>
                <w:kern w:val="0"/>
                <w:sz w:val="22"/>
                <w:szCs w:val="22"/>
                <w:lang w:bidi="ar"/>
              </w:rPr>
              <w:t>3.平台每期根据宏观经济变化及行业变化发布动态资讯，包括材料市场、不动产市场 、动产市场、人力资源市场等不同市场的价格及趋势信息，帮助企业进行市场分析和行业分析。</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4.平台可查看竞争对手的相关信息，帮助企业分析竞争对手。</w:t>
            </w:r>
            <w:r>
              <w:rPr>
                <w:rFonts w:hint="eastAsia" w:ascii="宋体" w:hAnsi="宋体" w:eastAsia="宋体" w:cs="宋体"/>
                <w:color w:val="auto"/>
                <w:kern w:val="0"/>
                <w:sz w:val="22"/>
                <w:szCs w:val="22"/>
                <w:lang w:bidi="ar"/>
              </w:rPr>
              <w:br w:type="textWrapping"/>
            </w:r>
            <w:r>
              <w:rPr>
                <w:rFonts w:hint="eastAsia" w:ascii="宋体" w:hAnsi="宋体" w:eastAsia="宋体" w:cs="宋体"/>
                <w:b/>
                <w:bCs/>
                <w:color w:val="auto"/>
                <w:kern w:val="0"/>
                <w:sz w:val="22"/>
                <w:szCs w:val="22"/>
                <w:lang w:bidi="ar"/>
              </w:rPr>
              <w:t>（三）商战模块</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1.平台为人人对抗的游戏式财经类商业实战。满足学生单人操作经营，同时满足学生团队配合经营。</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2.平台设置不同地区、不同渠道消费者的消费习惯（对价格的敏感度、服务质量及品牌宣传的偏好程度）。并用图表展示。平台中不同地区的不动产、动产以及人力资源市场各不相同，且随宏观经济变化而变化，满足学生自主选择公司设厂的区域，自主决定经营战略。</w:t>
            </w:r>
          </w:p>
          <w:p w14:paraId="6F4349F5">
            <w:pPr>
              <w:keepNext/>
              <w:widowControl/>
              <w:spacing w:line="320" w:lineRule="exact"/>
              <w:jc w:val="left"/>
              <w:textAlignment w:val="center"/>
              <w:rPr>
                <w:rFonts w:hint="eastAsia" w:ascii="宋体" w:hAnsi="宋体" w:eastAsia="宋体" w:cs="宋体"/>
                <w:b/>
                <w:bCs/>
                <w:color w:val="auto"/>
                <w:kern w:val="0"/>
                <w:sz w:val="22"/>
                <w:szCs w:val="22"/>
                <w:lang w:bidi="ar"/>
              </w:rPr>
            </w:pPr>
            <w:r>
              <w:rPr>
                <w:rFonts w:hint="eastAsia" w:ascii="宋体" w:hAnsi="宋体" w:eastAsia="宋体" w:cs="宋体"/>
                <w:color w:val="auto"/>
                <w:kern w:val="0"/>
                <w:sz w:val="22"/>
                <w:szCs w:val="22"/>
                <w:lang w:bidi="ar"/>
              </w:rPr>
              <w:t>3.平台营销模式及商业模式多元化，既有传统渠道又有线上渠道，既可自己生产经营也可进行来料加工经营，在危机到来的时候还能进行清仓大甩卖，避免学生因现金流不足破产。</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4.平台的营销手段多样化，支持各种营销策略和品牌宣传。</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5.平台竞争激烈，每期都为人人对抗的实战演练，如广告宣传、产品质量、渠道铺设、产品定价等比不过竞争对手，则时刻面临破产危机。</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6.为了防止企业破产，平台设置了闪电贷，如企业因为市场原因销售不出去产品，导致企业破产，系统自动配置闪电贷。</w:t>
            </w:r>
          </w:p>
          <w:p w14:paraId="502F0481">
            <w:pPr>
              <w:keepNext/>
              <w:widowControl/>
              <w:spacing w:line="320" w:lineRule="exact"/>
              <w:jc w:val="left"/>
              <w:textAlignment w:val="center"/>
              <w:rPr>
                <w:rFonts w:hint="eastAsia" w:ascii="宋体" w:hAnsi="宋体" w:eastAsia="宋体" w:cs="宋体"/>
                <w:color w:val="auto"/>
                <w:kern w:val="0"/>
                <w:sz w:val="22"/>
                <w:szCs w:val="22"/>
                <w:lang w:bidi="ar"/>
              </w:rPr>
            </w:pPr>
            <w:r>
              <w:rPr>
                <w:rFonts w:hint="eastAsia" w:ascii="宋体" w:hAnsi="宋体" w:eastAsia="宋体" w:cs="宋体"/>
                <w:color w:val="auto"/>
                <w:kern w:val="0"/>
                <w:sz w:val="22"/>
                <w:szCs w:val="22"/>
                <w:lang w:bidi="ar"/>
              </w:rPr>
              <w:t>7.平台实时进行现金预警，提醒学生企业现金余额，让学生关注现金的及时信息。体现现金为王的理念。</w:t>
            </w:r>
            <w:r>
              <w:rPr>
                <w:rFonts w:hint="eastAsia" w:ascii="宋体" w:hAnsi="宋体" w:eastAsia="宋体" w:cs="宋体"/>
                <w:color w:val="auto"/>
                <w:kern w:val="0"/>
                <w:sz w:val="22"/>
                <w:szCs w:val="22"/>
                <w:lang w:bidi="ar"/>
              </w:rPr>
              <w:br w:type="textWrapping"/>
            </w:r>
            <w:r>
              <w:rPr>
                <w:rFonts w:hint="eastAsia" w:ascii="宋体" w:hAnsi="宋体" w:eastAsia="宋体" w:cs="宋体"/>
                <w:b/>
                <w:bCs/>
                <w:color w:val="auto"/>
                <w:kern w:val="0"/>
                <w:sz w:val="22"/>
                <w:szCs w:val="22"/>
                <w:lang w:bidi="ar"/>
              </w:rPr>
              <w:t>（四）平台企业经营决策模块</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1.学生以四人为一组，组成企业经营团队，可以根据自身的特点、特长，分别选择CEO、CFO、COO、CMO四个岗位，之后登录系统进行操作。</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2.小组成员各司其职，自主运营企业和决策，利用已经学到的管理会计、财务管理知识，进行材料的采购、人员的招聘及薪酬设计、产品生产、产品研发等业务，充分体验企业之间残酷的市场竞争，学习利用宏观经济指标、行业环境指标、企业内部经营指标等数据，分析和筹划企业的战略，分析企业经营的情况，培养商业头脑。</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3.在日常经营决策中平台设置了多种测试分析工具和教学知识点视频，帮助学生自主学习。测试分析工具包括固定资产投资测试分析工具、薪酬测试分析工具、生产、投产测试分析工具。</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4.平台满足学生团队之间的交易互动，设置了固定资产拍卖等功能，学生公司之间可以进行固定资产拍卖活动，增强了商业的灵活性，经营的互动性、游戏性。</w:t>
            </w:r>
          </w:p>
          <w:p w14:paraId="2A73758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5.平台设有多种形式的融资方式，如短、长期贷款、小贷公司、闪电贷、抵押贷款等。平台设置虚拟的社会征信体系，金融系统征信体系，信用等级越高，可获得的贷款也就越高。信用征信体系指标可以在后台进行参数设置，进行更换修订。</w:t>
            </w:r>
            <w:r>
              <w:rPr>
                <w:rFonts w:hint="eastAsia" w:ascii="宋体" w:hAnsi="宋体" w:eastAsia="宋体" w:cs="宋体"/>
                <w:b/>
                <w:bCs/>
                <w:color w:val="auto"/>
                <w:kern w:val="0"/>
                <w:sz w:val="22"/>
                <w:szCs w:val="22"/>
                <w:lang w:bidi="ar"/>
              </w:rPr>
              <w:br w:type="textWrapping"/>
            </w:r>
            <w:r>
              <w:rPr>
                <w:rFonts w:hint="eastAsia" w:ascii="宋体" w:hAnsi="宋体" w:eastAsia="宋体" w:cs="宋体"/>
                <w:color w:val="auto"/>
                <w:kern w:val="0"/>
                <w:sz w:val="22"/>
                <w:szCs w:val="22"/>
                <w:lang w:bidi="ar"/>
              </w:rPr>
              <w:t>6.学生可以利用所学的项目投资理论知识，用于投资决策，并在运营中，检验投资项目的成果，随时调整投资策略。在经营过程中，学会项目管理、项目成本控制和项目评价等知识。</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7.学生可以在企业有未分配利润的情况下，进行股利分配。优先股享有优先分配权，它的分配将由系统自动计算分配金额，普通股则由学生选择是否分配。分配金额将影响学生的最终成绩。</w:t>
            </w:r>
            <w:r>
              <w:rPr>
                <w:rFonts w:hint="eastAsia" w:ascii="宋体" w:hAnsi="宋体" w:eastAsia="宋体" w:cs="宋体"/>
                <w:color w:val="auto"/>
                <w:kern w:val="0"/>
                <w:sz w:val="22"/>
                <w:szCs w:val="22"/>
                <w:lang w:bidi="ar"/>
              </w:rPr>
              <w:br w:type="textWrapping"/>
            </w:r>
            <w:r>
              <w:rPr>
                <w:rFonts w:hint="eastAsia" w:ascii="宋体" w:hAnsi="宋体" w:eastAsia="宋体" w:cs="宋体"/>
                <w:b/>
                <w:bCs/>
                <w:color w:val="auto"/>
                <w:kern w:val="0"/>
                <w:sz w:val="22"/>
                <w:szCs w:val="22"/>
                <w:lang w:bidi="ar"/>
              </w:rPr>
              <w:t>（五）平台分析预测模块</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包括预算分析、成本性态分析、财报分析、商业分析等；</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1.平台第四期开始，学生可以使用系统自带的全面预算功能，只需填写预算基础数据，逻辑关系由系统自动生成。</w:t>
            </w:r>
            <w:r>
              <w:rPr>
                <w:rFonts w:hint="eastAsia" w:ascii="宋体" w:hAnsi="宋体" w:eastAsia="宋体" w:cs="宋体"/>
                <w:b/>
                <w:bCs/>
                <w:color w:val="auto"/>
                <w:kern w:val="0"/>
                <w:sz w:val="22"/>
                <w:szCs w:val="22"/>
                <w:lang w:bidi="ar"/>
              </w:rPr>
              <w:br w:type="textWrapping"/>
            </w:r>
            <w:r>
              <w:rPr>
                <w:rFonts w:hint="eastAsia" w:ascii="宋体" w:hAnsi="宋体" w:eastAsia="宋体" w:cs="宋体"/>
                <w:color w:val="auto"/>
                <w:kern w:val="0"/>
                <w:sz w:val="22"/>
                <w:szCs w:val="22"/>
                <w:lang w:bidi="ar"/>
              </w:rPr>
              <w:t>2.系统还设置了成本性态分析、本量利计算分析，通过系统案例，帮助学生理解和掌握成本性态，计算单一品种、多品种的保本量，边际贡献等知识。</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3.针对成本和报表进行预算分析，通过分析表格，帮助学生进行预算与实际经营的分析比较，从而进行战略的调整、决策。</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4.平台设置了财务指标和杜邦分析等分析图表，并可和同行业的企业进行指标对比，进行财报分析。</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5.平台设置了商业大数据分析，每期都可以查看商业大数据的分析结果，经营结束后的最后一期，大数据可以导出，供学生作为学习报告进行档案保存。</w:t>
            </w:r>
            <w:r>
              <w:rPr>
                <w:rFonts w:hint="eastAsia" w:ascii="宋体" w:hAnsi="宋体" w:eastAsia="宋体" w:cs="宋体"/>
                <w:b/>
                <w:bCs/>
                <w:color w:val="auto"/>
                <w:kern w:val="0"/>
                <w:sz w:val="22"/>
                <w:szCs w:val="22"/>
                <w:lang w:bidi="ar"/>
              </w:rPr>
              <w:br w:type="textWrapping"/>
            </w:r>
            <w:r>
              <w:rPr>
                <w:rFonts w:hint="eastAsia" w:ascii="宋体" w:hAnsi="宋体" w:eastAsia="宋体" w:cs="宋体"/>
                <w:b/>
                <w:bCs/>
                <w:color w:val="auto"/>
                <w:kern w:val="0"/>
                <w:sz w:val="22"/>
                <w:szCs w:val="22"/>
                <w:lang w:bidi="ar"/>
              </w:rPr>
              <w:t>（六）平台评分系统</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1.系统在企业每期经营结束后，会自动生成本期成绩。并进行行业排名。学生可查看自己的成绩及行业内其他对手成绩。</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2.成绩由每期的财务指标和企业经营指标构成，财务指标至少包含成本控制、发展能力、盈利能力、营运能力、风险管理能力、现金管理能力等。企业经营指标至少包含股利分配、市场份额、研发能力、履约能力等。</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3.学生的成绩，每期将汇集为成绩排行榜，促进学生自查企业经营情况，指导学生进行下期经营决策和商业分析。</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4.教师可根据系统成绩对学生进行期末考评，不仅解放教师期末考评的负担，还可分析学生的学习难点和弱点，有利于调整教学计划和教学方案。</w:t>
            </w:r>
            <w:r>
              <w:rPr>
                <w:rFonts w:hint="eastAsia" w:ascii="宋体" w:hAnsi="宋体" w:eastAsia="宋体" w:cs="宋体"/>
                <w:color w:val="auto"/>
                <w:kern w:val="0"/>
                <w:sz w:val="22"/>
                <w:szCs w:val="22"/>
                <w:lang w:bidi="ar"/>
              </w:rPr>
              <w:br w:type="textWrapping"/>
            </w:r>
            <w:r>
              <w:rPr>
                <w:rFonts w:hint="eastAsia" w:ascii="宋体" w:hAnsi="宋体" w:eastAsia="宋体" w:cs="宋体"/>
                <w:b/>
                <w:bCs/>
                <w:color w:val="auto"/>
                <w:kern w:val="0"/>
                <w:sz w:val="22"/>
                <w:szCs w:val="22"/>
                <w:lang w:bidi="ar"/>
              </w:rPr>
              <w:t>四、平台教学资源</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1.平台提供教材、教学大纲、教学方案等教学资料。</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2.平台提供教学PPT、教学视频等多媒体教学辅助资源。</w:t>
            </w:r>
          </w:p>
        </w:tc>
      </w:tr>
      <w:tr w14:paraId="37E2DE6E">
        <w:tblPrEx>
          <w:tblCellMar>
            <w:top w:w="0" w:type="dxa"/>
            <w:left w:w="108" w:type="dxa"/>
            <w:bottom w:w="0" w:type="dxa"/>
            <w:right w:w="108" w:type="dxa"/>
          </w:tblCellMar>
        </w:tblPrEx>
        <w:trPr>
          <w:trHeight w:val="1638" w:hRule="atLeast"/>
        </w:trPr>
        <w:tc>
          <w:tcPr>
            <w:tcW w:w="407" w:type="pct"/>
            <w:tcBorders>
              <w:top w:val="single" w:color="auto" w:sz="4" w:space="0"/>
              <w:left w:val="single" w:color="000000" w:sz="4" w:space="0"/>
              <w:bottom w:val="single" w:color="auto" w:sz="4" w:space="0"/>
              <w:right w:val="single" w:color="auto" w:sz="4" w:space="0"/>
            </w:tcBorders>
            <w:shd w:val="clear" w:color="auto" w:fill="auto"/>
            <w:noWrap/>
            <w:vAlign w:val="center"/>
          </w:tcPr>
          <w:p w14:paraId="64375B54">
            <w:pPr>
              <w:keepNext/>
              <w:widowControl/>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2</w:t>
            </w:r>
          </w:p>
        </w:tc>
        <w:tc>
          <w:tcPr>
            <w:tcW w:w="882" w:type="pct"/>
            <w:tcBorders>
              <w:top w:val="single" w:color="auto" w:sz="4" w:space="0"/>
              <w:left w:val="single" w:color="auto" w:sz="4" w:space="0"/>
              <w:bottom w:val="single" w:color="000000" w:sz="4" w:space="0"/>
              <w:right w:val="single" w:color="000000" w:sz="4" w:space="0"/>
            </w:tcBorders>
            <w:shd w:val="clear" w:color="auto" w:fill="auto"/>
            <w:vAlign w:val="center"/>
          </w:tcPr>
          <w:p w14:paraId="7A69A3C2">
            <w:pPr>
              <w:keepNext/>
              <w:widowControl/>
              <w:spacing w:line="320" w:lineRule="exact"/>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AI 数智财务实践平台</w:t>
            </w:r>
          </w:p>
        </w:tc>
        <w:tc>
          <w:tcPr>
            <w:tcW w:w="3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B8F99">
            <w:pPr>
              <w:keepNext/>
              <w:widowControl/>
              <w:spacing w:line="320" w:lineRule="exact"/>
              <w:jc w:val="left"/>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（一）技术参数</w:t>
            </w:r>
          </w:p>
          <w:p w14:paraId="783C7AA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1.软件采用B/S架构，基于公有云与私有云混合模式，打造智慧财务云生态；（提供至少50亿token，50 亿 token 全额包含在软件初始许可费内，3 年使用周期内不额外收取基础调用费用；用量预警：额度消耗至 90% 时向校方管理员提醒；追加包规则：可按需采购增量 token 包，按照</w:t>
            </w:r>
            <w:r>
              <w:rPr>
                <w:rFonts w:hint="eastAsia" w:ascii="宋体" w:hAnsi="宋体" w:cs="宋体"/>
                <w:color w:val="auto"/>
                <w:sz w:val="22"/>
                <w:szCs w:val="22"/>
                <w:lang w:val="en-US" w:eastAsia="zh-CN"/>
              </w:rPr>
              <w:t>主流大模型服务商（包括但不限于DeepSeek</w:t>
            </w:r>
            <w:r>
              <w:rPr>
                <w:rFonts w:hint="eastAsia" w:ascii="宋体" w:hAnsi="宋体" w:cs="宋体"/>
                <w:color w:val="auto"/>
                <w:sz w:val="22"/>
                <w:szCs w:val="22"/>
                <w:lang w:eastAsia="zh-CN"/>
              </w:rPr>
              <w:t>、</w:t>
            </w:r>
            <w:r>
              <w:rPr>
                <w:rFonts w:hint="eastAsia" w:ascii="宋体" w:hAnsi="宋体" w:cs="宋体"/>
                <w:color w:val="auto"/>
                <w:sz w:val="22"/>
                <w:szCs w:val="22"/>
                <w:lang w:val="en-US" w:eastAsia="zh-CN"/>
              </w:rPr>
              <w:t>文心一言、通义千问、讯飞星火等）</w:t>
            </w:r>
            <w:r>
              <w:rPr>
                <w:rFonts w:hint="eastAsia" w:ascii="宋体" w:hAnsi="宋体" w:eastAsia="宋体" w:cs="宋体"/>
                <w:color w:val="auto"/>
                <w:sz w:val="22"/>
                <w:szCs w:val="22"/>
              </w:rPr>
              <w:t>当年实际定价作为参考依据。）</w:t>
            </w:r>
          </w:p>
          <w:p w14:paraId="78AA2F1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1.1平台支持本地私有化部署，本地部署的服务器最低配置要求如下：</w:t>
            </w:r>
          </w:p>
          <w:p w14:paraId="769DB2B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CPU</w:t>
            </w:r>
            <w:r>
              <w:rPr>
                <w:rFonts w:hint="eastAsia" w:ascii="宋体" w:hAnsi="宋体" w:cs="宋体"/>
                <w:color w:val="auto"/>
                <w:sz w:val="22"/>
                <w:szCs w:val="22"/>
                <w:lang w:eastAsia="zh-CN"/>
              </w:rPr>
              <w:t>：</w:t>
            </w:r>
            <w:r>
              <w:rPr>
                <w:rFonts w:hint="eastAsia" w:ascii="宋体" w:hAnsi="宋体" w:eastAsia="宋体" w:cs="宋体"/>
                <w:color w:val="auto"/>
                <w:sz w:val="22"/>
                <w:szCs w:val="22"/>
              </w:rPr>
              <w:t>十六核心以上；内存</w:t>
            </w:r>
            <w:r>
              <w:rPr>
                <w:rFonts w:hint="eastAsia" w:ascii="宋体" w:hAnsi="宋体" w:cs="宋体"/>
                <w:color w:val="auto"/>
                <w:sz w:val="22"/>
                <w:szCs w:val="22"/>
                <w:lang w:eastAsia="zh-CN"/>
              </w:rPr>
              <w:t>：</w:t>
            </w:r>
            <w:r>
              <w:rPr>
                <w:rFonts w:hint="eastAsia" w:ascii="宋体" w:hAnsi="宋体" w:eastAsia="宋体" w:cs="宋体"/>
                <w:color w:val="auto"/>
                <w:sz w:val="22"/>
                <w:szCs w:val="22"/>
              </w:rPr>
              <w:t>32GB 以上；硬盘</w:t>
            </w:r>
            <w:r>
              <w:rPr>
                <w:rFonts w:hint="eastAsia" w:ascii="宋体" w:hAnsi="宋体" w:cs="宋体"/>
                <w:color w:val="auto"/>
                <w:sz w:val="22"/>
                <w:szCs w:val="22"/>
                <w:lang w:eastAsia="zh-CN"/>
              </w:rPr>
              <w:t>：</w:t>
            </w:r>
            <w:r>
              <w:rPr>
                <w:rFonts w:hint="eastAsia" w:ascii="宋体" w:hAnsi="宋体" w:eastAsia="宋体" w:cs="宋体"/>
                <w:color w:val="auto"/>
                <w:sz w:val="22"/>
                <w:szCs w:val="22"/>
              </w:rPr>
              <w:t>500G</w:t>
            </w:r>
            <w:r>
              <w:rPr>
                <w:rFonts w:hint="eastAsia" w:ascii="宋体" w:hAnsi="宋体" w:cs="宋体"/>
                <w:color w:val="auto"/>
                <w:sz w:val="22"/>
                <w:szCs w:val="22"/>
                <w:lang w:val="en-US" w:eastAsia="zh-CN"/>
              </w:rPr>
              <w:t>B</w:t>
            </w:r>
            <w:r>
              <w:rPr>
                <w:rFonts w:hint="eastAsia" w:ascii="宋体" w:hAnsi="宋体" w:eastAsia="宋体" w:cs="宋体"/>
                <w:color w:val="auto"/>
                <w:sz w:val="22"/>
                <w:szCs w:val="22"/>
              </w:rPr>
              <w:t xml:space="preserve"> 以上；网卡</w:t>
            </w:r>
            <w:r>
              <w:rPr>
                <w:rFonts w:hint="eastAsia" w:ascii="宋体" w:hAnsi="宋体" w:cs="宋体"/>
                <w:color w:val="auto"/>
                <w:sz w:val="22"/>
                <w:szCs w:val="22"/>
                <w:lang w:eastAsia="zh-CN"/>
              </w:rPr>
              <w:t>：</w:t>
            </w:r>
            <w:r>
              <w:rPr>
                <w:rFonts w:hint="eastAsia" w:ascii="宋体" w:hAnsi="宋体" w:eastAsia="宋体" w:cs="宋体"/>
                <w:color w:val="auto"/>
                <w:sz w:val="22"/>
                <w:szCs w:val="22"/>
              </w:rPr>
              <w:t>千兆网卡；操作系统</w:t>
            </w:r>
            <w:r>
              <w:rPr>
                <w:rFonts w:hint="eastAsia" w:ascii="宋体" w:hAnsi="宋体" w:cs="宋体"/>
                <w:color w:val="auto"/>
                <w:sz w:val="22"/>
                <w:szCs w:val="22"/>
                <w:lang w:eastAsia="zh-CN"/>
              </w:rPr>
              <w:t>：</w:t>
            </w:r>
            <w:r>
              <w:rPr>
                <w:rFonts w:hint="eastAsia" w:ascii="宋体" w:hAnsi="宋体" w:eastAsia="宋体" w:cs="宋体"/>
                <w:color w:val="auto"/>
                <w:sz w:val="22"/>
                <w:szCs w:val="22"/>
              </w:rPr>
              <w:t>Centos 7 64 位及以上/国产麒麟或统信UOS等64位Linux发行版（或同等兼容能力系统）</w:t>
            </w:r>
          </w:p>
          <w:p w14:paraId="745D651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2.涵盖智能体构建与对话、知识库与RAG引擎、工作流与逻辑编排、插件与工具扩展。</w:t>
            </w:r>
          </w:p>
          <w:p w14:paraId="5F3CF850">
            <w:pPr>
              <w:keepNext/>
              <w:widowControl/>
              <w:spacing w:line="320" w:lineRule="exact"/>
              <w:jc w:val="left"/>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2.1 智能体构建与对话：</w:t>
            </w:r>
          </w:p>
          <w:p w14:paraId="485F735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2.1.1 角色与指令配置：允许开发者精确定义智能体的角色身份和核心指令。</w:t>
            </w:r>
          </w:p>
          <w:p w14:paraId="3E86432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2.1.2 上下文增强对话：智能体能够记忆并理解长对话上下文，实现多轮连贯对话，并在对话中主动澄清模糊问题。</w:t>
            </w:r>
          </w:p>
          <w:p w14:paraId="30F08FE0">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2.1.3 关联知识库：支持为智能体绑定私有知识库，使其在回答问题时能优先基于提供的专业知识进行响应。</w:t>
            </w:r>
          </w:p>
          <w:p w14:paraId="609789B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2.1.4多模型灵活切换：平台支持无缝切换后端大语言模型，开发者可根据成本、性能、场景需求为不同智能体选择最合适的模型。</w:t>
            </w:r>
          </w:p>
          <w:p w14:paraId="5EA3355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b/>
                <w:bCs/>
                <w:color w:val="auto"/>
                <w:sz w:val="22"/>
                <w:szCs w:val="22"/>
              </w:rPr>
              <w:t>2.2</w:t>
            </w:r>
            <w:r>
              <w:rPr>
                <w:rFonts w:hint="eastAsia" w:ascii="宋体" w:hAnsi="宋体" w:cs="宋体"/>
                <w:b/>
                <w:bCs/>
                <w:color w:val="auto"/>
                <w:sz w:val="22"/>
                <w:szCs w:val="22"/>
                <w:lang w:val="en-US" w:eastAsia="zh-CN"/>
              </w:rPr>
              <w:t xml:space="preserve"> </w:t>
            </w:r>
            <w:r>
              <w:rPr>
                <w:rFonts w:hint="eastAsia" w:ascii="宋体" w:hAnsi="宋体" w:eastAsia="宋体" w:cs="宋体"/>
                <w:b/>
                <w:bCs/>
                <w:color w:val="auto"/>
                <w:sz w:val="22"/>
                <w:szCs w:val="22"/>
              </w:rPr>
              <w:t>知识库与RAG引擎模块：</w:t>
            </w:r>
            <w:r>
              <w:rPr>
                <w:rFonts w:hint="eastAsia" w:ascii="宋体" w:hAnsi="宋体" w:eastAsia="宋体" w:cs="宋体"/>
                <w:color w:val="auto"/>
                <w:sz w:val="22"/>
                <w:szCs w:val="22"/>
              </w:rPr>
              <w:t>开发者能将企业内部的文档、手册、标准等非结构化数据转化为智能体的长期记忆。</w:t>
            </w:r>
          </w:p>
          <w:p w14:paraId="6157C67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2.2.1多格式文档上传：支持上传TXT、PDF、PPT、Word、Excel等多种格式文档，并支持直接录入文本或通过URL抓取网页内容，文档解析兼容性强。</w:t>
            </w:r>
          </w:p>
          <w:p w14:paraId="60CE2630">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2.2.2 可配置的检索策略：允许开发者灵活配置检索模式（如全文检索、向量检索、混合检索）、返回内容条数及相似度阈值。</w:t>
            </w:r>
          </w:p>
          <w:p w14:paraId="4FDD666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2.2.3命中测试与优化：提供知识库命中测试工具，便于开发者在发布前验证知识检索效果，并根据测试结果优化分段策略或检索参数，知识召回率与准确率可量化评估。</w:t>
            </w:r>
          </w:p>
          <w:p w14:paraId="5F45648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b/>
                <w:bCs/>
                <w:color w:val="auto"/>
                <w:sz w:val="22"/>
                <w:szCs w:val="22"/>
              </w:rPr>
              <w:t>2.3工作流与逻辑编排模块：</w:t>
            </w:r>
            <w:r>
              <w:rPr>
                <w:rFonts w:hint="eastAsia" w:ascii="宋体" w:hAnsi="宋体" w:eastAsia="宋体" w:cs="宋体"/>
                <w:color w:val="auto"/>
                <w:sz w:val="22"/>
                <w:szCs w:val="22"/>
              </w:rPr>
              <w:t>工作流功能将AI应用开发从简单的对话交互升级为复杂的多步骤业务流程自动化。</w:t>
            </w:r>
          </w:p>
          <w:p w14:paraId="46AA058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2.3.1可视化节点编排：提供代码节点、条件判断节点、知识库检索节点等丰富的功能节点，通过连线即可</w:t>
            </w:r>
            <w:r>
              <w:rPr>
                <w:rFonts w:hint="eastAsia" w:ascii="宋体" w:hAnsi="宋体" w:cs="宋体"/>
                <w:color w:val="auto"/>
                <w:sz w:val="22"/>
                <w:szCs w:val="22"/>
                <w:lang w:eastAsia="zh-CN"/>
              </w:rPr>
              <w:t>构建</w:t>
            </w:r>
            <w:r>
              <w:rPr>
                <w:rFonts w:hint="eastAsia" w:ascii="宋体" w:hAnsi="宋体" w:eastAsia="宋体" w:cs="宋体"/>
                <w:color w:val="auto"/>
                <w:sz w:val="22"/>
                <w:szCs w:val="22"/>
              </w:rPr>
              <w:t>“数据查询-&gt;分析-&gt;生成报告”的完整流程。</w:t>
            </w:r>
          </w:p>
          <w:p w14:paraId="74D39CA3">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2.3.2条件分支与循环：支持基于条件判断实现流程分支，并可配置循环逻辑，处理列表类数据，实现复杂的业务判断与自动化任务。</w:t>
            </w:r>
          </w:p>
          <w:p w14:paraId="61F552D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2.3.3流程调试与日志：内置完善的流程调试与执行日志查看功能，每一步的输入输出清晰可见，极</w:t>
            </w:r>
            <w:r>
              <w:rPr>
                <w:rFonts w:hint="eastAsia" w:ascii="宋体" w:hAnsi="宋体" w:cs="宋体"/>
                <w:color w:val="auto"/>
                <w:sz w:val="22"/>
                <w:szCs w:val="22"/>
                <w:lang w:eastAsia="zh-CN"/>
              </w:rPr>
              <w:t>大地</w:t>
            </w:r>
            <w:r>
              <w:rPr>
                <w:rFonts w:hint="eastAsia" w:ascii="宋体" w:hAnsi="宋体" w:eastAsia="宋体" w:cs="宋体"/>
                <w:color w:val="auto"/>
                <w:sz w:val="22"/>
                <w:szCs w:val="22"/>
              </w:rPr>
              <w:t>简化了复杂工作流的开发与排错过程。</w:t>
            </w:r>
          </w:p>
          <w:p w14:paraId="0FC8DA9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b/>
                <w:bCs/>
                <w:color w:val="auto"/>
                <w:sz w:val="22"/>
                <w:szCs w:val="22"/>
              </w:rPr>
              <w:t>2.4插件与工具扩展模块：</w:t>
            </w:r>
            <w:r>
              <w:rPr>
                <w:rFonts w:hint="eastAsia" w:ascii="宋体" w:hAnsi="宋体" w:eastAsia="宋体" w:cs="宋体"/>
                <w:color w:val="auto"/>
                <w:sz w:val="22"/>
                <w:szCs w:val="22"/>
              </w:rPr>
              <w:t>插件系统极大地拓展了智能体的能力边界，使其能够执行网页搜索、生成图片等操作。</w:t>
            </w:r>
          </w:p>
          <w:p w14:paraId="2DC05C7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3.管理端：可管理教师账号、分配权限并管控账号有效期；维护行政班级，多方式导入学生、设置账号状态，可授权教师授课；教学班级支持学生、成绩签到、考试管理，可导出各类学习考试报表；支持公告发布、用户操作日志查询；可维护课程、试卷、教学资源；支持修改个人信息、绑定手机号；配备帮助手册、线上咨询及表格列显隐设置功能。</w:t>
            </w:r>
          </w:p>
          <w:p w14:paraId="1986055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4.成绩报告：支持生成班级所有学生的某个课程章节模块或某次考试的成绩报告，生成时具有进度条显示生成进度，生成完毕时进度条变成下载按钮，支持下载报告为PDF文档，支持单独查看每位学生的成绩报告及单独下载某位学生的成绩报告；</w:t>
            </w:r>
          </w:p>
          <w:p w14:paraId="5541AB0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5.统计分析：支持查看学生课程模块得分率统计图，统计图以条状图形式呈现，并支持按项目</w:t>
            </w:r>
            <w:r>
              <w:rPr>
                <w:rFonts w:hint="eastAsia" w:ascii="宋体" w:hAnsi="宋体" w:cs="宋体"/>
                <w:color w:val="auto"/>
                <w:sz w:val="22"/>
                <w:szCs w:val="22"/>
                <w:lang w:eastAsia="zh-CN"/>
              </w:rPr>
              <w:t>－</w:t>
            </w:r>
            <w:r>
              <w:rPr>
                <w:rFonts w:hint="eastAsia" w:ascii="宋体" w:hAnsi="宋体" w:eastAsia="宋体" w:cs="宋体"/>
                <w:color w:val="auto"/>
                <w:sz w:val="22"/>
                <w:szCs w:val="22"/>
              </w:rPr>
              <w:t>模块</w:t>
            </w:r>
            <w:r>
              <w:rPr>
                <w:rFonts w:hint="eastAsia" w:ascii="宋体" w:hAnsi="宋体" w:cs="宋体"/>
                <w:color w:val="auto"/>
                <w:sz w:val="22"/>
                <w:szCs w:val="22"/>
                <w:lang w:eastAsia="zh-CN"/>
              </w:rPr>
              <w:t>－</w:t>
            </w:r>
            <w:r>
              <w:rPr>
                <w:rFonts w:hint="eastAsia" w:ascii="宋体" w:hAnsi="宋体" w:eastAsia="宋体" w:cs="宋体"/>
                <w:color w:val="auto"/>
                <w:sz w:val="22"/>
                <w:szCs w:val="22"/>
              </w:rPr>
              <w:t>题型</w:t>
            </w:r>
            <w:r>
              <w:rPr>
                <w:rFonts w:hint="eastAsia" w:ascii="宋体" w:hAnsi="宋体" w:cs="宋体"/>
                <w:color w:val="auto"/>
                <w:sz w:val="22"/>
                <w:szCs w:val="22"/>
                <w:lang w:eastAsia="zh-CN"/>
              </w:rPr>
              <w:t>－</w:t>
            </w:r>
            <w:r>
              <w:rPr>
                <w:rFonts w:hint="eastAsia" w:ascii="宋体" w:hAnsi="宋体" w:eastAsia="宋体" w:cs="宋体"/>
                <w:color w:val="auto"/>
                <w:sz w:val="22"/>
                <w:szCs w:val="22"/>
              </w:rPr>
              <w:t>题目多级查看，支持以不同的颜色显示不同的得分率区间，支持选择图例以单独显示某些指标信息；</w:t>
            </w:r>
          </w:p>
          <w:p w14:paraId="4F2DE6A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6.在线时长：支持查看学生的在线学习时间统计，包含首次登录时间、最后登录时间、在线总时长、今日在线时长、上次在线时长和在线状态等，并支持通过图表展示在线时长统计情况，图表以线形图形式呈现学生的在线总时长、今日在线时长、上次在线时长的信息，支持按不同维度排序，支持选择图例以单独显示某些指标信息，支持下载图表；</w:t>
            </w:r>
          </w:p>
          <w:p w14:paraId="64D2470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7.学生端功能：学生可修改个人信息，绑定手机号、微信、QQ快捷登录；通过雷达图、进度条查看学习统计与章节完成情况，支持收藏试题；内置多款专业计算器，可查看签到记录、班级成绩排行榜；系统自动生成答题报告，展示答题数据、答案解析并支持PDF导出。</w:t>
            </w:r>
          </w:p>
          <w:p w14:paraId="79F0DB78">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8.嵌入式网页PPT功能：提供画笔标注功能，包括画笔、荧光笔、橡皮擦；提供上下翻页、单页单独打开功能；提供PPT导航、模糊搜索内容功能；提供场景对话交互功能；内置客观题，包括单选、多选、判断等题型，支持将PPT切换成PDF模式阅览；</w:t>
            </w:r>
          </w:p>
          <w:p w14:paraId="52615C73">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9.▲平台配套提供终端载体单机版，要求支持在无网络状态使用，内置以下功能模块：</w:t>
            </w:r>
            <w:r>
              <w:rPr>
                <w:rFonts w:hint="eastAsia" w:ascii="宋体" w:hAnsi="宋体" w:eastAsia="宋体" w:cs="宋体"/>
                <w:b/>
                <w:bCs/>
                <w:color w:val="auto"/>
                <w:kern w:val="0"/>
                <w:sz w:val="22"/>
                <w:szCs w:val="22"/>
                <w:lang w:bidi="ar"/>
              </w:rPr>
              <w:t>（供应商需提供现场演示予以佐证，演示需能对应显示本条参数内容）</w:t>
            </w:r>
          </w:p>
          <w:p w14:paraId="49A439C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9.1 互动财会游戏功能模块，满足以下要求：</w:t>
            </w:r>
          </w:p>
          <w:p w14:paraId="0124234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9.1.1 财会互动游戏不少于 35 个，全部贴合核心财会课程重难点；要求游戏类型应该是多样性的，具有支持拖拉拽操作、具有闯关模式等典型的游戏特征（不是简单的单选、多选、判断类型）；要求游戏内容与财会专业知识点相关，需随机抽取至少5个不同的游戏展示，游戏内容举例：战略地图游戏：通过拖拉拽的形式完成战略地图绘制。企业经营沙盘游戏：通过小沙盘的形式，模拟一家企业一年的经营，并且包含资产负债表的动态展示。数电发票识别游戏：通过游戏的形式，让学生学习了解财务机器人发票识别的步骤与过程；</w:t>
            </w:r>
          </w:p>
          <w:p w14:paraId="4C99BBB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9.1.2 自定义房间名称功能：设置游戏时间及次数限制，游戏开始时间及持续时间；</w:t>
            </w:r>
          </w:p>
          <w:p w14:paraId="43A4CC7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9.1.3 排行榜功能：支持竞赛比拼并提供排行，增加课堂趣味性，可重复进行游戏；</w:t>
            </w:r>
          </w:p>
          <w:p w14:paraId="1B5F9C8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9.1.4 在线游戏互动功能：学生可通过手机扫描系统中的会计游戏二维码，实现在手机上进行随堂游戏的互动体验；</w:t>
            </w:r>
          </w:p>
          <w:p w14:paraId="60DF2FBB">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9.2 微课制作功能模块，要求具有以下功能：</w:t>
            </w:r>
          </w:p>
          <w:p w14:paraId="7C27964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9.2.1 支持导入PPT并保留常规动画效果及页面结构生成视频微课；</w:t>
            </w:r>
          </w:p>
          <w:p w14:paraId="69F7F43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9.2.2 制作过程可自动录音，可合成至生成的视频微课中；</w:t>
            </w:r>
          </w:p>
          <w:p w14:paraId="2EB91C4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9.2.3 微课制作时支持两个摄像头切换录制，第一摄像头和第二摄像头可随时切换录制现场人像或现场展示资料，录制内容可合成至生成的视频微课中；</w:t>
            </w:r>
          </w:p>
          <w:p w14:paraId="79B0FC9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9.2.4 微课制作过程中可随时板书，录制板书操作，并合成到生成的视频微课；</w:t>
            </w:r>
          </w:p>
          <w:p w14:paraId="0054D2C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9.2.5 微课保存为视频时，可选择添加背景音乐，使制作的微课全程具有背景音乐效果，背景音乐提供多种选择；</w:t>
            </w:r>
          </w:p>
          <w:p w14:paraId="437A2E2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10.▲平台配套提供会计信息化账务处理手机APP，供学生移动学习体验会计信息化常见功能模块：</w:t>
            </w:r>
            <w:r>
              <w:rPr>
                <w:rFonts w:hint="eastAsia" w:ascii="宋体" w:hAnsi="宋体" w:eastAsia="宋体" w:cs="宋体"/>
                <w:b/>
                <w:bCs/>
                <w:color w:val="auto"/>
                <w:kern w:val="0"/>
                <w:sz w:val="22"/>
                <w:szCs w:val="22"/>
                <w:lang w:bidi="ar"/>
              </w:rPr>
              <w:t>（供应商需提供现场演示予以佐证，演示需能对应显示本条参数内容）</w:t>
            </w:r>
          </w:p>
          <w:p w14:paraId="7849F79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10.1 初始设置：登录后可自定义创建账套，若已有账套，则直接进入角色登录界面；</w:t>
            </w:r>
          </w:p>
          <w:p w14:paraId="4B8DA6B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10.2 角色登录：提供四个岗位角色登录，支持网络版管理员针对实际情况分配角色登录权限；</w:t>
            </w:r>
          </w:p>
          <w:p w14:paraId="15704903">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10.3 登录首页：包含凭证列表、审核凭证、记账、期末结账、结转损益、财务报表、查询/修改、明细账、总账、科目余额表等十个子功能模块；</w:t>
            </w:r>
          </w:p>
          <w:p w14:paraId="49038F99">
            <w:pPr>
              <w:keepNext/>
              <w:widowControl/>
              <w:spacing w:line="320" w:lineRule="exact"/>
              <w:jc w:val="left"/>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（二）内容参数</w:t>
            </w:r>
          </w:p>
          <w:p w14:paraId="468BFCD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 项目一 智能体开发通识素养：任务一 大模型的诞生与发展；任务二 大模型的内部机制；任务三 提示词的艺术；任务四 全面认识智能体平台架构；</w:t>
            </w:r>
          </w:p>
          <w:p w14:paraId="5CF3284B">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 项目二 智能体开发技能应用：任务一 智能面试官；任务二 会计学习导师；任务三 LOGO设计智能体；任务四 会计名词解释智能体；任务五 智能写作助手；任务六 专业简历美化助手；任务七 智能翻译器；任务八 财税知识出题智能体；任务九 文生视频智能体；</w:t>
            </w:r>
          </w:p>
          <w:p w14:paraId="2989F53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3.项目三 财务会计智能体开发：任务一 多种票据识别机器人；任务二 企业报销客服智能；任务三 报销单据智能审核；任务四 智能记账核算智能体；</w:t>
            </w:r>
          </w:p>
          <w:p w14:paraId="475C370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4. 项目四 业务会计智能体开发：任务一 合同审查智能体；任务二 合同管理台账智能体；任务三 应收账款账龄分析智能体；任务四 固定资产折旧分析智能体；任务五 销售数据分析智能体；</w:t>
            </w:r>
          </w:p>
          <w:p w14:paraId="47E3730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5. 项目五 财务分析智能体开发：任务一 资产负债表分析智能体；任务二 利润表分析智能体；任务三 现金流量表分析智能体；任务四 企业战略分析智能体；任务五 企业偿债能力分析智能体；任务六 企业盈利能力分析智能体；</w:t>
            </w:r>
          </w:p>
          <w:p w14:paraId="3EC06EBA">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6. 项目六 税务管理智能体开发：任务一 财税政策解读智能体；任务二 进项发票风险分析智能体；任务三 个税规划智能体；任务四 中小企业财税风险预警智能体；</w:t>
            </w:r>
          </w:p>
          <w:p w14:paraId="7E0AA2CF">
            <w:pPr>
              <w:keepNext/>
              <w:widowControl/>
              <w:spacing w:line="320" w:lineRule="exact"/>
              <w:jc w:val="left"/>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（三）配套AIGC智教在线云平台模块及课程思政资源库</w:t>
            </w:r>
          </w:p>
          <w:p w14:paraId="1B601758">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1.AIGC智教在线云平台</w:t>
            </w:r>
            <w:r>
              <w:rPr>
                <w:rFonts w:hint="eastAsia" w:ascii="宋体" w:hAnsi="宋体" w:cs="宋体"/>
                <w:color w:val="auto"/>
                <w:sz w:val="22"/>
                <w:szCs w:val="22"/>
                <w:lang w:eastAsia="zh-CN"/>
              </w:rPr>
              <w:t>：</w:t>
            </w:r>
            <w:r>
              <w:rPr>
                <w:rFonts w:hint="eastAsia" w:ascii="宋体" w:hAnsi="宋体" w:eastAsia="宋体" w:cs="宋体"/>
                <w:color w:val="auto"/>
                <w:sz w:val="22"/>
                <w:szCs w:val="22"/>
              </w:rPr>
              <w:t>需涵盖智能问答、课程设计、教学大纲、教案设计、智能出题、PPT 生成、财务分析等功能模块。</w:t>
            </w:r>
          </w:p>
          <w:p w14:paraId="5C15F4B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2.课程思政资源库</w:t>
            </w:r>
          </w:p>
          <w:p w14:paraId="3E10F2F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2.1资源来源要求：课程思政资源库所有素材须来源于官方权威平台，包含但不限于：人民网、人民日报、新华网、中国网、中国新闻网、CCTV 节目官网</w:t>
            </w:r>
            <w:r>
              <w:rPr>
                <w:rFonts w:hint="eastAsia" w:ascii="宋体" w:hAnsi="宋体" w:cs="宋体"/>
                <w:color w:val="auto"/>
                <w:sz w:val="22"/>
                <w:szCs w:val="22"/>
                <w:lang w:eastAsia="zh-CN"/>
              </w:rPr>
              <w:t>、</w:t>
            </w:r>
            <w:r>
              <w:rPr>
                <w:rFonts w:hint="eastAsia" w:ascii="宋体" w:hAnsi="宋体" w:cs="宋体"/>
                <w:color w:val="auto"/>
                <w:sz w:val="22"/>
                <w:szCs w:val="22"/>
                <w:lang w:val="en-US" w:eastAsia="zh-CN"/>
              </w:rPr>
              <w:t>光明网、</w:t>
            </w:r>
            <w:r>
              <w:rPr>
                <w:rFonts w:hint="eastAsia" w:ascii="宋体" w:hAnsi="宋体" w:eastAsia="宋体" w:cs="宋体"/>
                <w:color w:val="auto"/>
                <w:sz w:val="22"/>
                <w:szCs w:val="22"/>
              </w:rPr>
              <w:t>学习时报、经济日报、审计署官网、国家税务总局官网、财政部官网、共产党员网、中国网信网</w:t>
            </w:r>
            <w:r>
              <w:rPr>
                <w:rFonts w:hint="eastAsia" w:ascii="宋体" w:hAnsi="宋体" w:cs="宋体"/>
                <w:color w:val="auto"/>
                <w:sz w:val="22"/>
                <w:szCs w:val="22"/>
                <w:lang w:eastAsia="zh-CN"/>
              </w:rPr>
              <w:t>、</w:t>
            </w:r>
            <w:r>
              <w:rPr>
                <w:rFonts w:hint="eastAsia" w:ascii="宋体" w:hAnsi="宋体" w:eastAsia="宋体" w:cs="宋体"/>
                <w:color w:val="auto"/>
                <w:sz w:val="22"/>
                <w:szCs w:val="22"/>
              </w:rPr>
              <w:t>《中国财政》《中国会计报》、中国税务报、中国财经报</w:t>
            </w:r>
            <w:r>
              <w:rPr>
                <w:rFonts w:hint="eastAsia" w:ascii="宋体" w:hAnsi="宋体" w:cs="宋体"/>
                <w:color w:val="auto"/>
                <w:sz w:val="22"/>
                <w:szCs w:val="22"/>
                <w:lang w:val="en-US" w:eastAsia="zh-CN"/>
              </w:rPr>
              <w:t>等</w:t>
            </w:r>
            <w:r>
              <w:rPr>
                <w:rFonts w:hint="eastAsia" w:ascii="宋体" w:hAnsi="宋体" w:eastAsia="宋体" w:cs="宋体"/>
                <w:color w:val="auto"/>
                <w:sz w:val="22"/>
                <w:szCs w:val="22"/>
              </w:rPr>
              <w:t>，确保内容权威合规、导向正确。</w:t>
            </w:r>
          </w:p>
          <w:p w14:paraId="1D74D61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2.2思政案例库内容丰富，涵盖爱岗敬业、诚实守信、廉洁自律、法治精神等不少于10个核心主题，收录不少于100个生动案例。</w:t>
            </w:r>
          </w:p>
          <w:p w14:paraId="63AC73C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2.3 思政元素库涵盖马克思主义基本观点与方法、社会主义核心价值观、乡村振兴等不少于250个元素案例。</w:t>
            </w:r>
          </w:p>
          <w:p w14:paraId="6FB43D30">
            <w:pPr>
              <w:keepNext/>
              <w:widowControl/>
              <w:spacing w:line="320" w:lineRule="exact"/>
              <w:jc w:val="left"/>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（四）线上共享记账平台</w:t>
            </w:r>
          </w:p>
          <w:p w14:paraId="022B0948">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 智能日记账：</w:t>
            </w:r>
          </w:p>
          <w:p w14:paraId="5198537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1.1具备智能记账功能，录入一段文字就可智能分析出交易日期、交易金额、收支科目、对方单位、部门、经办人，并且根据部门分析收支科目为销售费用、管理费用等；</w:t>
            </w:r>
          </w:p>
          <w:p w14:paraId="524220B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1.2账面总览：展示总金额以及银行账户的余额并按照月份进行图表的呈现。根据需要进行本月收入小计、本月支出小计、本月收支差、本月应收余额、本月应付余额、全部应收余额、全部应付余额以及本月支出TOP5等项目的统计分析；</w:t>
            </w:r>
          </w:p>
          <w:p w14:paraId="764256D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 应收应付：</w:t>
            </w:r>
          </w:p>
          <w:p w14:paraId="7675D15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2.1支持合并收款或合并付款，多笔应收应付可合并，合并后还可跟未合并的记录进行多次合并，应收应付金额自动根据被合并的记录计算，合并后的记录可取消合并；</w:t>
            </w:r>
          </w:p>
          <w:p w14:paraId="23DCDFD0">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3. 物品管理：</w:t>
            </w:r>
          </w:p>
          <w:p w14:paraId="482D242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3.1原材料、产成品、礼品管理：对企业的原材料、产成品、礼品进行入库、领用、库存等方面的管理，以及查看领用流水、原材料、产成品、礼品报表等功能，帮助掌握公司的原材料、产成品及礼品的实际情况；</w:t>
            </w:r>
          </w:p>
          <w:p w14:paraId="16FA8B63">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3.2 物品统计报表：按月份统计并列表显示出每一种物品的月初余额、本月入库、本月出库、月末库存余额；支持用曲线图表显示出某一种物品在多个月内入库、出库的曲线；</w:t>
            </w:r>
          </w:p>
          <w:p w14:paraId="7A66730E">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4. 费用报销：</w:t>
            </w:r>
          </w:p>
          <w:p w14:paraId="553CB85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4.1 填写报销单时支持选择本地图片、QQ截图并直接粘贴在界面上、手机微信扫码无缝上传三种方式附上原始票据</w:t>
            </w:r>
            <w:r>
              <w:rPr>
                <w:rFonts w:hint="eastAsia" w:ascii="宋体" w:hAnsi="宋体" w:cs="宋体"/>
                <w:color w:val="auto"/>
                <w:sz w:val="22"/>
                <w:szCs w:val="22"/>
                <w:lang w:eastAsia="zh-CN"/>
              </w:rPr>
              <w:t>附件</w:t>
            </w:r>
            <w:r>
              <w:rPr>
                <w:rFonts w:hint="eastAsia" w:ascii="宋体" w:hAnsi="宋体" w:eastAsia="宋体" w:cs="宋体"/>
                <w:color w:val="auto"/>
                <w:sz w:val="22"/>
                <w:szCs w:val="22"/>
              </w:rPr>
              <w:t>，最多可附15张原始票据；</w:t>
            </w:r>
          </w:p>
          <w:p w14:paraId="52B6D653">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5. 项目（合同）管理：</w:t>
            </w:r>
          </w:p>
          <w:p w14:paraId="4ADDE50E">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5.1项目（合同）利润计算方式，可设置为按已收金额减去已付金额、应收金额减去应付金额、应收金额</w:t>
            </w:r>
            <w:r>
              <w:rPr>
                <w:rFonts w:hint="eastAsia" w:ascii="宋体" w:hAnsi="宋体" w:cs="宋体"/>
                <w:color w:val="auto"/>
                <w:sz w:val="22"/>
                <w:szCs w:val="22"/>
                <w:lang w:eastAsia="zh-CN"/>
              </w:rPr>
              <w:t>－</w:t>
            </w:r>
            <w:r>
              <w:rPr>
                <w:rFonts w:hint="eastAsia" w:ascii="宋体" w:hAnsi="宋体" w:eastAsia="宋体" w:cs="宋体"/>
                <w:color w:val="auto"/>
                <w:sz w:val="22"/>
                <w:szCs w:val="22"/>
              </w:rPr>
              <w:t>已付金额、已收金额</w:t>
            </w:r>
            <w:r>
              <w:rPr>
                <w:rFonts w:hint="eastAsia" w:ascii="宋体" w:hAnsi="宋体" w:cs="宋体"/>
                <w:color w:val="auto"/>
                <w:sz w:val="22"/>
                <w:szCs w:val="22"/>
                <w:lang w:eastAsia="zh-CN"/>
              </w:rPr>
              <w:t>－</w:t>
            </w:r>
            <w:r>
              <w:rPr>
                <w:rFonts w:hint="eastAsia" w:ascii="宋体" w:hAnsi="宋体" w:eastAsia="宋体" w:cs="宋体"/>
                <w:color w:val="auto"/>
                <w:sz w:val="22"/>
                <w:szCs w:val="22"/>
              </w:rPr>
              <w:t>应付金额或者应收金额-应付金额-日记账支出金额等不</w:t>
            </w:r>
            <w:r>
              <w:rPr>
                <w:rFonts w:hint="eastAsia" w:ascii="宋体" w:hAnsi="宋体" w:cs="宋体"/>
                <w:color w:val="auto"/>
                <w:sz w:val="22"/>
                <w:szCs w:val="22"/>
                <w:lang w:eastAsia="zh-CN"/>
              </w:rPr>
              <w:t>少于</w:t>
            </w:r>
            <w:r>
              <w:rPr>
                <w:rFonts w:hint="eastAsia" w:ascii="宋体" w:hAnsi="宋体" w:eastAsia="宋体" w:cs="宋体"/>
                <w:color w:val="auto"/>
                <w:sz w:val="22"/>
                <w:szCs w:val="22"/>
              </w:rPr>
              <w:t>五种方式；</w:t>
            </w:r>
          </w:p>
          <w:p w14:paraId="06AFD03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6. 工资管理：</w:t>
            </w:r>
          </w:p>
          <w:p w14:paraId="6414C37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6.1工资管理：支持添加、查询工资表。以工资</w:t>
            </w:r>
            <w:r>
              <w:rPr>
                <w:rFonts w:hint="eastAsia" w:ascii="宋体" w:hAnsi="宋体" w:cs="宋体"/>
                <w:color w:val="auto"/>
                <w:sz w:val="22"/>
                <w:szCs w:val="22"/>
                <w:lang w:eastAsia="zh-CN"/>
              </w:rPr>
              <w:t>模板</w:t>
            </w:r>
            <w:r>
              <w:rPr>
                <w:rFonts w:hint="eastAsia" w:ascii="宋体" w:hAnsi="宋体" w:eastAsia="宋体" w:cs="宋体"/>
                <w:color w:val="auto"/>
                <w:sz w:val="22"/>
                <w:szCs w:val="22"/>
              </w:rPr>
              <w:t>的形式对工资表进行工资项目的调整。按年或者部门等方式进行工资的统计分析。工资表可以逐月进行调整、复核以及工资条发放以及工资条的导出备份，同时发放工资条时还可以以短信的方式进行通知；</w:t>
            </w:r>
          </w:p>
          <w:p w14:paraId="2F30D570">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6.2 支持将工资表导出为Excel文件，并且可选择是否每一行打印表头，方便打印成工资条；</w:t>
            </w:r>
          </w:p>
          <w:p w14:paraId="32DA7A6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7. 其他功能：</w:t>
            </w:r>
            <w:r>
              <w:rPr>
                <w:rFonts w:hint="eastAsia" w:ascii="宋体" w:hAnsi="宋体" w:eastAsia="宋体" w:cs="宋体"/>
                <w:b/>
                <w:bCs/>
                <w:color w:val="auto"/>
                <w:kern w:val="0"/>
                <w:sz w:val="22"/>
                <w:szCs w:val="22"/>
                <w:lang w:bidi="ar"/>
              </w:rPr>
              <w:t>（供应商需提供现场演示予以佐证，演示需能对应显示本条参数内容）</w:t>
            </w:r>
          </w:p>
          <w:p w14:paraId="6497C340">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7.1▲项目管理：包括项目开始结束日期，项目类别、项目金额、应付金额、应收金额，自动关联日记账数据，自动计算出已付金额、应付余额或已收金额、应收余额；</w:t>
            </w:r>
          </w:p>
          <w:p w14:paraId="25176918">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7.2▲工作周记：按照工作计划以及工作日记的形式进行记录，同时可以提供附加图片功能。管理员可以对每个用户进行权限管辖，以控制该用户查看周记的范围；</w:t>
            </w:r>
          </w:p>
        </w:tc>
      </w:tr>
      <w:tr w14:paraId="75D3029D">
        <w:tblPrEx>
          <w:tblCellMar>
            <w:top w:w="0" w:type="dxa"/>
            <w:left w:w="108" w:type="dxa"/>
            <w:bottom w:w="0" w:type="dxa"/>
            <w:right w:w="108" w:type="dxa"/>
          </w:tblCellMar>
        </w:tblPrEx>
        <w:trPr>
          <w:trHeight w:val="4160" w:hRule="atLeast"/>
        </w:trPr>
        <w:tc>
          <w:tcPr>
            <w:tcW w:w="407" w:type="pct"/>
            <w:tcBorders>
              <w:top w:val="single" w:color="auto" w:sz="4" w:space="0"/>
              <w:left w:val="single" w:color="000000" w:sz="4" w:space="0"/>
              <w:bottom w:val="single" w:color="auto" w:sz="4" w:space="0"/>
              <w:right w:val="single" w:color="000000" w:sz="4" w:space="0"/>
            </w:tcBorders>
            <w:shd w:val="clear" w:color="auto" w:fill="auto"/>
            <w:noWrap/>
            <w:vAlign w:val="center"/>
          </w:tcPr>
          <w:p w14:paraId="1632B538">
            <w:pPr>
              <w:keepNext/>
              <w:widowControl/>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3</w:t>
            </w:r>
          </w:p>
        </w:tc>
        <w:tc>
          <w:tcPr>
            <w:tcW w:w="8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3F88D">
            <w:pPr>
              <w:keepNext/>
              <w:widowControl/>
              <w:spacing w:line="320" w:lineRule="exact"/>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互联网+国际贸易综合技能与竞赛实训平台</w:t>
            </w:r>
          </w:p>
        </w:tc>
        <w:tc>
          <w:tcPr>
            <w:tcW w:w="3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CAE5F">
            <w:pPr>
              <w:keepNext/>
              <w:widowControl/>
              <w:spacing w:line="320" w:lineRule="exact"/>
              <w:jc w:val="left"/>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一、外贸 B2B 模块</w:t>
            </w:r>
          </w:p>
          <w:p w14:paraId="3D679568">
            <w:pPr>
              <w:keepNext/>
              <w:widowControl/>
              <w:spacing w:line="320" w:lineRule="exact"/>
              <w:jc w:val="left"/>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（一）教师端功能</w:t>
            </w:r>
          </w:p>
          <w:p w14:paraId="4718503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系统须支持教师同时开启多个课程和比赛，每个课程和比赛下可设置多个班级和队伍，可设置课程的起始时间、业务办理有无等待时间、开启的国家、设置交易笔数上限等参数；系统可按教师设定的规则将学生分配到各个国家中。</w:t>
            </w:r>
          </w:p>
          <w:p w14:paraId="5F1D1E3B">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2.系统须支持添加、修改、启用/禁用班级和队伍，可使用单个、批量、模板导入的方式导入学生账号，并可对账号进行修改信息、重置密码、启用/禁用、增减资金等操作。</w:t>
            </w:r>
          </w:p>
          <w:p w14:paraId="250983D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3.须配置自动评分与人工评分双向考核机制，系统可依据统一标准自动评价学生实训成果并输出改进建议，支持教师自定义每日评分时段、手动评分，可按课程、班级维度查询学生得分、能力等级及实训总结，所有数据支持 EXCEL 导出；评分覆盖磋商函电、价格核算、B2B 网站运营、业务盈利、业务办理、单据填写等核心维度，可对学生业务、跟单、学习及综合能力进行科学评级，结果分为不合格、合格、良好、优秀四档，同时支持对进出口贸易函电开展系统自动评价与教师人工评价。</w:t>
            </w:r>
          </w:p>
          <w:p w14:paraId="50293E03">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4.教师后台须提供自主添加商品的功能。商品信息需包含商品编码、HS 编码、商品属类、商品名称（中/英文）、规格型号（中/英文）、销售单位（中/英文）、销售单位（英文）复数、包装单位（中/英文）、包装单位（英文）复数、单位换算、毛/净重、体积、运输方式、集装箱种类、商品一二级分类、商品属性（成熟度、颜色、栽培类型、保质期、储存条件等）、商品图片、所属国家、价格设置、产量、交易量。</w:t>
            </w:r>
          </w:p>
          <w:p w14:paraId="3301C72A">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5.系统可设置系统参数包括可开启自动评分并设置自动评分时间、货物是否遇险、汇率是否变动、商品价格浮动、增减学生账号资金等内容。</w:t>
            </w:r>
          </w:p>
          <w:p w14:paraId="2CED28A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6.系统须提供中英文双语界面，教师可</w:t>
            </w:r>
            <w:r>
              <w:rPr>
                <w:rFonts w:hint="eastAsia" w:ascii="宋体" w:hAnsi="宋体" w:cs="宋体"/>
                <w:color w:val="auto"/>
                <w:sz w:val="22"/>
                <w:szCs w:val="22"/>
                <w:lang w:eastAsia="zh-CN"/>
              </w:rPr>
              <w:t>以在</w:t>
            </w:r>
            <w:r>
              <w:rPr>
                <w:rFonts w:hint="eastAsia" w:ascii="宋体" w:hAnsi="宋体" w:eastAsia="宋体" w:cs="宋体"/>
                <w:color w:val="auto"/>
                <w:sz w:val="22"/>
                <w:szCs w:val="22"/>
              </w:rPr>
              <w:t>后台自主调整。</w:t>
            </w:r>
          </w:p>
          <w:p w14:paraId="0D3A461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7.系统须提供教师、学生两种角色的电子帮助手册，可下载、打印。</w:t>
            </w:r>
          </w:p>
          <w:p w14:paraId="77AB262F">
            <w:pPr>
              <w:keepNext/>
              <w:widowControl/>
              <w:spacing w:line="320" w:lineRule="exact"/>
              <w:jc w:val="left"/>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（二）学生端功能</w:t>
            </w:r>
          </w:p>
          <w:p w14:paraId="2DC7F38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1.系统需提供至少包含中国、美国、英国、德国、日本、巴西、俄罗斯、澳大利亚、南非、古巴等 10 个国家，通过互动式世界地图，用户可以点击查看各个国家的经济、资源和贸易信息。</w:t>
            </w:r>
          </w:p>
          <w:p w14:paraId="4B9F5CE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2.需提供鸟瞰式城市地图。至少包含银行、海关、外汇管理局、海关</w:t>
            </w:r>
            <w:r>
              <w:rPr>
                <w:rFonts w:hint="eastAsia" w:ascii="宋体" w:hAnsi="宋体" w:cs="宋体"/>
                <w:color w:val="auto"/>
                <w:sz w:val="22"/>
                <w:szCs w:val="22"/>
                <w:lang w:eastAsia="zh-CN"/>
              </w:rPr>
              <w:t>“</w:t>
            </w:r>
            <w:r>
              <w:rPr>
                <w:rFonts w:hint="eastAsia" w:ascii="宋体" w:hAnsi="宋体" w:eastAsia="宋体" w:cs="宋体"/>
                <w:color w:val="auto"/>
                <w:sz w:val="22"/>
                <w:szCs w:val="22"/>
              </w:rPr>
              <w:t>检验检疫</w:t>
            </w:r>
            <w:r>
              <w:rPr>
                <w:rFonts w:hint="eastAsia" w:ascii="宋体" w:hAnsi="宋体" w:cs="宋体"/>
                <w:color w:val="auto"/>
                <w:sz w:val="22"/>
                <w:szCs w:val="22"/>
                <w:lang w:eastAsia="zh-CN"/>
              </w:rPr>
              <w:t>”</w:t>
            </w:r>
            <w:r>
              <w:rPr>
                <w:rFonts w:hint="eastAsia" w:ascii="宋体" w:hAnsi="宋体" w:eastAsia="宋体" w:cs="宋体"/>
                <w:color w:val="auto"/>
                <w:sz w:val="22"/>
                <w:szCs w:val="22"/>
              </w:rPr>
              <w:t>、税务局、国际货运公司海运部、国际货运公司空运部、保险公司、化学材料测试中心、国际贸易促进委员会、邮局、市场、国内工厂、广告公司、仲裁委员</w:t>
            </w:r>
            <w:r>
              <w:rPr>
                <w:rFonts w:hint="eastAsia" w:ascii="宋体" w:hAnsi="宋体" w:cs="宋体"/>
                <w:color w:val="auto"/>
                <w:sz w:val="22"/>
                <w:szCs w:val="22"/>
                <w:lang w:eastAsia="zh-CN"/>
              </w:rPr>
              <w:t>会等</w:t>
            </w:r>
            <w:r>
              <w:rPr>
                <w:rFonts w:hint="eastAsia" w:ascii="宋体" w:hAnsi="宋体" w:eastAsia="宋体" w:cs="宋体"/>
                <w:color w:val="auto"/>
                <w:sz w:val="22"/>
                <w:szCs w:val="22"/>
              </w:rPr>
              <w:t xml:space="preserve"> 15 个外贸相关机构。</w:t>
            </w:r>
          </w:p>
          <w:p w14:paraId="63DCB71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3.系统每个机构都有自己的专业网站，可供学生查询各个机构的相关信息，包括机构简介、海关商品 HS 编码查询网站、办事指南、费用查询、相关法律法规知识等等。</w:t>
            </w:r>
          </w:p>
          <w:p w14:paraId="5FF24E7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4.系统动态真实模拟了各国货币、汇率、国际运费、进出口相关税费、产品价格等业务信息。</w:t>
            </w:r>
          </w:p>
          <w:p w14:paraId="3031BC8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5.每个国家有自己的特色产品。商品需涵盖食品饮料、服装、玩具、化妆品、瓷制品、箱包、化工产品、烟草、贵金属、宝石等类别。</w:t>
            </w:r>
          </w:p>
          <w:p w14:paraId="028E40A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6.多语言 B2B 电子商务平台：系统须提供中英文可切换的 B2B 平台，模拟主流跨境 B2B 电子商务平台操作，为学生提供寻找交易对象的实践机会。</w:t>
            </w:r>
          </w:p>
          <w:p w14:paraId="5F72598A">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主要包含：</w:t>
            </w:r>
          </w:p>
          <w:p w14:paraId="38A79AA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（1）B2B 网站各主要功能界面</w:t>
            </w:r>
          </w:p>
          <w:p w14:paraId="604B30A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B2B 网站首页：高仿真模拟主流跨境 B2B 平台首页，可方便快捷</w:t>
            </w:r>
            <w:r>
              <w:rPr>
                <w:rFonts w:hint="eastAsia" w:ascii="宋体" w:hAnsi="宋体" w:cs="宋体"/>
                <w:color w:val="auto"/>
                <w:sz w:val="22"/>
                <w:szCs w:val="22"/>
                <w:lang w:eastAsia="zh-CN"/>
              </w:rPr>
              <w:t>地</w:t>
            </w:r>
            <w:r>
              <w:rPr>
                <w:rFonts w:hint="eastAsia" w:ascii="宋体" w:hAnsi="宋体" w:eastAsia="宋体" w:cs="宋体"/>
                <w:color w:val="auto"/>
                <w:sz w:val="22"/>
                <w:szCs w:val="22"/>
              </w:rPr>
              <w:t>搜索产品、供应商、采购需求，提供醒目的标识字样可以直接进入查看热门大类产品的促销活动，各大类产品，采购需求市场，所有供应商公司，热门供应商公司广告，热门产品，各国供应商。</w:t>
            </w:r>
          </w:p>
          <w:p w14:paraId="6E8B950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所有大类产品界面：列出所有产品大类以及各大类包含的具体产品，点击产品名可直接查看该产品的搜索结果。</w:t>
            </w:r>
          </w:p>
          <w:p w14:paraId="4939F73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热门供应商公司广告（Top Companies）界面：可展示发布广告的供应商信息，且可查看广告详情。</w:t>
            </w:r>
          </w:p>
          <w:p w14:paraId="4198663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所有供应商公司（All Companies）界面：可展示所有供应商公司信息。</w:t>
            </w:r>
          </w:p>
          <w:p w14:paraId="092B237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采购需求市场（Markets）界面：可展示所有采购需求，可查看采购需求详情。</w:t>
            </w:r>
          </w:p>
          <w:p w14:paraId="22FEAC8E">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各国供应商界面：可按照国家查看供应商公司信息。</w:t>
            </w:r>
          </w:p>
          <w:p w14:paraId="33DA8AC0">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后台操作界面（My B2B）：可完成 B2B 网站的各项操作，如发布产品、管理产品，发布采购需求、管理采购需求、完善公司信息、装修店铺等等。</w:t>
            </w:r>
          </w:p>
          <w:p w14:paraId="5C719DCA">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（2）建站管理</w:t>
            </w:r>
          </w:p>
          <w:p w14:paraId="5FE18C2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管理公司信息：可完善公司信息，填写主营产品、选择公司形象图、查看营业执照、专利证书、荣誉证书、商检证书等等。</w:t>
            </w:r>
          </w:p>
          <w:p w14:paraId="5EF827AA">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平台第三方实地认证：可完成平台第三方实地认证操作，完成认证后，对应公司信息前展示醒目的实地认证标识。</w:t>
            </w:r>
          </w:p>
          <w:p w14:paraId="00D2A2FB">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管理能力评估报告：可查看企业能力评估报告与主营产品认证报告。</w:t>
            </w:r>
          </w:p>
          <w:p w14:paraId="3FFFAE2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管理全球旺铺：可个性化装修店铺。</w:t>
            </w:r>
          </w:p>
          <w:p w14:paraId="59410F4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（3）采购直达</w:t>
            </w:r>
          </w:p>
          <w:p w14:paraId="72F74B7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发布采购需求：高仿真模拟主流跨境 B2B 平台发布采购需求界面，可填写内容包括产品关键词、需求数量、需求详细内容、贸易术语、期望单价、目的港，支付方式等贸易信息。</w:t>
            </w:r>
          </w:p>
          <w:p w14:paraId="6DE2E7D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查看采购需求：可查看采购需求详情。</w:t>
            </w:r>
          </w:p>
          <w:p w14:paraId="0B4CCA8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管理采购需求：可查看、编辑、关闭已发布的采购需求。</w:t>
            </w:r>
          </w:p>
          <w:p w14:paraId="3A7499C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搜索采购需求：提供专业的采购需求搜索网站，可搜索、查看进口商发布的采购需求，出口商可方便快捷</w:t>
            </w:r>
            <w:r>
              <w:rPr>
                <w:rFonts w:hint="eastAsia" w:ascii="宋体" w:hAnsi="宋体" w:cs="宋体"/>
                <w:color w:val="auto"/>
                <w:sz w:val="22"/>
                <w:szCs w:val="22"/>
                <w:lang w:eastAsia="zh-CN"/>
              </w:rPr>
              <w:t>地</w:t>
            </w:r>
            <w:r>
              <w:rPr>
                <w:rFonts w:hint="eastAsia" w:ascii="宋体" w:hAnsi="宋体" w:eastAsia="宋体" w:cs="宋体"/>
                <w:color w:val="auto"/>
                <w:sz w:val="22"/>
                <w:szCs w:val="22"/>
              </w:rPr>
              <w:t>寻找到交易对象。</w:t>
            </w:r>
          </w:p>
          <w:p w14:paraId="7DCDA40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（4）产品管理</w:t>
            </w:r>
          </w:p>
          <w:p w14:paraId="0DFD594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发布产品：高仿真模拟主流跨境 B2B 平台发布产品界面，选择产品大类后再填写详情（产品详情包括产品名称、产品关键词、产品图片、产品属性、交易信息、物流信息、产品详细信息等），各大类产品均有相对应的编辑界面。</w:t>
            </w:r>
          </w:p>
          <w:p w14:paraId="5D3D117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查看产品详情：可查看产品详情。</w:t>
            </w:r>
          </w:p>
          <w:p w14:paraId="4877B73A">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搜索产品：提供专业的产品搜索网站，可按产品名称、关键词搜索产品，便于进口商查看产品详情，寻找到适合交易的产品。</w:t>
            </w:r>
          </w:p>
          <w:p w14:paraId="6076B543">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管理产品：可查看、编辑、下架已发布的产品。</w:t>
            </w:r>
          </w:p>
          <w:p w14:paraId="08CEF8D3">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管理认证产品：可将产品设置为认证产品且可排序，认证产品标题前有醒目的</w:t>
            </w:r>
            <w:r>
              <w:rPr>
                <w:rFonts w:hint="eastAsia" w:ascii="宋体" w:hAnsi="宋体" w:cs="宋体"/>
                <w:color w:val="auto"/>
                <w:sz w:val="22"/>
                <w:szCs w:val="22"/>
                <w:lang w:eastAsia="zh-CN"/>
              </w:rPr>
              <w:t>“</w:t>
            </w:r>
            <w:r>
              <w:rPr>
                <w:rFonts w:hint="eastAsia" w:ascii="宋体" w:hAnsi="宋体" w:eastAsia="宋体" w:cs="宋体"/>
                <w:color w:val="auto"/>
                <w:sz w:val="22"/>
                <w:szCs w:val="22"/>
              </w:rPr>
              <w:t>Main</w:t>
            </w:r>
            <w:r>
              <w:rPr>
                <w:rFonts w:hint="eastAsia" w:ascii="宋体" w:hAnsi="宋体" w:cs="宋体"/>
                <w:color w:val="auto"/>
                <w:sz w:val="22"/>
                <w:szCs w:val="22"/>
                <w:lang w:eastAsia="zh-CN"/>
              </w:rPr>
              <w:t>”</w:t>
            </w:r>
            <w:r>
              <w:rPr>
                <w:rFonts w:hint="eastAsia" w:ascii="宋体" w:hAnsi="宋体" w:eastAsia="宋体" w:cs="宋体"/>
                <w:color w:val="auto"/>
                <w:sz w:val="22"/>
                <w:szCs w:val="22"/>
              </w:rPr>
              <w:t>标识，店铺内有醒目的认证产品展位供展示。</w:t>
            </w:r>
          </w:p>
          <w:p w14:paraId="32AD4A4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管理橱窗产品：可将产品设置为橱窗产品且可排序，店铺内有醒目的橱窗产品展位供展示。</w:t>
            </w:r>
          </w:p>
          <w:p w14:paraId="33D80E5E">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产品分组与排序：可自定义设置产品分组以及排序规则，在店铺内可以按照设置的分组与排序查看产品。</w:t>
            </w:r>
          </w:p>
          <w:p w14:paraId="50E3F43A">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图片银行：需展示所有产品的主图、附图，公司形象图、公司头像标识以及店铺横幅。</w:t>
            </w:r>
          </w:p>
          <w:p w14:paraId="755E6B5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（5）我的店铺</w:t>
            </w:r>
          </w:p>
          <w:p w14:paraId="5C0C2AE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店铺首页：可查看店铺资料、认证产品、橱窗产品、最新产品等。</w:t>
            </w:r>
          </w:p>
          <w:p w14:paraId="64C45D7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店铺产品大类：可按照设置的分组与排序规则查看店铺内的产品。</w:t>
            </w:r>
          </w:p>
          <w:p w14:paraId="1A9B655E">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店铺资料：可查看店铺联系资料包括公司名称、国家、主营产品、其他产品、法人姓名、账号等信息，进口商可方便快捷</w:t>
            </w:r>
            <w:r>
              <w:rPr>
                <w:rFonts w:hint="eastAsia" w:ascii="宋体" w:hAnsi="宋体" w:cs="宋体"/>
                <w:color w:val="auto"/>
                <w:sz w:val="22"/>
                <w:szCs w:val="22"/>
                <w:lang w:eastAsia="zh-CN"/>
              </w:rPr>
              <w:t>地</w:t>
            </w:r>
            <w:r>
              <w:rPr>
                <w:rFonts w:hint="eastAsia" w:ascii="宋体" w:hAnsi="宋体" w:eastAsia="宋体" w:cs="宋体"/>
                <w:color w:val="auto"/>
                <w:sz w:val="22"/>
                <w:szCs w:val="22"/>
              </w:rPr>
              <w:t>联系对方建立业务关系。</w:t>
            </w:r>
          </w:p>
          <w:p w14:paraId="07A2913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搜索店铺：可搜索店铺，进入他人店铺查看具体信息。</w:t>
            </w:r>
          </w:p>
          <w:p w14:paraId="5F951A9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（6）我的外贸服务</w:t>
            </w:r>
          </w:p>
          <w:p w14:paraId="197E9ED8">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金品诚企：可完成申请加入金品诚企的操作，获得金品诚企的相应服务，让公司脱颖而出。</w:t>
            </w:r>
          </w:p>
          <w:p w14:paraId="21FA441A">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（7）收藏夹</w:t>
            </w:r>
          </w:p>
          <w:p w14:paraId="7F031B7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产品收藏：可收藏感兴趣的产品。</w:t>
            </w:r>
          </w:p>
          <w:p w14:paraId="06FCBB5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店铺收藏：可收藏感兴趣的店铺。</w:t>
            </w:r>
          </w:p>
          <w:p w14:paraId="5C3E81C0">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7.采用现实国际贸易公司的预算方法，涉及的费用计算部分 30 多项。强化学习者成本费用和利润核算的能力。</w:t>
            </w:r>
          </w:p>
          <w:p w14:paraId="10A0F53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8.需提供完整的外贸函电流程，学生可在系统中进行外贸函电磋商，磋商流程包括建立新业务、询盘、发盘、还盘、接受，另外提供指定运输公司、装运通知等函电类型。</w:t>
            </w:r>
          </w:p>
          <w:p w14:paraId="7A99F70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9.系统至少涵盖 54 种贸易流程组合，其中 5 种结算方式（L/C、全款 T/T、前 T/T 定金+后 T/T 尾款相结合、D/P、D/A）、9 种贸易术语（CIF、FOB、CFR、CIP、FCA、CPT、FAS、DAP、DPU）、2 种运输方式（海运、空运）。</w:t>
            </w:r>
          </w:p>
          <w:p w14:paraId="05CF1B4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10.系统在履约过程中，每种贸易方式、支付方式都有自己对应的动态进出口流程图，且根据状态的不同显示不同颜色。系统还提供了多种详细操作示例供学生参考。</w:t>
            </w:r>
          </w:p>
          <w:p w14:paraId="75D90A28">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11.系统具有自动流程控制、错误提示功能，并以业务日志形式，提供详细的操作记录。并提供单据检查功能，能够在每张单据界面错误栏位处给出精准提示。</w:t>
            </w:r>
          </w:p>
          <w:p w14:paraId="019F287B">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12.系统需模拟 ASONE 国家外汇管理局应用服务平台完成国际收支网上申报、外汇监测系统网上申报工作。</w:t>
            </w:r>
          </w:p>
          <w:p w14:paraId="141A737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13.系统至少包含 47 种的进出口单据，单据与现实业务中所用单据一致，并提供每张单据参考样本和详细的填写说明。</w:t>
            </w:r>
          </w:p>
          <w:p w14:paraId="29F8EE7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14.系统需满足海关总署关检合并政策，原检验检疫局合并入海关，使用进出口货物报关单及填制规范，取消出/入境货物通关单。</w:t>
            </w:r>
          </w:p>
          <w:p w14:paraId="74C8E48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15.系统银行含有贷款、押汇功能，学生可以通过贷款、押汇融资手段，满足自己对资金的需求。</w:t>
            </w:r>
          </w:p>
          <w:p w14:paraId="2A8C945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16.系统需提供详细的财务流水记录及每笔银行贷款的金额和贷款总金额</w:t>
            </w:r>
            <w:r>
              <w:rPr>
                <w:rFonts w:hint="eastAsia" w:ascii="宋体" w:hAnsi="宋体" w:cs="宋体"/>
                <w:color w:val="auto"/>
                <w:sz w:val="22"/>
                <w:szCs w:val="22"/>
                <w:lang w:eastAsia="zh-CN"/>
              </w:rPr>
              <w:t>，以及</w:t>
            </w:r>
            <w:r>
              <w:rPr>
                <w:rFonts w:hint="eastAsia" w:ascii="宋体" w:hAnsi="宋体" w:eastAsia="宋体" w:cs="宋体"/>
                <w:color w:val="auto"/>
                <w:sz w:val="22"/>
                <w:szCs w:val="22"/>
              </w:rPr>
              <w:t>还款情况。</w:t>
            </w:r>
          </w:p>
          <w:p w14:paraId="59DB0463">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17.系统需引入时间机制，需将现实中的办理业务等待天数转换为小时，让学生练习如何管理多笔同时进行履约的业务，学会如何合理安排时间。教师还可以将课程设置为无时间等待。</w:t>
            </w:r>
          </w:p>
          <w:p w14:paraId="2B9CCBDB">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18.引入了各种货物遇险情景，模拟了外贸业务中遇到的风险，例如货物失窃、运输工具遇险等，通过各种风险，使学生深刻了解货物运输保险的重要性。</w:t>
            </w:r>
          </w:p>
          <w:p w14:paraId="7267F9E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19.系统需包含一般原产地证、普惠制产地证、RCEP 原产地证书，用户可根据实际业务选择缮制和应用。</w:t>
            </w:r>
          </w:p>
          <w:p w14:paraId="4CF33A48">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20.系统针对贸易中容易出现的纠纷问题，提供网上仲裁，模拟真实的仲裁程序，为交易提供一定的保障。</w:t>
            </w:r>
          </w:p>
          <w:p w14:paraId="109E1D3B">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21.提供了专业的百科，包括操作指南、B2B 跨境电商平台操作指引、进出口报价和成本核算方法和实例、函电书写方法和范例、单据的样本和填写说明、履约流程操作示例等，以及外贸实务的相关知识，可以指导学生完成业务。</w:t>
            </w:r>
          </w:p>
          <w:p w14:paraId="31A3806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22.学生可自行查询个人使用总结，包含总成绩、学习能力、业务能力、跟单能力目前的等级。还可以查询学生的各项使用数据，如业务数量、财务盈亏率、进出口预算得分、每张单据的得分以及各贸易术语、结算方式、运输方式的使用次数等详细使用数据。</w:t>
            </w:r>
          </w:p>
          <w:p w14:paraId="21A7F31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23. B2B 模块供货与架构</w:t>
            </w:r>
          </w:p>
          <w:p w14:paraId="62E4CE2A">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★（1）该模块采用 C/S 与 B/S 混合架构，学生端需通过客户端进行操作：</w:t>
            </w:r>
          </w:p>
          <w:p w14:paraId="55303A0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客户端兼容 Windows 操作系统；推荐硬件配置：操作系统 Windows Server 2016，CPU：六核，内存：16GB，硬盘：600G，网络接口：千兆以太网卡×1。具体结合院校机房实际环境另行评估。</w:t>
            </w:r>
          </w:p>
          <w:p w14:paraId="7EBABED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C/S 架构为了实现学生在跟单操作下的数据传输的迅速性与防止丢单，对比纯 B/S 架构具备不可替代优势。</w:t>
            </w:r>
          </w:p>
          <w:p w14:paraId="1E1CED8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（2）该模块供货形式需为校内本地服务器安装，需支持同时在线人数不少于 100 人。</w:t>
            </w:r>
          </w:p>
          <w:p w14:paraId="7D6C9794">
            <w:pPr>
              <w:keepNext/>
              <w:widowControl/>
              <w:spacing w:line="320" w:lineRule="exact"/>
              <w:jc w:val="left"/>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二、外贸 B2C 模块</w:t>
            </w:r>
          </w:p>
          <w:p w14:paraId="618A576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系统模拟多个国家的消费市场（至少包含美国、德国、俄罗斯、巴西）开展跨境电商业务。学生用户以个人或团队的模式创建跨境企业并进行经营。系统模拟的企业运营包含市场调研、产品开发、运营推广、仓储物流、财务分析等完整的业务流程，经营采用博弈的方式，系统对用户在各个运营环节中的决策、预算分配进行联动，实时呈现不同经营决策下的运营结果。（逻辑关系解释如下：学生市场调研完用户市场需求后（模拟的跨境电商环境与需求），去国内模拟市场如 1688，采购认为好销售的商品去国外 B2C 市场销售，销售过程中对应产品的仓储方式，是运营的环节之一，经过产品价格、推广、仓储物流等方式的运营去销售，会形成一定的财务情况，通过财务的盈亏分析，来对自己的运营策略进行动态调整，形成一个闭环。）</w:t>
            </w:r>
          </w:p>
          <w:p w14:paraId="40C1203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2.系统需至少能提供同等的平台来模拟三大主流跨境电商 B2C 平台。学生通过经营模拟店铺来熟悉各个跨境平台的特点和规则，掌握各个平台的经营技巧。</w:t>
            </w:r>
          </w:p>
          <w:p w14:paraId="7B6CB3D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3.系统以回合制的方式计算运营周期，且由计算机模拟市场的各种行为，非角色扮演。系统提供企业经营的计算模型，每个回合结束后系统根据学生的各项决策对其经营的产品和店铺进行排名，并模拟消费者自动购买，通过定量指标为用户展示每个回合的各项运营报告，最终给出运营结果及评价。</w:t>
            </w:r>
          </w:p>
          <w:p w14:paraId="214BC73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4.系统至少包含市场调研、采购管理、仓储管理、店铺运营、财务管理、运营结果等模块。</w:t>
            </w:r>
          </w:p>
          <w:p w14:paraId="46DB7D9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（1）市场调研</w:t>
            </w:r>
          </w:p>
          <w:p w14:paraId="0D2B361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市场调研模块包含环境数据、市场前期调研、电商平台和仓储物流四大模块。</w:t>
            </w:r>
          </w:p>
          <w:p w14:paraId="44F6FDD0">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①</w:t>
            </w:r>
            <w:r>
              <w:rPr>
                <w:rFonts w:hint="eastAsia" w:ascii="宋体" w:hAnsi="宋体" w:eastAsia="宋体" w:cs="宋体"/>
                <w:color w:val="auto"/>
                <w:sz w:val="22"/>
                <w:szCs w:val="22"/>
              </w:rPr>
              <w:t>环境数据</w:t>
            </w:r>
          </w:p>
          <w:p w14:paraId="514109A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  · 至少包含市场环境介绍：包含每回合的市场快讯、消费者数量分布曲线图以及当前跨境电商市场具有代表性的国家。其中，市场快讯为每回合赋予了不同的市场环境及需求变化，学生可以从中把握消费热点、市场变化等信息来布局及调整其市场决策。</w:t>
            </w:r>
          </w:p>
          <w:p w14:paraId="00CAF80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  · 至少包含货币兑换：包含当前外汇牌价和走势折线图，以及汇率计算器。在模拟运营过程中，不同回合的汇率可能会出现变化，需要学生能应对汇率带来的风险。</w:t>
            </w:r>
          </w:p>
          <w:p w14:paraId="52D4B03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  · 至少包含税收扣费方式：包含关税和增值税的计算公式，不同国家、不同品类、不同货值的产品使用海外仓所需缴纳的进口关税和增值税的税率、起征点，以及企业所得税的征收周期、计算公式和税率。</w:t>
            </w:r>
          </w:p>
          <w:p w14:paraId="12E758AE">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  · 至少包含融资方式：包含中小企业信用贷款、应收账款质押贷款两种贷款模式，并提供贷款额度计算公式、还款金额计算公式、利率表供学生查询。通过还款计算器，系统可以根据用户输入的本金和贷款期限自动算出每回合的还款金额、支付利息总额和所有应还款金额。</w:t>
            </w:r>
          </w:p>
          <w:p w14:paraId="70C5279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②</w:t>
            </w:r>
            <w:r>
              <w:rPr>
                <w:rFonts w:hint="eastAsia" w:ascii="宋体" w:hAnsi="宋体" w:eastAsia="宋体" w:cs="宋体"/>
                <w:color w:val="auto"/>
                <w:sz w:val="22"/>
                <w:szCs w:val="22"/>
              </w:rPr>
              <w:t>市场前期调研</w:t>
            </w:r>
          </w:p>
          <w:p w14:paraId="5670AEE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至少包括三大模拟平台的首页展示信息和所有已发布的产品详情，帮助学生做好竞争者定价分析。</w:t>
            </w:r>
          </w:p>
          <w:p w14:paraId="4DDF2AD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③</w:t>
            </w:r>
            <w:r>
              <w:rPr>
                <w:rFonts w:hint="eastAsia" w:ascii="宋体" w:hAnsi="宋体" w:eastAsia="宋体" w:cs="宋体"/>
                <w:color w:val="auto"/>
                <w:sz w:val="22"/>
                <w:szCs w:val="22"/>
              </w:rPr>
              <w:t>电商平台</w:t>
            </w:r>
          </w:p>
          <w:p w14:paraId="238391C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至少包含三大模拟平台的特点、在各个国家的市场渗透率、产品佣金、店铺订阅费、账期等在运营过程中所必须了解的信息。</w:t>
            </w:r>
          </w:p>
          <w:p w14:paraId="66EFD330">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④</w:t>
            </w:r>
            <w:r>
              <w:rPr>
                <w:rFonts w:hint="eastAsia" w:ascii="宋体" w:hAnsi="宋体" w:eastAsia="宋体" w:cs="宋体"/>
                <w:color w:val="auto"/>
                <w:sz w:val="22"/>
                <w:szCs w:val="22"/>
              </w:rPr>
              <w:t>仓储物流</w:t>
            </w:r>
          </w:p>
          <w:p w14:paraId="626C19CE">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系统需模拟真实环境中的多种物流方式，至少包含 DHL、E 特快、E 邮宝、中邮挂号小包、联邦国际快递、佳成国际空派以及大森林国际海派等或具有同等服务能力的物流商。学生应根据所售产品的特点以及物流服务的价格和时效性来选择合适的物流模式。具体</w:t>
            </w:r>
            <w:r>
              <w:rPr>
                <w:rFonts w:hint="eastAsia" w:ascii="宋体" w:hAnsi="宋体" w:cs="宋体"/>
                <w:color w:val="auto"/>
                <w:sz w:val="22"/>
                <w:szCs w:val="22"/>
                <w:lang w:eastAsia="zh-CN"/>
              </w:rPr>
              <w:t>涉及</w:t>
            </w:r>
            <w:r>
              <w:rPr>
                <w:rFonts w:hint="eastAsia" w:ascii="宋体" w:hAnsi="宋体" w:eastAsia="宋体" w:cs="宋体"/>
                <w:color w:val="auto"/>
                <w:sz w:val="22"/>
                <w:szCs w:val="22"/>
              </w:rPr>
              <w:t>的功能如下：</w:t>
            </w:r>
          </w:p>
          <w:p w14:paraId="5A9DA4C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  · 至少包含物流计费说明及各个不同的物流公司的账期和物流费折扣，并提供物流</w:t>
            </w:r>
            <w:r>
              <w:rPr>
                <w:rFonts w:hint="eastAsia" w:ascii="宋体" w:hAnsi="宋体" w:cs="宋体"/>
                <w:color w:val="auto"/>
                <w:sz w:val="22"/>
                <w:szCs w:val="22"/>
                <w:lang w:eastAsia="zh-CN"/>
              </w:rPr>
              <w:t>费计</w:t>
            </w:r>
            <w:r>
              <w:rPr>
                <w:rFonts w:hint="eastAsia" w:ascii="宋体" w:hAnsi="宋体" w:eastAsia="宋体" w:cs="宋体"/>
                <w:color w:val="auto"/>
                <w:sz w:val="22"/>
                <w:szCs w:val="22"/>
              </w:rPr>
              <w:t>算工具，输入始发地和目的地以及货物的体积和重量，即可自动计算出不同物流公司的物流费；</w:t>
            </w:r>
          </w:p>
          <w:p w14:paraId="07A0691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  · 至少包含国内仓库不同尺寸商品的仓储费率和清仓抛售折扣等信息；</w:t>
            </w:r>
          </w:p>
          <w:p w14:paraId="13164BB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  · 至少包含美国、德国、俄罗斯、巴西等不同国家的海外仓库的仓储费率、配送服务费率、清仓抛售折扣等信息；</w:t>
            </w:r>
          </w:p>
          <w:p w14:paraId="78FAA39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  · 至少包含美国、德国的模拟平台配送的仓储费率、配送服务费率以及清仓抛售折扣等信息。</w:t>
            </w:r>
          </w:p>
          <w:p w14:paraId="3980018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（2）采购管理</w:t>
            </w:r>
          </w:p>
          <w:p w14:paraId="21B59D90">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需模拟真实的批发网站，提供丰富的产品，不同剧本配备不同品类的产品。每款产品包括产品图片、产品价格、起订量、物流成本、包装信息、详情描述、产品品级等信息。在不同回合，根据产品在市场上的销量情况，产品的价格与库存会发生动态变化。</w:t>
            </w:r>
          </w:p>
          <w:p w14:paraId="4F9D9DF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需包含每回合的采购清单，可查询过往回合的采购清单也可以修改当前回合的采购计划。</w:t>
            </w:r>
          </w:p>
          <w:p w14:paraId="0962DF8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（3）仓储管理</w:t>
            </w:r>
          </w:p>
          <w:p w14:paraId="726ADFF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至少需包含库存清单、清仓抛售计划和调仓计划等模块。</w:t>
            </w:r>
          </w:p>
          <w:p w14:paraId="26C01B6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库存清单</w:t>
            </w:r>
          </w:p>
          <w:p w14:paraId="3F24D46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至少包含每回合的仓储清单，可查询每个产品的品级、存货均价、当期可用数量和合计数量、货值等。</w:t>
            </w:r>
          </w:p>
          <w:p w14:paraId="07A3302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清仓抛售计划</w:t>
            </w:r>
          </w:p>
          <w:p w14:paraId="2848B7EB">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至少包含清仓抛售功能，以便卖家处理库存中的滞销产品。</w:t>
            </w:r>
          </w:p>
          <w:p w14:paraId="4EFEB8E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调仓计划</w:t>
            </w:r>
          </w:p>
          <w:p w14:paraId="380F620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至少包含调仓计划，卖家可将任意本地库存中的商品调到美国、德国、巴西、俄罗斯等海外仓库。调仓计划可以选择不同的物流，分别对应不同的时效和费用。</w:t>
            </w:r>
          </w:p>
          <w:p w14:paraId="7DDCBE9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（4）店铺运营</w:t>
            </w:r>
          </w:p>
          <w:p w14:paraId="30F44E7E">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系统至少需包含三个跨境电商平台分别模拟三大主流跨境电商 B2C 平台的规则和特点。需仿真真实的操作，学生可在各个平台的页面中查看店铺数据、发布产品、查询订单信息等，还可以利用平台营销工具、社交网络营销工具、展示设计等模拟实际跨境电商平台的营销工具为店铺和产品进行营销推广。</w:t>
            </w:r>
          </w:p>
          <w:p w14:paraId="68179F1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①</w:t>
            </w:r>
            <w:r>
              <w:rPr>
                <w:rFonts w:hint="eastAsia" w:ascii="宋体" w:hAnsi="宋体" w:eastAsia="宋体" w:cs="宋体"/>
                <w:color w:val="auto"/>
                <w:sz w:val="22"/>
                <w:szCs w:val="22"/>
              </w:rPr>
              <w:t>我的店铺</w:t>
            </w:r>
          </w:p>
          <w:p w14:paraId="24BC356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  · 系统至少提供各个回合各个不同国家市场的地区流量分布，以及地区流量趋势图，以此来分析店铺的主要市场国以及流量来源。</w:t>
            </w:r>
          </w:p>
          <w:p w14:paraId="764C3EC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  · 系统至少提供各个回合各个不同类目的流量分布图和类目流量趋势图，从中可以看到各个品类的主营产品带来的流量情况，为后期优化产品、调整产品定位做数据支撑。</w:t>
            </w:r>
          </w:p>
          <w:p w14:paraId="19FB6F50">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②</w:t>
            </w:r>
            <w:r>
              <w:rPr>
                <w:rFonts w:hint="eastAsia" w:ascii="宋体" w:hAnsi="宋体" w:eastAsia="宋体" w:cs="宋体"/>
                <w:color w:val="auto"/>
                <w:sz w:val="22"/>
                <w:szCs w:val="22"/>
              </w:rPr>
              <w:t>商品中心</w:t>
            </w:r>
          </w:p>
          <w:p w14:paraId="40693D7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系统至少提供产品上架功能，学生可上架页面可完整撰写产品标题、制定产品价格及折扣、选择发货地并填写上架量、选择确认发往各个目标市场国家的物流方式。</w:t>
            </w:r>
          </w:p>
          <w:p w14:paraId="459C042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③</w:t>
            </w:r>
            <w:r>
              <w:rPr>
                <w:rFonts w:hint="eastAsia" w:ascii="宋体" w:hAnsi="宋体" w:eastAsia="宋体" w:cs="宋体"/>
                <w:color w:val="auto"/>
                <w:sz w:val="22"/>
                <w:szCs w:val="22"/>
              </w:rPr>
              <w:t>平台营销工具</w:t>
            </w:r>
          </w:p>
          <w:p w14:paraId="597496B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系统至少为三个平台均提供了平台营销工具，模拟了真实跨境电商平台的站内广告。平台营销工具是针对单个商品进行推广。</w:t>
            </w:r>
          </w:p>
          <w:p w14:paraId="4D02718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④</w:t>
            </w:r>
            <w:r>
              <w:rPr>
                <w:rFonts w:hint="eastAsia" w:ascii="宋体" w:hAnsi="宋体" w:eastAsia="宋体" w:cs="宋体"/>
                <w:color w:val="auto"/>
                <w:sz w:val="22"/>
                <w:szCs w:val="22"/>
              </w:rPr>
              <w:t>社交网络营销工具</w:t>
            </w:r>
          </w:p>
          <w:p w14:paraId="1344C74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系统至少需提供软文推广和网红直播两种社交网络营销工具，可针对单个商品进行推广，需要选择不同的目标市场。软文推广有 4 种套餐，网红直播有 3 种套餐供卖家选择，不同的套餐费用和效果都不同。</w:t>
            </w:r>
          </w:p>
          <w:p w14:paraId="14685028">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⑤</w:t>
            </w:r>
            <w:r>
              <w:rPr>
                <w:rFonts w:hint="eastAsia" w:ascii="宋体" w:hAnsi="宋体" w:eastAsia="宋体" w:cs="宋体"/>
                <w:color w:val="auto"/>
                <w:sz w:val="22"/>
                <w:szCs w:val="22"/>
              </w:rPr>
              <w:t>订单</w:t>
            </w:r>
          </w:p>
          <w:p w14:paraId="3130AFF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系统至少需展示当前平台不同回合的已销售产品信息，至少包括每回合每个国家每个产品的订单数量、销售价格、销售总收入、买家支付的运费等。</w:t>
            </w:r>
          </w:p>
          <w:p w14:paraId="142979D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（5）财务管理</w:t>
            </w:r>
          </w:p>
          <w:p w14:paraId="3A2646B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至少包含当前回合的资金流向展示、贷款工具。</w:t>
            </w:r>
          </w:p>
          <w:p w14:paraId="02CD0A0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①</w:t>
            </w:r>
            <w:r>
              <w:rPr>
                <w:rFonts w:hint="eastAsia" w:ascii="宋体" w:hAnsi="宋体" w:eastAsia="宋体" w:cs="宋体"/>
                <w:color w:val="auto"/>
                <w:sz w:val="22"/>
                <w:szCs w:val="22"/>
              </w:rPr>
              <w:t>资金</w:t>
            </w:r>
          </w:p>
          <w:p w14:paraId="294EB2E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模拟真实的资金报表，系统至少需提供当前回合公司的现金、收入、支出的总数据，以及现金流（包括上回合期末、当前收入、当前支出等）、当前收入（包括实收资本、贷款、应收账款回款等）、当前支出（包括店铺订阅费、采购商品的费用、采购商品的运费、关税、企业所得税、贷款利息等）这 3 项的具体数据。并以上回合期末和当前的现金流对比图、当前收入结构和分布图、当前支出结构和分布图可更为形象地展示了公司的财务情况。</w:t>
            </w:r>
          </w:p>
          <w:p w14:paraId="3A4AFD2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②</w:t>
            </w:r>
            <w:r>
              <w:rPr>
                <w:rFonts w:hint="eastAsia" w:ascii="宋体" w:hAnsi="宋体" w:eastAsia="宋体" w:cs="宋体"/>
                <w:color w:val="auto"/>
                <w:sz w:val="22"/>
                <w:szCs w:val="22"/>
              </w:rPr>
              <w:t>贷款</w:t>
            </w:r>
          </w:p>
          <w:p w14:paraId="275ECB5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系统需提供至少两种贷款方式，模拟真实的贷款环境。</w:t>
            </w:r>
          </w:p>
          <w:p w14:paraId="6503F898">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  · 至少模拟中小企业信用贷款：贷款本金金额、还款的总期数和利率至少有 3 种组合供学生选择。</w:t>
            </w:r>
          </w:p>
          <w:p w14:paraId="7D5C991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  · 至少模拟现实中的应收账款质押贷款：系统能根据实际应收账款的回款时间决定可以贷款的金额。</w:t>
            </w:r>
          </w:p>
          <w:p w14:paraId="63646C9E">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（6）运营结果</w:t>
            </w:r>
          </w:p>
          <w:p w14:paraId="2257104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模拟真实的跨境电商公司运营结果分析，系统至少包括财务分析、订单分析、利润分析和库存分析四大数据分析模块，包含资产负债表、利润表、现金流量表、企业所得税纳税申报表等不少于 22 张数据报表。报表中的所有数据均为动态显示的，来源于学生当前和过往回合的实际运营数据</w:t>
            </w:r>
            <w:r>
              <w:rPr>
                <w:rFonts w:hint="eastAsia" w:ascii="宋体" w:hAnsi="宋体" w:cs="宋体"/>
                <w:color w:val="auto"/>
                <w:sz w:val="22"/>
                <w:szCs w:val="22"/>
                <w:lang w:eastAsia="zh-CN"/>
              </w:rPr>
              <w:t>，</w:t>
            </w:r>
            <w:r>
              <w:rPr>
                <w:rFonts w:hint="eastAsia" w:ascii="宋体" w:hAnsi="宋体" w:eastAsia="宋体" w:cs="宋体"/>
                <w:color w:val="auto"/>
                <w:sz w:val="22"/>
                <w:szCs w:val="22"/>
              </w:rPr>
              <w:t>为学生</w:t>
            </w:r>
            <w:r>
              <w:rPr>
                <w:rFonts w:hint="eastAsia" w:ascii="宋体" w:hAnsi="宋体" w:cs="宋体"/>
                <w:color w:val="auto"/>
                <w:sz w:val="22"/>
                <w:szCs w:val="22"/>
                <w:lang w:eastAsia="zh-CN"/>
              </w:rPr>
              <w:t>提供</w:t>
            </w:r>
            <w:r>
              <w:rPr>
                <w:rFonts w:hint="eastAsia" w:ascii="宋体" w:hAnsi="宋体" w:eastAsia="宋体" w:cs="宋体"/>
                <w:color w:val="auto"/>
                <w:sz w:val="22"/>
                <w:szCs w:val="22"/>
              </w:rPr>
              <w:t>分析自己运营状况的依据，从而进行分析和总结，并制定后续的运营策略。</w:t>
            </w:r>
          </w:p>
          <w:p w14:paraId="4D748DF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①</w:t>
            </w:r>
            <w:r>
              <w:rPr>
                <w:rFonts w:hint="eastAsia" w:ascii="宋体" w:hAnsi="宋体" w:eastAsia="宋体" w:cs="宋体"/>
                <w:color w:val="auto"/>
                <w:sz w:val="22"/>
                <w:szCs w:val="22"/>
              </w:rPr>
              <w:t>财务分析</w:t>
            </w:r>
          </w:p>
          <w:p w14:paraId="2DD3FE3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模拟真实的财务报表，系统需至少包含资产负债表、利润表、现金流量表、企业所得税纳税申报表、店铺应收账款结算计划表、贷款还款计划表、物流服务费用结算计划表等 7 个表单。这些表单数据均为动态显示的，来源于学生当前和过往回合的实际运营数据。具体如下：</w:t>
            </w:r>
          </w:p>
          <w:p w14:paraId="3333E9E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资产负债表：模拟真实的资产负债表，系统需至少包含现金、应收账款、存货等流动资产数据，以及贷款、应付账款等流动负债，实收资本、未分配利润等所有者权益等动态数据。</w:t>
            </w:r>
          </w:p>
          <w:p w14:paraId="28A97EBB">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利润表：模拟真实的利润表，系统需至少包含营业收入、营业外收入、销售商品的成本、销售费用、财务费用、利润总额、企业所得税、净利润等动态数据。</w:t>
            </w:r>
          </w:p>
          <w:p w14:paraId="3D7D4570">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现金流量表：模拟真实的现金流量表，系统需至少包括应收账款回款、清仓抛售的收入、销售商品的运费、仓储费、增值税、关税、企业所得税实收资本、贷款本金、贷款利息、现金余额等动态数据。</w:t>
            </w:r>
          </w:p>
          <w:p w14:paraId="288F4C63">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企业所得税纳税申报表：模拟真实的企业所得税纳税申报表，系统需至少包括营业收入、营业支出、营业利润、税率、实际应缴纳所得税额、实际已缴纳所得税额、应补退所得税额等动态数据。</w:t>
            </w:r>
          </w:p>
          <w:p w14:paraId="145EB883">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店铺应收账款结算计划表：需至少列明三个平台各回合的回款结算金额。</w:t>
            </w:r>
          </w:p>
          <w:p w14:paraId="11F869A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贷款还款计划表：需至少列明各个还款回合的当期本金、当期利息、管理费、当期应还款总额、剩余应还款总额、还款状态等动态数据。</w:t>
            </w:r>
          </w:p>
          <w:p w14:paraId="6B6E692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物流服务费用结算计划表：需至少列明各个运费结算回合的运费合计、折扣合计和实际支付运费合计三项动态数据。</w:t>
            </w:r>
          </w:p>
          <w:p w14:paraId="0125CFB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②</w:t>
            </w:r>
            <w:r>
              <w:rPr>
                <w:rFonts w:hint="eastAsia" w:ascii="宋体" w:hAnsi="宋体" w:eastAsia="宋体" w:cs="宋体"/>
                <w:color w:val="auto"/>
                <w:sz w:val="22"/>
                <w:szCs w:val="22"/>
              </w:rPr>
              <w:t>订单分析</w:t>
            </w:r>
          </w:p>
          <w:p w14:paraId="6B82311D">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模拟真实的跨境电商公司订单分析，系统需至少包含订单总收入、地区订单收入、店铺订单收入、商品订单收入、商品订单量排名、商品流量和订单、商品流量来源、店铺广告业绩共 8 项分析报告。每项报告中的数据均为动态显示的，来源于学生当前和往回合的实际运营数据。具体如下：</w:t>
            </w:r>
          </w:p>
          <w:p w14:paraId="204514F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订单总收入：需至少列明每个回合的订单数量、销售商品的收入、买家支付的运费、订单总额这四项具体数据以及根据各回合数据产生的折线图。</w:t>
            </w:r>
          </w:p>
          <w:p w14:paraId="20A910C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地区订单收入：需至少列明每回合各个目标消费市场（至少包括美国、俄罗斯、巴西、德国）的订单数量、销售商品的收入、买家支付的运费以及订单总额这四项具体数据以及根据各回合数据产生的折线图。</w:t>
            </w:r>
          </w:p>
          <w:p w14:paraId="3930722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店铺订单收入：需至少列明三大模拟平台各回合的订单数量、销售商品的收入、买家支付的运费、订单总额的实际数值，并提供每个数据的折线图。</w:t>
            </w:r>
          </w:p>
          <w:p w14:paraId="32630740">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商品订单收入：需至少列明三大模拟平台各回合的每个商品的订单数量、销售商品的收入、买家支付的运费和订单总额等数据，并提供每个数据的折线图。</w:t>
            </w:r>
          </w:p>
          <w:p w14:paraId="00084CEE">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商品订单量排名：需至少列明三大模拟平台各回合的每个商品的订单数量以及排名，并提供各回合订单数量和排名的趋势图。</w:t>
            </w:r>
          </w:p>
          <w:p w14:paraId="7D4504E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商品流量和订单：需至少列明三大模拟平台各回合的每个商品的曝光量、浏览量、订单量、转化率和订单总额的数据，并提供每个数据的折线图。</w:t>
            </w:r>
          </w:p>
          <w:p w14:paraId="2FFAD8D3">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商品流量来源：需至少列明三大模拟平台各回合的每个商品来自站内、平台营销工具、社交网络营销工具、店内及合计流量的数据，并提供浏览量趋势图和流量来源分布图。</w:t>
            </w:r>
          </w:p>
          <w:p w14:paraId="357CCE2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店铺广告业绩：需至少列明三大模拟平台各回合的曝光量、点击量、点击率、广告带来的订单数量、转化率、广告带来的订单总额、广告费、广告支出回报率的数据，并提供广告带来的订单数量趋势图、广告带来的订单总额趋势图、广告费趋势图、广告支出回报率趋势图。</w:t>
            </w:r>
          </w:p>
          <w:p w14:paraId="575AB46E">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③</w:t>
            </w:r>
            <w:r>
              <w:rPr>
                <w:rFonts w:hint="eastAsia" w:ascii="宋体" w:hAnsi="宋体" w:eastAsia="宋体" w:cs="宋体"/>
                <w:color w:val="auto"/>
                <w:sz w:val="22"/>
                <w:szCs w:val="22"/>
              </w:rPr>
              <w:t>利润分析</w:t>
            </w:r>
          </w:p>
          <w:p w14:paraId="17F5E22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模拟真实的跨境电商公司利润分析，系统至少需提供营业收入、地区销售利润、店铺销售利润、商品销售利润的相关分析数据。</w:t>
            </w:r>
          </w:p>
          <w:p w14:paraId="68AEA53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营业收入：需至少列明公司各回合的销售商品的收入、买家支付的运费、清仓抛售的收入和合计收入的具体数据以及根据各回合数据产生的趋势图。</w:t>
            </w:r>
          </w:p>
          <w:p w14:paraId="5F90BD3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地区销售利润：需至少列明每个国家消费市场每回合的收入、成本、毛利、毛利率的具体数据以及根据各回合数据产生的趋势图。</w:t>
            </w:r>
          </w:p>
          <w:p w14:paraId="5114F09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店铺销售利润：需至少列明三大模拟平台各回合的收入、成本、毛利、毛利率的具体数据以及根据各回合数据产生的趋势图。</w:t>
            </w:r>
          </w:p>
          <w:p w14:paraId="2A3087EB">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商品销售利润：需至少列明三大模拟平台每个商品各回合的销售数量、收入、成本、毛利、毛利率的具体数据以及根据各回合数据产生的趋势图。</w:t>
            </w:r>
          </w:p>
          <w:p w14:paraId="19A3C28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cs="宋体"/>
                <w:color w:val="auto"/>
                <w:sz w:val="22"/>
                <w:szCs w:val="22"/>
                <w:lang w:eastAsia="zh-CN"/>
              </w:rPr>
              <w:t>④</w:t>
            </w:r>
            <w:r>
              <w:rPr>
                <w:rFonts w:hint="eastAsia" w:ascii="宋体" w:hAnsi="宋体" w:eastAsia="宋体" w:cs="宋体"/>
                <w:color w:val="auto"/>
                <w:sz w:val="22"/>
                <w:szCs w:val="22"/>
              </w:rPr>
              <w:t>库存分析</w:t>
            </w:r>
          </w:p>
          <w:p w14:paraId="209D6DF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模拟真实的跨境电商的库存分析，系统至少需包括库存清单、发货信息、库存动销率的相关分析数据。</w:t>
            </w:r>
          </w:p>
          <w:p w14:paraId="6438D02E">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库存清单：需至少列明各回合的所有库存商品的均价、合计数量、当期可用数量、货值，并详细列出每个商品在不同的仓库（国内仓、海外仓）的库存状况，至少需包括采购待入库、调仓待入库、上期剩余、当期入库、调仓出库、清仓抛售、当前可用数量的动态数据。</w:t>
            </w:r>
          </w:p>
          <w:p w14:paraId="6DB237F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  发货信息：需至少列明三大模拟平台各回合每个商品的订单数量、发货数量、待发货数量、未履行数量、期末库存数量等动态数据。</w:t>
            </w:r>
          </w:p>
          <w:p w14:paraId="0DD4FCBA">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 库存动销率：需至少列明各回合的所有库存商品的发货订单数量、期末库存数量和动销率的动态数据。</w:t>
            </w:r>
          </w:p>
          <w:p w14:paraId="00DC77D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5. 成绩</w:t>
            </w:r>
          </w:p>
          <w:p w14:paraId="336DF2C0">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系统需提供自动评分，成绩版块包括个人成绩及团队成绩，以及相关的排名与公司运营状况反馈。</w:t>
            </w:r>
          </w:p>
          <w:p w14:paraId="243AB99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6. 日程表</w:t>
            </w:r>
          </w:p>
          <w:p w14:paraId="3DCC3A9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系统需至少列明每个回合期初计算与期末计算的相关款项数据，以便学生</w:t>
            </w:r>
            <w:r>
              <w:rPr>
                <w:rFonts w:hint="eastAsia" w:ascii="宋体" w:hAnsi="宋体" w:cs="宋体"/>
                <w:color w:val="auto"/>
                <w:sz w:val="22"/>
                <w:szCs w:val="22"/>
                <w:lang w:eastAsia="zh-CN"/>
              </w:rPr>
              <w:t>能够</w:t>
            </w:r>
            <w:r>
              <w:rPr>
                <w:rFonts w:hint="eastAsia" w:ascii="宋体" w:hAnsi="宋体" w:eastAsia="宋体" w:cs="宋体"/>
                <w:color w:val="auto"/>
                <w:sz w:val="22"/>
                <w:szCs w:val="22"/>
              </w:rPr>
              <w:t>把控资金结算时间并做出相应的运营决策。</w:t>
            </w:r>
          </w:p>
          <w:p w14:paraId="1FE8495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7. 系统需提供中英文切换功能，可一键切换到全英文界面，既可以支持中英文双语教学，也可以为英</w:t>
            </w:r>
            <w:r>
              <w:rPr>
                <w:rFonts w:hint="eastAsia" w:ascii="宋体" w:hAnsi="宋体" w:cs="宋体"/>
                <w:color w:val="auto"/>
                <w:sz w:val="22"/>
                <w:szCs w:val="22"/>
                <w:lang w:val="en-US" w:eastAsia="zh-CN"/>
              </w:rPr>
              <w:t>文</w:t>
            </w:r>
            <w:r>
              <w:rPr>
                <w:rFonts w:hint="eastAsia" w:ascii="宋体" w:hAnsi="宋体" w:eastAsia="宋体" w:cs="宋体"/>
                <w:color w:val="auto"/>
                <w:sz w:val="22"/>
                <w:szCs w:val="22"/>
              </w:rPr>
              <w:t>语言用户提供顺畅的英文语言使用环境。</w:t>
            </w:r>
          </w:p>
          <w:p w14:paraId="09AC9DF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8. 该模块供货方式需为互联网形式登录，使用期限不少于一学期，使用期限内不限时间地点登录，学生端数量不少于 50 个。如需增加账号数量，成交供应商须提供账号扩容报价，采购人另行追加经费后完成账号增配。（账号数量解释：因为经费缩减，整体的账号数量缩减，需要增加账号数量</w:t>
            </w:r>
            <w:r>
              <w:rPr>
                <w:rFonts w:hint="eastAsia" w:ascii="宋体" w:hAnsi="宋体" w:cs="宋体"/>
                <w:color w:val="auto"/>
                <w:sz w:val="22"/>
                <w:szCs w:val="22"/>
                <w:lang w:eastAsia="zh-CN"/>
              </w:rPr>
              <w:t>，</w:t>
            </w:r>
            <w:r>
              <w:rPr>
                <w:rFonts w:hint="eastAsia" w:ascii="宋体" w:hAnsi="宋体" w:eastAsia="宋体" w:cs="宋体"/>
                <w:color w:val="auto"/>
                <w:sz w:val="22"/>
                <w:szCs w:val="22"/>
              </w:rPr>
              <w:t>需另外追加经费。）</w:t>
            </w:r>
          </w:p>
          <w:p w14:paraId="2630565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 配套云端补充要求：</w:t>
            </w:r>
          </w:p>
          <w:p w14:paraId="00A177BC">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（1）B2C 模块的云端服务器物理位置部署于中国大陆境内；</w:t>
            </w:r>
          </w:p>
          <w:p w14:paraId="089F245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（2）B2C</w:t>
            </w:r>
            <w:r>
              <w:rPr>
                <w:rFonts w:hint="eastAsia" w:ascii="宋体" w:hAnsi="宋体" w:cs="宋体"/>
                <w:color w:val="auto"/>
                <w:sz w:val="22"/>
                <w:szCs w:val="22"/>
                <w:lang w:eastAsia="zh-CN"/>
              </w:rPr>
              <w:t>“</w:t>
            </w:r>
            <w:r>
              <w:rPr>
                <w:rFonts w:hint="eastAsia" w:ascii="宋体" w:hAnsi="宋体" w:eastAsia="宋体" w:cs="宋体"/>
                <w:color w:val="auto"/>
                <w:sz w:val="22"/>
                <w:szCs w:val="22"/>
              </w:rPr>
              <w:t>使用期限一学期</w:t>
            </w:r>
            <w:r>
              <w:rPr>
                <w:rFonts w:hint="eastAsia" w:ascii="宋体" w:hAnsi="宋体" w:cs="宋体"/>
                <w:color w:val="auto"/>
                <w:sz w:val="22"/>
                <w:szCs w:val="22"/>
                <w:lang w:eastAsia="zh-CN"/>
              </w:rPr>
              <w:t>”</w:t>
            </w:r>
            <w:r>
              <w:rPr>
                <w:rFonts w:hint="eastAsia" w:ascii="宋体" w:hAnsi="宋体" w:eastAsia="宋体" w:cs="宋体"/>
                <w:color w:val="auto"/>
                <w:sz w:val="22"/>
                <w:szCs w:val="22"/>
              </w:rPr>
              <w:t>按院校自然学期计算；</w:t>
            </w:r>
          </w:p>
          <w:p w14:paraId="2C7EFD78">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（3）后续用户如需增加账号数量，成交供应商须提供账号扩容报价，续费单价不得超过 800 元/人/学期、1500 元/人/年，年续费涨幅上限不得超过报价的 10%，支持只续部分账号；追加经费到位后 3 个工作日内完成账号增配工作。</w:t>
            </w:r>
          </w:p>
          <w:p w14:paraId="2574546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（4）B2B、B2C 两个模块之间支持统一账户 SSO 单点登录。</w:t>
            </w:r>
          </w:p>
        </w:tc>
      </w:tr>
      <w:tr w14:paraId="22A76FD9">
        <w:tblPrEx>
          <w:tblCellMar>
            <w:top w:w="0" w:type="dxa"/>
            <w:left w:w="108" w:type="dxa"/>
            <w:bottom w:w="0" w:type="dxa"/>
            <w:right w:w="108" w:type="dxa"/>
          </w:tblCellMar>
        </w:tblPrEx>
        <w:trPr>
          <w:trHeight w:val="1390" w:hRule="atLeast"/>
        </w:trPr>
        <w:tc>
          <w:tcPr>
            <w:tcW w:w="407"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0FB80681">
            <w:pPr>
              <w:keepNext/>
              <w:widowControl/>
              <w:spacing w:line="3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4</w:t>
            </w:r>
          </w:p>
        </w:tc>
        <w:tc>
          <w:tcPr>
            <w:tcW w:w="8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9CD2F">
            <w:pPr>
              <w:keepNext/>
              <w:widowControl/>
              <w:spacing w:line="320" w:lineRule="exact"/>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公共管理AI决策演练沙盘对抗比赛平台软件</w:t>
            </w:r>
          </w:p>
        </w:tc>
        <w:tc>
          <w:tcPr>
            <w:tcW w:w="3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12E98">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第一部分：技术要求</w:t>
            </w:r>
          </w:p>
          <w:p w14:paraId="116CE22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1.B/S 架构，每个平台单独支持不少于 120 人并发访问；</w:t>
            </w:r>
          </w:p>
          <w:p w14:paraId="7050D0F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2.采用主流成熟企业级 Web 开发技术架构（不限定具体框架），系统稳定、兼容性强、扩展性好，适配长期教学迭代需求。</w:t>
            </w:r>
          </w:p>
          <w:p w14:paraId="576F85FE">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第二部分：功能要求</w:t>
            </w:r>
          </w:p>
          <w:p w14:paraId="523E9045">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软件由公共事业管理、行政管理、土地管理、城市管理等核心课程共同打造的一体化对抗比赛平台。平台以城市为载体，通过团队运营对抗的形式，结合城市整体运营规划策略和公共管理相关知识点，让学生能够更真实、更全面地理解公共管理的实践。</w:t>
            </w:r>
          </w:p>
          <w:p w14:paraId="27EAB3B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w:t>
            </w:r>
            <w:r>
              <w:rPr>
                <w:rFonts w:hint="eastAsia" w:ascii="宋体" w:hAnsi="宋体" w:eastAsia="宋体" w:cs="宋体"/>
                <w:b/>
                <w:bCs/>
                <w:color w:val="auto"/>
                <w:sz w:val="22"/>
                <w:szCs w:val="22"/>
              </w:rPr>
              <w:t>▲</w:t>
            </w:r>
            <w:r>
              <w:rPr>
                <w:rFonts w:hint="eastAsia" w:ascii="宋体" w:hAnsi="宋体" w:eastAsia="宋体" w:cs="宋体"/>
                <w:color w:val="auto"/>
                <w:sz w:val="22"/>
                <w:szCs w:val="22"/>
              </w:rPr>
              <w:t>软件应包含管理员、教师和学生三个端口，不同端口管理权限不同：管理员端口支持用户管理、班级管理、实验管理、自定义案例；教师端口支持班级管理、实验管理；学生端口包括实验列表、实验报告、通知消息、个人中心等功能。</w:t>
            </w:r>
          </w:p>
          <w:p w14:paraId="00D5EE8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2.</w:t>
            </w:r>
            <w:r>
              <w:rPr>
                <w:rFonts w:hint="eastAsia" w:ascii="宋体" w:hAnsi="宋体" w:eastAsia="宋体" w:cs="宋体"/>
                <w:b/>
                <w:bCs/>
                <w:color w:val="auto"/>
                <w:sz w:val="22"/>
                <w:szCs w:val="22"/>
              </w:rPr>
              <w:t>▲</w:t>
            </w:r>
            <w:r>
              <w:rPr>
                <w:rFonts w:hint="eastAsia" w:ascii="宋体" w:hAnsi="宋体" w:eastAsia="宋体" w:cs="宋体"/>
                <w:color w:val="auto"/>
                <w:sz w:val="22"/>
                <w:szCs w:val="22"/>
              </w:rPr>
              <w:t>软件应覆盖城市治理核心职能领域（不少于 7 个领域），包括但不限于：土地与自然资源、水务、交通、生态环境、公共财政、产业经济、公共安全、教育文化卫生、社会保障等；并通过相应的政府职能部门角色支撑实训。学生通过扮演相关政府人员，理解现实政府职能部门之间的联系与职责分工。</w:t>
            </w:r>
          </w:p>
          <w:p w14:paraId="3C128B32">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3.</w:t>
            </w:r>
            <w:r>
              <w:rPr>
                <w:rFonts w:hint="eastAsia" w:ascii="宋体" w:hAnsi="宋体" w:eastAsia="宋体" w:cs="宋体"/>
                <w:b/>
                <w:bCs/>
                <w:color w:val="auto"/>
                <w:sz w:val="22"/>
                <w:szCs w:val="22"/>
              </w:rPr>
              <w:t>▲</w:t>
            </w:r>
            <w:r>
              <w:rPr>
                <w:rFonts w:hint="eastAsia" w:ascii="宋体" w:hAnsi="宋体" w:eastAsia="宋体" w:cs="宋体"/>
                <w:color w:val="auto"/>
                <w:sz w:val="22"/>
                <w:szCs w:val="22"/>
              </w:rPr>
              <w:t>软件应提供不同城市背景模型（不少于 2 类，可自定义扩展），便于覆盖不同教学情境。</w:t>
            </w:r>
          </w:p>
          <w:p w14:paraId="52E8784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4.实景模拟平台采用虚拟场景呈现实验内容，场景中包含多个职能部门，支持不同场景之间的切换。</w:t>
            </w:r>
          </w:p>
          <w:p w14:paraId="56E5E554">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5.</w:t>
            </w:r>
            <w:r>
              <w:rPr>
                <w:rFonts w:hint="eastAsia" w:ascii="宋体" w:hAnsi="宋体" w:eastAsia="宋体" w:cs="宋体"/>
                <w:b/>
                <w:bCs/>
                <w:color w:val="auto"/>
                <w:sz w:val="22"/>
                <w:szCs w:val="22"/>
              </w:rPr>
              <w:t>▲</w:t>
            </w:r>
            <w:r>
              <w:rPr>
                <w:rFonts w:hint="eastAsia" w:ascii="宋体" w:hAnsi="宋体" w:eastAsia="宋体" w:cs="宋体"/>
                <w:color w:val="auto"/>
                <w:sz w:val="22"/>
                <w:szCs w:val="22"/>
              </w:rPr>
              <w:t>软件采用动态竞争机制，学生通过合理的策略制定，竞争人才、资本、产业等外部资源。</w:t>
            </w:r>
          </w:p>
          <w:p w14:paraId="44049953">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6.</w:t>
            </w:r>
            <w:r>
              <w:rPr>
                <w:rFonts w:hint="eastAsia" w:ascii="宋体" w:hAnsi="宋体" w:eastAsia="宋体" w:cs="宋体"/>
                <w:b/>
                <w:bCs/>
                <w:color w:val="auto"/>
                <w:sz w:val="22"/>
                <w:szCs w:val="22"/>
              </w:rPr>
              <w:t>▲</w:t>
            </w:r>
            <w:r>
              <w:rPr>
                <w:rFonts w:hint="eastAsia" w:ascii="宋体" w:hAnsi="宋体" w:eastAsia="宋体" w:cs="宋体"/>
                <w:color w:val="auto"/>
                <w:sz w:val="22"/>
                <w:szCs w:val="22"/>
              </w:rPr>
              <w:t>软件支持学生查看城市土地、资金等核心资源的实时变化数据，并据此及时调整策略，合理分配资源，争取团队竞争优势。</w:t>
            </w:r>
          </w:p>
          <w:p w14:paraId="6C5D092F">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7.软件应包含公共管理相关的专业知识考点题库，每期学生既要关注资源数据的变化，也要解答不同职能部门内以材料题形式呈现的知识考点题目。</w:t>
            </w:r>
          </w:p>
          <w:p w14:paraId="0CEAA731">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8.实时监控功能支持教师查看各阶段每组完成的状态、学生的所有操作以及运营数据变化的趋势。</w:t>
            </w:r>
          </w:p>
          <w:p w14:paraId="61348EB9">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9.</w:t>
            </w:r>
            <w:r>
              <w:rPr>
                <w:rFonts w:hint="eastAsia" w:ascii="宋体" w:hAnsi="宋体" w:eastAsia="宋体" w:cs="宋体"/>
                <w:b/>
                <w:bCs/>
                <w:color w:val="auto"/>
                <w:sz w:val="22"/>
                <w:szCs w:val="22"/>
              </w:rPr>
              <w:t>▲</w:t>
            </w:r>
            <w:r>
              <w:rPr>
                <w:rFonts w:hint="eastAsia" w:ascii="宋体" w:hAnsi="宋体" w:eastAsia="宋体" w:cs="宋体"/>
                <w:color w:val="auto"/>
                <w:sz w:val="22"/>
                <w:szCs w:val="22"/>
              </w:rPr>
              <w:t>实景模拟平台应支持以城市竞争力指标和知识考点得分两项评价维度进行自动打分，最终确定城市的排名；评分应采用动态打分制，依据其他城市经营情况以及模型公式共同得出小组分数。</w:t>
            </w:r>
          </w:p>
          <w:p w14:paraId="6981690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10.</w:t>
            </w:r>
            <w:r>
              <w:rPr>
                <w:rFonts w:hint="eastAsia" w:ascii="宋体" w:hAnsi="宋体" w:eastAsia="宋体" w:cs="宋体"/>
                <w:b/>
                <w:bCs/>
                <w:color w:val="auto"/>
                <w:sz w:val="22"/>
                <w:szCs w:val="22"/>
              </w:rPr>
              <w:t>▲</w:t>
            </w:r>
            <w:r>
              <w:rPr>
                <w:rFonts w:hint="eastAsia" w:ascii="宋体" w:hAnsi="宋体" w:eastAsia="宋体" w:cs="宋体"/>
                <w:color w:val="auto"/>
                <w:sz w:val="22"/>
                <w:szCs w:val="22"/>
              </w:rPr>
              <w:t>实验管理功能支持自定义创建实验，教师可设定实验期数、实验阶段时长、评价指标权重、角色分配规则等；支持记录学生操作，并以数据表、柱状图、折线图等多种方式展现各模块不同期数的数据变化；支持下载生成 PDF 格式的实验报告。</w:t>
            </w:r>
          </w:p>
          <w:p w14:paraId="682CEA3E">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11.</w:t>
            </w:r>
            <w:r>
              <w:rPr>
                <w:rFonts w:hint="eastAsia" w:ascii="宋体" w:hAnsi="宋体" w:eastAsia="宋体" w:cs="宋体"/>
                <w:b/>
                <w:bCs/>
                <w:color w:val="auto"/>
                <w:sz w:val="22"/>
                <w:szCs w:val="22"/>
              </w:rPr>
              <w:t>▲</w:t>
            </w:r>
            <w:r>
              <w:rPr>
                <w:rFonts w:hint="eastAsia" w:ascii="宋体" w:hAnsi="宋体" w:eastAsia="宋体" w:cs="宋体"/>
                <w:color w:val="auto"/>
                <w:sz w:val="22"/>
                <w:szCs w:val="22"/>
              </w:rPr>
              <w:t>软件应内置丰富的模型计算公式库，支持自定义增加或修改固定元素、变量元素、城市竞争力指标的公式与限制条件。</w:t>
            </w:r>
          </w:p>
          <w:p w14:paraId="1E6B45A6">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12.软件支持自定义增加或修改城市背景、国家政策和知识题库等内容。</w:t>
            </w:r>
          </w:p>
          <w:p w14:paraId="6BDAC8E7">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13.软件支持团队模式和单人模式：团队模式下，分角色组团练习，比赛以团队形式展开，比赛结束后展示团队排名，支持每个团队包含 2-6 人；单人模式下，学生独自完成所有职能部门的决策。</w:t>
            </w:r>
          </w:p>
          <w:p w14:paraId="36ECECEA">
            <w:pPr>
              <w:keepNext/>
              <w:widowControl/>
              <w:spacing w:line="320" w:lineRule="exact"/>
              <w:jc w:val="left"/>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14.</w:t>
            </w:r>
            <w:r>
              <w:rPr>
                <w:rFonts w:hint="eastAsia" w:ascii="宋体" w:hAnsi="宋体" w:eastAsia="宋体" w:cs="宋体"/>
                <w:b/>
                <w:bCs/>
                <w:color w:val="auto"/>
                <w:sz w:val="22"/>
                <w:szCs w:val="22"/>
              </w:rPr>
              <w:t>▲</w:t>
            </w:r>
            <w:r>
              <w:rPr>
                <w:rFonts w:hint="eastAsia" w:ascii="宋体" w:hAnsi="宋体" w:eastAsia="宋体" w:cs="宋体"/>
                <w:color w:val="auto"/>
                <w:sz w:val="22"/>
                <w:szCs w:val="22"/>
              </w:rPr>
              <w:t>软件支持对案例数据模拟调试，支持对案例数据关联的变量公式进行逻辑合规性校验，计算或重置各期数据，动态推演数据变化；同时可保存调试后的数据作为有效数据，自动覆盖原初始数据。</w:t>
            </w:r>
          </w:p>
        </w:tc>
      </w:tr>
    </w:tbl>
    <w:p w14:paraId="4D334A1C">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16" w:name="_Toc8399"/>
      <w:r>
        <w:rPr>
          <w:rFonts w:hint="eastAsia" w:ascii="宋体" w:hAnsi="Times New Roman" w:eastAsia="宋体" w:cs="Times New Roman"/>
          <w:b/>
          <w:bCs/>
          <w:color w:val="auto"/>
          <w:kern w:val="2"/>
          <w:sz w:val="24"/>
          <w:szCs w:val="24"/>
          <w:lang w:val="en-US" w:eastAsia="zh-CN" w:bidi="ar-SA"/>
        </w:rPr>
        <w:t>（四）部署与培训要求</w:t>
      </w:r>
      <w:bookmarkEnd w:id="16"/>
    </w:p>
    <w:p w14:paraId="10DF80F4">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1.交付周期：供应商须在合同签订后10个工作日内完成所有平台（含硬件）的交付、安装、调试工作，确保与学校现有服务器、网络环境及教学设备完全兼容，正常运行。</w:t>
      </w:r>
    </w:p>
    <w:p w14:paraId="0DEDDC4C">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2.培训要求：</w:t>
      </w:r>
    </w:p>
    <w:p w14:paraId="655704B3">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师资培训：供应商须在平台交付后30个工作日内，组织不少于 24 课时（每平台不少于 6 课时）的专项师资培训（线下+线上同步），培训内容涵盖：平台整体架构与功能讲解、各模块操作流程、教师管理功能使用、实训课程设计与组织、AI实训案例开发、学情数据分析与教学优化、常见故障排查等；培训需确保每位参与教师能独立开展实训教学、管理实训班级、解决日常操作问题，培训后提供电子版培训课件与视频回放。</w:t>
      </w:r>
    </w:p>
    <w:p w14:paraId="01080405">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教学支持培训：提供常态化教学支持，每学期不少于2次线上教学研讨会，分享最新实训案例、教学方法、行业动态；根据学校需求，免费提供线下示范课、公开课、教研活动指导，助力教师提升数智化教学能力。</w:t>
      </w:r>
    </w:p>
    <w:p w14:paraId="22AC2A57">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学生实训指导：提供学生实训操作手册、视频教程、常见问题解答库，支持学生自主学习；实训期间提供在线答疑服务，及时解决学生实操过程中遇到的问题，保障实训效果。</w:t>
      </w:r>
    </w:p>
    <w:p w14:paraId="29B2E3EC">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17" w:name="_Toc4009"/>
      <w:r>
        <w:rPr>
          <w:rFonts w:hint="eastAsia" w:ascii="宋体" w:hAnsi="Times New Roman" w:eastAsia="宋体" w:cs="Times New Roman"/>
          <w:b/>
          <w:bCs/>
          <w:color w:val="auto"/>
          <w:kern w:val="2"/>
          <w:sz w:val="24"/>
          <w:szCs w:val="24"/>
          <w:lang w:val="en-US" w:eastAsia="zh-CN" w:bidi="ar-SA"/>
        </w:rPr>
        <w:t>（五）其他技术、服务要求</w:t>
      </w:r>
      <w:bookmarkEnd w:id="17"/>
    </w:p>
    <w:p w14:paraId="3F047F01">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1.供应商须承诺所供平台软件为</w:t>
      </w:r>
      <w:r>
        <w:rPr>
          <w:rFonts w:hint="eastAsia" w:ascii="宋体" w:hAnsi="Times New Roman" w:eastAsia="宋体" w:cs="Times New Roman"/>
          <w:b/>
          <w:bCs/>
          <w:color w:val="auto"/>
          <w:kern w:val="2"/>
          <w:sz w:val="24"/>
          <w:szCs w:val="24"/>
          <w:lang w:val="en-US" w:eastAsia="zh-CN" w:bidi="ar-SA"/>
        </w:rPr>
        <w:t>正版软件</w:t>
      </w:r>
      <w:r>
        <w:rPr>
          <w:rFonts w:hint="eastAsia" w:ascii="宋体" w:hAnsi="Times New Roman" w:eastAsia="宋体" w:cs="Times New Roman"/>
          <w:color w:val="auto"/>
          <w:kern w:val="2"/>
          <w:sz w:val="24"/>
          <w:szCs w:val="24"/>
          <w:lang w:val="en-US" w:eastAsia="zh-CN" w:bidi="ar-SA"/>
        </w:rPr>
        <w:t>，拥有完整的知识产权或合法授权，无侵权风险。平台涉及第三方组件或开源代码的，须明确说明并提供相应授权文件。</w:t>
      </w:r>
    </w:p>
    <w:p w14:paraId="2D10C1C3">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2.平台须支持与学校现有教务管理系统、统一身份认证系统的数据对接与集成。供应商响应时须明确支持的对接协议（如 CAS 2.0、SAML 2.0、OAuth 2.0、OIDC、LDAP 等不少于 2 种），并提供标准 API 接口或数据交换格式；具体对接细节以学校信息中心提供的接口清单为准。</w:t>
      </w:r>
    </w:p>
    <w:p w14:paraId="7E0AF64E">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3.供应商在项目实施过程中须严格遵守保密义务，对采购人提供的涉密数据、学生信息、教学资料等予以保密，未经采购人书面同意，不得向任何第三方披露。</w:t>
      </w:r>
    </w:p>
    <w:p w14:paraId="63A11E30">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4.供应商应提供完整的项目实施计划和进度管理方案，明确各阶段交付物、里程碑节点和责任人，确保项目按期保质完成。</w:t>
      </w:r>
    </w:p>
    <w:p w14:paraId="3CDB7F5A">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5.供应商须提供详尽的技术文档，包括但不限于：系统架构说明书、数据库设计说明书、接口文档、安装部署手册、操作使用手册、管理员手册、故障排查指南等。</w:t>
      </w:r>
    </w:p>
    <w:p w14:paraId="44F783B8">
      <w:pPr>
        <w:keepNext/>
        <w:widowControl w:val="0"/>
        <w:autoSpaceDE w:val="0"/>
        <w:autoSpaceDN w:val="0"/>
        <w:adjustRightInd w:val="0"/>
        <w:spacing w:line="360" w:lineRule="auto"/>
        <w:ind w:firstLine="420"/>
        <w:jc w:val="both"/>
        <w:outlineLvl w:val="1"/>
        <w:rPr>
          <w:rFonts w:ascii="宋体" w:hAnsi="Times New Roman" w:eastAsia="宋体" w:cs="Times New Roman"/>
          <w:b/>
          <w:bCs/>
          <w:color w:val="auto"/>
          <w:kern w:val="2"/>
          <w:sz w:val="24"/>
          <w:szCs w:val="24"/>
          <w:lang w:val="en-US" w:eastAsia="zh-CN" w:bidi="ar-SA"/>
        </w:rPr>
      </w:pPr>
      <w:bookmarkStart w:id="18" w:name="_Toc28361"/>
      <w:r>
        <w:rPr>
          <w:rFonts w:hint="eastAsia" w:ascii="宋体" w:hAnsi="Times New Roman" w:eastAsia="宋体" w:cs="Times New Roman"/>
          <w:b/>
          <w:bCs/>
          <w:color w:val="auto"/>
          <w:kern w:val="2"/>
          <w:sz w:val="24"/>
          <w:szCs w:val="24"/>
          <w:lang w:val="en-US" w:eastAsia="zh-CN" w:bidi="ar-SA"/>
        </w:rPr>
        <w:t>六、验收标准和要求</w:t>
      </w:r>
      <w:bookmarkEnd w:id="18"/>
    </w:p>
    <w:p w14:paraId="04C96D6D">
      <w:pPr>
        <w:keepNext/>
        <w:widowControl w:val="0"/>
        <w:autoSpaceDE w:val="0"/>
        <w:autoSpaceDN w:val="0"/>
        <w:adjustRightInd/>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19" w:name="_Toc25739"/>
      <w:r>
        <w:rPr>
          <w:rFonts w:hint="eastAsia" w:ascii="宋体" w:hAnsi="Times New Roman" w:eastAsia="宋体" w:cs="Times New Roman"/>
          <w:b/>
          <w:bCs/>
          <w:color w:val="auto"/>
          <w:kern w:val="2"/>
          <w:sz w:val="24"/>
          <w:szCs w:val="24"/>
          <w:lang w:val="en-US" w:eastAsia="zh-CN" w:bidi="ar-SA"/>
        </w:rPr>
        <w:t>（一）验收组织</w:t>
      </w:r>
      <w:bookmarkEnd w:id="19"/>
    </w:p>
    <w:p w14:paraId="11E26569">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1.采购人成立验收小组，由采购人代表、技术专家、使用部门代表等组成，负责组织和实施项目验收工作。</w:t>
      </w:r>
    </w:p>
    <w:p w14:paraId="6FE02B8E">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2.验收小组根据本采购需求、磋商文件、响应文件及合同条款，对供应商履约情况进行全面验收。</w:t>
      </w:r>
    </w:p>
    <w:p w14:paraId="37E4162C">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3.供应商应积极配合验收工作，提供必要的技术支持和配合，确保验收工作顺利进行。</w:t>
      </w:r>
    </w:p>
    <w:p w14:paraId="04B7FFD6">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20" w:name="_Toc18260"/>
      <w:r>
        <w:rPr>
          <w:rFonts w:hint="eastAsia" w:ascii="宋体" w:hAnsi="Times New Roman" w:eastAsia="宋体" w:cs="Times New Roman"/>
          <w:b/>
          <w:bCs/>
          <w:color w:val="auto"/>
          <w:kern w:val="2"/>
          <w:sz w:val="24"/>
          <w:szCs w:val="24"/>
          <w:lang w:val="en-US" w:eastAsia="zh-CN" w:bidi="ar-SA"/>
        </w:rPr>
        <w:t>（二）验收标准</w:t>
      </w:r>
      <w:bookmarkEnd w:id="20"/>
    </w:p>
    <w:p w14:paraId="4CD24E69">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1.功能验收标准：平台所有功能模块须按照采购需求和响应文件承诺完整实现，所有标注★、▲的核心功能参数须逐一验证通过。</w:t>
      </w:r>
    </w:p>
    <w:p w14:paraId="3FB5D241">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2.性能验收标准：平台须满足B/S架构部署要求，每个平台单独支持不少于 120 人并发访问，4 个平台同时上线时系统整体可承载不少于 480 人并发，系统响应时间 ≤3 秒，页面加载时间≤5秒，连续运行72小时无故障。</w:t>
      </w:r>
    </w:p>
    <w:p w14:paraId="641BEE85">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3.安全验收标准：平台须通过国家信息安全等级保护二级或以上测评，具备完善的用户身份认证、权限管理、操作日志记录、数据备份与恢复机制。</w:t>
      </w:r>
    </w:p>
    <w:p w14:paraId="64605BE3">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4.文档验收标准：供应商须提交完整的项目文档资料，包括安装手册、操作手册、管理员手册、教学资源包（电子版+纸质版）、硬件设备合格证、质保卡等，文档内容须完整、准确、规范。</w:t>
      </w:r>
    </w:p>
    <w:p w14:paraId="02196332">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5.培训验收标准：供应商须完成不少于 24 课时（每平台不少于 6 课时）的专项师资培训，确保参与培训教师能独立开展实训教学、管理实训班级、解决日常操作问题。</w:t>
      </w:r>
    </w:p>
    <w:p w14:paraId="3E8E3EA4">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21" w:name="_Toc6781"/>
      <w:r>
        <w:rPr>
          <w:rFonts w:hint="eastAsia" w:ascii="宋体" w:hAnsi="Times New Roman" w:eastAsia="宋体" w:cs="Times New Roman"/>
          <w:b/>
          <w:bCs/>
          <w:color w:val="auto"/>
          <w:kern w:val="2"/>
          <w:sz w:val="24"/>
          <w:szCs w:val="24"/>
          <w:lang w:val="en-US" w:eastAsia="zh-CN" w:bidi="ar-SA"/>
        </w:rPr>
        <w:t>（三）验收结果</w:t>
      </w:r>
      <w:bookmarkEnd w:id="21"/>
    </w:p>
    <w:p w14:paraId="3C05A180">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1.验收合格：供应商履约情况符合采购需求、磋商文件、响应文件及合同条款约定的，验收小组出具验收合格报告，双方签署验收文件，进入质保期。</w:t>
      </w:r>
    </w:p>
    <w:p w14:paraId="2B74508F">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验收不合格：验收中发现问题或不符合项的，采购人出具书面整改通知，供应商须在10个工作日内完成整改。整改后重新组织验收，整改后仍不通过的，不予验收，采购人有权解除合同，由此造成的一切损失由成交供应商承担。</w:t>
      </w:r>
    </w:p>
    <w:p w14:paraId="099F3DB3">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3.验收争议处理：验收过程中发生争议的，由双方协商解决；协商不成的，按照合同约定的争议解决方式处理。</w:t>
      </w:r>
    </w:p>
    <w:p w14:paraId="6C79E1C0">
      <w:pPr>
        <w:keepNext/>
        <w:widowControl w:val="0"/>
        <w:autoSpaceDE w:val="0"/>
        <w:autoSpaceDN w:val="0"/>
        <w:adjustRightInd w:val="0"/>
        <w:spacing w:line="360" w:lineRule="auto"/>
        <w:ind w:firstLine="420"/>
        <w:jc w:val="both"/>
        <w:outlineLvl w:val="1"/>
        <w:rPr>
          <w:rFonts w:ascii="宋体" w:hAnsi="Times New Roman" w:eastAsia="宋体" w:cs="Times New Roman"/>
          <w:b/>
          <w:bCs/>
          <w:color w:val="auto"/>
          <w:kern w:val="2"/>
          <w:sz w:val="24"/>
          <w:szCs w:val="24"/>
          <w:lang w:val="en-US" w:eastAsia="zh-CN" w:bidi="ar-SA"/>
        </w:rPr>
      </w:pPr>
      <w:bookmarkStart w:id="22" w:name="_Toc5988"/>
      <w:r>
        <w:rPr>
          <w:rFonts w:hint="eastAsia" w:ascii="宋体" w:hAnsi="Times New Roman" w:eastAsia="宋体" w:cs="Times New Roman"/>
          <w:b/>
          <w:bCs/>
          <w:color w:val="auto"/>
          <w:kern w:val="2"/>
          <w:sz w:val="24"/>
          <w:szCs w:val="24"/>
          <w:lang w:val="en-US" w:eastAsia="zh-CN" w:bidi="ar-SA"/>
        </w:rPr>
        <w:t>七、商务要求</w:t>
      </w:r>
      <w:bookmarkEnd w:id="22"/>
    </w:p>
    <w:p w14:paraId="039E6066">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23" w:name="_Toc17087"/>
      <w:r>
        <w:rPr>
          <w:rFonts w:hint="eastAsia" w:ascii="宋体" w:hAnsi="Times New Roman" w:eastAsia="宋体" w:cs="Times New Roman"/>
          <w:b/>
          <w:bCs/>
          <w:color w:val="auto"/>
          <w:kern w:val="2"/>
          <w:sz w:val="24"/>
          <w:szCs w:val="24"/>
          <w:lang w:val="en-US" w:eastAsia="zh-CN" w:bidi="ar-SA"/>
        </w:rPr>
        <w:t>（一）项目实施期限和地点</w:t>
      </w:r>
      <w:bookmarkEnd w:id="23"/>
    </w:p>
    <w:p w14:paraId="36F3E7C1">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1.项目实施期限：各采购包自合同签订之日起，供应商须在10个工作日内完成所有平台的交付、安装、调试工作</w:t>
      </w:r>
      <w:r>
        <w:rPr>
          <w:rFonts w:hint="eastAsia" w:ascii="宋体" w:hAnsi="宋体" w:eastAsia="宋体" w:cs="宋体"/>
          <w:color w:val="auto"/>
          <w:kern w:val="2"/>
          <w:sz w:val="24"/>
          <w:szCs w:val="24"/>
          <w:lang w:val="en-US" w:eastAsia="zh-CN" w:bidi="ar-SA"/>
        </w:rPr>
        <w:t>并达到试运行条件</w:t>
      </w:r>
      <w:r>
        <w:rPr>
          <w:rFonts w:hint="eastAsia" w:ascii="宋体" w:hAnsi="Times New Roman" w:eastAsia="宋体" w:cs="Times New Roman"/>
          <w:color w:val="auto"/>
          <w:kern w:val="2"/>
          <w:sz w:val="24"/>
          <w:szCs w:val="24"/>
          <w:lang w:val="en-US" w:eastAsia="zh-CN" w:bidi="ar-SA"/>
        </w:rPr>
        <w:t>，确保与学校现有服务器、网络环境及教学设备完全兼容，正常运行。</w:t>
      </w:r>
    </w:p>
    <w:p w14:paraId="78A0A70A">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2.培训服务期限：平台交付后30个工作日内，供应商须完成不少于 24 课时（每平台不少于 6 课时）的专项师资培训工作。</w:t>
      </w:r>
    </w:p>
    <w:p w14:paraId="6A693E3E">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3.项目实施地点：楚雄师范学院管理与经济学院指定地点（机房、教室等），由采购人指定具体安装部署位置。</w:t>
      </w:r>
    </w:p>
    <w:p w14:paraId="3F8DC285">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24" w:name="_Toc2792"/>
      <w:r>
        <w:rPr>
          <w:rFonts w:hint="eastAsia" w:ascii="宋体" w:hAnsi="Times New Roman" w:eastAsia="宋体" w:cs="Times New Roman"/>
          <w:b/>
          <w:bCs/>
          <w:color w:val="auto"/>
          <w:kern w:val="2"/>
          <w:sz w:val="24"/>
          <w:szCs w:val="24"/>
          <w:lang w:val="en-US" w:eastAsia="zh-CN" w:bidi="ar-SA"/>
        </w:rPr>
        <w:t>（二）付款条件</w:t>
      </w:r>
      <w:bookmarkEnd w:id="24"/>
    </w:p>
    <w:p w14:paraId="73EE0B98">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w:t>
      </w:r>
      <w:r>
        <w:rPr>
          <w:rFonts w:hint="eastAsia" w:ascii="宋体" w:hAnsi="宋体" w:eastAsia="宋体" w:cs="宋体"/>
          <w:color w:val="auto"/>
          <w:kern w:val="2"/>
          <w:sz w:val="24"/>
          <w:szCs w:val="24"/>
          <w:lang w:val="en-US" w:eastAsia="zh-CN" w:bidi="ar-SA"/>
        </w:rPr>
        <w:t>全部货款在项目最终验收合格、供应商开具全额合法有效发票后 30 个工作日内，由采购人通过银行转账方式一次性支付至供应商指定账户</w:t>
      </w:r>
      <w:r>
        <w:rPr>
          <w:rFonts w:hint="eastAsia" w:ascii="宋体" w:hAnsi="Times New Roman" w:eastAsia="宋体" w:cs="Times New Roman"/>
          <w:color w:val="auto"/>
          <w:kern w:val="2"/>
          <w:sz w:val="24"/>
          <w:szCs w:val="24"/>
          <w:lang w:val="en-US" w:eastAsia="zh-CN" w:bidi="ar-SA"/>
        </w:rPr>
        <w:t>。</w:t>
      </w:r>
    </w:p>
    <w:p w14:paraId="6E6C37BF">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2.付款方式：银行转账。供应商须提供合法有效的增值税发票，发票内容须与合同标的相符。</w:t>
      </w:r>
    </w:p>
    <w:p w14:paraId="71C1B473">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25" w:name="_Toc618"/>
      <w:r>
        <w:rPr>
          <w:rFonts w:hint="eastAsia" w:ascii="宋体" w:hAnsi="Times New Roman" w:eastAsia="宋体" w:cs="Times New Roman"/>
          <w:b/>
          <w:bCs/>
          <w:color w:val="auto"/>
          <w:kern w:val="2"/>
          <w:sz w:val="24"/>
          <w:szCs w:val="24"/>
          <w:lang w:val="en-US" w:eastAsia="zh-CN" w:bidi="ar-SA"/>
        </w:rPr>
        <w:t>（三）售后服务要求</w:t>
      </w:r>
      <w:bookmarkEnd w:id="25"/>
    </w:p>
    <w:p w14:paraId="144A427A">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1.免费质保期：自项目验收合格之日起，供应商须提供不少于3年的免费售后服务与质量保障，质保期内硬件设备故障免费维修或更换，软件免费维护与升级。</w:t>
      </w:r>
    </w:p>
    <w:p w14:paraId="65F45CF4">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内容更新服务：质保期内，平台内置的经济业务案例、行业数据、政策法规、财税准则、外贸规则、公共管理政策等内容，需跟随国家政策改革、行业发展动态免费实时更新，确保教学内容的时效性、准确性与适用性。</w:t>
      </w:r>
    </w:p>
    <w:p w14:paraId="0032EB14">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3.技术支持服务：质保期内提供7×24小时免费技术支持，包含电话支持、电子邮件支持、远程维护支持、现场技术支持（必要时）；故障响应时间≤2 小时，故障排查明确原因后24小时内处理完毕；因技术、不可抗力等原因暂时无法解决的，24小时内提供详细解决方案与处理时限。</w:t>
      </w:r>
    </w:p>
    <w:p w14:paraId="571AC2AA">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4.后续服务保障：质保期满后，供应商需提供终身技术支持服务，并给予优惠的软件升级、硬件维护价格；定期（每年不少于2次）回访，了解平台运行情况，提供优化建议与技术指导。</w:t>
      </w:r>
    </w:p>
    <w:p w14:paraId="041B5E66">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ascii="宋体" w:hAnsi="Times New Roman" w:eastAsia="宋体" w:cs="Times New Roman"/>
          <w:color w:val="auto"/>
          <w:kern w:val="2"/>
          <w:sz w:val="24"/>
          <w:szCs w:val="24"/>
          <w:lang w:val="en-US" w:eastAsia="zh-CN" w:bidi="ar-SA"/>
        </w:rPr>
        <w:t>5.竞赛配合义务：质保期内，供应商须配合采购人每学年组织不少于 1 次校级数智经管实战竞赛，提供竞赛后台技术支持、命题模板、平台保障服务；竞赛配合义务履行情况纳入年度服务质量考核。</w:t>
      </w:r>
    </w:p>
    <w:p w14:paraId="7084BBC3">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26" w:name="_Toc10983"/>
      <w:r>
        <w:rPr>
          <w:rFonts w:hint="eastAsia" w:ascii="宋体" w:hAnsi="Times New Roman" w:eastAsia="宋体" w:cs="Times New Roman"/>
          <w:b/>
          <w:bCs/>
          <w:color w:val="auto"/>
          <w:kern w:val="2"/>
          <w:sz w:val="24"/>
          <w:szCs w:val="24"/>
          <w:lang w:val="en-US" w:eastAsia="zh-CN" w:bidi="ar-SA"/>
        </w:rPr>
        <w:t>（四）违约责任</w:t>
      </w:r>
      <w:bookmarkEnd w:id="26"/>
    </w:p>
    <w:p w14:paraId="17FCC4B3">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1.供应商未按合同约定时间交付、安装、调试的，每逾期1日，按合同总额1‰向采购人支付违约金；逾期超过15日的，采购人有权解除合同，供应商须退还已收款项并赔偿采购人损失。</w:t>
      </w:r>
    </w:p>
    <w:p w14:paraId="126BDC0E">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2.供应商交付的产品或服务不符合合同约定要求的，采购人有权要求供应商限期整改；整改后仍不符合要求的，采购人有权解除合同，供应商须退还已收款项并赔偿采购人损失。</w:t>
      </w:r>
    </w:p>
    <w:p w14:paraId="2C609FDA">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3.供应商在履约过程中存在欺诈、串通投标、提供虚假材料等违法违规行为的，采购人有权解除合同，并将供应商列入不良行为记录名单，并依法追究其法律责任。</w:t>
      </w:r>
    </w:p>
    <w:p w14:paraId="779A3356">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27" w:name="_Toc28397"/>
      <w:r>
        <w:rPr>
          <w:rFonts w:hint="eastAsia" w:ascii="宋体" w:hAnsi="Times New Roman" w:eastAsia="宋体" w:cs="Times New Roman"/>
          <w:b/>
          <w:bCs/>
          <w:color w:val="auto"/>
          <w:kern w:val="2"/>
          <w:sz w:val="24"/>
          <w:szCs w:val="24"/>
          <w:lang w:val="en-US" w:eastAsia="zh-CN" w:bidi="ar-SA"/>
        </w:rPr>
        <w:t>（五）知识产权归属</w:t>
      </w:r>
      <w:bookmarkEnd w:id="27"/>
    </w:p>
    <w:p w14:paraId="59E72EAE">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1.供应商应保证所提供的平台软件、硬件设备及相关服务不存在任何知识产权争议或权利瑕疵。如因知识产权问题引发纠纷，由供应商承担全部法律责任，并赔偿由此给采购人造成的一切损失。</w:t>
      </w:r>
    </w:p>
    <w:p w14:paraId="705527AE">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2.本项目采购的软件的知识产权归属：平台软件的使用权归采购人所有，供应商保留著作权。采购人有权在本校内进行安装、使用、备份和迁移，有权根据教学需要对平台进行二次开发和定制化调整。</w:t>
      </w:r>
    </w:p>
    <w:p w14:paraId="75B5DA3C">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3.供应商在项目实施过程中为采购人定制的教学资源、实训案例、数据模型等成果的知识产权归采购人所有，供应商不得擅自使用、复制或向第三方转让。</w:t>
      </w:r>
    </w:p>
    <w:p w14:paraId="011BBFD5">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4.供应商提供的第三方软件或开源组件，须提供相应的授权许可文件，确保采购人的合法使用权。</w:t>
      </w:r>
    </w:p>
    <w:p w14:paraId="266BE104">
      <w:pPr>
        <w:keepNext/>
        <w:widowControl w:val="0"/>
        <w:autoSpaceDE w:val="0"/>
        <w:autoSpaceDN w:val="0"/>
        <w:adjustRightInd w:val="0"/>
        <w:spacing w:line="360" w:lineRule="auto"/>
        <w:ind w:firstLine="420"/>
        <w:jc w:val="both"/>
        <w:outlineLvl w:val="2"/>
        <w:rPr>
          <w:rFonts w:ascii="宋体" w:hAnsi="Times New Roman" w:eastAsia="宋体" w:cs="Times New Roman"/>
          <w:b/>
          <w:bCs/>
          <w:color w:val="auto"/>
          <w:kern w:val="2"/>
          <w:sz w:val="24"/>
          <w:szCs w:val="24"/>
          <w:lang w:val="en-US" w:eastAsia="zh-CN" w:bidi="ar-SA"/>
        </w:rPr>
      </w:pPr>
      <w:bookmarkStart w:id="28" w:name="_Toc24862"/>
      <w:r>
        <w:rPr>
          <w:rFonts w:hint="eastAsia" w:ascii="宋体" w:hAnsi="Times New Roman" w:eastAsia="宋体" w:cs="Times New Roman"/>
          <w:b/>
          <w:bCs/>
          <w:color w:val="auto"/>
          <w:kern w:val="2"/>
          <w:sz w:val="24"/>
          <w:szCs w:val="24"/>
          <w:lang w:val="en-US" w:eastAsia="zh-CN" w:bidi="ar-SA"/>
        </w:rPr>
        <w:t>（六）保密条款</w:t>
      </w:r>
      <w:bookmarkEnd w:id="28"/>
    </w:p>
    <w:p w14:paraId="6A83BD8D">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1.供应商须对在项目实施过程中知悉的采购人的商业秘密、技术秘密、教学资料、学生信息、财务数据等保密信息严格保密，未经采购人书面同意，不得以任何形式向第三方披露、泄露或用于本项目以外的目的。</w:t>
      </w:r>
    </w:p>
    <w:p w14:paraId="21080B51">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2.供应商应与参与本项目的所有人员签订保密协议，确保上述人员遵守保密义务。供应商人员违反保密义务的，视为供应商违约。</w:t>
      </w:r>
    </w:p>
    <w:p w14:paraId="0CCE72C1">
      <w:pPr>
        <w:keepNext/>
        <w:widowControl w:val="0"/>
        <w:autoSpaceDE w:val="0"/>
        <w:autoSpaceDN w:val="0"/>
        <w:adjustRightInd w:val="0"/>
        <w:spacing w:line="360" w:lineRule="auto"/>
        <w:ind w:firstLine="420"/>
        <w:jc w:val="both"/>
        <w:rPr>
          <w:rFonts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3.保密义务不因合同终止而解除，供应商须持续承担保密责任，直至相关信息依法进入公有领域或经采购人书面同意解除保密义务为止。</w:t>
      </w:r>
    </w:p>
    <w:p w14:paraId="0B32BE54">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4.违反保密条款的，违约方须赔偿守约方因此遭受的全部损失，并承担相应的法律责任。</w:t>
      </w:r>
    </w:p>
    <w:p w14:paraId="1766057F">
      <w:pPr>
        <w:keepNext/>
        <w:keepLines w:val="0"/>
        <w:pageBreakBefore w:val="0"/>
        <w:widowControl w:val="0"/>
        <w:kinsoku/>
        <w:wordWrap/>
        <w:overflowPunct/>
        <w:topLinePunct w:val="0"/>
        <w:autoSpaceDE w:val="0"/>
        <w:autoSpaceDN w:val="0"/>
        <w:bidi w:val="0"/>
        <w:adjustRightInd w:val="0"/>
        <w:snapToGrid/>
        <w:spacing w:line="360" w:lineRule="auto"/>
        <w:ind w:firstLine="420"/>
        <w:jc w:val="both"/>
        <w:textAlignment w:val="auto"/>
        <w:outlineLvl w:val="1"/>
        <w:rPr>
          <w:rFonts w:hint="eastAsia" w:ascii="宋体" w:hAnsi="Times New Roman" w:eastAsia="宋体" w:cs="Times New Roman"/>
          <w:b/>
          <w:bCs/>
          <w:color w:val="auto"/>
          <w:kern w:val="2"/>
          <w:sz w:val="24"/>
          <w:szCs w:val="24"/>
          <w:lang w:val="en-US" w:eastAsia="zh-CN" w:bidi="ar-SA"/>
        </w:rPr>
      </w:pPr>
      <w:r>
        <w:rPr>
          <w:rFonts w:hint="eastAsia" w:ascii="宋体" w:hAnsi="Times New Roman" w:eastAsia="宋体" w:cs="Times New Roman"/>
          <w:b/>
          <w:bCs/>
          <w:color w:val="auto"/>
          <w:kern w:val="2"/>
          <w:sz w:val="24"/>
          <w:szCs w:val="24"/>
          <w:lang w:val="en-US" w:eastAsia="zh-CN" w:bidi="ar-SA"/>
        </w:rPr>
        <w:t>八、采购包2专属商务要求</w:t>
      </w:r>
    </w:p>
    <w:p w14:paraId="167E0039">
      <w:pPr>
        <w:keepNext/>
        <w:keepLines w:val="0"/>
        <w:pageBreakBefore w:val="0"/>
        <w:widowControl w:val="0"/>
        <w:kinsoku/>
        <w:wordWrap/>
        <w:overflowPunct/>
        <w:topLinePunct w:val="0"/>
        <w:autoSpaceDE w:val="0"/>
        <w:autoSpaceDN w:val="0"/>
        <w:bidi w:val="0"/>
        <w:adjustRightInd w:val="0"/>
        <w:snapToGrid/>
        <w:spacing w:line="360" w:lineRule="auto"/>
        <w:ind w:firstLine="420"/>
        <w:jc w:val="both"/>
        <w:textAlignment w:val="auto"/>
        <w:outlineLvl w:val="9"/>
        <w:rPr>
          <w:rFonts w:hint="eastAsia" w:ascii="宋体" w:hAnsi="Times New Roman" w:eastAsia="宋体" w:cs="Times New Roman"/>
          <w:b/>
          <w:bCs/>
          <w:color w:val="auto"/>
          <w:kern w:val="2"/>
          <w:sz w:val="24"/>
          <w:szCs w:val="24"/>
          <w:lang w:val="en-US" w:eastAsia="zh-CN" w:bidi="ar-SA"/>
        </w:rPr>
      </w:pPr>
      <w:r>
        <w:rPr>
          <w:rFonts w:hint="eastAsia" w:ascii="宋体" w:hAnsi="Times New Roman" w:eastAsia="宋体" w:cs="Times New Roman"/>
          <w:b/>
          <w:bCs/>
          <w:color w:val="auto"/>
          <w:kern w:val="2"/>
          <w:sz w:val="24"/>
          <w:szCs w:val="24"/>
          <w:lang w:val="en-US" w:eastAsia="zh-CN" w:bidi="ar-SA"/>
        </w:rPr>
        <w:t>说明：采购包2专属商务要求与本章技术、商务描述不一致的地方，请以本条要求为准。</w:t>
      </w:r>
    </w:p>
    <w:p w14:paraId="15E5DB7D">
      <w:pPr>
        <w:keepNext/>
        <w:widowControl w:val="0"/>
        <w:autoSpaceDE w:val="0"/>
        <w:autoSpaceDN w:val="0"/>
        <w:adjustRightInd w:val="0"/>
        <w:spacing w:line="360" w:lineRule="auto"/>
        <w:ind w:firstLine="420"/>
        <w:jc w:val="both"/>
        <w:rPr>
          <w:rFonts w:hint="default" w:ascii="宋体" w:hAnsi="Times New Roman" w:eastAsia="宋体" w:cs="Times New Roman"/>
          <w:color w:val="auto"/>
          <w:kern w:val="2"/>
          <w:sz w:val="24"/>
          <w:szCs w:val="24"/>
          <w:lang w:val="en-US" w:eastAsia="zh-CN" w:bidi="ar-SA"/>
        </w:rPr>
      </w:pPr>
      <w:r>
        <w:rPr>
          <w:rFonts w:hint="default" w:ascii="宋体" w:hAnsi="Times New Roman" w:eastAsia="宋体" w:cs="Times New Roman"/>
          <w:color w:val="auto"/>
          <w:kern w:val="2"/>
          <w:sz w:val="24"/>
          <w:szCs w:val="24"/>
          <w:lang w:val="en-US" w:eastAsia="zh-CN" w:bidi="ar-SA"/>
        </w:rPr>
        <w:t>1.</w:t>
      </w:r>
      <w:r>
        <w:rPr>
          <w:rFonts w:hint="eastAsia" w:ascii="宋体" w:hAnsi="Times New Roman" w:eastAsia="宋体" w:cs="Times New Roman"/>
          <w:color w:val="auto"/>
          <w:kern w:val="2"/>
          <w:sz w:val="24"/>
          <w:szCs w:val="24"/>
          <w:lang w:val="en-US" w:eastAsia="zh-CN" w:bidi="ar-SA"/>
        </w:rPr>
        <w:t>供应商需</w:t>
      </w:r>
      <w:r>
        <w:rPr>
          <w:rFonts w:hint="default" w:ascii="宋体" w:hAnsi="Times New Roman" w:eastAsia="宋体" w:cs="Times New Roman"/>
          <w:color w:val="auto"/>
          <w:kern w:val="2"/>
          <w:sz w:val="24"/>
          <w:szCs w:val="24"/>
          <w:lang w:val="en-US" w:eastAsia="zh-CN" w:bidi="ar-SA"/>
        </w:rPr>
        <w:t>配合校方完成二级等保复测、整改工作，可提供二级等保证明。</w:t>
      </w:r>
    </w:p>
    <w:p w14:paraId="66B4A66F">
      <w:pPr>
        <w:keepNext/>
        <w:widowControl w:val="0"/>
        <w:autoSpaceDE w:val="0"/>
        <w:autoSpaceDN w:val="0"/>
        <w:adjustRightInd w:val="0"/>
        <w:spacing w:line="360" w:lineRule="auto"/>
        <w:ind w:firstLine="420"/>
        <w:jc w:val="both"/>
        <w:rPr>
          <w:rFonts w:hint="default" w:ascii="宋体" w:hAnsi="Times New Roman" w:eastAsia="宋体" w:cs="Times New Roman"/>
          <w:color w:val="auto"/>
          <w:kern w:val="2"/>
          <w:sz w:val="24"/>
          <w:szCs w:val="24"/>
          <w:lang w:val="en-US" w:eastAsia="zh-CN" w:bidi="ar-SA"/>
        </w:rPr>
      </w:pPr>
      <w:r>
        <w:rPr>
          <w:rFonts w:hint="default" w:ascii="宋体" w:hAnsi="Times New Roman" w:eastAsia="宋体" w:cs="Times New Roman"/>
          <w:color w:val="auto"/>
          <w:kern w:val="2"/>
          <w:sz w:val="24"/>
          <w:szCs w:val="24"/>
          <w:lang w:val="en-US" w:eastAsia="zh-CN" w:bidi="ar-SA"/>
        </w:rPr>
        <w:t>2.教学数据存储属地：本地部署在学校所属地机房，云端部署在对应企业的云端机房，但是要求必须在中国大陆境内。存储数据包括所有文本文件及数据库文件。</w:t>
      </w:r>
    </w:p>
    <w:p w14:paraId="54ED2335">
      <w:pPr>
        <w:keepNext/>
        <w:widowControl w:val="0"/>
        <w:autoSpaceDE w:val="0"/>
        <w:autoSpaceDN w:val="0"/>
        <w:adjustRightInd w:val="0"/>
        <w:spacing w:line="360" w:lineRule="auto"/>
        <w:ind w:firstLine="420"/>
        <w:jc w:val="both"/>
        <w:rPr>
          <w:rFonts w:hint="default" w:ascii="宋体" w:hAnsi="Times New Roman" w:eastAsia="宋体" w:cs="Times New Roman"/>
          <w:color w:val="auto"/>
          <w:kern w:val="2"/>
          <w:sz w:val="24"/>
          <w:szCs w:val="24"/>
          <w:lang w:val="en-US" w:eastAsia="zh-CN" w:bidi="ar-SA"/>
        </w:rPr>
      </w:pPr>
      <w:r>
        <w:rPr>
          <w:rFonts w:hint="default" w:ascii="宋体" w:hAnsi="Times New Roman" w:eastAsia="宋体" w:cs="Times New Roman"/>
          <w:color w:val="auto"/>
          <w:kern w:val="2"/>
          <w:sz w:val="24"/>
          <w:szCs w:val="24"/>
          <w:lang w:val="en-US" w:eastAsia="zh-CN" w:bidi="ar-SA"/>
        </w:rPr>
        <w:t>3.师生教学成果归属</w:t>
      </w:r>
      <w:r>
        <w:rPr>
          <w:rFonts w:hint="eastAsia" w:ascii="宋体" w:hAnsi="Times New Roman" w:eastAsia="宋体" w:cs="Times New Roman"/>
          <w:color w:val="auto"/>
          <w:kern w:val="2"/>
          <w:sz w:val="24"/>
          <w:szCs w:val="24"/>
          <w:lang w:val="en-US" w:eastAsia="zh-CN" w:bidi="ar-SA"/>
        </w:rPr>
        <w:t>：</w:t>
      </w:r>
      <w:r>
        <w:rPr>
          <w:rFonts w:hint="default" w:ascii="宋体" w:hAnsi="Times New Roman" w:eastAsia="宋体" w:cs="Times New Roman"/>
          <w:color w:val="auto"/>
          <w:kern w:val="2"/>
          <w:sz w:val="24"/>
          <w:szCs w:val="24"/>
          <w:lang w:val="en-US" w:eastAsia="zh-CN" w:bidi="ar-SA"/>
        </w:rPr>
        <w:t>师生在教学过程中使用本平台产生的教学内容、智能体配置数据、微课视频等，知识产权归学校所有，供应商不得用于其他商业用途。</w:t>
      </w:r>
    </w:p>
    <w:p w14:paraId="0D679961">
      <w:pPr>
        <w:keepNext/>
        <w:widowControl w:val="0"/>
        <w:autoSpaceDE w:val="0"/>
        <w:autoSpaceDN w:val="0"/>
        <w:adjustRightInd w:val="0"/>
        <w:spacing w:line="360" w:lineRule="auto"/>
        <w:ind w:firstLine="420"/>
        <w:jc w:val="both"/>
        <w:rPr>
          <w:rFonts w:hint="default" w:ascii="宋体" w:hAnsi="Times New Roman" w:eastAsia="宋体" w:cs="Times New Roman"/>
          <w:color w:val="auto"/>
          <w:kern w:val="2"/>
          <w:sz w:val="24"/>
          <w:szCs w:val="24"/>
          <w:lang w:val="en-US" w:eastAsia="zh-CN" w:bidi="ar-SA"/>
        </w:rPr>
      </w:pPr>
      <w:r>
        <w:rPr>
          <w:rFonts w:hint="default" w:ascii="宋体" w:hAnsi="Times New Roman" w:eastAsia="宋体" w:cs="Times New Roman"/>
          <w:color w:val="auto"/>
          <w:kern w:val="2"/>
          <w:sz w:val="24"/>
          <w:szCs w:val="24"/>
          <w:lang w:val="en-US" w:eastAsia="zh-CN" w:bidi="ar-SA"/>
        </w:rPr>
        <w:t>4.质保期：自项目整体验收合格之日起计算，全平台软件、配套实训组件、第三方配套工具统一享受 3 年免费质保；</w:t>
      </w:r>
    </w:p>
    <w:p w14:paraId="4763A939">
      <w:pPr>
        <w:keepNext/>
        <w:widowControl w:val="0"/>
        <w:autoSpaceDE w:val="0"/>
        <w:autoSpaceDN w:val="0"/>
        <w:adjustRightInd w:val="0"/>
        <w:spacing w:line="360" w:lineRule="auto"/>
        <w:ind w:firstLine="420"/>
        <w:jc w:val="both"/>
        <w:rPr>
          <w:rFonts w:hint="default" w:ascii="宋体" w:hAnsi="Times New Roman" w:eastAsia="宋体" w:cs="Times New Roman"/>
          <w:color w:val="auto"/>
          <w:kern w:val="2"/>
          <w:sz w:val="24"/>
          <w:szCs w:val="24"/>
          <w:lang w:val="en-US" w:eastAsia="zh-CN" w:bidi="ar-SA"/>
        </w:rPr>
      </w:pPr>
      <w:r>
        <w:rPr>
          <w:rFonts w:hint="default" w:ascii="宋体" w:hAnsi="Times New Roman" w:eastAsia="宋体" w:cs="Times New Roman"/>
          <w:color w:val="auto"/>
          <w:kern w:val="2"/>
          <w:sz w:val="24"/>
          <w:szCs w:val="24"/>
          <w:lang w:val="en-US" w:eastAsia="zh-CN" w:bidi="ar-SA"/>
        </w:rPr>
        <w:t>5.故障响应：明确 7×12 小时服务时段为工作日 8:00-20:00；定义重大故障标准：平台整体瘫痪、核心财务实训功能失效、无法开展课堂教学；重大故障 4 小时远程介入，48 小时到达现场处置；</w:t>
      </w:r>
    </w:p>
    <w:p w14:paraId="482CE2BB">
      <w:pPr>
        <w:keepNext/>
        <w:widowControl w:val="0"/>
        <w:autoSpaceDE w:val="0"/>
        <w:autoSpaceDN w:val="0"/>
        <w:adjustRightInd w:val="0"/>
        <w:spacing w:line="360" w:lineRule="auto"/>
        <w:ind w:firstLine="420"/>
        <w:jc w:val="both"/>
        <w:rPr>
          <w:rFonts w:hint="default" w:ascii="宋体" w:hAnsi="Times New Roman" w:eastAsia="宋体" w:cs="Times New Roman"/>
          <w:color w:val="auto"/>
          <w:kern w:val="2"/>
          <w:sz w:val="24"/>
          <w:szCs w:val="24"/>
          <w:lang w:val="en-US" w:eastAsia="zh-CN" w:bidi="ar-SA"/>
        </w:rPr>
      </w:pPr>
      <w:r>
        <w:rPr>
          <w:rFonts w:hint="default" w:ascii="宋体" w:hAnsi="Times New Roman" w:eastAsia="宋体" w:cs="Times New Roman"/>
          <w:color w:val="auto"/>
          <w:kern w:val="2"/>
          <w:sz w:val="24"/>
          <w:szCs w:val="24"/>
          <w:lang w:val="en-US" w:eastAsia="zh-CN" w:bidi="ar-SA"/>
        </w:rPr>
        <w:t>6.系统可用性补偿：停机时长等额顺延质保服务期限，停机时长按自然小时核算；</w:t>
      </w:r>
    </w:p>
    <w:p w14:paraId="24A2FEED">
      <w:pPr>
        <w:keepNext/>
        <w:widowControl w:val="0"/>
        <w:autoSpaceDE w:val="0"/>
        <w:autoSpaceDN w:val="0"/>
        <w:adjustRightInd w:val="0"/>
        <w:spacing w:line="360" w:lineRule="auto"/>
        <w:ind w:firstLine="420"/>
        <w:jc w:val="both"/>
        <w:rPr>
          <w:rFonts w:hint="default" w:ascii="宋体" w:hAnsi="Times New Roman" w:eastAsia="宋体" w:cs="Times New Roman"/>
          <w:color w:val="auto"/>
          <w:kern w:val="2"/>
          <w:sz w:val="24"/>
          <w:szCs w:val="24"/>
          <w:lang w:val="en-US" w:eastAsia="zh-CN" w:bidi="ar-SA"/>
        </w:rPr>
      </w:pPr>
      <w:r>
        <w:rPr>
          <w:rFonts w:hint="default" w:ascii="宋体" w:hAnsi="Times New Roman" w:eastAsia="宋体" w:cs="Times New Roman"/>
          <w:color w:val="auto"/>
          <w:kern w:val="2"/>
          <w:sz w:val="24"/>
          <w:szCs w:val="24"/>
          <w:lang w:val="en-US" w:eastAsia="zh-CN" w:bidi="ar-SA"/>
        </w:rPr>
        <w:t>7.师资培训：调整线下集中培训不少于 2 次，</w:t>
      </w:r>
      <w:r>
        <w:rPr>
          <w:rFonts w:hint="eastAsia" w:ascii="宋体" w:hAnsi="Times New Roman" w:eastAsia="宋体" w:cs="Times New Roman"/>
          <w:color w:val="auto"/>
          <w:kern w:val="2"/>
          <w:sz w:val="24"/>
          <w:szCs w:val="24"/>
          <w:lang w:val="en-US" w:eastAsia="zh-CN" w:bidi="ar-SA"/>
        </w:rPr>
        <w:t>满足学校</w:t>
      </w:r>
      <w:r>
        <w:rPr>
          <w:rFonts w:hint="default" w:ascii="宋体" w:hAnsi="Times New Roman" w:eastAsia="宋体" w:cs="Times New Roman"/>
          <w:color w:val="auto"/>
          <w:kern w:val="2"/>
          <w:sz w:val="24"/>
          <w:szCs w:val="24"/>
          <w:lang w:val="en-US" w:eastAsia="zh-CN" w:bidi="ar-SA"/>
        </w:rPr>
        <w:t>多年级师资轮训需求；全年不限次数线上实操培训；</w:t>
      </w:r>
    </w:p>
    <w:p w14:paraId="437EC242">
      <w:pPr>
        <w:keepNext/>
        <w:widowControl w:val="0"/>
        <w:autoSpaceDE w:val="0"/>
        <w:autoSpaceDN w:val="0"/>
        <w:adjustRightInd w:val="0"/>
        <w:spacing w:line="360" w:lineRule="auto"/>
        <w:ind w:firstLine="420"/>
        <w:jc w:val="both"/>
        <w:rPr>
          <w:rFonts w:hint="default" w:ascii="宋体" w:hAnsi="Times New Roman" w:eastAsia="宋体" w:cs="Times New Roman"/>
          <w:color w:val="auto"/>
          <w:kern w:val="2"/>
          <w:sz w:val="24"/>
          <w:szCs w:val="24"/>
          <w:lang w:val="en-US" w:eastAsia="zh-CN" w:bidi="ar-SA"/>
        </w:rPr>
      </w:pPr>
      <w:r>
        <w:rPr>
          <w:rFonts w:hint="default" w:ascii="宋体" w:hAnsi="Times New Roman" w:eastAsia="宋体" w:cs="Times New Roman"/>
          <w:color w:val="auto"/>
          <w:kern w:val="2"/>
          <w:sz w:val="24"/>
          <w:szCs w:val="24"/>
          <w:lang w:val="en-US" w:eastAsia="zh-CN" w:bidi="ar-SA"/>
        </w:rPr>
        <w:t>8.数据导出保障：本地私有化部署时系统开放全量数据导出接口，无数据锁定、加密限制，保障校方数据自主可控。</w:t>
      </w:r>
    </w:p>
    <w:p w14:paraId="1BC00B08">
      <w:pPr>
        <w:keepNext/>
        <w:keepLines w:val="0"/>
        <w:pageBreakBefore w:val="0"/>
        <w:widowControl w:val="0"/>
        <w:kinsoku/>
        <w:wordWrap/>
        <w:overflowPunct/>
        <w:topLinePunct w:val="0"/>
        <w:autoSpaceDE w:val="0"/>
        <w:autoSpaceDN w:val="0"/>
        <w:bidi w:val="0"/>
        <w:adjustRightInd w:val="0"/>
        <w:snapToGrid/>
        <w:spacing w:line="360" w:lineRule="auto"/>
        <w:ind w:firstLine="420"/>
        <w:jc w:val="both"/>
        <w:textAlignment w:val="auto"/>
        <w:outlineLvl w:val="1"/>
        <w:rPr>
          <w:rFonts w:hint="eastAsia" w:ascii="宋体" w:hAnsi="Times New Roman" w:eastAsia="宋体" w:cs="Times New Roman"/>
          <w:b/>
          <w:bCs/>
          <w:color w:val="auto"/>
          <w:kern w:val="2"/>
          <w:sz w:val="24"/>
          <w:szCs w:val="24"/>
          <w:lang w:val="en-US" w:eastAsia="zh-CN" w:bidi="ar-SA"/>
        </w:rPr>
      </w:pPr>
      <w:r>
        <w:rPr>
          <w:rFonts w:hint="eastAsia" w:ascii="宋体" w:hAnsi="Times New Roman" w:eastAsia="宋体" w:cs="Times New Roman"/>
          <w:b/>
          <w:bCs/>
          <w:color w:val="auto"/>
          <w:kern w:val="2"/>
          <w:sz w:val="24"/>
          <w:szCs w:val="24"/>
          <w:lang w:val="en-US" w:eastAsia="zh-CN" w:bidi="ar-SA"/>
        </w:rPr>
        <w:t>九、采购包3专属商务要求</w:t>
      </w:r>
    </w:p>
    <w:p w14:paraId="2FD0BAC3">
      <w:pPr>
        <w:keepNext/>
        <w:keepLines w:val="0"/>
        <w:pageBreakBefore w:val="0"/>
        <w:widowControl w:val="0"/>
        <w:kinsoku/>
        <w:wordWrap/>
        <w:overflowPunct/>
        <w:topLinePunct w:val="0"/>
        <w:autoSpaceDE w:val="0"/>
        <w:autoSpaceDN w:val="0"/>
        <w:bidi w:val="0"/>
        <w:adjustRightInd w:val="0"/>
        <w:snapToGrid/>
        <w:spacing w:line="360" w:lineRule="auto"/>
        <w:ind w:firstLine="420"/>
        <w:jc w:val="both"/>
        <w:textAlignment w:val="auto"/>
        <w:outlineLvl w:val="9"/>
        <w:rPr>
          <w:rFonts w:hint="default" w:ascii="宋体" w:hAnsi="Times New Roman" w:eastAsia="宋体" w:cs="Times New Roman"/>
          <w:b/>
          <w:bCs/>
          <w:color w:val="auto"/>
          <w:kern w:val="2"/>
          <w:sz w:val="24"/>
          <w:szCs w:val="24"/>
          <w:lang w:val="en-US" w:eastAsia="zh-CN" w:bidi="ar-SA"/>
        </w:rPr>
      </w:pPr>
      <w:r>
        <w:rPr>
          <w:rFonts w:hint="eastAsia" w:ascii="宋体" w:hAnsi="Times New Roman" w:eastAsia="宋体" w:cs="Times New Roman"/>
          <w:b/>
          <w:bCs/>
          <w:color w:val="auto"/>
          <w:kern w:val="2"/>
          <w:sz w:val="24"/>
          <w:szCs w:val="24"/>
          <w:lang w:val="en-US" w:eastAsia="zh-CN" w:bidi="ar-SA"/>
        </w:rPr>
        <w:t>说明：采购包3专属商务要求与本章技术、商务描述不一致的地方，请以本条要求为准。</w:t>
      </w:r>
    </w:p>
    <w:p w14:paraId="1650B72E">
      <w:pPr>
        <w:keepNext/>
        <w:keepLines w:val="0"/>
        <w:pageBreakBefore w:val="0"/>
        <w:widowControl w:val="0"/>
        <w:kinsoku/>
        <w:wordWrap/>
        <w:overflowPunct/>
        <w:topLinePunct w:val="0"/>
        <w:autoSpaceDE w:val="0"/>
        <w:autoSpaceDN w:val="0"/>
        <w:bidi w:val="0"/>
        <w:adjustRightInd w:val="0"/>
        <w:snapToGrid/>
        <w:spacing w:line="360" w:lineRule="auto"/>
        <w:ind w:firstLine="420"/>
        <w:jc w:val="both"/>
        <w:textAlignment w:val="auto"/>
        <w:outlineLvl w:val="2"/>
        <w:rPr>
          <w:rFonts w:hint="eastAsia" w:ascii="宋体" w:hAnsi="Times New Roman" w:eastAsia="宋体" w:cs="Times New Roman"/>
          <w:b/>
          <w:bCs/>
          <w:color w:val="auto"/>
          <w:kern w:val="2"/>
          <w:sz w:val="24"/>
          <w:szCs w:val="24"/>
          <w:lang w:val="en-US" w:eastAsia="zh-CN" w:bidi="ar-SA"/>
        </w:rPr>
      </w:pPr>
      <w:r>
        <w:rPr>
          <w:rFonts w:hint="eastAsia" w:ascii="宋体" w:hAnsi="Times New Roman" w:eastAsia="宋体" w:cs="Times New Roman"/>
          <w:b/>
          <w:bCs/>
          <w:color w:val="auto"/>
          <w:kern w:val="2"/>
          <w:sz w:val="24"/>
          <w:szCs w:val="24"/>
          <w:lang w:val="en-US" w:eastAsia="zh-CN" w:bidi="ar-SA"/>
        </w:rPr>
        <w:t>（一）知识产权与数据归属要求</w:t>
      </w:r>
    </w:p>
    <w:p w14:paraId="49205E14">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 本实训平台全部软件著作权、源代码、平台商标、实训素材、单证模板等知识产权，完整归属软件原始开发厂商；若供应商为经销服务商，其自身不持有平台软件知识产权，投标时，成交供应商须协调软件原厂向采购人出具正式授权文件，保障采购人合法使用。</w:t>
      </w:r>
    </w:p>
    <w:p w14:paraId="6E281237">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 质保期内原厂发布新版本时，须为采购人免费升级系统。</w:t>
      </w:r>
    </w:p>
    <w:p w14:paraId="2E58E3CB">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 师生在平台实训过程中产生的业务数据（B2B 磋商函电、订单数据；B2C 模拟企业财务流水、运营报表等）、采购人自主配置的教学资料、自制教学资源，知识产权归属采购人及在校师生；软件原厂、成交服务商均不得将前述教学实训数据用于任何第三方商业推广、产品研发、对外售卖等商业行为。</w:t>
      </w:r>
    </w:p>
    <w:p w14:paraId="17FAD5B5">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4. 若合同到期或采购人更换实训平台，成交供应商须协调软件原厂免费提供完整教学实训数据导出工具，支持历史实训数据离线交付、迁移至采购人自有存储设备。</w:t>
      </w:r>
    </w:p>
    <w:p w14:paraId="4BE064FF">
      <w:pPr>
        <w:keepNext/>
        <w:keepLines w:val="0"/>
        <w:pageBreakBefore w:val="0"/>
        <w:widowControl w:val="0"/>
        <w:kinsoku/>
        <w:wordWrap/>
        <w:overflowPunct/>
        <w:topLinePunct w:val="0"/>
        <w:autoSpaceDE w:val="0"/>
        <w:autoSpaceDN w:val="0"/>
        <w:bidi w:val="0"/>
        <w:adjustRightInd w:val="0"/>
        <w:snapToGrid/>
        <w:spacing w:line="360" w:lineRule="auto"/>
        <w:ind w:firstLine="420"/>
        <w:jc w:val="both"/>
        <w:textAlignment w:val="auto"/>
        <w:outlineLvl w:val="2"/>
        <w:rPr>
          <w:rFonts w:hint="eastAsia" w:ascii="宋体" w:hAnsi="Times New Roman" w:eastAsia="宋体" w:cs="Times New Roman"/>
          <w:b/>
          <w:bCs/>
          <w:color w:val="auto"/>
          <w:kern w:val="2"/>
          <w:sz w:val="24"/>
          <w:szCs w:val="24"/>
          <w:lang w:val="en-US" w:eastAsia="zh-CN" w:bidi="ar-SA"/>
        </w:rPr>
      </w:pPr>
      <w:r>
        <w:rPr>
          <w:rFonts w:hint="eastAsia" w:ascii="宋体" w:hAnsi="Times New Roman" w:eastAsia="宋体" w:cs="Times New Roman"/>
          <w:b/>
          <w:bCs/>
          <w:color w:val="auto"/>
          <w:kern w:val="2"/>
          <w:sz w:val="24"/>
          <w:szCs w:val="24"/>
          <w:lang w:val="en-US" w:eastAsia="zh-CN" w:bidi="ar-SA"/>
        </w:rPr>
        <w:t>（二）数据安全与个人信息保护要求</w:t>
      </w:r>
    </w:p>
    <w:p w14:paraId="7D9FBE06">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 B2B 模块：</w:t>
      </w:r>
    </w:p>
    <w:p w14:paraId="122C3EE8">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 xml:space="preserve">（1）本地私有化部署模块：学生个人信息采集、处理须严格遵循《中华人民共和国个人信息保护法》最小必要、单独同意原则。 </w:t>
      </w:r>
    </w:p>
    <w:p w14:paraId="6A95CC72">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（2）用户操作业务时须留有完整业务操作日志，日志保留期不少于 1 年。</w:t>
      </w:r>
    </w:p>
    <w:p w14:paraId="6D4EDB44">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 B2C 云端 SaaS 模块</w:t>
      </w:r>
    </w:p>
    <w:p w14:paraId="075578EA">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（1）所有实训数据须存储于中国大陆境内服务器，数据不得跨境传输；</w:t>
      </w:r>
    </w:p>
    <w:p w14:paraId="4092099A">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（2）仅允许采集学生姓名、学号用于登录实训，支持虚拟信息登录实训；实训结束后，可按采购人要求删除学生个人信息；数据保存期限由采购人自定义；</w:t>
      </w:r>
    </w:p>
    <w:p w14:paraId="1C319CA4">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（3）服务到期后，全部实训数据须完整交付采购人，数据销毁方案按照采购人需求执行。</w:t>
      </w:r>
    </w:p>
    <w:p w14:paraId="648BB18F">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（4）B2C 模块整体设计、安全架构须满足《网络安全等级保护基本要求》二级及以上安全规范；投标人须提供具备国家正规等保测评资质机构出具的测评报告作为合规佐证，可提供本模块同版本系统其他院校落地项目出具的测评报告。</w:t>
      </w:r>
    </w:p>
    <w:p w14:paraId="4BD99628">
      <w:pPr>
        <w:keepNext/>
        <w:keepLines w:val="0"/>
        <w:pageBreakBefore w:val="0"/>
        <w:widowControl w:val="0"/>
        <w:kinsoku/>
        <w:wordWrap/>
        <w:overflowPunct/>
        <w:topLinePunct w:val="0"/>
        <w:autoSpaceDE w:val="0"/>
        <w:autoSpaceDN w:val="0"/>
        <w:bidi w:val="0"/>
        <w:adjustRightInd w:val="0"/>
        <w:snapToGrid/>
        <w:spacing w:line="360" w:lineRule="auto"/>
        <w:ind w:firstLine="420"/>
        <w:jc w:val="both"/>
        <w:textAlignment w:val="auto"/>
        <w:outlineLvl w:val="2"/>
        <w:rPr>
          <w:rFonts w:hint="eastAsia" w:ascii="宋体" w:hAnsi="Times New Roman" w:eastAsia="宋体" w:cs="Times New Roman"/>
          <w:b/>
          <w:bCs/>
          <w:color w:val="auto"/>
          <w:kern w:val="2"/>
          <w:sz w:val="24"/>
          <w:szCs w:val="24"/>
          <w:lang w:val="en-US" w:eastAsia="zh-CN" w:bidi="ar-SA"/>
        </w:rPr>
      </w:pPr>
      <w:r>
        <w:rPr>
          <w:rFonts w:hint="eastAsia" w:ascii="宋体" w:hAnsi="Times New Roman" w:eastAsia="宋体" w:cs="Times New Roman"/>
          <w:b/>
          <w:bCs/>
          <w:color w:val="auto"/>
          <w:kern w:val="2"/>
          <w:sz w:val="24"/>
          <w:szCs w:val="24"/>
          <w:lang w:val="en-US" w:eastAsia="zh-CN" w:bidi="ar-SA"/>
        </w:rPr>
        <w:t>（三）质保、售后与 SLA 服务标准</w:t>
      </w:r>
    </w:p>
    <w:p w14:paraId="18D82823">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 免费质保期：项目整体验收合格之日起不少于 3 年；</w:t>
      </w:r>
    </w:p>
    <w:p w14:paraId="1ABB0A8E">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 故障分级响应：系统宕机等重大故障 2 小时内远程响应，一般功能故障 8 小时内响应；</w:t>
      </w:r>
    </w:p>
    <w:p w14:paraId="4B24CE10">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 平台年度综合可用性≥99.5%；</w:t>
      </w:r>
    </w:p>
    <w:p w14:paraId="74B9F336">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4. 质保期内原厂发布新版本时，成交供应商须协调原厂为采购人免费升级系统；系统产品适配国家现行税收政策，质保期内随原厂版本迭代免费同步更新税率、税费计算规则；针对国家正式印发且配套细则全部落地生效的重大税收政策调整（税率、计税规则结构性变更），原厂将结合产品常规版本迭代周期，统一在合理周期内完成系统更新并随新版本推送免费升级；</w:t>
      </w:r>
    </w:p>
    <w:p w14:paraId="4C88898B">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5. 培训服务：项目上线前线下集中培训 1 期、上线后实训中期线下复训 1 期，线下集中培训每期不少于 3 课时；质保 3 年内提供不限次数线上免费补充培训。</w:t>
      </w:r>
    </w:p>
    <w:p w14:paraId="283AEE3F">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6. 商品数据库更新要求：系统须内置标准化教学实训商品基准数据库，涵盖实训商品品类、商品参数、HS 编码、关税分类等基础实训数据，系统内置独立经营模拟模块实现商品价格动态浮动，底层商品数据库与模拟经营价格浮动机制相互独立。质保期内，成交供应商须免费提供商品数据库更新服务，相关调整统一纳入原厂常规版本迭代同步推送；数据库更新以教学大纲调整、实训业务逻辑优化为主要触发条件，系统为教学实训模拟系统，仅保障标准化实训考核基准数据稳定，不随外部市场实时行情、临时性市场波动开展底层商品基准数据高频更新，确保实训数据统一、考核评分标准稳定。</w:t>
      </w:r>
    </w:p>
    <w:p w14:paraId="733A38FF">
      <w:pPr>
        <w:keepNext/>
        <w:keepLines w:val="0"/>
        <w:pageBreakBefore w:val="0"/>
        <w:widowControl w:val="0"/>
        <w:kinsoku/>
        <w:wordWrap/>
        <w:overflowPunct/>
        <w:topLinePunct w:val="0"/>
        <w:autoSpaceDE w:val="0"/>
        <w:autoSpaceDN w:val="0"/>
        <w:bidi w:val="0"/>
        <w:adjustRightInd w:val="0"/>
        <w:snapToGrid/>
        <w:spacing w:line="360" w:lineRule="auto"/>
        <w:ind w:firstLine="420"/>
        <w:jc w:val="both"/>
        <w:textAlignment w:val="auto"/>
        <w:outlineLvl w:val="2"/>
        <w:rPr>
          <w:rFonts w:hint="eastAsia" w:ascii="宋体" w:hAnsi="Times New Roman" w:eastAsia="宋体" w:cs="Times New Roman"/>
          <w:b/>
          <w:bCs/>
          <w:color w:val="auto"/>
          <w:kern w:val="2"/>
          <w:sz w:val="24"/>
          <w:szCs w:val="24"/>
          <w:lang w:val="en-US" w:eastAsia="zh-CN" w:bidi="ar-SA"/>
        </w:rPr>
      </w:pPr>
      <w:r>
        <w:rPr>
          <w:rFonts w:hint="eastAsia" w:ascii="宋体" w:hAnsi="Times New Roman" w:eastAsia="宋体" w:cs="Times New Roman"/>
          <w:b/>
          <w:bCs/>
          <w:color w:val="auto"/>
          <w:kern w:val="2"/>
          <w:sz w:val="24"/>
          <w:szCs w:val="24"/>
          <w:lang w:val="en-US" w:eastAsia="zh-CN" w:bidi="ar-SA"/>
        </w:rPr>
        <w:t>（四）软件正版及第三方组件资质要求</w:t>
      </w:r>
    </w:p>
    <w:p w14:paraId="7C2D8262">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项目成交后，成交供应商须提供软件原厂出具的全套软件正版权属证明文件，完整列明系统使用的开源框架、商业中间件及对应合法授权协议，确保平台不存在第三方知识产权侵权风险；若响应方为经销服务商，须承诺由软件原厂出具完整合法授权材料。</w:t>
      </w:r>
    </w:p>
    <w:p w14:paraId="332A8F10">
      <w:pPr>
        <w:keepNext/>
        <w:keepLines w:val="0"/>
        <w:pageBreakBefore w:val="0"/>
        <w:widowControl w:val="0"/>
        <w:kinsoku/>
        <w:wordWrap/>
        <w:overflowPunct/>
        <w:topLinePunct w:val="0"/>
        <w:autoSpaceDE w:val="0"/>
        <w:autoSpaceDN w:val="0"/>
        <w:bidi w:val="0"/>
        <w:adjustRightInd w:val="0"/>
        <w:snapToGrid/>
        <w:spacing w:line="360" w:lineRule="auto"/>
        <w:ind w:firstLine="420"/>
        <w:jc w:val="both"/>
        <w:textAlignment w:val="auto"/>
        <w:outlineLvl w:val="2"/>
        <w:rPr>
          <w:rFonts w:hint="eastAsia" w:ascii="宋体" w:hAnsi="Times New Roman" w:eastAsia="宋体" w:cs="Times New Roman"/>
          <w:b/>
          <w:bCs/>
          <w:color w:val="auto"/>
          <w:kern w:val="2"/>
          <w:sz w:val="24"/>
          <w:szCs w:val="24"/>
          <w:lang w:val="en-US" w:eastAsia="zh-CN" w:bidi="ar-SA"/>
        </w:rPr>
      </w:pPr>
      <w:r>
        <w:rPr>
          <w:rFonts w:hint="eastAsia" w:ascii="宋体" w:hAnsi="Times New Roman" w:eastAsia="宋体" w:cs="Times New Roman"/>
          <w:b/>
          <w:bCs/>
          <w:color w:val="auto"/>
          <w:kern w:val="2"/>
          <w:sz w:val="24"/>
          <w:szCs w:val="24"/>
          <w:lang w:val="en-US" w:eastAsia="zh-CN" w:bidi="ar-SA"/>
        </w:rPr>
        <w:t>（五）项目交付、安装、试运行与验收要求</w:t>
      </w:r>
    </w:p>
    <w:p w14:paraId="3FE91F7D">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 交付周期：合同签订完成且采购人提供部署环境后10个工作日内完成全部软件交付；</w:t>
      </w:r>
    </w:p>
    <w:p w14:paraId="0BEC568D">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 安装调试：成交供应商上门至采购人指定机房完成 B2B 本地服务器部署、B2C 云端账号开通、教师学生账号初始化配置；</w:t>
      </w:r>
    </w:p>
    <w:p w14:paraId="53062FE6">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 试运行周期：系统部署完成后试运行 1 个月；</w:t>
      </w:r>
    </w:p>
    <w:p w14:paraId="205AC591">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4. 终验流程</w:t>
      </w:r>
    </w:p>
    <w:p w14:paraId="1C10942D">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（1）验收依据：磋商文件、投标技术响应文件、演示视频、合同约定全部技术商务条款；</w:t>
      </w:r>
    </w:p>
    <w:p w14:paraId="60363970">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（2）验收标准：所有功能、参数、服务承诺全部达标，成交供应商提供完整测试文档；</w:t>
      </w:r>
    </w:p>
    <w:p w14:paraId="7CE383C3">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（3）验收组织：成交供应商须现场配合采购人完成验收，验收报告双方签字存档，全部验收相关费用由成交供应商承担；</w:t>
      </w:r>
    </w:p>
    <w:p w14:paraId="0332F8A6">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r>
        <w:rPr>
          <w:rFonts w:hint="eastAsia" w:ascii="宋体" w:hAnsi="Times New Roman" w:eastAsia="宋体" w:cs="Times New Roman"/>
          <w:color w:val="auto"/>
          <w:kern w:val="2"/>
          <w:sz w:val="24"/>
          <w:szCs w:val="24"/>
          <w:lang w:val="en-US" w:eastAsia="zh-CN" w:bidi="ar-SA"/>
        </w:rPr>
        <w:t>（4）采购人有权邀请第三方机构或其他投标人参与验收，相关意见作为验收存档参考。</w:t>
      </w:r>
    </w:p>
    <w:p w14:paraId="742A2349">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3236C374">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6D41D683">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55BC7A9F">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7B98AA0C">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5E989BAB">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3326E00A">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3917DBBC">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54E8AEF2">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12B3AF38">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32384BDF">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047B34AE">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5AB0B7F2">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5A04B0DF">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484DF4DC">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5E1FD0E8">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42208948">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116D0F81">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5ED3DDF7">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4D6C1719">
      <w:pPr>
        <w:keepNext/>
        <w:widowControl w:val="0"/>
        <w:autoSpaceDE w:val="0"/>
        <w:autoSpaceDN w:val="0"/>
        <w:adjustRightInd w:val="0"/>
        <w:spacing w:line="360" w:lineRule="auto"/>
        <w:ind w:firstLine="420"/>
        <w:jc w:val="both"/>
        <w:rPr>
          <w:rFonts w:hint="eastAsia" w:ascii="宋体" w:hAnsi="Times New Roman" w:eastAsia="宋体" w:cs="Times New Roman"/>
          <w:color w:val="auto"/>
          <w:kern w:val="2"/>
          <w:sz w:val="24"/>
          <w:szCs w:val="24"/>
          <w:lang w:val="en-US" w:eastAsia="zh-CN" w:bidi="ar-SA"/>
        </w:rPr>
      </w:pPr>
    </w:p>
    <w:p w14:paraId="261C0F6E">
      <w:pPr>
        <w:rPr>
          <w:color w:val="auto"/>
        </w:rPr>
      </w:pPr>
      <w:bookmarkStart w:id="29" w:name="_Toc1078"/>
    </w:p>
    <w:bookmarkEnd w:id="29"/>
    <w:p w14:paraId="1A2D4A40">
      <w:pPr>
        <w:spacing w:line="360" w:lineRule="auto"/>
        <w:jc w:val="center"/>
        <w:outlineLvl w:val="0"/>
        <w:rPr>
          <w:b/>
          <w:color w:val="auto"/>
          <w:sz w:val="24"/>
        </w:rPr>
      </w:pPr>
      <w:bookmarkStart w:id="30" w:name="_Toc17259"/>
      <w:bookmarkStart w:id="31" w:name="_Toc99301378"/>
      <w:bookmarkStart w:id="32" w:name="_Toc23223"/>
      <w:r>
        <w:rPr>
          <w:b/>
          <w:color w:val="auto"/>
          <w:sz w:val="36"/>
          <w:szCs w:val="36"/>
        </w:rPr>
        <w:t>第六章  响应文件格式</w:t>
      </w:r>
      <w:bookmarkEnd w:id="30"/>
      <w:bookmarkEnd w:id="31"/>
      <w:bookmarkEnd w:id="32"/>
    </w:p>
    <w:p w14:paraId="7D9AD028">
      <w:pPr>
        <w:tabs>
          <w:tab w:val="left" w:pos="900"/>
          <w:tab w:val="left" w:pos="1980"/>
        </w:tabs>
        <w:snapToGrid w:val="0"/>
        <w:spacing w:line="360" w:lineRule="auto"/>
        <w:ind w:left="142"/>
        <w:rPr>
          <w:b/>
          <w:color w:val="auto"/>
          <w:sz w:val="24"/>
        </w:rPr>
      </w:pPr>
      <w:r>
        <w:rPr>
          <w:b/>
          <w:color w:val="auto"/>
          <w:sz w:val="24"/>
        </w:rPr>
        <w:t>供应商编制文件须知</w:t>
      </w:r>
    </w:p>
    <w:p w14:paraId="11986C30">
      <w:pPr>
        <w:numPr>
          <w:ilvl w:val="0"/>
          <w:numId w:val="1"/>
        </w:numPr>
        <w:tabs>
          <w:tab w:val="left" w:pos="900"/>
          <w:tab w:val="left" w:pos="1980"/>
        </w:tabs>
        <w:snapToGrid w:val="0"/>
        <w:spacing w:line="360" w:lineRule="auto"/>
        <w:ind w:left="142" w:firstLine="480" w:firstLineChars="200"/>
        <w:rPr>
          <w:rFonts w:ascii="宋体" w:hAnsi="宋体" w:cs="宋体"/>
          <w:color w:val="auto"/>
          <w:sz w:val="24"/>
        </w:rPr>
      </w:pPr>
      <w:r>
        <w:rPr>
          <w:rFonts w:hint="eastAsia" w:ascii="宋体" w:hAnsi="宋体" w:cs="宋体"/>
          <w:color w:val="auto"/>
          <w:sz w:val="24"/>
        </w:rPr>
        <w:t>供应商按照本部分的顺序编制响应文件，编制中涉及格式资料的，应按照本部分提供的内容和格式（所有表格的格式可扩展）填写提交。</w:t>
      </w:r>
    </w:p>
    <w:p w14:paraId="4246DFDD">
      <w:pPr>
        <w:numPr>
          <w:ilvl w:val="0"/>
          <w:numId w:val="1"/>
        </w:numPr>
        <w:tabs>
          <w:tab w:val="left" w:pos="900"/>
          <w:tab w:val="left" w:pos="1980"/>
        </w:tabs>
        <w:snapToGrid w:val="0"/>
        <w:spacing w:line="360" w:lineRule="auto"/>
        <w:ind w:left="142" w:firstLine="480" w:firstLineChars="200"/>
        <w:rPr>
          <w:rFonts w:ascii="宋体" w:hAnsi="宋体" w:cs="宋体"/>
          <w:color w:val="auto"/>
          <w:sz w:val="24"/>
        </w:rPr>
      </w:pPr>
      <w:r>
        <w:rPr>
          <w:rFonts w:hint="eastAsia" w:ascii="宋体" w:hAnsi="宋体" w:cs="宋体"/>
          <w:color w:val="auto"/>
          <w:kern w:val="0"/>
          <w:sz w:val="24"/>
        </w:rPr>
        <w:t>对于磋商文件中标记了“实质性格式”文件的，</w:t>
      </w:r>
      <w:r>
        <w:rPr>
          <w:rFonts w:hint="eastAsia" w:ascii="宋体" w:hAnsi="宋体" w:cs="宋体"/>
          <w:color w:val="auto"/>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kern w:val="0"/>
          <w:sz w:val="24"/>
        </w:rPr>
        <w:t>否则响应无效</w:t>
      </w:r>
      <w:r>
        <w:rPr>
          <w:rFonts w:hint="eastAsia" w:ascii="宋体" w:hAnsi="宋体" w:cs="宋体"/>
          <w:color w:val="auto"/>
          <w:kern w:val="0"/>
          <w:sz w:val="24"/>
        </w:rPr>
        <w:t>。未标记“实质性格式”的文件和磋商文件未提供格式的内容，可由供应商自行编写。</w:t>
      </w:r>
    </w:p>
    <w:p w14:paraId="66780100">
      <w:pPr>
        <w:numPr>
          <w:ilvl w:val="0"/>
          <w:numId w:val="1"/>
        </w:numPr>
        <w:tabs>
          <w:tab w:val="left" w:pos="900"/>
          <w:tab w:val="left" w:pos="1980"/>
        </w:tabs>
        <w:snapToGrid w:val="0"/>
        <w:spacing w:line="360" w:lineRule="auto"/>
        <w:ind w:left="142" w:firstLine="480" w:firstLineChars="200"/>
        <w:rPr>
          <w:rFonts w:ascii="宋体" w:hAnsi="宋体" w:cs="宋体"/>
          <w:color w:val="auto"/>
          <w:sz w:val="24"/>
        </w:rPr>
      </w:pPr>
      <w:r>
        <w:rPr>
          <w:rFonts w:hint="eastAsia" w:ascii="宋体" w:hAnsi="宋体" w:cs="宋体"/>
          <w:color w:val="auto"/>
          <w:sz w:val="24"/>
        </w:rPr>
        <w:t>全部声明和问题的回答及所附材料必须是真实的、准确的和完整的。</w:t>
      </w:r>
    </w:p>
    <w:p w14:paraId="46476688">
      <w:pPr>
        <w:numPr>
          <w:ilvl w:val="0"/>
          <w:numId w:val="1"/>
        </w:numPr>
        <w:tabs>
          <w:tab w:val="left" w:pos="900"/>
          <w:tab w:val="left" w:pos="1980"/>
        </w:tabs>
        <w:snapToGrid w:val="0"/>
        <w:spacing w:line="360" w:lineRule="auto"/>
        <w:ind w:left="142" w:firstLine="480" w:firstLineChars="200"/>
        <w:rPr>
          <w:rFonts w:ascii="宋体" w:hAnsi="宋体" w:cs="宋体"/>
          <w:color w:val="auto"/>
          <w:sz w:val="24"/>
        </w:rPr>
      </w:pPr>
      <w:r>
        <w:rPr>
          <w:rFonts w:hint="eastAsia" w:ascii="宋体" w:hAnsi="宋体" w:cs="宋体"/>
          <w:color w:val="auto"/>
          <w:sz w:val="24"/>
        </w:rPr>
        <w:t>响应文件封面、目录仅限于成交供应商编制纸质响应文件使用，供应商无须上传至政采云平台。</w:t>
      </w:r>
    </w:p>
    <w:p w14:paraId="6E613191">
      <w:pPr>
        <w:rPr>
          <w:color w:val="auto"/>
        </w:rPr>
      </w:pPr>
    </w:p>
    <w:p w14:paraId="6884C9DA">
      <w:pPr>
        <w:tabs>
          <w:tab w:val="left" w:pos="900"/>
          <w:tab w:val="left" w:pos="1980"/>
        </w:tabs>
        <w:snapToGrid w:val="0"/>
        <w:spacing w:line="360" w:lineRule="auto"/>
        <w:ind w:left="142"/>
        <w:rPr>
          <w:color w:val="auto"/>
          <w:sz w:val="24"/>
        </w:rPr>
      </w:pPr>
    </w:p>
    <w:p w14:paraId="597A8F73">
      <w:pPr>
        <w:spacing w:line="336" w:lineRule="auto"/>
        <w:jc w:val="center"/>
        <w:rPr>
          <w:rFonts w:hint="default" w:ascii="华文中宋" w:hAnsi="华文中宋" w:eastAsia="华文中宋" w:cs="华文中宋"/>
          <w:b/>
          <w:color w:val="auto"/>
          <w:sz w:val="44"/>
          <w:szCs w:val="44"/>
          <w:lang w:val="en-US" w:eastAsia="zh-CN"/>
        </w:rPr>
      </w:pPr>
      <w:r>
        <w:rPr>
          <w:color w:val="auto"/>
          <w:sz w:val="24"/>
        </w:rPr>
        <w:br w:type="page"/>
      </w:r>
      <w:r>
        <w:rPr>
          <w:rFonts w:hint="eastAsia" w:ascii="华文中宋" w:hAnsi="华文中宋" w:eastAsia="华文中宋" w:cs="华文中宋"/>
          <w:b/>
          <w:bCs/>
          <w:color w:val="auto"/>
          <w:sz w:val="44"/>
          <w:szCs w:val="44"/>
          <w:lang w:eastAsia="zh-CN"/>
        </w:rPr>
        <w:t>楚雄师范学院数智经管应用实训平台－软件采购项目（</w:t>
      </w:r>
      <w:r>
        <w:rPr>
          <w:rFonts w:hint="eastAsia" w:ascii="华文中宋" w:hAnsi="华文中宋" w:eastAsia="华文中宋" w:cs="华文中宋"/>
          <w:b/>
          <w:bCs/>
          <w:color w:val="auto"/>
          <w:sz w:val="44"/>
          <w:szCs w:val="44"/>
          <w:lang w:val="en-US" w:eastAsia="zh-CN"/>
        </w:rPr>
        <w:t>包*）</w:t>
      </w:r>
    </w:p>
    <w:p w14:paraId="4132B349">
      <w:pPr>
        <w:rPr>
          <w:rFonts w:ascii="华文中宋" w:hAnsi="华文中宋" w:eastAsia="华文中宋" w:cs="华文中宋"/>
          <w:color w:val="auto"/>
        </w:rPr>
      </w:pPr>
    </w:p>
    <w:p w14:paraId="6526A1B7">
      <w:pPr>
        <w:rPr>
          <w:rFonts w:ascii="华文中宋" w:hAnsi="华文中宋" w:eastAsia="华文中宋" w:cs="华文中宋"/>
          <w:b/>
          <w:color w:val="auto"/>
          <w:sz w:val="32"/>
          <w:szCs w:val="32"/>
        </w:rPr>
      </w:pPr>
    </w:p>
    <w:p w14:paraId="24B863B0">
      <w:pPr>
        <w:rPr>
          <w:rFonts w:ascii="华文中宋" w:hAnsi="华文中宋" w:eastAsia="华文中宋" w:cs="华文中宋"/>
          <w:color w:val="auto"/>
        </w:rPr>
      </w:pPr>
    </w:p>
    <w:p w14:paraId="75247971">
      <w:pPr>
        <w:rPr>
          <w:rFonts w:ascii="华文中宋" w:hAnsi="华文中宋" w:eastAsia="华文中宋" w:cs="华文中宋"/>
          <w:color w:val="auto"/>
        </w:rPr>
      </w:pPr>
    </w:p>
    <w:p w14:paraId="0AE58A66">
      <w:pPr>
        <w:widowControl w:val="0"/>
        <w:tabs>
          <w:tab w:val="left" w:pos="567"/>
        </w:tabs>
        <w:spacing w:before="120" w:line="22" w:lineRule="atLeast"/>
        <w:jc w:val="both"/>
        <w:rPr>
          <w:rFonts w:ascii="华文中宋" w:hAnsi="华文中宋" w:eastAsia="华文中宋" w:cs="华文中宋"/>
          <w:color w:val="auto"/>
          <w:kern w:val="2"/>
          <w:sz w:val="24"/>
          <w:szCs w:val="24"/>
          <w:lang w:val="en-US" w:eastAsia="zh-CN" w:bidi="ar-SA"/>
        </w:rPr>
      </w:pPr>
    </w:p>
    <w:p w14:paraId="2607720C">
      <w:pPr>
        <w:rPr>
          <w:color w:val="auto"/>
        </w:rPr>
      </w:pPr>
    </w:p>
    <w:p w14:paraId="36006604">
      <w:pPr>
        <w:widowControl w:val="0"/>
        <w:tabs>
          <w:tab w:val="left" w:pos="567"/>
        </w:tabs>
        <w:spacing w:before="120" w:line="22" w:lineRule="atLeast"/>
        <w:jc w:val="both"/>
        <w:rPr>
          <w:rFonts w:ascii="华文中宋" w:hAnsi="华文中宋" w:eastAsia="华文中宋" w:cs="华文中宋"/>
          <w:color w:val="auto"/>
          <w:kern w:val="2"/>
          <w:sz w:val="24"/>
          <w:szCs w:val="24"/>
          <w:lang w:val="en-US" w:eastAsia="zh-CN" w:bidi="ar-SA"/>
        </w:rPr>
      </w:pPr>
    </w:p>
    <w:p w14:paraId="15E4F14E">
      <w:pPr>
        <w:rPr>
          <w:rFonts w:ascii="华文中宋" w:hAnsi="华文中宋" w:eastAsia="华文中宋" w:cs="华文中宋"/>
          <w:b/>
          <w:color w:val="auto"/>
          <w:sz w:val="32"/>
          <w:szCs w:val="32"/>
        </w:rPr>
      </w:pPr>
    </w:p>
    <w:p w14:paraId="51E87373">
      <w:pPr>
        <w:rPr>
          <w:rFonts w:ascii="华文中宋" w:hAnsi="华文中宋" w:eastAsia="华文中宋" w:cs="华文中宋"/>
          <w:b/>
          <w:color w:val="auto"/>
          <w:sz w:val="32"/>
          <w:szCs w:val="32"/>
        </w:rPr>
      </w:pPr>
    </w:p>
    <w:p w14:paraId="23E0A2E7">
      <w:pPr>
        <w:jc w:val="center"/>
        <w:rPr>
          <w:rFonts w:ascii="华文中宋" w:hAnsi="华文中宋" w:eastAsia="华文中宋" w:cs="华文中宋"/>
          <w:b/>
          <w:color w:val="auto"/>
          <w:sz w:val="84"/>
          <w:szCs w:val="84"/>
        </w:rPr>
      </w:pPr>
      <w:r>
        <w:rPr>
          <w:rFonts w:hint="eastAsia" w:ascii="华文中宋" w:hAnsi="华文中宋" w:eastAsia="华文中宋" w:cs="华文中宋"/>
          <w:b/>
          <w:color w:val="auto"/>
          <w:sz w:val="84"/>
          <w:szCs w:val="84"/>
        </w:rPr>
        <w:t>响应文件</w:t>
      </w:r>
    </w:p>
    <w:p w14:paraId="784F37C2">
      <w:pPr>
        <w:autoSpaceDE w:val="0"/>
        <w:autoSpaceDN w:val="0"/>
        <w:adjustRightInd w:val="0"/>
        <w:spacing w:line="360" w:lineRule="auto"/>
        <w:jc w:val="center"/>
        <w:rPr>
          <w:rFonts w:ascii="华文中宋" w:hAnsi="华文中宋" w:eastAsia="华文中宋" w:cs="华文中宋"/>
          <w:b/>
          <w:color w:val="auto"/>
          <w:sz w:val="30"/>
          <w:szCs w:val="30"/>
        </w:rPr>
      </w:pPr>
      <w:r>
        <w:rPr>
          <w:rFonts w:hint="eastAsia" w:ascii="华文中宋" w:hAnsi="华文中宋" w:eastAsia="华文中宋" w:cs="华文中宋"/>
          <w:b/>
          <w:color w:val="auto"/>
          <w:sz w:val="30"/>
          <w:szCs w:val="30"/>
        </w:rPr>
        <w:t>项目编号：YNZC2026-C1-03889-CXBC-0025</w:t>
      </w:r>
    </w:p>
    <w:p w14:paraId="5D5A4CE3">
      <w:pPr>
        <w:rPr>
          <w:rFonts w:ascii="华文中宋" w:hAnsi="华文中宋" w:eastAsia="华文中宋" w:cs="华文中宋"/>
          <w:b/>
          <w:color w:val="auto"/>
          <w:sz w:val="32"/>
          <w:szCs w:val="32"/>
        </w:rPr>
      </w:pPr>
    </w:p>
    <w:p w14:paraId="1D20365B">
      <w:pPr>
        <w:rPr>
          <w:rFonts w:ascii="华文中宋" w:hAnsi="华文中宋" w:eastAsia="华文中宋" w:cs="华文中宋"/>
          <w:b/>
          <w:color w:val="auto"/>
          <w:sz w:val="32"/>
          <w:szCs w:val="32"/>
        </w:rPr>
      </w:pPr>
    </w:p>
    <w:p w14:paraId="498FA165">
      <w:pPr>
        <w:rPr>
          <w:rFonts w:ascii="华文中宋" w:hAnsi="华文中宋" w:eastAsia="华文中宋" w:cs="华文中宋"/>
          <w:color w:val="auto"/>
        </w:rPr>
      </w:pPr>
    </w:p>
    <w:p w14:paraId="3BDBBF07">
      <w:pPr>
        <w:rPr>
          <w:rFonts w:ascii="华文中宋" w:hAnsi="华文中宋" w:eastAsia="华文中宋" w:cs="华文中宋"/>
          <w:color w:val="auto"/>
        </w:rPr>
      </w:pPr>
    </w:p>
    <w:p w14:paraId="5B8BE314">
      <w:pPr>
        <w:rPr>
          <w:rFonts w:ascii="华文中宋" w:hAnsi="华文中宋" w:eastAsia="华文中宋" w:cs="华文中宋"/>
          <w:b/>
          <w:color w:val="auto"/>
          <w:sz w:val="32"/>
          <w:szCs w:val="32"/>
        </w:rPr>
      </w:pPr>
    </w:p>
    <w:p w14:paraId="67166E07">
      <w:pPr>
        <w:rPr>
          <w:rFonts w:ascii="华文中宋" w:hAnsi="华文中宋" w:eastAsia="华文中宋" w:cs="华文中宋"/>
          <w:color w:val="auto"/>
        </w:rPr>
      </w:pPr>
    </w:p>
    <w:p w14:paraId="7CE48863">
      <w:pPr>
        <w:rPr>
          <w:rFonts w:ascii="华文中宋" w:hAnsi="华文中宋" w:eastAsia="华文中宋" w:cs="华文中宋"/>
          <w:color w:val="auto"/>
        </w:rPr>
      </w:pPr>
    </w:p>
    <w:p w14:paraId="7C40CD02">
      <w:pPr>
        <w:rPr>
          <w:rFonts w:ascii="华文中宋" w:hAnsi="华文中宋" w:eastAsia="华文中宋" w:cs="华文中宋"/>
          <w:color w:val="auto"/>
        </w:rPr>
      </w:pPr>
    </w:p>
    <w:p w14:paraId="16D17C0E">
      <w:pPr>
        <w:rPr>
          <w:rFonts w:ascii="华文中宋" w:hAnsi="华文中宋" w:eastAsia="华文中宋" w:cs="华文中宋"/>
          <w:color w:val="auto"/>
        </w:rPr>
      </w:pPr>
    </w:p>
    <w:p w14:paraId="689B8E61">
      <w:pPr>
        <w:rPr>
          <w:rFonts w:ascii="华文中宋" w:hAnsi="华文中宋" w:eastAsia="华文中宋" w:cs="华文中宋"/>
          <w:b/>
          <w:color w:val="auto"/>
          <w:sz w:val="32"/>
          <w:szCs w:val="32"/>
        </w:rPr>
      </w:pPr>
    </w:p>
    <w:p w14:paraId="0F8C7878">
      <w:pPr>
        <w:spacing w:line="360" w:lineRule="auto"/>
        <w:jc w:val="center"/>
        <w:rPr>
          <w:rFonts w:ascii="华文中宋" w:hAnsi="华文中宋" w:eastAsia="华文中宋" w:cs="华文中宋"/>
          <w:b/>
          <w:color w:val="auto"/>
          <w:sz w:val="32"/>
          <w:szCs w:val="32"/>
          <w:u w:val="single"/>
        </w:rPr>
      </w:pPr>
      <w:r>
        <w:rPr>
          <w:rFonts w:hint="eastAsia" w:ascii="华文中宋" w:hAnsi="华文中宋" w:eastAsia="华文中宋" w:cs="华文中宋"/>
          <w:b/>
          <w:color w:val="auto"/>
          <w:sz w:val="32"/>
          <w:szCs w:val="32"/>
        </w:rPr>
        <w:t xml:space="preserve"> 供  应  商： </w:t>
      </w:r>
      <w:r>
        <w:rPr>
          <w:rFonts w:hint="eastAsia" w:ascii="华文中宋" w:hAnsi="华文中宋" w:eastAsia="华文中宋" w:cs="华文中宋"/>
          <w:b/>
          <w:color w:val="auto"/>
          <w:sz w:val="32"/>
          <w:szCs w:val="32"/>
          <w:u w:val="single"/>
        </w:rPr>
        <w:t xml:space="preserve">                    </w:t>
      </w:r>
      <w:r>
        <w:rPr>
          <w:rFonts w:hint="eastAsia" w:ascii="华文中宋" w:hAnsi="华文中宋" w:eastAsia="华文中宋" w:cs="华文中宋"/>
          <w:b/>
          <w:color w:val="auto"/>
          <w:sz w:val="32"/>
          <w:szCs w:val="32"/>
        </w:rPr>
        <w:t>（盖单位章）</w:t>
      </w:r>
    </w:p>
    <w:p w14:paraId="5D6C1827">
      <w:pPr>
        <w:widowControl w:val="0"/>
        <w:tabs>
          <w:tab w:val="left" w:pos="567"/>
        </w:tabs>
        <w:spacing w:before="120" w:line="22" w:lineRule="atLeast"/>
        <w:jc w:val="both"/>
        <w:rPr>
          <w:rFonts w:ascii="华文中宋" w:hAnsi="华文中宋" w:eastAsia="华文中宋" w:cs="华文中宋"/>
          <w:color w:val="auto"/>
          <w:kern w:val="2"/>
          <w:sz w:val="24"/>
          <w:szCs w:val="24"/>
          <w:lang w:val="en-US" w:eastAsia="zh-CN" w:bidi="ar-SA"/>
        </w:rPr>
      </w:pPr>
    </w:p>
    <w:p w14:paraId="18E1EB91">
      <w:pPr>
        <w:spacing w:line="360" w:lineRule="auto"/>
        <w:ind w:firstLine="964" w:firstLineChars="300"/>
        <w:rPr>
          <w:rFonts w:ascii="华文中宋" w:hAnsi="华文中宋" w:eastAsia="华文中宋" w:cs="华文中宋"/>
          <w:b/>
          <w:color w:val="auto"/>
          <w:sz w:val="32"/>
          <w:szCs w:val="32"/>
        </w:rPr>
      </w:pPr>
      <w:r>
        <w:rPr>
          <w:rFonts w:hint="eastAsia" w:ascii="华文中宋" w:hAnsi="华文中宋" w:eastAsia="华文中宋" w:cs="华文中宋"/>
          <w:b/>
          <w:color w:val="auto"/>
          <w:sz w:val="32"/>
          <w:szCs w:val="32"/>
        </w:rPr>
        <w:t>法定代表人或委托代理人</w:t>
      </w:r>
      <w:r>
        <w:rPr>
          <w:rFonts w:hint="eastAsia" w:ascii="华文中宋" w:hAnsi="华文中宋" w:eastAsia="华文中宋" w:cs="华文中宋"/>
          <w:b/>
          <w:color w:val="auto"/>
          <w:spacing w:val="-20"/>
          <w:sz w:val="32"/>
          <w:szCs w:val="32"/>
        </w:rPr>
        <w:t>：</w:t>
      </w:r>
      <w:r>
        <w:rPr>
          <w:rFonts w:hint="eastAsia" w:ascii="华文中宋" w:hAnsi="华文中宋" w:eastAsia="华文中宋" w:cs="华文中宋"/>
          <w:b/>
          <w:color w:val="auto"/>
          <w:sz w:val="32"/>
          <w:szCs w:val="32"/>
          <w:u w:val="single"/>
        </w:rPr>
        <w:t xml:space="preserve">             </w:t>
      </w:r>
      <w:r>
        <w:rPr>
          <w:rFonts w:hint="eastAsia" w:ascii="华文中宋" w:hAnsi="华文中宋" w:eastAsia="华文中宋" w:cs="华文中宋"/>
          <w:b/>
          <w:color w:val="auto"/>
          <w:sz w:val="32"/>
          <w:szCs w:val="32"/>
        </w:rPr>
        <w:t>（签字）</w:t>
      </w:r>
    </w:p>
    <w:p w14:paraId="12CB1D85">
      <w:pPr>
        <w:widowControl w:val="0"/>
        <w:tabs>
          <w:tab w:val="left" w:pos="567"/>
        </w:tabs>
        <w:spacing w:before="120" w:line="22" w:lineRule="atLeast"/>
        <w:jc w:val="both"/>
        <w:rPr>
          <w:rFonts w:ascii="华文中宋" w:hAnsi="华文中宋" w:eastAsia="华文中宋" w:cs="华文中宋"/>
          <w:color w:val="auto"/>
          <w:kern w:val="2"/>
          <w:sz w:val="24"/>
          <w:szCs w:val="24"/>
          <w:lang w:val="en-US" w:eastAsia="zh-CN" w:bidi="ar-SA"/>
        </w:rPr>
      </w:pPr>
    </w:p>
    <w:p w14:paraId="4D07E023">
      <w:pPr>
        <w:spacing w:line="360" w:lineRule="auto"/>
        <w:jc w:val="center"/>
        <w:rPr>
          <w:b/>
          <w:color w:val="auto"/>
          <w:sz w:val="32"/>
          <w:szCs w:val="32"/>
        </w:rPr>
      </w:pPr>
      <w:r>
        <w:rPr>
          <w:rFonts w:hint="eastAsia" w:ascii="华文中宋" w:hAnsi="华文中宋" w:eastAsia="华文中宋" w:cs="华文中宋"/>
          <w:b/>
          <w:color w:val="auto"/>
          <w:sz w:val="32"/>
          <w:szCs w:val="32"/>
        </w:rPr>
        <w:t>日      期：      年   月   日</w:t>
      </w:r>
    </w:p>
    <w:p w14:paraId="220B3E43">
      <w:pPr>
        <w:snapToGrid w:val="0"/>
        <w:spacing w:line="400" w:lineRule="exact"/>
        <w:rPr>
          <w:b/>
          <w:color w:val="auto"/>
          <w:sz w:val="32"/>
          <w:szCs w:val="32"/>
        </w:rPr>
      </w:pPr>
    </w:p>
    <w:p w14:paraId="57C11B0E">
      <w:pPr>
        <w:snapToGrid w:val="0"/>
        <w:spacing w:line="400" w:lineRule="exact"/>
        <w:jc w:val="center"/>
        <w:rPr>
          <w:b/>
          <w:color w:val="auto"/>
          <w:sz w:val="32"/>
          <w:szCs w:val="32"/>
        </w:rPr>
      </w:pPr>
      <w:r>
        <w:rPr>
          <w:rFonts w:hint="eastAsia"/>
          <w:b/>
          <w:color w:val="auto"/>
          <w:sz w:val="32"/>
          <w:szCs w:val="32"/>
        </w:rPr>
        <w:t>目   录</w:t>
      </w:r>
    </w:p>
    <w:p w14:paraId="6DD82E29">
      <w:pPr>
        <w:snapToGrid w:val="0"/>
        <w:spacing w:line="400" w:lineRule="exact"/>
        <w:ind w:firstLine="726" w:firstLineChars="226"/>
        <w:jc w:val="center"/>
        <w:rPr>
          <w:b/>
          <w:color w:val="auto"/>
          <w:sz w:val="32"/>
          <w:szCs w:val="32"/>
        </w:rPr>
      </w:pPr>
    </w:p>
    <w:p w14:paraId="1A2C23B6">
      <w:pPr>
        <w:spacing w:line="360" w:lineRule="auto"/>
        <w:ind w:firstLine="480" w:firstLineChars="200"/>
        <w:rPr>
          <w:color w:val="auto"/>
          <w:sz w:val="24"/>
        </w:rPr>
      </w:pPr>
      <w:r>
        <w:rPr>
          <w:rFonts w:hint="eastAsia"/>
          <w:color w:val="auto"/>
          <w:sz w:val="24"/>
        </w:rPr>
        <w:t>一、资格证明文件</w:t>
      </w:r>
    </w:p>
    <w:p w14:paraId="7F1E496B">
      <w:pPr>
        <w:spacing w:line="360" w:lineRule="auto"/>
        <w:ind w:firstLine="480" w:firstLineChars="200"/>
        <w:rPr>
          <w:color w:val="auto"/>
          <w:sz w:val="24"/>
        </w:rPr>
      </w:pPr>
      <w:r>
        <w:rPr>
          <w:rFonts w:hint="eastAsia"/>
          <w:color w:val="auto"/>
          <w:sz w:val="24"/>
        </w:rPr>
        <w:t>二、磋商响应函</w:t>
      </w:r>
    </w:p>
    <w:p w14:paraId="742832C4">
      <w:pPr>
        <w:spacing w:line="360" w:lineRule="auto"/>
        <w:ind w:firstLine="480" w:firstLineChars="200"/>
        <w:rPr>
          <w:color w:val="auto"/>
          <w:sz w:val="24"/>
        </w:rPr>
      </w:pPr>
      <w:r>
        <w:rPr>
          <w:rFonts w:hint="eastAsia"/>
          <w:color w:val="auto"/>
          <w:sz w:val="24"/>
        </w:rPr>
        <w:t>三、法定代表人身份证明书或法定代表人授权书</w:t>
      </w:r>
    </w:p>
    <w:p w14:paraId="0C9174AF">
      <w:pPr>
        <w:spacing w:line="360" w:lineRule="auto"/>
        <w:ind w:firstLine="480" w:firstLineChars="200"/>
        <w:rPr>
          <w:color w:val="auto"/>
          <w:sz w:val="24"/>
        </w:rPr>
      </w:pPr>
      <w:r>
        <w:rPr>
          <w:rFonts w:hint="eastAsia"/>
          <w:color w:val="auto"/>
          <w:sz w:val="24"/>
        </w:rPr>
        <w:t>四、中小企业证明文件</w:t>
      </w:r>
    </w:p>
    <w:p w14:paraId="14C3438A">
      <w:pPr>
        <w:spacing w:line="360" w:lineRule="auto"/>
        <w:ind w:firstLine="480" w:firstLineChars="200"/>
        <w:rPr>
          <w:color w:val="auto"/>
          <w:sz w:val="24"/>
        </w:rPr>
      </w:pPr>
      <w:r>
        <w:rPr>
          <w:rFonts w:hint="eastAsia"/>
          <w:color w:val="auto"/>
          <w:sz w:val="24"/>
        </w:rPr>
        <w:t>五、关于符合本国产品标准的声明函</w:t>
      </w:r>
    </w:p>
    <w:p w14:paraId="238BC509">
      <w:pPr>
        <w:spacing w:line="360" w:lineRule="auto"/>
        <w:ind w:firstLine="480" w:firstLineChars="200"/>
        <w:rPr>
          <w:color w:val="auto"/>
          <w:sz w:val="24"/>
        </w:rPr>
      </w:pPr>
      <w:r>
        <w:rPr>
          <w:rFonts w:hint="eastAsia"/>
          <w:color w:val="auto"/>
          <w:sz w:val="24"/>
        </w:rPr>
        <w:t>六、分项报价表</w:t>
      </w:r>
    </w:p>
    <w:p w14:paraId="679D1A33">
      <w:pPr>
        <w:spacing w:line="360" w:lineRule="auto"/>
        <w:ind w:firstLine="480" w:firstLineChars="200"/>
        <w:rPr>
          <w:color w:val="auto"/>
          <w:sz w:val="24"/>
        </w:rPr>
      </w:pPr>
      <w:r>
        <w:rPr>
          <w:rFonts w:hint="eastAsia"/>
          <w:color w:val="auto"/>
          <w:sz w:val="24"/>
        </w:rPr>
        <w:t>七、合同条款偏离表</w:t>
      </w:r>
    </w:p>
    <w:p w14:paraId="67C2C44F">
      <w:pPr>
        <w:spacing w:line="360" w:lineRule="auto"/>
        <w:ind w:firstLine="480" w:firstLineChars="200"/>
        <w:rPr>
          <w:color w:val="auto"/>
          <w:sz w:val="24"/>
        </w:rPr>
      </w:pPr>
      <w:r>
        <w:rPr>
          <w:rFonts w:hint="eastAsia"/>
          <w:color w:val="auto"/>
          <w:sz w:val="24"/>
        </w:rPr>
        <w:t>八、采购需求偏离表</w:t>
      </w:r>
    </w:p>
    <w:p w14:paraId="0ECC7381">
      <w:pPr>
        <w:spacing w:line="360" w:lineRule="auto"/>
        <w:ind w:firstLine="480" w:firstLineChars="200"/>
        <w:rPr>
          <w:color w:val="auto"/>
          <w:sz w:val="24"/>
        </w:rPr>
      </w:pPr>
      <w:r>
        <w:rPr>
          <w:rFonts w:hint="eastAsia"/>
          <w:color w:val="auto"/>
          <w:sz w:val="24"/>
        </w:rPr>
        <w:t>九、项目实施方案</w:t>
      </w:r>
    </w:p>
    <w:p w14:paraId="52BFFD5A">
      <w:pPr>
        <w:spacing w:line="360" w:lineRule="auto"/>
        <w:ind w:firstLine="480" w:firstLineChars="200"/>
        <w:rPr>
          <w:color w:val="auto"/>
          <w:sz w:val="24"/>
        </w:rPr>
      </w:pPr>
      <w:r>
        <w:rPr>
          <w:rFonts w:hint="eastAsia"/>
          <w:color w:val="auto"/>
          <w:sz w:val="24"/>
        </w:rPr>
        <w:t>十、近年完成的类似项目情况表</w:t>
      </w:r>
    </w:p>
    <w:p w14:paraId="2B25DA3F">
      <w:pPr>
        <w:spacing w:line="360" w:lineRule="auto"/>
        <w:ind w:firstLine="480" w:firstLineChars="200"/>
        <w:rPr>
          <w:color w:val="auto"/>
          <w:sz w:val="24"/>
        </w:rPr>
      </w:pPr>
      <w:r>
        <w:rPr>
          <w:rFonts w:hint="eastAsia"/>
          <w:color w:val="auto"/>
          <w:sz w:val="24"/>
        </w:rPr>
        <w:t>十一、售后服务方案</w:t>
      </w:r>
    </w:p>
    <w:p w14:paraId="7DCF15DA">
      <w:pPr>
        <w:spacing w:line="360" w:lineRule="auto"/>
        <w:ind w:firstLine="480" w:firstLineChars="200"/>
        <w:rPr>
          <w:color w:val="auto"/>
          <w:sz w:val="24"/>
        </w:rPr>
      </w:pPr>
      <w:r>
        <w:rPr>
          <w:rFonts w:hint="eastAsia"/>
          <w:color w:val="auto"/>
          <w:sz w:val="24"/>
        </w:rPr>
        <w:t>十二、磋商文件要求提供或供应商认为应附的其他材料</w:t>
      </w:r>
    </w:p>
    <w:p w14:paraId="3594154D">
      <w:pPr>
        <w:spacing w:line="360" w:lineRule="auto"/>
        <w:ind w:firstLine="480" w:firstLineChars="200"/>
        <w:rPr>
          <w:color w:val="auto"/>
          <w:sz w:val="24"/>
        </w:rPr>
      </w:pPr>
    </w:p>
    <w:p w14:paraId="21D2C382">
      <w:pPr>
        <w:spacing w:line="360" w:lineRule="auto"/>
        <w:ind w:firstLine="480" w:firstLineChars="200"/>
        <w:rPr>
          <w:color w:val="auto"/>
          <w:sz w:val="24"/>
        </w:rPr>
      </w:pPr>
    </w:p>
    <w:p w14:paraId="02F15129">
      <w:pPr>
        <w:rPr>
          <w:color w:val="auto"/>
        </w:rPr>
      </w:pPr>
    </w:p>
    <w:p w14:paraId="6CC07AD6">
      <w:pPr>
        <w:rPr>
          <w:color w:val="auto"/>
        </w:rPr>
      </w:pPr>
    </w:p>
    <w:p w14:paraId="36CE291B">
      <w:pPr>
        <w:rPr>
          <w:color w:val="auto"/>
        </w:rPr>
      </w:pPr>
    </w:p>
    <w:p w14:paraId="62942BC3">
      <w:pPr>
        <w:rPr>
          <w:color w:val="auto"/>
        </w:rPr>
      </w:pPr>
    </w:p>
    <w:p w14:paraId="3F4671C2">
      <w:pPr>
        <w:rPr>
          <w:color w:val="auto"/>
        </w:rPr>
      </w:pPr>
    </w:p>
    <w:p w14:paraId="7E8839C3">
      <w:pPr>
        <w:rPr>
          <w:color w:val="auto"/>
        </w:rPr>
      </w:pPr>
    </w:p>
    <w:p w14:paraId="1C58780B">
      <w:pPr>
        <w:rPr>
          <w:color w:val="auto"/>
        </w:rPr>
      </w:pPr>
    </w:p>
    <w:p w14:paraId="0DC32D9B">
      <w:pPr>
        <w:spacing w:line="360" w:lineRule="auto"/>
        <w:jc w:val="center"/>
        <w:rPr>
          <w:color w:val="auto"/>
        </w:rPr>
      </w:pPr>
    </w:p>
    <w:p w14:paraId="3BA8660B">
      <w:pPr>
        <w:widowControl w:val="0"/>
        <w:tabs>
          <w:tab w:val="left" w:pos="567"/>
        </w:tabs>
        <w:spacing w:before="120" w:line="22" w:lineRule="atLeast"/>
        <w:jc w:val="both"/>
        <w:rPr>
          <w:rFonts w:ascii="宋体" w:hAnsi="宋体" w:eastAsia="宋体" w:cs="Times New Roman"/>
          <w:color w:val="auto"/>
          <w:kern w:val="2"/>
          <w:sz w:val="24"/>
          <w:szCs w:val="24"/>
          <w:lang w:val="en-US" w:eastAsia="zh-CN" w:bidi="ar-SA"/>
        </w:rPr>
      </w:pPr>
    </w:p>
    <w:p w14:paraId="7FBC2759">
      <w:pPr>
        <w:rPr>
          <w:color w:val="auto"/>
        </w:rPr>
      </w:pPr>
    </w:p>
    <w:p w14:paraId="1D723EDA">
      <w:pPr>
        <w:rPr>
          <w:color w:val="auto"/>
        </w:rPr>
      </w:pPr>
    </w:p>
    <w:p w14:paraId="550ACF2E">
      <w:pPr>
        <w:rPr>
          <w:color w:val="auto"/>
        </w:rPr>
      </w:pPr>
    </w:p>
    <w:p w14:paraId="506B3C9A">
      <w:pPr>
        <w:rPr>
          <w:color w:val="auto"/>
        </w:rPr>
      </w:pPr>
    </w:p>
    <w:p w14:paraId="232EA172">
      <w:pPr>
        <w:rPr>
          <w:color w:val="auto"/>
        </w:rPr>
      </w:pPr>
    </w:p>
    <w:p w14:paraId="1E2B9583">
      <w:pPr>
        <w:rPr>
          <w:color w:val="auto"/>
        </w:rPr>
      </w:pPr>
    </w:p>
    <w:p w14:paraId="3BA6D7A9">
      <w:pPr>
        <w:rPr>
          <w:color w:val="auto"/>
        </w:rPr>
      </w:pPr>
    </w:p>
    <w:p w14:paraId="7225516A">
      <w:pPr>
        <w:rPr>
          <w:color w:val="auto"/>
        </w:rPr>
      </w:pPr>
    </w:p>
    <w:p w14:paraId="2DF0911C">
      <w:pPr>
        <w:rPr>
          <w:color w:val="auto"/>
        </w:rPr>
      </w:pPr>
    </w:p>
    <w:p w14:paraId="29CCAA35">
      <w:pPr>
        <w:rPr>
          <w:color w:val="auto"/>
        </w:rPr>
      </w:pPr>
    </w:p>
    <w:p w14:paraId="5FA6479E">
      <w:pPr>
        <w:rPr>
          <w:color w:val="auto"/>
        </w:rPr>
      </w:pPr>
    </w:p>
    <w:p w14:paraId="430239D5">
      <w:pPr>
        <w:rPr>
          <w:color w:val="auto"/>
        </w:rPr>
      </w:pPr>
    </w:p>
    <w:p w14:paraId="04F7B436">
      <w:pPr>
        <w:rPr>
          <w:b/>
          <w:color w:val="auto"/>
        </w:rPr>
      </w:pPr>
    </w:p>
    <w:p w14:paraId="56518BDF">
      <w:pPr>
        <w:keepNext/>
        <w:keepLines/>
        <w:widowControl w:val="0"/>
        <w:autoSpaceDE w:val="0"/>
        <w:autoSpaceDN w:val="0"/>
        <w:adjustRightInd w:val="0"/>
        <w:spacing w:before="120" w:after="120" w:afterLines="50" w:line="300" w:lineRule="auto"/>
        <w:jc w:val="center"/>
        <w:outlineLvl w:val="1"/>
        <w:rPr>
          <w:rFonts w:ascii="宋体" w:hAnsi="宋体" w:eastAsia="宋体" w:cs="宋体"/>
          <w:b/>
          <w:color w:val="auto"/>
          <w:kern w:val="0"/>
          <w:sz w:val="32"/>
          <w:szCs w:val="32"/>
          <w:lang w:val="en-US" w:eastAsia="zh-CN" w:bidi="ar-SA"/>
        </w:rPr>
      </w:pPr>
      <w:bookmarkStart w:id="33" w:name="_Toc26719"/>
      <w:bookmarkStart w:id="34" w:name="_Toc23738"/>
      <w:r>
        <w:rPr>
          <w:rFonts w:hint="eastAsia" w:ascii="宋体" w:hAnsi="宋体" w:eastAsia="宋体" w:cs="宋体"/>
          <w:b/>
          <w:color w:val="auto"/>
          <w:kern w:val="0"/>
          <w:sz w:val="32"/>
          <w:szCs w:val="32"/>
          <w:lang w:val="en-US" w:eastAsia="zh-CN" w:bidi="ar-SA"/>
        </w:rPr>
        <w:t>一、资格证明文件</w:t>
      </w:r>
      <w:bookmarkEnd w:id="33"/>
      <w:bookmarkEnd w:id="34"/>
    </w:p>
    <w:p w14:paraId="51D6E3D6">
      <w:pPr>
        <w:spacing w:line="360" w:lineRule="auto"/>
        <w:rPr>
          <w:rFonts w:ascii="宋体" w:hAnsi="宋体" w:cs="宋体"/>
          <w:color w:val="auto"/>
          <w:sz w:val="24"/>
        </w:rPr>
      </w:pPr>
      <w:bookmarkStart w:id="35" w:name="_Toc14212"/>
      <w:r>
        <w:rPr>
          <w:rFonts w:hint="eastAsia" w:ascii="宋体" w:hAnsi="宋体" w:cs="宋体"/>
          <w:color w:val="auto"/>
          <w:sz w:val="24"/>
        </w:rPr>
        <w:t>1  满足《中华人民共和国政府采购法》第二十二条规定及法律法规的其他规定</w:t>
      </w:r>
      <w:bookmarkEnd w:id="35"/>
    </w:p>
    <w:p w14:paraId="1D9A05F4">
      <w:pPr>
        <w:tabs>
          <w:tab w:val="left" w:pos="1080"/>
        </w:tabs>
        <w:snapToGrid w:val="0"/>
        <w:spacing w:line="348" w:lineRule="auto"/>
        <w:ind w:firstLine="480" w:firstLineChars="200"/>
        <w:rPr>
          <w:rFonts w:ascii="宋体" w:hAnsi="宋体" w:cs="宋体"/>
          <w:color w:val="auto"/>
          <w:sz w:val="24"/>
        </w:rPr>
      </w:pPr>
      <w:bookmarkStart w:id="36" w:name="_Toc6297"/>
      <w:r>
        <w:rPr>
          <w:rFonts w:hint="eastAsia" w:ascii="宋体" w:hAnsi="宋体" w:cs="宋体"/>
          <w:color w:val="auto"/>
          <w:sz w:val="24"/>
        </w:rPr>
        <w:t>1-1 营业执照等证明文件的电子件或电子证照并加盖单位公章。供应商为分支机构的</w:t>
      </w:r>
      <w:r>
        <w:rPr>
          <w:rFonts w:hint="eastAsia" w:ascii="宋体" w:hAnsi="宋体" w:cs="宋体"/>
          <w:color w:val="auto"/>
          <w:sz w:val="24"/>
          <w:lang w:eastAsia="zh-CN"/>
        </w:rPr>
        <w:t>（</w:t>
      </w:r>
      <w:r>
        <w:rPr>
          <w:rFonts w:hint="eastAsia" w:ascii="宋体" w:hAnsi="宋体" w:cs="宋体"/>
          <w:color w:val="auto"/>
          <w:sz w:val="24"/>
          <w:lang w:val="en-US" w:eastAsia="zh-CN"/>
        </w:rPr>
        <w:t>限电信行业等特殊情况企业）</w:t>
      </w:r>
      <w:r>
        <w:rPr>
          <w:rFonts w:hint="eastAsia" w:ascii="宋体" w:hAnsi="宋体" w:cs="宋体"/>
          <w:color w:val="auto"/>
          <w:sz w:val="24"/>
        </w:rPr>
        <w:t>，应提供该分支机构或其所属法人或其他组织的相应证明文件；同时还应提供其所属法人或其他组织出具的授权其参与本项目的授权书（格式自拟，须加盖其所属法人或其他组织的公章）；也可以提供其所属法人或其他组织的有关文件或制度等能够证明授权其独立开展业务的证明材料。</w:t>
      </w:r>
    </w:p>
    <w:p w14:paraId="3FAF2B8E">
      <w:pPr>
        <w:tabs>
          <w:tab w:val="left" w:pos="1080"/>
        </w:tabs>
        <w:snapToGrid w:val="0"/>
        <w:spacing w:line="348" w:lineRule="auto"/>
        <w:ind w:firstLine="480" w:firstLineChars="200"/>
        <w:rPr>
          <w:rFonts w:ascii="宋体" w:hAnsi="宋体" w:cs="宋体"/>
          <w:color w:val="auto"/>
          <w:sz w:val="24"/>
        </w:rPr>
      </w:pPr>
      <w:r>
        <w:rPr>
          <w:rFonts w:hint="eastAsia" w:ascii="宋体" w:hAnsi="宋体" w:cs="宋体"/>
          <w:color w:val="auto"/>
          <w:sz w:val="24"/>
        </w:rPr>
        <w:t>1-2 财务状况报告并加盖单位公章。</w:t>
      </w:r>
    </w:p>
    <w:p w14:paraId="5CF7CCB3">
      <w:pPr>
        <w:tabs>
          <w:tab w:val="left" w:pos="1080"/>
        </w:tabs>
        <w:snapToGrid w:val="0"/>
        <w:spacing w:line="348" w:lineRule="auto"/>
        <w:ind w:firstLine="482" w:firstLineChars="200"/>
        <w:rPr>
          <w:rFonts w:hint="eastAsia" w:ascii="宋体" w:hAnsi="宋体" w:cs="宋体"/>
          <w:color w:val="auto"/>
          <w:sz w:val="24"/>
        </w:rPr>
      </w:pPr>
      <w:r>
        <w:rPr>
          <w:rFonts w:hint="eastAsia" w:ascii="宋体" w:hAnsi="宋体" w:cs="宋体"/>
          <w:b/>
          <w:bCs/>
          <w:color w:val="auto"/>
          <w:sz w:val="24"/>
        </w:rPr>
        <w:t>①供应商为法人的，</w:t>
      </w:r>
      <w:r>
        <w:rPr>
          <w:rFonts w:hint="eastAsia" w:ascii="宋体" w:hAnsi="宋体" w:cs="宋体"/>
          <w:color w:val="auto"/>
          <w:sz w:val="24"/>
        </w:rPr>
        <w:t>应提供2024年</w:t>
      </w:r>
      <w:r>
        <w:rPr>
          <w:rFonts w:hint="eastAsia" w:ascii="宋体" w:hAnsi="宋体" w:cs="宋体"/>
          <w:color w:val="auto"/>
          <w:sz w:val="24"/>
          <w:lang w:eastAsia="zh-CN"/>
        </w:rPr>
        <w:t>—</w:t>
      </w:r>
      <w:r>
        <w:rPr>
          <w:rFonts w:hint="eastAsia" w:ascii="宋体" w:hAnsi="宋体" w:cs="宋体"/>
          <w:color w:val="auto"/>
          <w:sz w:val="24"/>
        </w:rPr>
        <w:t>2025年（任意一年度）经审计的财务报告，包括资产负债表、利润表、现金流量表等</w:t>
      </w:r>
      <w:r>
        <w:rPr>
          <w:rFonts w:hint="eastAsia" w:ascii="宋体" w:hAnsi="宋体" w:cs="宋体"/>
          <w:b/>
          <w:bCs/>
          <w:color w:val="auto"/>
          <w:sz w:val="24"/>
        </w:rPr>
        <w:t>【审计报告须附有注册会计师行业统一监管平台验证码】</w:t>
      </w:r>
      <w:r>
        <w:rPr>
          <w:rFonts w:hint="eastAsia" w:ascii="宋体" w:hAnsi="宋体" w:cs="宋体"/>
          <w:color w:val="auto"/>
          <w:sz w:val="24"/>
        </w:rPr>
        <w:t>；2026年新成立的供应商，可提供银行出具的资信证明或专业担保机构出具的投标担保函或投标截止时间前一个月财务报表。</w:t>
      </w:r>
    </w:p>
    <w:p w14:paraId="58188725">
      <w:pPr>
        <w:tabs>
          <w:tab w:val="left" w:pos="1080"/>
        </w:tabs>
        <w:snapToGrid w:val="0"/>
        <w:spacing w:line="348" w:lineRule="auto"/>
        <w:ind w:firstLine="480" w:firstLineChars="200"/>
        <w:rPr>
          <w:rFonts w:hint="eastAsia" w:ascii="宋体" w:hAnsi="宋体" w:cs="宋体"/>
          <w:color w:val="auto"/>
          <w:sz w:val="24"/>
        </w:rPr>
      </w:pPr>
      <w:r>
        <w:rPr>
          <w:rFonts w:hint="eastAsia" w:ascii="宋体" w:hAnsi="宋体" w:cs="宋体"/>
          <w:color w:val="auto"/>
          <w:sz w:val="24"/>
        </w:rPr>
        <w:t>②供应商为分支机构的，应提供所属法人或其他组织的上述对应证明材料。</w:t>
      </w:r>
    </w:p>
    <w:p w14:paraId="1C41BDF3">
      <w:pPr>
        <w:tabs>
          <w:tab w:val="left" w:pos="1080"/>
        </w:tabs>
        <w:snapToGrid w:val="0"/>
        <w:spacing w:line="348" w:lineRule="auto"/>
        <w:ind w:firstLine="480" w:firstLineChars="200"/>
        <w:rPr>
          <w:rFonts w:ascii="宋体" w:hAnsi="宋体" w:cs="宋体"/>
          <w:color w:val="auto"/>
          <w:sz w:val="24"/>
        </w:rPr>
      </w:pPr>
      <w:r>
        <w:rPr>
          <w:rFonts w:hint="eastAsia" w:ascii="宋体" w:hAnsi="宋体" w:cs="宋体"/>
          <w:color w:val="auto"/>
          <w:sz w:val="24"/>
          <w:lang w:eastAsia="zh-CN"/>
        </w:rPr>
        <w:t>③</w:t>
      </w:r>
      <w:r>
        <w:rPr>
          <w:rFonts w:hint="eastAsia" w:ascii="宋体" w:hAnsi="宋体" w:cs="宋体"/>
          <w:color w:val="auto"/>
          <w:sz w:val="24"/>
        </w:rPr>
        <w:t>供应商</w:t>
      </w:r>
      <w:r>
        <w:rPr>
          <w:rFonts w:hint="eastAsia" w:ascii="宋体" w:hAnsi="宋体" w:cs="宋体"/>
          <w:b/>
          <w:bCs/>
          <w:color w:val="auto"/>
          <w:sz w:val="24"/>
        </w:rPr>
        <w:t>是个体工商户的，</w:t>
      </w:r>
      <w:r>
        <w:rPr>
          <w:rFonts w:hint="eastAsia" w:ascii="宋体" w:hAnsi="宋体" w:cs="宋体"/>
          <w:color w:val="auto"/>
          <w:sz w:val="24"/>
        </w:rPr>
        <w:t>可提供银行出具的资信证明或专业担保机构出具的投标担保函，或自行编制并签字盖章的财务报表。</w:t>
      </w:r>
    </w:p>
    <w:p w14:paraId="14FF002C">
      <w:pPr>
        <w:tabs>
          <w:tab w:val="left" w:pos="1080"/>
        </w:tabs>
        <w:snapToGrid w:val="0"/>
        <w:spacing w:line="348" w:lineRule="auto"/>
        <w:ind w:firstLine="480" w:firstLineChars="200"/>
        <w:rPr>
          <w:rFonts w:ascii="宋体" w:hAnsi="宋体" w:cs="宋体"/>
          <w:color w:val="auto"/>
          <w:sz w:val="24"/>
        </w:rPr>
      </w:pPr>
      <w:r>
        <w:rPr>
          <w:rFonts w:hint="eastAsia" w:ascii="宋体" w:hAnsi="宋体" w:cs="宋体"/>
          <w:color w:val="auto"/>
          <w:sz w:val="24"/>
        </w:rPr>
        <w:t>1-3 依法纳税和缴纳社会保障资金的相关材料并加盖单位公章。</w:t>
      </w:r>
    </w:p>
    <w:p w14:paraId="300293B1">
      <w:pPr>
        <w:tabs>
          <w:tab w:val="left" w:pos="1080"/>
        </w:tabs>
        <w:snapToGrid w:val="0"/>
        <w:spacing w:line="348" w:lineRule="auto"/>
        <w:ind w:firstLine="480" w:firstLineChars="200"/>
        <w:rPr>
          <w:rFonts w:ascii="宋体" w:hAnsi="宋体" w:cs="宋体"/>
          <w:color w:val="auto"/>
          <w:sz w:val="24"/>
        </w:rPr>
      </w:pPr>
      <w:r>
        <w:rPr>
          <w:rFonts w:hint="eastAsia" w:ascii="宋体" w:hAnsi="宋体" w:cs="宋体"/>
          <w:color w:val="auto"/>
          <w:sz w:val="24"/>
        </w:rPr>
        <w:t>①供应商应提交响应文件截止时间前六个月内任意一个月的依法缴纳税收（增值税或企业所得税等）和社会保险资金（专用收据或社会保险缴纳清单）的凭据。</w:t>
      </w:r>
    </w:p>
    <w:p w14:paraId="009D46A1">
      <w:pPr>
        <w:tabs>
          <w:tab w:val="left" w:pos="1080"/>
        </w:tabs>
        <w:snapToGrid w:val="0"/>
        <w:spacing w:line="348" w:lineRule="auto"/>
        <w:ind w:firstLine="480" w:firstLineChars="200"/>
        <w:rPr>
          <w:rFonts w:ascii="宋体" w:hAnsi="宋体" w:cs="宋体"/>
          <w:color w:val="auto"/>
          <w:sz w:val="24"/>
        </w:rPr>
      </w:pPr>
      <w:r>
        <w:rPr>
          <w:rFonts w:hint="eastAsia" w:ascii="宋体" w:hAnsi="宋体" w:cs="宋体"/>
          <w:color w:val="auto"/>
          <w:sz w:val="24"/>
        </w:rPr>
        <w:t>②新成立（自注册登记之日起至响应文件截止时间不足六个月）的供应商，若未产生应缴税收或社保资金，提供书面说明即可；已产生相关缴费义务的，按上述要求提供对应凭据。</w:t>
      </w:r>
    </w:p>
    <w:p w14:paraId="65A496E8">
      <w:pPr>
        <w:tabs>
          <w:tab w:val="left" w:pos="1080"/>
        </w:tabs>
        <w:snapToGrid w:val="0"/>
        <w:spacing w:line="348" w:lineRule="auto"/>
        <w:ind w:firstLine="480" w:firstLineChars="200"/>
        <w:rPr>
          <w:rFonts w:ascii="宋体" w:hAnsi="宋体" w:cs="宋体"/>
          <w:color w:val="auto"/>
          <w:sz w:val="24"/>
        </w:rPr>
      </w:pPr>
      <w:r>
        <w:rPr>
          <w:rFonts w:hint="eastAsia" w:ascii="宋体" w:hAnsi="宋体" w:cs="宋体"/>
          <w:color w:val="auto"/>
          <w:sz w:val="24"/>
        </w:rPr>
        <w:t>③依法免税或不需要缴纳社会保障资金的供应商，应提供税务机关出具的免税证明、相关主管部门出具的无需缴纳社保资金的证明文件等合法有效材料。</w:t>
      </w:r>
    </w:p>
    <w:p w14:paraId="202377D5">
      <w:pPr>
        <w:tabs>
          <w:tab w:val="left" w:pos="1080"/>
        </w:tabs>
        <w:snapToGrid w:val="0"/>
        <w:spacing w:line="348" w:lineRule="auto"/>
        <w:ind w:firstLine="480" w:firstLineChars="200"/>
        <w:rPr>
          <w:rFonts w:ascii="宋体" w:hAnsi="宋体" w:cs="宋体"/>
          <w:color w:val="auto"/>
          <w:sz w:val="24"/>
        </w:rPr>
      </w:pPr>
      <w:r>
        <w:rPr>
          <w:rFonts w:hint="eastAsia" w:ascii="宋体" w:hAnsi="宋体" w:cs="宋体"/>
          <w:color w:val="auto"/>
          <w:sz w:val="24"/>
        </w:rPr>
        <w:t>1-4 具备履行合同所必需的设备和专业技术能力的证明材料</w:t>
      </w:r>
    </w:p>
    <w:p w14:paraId="2F8773D2">
      <w:pPr>
        <w:tabs>
          <w:tab w:val="left" w:pos="1080"/>
        </w:tabs>
        <w:snapToGrid w:val="0"/>
        <w:spacing w:line="348" w:lineRule="auto"/>
        <w:ind w:firstLine="480" w:firstLineChars="200"/>
        <w:rPr>
          <w:rFonts w:ascii="宋体" w:hAnsi="宋体" w:cs="宋体"/>
          <w:color w:val="auto"/>
          <w:sz w:val="24"/>
        </w:rPr>
      </w:pPr>
      <w:r>
        <w:rPr>
          <w:rFonts w:hint="eastAsia" w:ascii="宋体" w:hAnsi="宋体" w:cs="宋体"/>
          <w:color w:val="auto"/>
          <w:sz w:val="24"/>
        </w:rPr>
        <w:t>提供书面声明（格式自拟）并加盖单位公章，声明内容应涵盖具备履行合同所必需的设备和专业技术能力。</w:t>
      </w:r>
    </w:p>
    <w:p w14:paraId="0C278627">
      <w:pPr>
        <w:tabs>
          <w:tab w:val="left" w:pos="1080"/>
        </w:tabs>
        <w:snapToGrid w:val="0"/>
        <w:spacing w:line="348" w:lineRule="auto"/>
        <w:ind w:firstLine="480" w:firstLineChars="200"/>
        <w:rPr>
          <w:rFonts w:ascii="宋体" w:hAnsi="宋体" w:cs="宋体"/>
          <w:color w:val="auto"/>
          <w:sz w:val="24"/>
        </w:rPr>
      </w:pPr>
      <w:r>
        <w:rPr>
          <w:rFonts w:hint="eastAsia" w:ascii="宋体" w:hAnsi="宋体" w:cs="宋体"/>
          <w:color w:val="auto"/>
          <w:sz w:val="24"/>
        </w:rPr>
        <w:t>1-5 参加政府采购活动前三年内在经营活动中没有重大违法记录的书面声明</w:t>
      </w:r>
    </w:p>
    <w:p w14:paraId="44D1E3FB">
      <w:pPr>
        <w:tabs>
          <w:tab w:val="left" w:pos="1080"/>
        </w:tabs>
        <w:snapToGrid w:val="0"/>
        <w:spacing w:line="348" w:lineRule="auto"/>
        <w:ind w:firstLine="480" w:firstLineChars="200"/>
        <w:rPr>
          <w:rFonts w:ascii="Times New Roman"/>
          <w:color w:val="auto"/>
          <w:lang w:val="en-US"/>
        </w:rPr>
      </w:pPr>
      <w:r>
        <w:rPr>
          <w:rFonts w:hint="eastAsia" w:ascii="宋体" w:hAnsi="宋体" w:cs="宋体"/>
          <w:color w:val="auto"/>
          <w:sz w:val="24"/>
        </w:rPr>
        <w:t>提供书面声明（格式自拟）并加盖单位公章，声明内容应涵盖参加政府采购活动前三年内，在经营活动中没有重大违法记录。</w:t>
      </w:r>
      <w:bookmarkEnd w:id="36"/>
    </w:p>
    <w:p w14:paraId="10D1B3A0">
      <w:pPr>
        <w:spacing w:line="360" w:lineRule="auto"/>
        <w:rPr>
          <w:rFonts w:hint="eastAsia" w:ascii="宋体" w:hAnsi="宋体" w:cs="宋体"/>
          <w:b/>
          <w:bCs/>
          <w:color w:val="auto"/>
          <w:sz w:val="24"/>
        </w:rPr>
      </w:pPr>
    </w:p>
    <w:p w14:paraId="417DF2A1">
      <w:pPr>
        <w:spacing w:line="360" w:lineRule="auto"/>
        <w:rPr>
          <w:rFonts w:ascii="宋体" w:hAnsi="宋体" w:cs="宋体"/>
          <w:b/>
          <w:bCs/>
          <w:color w:val="auto"/>
          <w:sz w:val="24"/>
        </w:rPr>
      </w:pPr>
      <w:r>
        <w:rPr>
          <w:rFonts w:hint="eastAsia" w:ascii="宋体" w:hAnsi="宋体" w:cs="宋体"/>
          <w:b/>
          <w:bCs/>
          <w:color w:val="auto"/>
          <w:sz w:val="24"/>
        </w:rPr>
        <w:t>2   落实政府采购政策需满足的资格要求（无）</w:t>
      </w:r>
    </w:p>
    <w:p w14:paraId="64117092">
      <w:pPr>
        <w:spacing w:line="360" w:lineRule="auto"/>
        <w:rPr>
          <w:color w:val="auto"/>
        </w:rPr>
      </w:pPr>
      <w:r>
        <w:rPr>
          <w:rFonts w:hint="eastAsia" w:ascii="宋体" w:hAnsi="宋体" w:cs="宋体"/>
          <w:b/>
          <w:bCs/>
          <w:color w:val="auto"/>
          <w:sz w:val="24"/>
        </w:rPr>
        <w:t>3   本项目的特定资格要求（无）</w:t>
      </w:r>
    </w:p>
    <w:p w14:paraId="455B2D1F">
      <w:pPr>
        <w:tabs>
          <w:tab w:val="left" w:pos="360"/>
        </w:tabs>
        <w:snapToGrid w:val="0"/>
        <w:spacing w:line="360" w:lineRule="auto"/>
        <w:rPr>
          <w:rFonts w:eastAsia="宋体"/>
          <w:b/>
          <w:bCs/>
          <w:color w:val="auto"/>
          <w:sz w:val="24"/>
        </w:rPr>
      </w:pPr>
      <w:bookmarkStart w:id="37" w:name="_Toc10262"/>
      <w:r>
        <w:rPr>
          <w:rFonts w:eastAsia="宋体"/>
          <w:b/>
          <w:bCs/>
          <w:color w:val="auto"/>
          <w:sz w:val="24"/>
        </w:rPr>
        <w:t xml:space="preserve">4 </w:t>
      </w:r>
      <w:r>
        <w:rPr>
          <w:rFonts w:hint="eastAsia" w:eastAsia="宋体"/>
          <w:b/>
          <w:bCs/>
          <w:color w:val="auto"/>
          <w:sz w:val="24"/>
        </w:rPr>
        <w:t xml:space="preserve">  </w:t>
      </w:r>
      <w:r>
        <w:rPr>
          <w:rFonts w:eastAsia="宋体"/>
          <w:b/>
          <w:bCs/>
          <w:color w:val="auto"/>
          <w:sz w:val="24"/>
        </w:rPr>
        <w:t>磋商保证金凭证/交款单据电子件</w:t>
      </w:r>
      <w:r>
        <w:rPr>
          <w:rFonts w:hint="eastAsia" w:eastAsia="宋体"/>
          <w:b/>
          <w:bCs/>
          <w:color w:val="auto"/>
          <w:sz w:val="24"/>
        </w:rPr>
        <w:t>（扫描件并加盖单位公章）</w:t>
      </w:r>
      <w:bookmarkEnd w:id="37"/>
    </w:p>
    <w:p w14:paraId="22EF4A75">
      <w:pPr>
        <w:widowControl w:val="0"/>
        <w:spacing w:before="120" w:after="120" w:line="22" w:lineRule="atLeast"/>
        <w:ind w:firstLine="210" w:firstLineChars="100"/>
        <w:jc w:val="both"/>
        <w:rPr>
          <w:rFonts w:ascii="宋体" w:hAnsi="宋体" w:eastAsia="宋体" w:cs="Times New Roman"/>
          <w:color w:val="auto"/>
          <w:kern w:val="2"/>
          <w:sz w:val="21"/>
          <w:szCs w:val="24"/>
          <w:lang w:val="en-US" w:eastAsia="zh-CN" w:bidi="ar-SA"/>
        </w:rPr>
      </w:pPr>
    </w:p>
    <w:p w14:paraId="3C26156A">
      <w:pPr>
        <w:rPr>
          <w:color w:val="auto"/>
        </w:rPr>
      </w:pPr>
    </w:p>
    <w:p w14:paraId="501FC828">
      <w:pPr>
        <w:rPr>
          <w:color w:val="auto"/>
        </w:rPr>
      </w:pPr>
    </w:p>
    <w:p w14:paraId="7D1B833F">
      <w:pPr>
        <w:rPr>
          <w:color w:val="auto"/>
        </w:rPr>
      </w:pPr>
    </w:p>
    <w:p w14:paraId="27339A82">
      <w:pPr>
        <w:rPr>
          <w:color w:val="auto"/>
        </w:rPr>
      </w:pPr>
    </w:p>
    <w:p w14:paraId="5CEEED11">
      <w:pPr>
        <w:rPr>
          <w:color w:val="auto"/>
        </w:rPr>
      </w:pPr>
    </w:p>
    <w:p w14:paraId="07983B98">
      <w:pPr>
        <w:rPr>
          <w:color w:val="auto"/>
        </w:rPr>
      </w:pPr>
    </w:p>
    <w:p w14:paraId="76F38AC2">
      <w:pPr>
        <w:rPr>
          <w:color w:val="auto"/>
        </w:rPr>
      </w:pPr>
    </w:p>
    <w:p w14:paraId="49804D0F">
      <w:pPr>
        <w:rPr>
          <w:color w:val="auto"/>
        </w:rPr>
      </w:pPr>
    </w:p>
    <w:p w14:paraId="14600A15">
      <w:pPr>
        <w:rPr>
          <w:color w:val="auto"/>
        </w:rPr>
      </w:pPr>
    </w:p>
    <w:p w14:paraId="309D216F">
      <w:pPr>
        <w:rPr>
          <w:color w:val="auto"/>
        </w:rPr>
      </w:pPr>
    </w:p>
    <w:p w14:paraId="2095A81D">
      <w:pPr>
        <w:rPr>
          <w:color w:val="auto"/>
        </w:rPr>
      </w:pPr>
    </w:p>
    <w:p w14:paraId="583AB5F7">
      <w:pPr>
        <w:rPr>
          <w:color w:val="auto"/>
        </w:rPr>
      </w:pPr>
    </w:p>
    <w:p w14:paraId="7AB868C5">
      <w:pPr>
        <w:rPr>
          <w:color w:val="auto"/>
        </w:rPr>
      </w:pPr>
    </w:p>
    <w:p w14:paraId="05292E42">
      <w:pPr>
        <w:rPr>
          <w:color w:val="auto"/>
        </w:rPr>
      </w:pPr>
    </w:p>
    <w:p w14:paraId="0C368151">
      <w:pPr>
        <w:rPr>
          <w:color w:val="auto"/>
        </w:rPr>
      </w:pPr>
    </w:p>
    <w:p w14:paraId="409D1D67">
      <w:pPr>
        <w:rPr>
          <w:color w:val="auto"/>
        </w:rPr>
      </w:pPr>
    </w:p>
    <w:p w14:paraId="5739918F">
      <w:pPr>
        <w:rPr>
          <w:color w:val="auto"/>
        </w:rPr>
      </w:pPr>
    </w:p>
    <w:p w14:paraId="66B4A2B6">
      <w:pPr>
        <w:rPr>
          <w:color w:val="auto"/>
        </w:rPr>
      </w:pPr>
    </w:p>
    <w:p w14:paraId="01AA6CC7">
      <w:pPr>
        <w:rPr>
          <w:color w:val="auto"/>
        </w:rPr>
      </w:pPr>
    </w:p>
    <w:p w14:paraId="49D0C9A6">
      <w:pPr>
        <w:rPr>
          <w:color w:val="auto"/>
        </w:rPr>
      </w:pPr>
    </w:p>
    <w:p w14:paraId="3E785E21">
      <w:pPr>
        <w:rPr>
          <w:color w:val="auto"/>
        </w:rPr>
      </w:pPr>
    </w:p>
    <w:p w14:paraId="32827826">
      <w:pPr>
        <w:rPr>
          <w:color w:val="auto"/>
        </w:rPr>
      </w:pPr>
    </w:p>
    <w:p w14:paraId="5842192C">
      <w:pPr>
        <w:rPr>
          <w:color w:val="auto"/>
        </w:rPr>
      </w:pPr>
    </w:p>
    <w:p w14:paraId="2D89D9DD">
      <w:pPr>
        <w:rPr>
          <w:color w:val="auto"/>
        </w:rPr>
      </w:pPr>
    </w:p>
    <w:p w14:paraId="67997998">
      <w:pPr>
        <w:rPr>
          <w:color w:val="auto"/>
        </w:rPr>
      </w:pPr>
    </w:p>
    <w:p w14:paraId="6B2A2195">
      <w:pPr>
        <w:rPr>
          <w:color w:val="auto"/>
        </w:rPr>
      </w:pPr>
    </w:p>
    <w:p w14:paraId="203CB4BC">
      <w:pPr>
        <w:rPr>
          <w:color w:val="auto"/>
        </w:rPr>
      </w:pPr>
    </w:p>
    <w:p w14:paraId="04BDF77D">
      <w:pPr>
        <w:rPr>
          <w:color w:val="auto"/>
        </w:rPr>
      </w:pPr>
    </w:p>
    <w:p w14:paraId="49EAC7F8">
      <w:pPr>
        <w:rPr>
          <w:color w:val="auto"/>
        </w:rPr>
      </w:pPr>
    </w:p>
    <w:p w14:paraId="0F9089A8">
      <w:pPr>
        <w:rPr>
          <w:color w:val="auto"/>
        </w:rPr>
      </w:pPr>
    </w:p>
    <w:p w14:paraId="2539C172">
      <w:pPr>
        <w:rPr>
          <w:color w:val="auto"/>
        </w:rPr>
      </w:pPr>
    </w:p>
    <w:p w14:paraId="1532A114">
      <w:pPr>
        <w:rPr>
          <w:color w:val="auto"/>
        </w:rPr>
      </w:pPr>
    </w:p>
    <w:p w14:paraId="57555A38">
      <w:pPr>
        <w:rPr>
          <w:color w:val="auto"/>
        </w:rPr>
      </w:pPr>
    </w:p>
    <w:p w14:paraId="20C25D89">
      <w:pPr>
        <w:rPr>
          <w:color w:val="auto"/>
        </w:rPr>
      </w:pPr>
    </w:p>
    <w:p w14:paraId="015A1470">
      <w:pPr>
        <w:rPr>
          <w:color w:val="auto"/>
        </w:rPr>
      </w:pPr>
    </w:p>
    <w:p w14:paraId="0973D910">
      <w:pPr>
        <w:rPr>
          <w:color w:val="auto"/>
        </w:rPr>
      </w:pPr>
    </w:p>
    <w:p w14:paraId="66DB77D5">
      <w:pPr>
        <w:rPr>
          <w:color w:val="auto"/>
        </w:rPr>
      </w:pPr>
    </w:p>
    <w:p w14:paraId="3BA0860A">
      <w:pPr>
        <w:rPr>
          <w:color w:val="auto"/>
        </w:rPr>
      </w:pPr>
    </w:p>
    <w:p w14:paraId="2D06897C">
      <w:pPr>
        <w:rPr>
          <w:color w:val="auto"/>
        </w:rPr>
      </w:pPr>
    </w:p>
    <w:p w14:paraId="1210924C">
      <w:pPr>
        <w:rPr>
          <w:color w:val="auto"/>
        </w:rPr>
      </w:pPr>
    </w:p>
    <w:p w14:paraId="14C8C723">
      <w:pPr>
        <w:rPr>
          <w:color w:val="auto"/>
        </w:rPr>
      </w:pPr>
    </w:p>
    <w:p w14:paraId="23F327B7">
      <w:pPr>
        <w:rPr>
          <w:color w:val="auto"/>
        </w:rPr>
      </w:pPr>
    </w:p>
    <w:p w14:paraId="245A4D75">
      <w:pPr>
        <w:rPr>
          <w:color w:val="auto"/>
        </w:rPr>
      </w:pPr>
    </w:p>
    <w:p w14:paraId="3DC0CE8B">
      <w:pPr>
        <w:rPr>
          <w:color w:val="auto"/>
        </w:rPr>
      </w:pPr>
    </w:p>
    <w:p w14:paraId="31B65261">
      <w:pPr>
        <w:rPr>
          <w:color w:val="auto"/>
        </w:rPr>
      </w:pPr>
    </w:p>
    <w:p w14:paraId="55C5D22D">
      <w:pPr>
        <w:keepNext/>
        <w:keepLines/>
        <w:widowControl w:val="0"/>
        <w:autoSpaceDE w:val="0"/>
        <w:autoSpaceDN w:val="0"/>
        <w:adjustRightInd w:val="0"/>
        <w:spacing w:before="0" w:line="480" w:lineRule="auto"/>
        <w:jc w:val="center"/>
        <w:outlineLvl w:val="1"/>
        <w:rPr>
          <w:rFonts w:ascii="宋体" w:hAnsi="宋体" w:eastAsia="宋体" w:cs="宋体"/>
          <w:b/>
          <w:color w:val="auto"/>
          <w:kern w:val="0"/>
          <w:sz w:val="32"/>
          <w:szCs w:val="32"/>
          <w:lang w:val="en-US" w:eastAsia="zh-CN" w:bidi="ar-SA"/>
        </w:rPr>
      </w:pPr>
      <w:bookmarkStart w:id="38" w:name="_Hlt520350918"/>
      <w:bookmarkEnd w:id="38"/>
      <w:bookmarkStart w:id="39" w:name="_Hlt520343000"/>
      <w:bookmarkEnd w:id="39"/>
      <w:bookmarkStart w:id="40" w:name="_Hlt520355504"/>
      <w:bookmarkEnd w:id="40"/>
      <w:bookmarkStart w:id="41" w:name="_Hlt520271212"/>
      <w:bookmarkEnd w:id="41"/>
      <w:bookmarkStart w:id="42" w:name="_Hlt520274065"/>
      <w:bookmarkEnd w:id="42"/>
      <w:bookmarkStart w:id="43" w:name="_Hlt520274393"/>
      <w:bookmarkEnd w:id="43"/>
      <w:bookmarkStart w:id="44" w:name="_Hlt520274121"/>
      <w:bookmarkEnd w:id="44"/>
      <w:bookmarkStart w:id="45" w:name="_Hlt520343392"/>
      <w:bookmarkEnd w:id="45"/>
      <w:bookmarkStart w:id="46" w:name="_Hlt520274407"/>
      <w:bookmarkEnd w:id="46"/>
      <w:bookmarkStart w:id="47" w:name="_Hlt520273711"/>
      <w:bookmarkEnd w:id="47"/>
      <w:bookmarkStart w:id="48" w:name="_Toc23134"/>
      <w:bookmarkStart w:id="49" w:name="_Toc23596"/>
      <w:r>
        <w:rPr>
          <w:rFonts w:hint="eastAsia" w:ascii="宋体" w:hAnsi="宋体" w:eastAsia="宋体" w:cs="宋体"/>
          <w:b/>
          <w:color w:val="auto"/>
          <w:kern w:val="0"/>
          <w:sz w:val="32"/>
          <w:szCs w:val="32"/>
          <w:lang w:val="en-US" w:eastAsia="zh-CN" w:bidi="ar-SA"/>
        </w:rPr>
        <w:t>二、磋商响应函</w:t>
      </w:r>
      <w:bookmarkEnd w:id="48"/>
      <w:bookmarkEnd w:id="49"/>
    </w:p>
    <w:p w14:paraId="73A4944E">
      <w:pPr>
        <w:tabs>
          <w:tab w:val="left" w:pos="5580"/>
        </w:tabs>
        <w:spacing w:line="480" w:lineRule="auto"/>
        <w:rPr>
          <w:color w:val="auto"/>
          <w:sz w:val="24"/>
          <w:szCs w:val="20"/>
          <w:u w:val="single"/>
        </w:rPr>
      </w:pPr>
      <w:r>
        <w:rPr>
          <w:color w:val="auto"/>
          <w:sz w:val="24"/>
        </w:rPr>
        <w:t>致：</w:t>
      </w:r>
      <w:r>
        <w:rPr>
          <w:rFonts w:hint="eastAsia"/>
          <w:color w:val="auto"/>
          <w:sz w:val="24"/>
          <w:u w:val="single"/>
        </w:rPr>
        <w:t>楚雄师范学院</w:t>
      </w:r>
    </w:p>
    <w:p w14:paraId="2144843D">
      <w:pPr>
        <w:tabs>
          <w:tab w:val="left" w:pos="5580"/>
        </w:tabs>
        <w:spacing w:line="480" w:lineRule="auto"/>
        <w:ind w:firstLine="480" w:firstLineChars="200"/>
        <w:rPr>
          <w:color w:val="auto"/>
          <w:sz w:val="24"/>
          <w:szCs w:val="20"/>
        </w:rPr>
      </w:pPr>
      <w:r>
        <w:rPr>
          <w:color w:val="auto"/>
          <w:sz w:val="24"/>
          <w:szCs w:val="20"/>
        </w:rPr>
        <w:t>我方参加你方就_____________________（项目名称</w:t>
      </w:r>
      <w:r>
        <w:rPr>
          <w:rFonts w:hint="eastAsia" w:ascii="Times New Roman" w:eastAsia="宋体"/>
          <w:color w:val="auto"/>
          <w:sz w:val="24"/>
          <w:szCs w:val="20"/>
          <w:lang w:val="en-US" w:eastAsia="zh-CN"/>
        </w:rPr>
        <w:t>/包号</w:t>
      </w:r>
      <w:r>
        <w:rPr>
          <w:color w:val="auto"/>
          <w:sz w:val="24"/>
          <w:szCs w:val="20"/>
        </w:rPr>
        <w:t>，项目编号）组织的采购活动，并对此项目进行响应。</w:t>
      </w:r>
    </w:p>
    <w:p w14:paraId="72C6C2C8">
      <w:pPr>
        <w:numPr>
          <w:ilvl w:val="0"/>
          <w:numId w:val="2"/>
        </w:numPr>
        <w:tabs>
          <w:tab w:val="left" w:pos="5580"/>
        </w:tabs>
        <w:spacing w:line="480" w:lineRule="auto"/>
        <w:ind w:firstLine="480" w:firstLineChars="200"/>
        <w:rPr>
          <w:color w:val="auto"/>
          <w:sz w:val="24"/>
          <w:szCs w:val="20"/>
        </w:rPr>
      </w:pPr>
      <w:r>
        <w:rPr>
          <w:color w:val="auto"/>
          <w:sz w:val="24"/>
          <w:szCs w:val="20"/>
        </w:rPr>
        <w:t>我方</w:t>
      </w:r>
      <w:r>
        <w:rPr>
          <w:color w:val="auto"/>
          <w:sz w:val="24"/>
        </w:rPr>
        <w:t>已详细审查全部</w:t>
      </w:r>
      <w:r>
        <w:rPr>
          <w:rFonts w:hint="eastAsia"/>
          <w:color w:val="auto"/>
          <w:sz w:val="24"/>
        </w:rPr>
        <w:t>磋商</w:t>
      </w:r>
      <w:r>
        <w:rPr>
          <w:color w:val="auto"/>
          <w:sz w:val="24"/>
        </w:rPr>
        <w:t>文件</w:t>
      </w:r>
      <w:r>
        <w:rPr>
          <w:color w:val="auto"/>
          <w:sz w:val="24"/>
          <w:szCs w:val="20"/>
        </w:rPr>
        <w:t>，自愿参与响应并承诺如下：</w:t>
      </w:r>
    </w:p>
    <w:p w14:paraId="65744326">
      <w:pPr>
        <w:numPr>
          <w:ilvl w:val="0"/>
          <w:numId w:val="3"/>
        </w:numPr>
        <w:tabs>
          <w:tab w:val="left" w:pos="5580"/>
        </w:tabs>
        <w:spacing w:line="480" w:lineRule="auto"/>
        <w:ind w:firstLine="240" w:firstLineChars="100"/>
        <w:rPr>
          <w:color w:val="auto"/>
          <w:sz w:val="24"/>
          <w:szCs w:val="20"/>
        </w:rPr>
      </w:pPr>
      <w:r>
        <w:rPr>
          <w:color w:val="auto"/>
          <w:sz w:val="24"/>
          <w:szCs w:val="20"/>
        </w:rPr>
        <w:t>本响应有效期为自提交响应文件的截止之日起</w:t>
      </w:r>
      <w:r>
        <w:rPr>
          <w:rFonts w:hint="eastAsia"/>
          <w:color w:val="auto"/>
          <w:sz w:val="24"/>
        </w:rPr>
        <w:t>60</w:t>
      </w:r>
      <w:r>
        <w:rPr>
          <w:color w:val="auto"/>
          <w:sz w:val="24"/>
          <w:szCs w:val="20"/>
        </w:rPr>
        <w:t>个日历日。</w:t>
      </w:r>
    </w:p>
    <w:p w14:paraId="031B3D52">
      <w:pPr>
        <w:numPr>
          <w:ilvl w:val="0"/>
          <w:numId w:val="3"/>
        </w:numPr>
        <w:tabs>
          <w:tab w:val="left" w:pos="5580"/>
        </w:tabs>
        <w:spacing w:line="480" w:lineRule="auto"/>
        <w:ind w:firstLine="240" w:firstLineChars="100"/>
        <w:rPr>
          <w:color w:val="auto"/>
          <w:sz w:val="24"/>
          <w:szCs w:val="20"/>
        </w:rPr>
      </w:pPr>
      <w:r>
        <w:rPr>
          <w:color w:val="auto"/>
          <w:sz w:val="24"/>
          <w:szCs w:val="20"/>
        </w:rPr>
        <w:t>除合同条款及采购需求偏离表列出的偏离外，我方响应</w:t>
      </w:r>
      <w:r>
        <w:rPr>
          <w:rFonts w:hint="eastAsia"/>
          <w:color w:val="auto"/>
          <w:sz w:val="24"/>
          <w:szCs w:val="20"/>
        </w:rPr>
        <w:t>磋商</w:t>
      </w:r>
      <w:r>
        <w:rPr>
          <w:color w:val="auto"/>
          <w:sz w:val="24"/>
          <w:szCs w:val="20"/>
        </w:rPr>
        <w:t>文件的全部要求</w:t>
      </w:r>
      <w:r>
        <w:rPr>
          <w:rFonts w:hint="eastAsia"/>
          <w:color w:val="auto"/>
          <w:sz w:val="24"/>
          <w:szCs w:val="20"/>
        </w:rPr>
        <w:t>。</w:t>
      </w:r>
    </w:p>
    <w:p w14:paraId="28490D81">
      <w:pPr>
        <w:numPr>
          <w:ilvl w:val="0"/>
          <w:numId w:val="3"/>
        </w:numPr>
        <w:tabs>
          <w:tab w:val="left" w:pos="5580"/>
        </w:tabs>
        <w:spacing w:line="480" w:lineRule="auto"/>
        <w:ind w:firstLine="240" w:firstLineChars="100"/>
        <w:rPr>
          <w:color w:val="auto"/>
          <w:sz w:val="24"/>
        </w:rPr>
      </w:pPr>
      <w:r>
        <w:rPr>
          <w:color w:val="auto"/>
          <w:sz w:val="24"/>
          <w:szCs w:val="20"/>
        </w:rPr>
        <w:t>我方已提供的全部文件资料是真实、准确的，并对此承担一切法律后果。</w:t>
      </w:r>
    </w:p>
    <w:p w14:paraId="23878AA4">
      <w:pPr>
        <w:numPr>
          <w:ilvl w:val="0"/>
          <w:numId w:val="3"/>
        </w:numPr>
        <w:tabs>
          <w:tab w:val="left" w:pos="5580"/>
        </w:tabs>
        <w:spacing w:line="480" w:lineRule="auto"/>
        <w:ind w:firstLine="240" w:firstLineChars="100"/>
        <w:rPr>
          <w:color w:val="auto"/>
          <w:sz w:val="24"/>
        </w:rPr>
      </w:pPr>
      <w:r>
        <w:rPr>
          <w:color w:val="auto"/>
          <w:sz w:val="24"/>
          <w:szCs w:val="20"/>
        </w:rPr>
        <w:t>如我方成交，我方将在法律规定的期限内与你方签订合同，并在合同约定的期限内完成合同规定的全部义务。</w:t>
      </w:r>
    </w:p>
    <w:p w14:paraId="34007936">
      <w:pPr>
        <w:spacing w:line="480" w:lineRule="auto"/>
        <w:ind w:firstLine="480" w:firstLineChars="200"/>
        <w:rPr>
          <w:color w:val="auto"/>
          <w:sz w:val="24"/>
        </w:rPr>
      </w:pPr>
      <w:r>
        <w:rPr>
          <w:color w:val="auto"/>
          <w:sz w:val="24"/>
        </w:rPr>
        <w:t>2. 其他补充条款（如有）：</w:t>
      </w:r>
      <w:r>
        <w:rPr>
          <w:color w:val="auto"/>
          <w:sz w:val="24"/>
          <w:szCs w:val="20"/>
        </w:rPr>
        <w:t>_____________________</w:t>
      </w:r>
      <w:r>
        <w:rPr>
          <w:color w:val="auto"/>
          <w:sz w:val="24"/>
        </w:rPr>
        <w:t>。</w:t>
      </w:r>
    </w:p>
    <w:p w14:paraId="267075E2">
      <w:pPr>
        <w:spacing w:line="480" w:lineRule="auto"/>
        <w:ind w:firstLine="480" w:firstLineChars="200"/>
        <w:rPr>
          <w:color w:val="auto"/>
          <w:sz w:val="24"/>
        </w:rPr>
      </w:pPr>
      <w:r>
        <w:rPr>
          <w:color w:val="auto"/>
          <w:sz w:val="24"/>
        </w:rPr>
        <w:t>与本响应有关的一切正式往来信函请寄：</w:t>
      </w:r>
    </w:p>
    <w:p w14:paraId="2D7ED086">
      <w:pPr>
        <w:tabs>
          <w:tab w:val="left" w:pos="5580"/>
        </w:tabs>
        <w:spacing w:line="480" w:lineRule="auto"/>
        <w:rPr>
          <w:color w:val="auto"/>
          <w:sz w:val="24"/>
          <w:szCs w:val="20"/>
        </w:rPr>
      </w:pPr>
    </w:p>
    <w:p w14:paraId="3C36A5D1">
      <w:pPr>
        <w:tabs>
          <w:tab w:val="left" w:pos="5580"/>
        </w:tabs>
        <w:spacing w:line="480" w:lineRule="auto"/>
        <w:rPr>
          <w:color w:val="auto"/>
          <w:sz w:val="24"/>
          <w:szCs w:val="20"/>
        </w:rPr>
      </w:pPr>
      <w:r>
        <w:rPr>
          <w:color w:val="auto"/>
          <w:sz w:val="24"/>
          <w:szCs w:val="20"/>
        </w:rPr>
        <w:t>地址_________________________     传真____________________________</w:t>
      </w:r>
    </w:p>
    <w:p w14:paraId="66690BCC">
      <w:pPr>
        <w:tabs>
          <w:tab w:val="left" w:pos="5580"/>
        </w:tabs>
        <w:spacing w:line="480" w:lineRule="auto"/>
        <w:rPr>
          <w:color w:val="auto"/>
          <w:sz w:val="24"/>
          <w:szCs w:val="20"/>
        </w:rPr>
      </w:pPr>
      <w:r>
        <w:rPr>
          <w:color w:val="auto"/>
          <w:sz w:val="24"/>
          <w:szCs w:val="20"/>
        </w:rPr>
        <w:t>电话_________________________     电子函件________________________</w:t>
      </w:r>
    </w:p>
    <w:p w14:paraId="220EBB7C">
      <w:pPr>
        <w:tabs>
          <w:tab w:val="left" w:pos="5580"/>
        </w:tabs>
        <w:spacing w:line="360" w:lineRule="auto"/>
        <w:rPr>
          <w:color w:val="auto"/>
          <w:sz w:val="24"/>
          <w:szCs w:val="20"/>
        </w:rPr>
      </w:pPr>
    </w:p>
    <w:p w14:paraId="6C5189E0">
      <w:pPr>
        <w:autoSpaceDE w:val="0"/>
        <w:autoSpaceDN w:val="0"/>
        <w:adjustRightInd w:val="0"/>
        <w:snapToGrid w:val="0"/>
        <w:spacing w:before="25" w:after="25" w:line="360" w:lineRule="auto"/>
        <w:jc w:val="center"/>
        <w:rPr>
          <w:color w:val="auto"/>
          <w:sz w:val="24"/>
        </w:rPr>
      </w:pPr>
      <w:r>
        <w:rPr>
          <w:rFonts w:hint="eastAsia"/>
          <w:color w:val="auto"/>
          <w:sz w:val="24"/>
        </w:rPr>
        <w:t xml:space="preserve">                             </w:t>
      </w:r>
      <w:r>
        <w:rPr>
          <w:color w:val="auto"/>
          <w:sz w:val="24"/>
        </w:rPr>
        <w:t>供应商名称（加盖公章）</w:t>
      </w:r>
      <w:r>
        <w:rPr>
          <w:rFonts w:hint="eastAsia" w:ascii="Times New Roman"/>
          <w:color w:val="auto"/>
          <w:sz w:val="24"/>
          <w:lang w:val="zh-CN"/>
        </w:rPr>
        <w:t>：</w:t>
      </w:r>
      <w:r>
        <w:rPr>
          <w:color w:val="auto"/>
          <w:sz w:val="24"/>
          <w:lang w:val="zh-CN"/>
        </w:rPr>
        <w:t xml:space="preserve"> ____________</w:t>
      </w:r>
    </w:p>
    <w:p w14:paraId="291DB2B8">
      <w:pPr>
        <w:spacing w:line="360" w:lineRule="auto"/>
        <w:ind w:right="360" w:firstLine="480"/>
        <w:jc w:val="center"/>
        <w:rPr>
          <w:color w:val="auto"/>
          <w:sz w:val="24"/>
        </w:rPr>
      </w:pPr>
      <w:r>
        <w:rPr>
          <w:rFonts w:hint="eastAsia"/>
          <w:color w:val="auto"/>
          <w:sz w:val="24"/>
          <w:szCs w:val="20"/>
        </w:rPr>
        <w:t xml:space="preserve">                    </w:t>
      </w:r>
      <w:r>
        <w:rPr>
          <w:color w:val="auto"/>
          <w:sz w:val="24"/>
          <w:szCs w:val="20"/>
        </w:rPr>
        <w:t xml:space="preserve">日期：_____年______月______日   </w:t>
      </w:r>
    </w:p>
    <w:p w14:paraId="6472C0A6">
      <w:pPr>
        <w:tabs>
          <w:tab w:val="left" w:pos="5580"/>
        </w:tabs>
        <w:spacing w:line="360" w:lineRule="auto"/>
        <w:ind w:firstLine="3600" w:firstLineChars="1500"/>
        <w:rPr>
          <w:color w:val="auto"/>
          <w:sz w:val="24"/>
          <w:szCs w:val="20"/>
        </w:rPr>
      </w:pPr>
      <w:r>
        <w:rPr>
          <w:color w:val="auto"/>
          <w:sz w:val="24"/>
          <w:szCs w:val="20"/>
        </w:rPr>
        <w:t xml:space="preserve">   </w:t>
      </w:r>
    </w:p>
    <w:p w14:paraId="3C3BFE86">
      <w:pPr>
        <w:tabs>
          <w:tab w:val="left" w:pos="5580"/>
        </w:tabs>
        <w:spacing w:line="360" w:lineRule="auto"/>
        <w:ind w:left="420"/>
        <w:rPr>
          <w:color w:val="auto"/>
          <w:sz w:val="24"/>
          <w:szCs w:val="20"/>
        </w:rPr>
      </w:pPr>
    </w:p>
    <w:p w14:paraId="57485177">
      <w:pPr>
        <w:rPr>
          <w:b/>
          <w:bCs/>
          <w:color w:val="auto"/>
          <w:sz w:val="24"/>
        </w:rPr>
      </w:pPr>
      <w:r>
        <w:rPr>
          <w:rFonts w:hint="eastAsia"/>
          <w:b/>
          <w:bCs/>
          <w:color w:val="auto"/>
          <w:sz w:val="24"/>
        </w:rPr>
        <w:t>注：实质性格式。</w:t>
      </w:r>
    </w:p>
    <w:p w14:paraId="61165307">
      <w:pPr>
        <w:keepNext/>
        <w:keepLines/>
        <w:widowControl w:val="0"/>
        <w:tabs>
          <w:tab w:val="left" w:pos="0"/>
        </w:tabs>
        <w:autoSpaceDE w:val="0"/>
        <w:autoSpaceDN w:val="0"/>
        <w:adjustRightInd w:val="0"/>
        <w:spacing w:before="120" w:line="300" w:lineRule="auto"/>
        <w:jc w:val="center"/>
        <w:outlineLvl w:val="1"/>
        <w:rPr>
          <w:rFonts w:ascii="宋体" w:hAnsi="宋体" w:eastAsia="黑体" w:cs="宋体"/>
          <w:b/>
          <w:color w:val="auto"/>
          <w:kern w:val="0"/>
          <w:sz w:val="30"/>
          <w:szCs w:val="20"/>
          <w:lang w:val="en-US" w:eastAsia="zh-CN" w:bidi="ar-SA"/>
        </w:rPr>
      </w:pPr>
      <w:r>
        <w:rPr>
          <w:rFonts w:ascii="Arial" w:hAnsi="Arial" w:eastAsia="黑体" w:cs="Times New Roman"/>
          <w:b/>
          <w:color w:val="auto"/>
          <w:kern w:val="0"/>
          <w:sz w:val="24"/>
          <w:szCs w:val="20"/>
          <w:lang w:val="en-US" w:eastAsia="zh-CN" w:bidi="ar-SA"/>
        </w:rPr>
        <w:br w:type="page"/>
      </w:r>
      <w:bookmarkStart w:id="50" w:name="_Hlt520356243"/>
      <w:bookmarkEnd w:id="50"/>
      <w:bookmarkStart w:id="51" w:name="_Hlt520355938"/>
      <w:bookmarkEnd w:id="51"/>
      <w:bookmarkStart w:id="52" w:name="_Toc17636"/>
      <w:bookmarkStart w:id="53" w:name="_Toc9644"/>
      <w:bookmarkStart w:id="54" w:name="_Toc6683"/>
      <w:bookmarkStart w:id="55" w:name="_Toc480942350"/>
      <w:bookmarkStart w:id="56" w:name="_Toc226337253"/>
      <w:bookmarkStart w:id="57" w:name="_Toc195842922"/>
      <w:bookmarkStart w:id="58" w:name="_Toc226309801"/>
      <w:bookmarkStart w:id="59" w:name="_Toc127151557"/>
      <w:bookmarkStart w:id="60" w:name="_Toc305158899"/>
      <w:bookmarkStart w:id="61" w:name="_Toc305158825"/>
      <w:bookmarkStart w:id="62" w:name="_Toc520356218"/>
      <w:bookmarkStart w:id="63" w:name="_Toc150774762"/>
      <w:bookmarkStart w:id="64" w:name="_Toc226965747"/>
      <w:bookmarkStart w:id="65" w:name="_Toc142311059"/>
      <w:bookmarkStart w:id="66" w:name="_Toc265228395"/>
      <w:bookmarkStart w:id="67" w:name="_Toc150480795"/>
      <w:bookmarkStart w:id="68" w:name="_Toc226965830"/>
      <w:bookmarkStart w:id="69" w:name="_Ref467988705"/>
      <w:bookmarkStart w:id="70" w:name="_Toc264969247"/>
      <w:r>
        <w:rPr>
          <w:rFonts w:hint="eastAsia" w:ascii="宋体" w:hAnsi="宋体" w:eastAsia="宋体" w:cs="宋体"/>
          <w:b/>
          <w:color w:val="auto"/>
          <w:kern w:val="0"/>
          <w:sz w:val="32"/>
          <w:szCs w:val="32"/>
          <w:lang w:val="en-US" w:eastAsia="zh-CN" w:bidi="ar-SA"/>
        </w:rPr>
        <w:t>三、法定代表人身份证明书或法定代表人授权书</w:t>
      </w:r>
      <w:bookmarkEnd w:id="52"/>
      <w:bookmarkEnd w:id="53"/>
      <w:bookmarkEnd w:id="54"/>
    </w:p>
    <w:p w14:paraId="035BB007">
      <w:pPr>
        <w:spacing w:line="360" w:lineRule="auto"/>
        <w:ind w:firstLine="480" w:firstLineChars="200"/>
        <w:rPr>
          <w:rFonts w:ascii="宋体" w:hAnsi="宋体" w:cs="宋体"/>
          <w:color w:val="auto"/>
          <w:sz w:val="24"/>
        </w:rPr>
      </w:pPr>
    </w:p>
    <w:p w14:paraId="32C971BA">
      <w:pPr>
        <w:spacing w:line="360" w:lineRule="auto"/>
        <w:jc w:val="center"/>
        <w:rPr>
          <w:rFonts w:ascii="宋体" w:hAnsi="宋体" w:cs="宋体"/>
          <w:b/>
          <w:bCs/>
          <w:color w:val="auto"/>
          <w:sz w:val="30"/>
          <w:szCs w:val="30"/>
        </w:rPr>
      </w:pPr>
      <w:r>
        <w:rPr>
          <w:rFonts w:hint="eastAsia" w:ascii="宋体" w:hAnsi="宋体" w:cs="宋体"/>
          <w:b/>
          <w:bCs/>
          <w:color w:val="auto"/>
          <w:sz w:val="30"/>
          <w:szCs w:val="30"/>
        </w:rPr>
        <w:t>3-1 法定代表人身份证明书</w:t>
      </w:r>
    </w:p>
    <w:p w14:paraId="6D3C4E85">
      <w:pPr>
        <w:spacing w:line="360" w:lineRule="auto"/>
        <w:ind w:firstLine="480" w:firstLineChars="200"/>
        <w:rPr>
          <w:rFonts w:ascii="宋体" w:hAnsi="宋体" w:cs="宋体"/>
          <w:color w:val="auto"/>
          <w:sz w:val="24"/>
        </w:rPr>
      </w:pPr>
    </w:p>
    <w:p w14:paraId="373AE005">
      <w:pPr>
        <w:spacing w:line="360" w:lineRule="auto"/>
        <w:ind w:firstLine="480" w:firstLineChars="200"/>
        <w:rPr>
          <w:rFonts w:ascii="宋体" w:hAnsi="宋体" w:cs="宋体"/>
          <w:color w:val="auto"/>
          <w:sz w:val="24"/>
        </w:rPr>
      </w:pPr>
      <w:r>
        <w:rPr>
          <w:rFonts w:hint="eastAsia" w:ascii="宋体" w:hAnsi="宋体" w:cs="宋体"/>
          <w:color w:val="auto"/>
          <w:sz w:val="24"/>
        </w:rPr>
        <w:t>单位名称：</w:t>
      </w:r>
      <w:r>
        <w:rPr>
          <w:rFonts w:hint="eastAsia" w:ascii="宋体" w:hAnsi="宋体" w:cs="宋体"/>
          <w:color w:val="auto"/>
          <w:sz w:val="24"/>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p>
    <w:p w14:paraId="047F58D8">
      <w:pPr>
        <w:spacing w:line="360" w:lineRule="auto"/>
        <w:ind w:firstLine="480" w:firstLineChars="200"/>
        <w:rPr>
          <w:rFonts w:ascii="宋体" w:hAnsi="宋体" w:cs="宋体"/>
          <w:color w:val="auto"/>
          <w:sz w:val="24"/>
        </w:rPr>
      </w:pPr>
      <w:r>
        <w:rPr>
          <w:rFonts w:hint="eastAsia" w:ascii="宋体" w:hAnsi="宋体" w:cs="宋体"/>
          <w:color w:val="auto"/>
          <w:sz w:val="24"/>
        </w:rPr>
        <w:t>单位性质：</w:t>
      </w:r>
      <w:r>
        <w:rPr>
          <w:rFonts w:hint="eastAsia" w:ascii="宋体" w:hAnsi="宋体" w:cs="宋体"/>
          <w:color w:val="auto"/>
          <w:sz w:val="24"/>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p>
    <w:p w14:paraId="691C3601">
      <w:pPr>
        <w:spacing w:line="360" w:lineRule="auto"/>
        <w:ind w:firstLine="480" w:firstLineChars="200"/>
        <w:rPr>
          <w:rFonts w:ascii="宋体" w:hAnsi="宋体" w:cs="宋体"/>
          <w:color w:val="auto"/>
          <w:sz w:val="24"/>
        </w:rPr>
      </w:pPr>
      <w:r>
        <w:rPr>
          <w:rFonts w:hint="eastAsia" w:ascii="宋体" w:hAnsi="宋体" w:cs="宋体"/>
          <w:color w:val="auto"/>
          <w:sz w:val="24"/>
        </w:rPr>
        <w:t>地    址：</w:t>
      </w:r>
      <w:r>
        <w:rPr>
          <w:rFonts w:hint="eastAsia" w:ascii="宋体" w:hAnsi="宋体" w:cs="宋体"/>
          <w:color w:val="auto"/>
          <w:sz w:val="24"/>
        </w:rPr>
        <w:tab/>
      </w:r>
      <w:r>
        <w:rPr>
          <w:rFonts w:hint="eastAsia" w:ascii="宋体" w:hAnsi="宋体" w:cs="宋体"/>
          <w:color w:val="auto"/>
          <w:sz w:val="24"/>
          <w:u w:val="single"/>
        </w:rPr>
        <w:tab/>
      </w:r>
      <w:r>
        <w:rPr>
          <w:rFonts w:hint="eastAsia" w:ascii="宋体" w:hAnsi="宋体" w:cs="宋体"/>
          <w:color w:val="auto"/>
          <w:sz w:val="24"/>
          <w:u w:val="single"/>
        </w:rPr>
        <w:t xml:space="preserve">  </w:t>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 xml:space="preserve">       </w:t>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p>
    <w:p w14:paraId="343F8728">
      <w:pPr>
        <w:spacing w:line="360" w:lineRule="auto"/>
        <w:ind w:firstLine="480" w:firstLineChars="200"/>
        <w:rPr>
          <w:rFonts w:ascii="宋体" w:hAnsi="宋体" w:cs="宋体"/>
          <w:color w:val="auto"/>
          <w:sz w:val="24"/>
        </w:rPr>
      </w:pPr>
      <w:r>
        <w:rPr>
          <w:rFonts w:hint="eastAsia" w:ascii="宋体" w:hAnsi="宋体" w:cs="宋体"/>
          <w:color w:val="auto"/>
          <w:sz w:val="24"/>
        </w:rPr>
        <w:t>成立时间：</w:t>
      </w:r>
      <w:r>
        <w:rPr>
          <w:rFonts w:hint="eastAsia" w:ascii="宋体" w:hAnsi="宋体" w:cs="宋体"/>
          <w:color w:val="auto"/>
          <w:sz w:val="24"/>
          <w:u w:val="single"/>
        </w:rPr>
        <w:t xml:space="preserve">           </w:t>
      </w:r>
      <w:r>
        <w:rPr>
          <w:rFonts w:hint="eastAsia" w:ascii="宋体" w:hAnsi="宋体" w:cs="宋体"/>
          <w:color w:val="auto"/>
          <w:sz w:val="24"/>
        </w:rPr>
        <w:t xml:space="preserve"> 年</w:t>
      </w:r>
      <w:r>
        <w:rPr>
          <w:rFonts w:hint="eastAsia" w:ascii="宋体" w:hAnsi="宋体" w:cs="宋体"/>
          <w:color w:val="auto"/>
          <w:sz w:val="24"/>
          <w:u w:val="single"/>
        </w:rPr>
        <w:t xml:space="preserve">     </w:t>
      </w:r>
      <w:r>
        <w:rPr>
          <w:rFonts w:hint="eastAsia" w:ascii="宋体" w:hAnsi="宋体" w:cs="宋体"/>
          <w:color w:val="auto"/>
          <w:sz w:val="24"/>
        </w:rPr>
        <w:t xml:space="preserve">月 </w:t>
      </w:r>
      <w:r>
        <w:rPr>
          <w:rFonts w:hint="eastAsia" w:ascii="宋体" w:hAnsi="宋体" w:cs="宋体"/>
          <w:color w:val="auto"/>
          <w:sz w:val="24"/>
          <w:u w:val="single"/>
        </w:rPr>
        <w:t xml:space="preserve">     </w:t>
      </w:r>
      <w:r>
        <w:rPr>
          <w:rFonts w:hint="eastAsia" w:ascii="宋体" w:hAnsi="宋体" w:cs="宋体"/>
          <w:color w:val="auto"/>
          <w:sz w:val="24"/>
        </w:rPr>
        <w:t>日</w:t>
      </w:r>
    </w:p>
    <w:p w14:paraId="1031EEDD">
      <w:pPr>
        <w:spacing w:line="360" w:lineRule="auto"/>
        <w:ind w:firstLine="480" w:firstLineChars="200"/>
        <w:rPr>
          <w:rFonts w:ascii="宋体" w:hAnsi="宋体" w:cs="宋体"/>
          <w:color w:val="auto"/>
          <w:sz w:val="24"/>
        </w:rPr>
      </w:pPr>
      <w:r>
        <w:rPr>
          <w:rFonts w:hint="eastAsia" w:ascii="宋体" w:hAnsi="宋体" w:cs="宋体"/>
          <w:color w:val="auto"/>
          <w:sz w:val="24"/>
        </w:rPr>
        <w:t>经营期限：</w:t>
      </w:r>
      <w:r>
        <w:rPr>
          <w:rFonts w:hint="eastAsia" w:ascii="宋体" w:hAnsi="宋体" w:cs="宋体"/>
          <w:color w:val="auto"/>
          <w:sz w:val="24"/>
          <w:u w:val="single"/>
        </w:rPr>
        <w:tab/>
      </w:r>
      <w:r>
        <w:rPr>
          <w:rFonts w:hint="eastAsia" w:ascii="宋体" w:hAnsi="宋体" w:cs="宋体"/>
          <w:color w:val="auto"/>
          <w:sz w:val="24"/>
          <w:u w:val="single"/>
        </w:rPr>
        <w:t xml:space="preserve">                                 </w:t>
      </w:r>
      <w:r>
        <w:rPr>
          <w:rFonts w:hint="eastAsia" w:ascii="宋体" w:hAnsi="宋体" w:cs="宋体"/>
          <w:color w:val="auto"/>
          <w:sz w:val="24"/>
        </w:rPr>
        <w:t xml:space="preserve">        </w:t>
      </w:r>
    </w:p>
    <w:p w14:paraId="56E5CCF3">
      <w:pPr>
        <w:spacing w:line="360" w:lineRule="auto"/>
        <w:ind w:firstLine="480" w:firstLineChars="200"/>
        <w:rPr>
          <w:rFonts w:ascii="宋体" w:hAnsi="宋体" w:cs="宋体"/>
          <w:color w:val="auto"/>
          <w:sz w:val="24"/>
        </w:rPr>
      </w:pPr>
    </w:p>
    <w:p w14:paraId="04AB24AC">
      <w:pPr>
        <w:spacing w:line="360" w:lineRule="auto"/>
        <w:ind w:firstLine="480" w:firstLineChars="200"/>
        <w:rPr>
          <w:rFonts w:ascii="宋体" w:hAnsi="宋体" w:cs="宋体"/>
          <w:color w:val="auto"/>
          <w:sz w:val="24"/>
        </w:rPr>
      </w:pPr>
      <w:r>
        <w:rPr>
          <w:rFonts w:hint="eastAsia" w:ascii="宋体" w:hAnsi="宋体" w:cs="宋体"/>
          <w:color w:val="auto"/>
          <w:sz w:val="24"/>
        </w:rPr>
        <w:t>姓    名：</w:t>
      </w:r>
      <w:r>
        <w:rPr>
          <w:rFonts w:hint="eastAsia" w:ascii="宋体" w:hAnsi="宋体" w:cs="宋体"/>
          <w:color w:val="auto"/>
          <w:sz w:val="24"/>
          <w:u w:val="single"/>
        </w:rPr>
        <w:t xml:space="preserve">        </w:t>
      </w:r>
      <w:r>
        <w:rPr>
          <w:rFonts w:hint="eastAsia" w:ascii="宋体" w:hAnsi="宋体" w:cs="宋体"/>
          <w:color w:val="auto"/>
          <w:sz w:val="24"/>
        </w:rPr>
        <w:t xml:space="preserve"> 性别：</w:t>
      </w:r>
      <w:r>
        <w:rPr>
          <w:rFonts w:hint="eastAsia" w:ascii="宋体" w:hAnsi="宋体" w:cs="宋体"/>
          <w:color w:val="auto"/>
          <w:sz w:val="24"/>
          <w:u w:val="single"/>
        </w:rPr>
        <w:t xml:space="preserve">      </w:t>
      </w:r>
      <w:r>
        <w:rPr>
          <w:rFonts w:hint="eastAsia" w:ascii="宋体" w:hAnsi="宋体" w:cs="宋体"/>
          <w:color w:val="auto"/>
          <w:sz w:val="24"/>
        </w:rPr>
        <w:t>年龄：</w:t>
      </w:r>
      <w:r>
        <w:rPr>
          <w:rFonts w:hint="eastAsia" w:ascii="宋体" w:hAnsi="宋体" w:cs="宋体"/>
          <w:color w:val="auto"/>
          <w:sz w:val="24"/>
          <w:u w:val="single"/>
        </w:rPr>
        <w:t xml:space="preserve">        </w:t>
      </w:r>
      <w:r>
        <w:rPr>
          <w:rFonts w:hint="eastAsia" w:ascii="宋体" w:hAnsi="宋体" w:cs="宋体"/>
          <w:color w:val="auto"/>
          <w:sz w:val="24"/>
        </w:rPr>
        <w:t>职务：</w:t>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 xml:space="preserve"> </w:t>
      </w:r>
    </w:p>
    <w:p w14:paraId="4D7243DF">
      <w:pPr>
        <w:spacing w:line="360" w:lineRule="auto"/>
        <w:ind w:firstLine="480" w:firstLineChars="200"/>
        <w:rPr>
          <w:rFonts w:ascii="宋体" w:hAnsi="宋体" w:cs="宋体"/>
          <w:color w:val="auto"/>
          <w:sz w:val="24"/>
        </w:rPr>
      </w:pPr>
    </w:p>
    <w:p w14:paraId="6D3E5F94">
      <w:pPr>
        <w:spacing w:line="360" w:lineRule="auto"/>
        <w:ind w:firstLine="480" w:firstLineChars="200"/>
        <w:rPr>
          <w:rFonts w:ascii="宋体" w:hAnsi="宋体" w:cs="宋体"/>
          <w:color w:val="auto"/>
          <w:sz w:val="24"/>
        </w:rPr>
      </w:pPr>
      <w:r>
        <w:rPr>
          <w:rFonts w:hint="eastAsia" w:ascii="宋体" w:hAnsi="宋体" w:cs="宋体"/>
          <w:color w:val="auto"/>
          <w:sz w:val="24"/>
        </w:rPr>
        <w:t>系</w:t>
      </w:r>
      <w:r>
        <w:rPr>
          <w:rFonts w:hint="eastAsia" w:ascii="宋体" w:hAnsi="宋体" w:cs="宋体"/>
          <w:color w:val="auto"/>
          <w:sz w:val="24"/>
          <w:u w:val="single"/>
        </w:rPr>
        <w:t xml:space="preserve">          （供应商名称）        </w:t>
      </w:r>
      <w:r>
        <w:rPr>
          <w:rFonts w:hint="eastAsia" w:ascii="宋体" w:hAnsi="宋体" w:cs="宋体"/>
          <w:color w:val="auto"/>
          <w:sz w:val="24"/>
        </w:rPr>
        <w:t xml:space="preserve"> 的法定代表人。</w:t>
      </w:r>
    </w:p>
    <w:p w14:paraId="41D8EB75">
      <w:pPr>
        <w:spacing w:line="360" w:lineRule="auto"/>
        <w:ind w:firstLine="480" w:firstLineChars="200"/>
        <w:rPr>
          <w:rFonts w:ascii="宋体" w:hAnsi="宋体" w:cs="宋体"/>
          <w:color w:val="auto"/>
          <w:sz w:val="24"/>
        </w:rPr>
      </w:pPr>
    </w:p>
    <w:p w14:paraId="4FF81B42">
      <w:pPr>
        <w:spacing w:line="360" w:lineRule="auto"/>
        <w:ind w:firstLine="480" w:firstLineChars="200"/>
        <w:rPr>
          <w:rFonts w:ascii="宋体" w:hAnsi="宋体" w:cs="宋体"/>
          <w:color w:val="auto"/>
          <w:sz w:val="24"/>
        </w:rPr>
      </w:pPr>
      <w:r>
        <w:rPr>
          <w:rFonts w:hint="eastAsia" w:ascii="宋体" w:hAnsi="宋体" w:cs="宋体"/>
          <w:color w:val="auto"/>
          <w:sz w:val="24"/>
        </w:rPr>
        <w:t>特此证明。</w:t>
      </w:r>
    </w:p>
    <w:p w14:paraId="4E92BB52">
      <w:pPr>
        <w:widowControl w:val="0"/>
        <w:tabs>
          <w:tab w:val="left" w:pos="567"/>
        </w:tabs>
        <w:kinsoku w:val="0"/>
        <w:overflowPunct w:val="0"/>
        <w:spacing w:before="120" w:line="583" w:lineRule="auto"/>
        <w:ind w:right="-46"/>
        <w:jc w:val="both"/>
        <w:rPr>
          <w:rFonts w:ascii="Times New Roman" w:hAnsi="Times New Roman" w:eastAsia="宋体" w:cs="Times New Roman"/>
          <w:color w:val="auto"/>
          <w:spacing w:val="-3"/>
          <w:kern w:val="2"/>
          <w:sz w:val="24"/>
          <w:szCs w:val="24"/>
          <w:lang w:val="en-US" w:eastAsia="zh-CN" w:bidi="ar-SA"/>
        </w:rPr>
      </w:pPr>
      <w:r>
        <w:rPr>
          <w:rFonts w:hint="eastAsia" w:ascii="宋体" w:hAnsi="宋体" w:eastAsia="宋体" w:cs="宋体"/>
          <w:color w:val="auto"/>
          <w:kern w:val="2"/>
          <w:sz w:val="24"/>
          <w:szCs w:val="24"/>
          <w:lang w:val="en-US" w:eastAsia="zh-CN" w:bidi="ar-SA"/>
        </w:rPr>
        <w:t>附：</w:t>
      </w:r>
      <w:r>
        <w:rPr>
          <w:rFonts w:ascii="Times New Roman" w:hAnsi="Times New Roman" w:eastAsia="宋体" w:cs="Times New Roman"/>
          <w:color w:val="auto"/>
          <w:spacing w:val="-3"/>
          <w:kern w:val="2"/>
          <w:sz w:val="24"/>
          <w:szCs w:val="24"/>
          <w:lang w:val="en-US" w:eastAsia="zh-CN" w:bidi="ar-SA"/>
        </w:rPr>
        <w:t>法</w:t>
      </w:r>
      <w:r>
        <w:rPr>
          <w:rFonts w:ascii="Times New Roman" w:hAnsi="Times New Roman" w:eastAsia="宋体" w:cs="Times New Roman"/>
          <w:color w:val="auto"/>
          <w:kern w:val="2"/>
          <w:sz w:val="24"/>
          <w:szCs w:val="24"/>
          <w:lang w:val="en-US" w:eastAsia="zh-CN" w:bidi="ar-SA"/>
        </w:rPr>
        <w:t>定</w:t>
      </w:r>
      <w:r>
        <w:rPr>
          <w:rFonts w:ascii="Times New Roman" w:hAnsi="Times New Roman" w:eastAsia="宋体" w:cs="Times New Roman"/>
          <w:color w:val="auto"/>
          <w:spacing w:val="-3"/>
          <w:kern w:val="2"/>
          <w:sz w:val="24"/>
          <w:szCs w:val="24"/>
          <w:lang w:val="en-US" w:eastAsia="zh-CN" w:bidi="ar-SA"/>
        </w:rPr>
        <w:t>代</w:t>
      </w:r>
      <w:r>
        <w:rPr>
          <w:rFonts w:ascii="Times New Roman" w:hAnsi="Times New Roman" w:eastAsia="宋体" w:cs="Times New Roman"/>
          <w:color w:val="auto"/>
          <w:kern w:val="2"/>
          <w:sz w:val="24"/>
          <w:szCs w:val="24"/>
          <w:lang w:val="en-US" w:eastAsia="zh-CN" w:bidi="ar-SA"/>
        </w:rPr>
        <w:t>表</w:t>
      </w:r>
      <w:r>
        <w:rPr>
          <w:rFonts w:ascii="Times New Roman" w:hAnsi="Times New Roman" w:eastAsia="宋体" w:cs="Times New Roman"/>
          <w:color w:val="auto"/>
          <w:spacing w:val="-3"/>
          <w:kern w:val="2"/>
          <w:sz w:val="24"/>
          <w:szCs w:val="24"/>
          <w:lang w:val="en-US" w:eastAsia="zh-CN" w:bidi="ar-SA"/>
        </w:rPr>
        <w:t>人</w:t>
      </w:r>
      <w:r>
        <w:rPr>
          <w:rFonts w:ascii="Times New Roman" w:hAnsi="Times New Roman" w:eastAsia="宋体" w:cs="Times New Roman"/>
          <w:color w:val="auto"/>
          <w:kern w:val="2"/>
          <w:sz w:val="24"/>
          <w:szCs w:val="24"/>
          <w:lang w:val="en-US" w:eastAsia="zh-CN" w:bidi="ar-SA"/>
        </w:rPr>
        <w:t>（</w:t>
      </w:r>
      <w:r>
        <w:rPr>
          <w:rFonts w:ascii="Times New Roman" w:hAnsi="Times New Roman" w:eastAsia="宋体" w:cs="Times New Roman"/>
          <w:color w:val="auto"/>
          <w:spacing w:val="-3"/>
          <w:kern w:val="2"/>
          <w:sz w:val="24"/>
          <w:szCs w:val="24"/>
          <w:lang w:val="en-US" w:eastAsia="zh-CN" w:bidi="ar-SA"/>
        </w:rPr>
        <w:t>单</w:t>
      </w:r>
      <w:r>
        <w:rPr>
          <w:rFonts w:ascii="Times New Roman" w:hAnsi="Times New Roman" w:eastAsia="宋体" w:cs="Times New Roman"/>
          <w:color w:val="auto"/>
          <w:kern w:val="2"/>
          <w:sz w:val="24"/>
          <w:szCs w:val="24"/>
          <w:lang w:val="en-US" w:eastAsia="zh-CN" w:bidi="ar-SA"/>
        </w:rPr>
        <w:t>位</w:t>
      </w:r>
      <w:r>
        <w:rPr>
          <w:rFonts w:ascii="Times New Roman" w:hAnsi="Times New Roman" w:eastAsia="宋体" w:cs="Times New Roman"/>
          <w:color w:val="auto"/>
          <w:spacing w:val="-3"/>
          <w:kern w:val="2"/>
          <w:sz w:val="24"/>
          <w:szCs w:val="24"/>
          <w:lang w:val="en-US" w:eastAsia="zh-CN" w:bidi="ar-SA"/>
        </w:rPr>
        <w:t>负</w:t>
      </w:r>
      <w:r>
        <w:rPr>
          <w:rFonts w:ascii="Times New Roman" w:hAnsi="Times New Roman" w:eastAsia="宋体" w:cs="Times New Roman"/>
          <w:color w:val="auto"/>
          <w:kern w:val="2"/>
          <w:sz w:val="24"/>
          <w:szCs w:val="24"/>
          <w:lang w:val="en-US" w:eastAsia="zh-CN" w:bidi="ar-SA"/>
        </w:rPr>
        <w:t>责人</w:t>
      </w:r>
      <w:r>
        <w:rPr>
          <w:rFonts w:ascii="Times New Roman" w:hAnsi="Times New Roman" w:eastAsia="宋体" w:cs="Times New Roman"/>
          <w:color w:val="auto"/>
          <w:spacing w:val="-3"/>
          <w:kern w:val="2"/>
          <w:sz w:val="24"/>
          <w:szCs w:val="24"/>
          <w:lang w:val="en-US" w:eastAsia="zh-CN" w:bidi="ar-SA"/>
        </w:rPr>
        <w:t>）有效期内的身份证</w:t>
      </w:r>
      <w:r>
        <w:rPr>
          <w:rFonts w:hint="eastAsia" w:ascii="Times New Roman" w:hAnsi="Times New Roman" w:eastAsia="宋体" w:cs="Times New Roman"/>
          <w:b/>
          <w:bCs/>
          <w:color w:val="auto"/>
          <w:spacing w:val="-3"/>
          <w:kern w:val="2"/>
          <w:sz w:val="24"/>
          <w:szCs w:val="24"/>
          <w:lang w:val="en-US" w:eastAsia="zh-CN" w:bidi="ar-SA"/>
        </w:rPr>
        <w:t>正反面</w:t>
      </w:r>
      <w:r>
        <w:rPr>
          <w:rFonts w:hint="eastAsia" w:ascii="Times New Roman" w:hAnsi="Times New Roman" w:eastAsia="宋体" w:cs="Times New Roman"/>
          <w:color w:val="auto"/>
          <w:spacing w:val="-3"/>
          <w:kern w:val="2"/>
          <w:sz w:val="24"/>
          <w:szCs w:val="24"/>
          <w:lang w:val="en-US" w:eastAsia="zh-CN" w:bidi="ar-SA"/>
        </w:rPr>
        <w:t>复印件或打印件</w:t>
      </w:r>
      <w:r>
        <w:rPr>
          <w:rFonts w:ascii="Times New Roman" w:hAnsi="Times New Roman" w:eastAsia="宋体" w:cs="Times New Roman"/>
          <w:color w:val="auto"/>
          <w:spacing w:val="-3"/>
          <w:kern w:val="2"/>
          <w:sz w:val="24"/>
          <w:szCs w:val="24"/>
          <w:lang w:val="en-US" w:eastAsia="zh-CN" w:bidi="ar-SA"/>
        </w:rPr>
        <w:t>。</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1"/>
        <w:gridCol w:w="4602"/>
      </w:tblGrid>
      <w:tr w14:paraId="4B67D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9" w:hRule="atLeast"/>
        </w:trPr>
        <w:tc>
          <w:tcPr>
            <w:tcW w:w="4571" w:type="dxa"/>
          </w:tcPr>
          <w:p w14:paraId="09115B36">
            <w:pPr>
              <w:tabs>
                <w:tab w:val="left" w:pos="5580"/>
              </w:tabs>
              <w:spacing w:line="360" w:lineRule="auto"/>
              <w:jc w:val="left"/>
              <w:rPr>
                <w:color w:val="auto"/>
                <w:sz w:val="24"/>
                <w:szCs w:val="20"/>
              </w:rPr>
            </w:pPr>
          </w:p>
          <w:p w14:paraId="5EA0CDE2">
            <w:pPr>
              <w:tabs>
                <w:tab w:val="left" w:pos="5580"/>
              </w:tabs>
              <w:spacing w:line="360" w:lineRule="auto"/>
              <w:jc w:val="left"/>
              <w:rPr>
                <w:color w:val="auto"/>
                <w:sz w:val="24"/>
                <w:szCs w:val="20"/>
              </w:rPr>
            </w:pPr>
          </w:p>
          <w:p w14:paraId="79AB0878">
            <w:pPr>
              <w:tabs>
                <w:tab w:val="left" w:pos="5580"/>
              </w:tabs>
              <w:spacing w:line="360" w:lineRule="auto"/>
              <w:jc w:val="left"/>
              <w:rPr>
                <w:color w:val="auto"/>
                <w:sz w:val="24"/>
                <w:szCs w:val="20"/>
              </w:rPr>
            </w:pPr>
          </w:p>
        </w:tc>
        <w:tc>
          <w:tcPr>
            <w:tcW w:w="4602" w:type="dxa"/>
          </w:tcPr>
          <w:p w14:paraId="54BCBE90">
            <w:pPr>
              <w:tabs>
                <w:tab w:val="left" w:pos="5580"/>
              </w:tabs>
              <w:spacing w:line="360" w:lineRule="auto"/>
              <w:jc w:val="left"/>
              <w:rPr>
                <w:color w:val="auto"/>
                <w:sz w:val="24"/>
                <w:szCs w:val="20"/>
              </w:rPr>
            </w:pPr>
          </w:p>
          <w:p w14:paraId="76162CD0">
            <w:pPr>
              <w:tabs>
                <w:tab w:val="left" w:pos="5580"/>
              </w:tabs>
              <w:spacing w:line="360" w:lineRule="auto"/>
              <w:jc w:val="left"/>
              <w:rPr>
                <w:color w:val="auto"/>
                <w:sz w:val="24"/>
                <w:szCs w:val="20"/>
              </w:rPr>
            </w:pPr>
          </w:p>
          <w:p w14:paraId="0389BE67">
            <w:pPr>
              <w:tabs>
                <w:tab w:val="left" w:pos="5580"/>
              </w:tabs>
              <w:spacing w:line="360" w:lineRule="auto"/>
              <w:jc w:val="left"/>
              <w:rPr>
                <w:color w:val="auto"/>
                <w:sz w:val="24"/>
                <w:szCs w:val="20"/>
              </w:rPr>
            </w:pPr>
          </w:p>
        </w:tc>
      </w:tr>
    </w:tbl>
    <w:p w14:paraId="48D14FD4">
      <w:pPr>
        <w:widowControl/>
        <w:snapToGrid w:val="0"/>
        <w:spacing w:line="560" w:lineRule="exact"/>
        <w:rPr>
          <w:rFonts w:cs="Tahoma"/>
          <w:color w:val="auto"/>
        </w:rPr>
      </w:pPr>
    </w:p>
    <w:p w14:paraId="40B26211">
      <w:pPr>
        <w:spacing w:line="360" w:lineRule="auto"/>
        <w:ind w:firstLine="480" w:firstLineChars="200"/>
        <w:rPr>
          <w:rFonts w:ascii="宋体" w:hAnsi="宋体" w:cs="宋体"/>
          <w:color w:val="auto"/>
          <w:sz w:val="24"/>
        </w:rPr>
      </w:pPr>
    </w:p>
    <w:p w14:paraId="2352317B">
      <w:pPr>
        <w:autoSpaceDE w:val="0"/>
        <w:autoSpaceDN w:val="0"/>
        <w:adjustRightInd w:val="0"/>
        <w:snapToGrid w:val="0"/>
        <w:spacing w:before="25" w:after="25" w:line="360" w:lineRule="auto"/>
        <w:jc w:val="center"/>
        <w:rPr>
          <w:color w:val="auto"/>
          <w:sz w:val="24"/>
        </w:rPr>
      </w:pPr>
      <w:r>
        <w:rPr>
          <w:rFonts w:hint="eastAsia"/>
          <w:color w:val="auto"/>
          <w:sz w:val="24"/>
        </w:rPr>
        <w:t xml:space="preserve">                                  </w:t>
      </w:r>
      <w:r>
        <w:rPr>
          <w:color w:val="auto"/>
          <w:sz w:val="24"/>
        </w:rPr>
        <w:t>供应商名称（加盖公章）</w:t>
      </w:r>
      <w:r>
        <w:rPr>
          <w:rFonts w:hint="eastAsia" w:ascii="Times New Roman"/>
          <w:color w:val="auto"/>
          <w:sz w:val="24"/>
          <w:lang w:val="zh-CN"/>
        </w:rPr>
        <w:t>：</w:t>
      </w:r>
      <w:r>
        <w:rPr>
          <w:color w:val="auto"/>
          <w:sz w:val="24"/>
          <w:lang w:val="zh-CN"/>
        </w:rPr>
        <w:t xml:space="preserve"> ____________</w:t>
      </w:r>
    </w:p>
    <w:p w14:paraId="1D2F75BF">
      <w:pPr>
        <w:widowControl/>
        <w:rPr>
          <w:color w:val="auto"/>
          <w:sz w:val="24"/>
          <w:szCs w:val="20"/>
        </w:rPr>
      </w:pPr>
      <w:r>
        <w:rPr>
          <w:rFonts w:hint="eastAsia"/>
          <w:color w:val="auto"/>
          <w:sz w:val="24"/>
          <w:szCs w:val="20"/>
        </w:rPr>
        <w:t xml:space="preserve">                                    </w:t>
      </w:r>
      <w:r>
        <w:rPr>
          <w:color w:val="auto"/>
          <w:sz w:val="24"/>
          <w:szCs w:val="20"/>
        </w:rPr>
        <w:t xml:space="preserve">日期：_____年______月______日 </w:t>
      </w:r>
    </w:p>
    <w:p w14:paraId="2CF3F2AE">
      <w:pPr>
        <w:widowControl/>
        <w:rPr>
          <w:color w:val="auto"/>
          <w:sz w:val="24"/>
          <w:szCs w:val="20"/>
        </w:rPr>
      </w:pPr>
    </w:p>
    <w:p w14:paraId="76184C70">
      <w:pPr>
        <w:widowControl/>
        <w:rPr>
          <w:color w:val="auto"/>
          <w:sz w:val="24"/>
          <w:szCs w:val="20"/>
        </w:rPr>
      </w:pPr>
    </w:p>
    <w:p w14:paraId="159142F8">
      <w:pPr>
        <w:widowControl/>
        <w:rPr>
          <w:color w:val="auto"/>
          <w:sz w:val="24"/>
          <w:szCs w:val="20"/>
        </w:rPr>
      </w:pPr>
    </w:p>
    <w:p w14:paraId="6F72A8B4">
      <w:pPr>
        <w:widowControl/>
        <w:rPr>
          <w:rFonts w:ascii="宋体" w:hAnsi="宋体" w:cs="宋体"/>
          <w:b/>
          <w:color w:val="auto"/>
          <w:sz w:val="32"/>
          <w:szCs w:val="32"/>
        </w:rPr>
      </w:pPr>
      <w:r>
        <w:rPr>
          <w:color w:val="auto"/>
          <w:sz w:val="24"/>
          <w:szCs w:val="20"/>
        </w:rPr>
        <w:t xml:space="preserve"> </w:t>
      </w:r>
    </w:p>
    <w:p w14:paraId="726B0F96">
      <w:pPr>
        <w:widowControl/>
        <w:jc w:val="center"/>
        <w:rPr>
          <w:rFonts w:ascii="宋体" w:hAnsi="宋体" w:cs="宋体"/>
          <w:b/>
          <w:color w:val="auto"/>
          <w:sz w:val="32"/>
          <w:szCs w:val="32"/>
        </w:rPr>
      </w:pPr>
      <w:r>
        <w:rPr>
          <w:rFonts w:hint="eastAsia" w:ascii="宋体" w:hAnsi="宋体" w:cs="宋体"/>
          <w:b/>
          <w:color w:val="auto"/>
          <w:sz w:val="32"/>
          <w:szCs w:val="32"/>
        </w:rPr>
        <w:t>3-2 授权委托书</w:t>
      </w:r>
    </w:p>
    <w:p w14:paraId="0CA6C84C">
      <w:pPr>
        <w:spacing w:line="360" w:lineRule="auto"/>
        <w:ind w:firstLine="420"/>
        <w:rPr>
          <w:color w:val="auto"/>
          <w:sz w:val="24"/>
          <w:szCs w:val="20"/>
        </w:rPr>
      </w:pPr>
    </w:p>
    <w:p w14:paraId="77472F02">
      <w:pPr>
        <w:spacing w:line="360" w:lineRule="auto"/>
        <w:ind w:firstLine="420"/>
        <w:rPr>
          <w:color w:val="auto"/>
          <w:sz w:val="24"/>
          <w:szCs w:val="20"/>
        </w:rPr>
      </w:pPr>
      <w:r>
        <w:rPr>
          <w:color w:val="auto"/>
          <w:sz w:val="24"/>
          <w:szCs w:val="20"/>
        </w:rPr>
        <w:t>本人</w:t>
      </w:r>
      <w:r>
        <w:rPr>
          <w:color w:val="auto"/>
          <w:sz w:val="24"/>
          <w:lang w:val="zh-CN"/>
        </w:rPr>
        <w:t>_______</w:t>
      </w:r>
      <w:r>
        <w:rPr>
          <w:color w:val="auto"/>
          <w:sz w:val="24"/>
          <w:szCs w:val="20"/>
        </w:rPr>
        <w:t>（姓名）系</w:t>
      </w:r>
      <w:r>
        <w:rPr>
          <w:color w:val="auto"/>
          <w:sz w:val="24"/>
          <w:lang w:val="zh-CN"/>
        </w:rPr>
        <w:t>________________</w:t>
      </w:r>
      <w:r>
        <w:rPr>
          <w:color w:val="auto"/>
          <w:sz w:val="24"/>
          <w:szCs w:val="20"/>
        </w:rPr>
        <w:t>（供应商名称）的法定代表人（单位负责人），现委托</w:t>
      </w:r>
      <w:r>
        <w:rPr>
          <w:color w:val="auto"/>
          <w:sz w:val="24"/>
          <w:lang w:val="zh-CN"/>
        </w:rPr>
        <w:t>_______</w:t>
      </w:r>
      <w:r>
        <w:rPr>
          <w:color w:val="auto"/>
          <w:sz w:val="24"/>
          <w:szCs w:val="20"/>
        </w:rPr>
        <w:t>（姓名）为我方代理人。代理人根据授权，以我方名义签署、澄清确认、递交、撤回、修改</w:t>
      </w:r>
      <w:r>
        <w:rPr>
          <w:color w:val="auto"/>
          <w:sz w:val="24"/>
          <w:lang w:val="zh-CN"/>
        </w:rPr>
        <w:t>________________</w:t>
      </w:r>
      <w:r>
        <w:rPr>
          <w:color w:val="auto"/>
          <w:sz w:val="24"/>
          <w:szCs w:val="20"/>
        </w:rPr>
        <w:t>（项目名称</w:t>
      </w:r>
      <w:r>
        <w:rPr>
          <w:rFonts w:hint="eastAsia" w:ascii="Times New Roman" w:eastAsia="宋体"/>
          <w:color w:val="auto"/>
          <w:sz w:val="24"/>
          <w:szCs w:val="20"/>
          <w:lang w:val="en-US" w:eastAsia="zh-CN"/>
        </w:rPr>
        <w:t>/包号</w:t>
      </w:r>
      <w:r>
        <w:rPr>
          <w:color w:val="auto"/>
          <w:sz w:val="24"/>
          <w:szCs w:val="20"/>
        </w:rPr>
        <w:t>）响应文件和处理有关事宜，其法律后果由我方承担。</w:t>
      </w:r>
    </w:p>
    <w:p w14:paraId="77D8E8EB">
      <w:pPr>
        <w:spacing w:line="360" w:lineRule="auto"/>
        <w:ind w:firstLine="420"/>
        <w:rPr>
          <w:color w:val="auto"/>
          <w:sz w:val="24"/>
          <w:szCs w:val="20"/>
        </w:rPr>
      </w:pPr>
      <w:r>
        <w:rPr>
          <w:color w:val="auto"/>
          <w:sz w:val="24"/>
          <w:szCs w:val="20"/>
        </w:rPr>
        <w:t>委托期限：自本授权委托书签署之日起至响应有效期届满之日止。</w:t>
      </w:r>
    </w:p>
    <w:p w14:paraId="31824626">
      <w:pPr>
        <w:spacing w:line="360" w:lineRule="auto"/>
        <w:ind w:firstLine="420"/>
        <w:rPr>
          <w:color w:val="auto"/>
          <w:sz w:val="24"/>
          <w:szCs w:val="20"/>
        </w:rPr>
      </w:pPr>
      <w:r>
        <w:rPr>
          <w:color w:val="auto"/>
          <w:sz w:val="24"/>
          <w:szCs w:val="20"/>
        </w:rPr>
        <w:t>代理人无转委托权。</w:t>
      </w:r>
      <w:r>
        <w:rPr>
          <w:color w:val="auto"/>
          <w:sz w:val="24"/>
          <w:szCs w:val="20"/>
        </w:rPr>
        <w:cr/>
      </w:r>
    </w:p>
    <w:p w14:paraId="53CF1B3F">
      <w:pPr>
        <w:spacing w:line="360" w:lineRule="auto"/>
        <w:rPr>
          <w:color w:val="auto"/>
          <w:sz w:val="24"/>
          <w:lang w:val="zh-CN"/>
        </w:rPr>
      </w:pPr>
      <w:r>
        <w:rPr>
          <w:color w:val="auto"/>
          <w:sz w:val="24"/>
        </w:rPr>
        <w:t>供应商名称（加盖公章）</w:t>
      </w:r>
      <w:r>
        <w:rPr>
          <w:color w:val="auto"/>
          <w:sz w:val="24"/>
          <w:lang w:val="zh-CN"/>
        </w:rPr>
        <w:t>：________________</w:t>
      </w:r>
    </w:p>
    <w:p w14:paraId="6F1CE438">
      <w:pPr>
        <w:spacing w:line="360" w:lineRule="auto"/>
        <w:rPr>
          <w:color w:val="auto"/>
          <w:sz w:val="24"/>
          <w:szCs w:val="20"/>
        </w:rPr>
      </w:pPr>
      <w:r>
        <w:rPr>
          <w:color w:val="auto"/>
          <w:sz w:val="24"/>
          <w:szCs w:val="20"/>
        </w:rPr>
        <w:t>法定代表人（单位负责人）（签字</w:t>
      </w:r>
      <w:r>
        <w:rPr>
          <w:rFonts w:hint="eastAsia" w:ascii="宋体" w:hAnsi="宋体"/>
          <w:color w:val="auto"/>
          <w:sz w:val="24"/>
          <w:szCs w:val="20"/>
        </w:rPr>
        <w:t>、签章</w:t>
      </w:r>
      <w:r>
        <w:rPr>
          <w:color w:val="auto"/>
          <w:sz w:val="24"/>
          <w:szCs w:val="20"/>
        </w:rPr>
        <w:t>或印鉴）：</w:t>
      </w:r>
      <w:r>
        <w:rPr>
          <w:color w:val="auto"/>
          <w:sz w:val="24"/>
          <w:lang w:val="zh-CN"/>
        </w:rPr>
        <w:t>________________</w:t>
      </w:r>
    </w:p>
    <w:p w14:paraId="52FB8158">
      <w:pPr>
        <w:autoSpaceDE w:val="0"/>
        <w:autoSpaceDN w:val="0"/>
        <w:adjustRightInd w:val="0"/>
        <w:snapToGrid w:val="0"/>
        <w:spacing w:line="360" w:lineRule="auto"/>
        <w:rPr>
          <w:color w:val="auto"/>
          <w:sz w:val="24"/>
          <w:lang w:val="zh-CN"/>
        </w:rPr>
      </w:pPr>
      <w:r>
        <w:rPr>
          <w:color w:val="auto"/>
          <w:sz w:val="24"/>
        </w:rPr>
        <w:t>委托代理人（签字）：</w:t>
      </w:r>
      <w:r>
        <w:rPr>
          <w:color w:val="auto"/>
          <w:sz w:val="24"/>
          <w:lang w:val="zh-CN"/>
        </w:rPr>
        <w:t>________________</w:t>
      </w:r>
      <w:r>
        <w:rPr>
          <w:color w:val="auto"/>
          <w:sz w:val="24"/>
        </w:rPr>
        <w:t xml:space="preserve">    </w:t>
      </w:r>
      <w:r>
        <w:rPr>
          <w:color w:val="auto"/>
          <w:sz w:val="24"/>
          <w:lang w:val="zh-CN"/>
        </w:rPr>
        <w:t xml:space="preserve">                      </w:t>
      </w:r>
    </w:p>
    <w:p w14:paraId="2B26A6F4">
      <w:pPr>
        <w:autoSpaceDE w:val="0"/>
        <w:autoSpaceDN w:val="0"/>
        <w:adjustRightInd w:val="0"/>
        <w:snapToGrid w:val="0"/>
        <w:spacing w:line="360" w:lineRule="auto"/>
        <w:rPr>
          <w:color w:val="auto"/>
          <w:sz w:val="24"/>
          <w:lang w:val="zh-CN"/>
        </w:rPr>
      </w:pPr>
      <w:r>
        <w:rPr>
          <w:color w:val="auto"/>
          <w:sz w:val="24"/>
        </w:rPr>
        <w:t>日期：_____年______月______日</w:t>
      </w:r>
    </w:p>
    <w:p w14:paraId="67BA7613">
      <w:pPr>
        <w:tabs>
          <w:tab w:val="left" w:pos="5580"/>
        </w:tabs>
        <w:spacing w:line="360" w:lineRule="auto"/>
        <w:ind w:firstLine="480" w:firstLineChars="200"/>
        <w:rPr>
          <w:color w:val="auto"/>
          <w:sz w:val="24"/>
          <w:szCs w:val="20"/>
        </w:rPr>
      </w:pPr>
    </w:p>
    <w:p w14:paraId="4C37CA67">
      <w:pPr>
        <w:tabs>
          <w:tab w:val="left" w:pos="5580"/>
        </w:tabs>
        <w:spacing w:line="360" w:lineRule="auto"/>
        <w:jc w:val="left"/>
        <w:rPr>
          <w:color w:val="auto"/>
          <w:sz w:val="24"/>
          <w:szCs w:val="20"/>
        </w:rPr>
      </w:pPr>
      <w:r>
        <w:rPr>
          <w:color w:val="auto"/>
          <w:sz w:val="24"/>
          <w:szCs w:val="20"/>
        </w:rPr>
        <w:t>法定代表人（单位负责人）有效期内的身份证</w:t>
      </w:r>
      <w:r>
        <w:rPr>
          <w:b/>
          <w:color w:val="auto"/>
          <w:sz w:val="24"/>
          <w:szCs w:val="20"/>
        </w:rPr>
        <w:t>正反面</w:t>
      </w:r>
      <w:r>
        <w:rPr>
          <w:rFonts w:hint="eastAsia"/>
          <w:b/>
          <w:color w:val="auto"/>
          <w:sz w:val="24"/>
          <w:szCs w:val="20"/>
        </w:rPr>
        <w:t>复印</w:t>
      </w:r>
      <w:r>
        <w:rPr>
          <w:color w:val="auto"/>
          <w:sz w:val="24"/>
          <w:szCs w:val="20"/>
        </w:rPr>
        <w:t>件：</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3329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19D7022">
            <w:pPr>
              <w:tabs>
                <w:tab w:val="left" w:pos="5580"/>
              </w:tabs>
              <w:spacing w:line="360" w:lineRule="auto"/>
              <w:jc w:val="left"/>
              <w:rPr>
                <w:color w:val="auto"/>
                <w:sz w:val="24"/>
                <w:szCs w:val="20"/>
              </w:rPr>
            </w:pPr>
          </w:p>
          <w:p w14:paraId="38ACC672">
            <w:pPr>
              <w:tabs>
                <w:tab w:val="left" w:pos="5580"/>
              </w:tabs>
              <w:spacing w:line="360" w:lineRule="auto"/>
              <w:jc w:val="left"/>
              <w:rPr>
                <w:color w:val="auto"/>
                <w:sz w:val="24"/>
                <w:szCs w:val="20"/>
              </w:rPr>
            </w:pPr>
          </w:p>
          <w:p w14:paraId="6E44EB21">
            <w:pPr>
              <w:tabs>
                <w:tab w:val="left" w:pos="5580"/>
              </w:tabs>
              <w:spacing w:line="360" w:lineRule="auto"/>
              <w:jc w:val="left"/>
              <w:rPr>
                <w:color w:val="auto"/>
                <w:sz w:val="24"/>
                <w:szCs w:val="20"/>
              </w:rPr>
            </w:pPr>
          </w:p>
        </w:tc>
        <w:tc>
          <w:tcPr>
            <w:tcW w:w="4536" w:type="dxa"/>
          </w:tcPr>
          <w:p w14:paraId="47562181">
            <w:pPr>
              <w:tabs>
                <w:tab w:val="left" w:pos="5580"/>
              </w:tabs>
              <w:spacing w:line="360" w:lineRule="auto"/>
              <w:jc w:val="left"/>
              <w:rPr>
                <w:color w:val="auto"/>
                <w:sz w:val="24"/>
                <w:szCs w:val="20"/>
              </w:rPr>
            </w:pPr>
          </w:p>
          <w:p w14:paraId="61B4CF9A">
            <w:pPr>
              <w:tabs>
                <w:tab w:val="left" w:pos="5580"/>
              </w:tabs>
              <w:spacing w:line="360" w:lineRule="auto"/>
              <w:jc w:val="left"/>
              <w:rPr>
                <w:color w:val="auto"/>
                <w:sz w:val="24"/>
                <w:szCs w:val="20"/>
              </w:rPr>
            </w:pPr>
          </w:p>
          <w:p w14:paraId="0996439C">
            <w:pPr>
              <w:tabs>
                <w:tab w:val="left" w:pos="5580"/>
              </w:tabs>
              <w:spacing w:line="360" w:lineRule="auto"/>
              <w:jc w:val="left"/>
              <w:rPr>
                <w:color w:val="auto"/>
                <w:sz w:val="24"/>
                <w:szCs w:val="20"/>
              </w:rPr>
            </w:pPr>
          </w:p>
        </w:tc>
      </w:tr>
    </w:tbl>
    <w:p w14:paraId="7D4555DC">
      <w:pPr>
        <w:tabs>
          <w:tab w:val="left" w:pos="5580"/>
        </w:tabs>
        <w:spacing w:line="360" w:lineRule="auto"/>
        <w:jc w:val="left"/>
        <w:rPr>
          <w:color w:val="auto"/>
          <w:sz w:val="24"/>
          <w:szCs w:val="20"/>
        </w:rPr>
      </w:pPr>
      <w:r>
        <w:rPr>
          <w:color w:val="auto"/>
          <w:sz w:val="24"/>
          <w:szCs w:val="20"/>
        </w:rPr>
        <w:t>委托代理人有效期内的身份证</w:t>
      </w:r>
      <w:r>
        <w:rPr>
          <w:b/>
          <w:color w:val="auto"/>
          <w:sz w:val="24"/>
          <w:szCs w:val="20"/>
        </w:rPr>
        <w:t>正反面</w:t>
      </w:r>
      <w:r>
        <w:rPr>
          <w:rFonts w:hint="eastAsia"/>
          <w:b/>
          <w:color w:val="auto"/>
          <w:sz w:val="24"/>
          <w:szCs w:val="20"/>
        </w:rPr>
        <w:t>复印</w:t>
      </w:r>
      <w:r>
        <w:rPr>
          <w:color w:val="auto"/>
          <w:sz w:val="24"/>
          <w:szCs w:val="20"/>
        </w:rPr>
        <w:t>件：</w:t>
      </w: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F00F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099130F3">
            <w:pPr>
              <w:tabs>
                <w:tab w:val="left" w:pos="5580"/>
              </w:tabs>
              <w:spacing w:line="360" w:lineRule="auto"/>
              <w:jc w:val="left"/>
              <w:rPr>
                <w:color w:val="auto"/>
                <w:sz w:val="24"/>
                <w:szCs w:val="20"/>
              </w:rPr>
            </w:pPr>
          </w:p>
          <w:p w14:paraId="44536C61">
            <w:pPr>
              <w:tabs>
                <w:tab w:val="left" w:pos="5580"/>
              </w:tabs>
              <w:spacing w:line="360" w:lineRule="auto"/>
              <w:jc w:val="left"/>
              <w:rPr>
                <w:color w:val="auto"/>
                <w:sz w:val="24"/>
                <w:szCs w:val="20"/>
              </w:rPr>
            </w:pPr>
          </w:p>
          <w:p w14:paraId="4B8E4240">
            <w:pPr>
              <w:tabs>
                <w:tab w:val="left" w:pos="5580"/>
              </w:tabs>
              <w:spacing w:line="360" w:lineRule="auto"/>
              <w:jc w:val="left"/>
              <w:rPr>
                <w:color w:val="auto"/>
                <w:sz w:val="24"/>
                <w:szCs w:val="20"/>
              </w:rPr>
            </w:pPr>
          </w:p>
        </w:tc>
        <w:tc>
          <w:tcPr>
            <w:tcW w:w="4536" w:type="dxa"/>
          </w:tcPr>
          <w:p w14:paraId="16AE2A76">
            <w:pPr>
              <w:tabs>
                <w:tab w:val="left" w:pos="5580"/>
              </w:tabs>
              <w:spacing w:line="360" w:lineRule="auto"/>
              <w:jc w:val="left"/>
              <w:rPr>
                <w:color w:val="auto"/>
                <w:sz w:val="24"/>
                <w:szCs w:val="20"/>
              </w:rPr>
            </w:pPr>
          </w:p>
          <w:p w14:paraId="497F344F">
            <w:pPr>
              <w:tabs>
                <w:tab w:val="left" w:pos="5580"/>
              </w:tabs>
              <w:spacing w:line="360" w:lineRule="auto"/>
              <w:jc w:val="left"/>
              <w:rPr>
                <w:color w:val="auto"/>
                <w:sz w:val="24"/>
                <w:szCs w:val="20"/>
              </w:rPr>
            </w:pPr>
          </w:p>
          <w:p w14:paraId="3E69E33C">
            <w:pPr>
              <w:tabs>
                <w:tab w:val="left" w:pos="5580"/>
              </w:tabs>
              <w:spacing w:line="360" w:lineRule="auto"/>
              <w:jc w:val="left"/>
              <w:rPr>
                <w:color w:val="auto"/>
                <w:sz w:val="24"/>
                <w:szCs w:val="20"/>
              </w:rPr>
            </w:pPr>
          </w:p>
        </w:tc>
      </w:tr>
    </w:tbl>
    <w:p w14:paraId="2D9B98D3">
      <w:pPr>
        <w:tabs>
          <w:tab w:val="left" w:pos="5580"/>
        </w:tabs>
        <w:spacing w:line="360" w:lineRule="auto"/>
        <w:jc w:val="left"/>
        <w:rPr>
          <w:color w:val="auto"/>
          <w:sz w:val="24"/>
          <w:szCs w:val="20"/>
        </w:rPr>
      </w:pPr>
      <w:r>
        <w:rPr>
          <w:color w:val="auto"/>
          <w:sz w:val="24"/>
          <w:szCs w:val="20"/>
        </w:rPr>
        <w:t>说明：</w:t>
      </w:r>
    </w:p>
    <w:p w14:paraId="2E35FD4E">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1.若供应商为事业单位或其他组织或分支机构（仅当磋商文件注明允许分支机构响应的），则法定代表人（单位负责人）处的签署人可为单位负责人。</w:t>
      </w:r>
    </w:p>
    <w:p w14:paraId="464D3FF5">
      <w:pPr>
        <w:tabs>
          <w:tab w:val="left" w:pos="5580"/>
        </w:tabs>
        <w:spacing w:line="360" w:lineRule="auto"/>
        <w:jc w:val="left"/>
        <w:rPr>
          <w:rFonts w:ascii="宋体" w:hAnsi="宋体" w:cs="宋体"/>
          <w:color w:val="auto"/>
          <w:sz w:val="24"/>
          <w:szCs w:val="20"/>
        </w:rPr>
      </w:pPr>
      <w:r>
        <w:rPr>
          <w:rFonts w:hint="eastAsia" w:ascii="宋体" w:hAnsi="宋体" w:cs="宋体"/>
          <w:color w:val="auto"/>
          <w:sz w:val="24"/>
          <w:szCs w:val="20"/>
        </w:rPr>
        <w:t>2.若响应文件中签字之处均为法定代表人（单位负责人）本人签署，则可不提供本《授权委托书》，但须提供《法定代表人（单位负责人）身份证明》（</w:t>
      </w:r>
      <w:r>
        <w:rPr>
          <w:rFonts w:hint="eastAsia" w:ascii="宋体" w:hAnsi="宋体" w:cs="宋体"/>
          <w:b/>
          <w:bCs/>
          <w:color w:val="auto"/>
          <w:sz w:val="24"/>
          <w:szCs w:val="20"/>
        </w:rPr>
        <w:t>实质性格式</w:t>
      </w:r>
      <w:r>
        <w:rPr>
          <w:rFonts w:hint="eastAsia" w:ascii="宋体" w:hAnsi="宋体" w:cs="宋体"/>
          <w:color w:val="auto"/>
          <w:sz w:val="24"/>
          <w:szCs w:val="20"/>
        </w:rPr>
        <w:t>）。</w:t>
      </w:r>
    </w:p>
    <w:p w14:paraId="6EF80271">
      <w:pPr>
        <w:tabs>
          <w:tab w:val="left" w:pos="5580"/>
        </w:tabs>
        <w:spacing w:line="360" w:lineRule="auto"/>
        <w:jc w:val="left"/>
        <w:rPr>
          <w:rFonts w:ascii="宋体" w:hAnsi="宋体" w:cs="宋体"/>
          <w:color w:val="auto"/>
          <w:sz w:val="24"/>
          <w:szCs w:val="20"/>
        </w:rPr>
      </w:pPr>
    </w:p>
    <w:p w14:paraId="1BB79A35">
      <w:pPr>
        <w:tabs>
          <w:tab w:val="left" w:pos="5580"/>
        </w:tabs>
        <w:spacing w:line="360" w:lineRule="auto"/>
        <w:jc w:val="left"/>
        <w:rPr>
          <w:rFonts w:ascii="宋体" w:hAnsi="宋体" w:cs="宋体"/>
          <w:color w:val="auto"/>
          <w:sz w:val="24"/>
          <w:szCs w:val="20"/>
        </w:rPr>
      </w:pPr>
    </w:p>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14:paraId="249CB8C4">
      <w:pPr>
        <w:spacing w:line="360" w:lineRule="auto"/>
        <w:rPr>
          <w:color w:val="auto"/>
          <w:sz w:val="24"/>
        </w:rPr>
        <w:sectPr>
          <w:headerReference r:id="rId4" w:type="first"/>
          <w:footerReference r:id="rId6" w:type="first"/>
          <w:headerReference r:id="rId3" w:type="even"/>
          <w:footerReference r:id="rId5" w:type="even"/>
          <w:pgSz w:w="11905" w:h="16838"/>
          <w:pgMar w:top="1474" w:right="1474" w:bottom="1474" w:left="1474" w:header="850" w:footer="850" w:gutter="0"/>
          <w:cols w:space="720" w:num="1"/>
          <w:docGrid w:linePitch="462" w:charSpace="0"/>
        </w:sectPr>
      </w:pPr>
      <w:bookmarkStart w:id="71" w:name="_Toc30556"/>
      <w:bookmarkStart w:id="72" w:name="_Toc73951641"/>
      <w:bookmarkStart w:id="73" w:name="_Toc5907"/>
      <w:bookmarkStart w:id="74" w:name="_Toc10861"/>
      <w:bookmarkStart w:id="75" w:name="_Toc74755037"/>
      <w:bookmarkStart w:id="76" w:name="_Toc9133"/>
      <w:bookmarkStart w:id="77" w:name="_Toc164608672"/>
      <w:bookmarkStart w:id="78" w:name="_Toc164608827"/>
      <w:bookmarkStart w:id="79" w:name="_Toc226965748"/>
      <w:bookmarkStart w:id="80" w:name="_Toc226309802"/>
      <w:bookmarkStart w:id="81" w:name="_Toc226965831"/>
      <w:bookmarkStart w:id="82" w:name="_Toc195842923"/>
      <w:bookmarkStart w:id="83" w:name="_Toc264969248"/>
      <w:bookmarkStart w:id="84" w:name="_Toc305158826"/>
      <w:bookmarkStart w:id="85" w:name="_Toc265228396"/>
      <w:bookmarkStart w:id="86" w:name="_Toc305158900"/>
      <w:bookmarkStart w:id="87" w:name="_Toc226337254"/>
    </w:p>
    <w:p w14:paraId="7E9F8537">
      <w:pPr>
        <w:keepNext/>
        <w:keepLines/>
        <w:widowControl w:val="0"/>
        <w:autoSpaceDE w:val="0"/>
        <w:autoSpaceDN w:val="0"/>
        <w:adjustRightInd w:val="0"/>
        <w:spacing w:before="120" w:line="300" w:lineRule="auto"/>
        <w:jc w:val="center"/>
        <w:outlineLvl w:val="1"/>
        <w:rPr>
          <w:rFonts w:ascii="Arial" w:hAnsi="Arial" w:eastAsia="宋体" w:cs="Times New Roman"/>
          <w:b/>
          <w:color w:val="auto"/>
          <w:kern w:val="0"/>
          <w:sz w:val="24"/>
          <w:szCs w:val="20"/>
          <w:lang w:val="en-US" w:eastAsia="zh-CN" w:bidi="ar-SA"/>
        </w:rPr>
      </w:pPr>
      <w:bookmarkStart w:id="88" w:name="_Toc454115046"/>
      <w:bookmarkStart w:id="89" w:name="_Toc19556"/>
      <w:bookmarkStart w:id="90" w:name="_Toc17751"/>
      <w:bookmarkStart w:id="91" w:name="_Toc16857"/>
      <w:bookmarkStart w:id="92" w:name="_Toc15653"/>
      <w:bookmarkStart w:id="93" w:name="_Toc25310"/>
      <w:bookmarkStart w:id="94" w:name="_Toc14851"/>
      <w:bookmarkStart w:id="95" w:name="_Toc17066"/>
      <w:bookmarkStart w:id="96" w:name="_Toc18768"/>
      <w:bookmarkStart w:id="97" w:name="_Toc11050"/>
      <w:bookmarkStart w:id="98" w:name="_Toc26694"/>
      <w:r>
        <w:rPr>
          <w:rFonts w:hint="eastAsia" w:ascii="宋体" w:hAnsi="宋体" w:eastAsia="宋体" w:cs="宋体"/>
          <w:b/>
          <w:color w:val="auto"/>
          <w:kern w:val="0"/>
          <w:sz w:val="32"/>
          <w:szCs w:val="32"/>
          <w:lang w:val="en-US" w:eastAsia="zh-CN" w:bidi="ar-SA"/>
        </w:rPr>
        <w:t>四、</w:t>
      </w:r>
      <w:bookmarkEnd w:id="88"/>
      <w:bookmarkEnd w:id="89"/>
      <w:bookmarkEnd w:id="90"/>
      <w:bookmarkEnd w:id="91"/>
      <w:bookmarkEnd w:id="92"/>
      <w:bookmarkEnd w:id="93"/>
      <w:bookmarkEnd w:id="94"/>
      <w:bookmarkEnd w:id="95"/>
      <w:bookmarkStart w:id="99" w:name="_Toc24455"/>
      <w:bookmarkStart w:id="100" w:name="_Toc3606"/>
      <w:r>
        <w:rPr>
          <w:rFonts w:hint="eastAsia" w:ascii="宋体" w:hAnsi="宋体" w:eastAsia="宋体" w:cs="宋体"/>
          <w:b/>
          <w:color w:val="auto"/>
          <w:kern w:val="2"/>
          <w:sz w:val="32"/>
          <w:szCs w:val="32"/>
          <w:lang w:val="en-US" w:eastAsia="zh-CN" w:bidi="ar-SA"/>
        </w:rPr>
        <w:t>中小企业</w:t>
      </w:r>
      <w:bookmarkEnd w:id="99"/>
      <w:bookmarkEnd w:id="100"/>
      <w:r>
        <w:rPr>
          <w:rFonts w:hint="eastAsia" w:ascii="宋体" w:hAnsi="宋体" w:eastAsia="宋体" w:cs="宋体"/>
          <w:b/>
          <w:color w:val="auto"/>
          <w:kern w:val="2"/>
          <w:sz w:val="32"/>
          <w:szCs w:val="32"/>
          <w:lang w:val="en-US" w:eastAsia="zh-CN" w:bidi="ar-SA"/>
        </w:rPr>
        <w:t>证明文件</w:t>
      </w:r>
      <w:bookmarkEnd w:id="96"/>
      <w:bookmarkEnd w:id="97"/>
    </w:p>
    <w:p w14:paraId="56187EDA">
      <w:pPr>
        <w:tabs>
          <w:tab w:val="left" w:pos="5580"/>
        </w:tabs>
        <w:spacing w:line="360" w:lineRule="auto"/>
        <w:rPr>
          <w:color w:val="auto"/>
          <w:sz w:val="24"/>
        </w:rPr>
      </w:pPr>
    </w:p>
    <w:p w14:paraId="30812377">
      <w:pPr>
        <w:tabs>
          <w:tab w:val="left" w:pos="5580"/>
        </w:tabs>
        <w:spacing w:line="360" w:lineRule="auto"/>
        <w:rPr>
          <w:color w:val="auto"/>
          <w:sz w:val="24"/>
        </w:rPr>
      </w:pPr>
      <w:r>
        <w:rPr>
          <w:color w:val="auto"/>
          <w:sz w:val="24"/>
        </w:rPr>
        <w:t>说明：</w:t>
      </w:r>
    </w:p>
    <w:p w14:paraId="227A0472">
      <w:pPr>
        <w:tabs>
          <w:tab w:val="left" w:pos="5580"/>
        </w:tabs>
        <w:spacing w:line="360" w:lineRule="auto"/>
        <w:ind w:firstLine="480" w:firstLineChars="200"/>
        <w:rPr>
          <w:rFonts w:ascii="宋体" w:hAnsi="宋体" w:cs="宋体"/>
          <w:color w:val="auto"/>
          <w:sz w:val="24"/>
        </w:rPr>
      </w:pPr>
      <w:r>
        <w:rPr>
          <w:rFonts w:hint="eastAsia" w:ascii="宋体" w:hAnsi="宋体" w:cs="宋体"/>
          <w:color w:val="auto"/>
          <w:sz w:val="24"/>
        </w:rPr>
        <w:t>1.本项目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30345458">
      <w:pPr>
        <w:tabs>
          <w:tab w:val="left" w:pos="5580"/>
        </w:tabs>
        <w:spacing w:line="360" w:lineRule="auto"/>
        <w:ind w:firstLine="480" w:firstLineChars="200"/>
        <w:rPr>
          <w:rFonts w:ascii="宋体" w:hAnsi="宋体" w:cs="宋体"/>
          <w:color w:val="auto"/>
          <w:sz w:val="24"/>
        </w:rPr>
      </w:pPr>
      <w:r>
        <w:rPr>
          <w:rFonts w:hint="eastAsia" w:ascii="宋体" w:hAnsi="宋体" w:cs="宋体"/>
          <w:color w:val="auto"/>
          <w:sz w:val="24"/>
        </w:rPr>
        <w:t>2.中小企业声明函填写注意事项</w:t>
      </w:r>
    </w:p>
    <w:p w14:paraId="6002F478">
      <w:pPr>
        <w:tabs>
          <w:tab w:val="left" w:pos="5580"/>
        </w:tabs>
        <w:spacing w:line="360" w:lineRule="auto"/>
        <w:ind w:firstLine="480" w:firstLineChars="200"/>
        <w:rPr>
          <w:rFonts w:ascii="宋体" w:hAnsi="宋体" w:cs="宋体"/>
          <w:color w:val="auto"/>
          <w:sz w:val="24"/>
        </w:rPr>
      </w:pPr>
      <w:r>
        <w:rPr>
          <w:rFonts w:hint="eastAsia" w:ascii="宋体" w:hAnsi="宋体" w:cs="宋体"/>
          <w:color w:val="auto"/>
          <w:sz w:val="24"/>
        </w:rPr>
        <w:t>1）《中小企业声明函》由参加政府采购活动的供应商出具。</w:t>
      </w:r>
    </w:p>
    <w:p w14:paraId="2E10642F">
      <w:pPr>
        <w:tabs>
          <w:tab w:val="left" w:pos="5580"/>
        </w:tabs>
        <w:spacing w:line="360" w:lineRule="auto"/>
        <w:ind w:firstLine="480" w:firstLineChars="200"/>
        <w:rPr>
          <w:rFonts w:ascii="宋体" w:hAnsi="宋体" w:cs="宋体"/>
          <w:color w:val="auto"/>
          <w:sz w:val="24"/>
        </w:rPr>
      </w:pPr>
      <w:r>
        <w:rPr>
          <w:rFonts w:hint="eastAsia" w:ascii="宋体" w:hAnsi="宋体" w:cs="宋体"/>
          <w:color w:val="auto"/>
          <w:sz w:val="24"/>
        </w:rPr>
        <w:t>2）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55A8A4C3">
      <w:pPr>
        <w:spacing w:line="480" w:lineRule="auto"/>
        <w:rPr>
          <w:rFonts w:ascii="宋体" w:hAnsi="宋体" w:cs="宋体"/>
          <w:b/>
          <w:bCs/>
          <w:color w:val="auto"/>
          <w:sz w:val="24"/>
        </w:rPr>
      </w:pPr>
    </w:p>
    <w:p w14:paraId="0A772B33">
      <w:pPr>
        <w:spacing w:line="480" w:lineRule="auto"/>
        <w:rPr>
          <w:rFonts w:ascii="宋体" w:hAnsi="宋体" w:cs="宋体"/>
          <w:b/>
          <w:bCs/>
          <w:color w:val="auto"/>
          <w:sz w:val="24"/>
        </w:rPr>
      </w:pPr>
    </w:p>
    <w:p w14:paraId="6976BEA6">
      <w:pPr>
        <w:spacing w:line="480" w:lineRule="auto"/>
        <w:rPr>
          <w:rFonts w:ascii="宋体" w:hAnsi="宋体" w:cs="宋体"/>
          <w:b/>
          <w:bCs/>
          <w:color w:val="auto"/>
          <w:sz w:val="24"/>
        </w:rPr>
      </w:pPr>
    </w:p>
    <w:p w14:paraId="1096F7BC">
      <w:pPr>
        <w:spacing w:line="480" w:lineRule="auto"/>
        <w:rPr>
          <w:rFonts w:ascii="宋体" w:hAnsi="宋体" w:cs="宋体"/>
          <w:b/>
          <w:bCs/>
          <w:color w:val="auto"/>
          <w:sz w:val="24"/>
        </w:rPr>
      </w:pPr>
    </w:p>
    <w:p w14:paraId="1C6417BE">
      <w:pPr>
        <w:spacing w:line="480" w:lineRule="auto"/>
        <w:rPr>
          <w:rFonts w:ascii="宋体" w:hAnsi="宋体" w:cs="宋体"/>
          <w:b/>
          <w:bCs/>
          <w:color w:val="auto"/>
          <w:sz w:val="24"/>
        </w:rPr>
      </w:pPr>
    </w:p>
    <w:p w14:paraId="1EC63086">
      <w:pPr>
        <w:spacing w:line="480" w:lineRule="auto"/>
        <w:rPr>
          <w:rFonts w:ascii="宋体" w:hAnsi="宋体" w:cs="宋体"/>
          <w:b/>
          <w:bCs/>
          <w:color w:val="auto"/>
          <w:sz w:val="24"/>
        </w:rPr>
      </w:pPr>
    </w:p>
    <w:p w14:paraId="62300E4C">
      <w:pPr>
        <w:spacing w:line="480" w:lineRule="auto"/>
        <w:rPr>
          <w:rFonts w:ascii="宋体" w:hAnsi="宋体" w:cs="宋体"/>
          <w:b/>
          <w:bCs/>
          <w:color w:val="auto"/>
          <w:sz w:val="24"/>
        </w:rPr>
      </w:pPr>
    </w:p>
    <w:p w14:paraId="5851AC55">
      <w:pPr>
        <w:spacing w:line="480" w:lineRule="auto"/>
        <w:rPr>
          <w:rFonts w:ascii="宋体" w:hAnsi="宋体" w:cs="宋体"/>
          <w:b/>
          <w:bCs/>
          <w:color w:val="auto"/>
          <w:sz w:val="24"/>
        </w:rPr>
      </w:pPr>
    </w:p>
    <w:p w14:paraId="1A68C10A">
      <w:pPr>
        <w:spacing w:line="480" w:lineRule="auto"/>
        <w:rPr>
          <w:rFonts w:ascii="宋体" w:hAnsi="宋体" w:cs="宋体"/>
          <w:b/>
          <w:bCs/>
          <w:color w:val="auto"/>
          <w:sz w:val="24"/>
        </w:rPr>
      </w:pPr>
    </w:p>
    <w:p w14:paraId="5C2340A6">
      <w:pPr>
        <w:spacing w:line="480" w:lineRule="auto"/>
        <w:rPr>
          <w:rFonts w:ascii="宋体" w:hAnsi="宋体" w:cs="宋体"/>
          <w:b/>
          <w:bCs/>
          <w:color w:val="auto"/>
          <w:sz w:val="24"/>
        </w:rPr>
      </w:pPr>
    </w:p>
    <w:p w14:paraId="7A7A7600">
      <w:pPr>
        <w:spacing w:line="480" w:lineRule="auto"/>
        <w:jc w:val="center"/>
        <w:rPr>
          <w:rFonts w:ascii="宋体" w:hAnsi="宋体" w:cs="宋体"/>
          <w:b/>
          <w:bCs/>
          <w:color w:val="auto"/>
          <w:sz w:val="30"/>
          <w:szCs w:val="30"/>
        </w:rPr>
      </w:pPr>
      <w:r>
        <w:rPr>
          <w:rFonts w:hint="eastAsia" w:ascii="宋体" w:hAnsi="宋体" w:cs="宋体"/>
          <w:b/>
          <w:bCs/>
          <w:color w:val="auto"/>
          <w:sz w:val="30"/>
          <w:szCs w:val="30"/>
        </w:rPr>
        <w:t>4-1中小企业声明函</w:t>
      </w:r>
    </w:p>
    <w:p w14:paraId="32026724">
      <w:pPr>
        <w:autoSpaceDE w:val="0"/>
        <w:autoSpaceDN w:val="0"/>
        <w:spacing w:line="360" w:lineRule="auto"/>
        <w:ind w:right="139" w:firstLine="480" w:firstLineChars="200"/>
        <w:rPr>
          <w:color w:val="auto"/>
          <w:kern w:val="0"/>
          <w:sz w:val="24"/>
        </w:rPr>
      </w:pPr>
      <w:r>
        <w:rPr>
          <w:color w:val="auto"/>
          <w:kern w:val="0"/>
          <w:sz w:val="24"/>
        </w:rPr>
        <w:t>本公司郑重声明，根据《政府采购促进中小企业发展管理办法》（财库﹝2020﹞46号）的规定，本公司参加</w:t>
      </w:r>
      <w:r>
        <w:rPr>
          <w:color w:val="auto"/>
          <w:kern w:val="0"/>
          <w:sz w:val="24"/>
          <w:u w:val="single"/>
        </w:rPr>
        <w:t>（单位名称）</w:t>
      </w:r>
      <w:r>
        <w:rPr>
          <w:color w:val="auto"/>
          <w:kern w:val="0"/>
          <w:sz w:val="24"/>
        </w:rPr>
        <w:t>的</w:t>
      </w:r>
      <w:r>
        <w:rPr>
          <w:color w:val="auto"/>
          <w:kern w:val="0"/>
          <w:sz w:val="24"/>
          <w:u w:val="single"/>
        </w:rPr>
        <w:t>（项目名称</w:t>
      </w:r>
      <w:r>
        <w:rPr>
          <w:rFonts w:hint="eastAsia" w:ascii="Times New Roman" w:eastAsia="宋体"/>
          <w:color w:val="auto"/>
          <w:kern w:val="0"/>
          <w:sz w:val="24"/>
          <w:u w:val="single"/>
          <w:lang w:val="en-US" w:eastAsia="zh-CN"/>
        </w:rPr>
        <w:t>/包号</w:t>
      </w:r>
      <w:r>
        <w:rPr>
          <w:color w:val="auto"/>
          <w:kern w:val="0"/>
          <w:sz w:val="24"/>
          <w:u w:val="single"/>
        </w:rPr>
        <w:t>）</w:t>
      </w:r>
      <w:r>
        <w:rPr>
          <w:color w:val="auto"/>
          <w:kern w:val="0"/>
          <w:sz w:val="24"/>
        </w:rPr>
        <w:t>采购活动，</w:t>
      </w:r>
      <w:r>
        <w:rPr>
          <w:rFonts w:hint="eastAsia"/>
          <w:color w:val="auto"/>
          <w:kern w:val="0"/>
          <w:sz w:val="24"/>
        </w:rPr>
        <w:t>提供的货物（含软件）全部由符合政策要求的中小企业制造。</w:t>
      </w:r>
      <w:r>
        <w:rPr>
          <w:rFonts w:eastAsia="宋体"/>
          <w:color w:val="auto"/>
          <w:spacing w:val="6"/>
          <w:sz w:val="24"/>
        </w:rPr>
        <w:t>相关企业的具体情况如下：</w:t>
      </w:r>
    </w:p>
    <w:p w14:paraId="656121E2">
      <w:pPr>
        <w:tabs>
          <w:tab w:val="left" w:pos="1183"/>
          <w:tab w:val="left" w:pos="1484"/>
          <w:tab w:val="left" w:pos="4662"/>
          <w:tab w:val="left" w:pos="6903"/>
        </w:tabs>
        <w:autoSpaceDE w:val="0"/>
        <w:autoSpaceDN w:val="0"/>
        <w:spacing w:line="360" w:lineRule="auto"/>
        <w:ind w:right="169" w:firstLine="480" w:firstLineChars="200"/>
        <w:rPr>
          <w:color w:val="auto"/>
          <w:kern w:val="0"/>
          <w:sz w:val="24"/>
        </w:rPr>
      </w:pPr>
      <w:r>
        <w:rPr>
          <w:color w:val="auto"/>
          <w:kern w:val="0"/>
          <w:sz w:val="24"/>
          <w:u w:val="single" w:color="000000"/>
        </w:rPr>
        <w:t>（标的名称）</w:t>
      </w:r>
      <w:r>
        <w:rPr>
          <w:color w:val="auto"/>
          <w:kern w:val="0"/>
          <w:sz w:val="24"/>
        </w:rPr>
        <w:t>，属于（</w:t>
      </w:r>
      <w:r>
        <w:rPr>
          <w:color w:val="auto"/>
          <w:kern w:val="0"/>
          <w:sz w:val="24"/>
          <w:u w:val="single" w:color="000000"/>
        </w:rPr>
        <w:t>采购文件中明确的所属行业）行业</w:t>
      </w:r>
      <w:r>
        <w:rPr>
          <w:color w:val="auto"/>
          <w:kern w:val="0"/>
          <w:sz w:val="24"/>
        </w:rPr>
        <w:t>；</w:t>
      </w:r>
      <w:r>
        <w:rPr>
          <w:rFonts w:hint="eastAsia"/>
          <w:color w:val="auto"/>
          <w:kern w:val="0"/>
          <w:sz w:val="24"/>
        </w:rPr>
        <w:t>制造商</w:t>
      </w:r>
      <w:r>
        <w:rPr>
          <w:color w:val="auto"/>
          <w:kern w:val="0"/>
          <w:sz w:val="24"/>
        </w:rPr>
        <w:t>为</w:t>
      </w:r>
      <w:r>
        <w:rPr>
          <w:color w:val="auto"/>
          <w:kern w:val="0"/>
          <w:sz w:val="24"/>
          <w:u w:val="single" w:color="000000"/>
        </w:rPr>
        <w:t>（企业名称）</w:t>
      </w:r>
      <w:r>
        <w:rPr>
          <w:color w:val="auto"/>
          <w:kern w:val="0"/>
          <w:sz w:val="24"/>
        </w:rPr>
        <w:t>，</w:t>
      </w:r>
      <w:r>
        <w:rPr>
          <w:rFonts w:hint="eastAsia"/>
          <w:color w:val="auto"/>
          <w:kern w:val="0"/>
          <w:sz w:val="24"/>
        </w:rPr>
        <w:t>从业人员______人，营业收入为______万元，资产总额为______万元</w:t>
      </w:r>
      <w:r>
        <w:rPr>
          <w:rFonts w:hint="eastAsia"/>
          <w:color w:val="auto"/>
          <w:kern w:val="0"/>
          <w:sz w:val="24"/>
          <w:vertAlign w:val="superscript"/>
        </w:rPr>
        <w:t>1</w:t>
      </w:r>
      <w:r>
        <w:rPr>
          <w:color w:val="auto"/>
          <w:kern w:val="0"/>
          <w:sz w:val="24"/>
        </w:rPr>
        <w:t>，属于</w:t>
      </w:r>
      <w:r>
        <w:rPr>
          <w:color w:val="auto"/>
          <w:kern w:val="0"/>
          <w:sz w:val="24"/>
          <w:u w:val="single" w:color="000000"/>
        </w:rPr>
        <w:t>（中型企业、小型企业、微型企业）</w:t>
      </w:r>
      <w:r>
        <w:rPr>
          <w:color w:val="auto"/>
          <w:kern w:val="0"/>
          <w:sz w:val="24"/>
        </w:rPr>
        <w:t>；</w:t>
      </w:r>
    </w:p>
    <w:p w14:paraId="641167D4">
      <w:pPr>
        <w:tabs>
          <w:tab w:val="left" w:pos="1183"/>
          <w:tab w:val="left" w:pos="1484"/>
          <w:tab w:val="left" w:pos="4662"/>
          <w:tab w:val="left" w:pos="6903"/>
        </w:tabs>
        <w:autoSpaceDE w:val="0"/>
        <w:autoSpaceDN w:val="0"/>
        <w:spacing w:line="360" w:lineRule="auto"/>
        <w:ind w:right="169" w:firstLine="480" w:firstLineChars="200"/>
        <w:rPr>
          <w:color w:val="auto"/>
          <w:kern w:val="0"/>
          <w:sz w:val="24"/>
        </w:rPr>
      </w:pPr>
      <w:r>
        <w:rPr>
          <w:rFonts w:ascii="宋体"/>
          <w:color w:val="auto"/>
          <w:kern w:val="0"/>
          <w:sz w:val="24"/>
          <w:u w:val="single" w:color="000000"/>
        </w:rPr>
        <w:t>（标的名称）</w:t>
      </w:r>
      <w:r>
        <w:rPr>
          <w:rFonts w:ascii="宋体"/>
          <w:color w:val="auto"/>
          <w:kern w:val="0"/>
          <w:sz w:val="24"/>
        </w:rPr>
        <w:t>，属于（</w:t>
      </w:r>
      <w:r>
        <w:rPr>
          <w:rFonts w:ascii="宋体"/>
          <w:color w:val="auto"/>
          <w:kern w:val="0"/>
          <w:sz w:val="24"/>
          <w:u w:val="single" w:color="000000"/>
        </w:rPr>
        <w:t>采购文件中明确的所属行业）行业</w:t>
      </w:r>
      <w:r>
        <w:rPr>
          <w:rFonts w:ascii="宋体"/>
          <w:color w:val="auto"/>
          <w:kern w:val="0"/>
          <w:sz w:val="24"/>
        </w:rPr>
        <w:t>；制造商为</w:t>
      </w:r>
      <w:r>
        <w:rPr>
          <w:rFonts w:ascii="宋体"/>
          <w:color w:val="auto"/>
          <w:kern w:val="0"/>
          <w:sz w:val="24"/>
          <w:u w:val="single" w:color="000000"/>
        </w:rPr>
        <w:t>（企业名称）</w:t>
      </w:r>
      <w:r>
        <w:rPr>
          <w:rFonts w:ascii="宋体"/>
          <w:color w:val="auto"/>
          <w:kern w:val="0"/>
          <w:sz w:val="24"/>
        </w:rPr>
        <w:t>，从业人员______人，营业收入为______万元，资产总额为______万元</w:t>
      </w:r>
      <w:r>
        <w:rPr>
          <w:rFonts w:ascii="宋体"/>
          <w:color w:val="auto"/>
          <w:kern w:val="0"/>
          <w:sz w:val="24"/>
          <w:vertAlign w:val="superscript"/>
        </w:rPr>
        <w:t>1</w:t>
      </w:r>
      <w:r>
        <w:rPr>
          <w:rFonts w:ascii="宋体"/>
          <w:color w:val="auto"/>
          <w:kern w:val="0"/>
          <w:sz w:val="24"/>
        </w:rPr>
        <w:t>，属于</w:t>
      </w:r>
      <w:r>
        <w:rPr>
          <w:rFonts w:ascii="宋体"/>
          <w:color w:val="auto"/>
          <w:kern w:val="0"/>
          <w:sz w:val="24"/>
          <w:u w:val="single" w:color="000000"/>
        </w:rPr>
        <w:t>（中型企业、小型企业、微型企业）</w:t>
      </w:r>
      <w:r>
        <w:rPr>
          <w:rFonts w:ascii="宋体"/>
          <w:color w:val="auto"/>
          <w:kern w:val="0"/>
          <w:sz w:val="24"/>
        </w:rPr>
        <w:t>；</w:t>
      </w:r>
    </w:p>
    <w:p w14:paraId="349FACB2">
      <w:pPr>
        <w:tabs>
          <w:tab w:val="left" w:pos="1183"/>
          <w:tab w:val="left" w:pos="1484"/>
          <w:tab w:val="left" w:pos="4662"/>
          <w:tab w:val="left" w:pos="6903"/>
        </w:tabs>
        <w:autoSpaceDE w:val="0"/>
        <w:autoSpaceDN w:val="0"/>
        <w:spacing w:line="360" w:lineRule="auto"/>
        <w:ind w:right="169" w:firstLine="480" w:firstLineChars="200"/>
        <w:rPr>
          <w:color w:val="auto"/>
          <w:kern w:val="0"/>
          <w:sz w:val="24"/>
        </w:rPr>
      </w:pPr>
      <w:r>
        <w:rPr>
          <w:rFonts w:hint="eastAsia"/>
          <w:color w:val="auto"/>
          <w:kern w:val="0"/>
          <w:sz w:val="24"/>
        </w:rPr>
        <w:t>……</w:t>
      </w:r>
    </w:p>
    <w:p w14:paraId="0FE1D434">
      <w:pPr>
        <w:autoSpaceDE w:val="0"/>
        <w:autoSpaceDN w:val="0"/>
        <w:spacing w:line="360" w:lineRule="auto"/>
        <w:ind w:left="220" w:right="417" w:firstLine="645"/>
        <w:rPr>
          <w:color w:val="auto"/>
          <w:kern w:val="0"/>
          <w:sz w:val="24"/>
        </w:rPr>
      </w:pPr>
      <w:r>
        <w:rPr>
          <w:color w:val="auto"/>
          <w:kern w:val="0"/>
          <w:sz w:val="24"/>
        </w:rPr>
        <w:t>以上企业，不属于大企业的分支机构，不存在控股股东为大企业的情形，也不存在与大企业的负责人为同一人的情形。</w:t>
      </w:r>
    </w:p>
    <w:p w14:paraId="170EAFC8">
      <w:pPr>
        <w:autoSpaceDE w:val="0"/>
        <w:autoSpaceDN w:val="0"/>
        <w:spacing w:line="360" w:lineRule="auto"/>
        <w:ind w:left="220" w:right="372" w:firstLine="645"/>
        <w:rPr>
          <w:color w:val="auto"/>
          <w:kern w:val="0"/>
          <w:sz w:val="24"/>
        </w:rPr>
      </w:pPr>
      <w:r>
        <w:rPr>
          <w:color w:val="auto"/>
          <w:kern w:val="0"/>
          <w:sz w:val="24"/>
        </w:rPr>
        <w:t>本企业对上述声明内容的真实性负责。如有虚假，将依法承担相应责任。</w:t>
      </w:r>
    </w:p>
    <w:p w14:paraId="6617BD1A">
      <w:pPr>
        <w:adjustRightInd w:val="0"/>
        <w:snapToGrid w:val="0"/>
        <w:jc w:val="left"/>
        <w:rPr>
          <w:color w:val="auto"/>
          <w:sz w:val="24"/>
          <w:szCs w:val="21"/>
        </w:rPr>
      </w:pPr>
    </w:p>
    <w:p w14:paraId="66AB75C0">
      <w:pPr>
        <w:spacing w:line="360" w:lineRule="auto"/>
        <w:ind w:right="360" w:firstLine="480"/>
        <w:jc w:val="center"/>
        <w:rPr>
          <w:color w:val="auto"/>
          <w:sz w:val="24"/>
        </w:rPr>
      </w:pPr>
      <w:r>
        <w:rPr>
          <w:rFonts w:hint="eastAsia"/>
          <w:color w:val="auto"/>
          <w:sz w:val="24"/>
        </w:rPr>
        <w:t xml:space="preserve">           </w:t>
      </w:r>
      <w:r>
        <w:rPr>
          <w:color w:val="auto"/>
          <w:sz w:val="24"/>
        </w:rPr>
        <w:t>企业名称（盖章）：______</w:t>
      </w:r>
    </w:p>
    <w:p w14:paraId="3FC41DEA">
      <w:pPr>
        <w:spacing w:line="360" w:lineRule="auto"/>
        <w:ind w:right="360" w:firstLine="480"/>
        <w:jc w:val="center"/>
        <w:rPr>
          <w:color w:val="auto"/>
          <w:sz w:val="24"/>
        </w:rPr>
      </w:pPr>
      <w:r>
        <w:rPr>
          <w:color w:val="auto"/>
          <w:sz w:val="24"/>
        </w:rPr>
        <w:t>日 期：______</w:t>
      </w:r>
    </w:p>
    <w:p w14:paraId="126142CA">
      <w:pPr>
        <w:adjustRightInd w:val="0"/>
        <w:snapToGrid w:val="0"/>
        <w:jc w:val="left"/>
        <w:rPr>
          <w:color w:val="auto"/>
          <w:sz w:val="24"/>
          <w:szCs w:val="21"/>
        </w:rPr>
      </w:pPr>
    </w:p>
    <w:p w14:paraId="77E134B0">
      <w:pPr>
        <w:adjustRightInd w:val="0"/>
        <w:snapToGrid w:val="0"/>
        <w:jc w:val="left"/>
        <w:rPr>
          <w:color w:val="auto"/>
          <w:sz w:val="24"/>
          <w:szCs w:val="21"/>
        </w:rPr>
      </w:pPr>
    </w:p>
    <w:p w14:paraId="0245A72B">
      <w:pPr>
        <w:adjustRightInd w:val="0"/>
        <w:snapToGrid w:val="0"/>
        <w:jc w:val="left"/>
        <w:rPr>
          <w:color w:val="auto"/>
          <w:sz w:val="24"/>
          <w:szCs w:val="21"/>
        </w:rPr>
      </w:pPr>
    </w:p>
    <w:p w14:paraId="02AF33B2">
      <w:pPr>
        <w:adjustRightInd w:val="0"/>
        <w:snapToGrid w:val="0"/>
        <w:jc w:val="left"/>
        <w:rPr>
          <w:color w:val="auto"/>
          <w:sz w:val="24"/>
          <w:szCs w:val="21"/>
        </w:rPr>
      </w:pPr>
    </w:p>
    <w:p w14:paraId="68C77340">
      <w:pPr>
        <w:adjustRightInd w:val="0"/>
        <w:snapToGrid w:val="0"/>
        <w:jc w:val="left"/>
        <w:rPr>
          <w:color w:val="auto"/>
          <w:sz w:val="24"/>
          <w:szCs w:val="21"/>
        </w:rPr>
      </w:pPr>
    </w:p>
    <w:p w14:paraId="3C6D4D6F">
      <w:pPr>
        <w:adjustRightInd w:val="0"/>
        <w:snapToGrid w:val="0"/>
        <w:jc w:val="left"/>
        <w:rPr>
          <w:color w:val="auto"/>
          <w:sz w:val="24"/>
          <w:szCs w:val="21"/>
        </w:rPr>
      </w:pPr>
    </w:p>
    <w:tbl>
      <w:tblPr>
        <w:tblStyle w:val="1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2A4B8D2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59B206FB">
            <w:pPr>
              <w:adjustRightInd w:val="0"/>
              <w:snapToGrid w:val="0"/>
              <w:jc w:val="left"/>
              <w:rPr>
                <w:color w:val="auto"/>
                <w:szCs w:val="21"/>
              </w:rPr>
            </w:pPr>
            <w:r>
              <w:rPr>
                <w:color w:val="auto"/>
                <w:szCs w:val="21"/>
                <w:vertAlign w:val="superscript"/>
              </w:rPr>
              <w:t>1</w:t>
            </w:r>
            <w:r>
              <w:rPr>
                <w:color w:val="auto"/>
                <w:szCs w:val="21"/>
              </w:rPr>
              <w:t>从业人员</w:t>
            </w:r>
            <w:r>
              <w:rPr>
                <w:rFonts w:hint="eastAsia"/>
                <w:color w:val="auto"/>
                <w:szCs w:val="21"/>
              </w:rPr>
              <w:t>、营业收入、资产总额</w:t>
            </w:r>
            <w:r>
              <w:rPr>
                <w:color w:val="auto"/>
                <w:szCs w:val="21"/>
              </w:rPr>
              <w:t>填报上一年度数据，无上一年度数据的新成立企业可不填报。</w:t>
            </w:r>
          </w:p>
        </w:tc>
      </w:tr>
    </w:tbl>
    <w:p w14:paraId="06F93262">
      <w:pPr>
        <w:adjustRightInd w:val="0"/>
        <w:snapToGrid w:val="0"/>
        <w:jc w:val="left"/>
        <w:rPr>
          <w:color w:val="auto"/>
          <w:szCs w:val="21"/>
          <w:vertAlign w:val="superscript"/>
        </w:rPr>
      </w:pPr>
    </w:p>
    <w:p w14:paraId="67D15C10">
      <w:pPr>
        <w:adjustRightInd w:val="0"/>
        <w:snapToGrid w:val="0"/>
        <w:jc w:val="left"/>
        <w:rPr>
          <w:color w:val="auto"/>
          <w:szCs w:val="21"/>
          <w:vertAlign w:val="superscript"/>
        </w:rPr>
      </w:pPr>
    </w:p>
    <w:p w14:paraId="4D413119">
      <w:pPr>
        <w:spacing w:line="360" w:lineRule="auto"/>
        <w:ind w:right="360" w:firstLine="480"/>
        <w:jc w:val="right"/>
        <w:rPr>
          <w:color w:val="auto"/>
          <w:sz w:val="24"/>
        </w:rPr>
      </w:pPr>
    </w:p>
    <w:p w14:paraId="7FD9255A">
      <w:pPr>
        <w:spacing w:line="360" w:lineRule="auto"/>
        <w:ind w:right="360" w:firstLine="480"/>
        <w:jc w:val="right"/>
        <w:rPr>
          <w:color w:val="auto"/>
          <w:sz w:val="24"/>
        </w:rPr>
      </w:pPr>
    </w:p>
    <w:p w14:paraId="2FA3B5F6">
      <w:pPr>
        <w:spacing w:line="360" w:lineRule="auto"/>
        <w:ind w:right="360" w:firstLine="480"/>
        <w:jc w:val="right"/>
        <w:rPr>
          <w:color w:val="auto"/>
          <w:sz w:val="24"/>
        </w:rPr>
      </w:pPr>
    </w:p>
    <w:p w14:paraId="247B138C">
      <w:pPr>
        <w:spacing w:line="360" w:lineRule="auto"/>
        <w:ind w:right="360" w:firstLine="480"/>
        <w:jc w:val="right"/>
        <w:rPr>
          <w:color w:val="auto"/>
          <w:sz w:val="24"/>
        </w:rPr>
      </w:pPr>
    </w:p>
    <w:p w14:paraId="4B811344">
      <w:pPr>
        <w:spacing w:line="360" w:lineRule="auto"/>
        <w:ind w:right="360" w:firstLine="480"/>
        <w:jc w:val="right"/>
        <w:rPr>
          <w:color w:val="auto"/>
          <w:sz w:val="24"/>
        </w:rPr>
      </w:pPr>
    </w:p>
    <w:p w14:paraId="2FE0C8F5">
      <w:pPr>
        <w:spacing w:line="360" w:lineRule="auto"/>
        <w:ind w:right="360" w:firstLine="480"/>
        <w:jc w:val="right"/>
        <w:rPr>
          <w:color w:val="auto"/>
          <w:sz w:val="24"/>
        </w:rPr>
      </w:pPr>
    </w:p>
    <w:p w14:paraId="33D0CFE1">
      <w:pPr>
        <w:spacing w:line="360" w:lineRule="auto"/>
        <w:ind w:right="360" w:firstLine="480"/>
        <w:jc w:val="right"/>
        <w:rPr>
          <w:color w:val="auto"/>
          <w:sz w:val="24"/>
        </w:rPr>
      </w:pPr>
    </w:p>
    <w:p w14:paraId="0295263D">
      <w:pPr>
        <w:spacing w:line="360" w:lineRule="auto"/>
        <w:ind w:right="360"/>
        <w:rPr>
          <w:color w:val="auto"/>
          <w:sz w:val="24"/>
        </w:rPr>
      </w:pPr>
    </w:p>
    <w:p w14:paraId="210FE525">
      <w:pPr>
        <w:spacing w:before="120" w:beforeLines="50" w:after="120" w:afterLines="50" w:line="360" w:lineRule="auto"/>
        <w:jc w:val="center"/>
        <w:rPr>
          <w:color w:val="auto"/>
          <w:sz w:val="24"/>
          <w:szCs w:val="20"/>
        </w:rPr>
      </w:pPr>
      <w:r>
        <w:rPr>
          <w:rFonts w:hint="eastAsia" w:ascii="宋体" w:hAnsi="宋体" w:cs="宋体"/>
          <w:b/>
          <w:bCs/>
          <w:color w:val="auto"/>
          <w:sz w:val="30"/>
          <w:szCs w:val="30"/>
        </w:rPr>
        <w:t>4-2残疾人福利性单位声明函格式</w:t>
      </w:r>
    </w:p>
    <w:p w14:paraId="31651D09">
      <w:pPr>
        <w:spacing w:line="360" w:lineRule="auto"/>
        <w:ind w:firstLine="480" w:firstLineChars="200"/>
        <w:rPr>
          <w:color w:val="auto"/>
          <w:sz w:val="24"/>
          <w:szCs w:val="20"/>
        </w:rPr>
      </w:pPr>
      <w:r>
        <w:rPr>
          <w:rFonts w:hint="eastAsia"/>
          <w:color w:val="auto"/>
          <w:sz w:val="24"/>
          <w:szCs w:val="20"/>
        </w:rPr>
        <w:t>本单位郑重声明，根据《财政部 民政部 中国残疾人联合会关于促进残疾人就业政府采购政策的通知》（财库〔2017〕141号）的规定，本单位（请进行勾选）：</w:t>
      </w:r>
    </w:p>
    <w:p w14:paraId="40E2FB9C">
      <w:pPr>
        <w:spacing w:line="360" w:lineRule="auto"/>
        <w:ind w:firstLine="482" w:firstLineChars="200"/>
        <w:rPr>
          <w:b/>
          <w:bCs/>
          <w:color w:val="auto"/>
          <w:sz w:val="24"/>
          <w:szCs w:val="20"/>
        </w:rPr>
      </w:pPr>
      <w:r>
        <w:rPr>
          <w:rFonts w:hint="eastAsia"/>
          <w:b/>
          <w:bCs/>
          <w:color w:val="auto"/>
          <w:sz w:val="24"/>
          <w:szCs w:val="20"/>
        </w:rPr>
        <w:t>□不属于符合条件的残疾人福利性单位。</w:t>
      </w:r>
    </w:p>
    <w:p w14:paraId="4EE04F9D">
      <w:pPr>
        <w:spacing w:line="360" w:lineRule="auto"/>
        <w:ind w:firstLine="482" w:firstLineChars="200"/>
        <w:rPr>
          <w:color w:val="auto"/>
          <w:sz w:val="24"/>
          <w:szCs w:val="20"/>
        </w:rPr>
      </w:pPr>
      <w:r>
        <w:rPr>
          <w:rFonts w:hint="eastAsia"/>
          <w:b/>
          <w:bCs/>
          <w:color w:val="auto"/>
          <w:sz w:val="24"/>
          <w:szCs w:val="20"/>
        </w:rPr>
        <w:t>□属于符合条件的残疾人福利性单位，</w:t>
      </w:r>
      <w:r>
        <w:rPr>
          <w:rFonts w:hint="eastAsia"/>
          <w:color w:val="auto"/>
          <w:sz w:val="24"/>
          <w:szCs w:val="20"/>
        </w:rPr>
        <w:t>且本单位参加______单位的______项目采购活动提供本单位制造的货物（由本单位承担工程/提供服务），或者提供其他残疾人福利性单位制造的货物（不包括使用非残疾人福利性单位注册商标的货物）。</w:t>
      </w:r>
    </w:p>
    <w:p w14:paraId="757AC39F">
      <w:pPr>
        <w:spacing w:line="360" w:lineRule="auto"/>
        <w:ind w:firstLine="482" w:firstLineChars="200"/>
        <w:rPr>
          <w:b/>
          <w:bCs/>
          <w:color w:val="auto"/>
          <w:sz w:val="24"/>
          <w:szCs w:val="20"/>
        </w:rPr>
      </w:pPr>
      <w:r>
        <w:rPr>
          <w:rFonts w:hint="eastAsia"/>
          <w:b/>
          <w:bCs/>
          <w:color w:val="auto"/>
          <w:sz w:val="24"/>
          <w:szCs w:val="20"/>
        </w:rPr>
        <w:t>本单位对上述声明的真实性负责。如有虚假，将依法承担相应责任。</w:t>
      </w:r>
    </w:p>
    <w:p w14:paraId="0E120186">
      <w:pPr>
        <w:spacing w:line="360" w:lineRule="auto"/>
        <w:rPr>
          <w:color w:val="auto"/>
          <w:sz w:val="24"/>
          <w:szCs w:val="20"/>
        </w:rPr>
      </w:pPr>
    </w:p>
    <w:p w14:paraId="14232D18">
      <w:pPr>
        <w:spacing w:line="360" w:lineRule="auto"/>
        <w:rPr>
          <w:color w:val="auto"/>
          <w:sz w:val="24"/>
          <w:szCs w:val="20"/>
        </w:rPr>
      </w:pPr>
    </w:p>
    <w:p w14:paraId="5CC6B795">
      <w:pPr>
        <w:tabs>
          <w:tab w:val="left" w:pos="4860"/>
        </w:tabs>
        <w:spacing w:line="588" w:lineRule="exact"/>
        <w:ind w:right="1560" w:firstLine="480" w:firstLineChars="200"/>
        <w:jc w:val="right"/>
        <w:rPr>
          <w:color w:val="auto"/>
          <w:spacing w:val="6"/>
          <w:sz w:val="24"/>
        </w:rPr>
      </w:pPr>
      <w:r>
        <w:rPr>
          <w:rFonts w:hint="eastAsia"/>
          <w:color w:val="auto"/>
          <w:sz w:val="24"/>
          <w:szCs w:val="20"/>
        </w:rPr>
        <w:t xml:space="preserve">                            </w:t>
      </w:r>
      <w:r>
        <w:rPr>
          <w:color w:val="auto"/>
          <w:spacing w:val="6"/>
          <w:sz w:val="24"/>
        </w:rPr>
        <w:t xml:space="preserve">  单位名称（盖章）：</w:t>
      </w:r>
      <w:r>
        <w:rPr>
          <w:color w:val="auto"/>
          <w:sz w:val="24"/>
        </w:rPr>
        <w:t>______</w:t>
      </w:r>
    </w:p>
    <w:p w14:paraId="6E46068A">
      <w:pPr>
        <w:tabs>
          <w:tab w:val="left" w:pos="4860"/>
        </w:tabs>
        <w:spacing w:line="588" w:lineRule="exact"/>
        <w:ind w:right="1560" w:firstLine="504" w:firstLineChars="200"/>
        <w:jc w:val="right"/>
        <w:rPr>
          <w:color w:val="auto"/>
          <w:sz w:val="24"/>
        </w:rPr>
      </w:pPr>
      <w:r>
        <w:rPr>
          <w:color w:val="auto"/>
          <w:spacing w:val="6"/>
          <w:sz w:val="24"/>
        </w:rPr>
        <w:t xml:space="preserve">       日  期：</w:t>
      </w:r>
      <w:r>
        <w:rPr>
          <w:color w:val="auto"/>
          <w:sz w:val="24"/>
        </w:rPr>
        <w:t>______</w:t>
      </w:r>
    </w:p>
    <w:p w14:paraId="03205A5A">
      <w:pPr>
        <w:spacing w:line="360" w:lineRule="auto"/>
        <w:rPr>
          <w:color w:val="auto"/>
          <w:sz w:val="24"/>
        </w:rPr>
        <w:sectPr>
          <w:headerReference r:id="rId8" w:type="first"/>
          <w:footerReference r:id="rId10" w:type="first"/>
          <w:headerReference r:id="rId7" w:type="even"/>
          <w:footerReference r:id="rId9" w:type="even"/>
          <w:pgSz w:w="11905" w:h="16838"/>
          <w:pgMar w:top="1474" w:right="1474" w:bottom="1474" w:left="1474" w:header="850" w:footer="850" w:gutter="0"/>
          <w:cols w:space="720" w:num="1"/>
          <w:docGrid w:linePitch="462" w:charSpace="0"/>
        </w:sectPr>
      </w:pPr>
    </w:p>
    <w:p w14:paraId="78D044C6">
      <w:pPr>
        <w:widowControl/>
        <w:shd w:val="clear" w:color="auto" w:fill="FFFFFF"/>
        <w:spacing w:before="30" w:beforeAutospacing="0" w:after="30" w:afterAutospacing="0"/>
        <w:jc w:val="center"/>
        <w:outlineLvl w:val="1"/>
        <w:rPr>
          <w:rFonts w:ascii="宋体" w:hAnsi="宋体" w:eastAsia="宋体" w:cs="宋体"/>
          <w:color w:val="auto"/>
          <w:kern w:val="0"/>
          <w:sz w:val="32"/>
          <w:szCs w:val="32"/>
          <w:lang w:val="en-US" w:eastAsia="zh-CN" w:bidi="ar-SA"/>
        </w:rPr>
      </w:pPr>
      <w:bookmarkStart w:id="101" w:name="_Toc20845"/>
      <w:r>
        <w:rPr>
          <w:rFonts w:hint="eastAsia" w:ascii="Times New Roman" w:hAnsi="Times New Roman" w:eastAsia="宋体" w:cs="Times New Roman"/>
          <w:b/>
          <w:bCs/>
          <w:color w:val="auto"/>
          <w:kern w:val="2"/>
          <w:sz w:val="32"/>
          <w:szCs w:val="32"/>
          <w:shd w:val="clear" w:color="auto" w:fill="FFFFFF"/>
          <w:lang w:val="en-US" w:eastAsia="zh-CN" w:bidi="ar-SA"/>
        </w:rPr>
        <w:t>五、关于符合本国产品标准的声明函</w:t>
      </w:r>
      <w:bookmarkEnd w:id="101"/>
    </w:p>
    <w:p w14:paraId="50A4B134">
      <w:pPr>
        <w:widowControl/>
        <w:shd w:val="clear" w:color="auto" w:fill="FFFFFF"/>
        <w:spacing w:before="30" w:beforeAutospacing="0" w:after="30" w:afterAutospacing="0"/>
        <w:ind w:firstLine="420"/>
        <w:jc w:val="left"/>
        <w:rPr>
          <w:rFonts w:ascii="宋体" w:hAnsi="宋体" w:eastAsia="宋体" w:cs="宋体"/>
          <w:color w:val="auto"/>
          <w:kern w:val="0"/>
          <w:sz w:val="24"/>
          <w:szCs w:val="24"/>
          <w:lang w:val="en-US" w:eastAsia="zh-CN" w:bidi="ar-SA"/>
        </w:rPr>
      </w:pPr>
    </w:p>
    <w:p w14:paraId="67B28A7D">
      <w:pPr>
        <w:widowControl/>
        <w:shd w:val="clear" w:color="auto" w:fill="FFFFFF"/>
        <w:spacing w:before="0" w:beforeAutospacing="0" w:after="0" w:afterAutospacing="0" w:line="360" w:lineRule="auto"/>
        <w:ind w:firstLine="480" w:firstLineChars="200"/>
        <w:jc w:val="left"/>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000BF060">
      <w:pPr>
        <w:widowControl/>
        <w:shd w:val="clear" w:color="auto" w:fill="FFFFFF"/>
        <w:spacing w:before="0" w:beforeAutospacing="0" w:after="0" w:afterAutospacing="0" w:line="360" w:lineRule="auto"/>
        <w:ind w:firstLine="480" w:firstLineChars="200"/>
        <w:jc w:val="left"/>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1.</w:t>
      </w:r>
      <w:r>
        <w:rPr>
          <w:rFonts w:hint="eastAsia" w:ascii="Times New Roman" w:hAnsi="Times New Roman" w:eastAsia="宋体" w:cs="Times New Roman"/>
          <w:color w:val="auto"/>
          <w:kern w:val="2"/>
          <w:sz w:val="21"/>
          <w:szCs w:val="24"/>
          <w:u w:val="single"/>
          <w:shd w:val="clear" w:color="auto" w:fill="FFFFFF"/>
          <w:lang w:val="en-US" w:eastAsia="zh-CN" w:bidi="ar-SA"/>
        </w:rPr>
        <w:t>（产品名称1）</w:t>
      </w:r>
      <w:r>
        <w:rPr>
          <w:rFonts w:hint="eastAsia" w:ascii="Times New Roman" w:hAnsi="Times New Roman" w:eastAsia="宋体" w:cs="Times New Roman"/>
          <w:color w:val="auto"/>
          <w:kern w:val="2"/>
          <w:sz w:val="21"/>
          <w:szCs w:val="24"/>
          <w:shd w:val="clear" w:color="auto" w:fill="FFFFFF"/>
          <w:vertAlign w:val="superscript"/>
          <w:lang w:val="en-US" w:eastAsia="zh-CN" w:bidi="ar-SA"/>
        </w:rPr>
        <w:t>1</w:t>
      </w:r>
      <w:r>
        <w:rPr>
          <w:rFonts w:hint="eastAsia" w:ascii="宋体" w:hAnsi="宋体" w:eastAsia="宋体" w:cs="宋体"/>
          <w:color w:val="auto"/>
          <w:kern w:val="0"/>
          <w:sz w:val="24"/>
          <w:szCs w:val="24"/>
          <w:shd w:val="clear" w:color="auto" w:fill="FFFFFF"/>
          <w:lang w:val="en-US" w:eastAsia="zh-CN" w:bidi="ar-SA"/>
        </w:rPr>
        <w:t>，生产厂为</w:t>
      </w:r>
      <w:r>
        <w:rPr>
          <w:rFonts w:hint="eastAsia" w:ascii="Times New Roman" w:hAnsi="Times New Roman" w:eastAsia="宋体" w:cs="Times New Roman"/>
          <w:color w:val="auto"/>
          <w:kern w:val="2"/>
          <w:sz w:val="21"/>
          <w:szCs w:val="24"/>
          <w:u w:val="single"/>
          <w:shd w:val="clear" w:color="auto" w:fill="FFFFFF"/>
          <w:lang w:val="en-US" w:eastAsia="zh-CN" w:bidi="ar-SA"/>
        </w:rPr>
        <w:t>（厂名）</w:t>
      </w:r>
      <w:r>
        <w:rPr>
          <w:rFonts w:hint="eastAsia" w:ascii="Times New Roman" w:hAnsi="Times New Roman" w:eastAsia="宋体" w:cs="Times New Roman"/>
          <w:color w:val="auto"/>
          <w:kern w:val="2"/>
          <w:sz w:val="21"/>
          <w:szCs w:val="24"/>
          <w:shd w:val="clear" w:color="auto" w:fill="FFFFFF"/>
          <w:vertAlign w:val="superscript"/>
          <w:lang w:val="en-US" w:eastAsia="zh-CN" w:bidi="ar-SA"/>
        </w:rPr>
        <w:t>2</w:t>
      </w:r>
      <w:r>
        <w:rPr>
          <w:rFonts w:hint="eastAsia" w:ascii="宋体" w:hAnsi="宋体" w:eastAsia="宋体" w:cs="宋体"/>
          <w:color w:val="auto"/>
          <w:kern w:val="0"/>
          <w:sz w:val="24"/>
          <w:szCs w:val="24"/>
          <w:shd w:val="clear" w:color="auto" w:fill="FFFFFF"/>
          <w:lang w:val="en-US" w:eastAsia="zh-CN" w:bidi="ar-SA"/>
        </w:rPr>
        <w:t>，厂址为</w:t>
      </w:r>
      <w:r>
        <w:rPr>
          <w:rFonts w:hint="eastAsia" w:ascii="Times New Roman" w:hAnsi="Times New Roman" w:eastAsia="宋体" w:cs="Times New Roman"/>
          <w:color w:val="auto"/>
          <w:kern w:val="2"/>
          <w:sz w:val="21"/>
          <w:szCs w:val="24"/>
          <w:u w:val="single"/>
          <w:shd w:val="clear" w:color="auto" w:fill="FFFFFF"/>
          <w:lang w:val="en-US" w:eastAsia="zh-CN" w:bidi="ar-SA"/>
        </w:rPr>
        <w:t>（生产厂址）</w:t>
      </w:r>
      <w:r>
        <w:rPr>
          <w:rFonts w:hint="eastAsia" w:ascii="宋体" w:hAnsi="宋体" w:eastAsia="宋体" w:cs="宋体"/>
          <w:color w:val="auto"/>
          <w:kern w:val="0"/>
          <w:sz w:val="24"/>
          <w:szCs w:val="24"/>
          <w:shd w:val="clear" w:color="auto" w:fill="FFFFFF"/>
          <w:lang w:val="en-US" w:eastAsia="zh-CN" w:bidi="ar-SA"/>
        </w:rPr>
        <w:t>。</w:t>
      </w:r>
      <w:r>
        <w:rPr>
          <w:rFonts w:hint="eastAsia" w:ascii="Times New Roman" w:hAnsi="Times New Roman" w:eastAsia="宋体" w:cs="Times New Roman"/>
          <w:color w:val="auto"/>
          <w:kern w:val="2"/>
          <w:sz w:val="21"/>
          <w:szCs w:val="24"/>
          <w:u w:val="single"/>
          <w:shd w:val="clear" w:color="auto" w:fill="FFFFFF"/>
          <w:lang w:val="en-US" w:eastAsia="zh-CN" w:bidi="ar-SA"/>
        </w:rPr>
        <w:t>（产品名称1）</w:t>
      </w:r>
      <w:r>
        <w:rPr>
          <w:rFonts w:hint="eastAsia" w:ascii="宋体" w:hAnsi="宋体" w:eastAsia="宋体" w:cs="宋体"/>
          <w:color w:val="auto"/>
          <w:kern w:val="0"/>
          <w:sz w:val="24"/>
          <w:szCs w:val="24"/>
          <w:shd w:val="clear" w:color="auto" w:fill="FFFFFF"/>
          <w:lang w:val="en-US" w:eastAsia="zh-CN" w:bidi="ar-SA"/>
        </w:rPr>
        <w:t>的中国境内生产的组件成本占比≥</w:t>
      </w:r>
      <w:r>
        <w:rPr>
          <w:rFonts w:hint="eastAsia" w:ascii="Times New Roman" w:hAnsi="Times New Roman" w:eastAsia="宋体" w:cs="Times New Roman"/>
          <w:color w:val="auto"/>
          <w:kern w:val="2"/>
          <w:sz w:val="21"/>
          <w:szCs w:val="24"/>
          <w:u w:val="single"/>
          <w:shd w:val="clear" w:color="auto" w:fill="FFFFFF"/>
          <w:lang w:val="en-US" w:eastAsia="zh-CN" w:bidi="ar-SA"/>
        </w:rPr>
        <w:t>（规定比例）</w:t>
      </w:r>
      <w:r>
        <w:rPr>
          <w:rFonts w:hint="eastAsia" w:ascii="Times New Roman" w:hAnsi="Times New Roman" w:eastAsia="宋体" w:cs="Times New Roman"/>
          <w:color w:val="auto"/>
          <w:kern w:val="2"/>
          <w:sz w:val="21"/>
          <w:szCs w:val="24"/>
          <w:shd w:val="clear" w:color="auto" w:fill="FFFFFF"/>
          <w:vertAlign w:val="superscript"/>
          <w:lang w:val="en-US" w:eastAsia="zh-CN" w:bidi="ar-SA"/>
        </w:rPr>
        <w:t>3</w:t>
      </w:r>
      <w:r>
        <w:rPr>
          <w:rFonts w:hint="eastAsia" w:ascii="宋体" w:hAnsi="宋体" w:eastAsia="宋体" w:cs="宋体"/>
          <w:color w:val="auto"/>
          <w:kern w:val="0"/>
          <w:sz w:val="24"/>
          <w:szCs w:val="24"/>
          <w:shd w:val="clear" w:color="auto" w:fill="FFFFFF"/>
          <w:lang w:val="en-US" w:eastAsia="zh-CN" w:bidi="ar-SA"/>
        </w:rPr>
        <w:t>。</w:t>
      </w:r>
      <w:r>
        <w:rPr>
          <w:rFonts w:hint="eastAsia" w:ascii="Times New Roman" w:hAnsi="Times New Roman" w:eastAsia="宋体" w:cs="Times New Roman"/>
          <w:color w:val="auto"/>
          <w:kern w:val="2"/>
          <w:sz w:val="21"/>
          <w:szCs w:val="24"/>
          <w:u w:val="single"/>
          <w:shd w:val="clear" w:color="auto" w:fill="FFFFFF"/>
          <w:lang w:val="en-US" w:eastAsia="zh-CN" w:bidi="ar-SA"/>
        </w:rPr>
        <w:t>（产品名称1）</w:t>
      </w:r>
      <w:r>
        <w:rPr>
          <w:rFonts w:hint="eastAsia" w:ascii="宋体" w:hAnsi="宋体" w:eastAsia="宋体" w:cs="宋体"/>
          <w:color w:val="auto"/>
          <w:kern w:val="0"/>
          <w:sz w:val="24"/>
          <w:szCs w:val="24"/>
          <w:shd w:val="clear" w:color="auto" w:fill="FFFFFF"/>
          <w:lang w:val="en-US" w:eastAsia="zh-CN" w:bidi="ar-SA"/>
        </w:rPr>
        <w:t>的</w:t>
      </w:r>
      <w:r>
        <w:rPr>
          <w:rFonts w:hint="eastAsia" w:ascii="Times New Roman" w:hAnsi="Times New Roman" w:eastAsia="宋体" w:cs="Times New Roman"/>
          <w:color w:val="auto"/>
          <w:kern w:val="2"/>
          <w:sz w:val="21"/>
          <w:szCs w:val="24"/>
          <w:u w:val="single"/>
          <w:shd w:val="clear" w:color="auto" w:fill="FFFFFF"/>
          <w:lang w:val="en-US" w:eastAsia="zh-CN" w:bidi="ar-SA"/>
        </w:rPr>
        <w:t>（关键组件）</w:t>
      </w:r>
      <w:r>
        <w:rPr>
          <w:rFonts w:hint="eastAsia" w:ascii="Times New Roman" w:hAnsi="Times New Roman" w:eastAsia="宋体" w:cs="Times New Roman"/>
          <w:color w:val="auto"/>
          <w:kern w:val="2"/>
          <w:sz w:val="21"/>
          <w:szCs w:val="24"/>
          <w:shd w:val="clear" w:color="auto" w:fill="FFFFFF"/>
          <w:vertAlign w:val="superscript"/>
          <w:lang w:val="en-US" w:eastAsia="zh-CN" w:bidi="ar-SA"/>
        </w:rPr>
        <w:t>4</w:t>
      </w:r>
      <w:r>
        <w:rPr>
          <w:rFonts w:hint="eastAsia" w:ascii="宋体" w:hAnsi="宋体" w:eastAsia="宋体" w:cs="宋体"/>
          <w:color w:val="auto"/>
          <w:kern w:val="0"/>
          <w:sz w:val="24"/>
          <w:szCs w:val="24"/>
          <w:shd w:val="clear" w:color="auto" w:fill="FFFFFF"/>
          <w:lang w:val="en-US" w:eastAsia="zh-CN" w:bidi="ar-SA"/>
        </w:rPr>
        <w:t>在中国境内生产。</w:t>
      </w:r>
      <w:r>
        <w:rPr>
          <w:rFonts w:hint="eastAsia" w:ascii="Times New Roman" w:hAnsi="Times New Roman" w:eastAsia="宋体" w:cs="Times New Roman"/>
          <w:color w:val="auto"/>
          <w:kern w:val="2"/>
          <w:sz w:val="21"/>
          <w:szCs w:val="24"/>
          <w:u w:val="single"/>
          <w:shd w:val="clear" w:color="auto" w:fill="FFFFFF"/>
          <w:lang w:val="en-US" w:eastAsia="zh-CN" w:bidi="ar-SA"/>
        </w:rPr>
        <w:t>（产品名称1）</w:t>
      </w:r>
      <w:r>
        <w:rPr>
          <w:rFonts w:hint="eastAsia" w:ascii="宋体" w:hAnsi="宋体" w:eastAsia="宋体" w:cs="宋体"/>
          <w:color w:val="auto"/>
          <w:kern w:val="0"/>
          <w:sz w:val="24"/>
          <w:szCs w:val="24"/>
          <w:shd w:val="clear" w:color="auto" w:fill="FFFFFF"/>
          <w:lang w:val="en-US" w:eastAsia="zh-CN" w:bidi="ar-SA"/>
        </w:rPr>
        <w:t>的</w:t>
      </w:r>
      <w:r>
        <w:rPr>
          <w:rFonts w:hint="eastAsia" w:ascii="Times New Roman" w:hAnsi="Times New Roman" w:eastAsia="宋体" w:cs="Times New Roman"/>
          <w:color w:val="auto"/>
          <w:kern w:val="2"/>
          <w:sz w:val="21"/>
          <w:szCs w:val="24"/>
          <w:u w:val="single"/>
          <w:shd w:val="clear" w:color="auto" w:fill="FFFFFF"/>
          <w:lang w:val="en-US" w:eastAsia="zh-CN" w:bidi="ar-SA"/>
        </w:rPr>
        <w:t>（关键工序）</w:t>
      </w:r>
      <w:r>
        <w:rPr>
          <w:rFonts w:hint="eastAsia" w:ascii="Times New Roman" w:hAnsi="Times New Roman" w:eastAsia="宋体" w:cs="Times New Roman"/>
          <w:color w:val="auto"/>
          <w:kern w:val="2"/>
          <w:sz w:val="21"/>
          <w:szCs w:val="24"/>
          <w:shd w:val="clear" w:color="auto" w:fill="FFFFFF"/>
          <w:vertAlign w:val="superscript"/>
          <w:lang w:val="en-US" w:eastAsia="zh-CN" w:bidi="ar-SA"/>
        </w:rPr>
        <w:t>5</w:t>
      </w:r>
      <w:r>
        <w:rPr>
          <w:rFonts w:hint="eastAsia" w:ascii="宋体" w:hAnsi="宋体" w:eastAsia="宋体" w:cs="宋体"/>
          <w:color w:val="auto"/>
          <w:kern w:val="0"/>
          <w:sz w:val="24"/>
          <w:szCs w:val="24"/>
          <w:shd w:val="clear" w:color="auto" w:fill="FFFFFF"/>
          <w:lang w:val="en-US" w:eastAsia="zh-CN" w:bidi="ar-SA"/>
        </w:rPr>
        <w:t>在中国境内完成。</w:t>
      </w:r>
    </w:p>
    <w:p w14:paraId="3FE551D7">
      <w:pPr>
        <w:widowControl/>
        <w:shd w:val="clear" w:color="auto" w:fill="FFFFFF"/>
        <w:spacing w:before="0" w:beforeAutospacing="0" w:after="0" w:afterAutospacing="0" w:line="360" w:lineRule="auto"/>
        <w:ind w:firstLine="480" w:firstLineChars="200"/>
        <w:jc w:val="left"/>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2.</w:t>
      </w:r>
      <w:r>
        <w:rPr>
          <w:rFonts w:hint="eastAsia" w:ascii="Times New Roman" w:hAnsi="Times New Roman" w:eastAsia="宋体" w:cs="Times New Roman"/>
          <w:color w:val="auto"/>
          <w:kern w:val="2"/>
          <w:sz w:val="21"/>
          <w:szCs w:val="24"/>
          <w:u w:val="single"/>
          <w:shd w:val="clear" w:color="auto" w:fill="FFFFFF"/>
          <w:lang w:val="en-US" w:eastAsia="zh-CN" w:bidi="ar-SA"/>
        </w:rPr>
        <w:t>（产品名称2）</w:t>
      </w:r>
      <w:r>
        <w:rPr>
          <w:rFonts w:hint="eastAsia" w:ascii="宋体" w:hAnsi="宋体" w:eastAsia="宋体" w:cs="宋体"/>
          <w:color w:val="auto"/>
          <w:kern w:val="0"/>
          <w:sz w:val="24"/>
          <w:szCs w:val="24"/>
          <w:shd w:val="clear" w:color="auto" w:fill="FFFFFF"/>
          <w:lang w:val="en-US" w:eastAsia="zh-CN" w:bidi="ar-SA"/>
        </w:rPr>
        <w:t>，生产厂为</w:t>
      </w:r>
      <w:r>
        <w:rPr>
          <w:rFonts w:hint="eastAsia" w:ascii="Times New Roman" w:hAnsi="Times New Roman" w:eastAsia="宋体" w:cs="Times New Roman"/>
          <w:color w:val="auto"/>
          <w:kern w:val="2"/>
          <w:sz w:val="21"/>
          <w:szCs w:val="24"/>
          <w:u w:val="single"/>
          <w:shd w:val="clear" w:color="auto" w:fill="FFFFFF"/>
          <w:lang w:val="en-US" w:eastAsia="zh-CN" w:bidi="ar-SA"/>
        </w:rPr>
        <w:t>（厂名）</w:t>
      </w:r>
      <w:r>
        <w:rPr>
          <w:rFonts w:hint="eastAsia" w:ascii="宋体" w:hAnsi="宋体" w:eastAsia="宋体" w:cs="宋体"/>
          <w:color w:val="auto"/>
          <w:kern w:val="0"/>
          <w:sz w:val="24"/>
          <w:szCs w:val="24"/>
          <w:shd w:val="clear" w:color="auto" w:fill="FFFFFF"/>
          <w:lang w:val="en-US" w:eastAsia="zh-CN" w:bidi="ar-SA"/>
        </w:rPr>
        <w:t>，厂址为</w:t>
      </w:r>
      <w:r>
        <w:rPr>
          <w:rFonts w:hint="eastAsia" w:ascii="Times New Roman" w:hAnsi="Times New Roman" w:eastAsia="宋体" w:cs="Times New Roman"/>
          <w:color w:val="auto"/>
          <w:kern w:val="2"/>
          <w:sz w:val="21"/>
          <w:szCs w:val="24"/>
          <w:u w:val="single"/>
          <w:shd w:val="clear" w:color="auto" w:fill="FFFFFF"/>
          <w:lang w:val="en-US" w:eastAsia="zh-CN" w:bidi="ar-SA"/>
        </w:rPr>
        <w:t>（生产厂址）</w:t>
      </w:r>
      <w:r>
        <w:rPr>
          <w:rFonts w:hint="eastAsia" w:ascii="宋体" w:hAnsi="宋体" w:eastAsia="宋体" w:cs="宋体"/>
          <w:color w:val="auto"/>
          <w:kern w:val="0"/>
          <w:sz w:val="24"/>
          <w:szCs w:val="24"/>
          <w:shd w:val="clear" w:color="auto" w:fill="FFFFFF"/>
          <w:lang w:val="en-US" w:eastAsia="zh-CN" w:bidi="ar-SA"/>
        </w:rPr>
        <w:t>。</w:t>
      </w:r>
      <w:r>
        <w:rPr>
          <w:rFonts w:hint="eastAsia" w:ascii="Times New Roman" w:hAnsi="Times New Roman" w:eastAsia="宋体" w:cs="Times New Roman"/>
          <w:color w:val="auto"/>
          <w:kern w:val="2"/>
          <w:sz w:val="21"/>
          <w:szCs w:val="24"/>
          <w:u w:val="single"/>
          <w:shd w:val="clear" w:color="auto" w:fill="FFFFFF"/>
          <w:lang w:val="en-US" w:eastAsia="zh-CN" w:bidi="ar-SA"/>
        </w:rPr>
        <w:t>（产品名称2）</w:t>
      </w:r>
      <w:r>
        <w:rPr>
          <w:rFonts w:hint="eastAsia" w:ascii="宋体" w:hAnsi="宋体" w:eastAsia="宋体" w:cs="宋体"/>
          <w:color w:val="auto"/>
          <w:kern w:val="0"/>
          <w:sz w:val="24"/>
          <w:szCs w:val="24"/>
          <w:shd w:val="clear" w:color="auto" w:fill="FFFFFF"/>
          <w:lang w:val="en-US" w:eastAsia="zh-CN" w:bidi="ar-SA"/>
        </w:rPr>
        <w:t>的中国境内生产的组件成本占比≥</w:t>
      </w:r>
      <w:r>
        <w:rPr>
          <w:rFonts w:hint="eastAsia" w:ascii="Times New Roman" w:hAnsi="Times New Roman" w:eastAsia="宋体" w:cs="Times New Roman"/>
          <w:color w:val="auto"/>
          <w:kern w:val="2"/>
          <w:sz w:val="21"/>
          <w:szCs w:val="24"/>
          <w:u w:val="single"/>
          <w:shd w:val="clear" w:color="auto" w:fill="FFFFFF"/>
          <w:lang w:val="en-US" w:eastAsia="zh-CN" w:bidi="ar-SA"/>
        </w:rPr>
        <w:t>（规定比例）</w:t>
      </w:r>
      <w:r>
        <w:rPr>
          <w:rFonts w:hint="eastAsia" w:ascii="宋体" w:hAnsi="宋体" w:eastAsia="宋体" w:cs="宋体"/>
          <w:color w:val="auto"/>
          <w:kern w:val="0"/>
          <w:sz w:val="24"/>
          <w:szCs w:val="24"/>
          <w:shd w:val="clear" w:color="auto" w:fill="FFFFFF"/>
          <w:lang w:val="en-US" w:eastAsia="zh-CN" w:bidi="ar-SA"/>
        </w:rPr>
        <w:t>。</w:t>
      </w:r>
      <w:r>
        <w:rPr>
          <w:rFonts w:hint="eastAsia" w:ascii="Times New Roman" w:hAnsi="Times New Roman" w:eastAsia="宋体" w:cs="Times New Roman"/>
          <w:color w:val="auto"/>
          <w:kern w:val="2"/>
          <w:sz w:val="21"/>
          <w:szCs w:val="24"/>
          <w:u w:val="single"/>
          <w:shd w:val="clear" w:color="auto" w:fill="FFFFFF"/>
          <w:lang w:val="en-US" w:eastAsia="zh-CN" w:bidi="ar-SA"/>
        </w:rPr>
        <w:t>（产品名称2）</w:t>
      </w:r>
      <w:r>
        <w:rPr>
          <w:rFonts w:hint="eastAsia" w:ascii="宋体" w:hAnsi="宋体" w:eastAsia="宋体" w:cs="宋体"/>
          <w:color w:val="auto"/>
          <w:kern w:val="0"/>
          <w:sz w:val="24"/>
          <w:szCs w:val="24"/>
          <w:shd w:val="clear" w:color="auto" w:fill="FFFFFF"/>
          <w:lang w:val="en-US" w:eastAsia="zh-CN" w:bidi="ar-SA"/>
        </w:rPr>
        <w:t>的</w:t>
      </w:r>
      <w:r>
        <w:rPr>
          <w:rFonts w:hint="eastAsia" w:ascii="Times New Roman" w:hAnsi="Times New Roman" w:eastAsia="宋体" w:cs="Times New Roman"/>
          <w:color w:val="auto"/>
          <w:kern w:val="2"/>
          <w:sz w:val="21"/>
          <w:szCs w:val="24"/>
          <w:u w:val="single"/>
          <w:shd w:val="clear" w:color="auto" w:fill="FFFFFF"/>
          <w:lang w:val="en-US" w:eastAsia="zh-CN" w:bidi="ar-SA"/>
        </w:rPr>
        <w:t>（关键组件）</w:t>
      </w:r>
      <w:r>
        <w:rPr>
          <w:rFonts w:hint="eastAsia" w:ascii="宋体" w:hAnsi="宋体" w:eastAsia="宋体" w:cs="宋体"/>
          <w:color w:val="auto"/>
          <w:kern w:val="0"/>
          <w:sz w:val="24"/>
          <w:szCs w:val="24"/>
          <w:shd w:val="clear" w:color="auto" w:fill="FFFFFF"/>
          <w:lang w:val="en-US" w:eastAsia="zh-CN" w:bidi="ar-SA"/>
        </w:rPr>
        <w:t>在中国境内生产。</w:t>
      </w:r>
      <w:r>
        <w:rPr>
          <w:rFonts w:hint="eastAsia" w:ascii="Times New Roman" w:hAnsi="Times New Roman" w:eastAsia="宋体" w:cs="Times New Roman"/>
          <w:color w:val="auto"/>
          <w:kern w:val="2"/>
          <w:sz w:val="21"/>
          <w:szCs w:val="24"/>
          <w:u w:val="single"/>
          <w:shd w:val="clear" w:color="auto" w:fill="FFFFFF"/>
          <w:lang w:val="en-US" w:eastAsia="zh-CN" w:bidi="ar-SA"/>
        </w:rPr>
        <w:t>（产品名称2）</w:t>
      </w:r>
      <w:r>
        <w:rPr>
          <w:rFonts w:hint="eastAsia" w:ascii="宋体" w:hAnsi="宋体" w:eastAsia="宋体" w:cs="宋体"/>
          <w:color w:val="auto"/>
          <w:kern w:val="0"/>
          <w:sz w:val="24"/>
          <w:szCs w:val="24"/>
          <w:shd w:val="clear" w:color="auto" w:fill="FFFFFF"/>
          <w:lang w:val="en-US" w:eastAsia="zh-CN" w:bidi="ar-SA"/>
        </w:rPr>
        <w:t>的</w:t>
      </w:r>
      <w:r>
        <w:rPr>
          <w:rFonts w:hint="eastAsia" w:ascii="Times New Roman" w:hAnsi="Times New Roman" w:eastAsia="宋体" w:cs="Times New Roman"/>
          <w:color w:val="auto"/>
          <w:kern w:val="2"/>
          <w:sz w:val="21"/>
          <w:szCs w:val="24"/>
          <w:u w:val="single"/>
          <w:shd w:val="clear" w:color="auto" w:fill="FFFFFF"/>
          <w:lang w:val="en-US" w:eastAsia="zh-CN" w:bidi="ar-SA"/>
        </w:rPr>
        <w:t>（关键工序）</w:t>
      </w:r>
      <w:r>
        <w:rPr>
          <w:rFonts w:hint="eastAsia" w:ascii="宋体" w:hAnsi="宋体" w:eastAsia="宋体" w:cs="宋体"/>
          <w:color w:val="auto"/>
          <w:kern w:val="0"/>
          <w:sz w:val="24"/>
          <w:szCs w:val="24"/>
          <w:shd w:val="clear" w:color="auto" w:fill="FFFFFF"/>
          <w:lang w:val="en-US" w:eastAsia="zh-CN" w:bidi="ar-SA"/>
        </w:rPr>
        <w:t>在中国境内完成。</w:t>
      </w:r>
    </w:p>
    <w:p w14:paraId="127083A4">
      <w:pPr>
        <w:widowControl/>
        <w:shd w:val="clear" w:color="auto" w:fill="FFFFFF"/>
        <w:spacing w:before="0" w:beforeAutospacing="0" w:after="0" w:afterAutospacing="0" w:line="360" w:lineRule="auto"/>
        <w:ind w:firstLine="480" w:firstLineChars="200"/>
        <w:jc w:val="left"/>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w:t>
      </w:r>
    </w:p>
    <w:p w14:paraId="66545133">
      <w:pPr>
        <w:widowControl/>
        <w:shd w:val="clear" w:color="auto" w:fill="FFFFFF"/>
        <w:spacing w:before="0" w:beforeAutospacing="0" w:after="0" w:afterAutospacing="0" w:line="360" w:lineRule="auto"/>
        <w:ind w:firstLine="480" w:firstLineChars="200"/>
        <w:jc w:val="left"/>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本公司（单位）对上述声明内容的真实性负责。如有虚假，愿承担相应法律责任。</w:t>
      </w:r>
    </w:p>
    <w:p w14:paraId="2307DA4E">
      <w:pPr>
        <w:widowControl/>
        <w:shd w:val="clear" w:color="auto" w:fill="FFFFFF"/>
        <w:spacing w:before="0" w:beforeAutospacing="0" w:after="0" w:afterAutospacing="0" w:line="360" w:lineRule="auto"/>
        <w:jc w:val="left"/>
        <w:rPr>
          <w:rFonts w:ascii="宋体" w:hAnsi="宋体" w:eastAsia="宋体" w:cs="宋体"/>
          <w:color w:val="auto"/>
          <w:kern w:val="0"/>
          <w:sz w:val="24"/>
          <w:szCs w:val="24"/>
          <w:lang w:val="en-US" w:eastAsia="zh-CN" w:bidi="ar-SA"/>
        </w:rPr>
      </w:pPr>
    </w:p>
    <w:p w14:paraId="356EF8E3">
      <w:pPr>
        <w:widowControl/>
        <w:shd w:val="clear" w:color="auto" w:fill="FFFFFF"/>
        <w:spacing w:before="0" w:beforeAutospacing="0" w:after="0" w:afterAutospacing="0" w:line="360" w:lineRule="auto"/>
        <w:jc w:val="right"/>
        <w:rPr>
          <w:rFonts w:ascii="宋体" w:hAnsi="宋体" w:eastAsia="宋体" w:cs="宋体"/>
          <w:color w:val="auto"/>
          <w:kern w:val="0"/>
          <w:sz w:val="24"/>
          <w:szCs w:val="24"/>
          <w:shd w:val="clear" w:color="auto" w:fill="FFFFFF"/>
          <w:lang w:val="en-US" w:eastAsia="zh-CN" w:bidi="ar-SA"/>
        </w:rPr>
      </w:pPr>
    </w:p>
    <w:p w14:paraId="45094A8B">
      <w:pPr>
        <w:widowControl/>
        <w:shd w:val="clear" w:color="auto" w:fill="FFFFFF"/>
        <w:spacing w:before="0" w:beforeAutospacing="0" w:after="0" w:afterAutospacing="0" w:line="360" w:lineRule="auto"/>
        <w:jc w:val="right"/>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公司（单位）名称（盖章）：　        </w:t>
      </w:r>
    </w:p>
    <w:p w14:paraId="0416B64F">
      <w:pPr>
        <w:widowControl/>
        <w:shd w:val="clear" w:color="auto" w:fill="FFFFFF"/>
        <w:spacing w:before="0" w:beforeAutospacing="0" w:after="0" w:afterAutospacing="0" w:line="360" w:lineRule="auto"/>
        <w:jc w:val="right"/>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日期：　     年　  月　  日         </w:t>
      </w:r>
    </w:p>
    <w:p w14:paraId="53DD1AC5">
      <w:pPr>
        <w:widowControl/>
        <w:shd w:val="clear" w:color="auto" w:fill="FFFFFF"/>
        <w:spacing w:before="0" w:beforeAutospacing="0" w:after="0" w:afterAutospacing="0" w:line="360" w:lineRule="auto"/>
        <w:jc w:val="left"/>
        <w:rPr>
          <w:rFonts w:ascii="宋体" w:hAnsi="宋体" w:eastAsia="宋体" w:cs="宋体"/>
          <w:color w:val="auto"/>
          <w:kern w:val="0"/>
          <w:sz w:val="24"/>
          <w:szCs w:val="24"/>
          <w:shd w:val="clear" w:color="auto" w:fill="FFFFFF"/>
          <w:lang w:val="en-US" w:eastAsia="zh-CN" w:bidi="ar-SA"/>
        </w:rPr>
      </w:pPr>
    </w:p>
    <w:p w14:paraId="07DD460A">
      <w:pPr>
        <w:widowControl/>
        <w:shd w:val="clear" w:color="auto" w:fill="FFFFFF"/>
        <w:spacing w:before="0" w:beforeAutospacing="0" w:after="0" w:afterAutospacing="0" w:line="360" w:lineRule="auto"/>
        <w:jc w:val="left"/>
        <w:rPr>
          <w:rFonts w:ascii="宋体" w:hAnsi="宋体" w:eastAsia="宋体" w:cs="宋体"/>
          <w:color w:val="auto"/>
          <w:kern w:val="0"/>
          <w:sz w:val="24"/>
          <w:szCs w:val="24"/>
          <w:shd w:val="clear" w:color="auto" w:fill="FFFFFF"/>
          <w:lang w:val="en-US" w:eastAsia="zh-CN" w:bidi="ar-SA"/>
        </w:rPr>
      </w:pPr>
    </w:p>
    <w:p w14:paraId="59EBCE2E">
      <w:pPr>
        <w:spacing w:line="360" w:lineRule="auto"/>
        <w:ind w:left="424" w:leftChars="1" w:hanging="422" w:hangingChars="201"/>
        <w:rPr>
          <w:color w:val="auto"/>
          <w:szCs w:val="21"/>
          <w:shd w:val="clear" w:color="auto" w:fill="FFFFFF"/>
        </w:rPr>
      </w:pPr>
      <w:r>
        <w:rPr>
          <w:rFonts w:hint="eastAsia"/>
          <w:color w:val="auto"/>
          <w:szCs w:val="21"/>
          <w:shd w:val="clear" w:color="auto" w:fill="FFFFFF"/>
        </w:rPr>
        <w:t>注：</w:t>
      </w:r>
      <w:r>
        <w:rPr>
          <w:color w:val="auto"/>
          <w:szCs w:val="21"/>
          <w:shd w:val="clear" w:color="auto" w:fill="FFFFFF"/>
        </w:rPr>
        <w:t>1.</w:t>
      </w:r>
      <w:r>
        <w:rPr>
          <w:rFonts w:hint="eastAsia"/>
          <w:color w:val="auto"/>
          <w:szCs w:val="21"/>
          <w:shd w:val="clear" w:color="auto" w:fill="FFFFFF"/>
        </w:rPr>
        <w:t>产品如有型号，请在</w:t>
      </w:r>
      <w:r>
        <w:rPr>
          <w:color w:val="auto"/>
          <w:szCs w:val="21"/>
          <w:shd w:val="clear" w:color="auto" w:fill="FFFFFF"/>
        </w:rPr>
        <w:t>“</w:t>
      </w:r>
      <w:r>
        <w:rPr>
          <w:rFonts w:hint="eastAsia"/>
          <w:color w:val="auto"/>
          <w:szCs w:val="21"/>
          <w:shd w:val="clear" w:color="auto" w:fill="FFFFFF"/>
        </w:rPr>
        <w:t>产品名称</w:t>
      </w:r>
      <w:r>
        <w:rPr>
          <w:color w:val="auto"/>
          <w:szCs w:val="21"/>
          <w:shd w:val="clear" w:color="auto" w:fill="FFFFFF"/>
        </w:rPr>
        <w:t>”</w:t>
      </w:r>
      <w:r>
        <w:rPr>
          <w:rFonts w:hint="eastAsia"/>
          <w:color w:val="auto"/>
          <w:szCs w:val="21"/>
          <w:shd w:val="clear" w:color="auto" w:fill="FFFFFF"/>
        </w:rPr>
        <w:t>栏一并填写。</w:t>
      </w:r>
    </w:p>
    <w:p w14:paraId="3D12DBB8">
      <w:pPr>
        <w:spacing w:line="360" w:lineRule="auto"/>
        <w:ind w:left="420" w:leftChars="200"/>
        <w:rPr>
          <w:color w:val="auto"/>
          <w:szCs w:val="21"/>
          <w:shd w:val="clear" w:color="auto" w:fill="FFFFFF"/>
        </w:rPr>
      </w:pPr>
      <w:r>
        <w:rPr>
          <w:color w:val="auto"/>
          <w:szCs w:val="21"/>
          <w:shd w:val="clear" w:color="auto" w:fill="FFFFFF"/>
        </w:rPr>
        <w:t>2.</w:t>
      </w:r>
      <w:r>
        <w:rPr>
          <w:rFonts w:hint="eastAsia"/>
          <w:color w:val="auto"/>
          <w:szCs w:val="21"/>
          <w:shd w:val="clear" w:color="auto" w:fill="FFFFFF"/>
        </w:rPr>
        <w:t>生产厂名与厂址应与生产厂营业执照载明的相关信息保持一致。</w:t>
      </w:r>
    </w:p>
    <w:p w14:paraId="4F53D811">
      <w:pPr>
        <w:spacing w:line="360" w:lineRule="auto"/>
        <w:ind w:left="420" w:leftChars="200"/>
        <w:rPr>
          <w:color w:val="auto"/>
          <w:szCs w:val="21"/>
          <w:shd w:val="clear" w:color="auto" w:fill="FFFFFF"/>
        </w:rPr>
      </w:pPr>
      <w:r>
        <w:rPr>
          <w:color w:val="auto"/>
          <w:szCs w:val="21"/>
          <w:shd w:val="clear" w:color="auto" w:fill="FFFFFF"/>
        </w:rPr>
        <w:t>3.</w:t>
      </w:r>
      <w:r>
        <w:rPr>
          <w:rFonts w:hint="eastAsia"/>
          <w:color w:val="auto"/>
          <w:szCs w:val="21"/>
          <w:shd w:val="clear" w:color="auto" w:fill="FFFFFF"/>
        </w:rPr>
        <w:t>该产品的中国境内生产的组件成本占比相关要求实施前，</w:t>
      </w:r>
      <w:r>
        <w:rPr>
          <w:color w:val="auto"/>
          <w:szCs w:val="21"/>
          <w:shd w:val="clear" w:color="auto" w:fill="FFFFFF"/>
        </w:rPr>
        <w:t>“</w:t>
      </w:r>
      <w:r>
        <w:rPr>
          <w:rFonts w:hint="eastAsia"/>
          <w:color w:val="auto"/>
          <w:szCs w:val="21"/>
          <w:shd w:val="clear" w:color="auto" w:fill="FFFFFF"/>
        </w:rPr>
        <w:t>规定比例</w:t>
      </w:r>
      <w:r>
        <w:rPr>
          <w:color w:val="auto"/>
          <w:szCs w:val="21"/>
          <w:shd w:val="clear" w:color="auto" w:fill="FFFFFF"/>
        </w:rPr>
        <w:t>”</w:t>
      </w:r>
      <w:r>
        <w:rPr>
          <w:rFonts w:hint="eastAsia"/>
          <w:color w:val="auto"/>
          <w:szCs w:val="21"/>
          <w:shd w:val="clear" w:color="auto" w:fill="FFFFFF"/>
        </w:rPr>
        <w:t>栏可不填。</w:t>
      </w:r>
    </w:p>
    <w:p w14:paraId="6849FB72">
      <w:pPr>
        <w:spacing w:line="360" w:lineRule="auto"/>
        <w:ind w:left="420" w:leftChars="200"/>
        <w:rPr>
          <w:color w:val="auto"/>
          <w:szCs w:val="21"/>
          <w:shd w:val="clear" w:color="auto" w:fill="FFFFFF"/>
        </w:rPr>
      </w:pPr>
      <w:r>
        <w:rPr>
          <w:color w:val="auto"/>
          <w:szCs w:val="21"/>
          <w:shd w:val="clear" w:color="auto" w:fill="FFFFFF"/>
        </w:rPr>
        <w:t>4.</w:t>
      </w:r>
      <w:r>
        <w:rPr>
          <w:rFonts w:hint="eastAsia"/>
          <w:color w:val="auto"/>
          <w:szCs w:val="21"/>
          <w:shd w:val="clear" w:color="auto" w:fill="FFFFFF"/>
        </w:rPr>
        <w:t>该产品的关键组件要求实施前，</w:t>
      </w:r>
      <w:r>
        <w:rPr>
          <w:color w:val="auto"/>
          <w:szCs w:val="21"/>
          <w:shd w:val="clear" w:color="auto" w:fill="FFFFFF"/>
        </w:rPr>
        <w:t>“</w:t>
      </w:r>
      <w:r>
        <w:rPr>
          <w:rFonts w:hint="eastAsia"/>
          <w:color w:val="auto"/>
          <w:szCs w:val="21"/>
          <w:shd w:val="clear" w:color="auto" w:fill="FFFFFF"/>
        </w:rPr>
        <w:t>关键组件</w:t>
      </w:r>
      <w:r>
        <w:rPr>
          <w:color w:val="auto"/>
          <w:szCs w:val="21"/>
          <w:shd w:val="clear" w:color="auto" w:fill="FFFFFF"/>
        </w:rPr>
        <w:t>”</w:t>
      </w:r>
      <w:r>
        <w:rPr>
          <w:rFonts w:hint="eastAsia"/>
          <w:color w:val="auto"/>
          <w:szCs w:val="21"/>
          <w:shd w:val="clear" w:color="auto" w:fill="FFFFFF"/>
        </w:rPr>
        <w:t>栏可不填。</w:t>
      </w:r>
    </w:p>
    <w:p w14:paraId="5B221C56">
      <w:pPr>
        <w:spacing w:line="360" w:lineRule="auto"/>
        <w:ind w:left="420" w:leftChars="200"/>
        <w:rPr>
          <w:color w:val="auto"/>
          <w:szCs w:val="21"/>
          <w:shd w:val="clear" w:color="auto" w:fill="FFFFFF"/>
        </w:rPr>
      </w:pPr>
      <w:r>
        <w:rPr>
          <w:color w:val="auto"/>
          <w:szCs w:val="21"/>
          <w:shd w:val="clear" w:color="auto" w:fill="FFFFFF"/>
        </w:rPr>
        <w:t>5.</w:t>
      </w:r>
      <w:r>
        <w:rPr>
          <w:rFonts w:hint="eastAsia"/>
          <w:color w:val="auto"/>
          <w:szCs w:val="21"/>
          <w:shd w:val="clear" w:color="auto" w:fill="FFFFFF"/>
        </w:rPr>
        <w:t>该产品的关键工序要求实施前，</w:t>
      </w:r>
      <w:r>
        <w:rPr>
          <w:color w:val="auto"/>
          <w:szCs w:val="21"/>
          <w:shd w:val="clear" w:color="auto" w:fill="FFFFFF"/>
        </w:rPr>
        <w:t>“</w:t>
      </w:r>
      <w:r>
        <w:rPr>
          <w:rFonts w:hint="eastAsia"/>
          <w:color w:val="auto"/>
          <w:szCs w:val="21"/>
          <w:shd w:val="clear" w:color="auto" w:fill="FFFFFF"/>
        </w:rPr>
        <w:t>关键工序</w:t>
      </w:r>
      <w:r>
        <w:rPr>
          <w:color w:val="auto"/>
          <w:szCs w:val="21"/>
          <w:shd w:val="clear" w:color="auto" w:fill="FFFFFF"/>
        </w:rPr>
        <w:t>”</w:t>
      </w:r>
      <w:r>
        <w:rPr>
          <w:rFonts w:hint="eastAsia"/>
          <w:color w:val="auto"/>
          <w:szCs w:val="21"/>
          <w:shd w:val="clear" w:color="auto" w:fill="FFFFFF"/>
        </w:rPr>
        <w:t>栏可不填。</w:t>
      </w:r>
    </w:p>
    <w:p w14:paraId="70CB72DA">
      <w:pPr>
        <w:widowControl/>
        <w:jc w:val="left"/>
        <w:rPr>
          <w:color w:val="auto"/>
          <w:szCs w:val="21"/>
          <w:shd w:val="clear" w:color="auto" w:fill="FFFFFF"/>
        </w:rPr>
      </w:pPr>
      <w:r>
        <w:rPr>
          <w:color w:val="auto"/>
          <w:szCs w:val="21"/>
          <w:shd w:val="clear" w:color="auto" w:fill="FFFFFF"/>
        </w:rPr>
        <w:br w:type="page"/>
      </w:r>
    </w:p>
    <w:p w14:paraId="31077A7A">
      <w:pPr>
        <w:widowControl/>
        <w:shd w:val="clear" w:color="auto" w:fill="FFFFFF"/>
        <w:spacing w:before="30" w:beforeAutospacing="0" w:after="30" w:afterAutospacing="0"/>
        <w:jc w:val="center"/>
        <w:rPr>
          <w:rFonts w:ascii="宋体" w:hAnsi="宋体" w:eastAsia="宋体" w:cs="宋体"/>
          <w:color w:val="auto"/>
          <w:kern w:val="0"/>
          <w:sz w:val="32"/>
          <w:szCs w:val="32"/>
          <w:lang w:val="en-US" w:eastAsia="zh-CN" w:bidi="ar-SA"/>
        </w:rPr>
      </w:pPr>
      <w:r>
        <w:rPr>
          <w:rFonts w:hint="eastAsia" w:ascii="Times New Roman" w:hAnsi="Times New Roman" w:eastAsia="宋体" w:cs="Times New Roman"/>
          <w:b/>
          <w:bCs/>
          <w:color w:val="auto"/>
          <w:kern w:val="2"/>
          <w:sz w:val="32"/>
          <w:szCs w:val="32"/>
          <w:lang w:val="en-US" w:eastAsia="zh-CN" w:bidi="ar-SA"/>
        </w:rPr>
        <w:t>产品成本占比承诺函</w:t>
      </w:r>
    </w:p>
    <w:p w14:paraId="77335F84">
      <w:pPr>
        <w:widowControl/>
        <w:shd w:val="clear" w:color="auto" w:fill="FFFFFF"/>
        <w:spacing w:before="30" w:beforeAutospacing="0" w:after="30" w:afterAutospacing="0"/>
        <w:jc w:val="left"/>
        <w:rPr>
          <w:rFonts w:ascii="宋体" w:hAnsi="宋体" w:eastAsia="宋体" w:cs="宋体"/>
          <w:color w:val="auto"/>
          <w:kern w:val="0"/>
          <w:sz w:val="36"/>
          <w:szCs w:val="36"/>
          <w:lang w:val="en-US" w:eastAsia="zh-CN" w:bidi="ar-SA"/>
        </w:rPr>
      </w:pPr>
    </w:p>
    <w:p w14:paraId="1F061883">
      <w:pPr>
        <w:widowControl/>
        <w:spacing w:line="360" w:lineRule="auto"/>
        <w:ind w:firstLine="480" w:firstLineChars="200"/>
        <w:jc w:val="left"/>
        <w:rPr>
          <w:color w:val="auto"/>
          <w:sz w:val="24"/>
          <w:shd w:val="clear" w:color="auto" w:fill="FFFFFF"/>
        </w:rPr>
      </w:pPr>
      <w:r>
        <w:rPr>
          <w:rFonts w:hint="eastAsia"/>
          <w:color w:val="auto"/>
          <w:sz w:val="24"/>
          <w:shd w:val="clear" w:color="auto" w:fill="FFFFFF"/>
        </w:rPr>
        <w:t>我公司（单位）郑重承诺，我公司已阅读并理解《国务院办公厅关于在政府采购中实施本国产品标准及相关政策的通知》（国办发〔</w:t>
      </w:r>
      <w:r>
        <w:rPr>
          <w:color w:val="auto"/>
          <w:sz w:val="24"/>
          <w:shd w:val="clear" w:color="auto" w:fill="FFFFFF"/>
        </w:rPr>
        <w:t>2025</w:t>
      </w:r>
      <w:r>
        <w:rPr>
          <w:rFonts w:hint="eastAsia"/>
          <w:color w:val="auto"/>
          <w:sz w:val="24"/>
          <w:shd w:val="clear" w:color="auto" w:fill="FFFFFF"/>
        </w:rPr>
        <w:t>〕</w:t>
      </w:r>
      <w:r>
        <w:rPr>
          <w:color w:val="auto"/>
          <w:sz w:val="24"/>
          <w:shd w:val="clear" w:color="auto" w:fill="FFFFFF"/>
        </w:rPr>
        <w:t>34</w:t>
      </w:r>
      <w:r>
        <w:rPr>
          <w:rFonts w:hint="eastAsia"/>
          <w:color w:val="auto"/>
          <w:sz w:val="24"/>
          <w:shd w:val="clear" w:color="auto" w:fill="FFFFFF"/>
        </w:rPr>
        <w:t>号）的规定。据此承诺如下：</w:t>
      </w:r>
    </w:p>
    <w:p w14:paraId="5CCC9B2E">
      <w:pPr>
        <w:widowControl/>
        <w:spacing w:line="360" w:lineRule="auto"/>
        <w:ind w:firstLine="480" w:firstLineChars="200"/>
        <w:jc w:val="left"/>
        <w:rPr>
          <w:color w:val="auto"/>
          <w:spacing w:val="6"/>
          <w:sz w:val="24"/>
        </w:rPr>
      </w:pPr>
      <w:r>
        <w:rPr>
          <w:rFonts w:hint="eastAsia"/>
          <w:color w:val="auto"/>
          <w:sz w:val="24"/>
          <w:shd w:val="clear" w:color="auto" w:fill="FFFFFF"/>
        </w:rPr>
        <w:t>为本采购项目或者采购包提供的符合本国产品标准的产品成本之和占提供的全部产品成本之和的比例为</w:t>
      </w:r>
      <w:r>
        <w:rPr>
          <w:color w:val="auto"/>
          <w:spacing w:val="6"/>
          <w:sz w:val="24"/>
        </w:rPr>
        <w:t>______%</w:t>
      </w:r>
      <w:r>
        <w:rPr>
          <w:rFonts w:hint="eastAsia"/>
          <w:color w:val="auto"/>
          <w:spacing w:val="6"/>
          <w:sz w:val="24"/>
        </w:rPr>
        <w:t>。</w:t>
      </w:r>
    </w:p>
    <w:p w14:paraId="3F6F7E92">
      <w:pPr>
        <w:widowControl/>
        <w:spacing w:line="360" w:lineRule="auto"/>
        <w:ind w:firstLine="480" w:firstLineChars="200"/>
        <w:jc w:val="left"/>
        <w:rPr>
          <w:color w:val="auto"/>
          <w:sz w:val="24"/>
        </w:rPr>
      </w:pPr>
    </w:p>
    <w:p w14:paraId="140EC7B8">
      <w:pPr>
        <w:widowControl/>
        <w:shd w:val="clear" w:color="auto" w:fill="FFFFFF"/>
        <w:spacing w:before="0" w:beforeAutospacing="0" w:after="0" w:afterAutospacing="0" w:line="360" w:lineRule="auto"/>
        <w:jc w:val="right"/>
        <w:rPr>
          <w:rFonts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shd w:val="clear" w:color="auto" w:fill="FFFFFF"/>
          <w:lang w:val="en-US" w:eastAsia="zh-CN" w:bidi="ar-SA"/>
        </w:rPr>
        <w:t>公司（单位）名称（盖章）：　        </w:t>
      </w:r>
    </w:p>
    <w:p w14:paraId="1DA1AE20">
      <w:pPr>
        <w:widowControl/>
        <w:spacing w:line="360" w:lineRule="auto"/>
        <w:ind w:firstLine="480" w:firstLineChars="200"/>
        <w:jc w:val="right"/>
        <w:rPr>
          <w:color w:val="auto"/>
          <w:sz w:val="24"/>
        </w:rPr>
      </w:pPr>
      <w:r>
        <w:rPr>
          <w:rFonts w:hint="eastAsia"/>
          <w:color w:val="auto"/>
          <w:sz w:val="24"/>
          <w:shd w:val="clear" w:color="auto" w:fill="FFFFFF"/>
        </w:rPr>
        <w:t>日期：　     </w:t>
      </w:r>
      <w:r>
        <w:rPr>
          <w:rFonts w:hint="eastAsia" w:ascii="宋体" w:hAnsi="宋体" w:cs="宋体"/>
          <w:color w:val="auto"/>
          <w:sz w:val="24"/>
          <w:shd w:val="clear" w:color="auto" w:fill="FFFFFF"/>
        </w:rPr>
        <w:t>年　</w:t>
      </w:r>
      <w:r>
        <w:rPr>
          <w:rFonts w:hint="eastAsia"/>
          <w:color w:val="auto"/>
          <w:sz w:val="24"/>
          <w:shd w:val="clear" w:color="auto" w:fill="FFFFFF"/>
        </w:rPr>
        <w:t>  </w:t>
      </w:r>
      <w:r>
        <w:rPr>
          <w:rFonts w:hint="eastAsia" w:ascii="宋体" w:hAnsi="宋体" w:cs="宋体"/>
          <w:color w:val="auto"/>
          <w:sz w:val="24"/>
          <w:shd w:val="clear" w:color="auto" w:fill="FFFFFF"/>
        </w:rPr>
        <w:t>月　</w:t>
      </w:r>
      <w:r>
        <w:rPr>
          <w:rFonts w:hint="eastAsia"/>
          <w:color w:val="auto"/>
          <w:sz w:val="24"/>
          <w:shd w:val="clear" w:color="auto" w:fill="FFFFFF"/>
        </w:rPr>
        <w:t>  </w:t>
      </w:r>
      <w:r>
        <w:rPr>
          <w:rFonts w:hint="eastAsia" w:ascii="宋体" w:hAnsi="宋体" w:cs="宋体"/>
          <w:color w:val="auto"/>
          <w:sz w:val="24"/>
          <w:shd w:val="clear" w:color="auto" w:fill="FFFFFF"/>
        </w:rPr>
        <w:t>日</w:t>
      </w:r>
      <w:r>
        <w:rPr>
          <w:rFonts w:hint="eastAsia"/>
          <w:color w:val="auto"/>
          <w:sz w:val="24"/>
          <w:shd w:val="clear" w:color="auto" w:fill="FFFFFF"/>
        </w:rPr>
        <w:t>     </w:t>
      </w:r>
    </w:p>
    <w:p w14:paraId="312DC940">
      <w:pPr>
        <w:widowControl/>
        <w:spacing w:line="360" w:lineRule="auto"/>
        <w:jc w:val="left"/>
        <w:rPr>
          <w:color w:val="auto"/>
          <w:sz w:val="24"/>
        </w:rPr>
      </w:pPr>
    </w:p>
    <w:p w14:paraId="180FEB17">
      <w:pPr>
        <w:widowControl/>
        <w:spacing w:line="360" w:lineRule="auto"/>
        <w:jc w:val="left"/>
        <w:rPr>
          <w:color w:val="auto"/>
          <w:sz w:val="24"/>
        </w:rPr>
      </w:pPr>
    </w:p>
    <w:p w14:paraId="46B226E4">
      <w:pPr>
        <w:spacing w:line="360" w:lineRule="auto"/>
        <w:rPr>
          <w:color w:val="auto"/>
          <w:sz w:val="22"/>
          <w:szCs w:val="22"/>
        </w:rPr>
      </w:pPr>
      <w:r>
        <w:rPr>
          <w:rFonts w:hint="eastAsia"/>
          <w:color w:val="auto"/>
          <w:sz w:val="22"/>
          <w:szCs w:val="22"/>
        </w:rPr>
        <w:t>注：</w:t>
      </w:r>
    </w:p>
    <w:p w14:paraId="7FD2B5C3">
      <w:pPr>
        <w:spacing w:line="360" w:lineRule="auto"/>
        <w:rPr>
          <w:color w:val="auto"/>
          <w:szCs w:val="21"/>
          <w:shd w:val="clear" w:color="auto" w:fill="FFFFFF"/>
        </w:rPr>
      </w:pPr>
      <w:r>
        <w:rPr>
          <w:color w:val="auto"/>
          <w:szCs w:val="21"/>
          <w:shd w:val="clear" w:color="auto" w:fill="FFFFFF"/>
        </w:rPr>
        <w:t xml:space="preserve">1. </w:t>
      </w:r>
      <w:r>
        <w:rPr>
          <w:rFonts w:hint="eastAsia"/>
          <w:color w:val="auto"/>
          <w:szCs w:val="21"/>
          <w:shd w:val="clear" w:color="auto" w:fill="FFFFFF"/>
        </w:rPr>
        <w:t>本承诺函应按包分别提供。</w:t>
      </w:r>
    </w:p>
    <w:p w14:paraId="79BF64C9">
      <w:pPr>
        <w:spacing w:line="360" w:lineRule="auto"/>
        <w:rPr>
          <w:color w:val="auto"/>
          <w:szCs w:val="21"/>
          <w:shd w:val="clear" w:color="auto" w:fill="FFFFFF"/>
        </w:rPr>
      </w:pPr>
      <w:r>
        <w:rPr>
          <w:color w:val="auto"/>
          <w:szCs w:val="21"/>
          <w:shd w:val="clear" w:color="auto" w:fill="FFFFFF"/>
        </w:rPr>
        <w:t xml:space="preserve">2. </w:t>
      </w:r>
      <w:r>
        <w:rPr>
          <w:rFonts w:hint="eastAsia"/>
          <w:color w:val="auto"/>
          <w:szCs w:val="21"/>
          <w:shd w:val="clear" w:color="auto" w:fill="FFFFFF"/>
        </w:rPr>
        <w:t>单一产品采购无须提供本承诺函；供应商提供产品全部为本国产品，且提供了《关于符合本国产品标准的声明函》时，无须提供本承诺函。</w:t>
      </w:r>
    </w:p>
    <w:p w14:paraId="494973B1">
      <w:pPr>
        <w:spacing w:line="360" w:lineRule="auto"/>
        <w:rPr>
          <w:color w:val="auto"/>
          <w:szCs w:val="21"/>
          <w:shd w:val="clear" w:color="auto" w:fill="FFFFFF"/>
        </w:rPr>
      </w:pPr>
      <w:r>
        <w:rPr>
          <w:color w:val="auto"/>
          <w:szCs w:val="21"/>
          <w:shd w:val="clear" w:color="auto" w:fill="FFFFFF"/>
        </w:rPr>
        <w:t xml:space="preserve">3. </w:t>
      </w:r>
      <w:r>
        <w:rPr>
          <w:rFonts w:hint="eastAsia"/>
          <w:color w:val="auto"/>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auto"/>
        </w:rPr>
        <w:t>价格评审优惠</w:t>
      </w:r>
      <w:r>
        <w:rPr>
          <w:rFonts w:hint="eastAsia"/>
          <w:color w:val="auto"/>
          <w:szCs w:val="21"/>
          <w:shd w:val="clear" w:color="auto" w:fill="FFFFFF"/>
        </w:rPr>
        <w:t>。</w:t>
      </w:r>
    </w:p>
    <w:p w14:paraId="16E041BE">
      <w:pPr>
        <w:spacing w:line="360" w:lineRule="auto"/>
        <w:ind w:left="420" w:leftChars="200"/>
        <w:rPr>
          <w:color w:val="auto"/>
          <w:szCs w:val="21"/>
          <w:shd w:val="clear" w:color="auto" w:fill="FFFFFF"/>
        </w:rPr>
      </w:pPr>
    </w:p>
    <w:p w14:paraId="079FE194">
      <w:pPr>
        <w:widowControl/>
        <w:jc w:val="left"/>
        <w:rPr>
          <w:rFonts w:eastAsia="宋体"/>
          <w:color w:val="auto"/>
          <w:sz w:val="24"/>
        </w:rPr>
      </w:pPr>
      <w:r>
        <w:rPr>
          <w:rFonts w:eastAsia="宋体"/>
          <w:color w:val="auto"/>
          <w:sz w:val="24"/>
        </w:rPr>
        <w:br w:type="page"/>
      </w:r>
    </w:p>
    <w:p w14:paraId="5AC65972">
      <w:pPr>
        <w:keepNext/>
        <w:keepLines/>
        <w:widowControl w:val="0"/>
        <w:tabs>
          <w:tab w:val="left" w:pos="576"/>
        </w:tabs>
        <w:autoSpaceDE w:val="0"/>
        <w:autoSpaceDN w:val="0"/>
        <w:adjustRightInd w:val="0"/>
        <w:spacing w:before="120" w:line="300" w:lineRule="auto"/>
        <w:jc w:val="center"/>
        <w:outlineLvl w:val="1"/>
        <w:rPr>
          <w:rFonts w:ascii="宋体" w:hAnsi="宋体" w:eastAsia="宋体" w:cs="宋体"/>
          <w:b/>
          <w:color w:val="auto"/>
          <w:kern w:val="0"/>
          <w:sz w:val="32"/>
          <w:szCs w:val="32"/>
          <w:lang w:val="en-US" w:eastAsia="zh-CN" w:bidi="ar-SA"/>
        </w:rPr>
      </w:pPr>
      <w:bookmarkStart w:id="102" w:name="_Toc5356"/>
      <w:r>
        <w:rPr>
          <w:rFonts w:hint="eastAsia" w:ascii="宋体" w:hAnsi="宋体" w:eastAsia="宋体" w:cs="宋体"/>
          <w:b/>
          <w:color w:val="auto"/>
          <w:kern w:val="0"/>
          <w:sz w:val="32"/>
          <w:szCs w:val="32"/>
          <w:lang w:val="en-US" w:eastAsia="zh-CN" w:bidi="ar-SA"/>
        </w:rPr>
        <w:t>六、分项报价表</w:t>
      </w:r>
      <w:bookmarkEnd w:id="71"/>
      <w:bookmarkEnd w:id="98"/>
      <w:bookmarkEnd w:id="102"/>
    </w:p>
    <w:p w14:paraId="12D81EF4">
      <w:pPr>
        <w:spacing w:line="360" w:lineRule="auto"/>
        <w:ind w:left="1200" w:hanging="1200" w:hangingChars="500"/>
        <w:jc w:val="left"/>
        <w:rPr>
          <w:rFonts w:ascii="宋体" w:hAnsi="宋体" w:cs="宋体"/>
          <w:color w:val="auto"/>
          <w:sz w:val="24"/>
        </w:rPr>
      </w:pPr>
      <w:r>
        <w:rPr>
          <w:rFonts w:hint="eastAsia" w:ascii="宋体" w:hAnsi="宋体" w:cs="宋体"/>
          <w:bCs/>
          <w:color w:val="auto"/>
          <w:sz w:val="24"/>
        </w:rPr>
        <w:t>项目编号</w:t>
      </w:r>
      <w:r>
        <w:rPr>
          <w:rFonts w:hint="eastAsia" w:ascii="宋体" w:hAnsi="宋体" w:cs="宋体"/>
          <w:b/>
          <w:bCs/>
          <w:color w:val="auto"/>
          <w:sz w:val="24"/>
        </w:rPr>
        <w:t>：</w:t>
      </w:r>
      <w:r>
        <w:rPr>
          <w:rFonts w:hint="eastAsia" w:ascii="宋体" w:hAnsi="宋体" w:cs="宋体"/>
          <w:b/>
          <w:bCs/>
          <w:color w:val="auto"/>
          <w:sz w:val="24"/>
          <w:u w:val="single"/>
        </w:rPr>
        <w:t xml:space="preserve">                      </w:t>
      </w:r>
      <w:r>
        <w:rPr>
          <w:rFonts w:hint="eastAsia" w:ascii="宋体" w:hAnsi="宋体" w:cs="宋体"/>
          <w:color w:val="auto"/>
          <w:sz w:val="24"/>
        </w:rPr>
        <w:t xml:space="preserve">  </w:t>
      </w:r>
    </w:p>
    <w:p w14:paraId="63072E4E">
      <w:pPr>
        <w:spacing w:line="360" w:lineRule="auto"/>
        <w:ind w:left="1200" w:hanging="1200" w:hangingChars="500"/>
        <w:jc w:val="left"/>
        <w:rPr>
          <w:color w:val="auto"/>
        </w:rPr>
      </w:pPr>
      <w:r>
        <w:rPr>
          <w:rFonts w:hint="eastAsia" w:ascii="宋体" w:hAnsi="宋体" w:cs="宋体"/>
          <w:bCs/>
          <w:color w:val="auto"/>
          <w:sz w:val="24"/>
        </w:rPr>
        <w:t>项目名称</w:t>
      </w:r>
      <w:r>
        <w:rPr>
          <w:rFonts w:hint="eastAsia" w:ascii="宋体" w:hAnsi="宋体" w:cs="宋体"/>
          <w:bCs/>
          <w:color w:val="auto"/>
          <w:sz w:val="24"/>
          <w:lang w:val="en-US" w:eastAsia="zh-CN"/>
        </w:rPr>
        <w:t>/包号</w:t>
      </w:r>
      <w:r>
        <w:rPr>
          <w:rFonts w:hint="eastAsia" w:ascii="宋体" w:hAnsi="宋体" w:cs="宋体"/>
          <w:bCs/>
          <w:color w:val="auto"/>
          <w:sz w:val="24"/>
        </w:rPr>
        <w:t>：</w:t>
      </w:r>
      <w:r>
        <w:rPr>
          <w:rFonts w:hint="eastAsia" w:ascii="宋体" w:hAnsi="宋体" w:cs="宋体"/>
          <w:bCs/>
          <w:color w:val="auto"/>
          <w:sz w:val="24"/>
          <w:u w:val="single"/>
        </w:rPr>
        <w:t xml:space="preserve">                   </w:t>
      </w:r>
      <w:r>
        <w:rPr>
          <w:rFonts w:hint="eastAsia" w:ascii="宋体" w:hAnsi="宋体" w:cs="宋体"/>
          <w:bCs/>
          <w:color w:val="auto"/>
          <w:sz w:val="24"/>
        </w:rPr>
        <w:t xml:space="preserve">                    </w:t>
      </w:r>
      <w:r>
        <w:rPr>
          <w:rFonts w:hint="eastAsia" w:ascii="宋体" w:hAnsi="宋体" w:cs="宋体"/>
          <w:color w:val="auto"/>
          <w:sz w:val="24"/>
        </w:rPr>
        <w:t>金额单位：元（人民币）</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630"/>
        <w:gridCol w:w="1346"/>
        <w:gridCol w:w="1827"/>
        <w:gridCol w:w="1020"/>
        <w:gridCol w:w="967"/>
        <w:gridCol w:w="1559"/>
      </w:tblGrid>
      <w:tr w14:paraId="0B009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6C919399">
            <w:pPr>
              <w:adjustRightInd w:val="0"/>
              <w:snapToGrid w:val="0"/>
              <w:jc w:val="center"/>
              <w:rPr>
                <w:bCs/>
                <w:color w:val="auto"/>
                <w:sz w:val="22"/>
                <w:szCs w:val="22"/>
              </w:rPr>
            </w:pPr>
            <w:r>
              <w:rPr>
                <w:bCs/>
                <w:color w:val="auto"/>
                <w:sz w:val="22"/>
                <w:szCs w:val="22"/>
              </w:rPr>
              <w:t>序号</w:t>
            </w:r>
          </w:p>
        </w:tc>
        <w:tc>
          <w:tcPr>
            <w:tcW w:w="1630" w:type="dxa"/>
            <w:vAlign w:val="center"/>
          </w:tcPr>
          <w:p w14:paraId="6810CE97">
            <w:pPr>
              <w:adjustRightInd w:val="0"/>
              <w:snapToGrid w:val="0"/>
              <w:jc w:val="center"/>
              <w:rPr>
                <w:bCs/>
                <w:color w:val="auto"/>
                <w:sz w:val="22"/>
                <w:szCs w:val="22"/>
              </w:rPr>
            </w:pPr>
            <w:r>
              <w:rPr>
                <w:rFonts w:hint="eastAsia"/>
                <w:bCs/>
                <w:color w:val="auto"/>
                <w:sz w:val="22"/>
                <w:szCs w:val="22"/>
              </w:rPr>
              <w:t>产品</w:t>
            </w:r>
            <w:r>
              <w:rPr>
                <w:bCs/>
                <w:color w:val="auto"/>
                <w:sz w:val="22"/>
                <w:szCs w:val="22"/>
              </w:rPr>
              <w:t>名称</w:t>
            </w:r>
          </w:p>
        </w:tc>
        <w:tc>
          <w:tcPr>
            <w:tcW w:w="1344" w:type="dxa"/>
            <w:vAlign w:val="center"/>
          </w:tcPr>
          <w:p w14:paraId="6186B228">
            <w:pPr>
              <w:adjustRightInd w:val="0"/>
              <w:snapToGrid w:val="0"/>
              <w:jc w:val="center"/>
              <w:rPr>
                <w:bCs/>
                <w:color w:val="auto"/>
                <w:sz w:val="22"/>
                <w:szCs w:val="22"/>
              </w:rPr>
            </w:pPr>
            <w:r>
              <w:rPr>
                <w:bCs/>
                <w:color w:val="auto"/>
                <w:sz w:val="22"/>
                <w:szCs w:val="22"/>
              </w:rPr>
              <w:t>制造商/</w:t>
            </w:r>
          </w:p>
          <w:p w14:paraId="30081339">
            <w:pPr>
              <w:adjustRightInd w:val="0"/>
              <w:snapToGrid w:val="0"/>
              <w:jc w:val="center"/>
              <w:rPr>
                <w:bCs/>
                <w:color w:val="auto"/>
                <w:sz w:val="22"/>
                <w:szCs w:val="22"/>
              </w:rPr>
            </w:pPr>
            <w:r>
              <w:rPr>
                <w:bCs/>
                <w:color w:val="auto"/>
                <w:sz w:val="22"/>
                <w:szCs w:val="22"/>
              </w:rPr>
              <w:t>生产厂家</w:t>
            </w:r>
          </w:p>
        </w:tc>
        <w:tc>
          <w:tcPr>
            <w:tcW w:w="1827" w:type="dxa"/>
            <w:vAlign w:val="center"/>
          </w:tcPr>
          <w:p w14:paraId="29FC7DE2">
            <w:pPr>
              <w:adjustRightInd w:val="0"/>
              <w:snapToGrid w:val="0"/>
              <w:jc w:val="center"/>
              <w:rPr>
                <w:bCs/>
                <w:color w:val="auto"/>
                <w:sz w:val="22"/>
                <w:szCs w:val="22"/>
              </w:rPr>
            </w:pPr>
            <w:r>
              <w:rPr>
                <w:bCs/>
                <w:color w:val="auto"/>
                <w:sz w:val="22"/>
                <w:szCs w:val="22"/>
              </w:rPr>
              <w:t>品牌型号</w:t>
            </w:r>
          </w:p>
        </w:tc>
        <w:tc>
          <w:tcPr>
            <w:tcW w:w="1020" w:type="dxa"/>
            <w:vAlign w:val="center"/>
          </w:tcPr>
          <w:p w14:paraId="5AFE8B67">
            <w:pPr>
              <w:adjustRightInd w:val="0"/>
              <w:snapToGrid w:val="0"/>
              <w:jc w:val="center"/>
              <w:rPr>
                <w:bCs/>
                <w:color w:val="auto"/>
                <w:sz w:val="22"/>
                <w:szCs w:val="22"/>
              </w:rPr>
            </w:pPr>
            <w:r>
              <w:rPr>
                <w:bCs/>
                <w:color w:val="auto"/>
                <w:sz w:val="22"/>
                <w:szCs w:val="22"/>
              </w:rPr>
              <w:t>单价（元）</w:t>
            </w:r>
          </w:p>
        </w:tc>
        <w:tc>
          <w:tcPr>
            <w:tcW w:w="967" w:type="dxa"/>
            <w:vAlign w:val="center"/>
          </w:tcPr>
          <w:p w14:paraId="015EE189">
            <w:pPr>
              <w:adjustRightInd w:val="0"/>
              <w:snapToGrid w:val="0"/>
              <w:jc w:val="center"/>
              <w:rPr>
                <w:bCs/>
                <w:color w:val="auto"/>
                <w:sz w:val="22"/>
                <w:szCs w:val="22"/>
              </w:rPr>
            </w:pPr>
            <w:r>
              <w:rPr>
                <w:bCs/>
                <w:color w:val="auto"/>
                <w:sz w:val="22"/>
                <w:szCs w:val="22"/>
              </w:rPr>
              <w:t>数量</w:t>
            </w:r>
          </w:p>
        </w:tc>
        <w:tc>
          <w:tcPr>
            <w:tcW w:w="1559" w:type="dxa"/>
            <w:vAlign w:val="center"/>
          </w:tcPr>
          <w:p w14:paraId="469E2945">
            <w:pPr>
              <w:adjustRightInd w:val="0"/>
              <w:snapToGrid w:val="0"/>
              <w:jc w:val="center"/>
              <w:rPr>
                <w:bCs/>
                <w:color w:val="auto"/>
                <w:sz w:val="22"/>
                <w:szCs w:val="22"/>
              </w:rPr>
            </w:pPr>
            <w:r>
              <w:rPr>
                <w:rFonts w:hint="eastAsia"/>
                <w:bCs/>
                <w:color w:val="auto"/>
                <w:sz w:val="22"/>
                <w:szCs w:val="22"/>
              </w:rPr>
              <w:t>合计</w:t>
            </w:r>
            <w:r>
              <w:rPr>
                <w:bCs/>
                <w:color w:val="auto"/>
                <w:sz w:val="22"/>
                <w:szCs w:val="22"/>
              </w:rPr>
              <w:t>（元）</w:t>
            </w:r>
          </w:p>
        </w:tc>
      </w:tr>
      <w:tr w14:paraId="131D2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1E5B643D">
            <w:pPr>
              <w:adjustRightInd w:val="0"/>
              <w:snapToGrid w:val="0"/>
              <w:jc w:val="center"/>
              <w:rPr>
                <w:bCs/>
                <w:color w:val="auto"/>
                <w:sz w:val="22"/>
                <w:szCs w:val="22"/>
              </w:rPr>
            </w:pPr>
            <w:r>
              <w:rPr>
                <w:bCs/>
                <w:color w:val="auto"/>
                <w:sz w:val="22"/>
                <w:szCs w:val="22"/>
              </w:rPr>
              <w:t>1</w:t>
            </w:r>
          </w:p>
        </w:tc>
        <w:tc>
          <w:tcPr>
            <w:tcW w:w="1630" w:type="dxa"/>
            <w:vAlign w:val="center"/>
          </w:tcPr>
          <w:p w14:paraId="4A084E3C">
            <w:pPr>
              <w:adjustRightInd w:val="0"/>
              <w:snapToGrid w:val="0"/>
              <w:jc w:val="center"/>
              <w:rPr>
                <w:bCs/>
                <w:color w:val="auto"/>
                <w:sz w:val="22"/>
                <w:szCs w:val="22"/>
              </w:rPr>
            </w:pPr>
          </w:p>
        </w:tc>
        <w:tc>
          <w:tcPr>
            <w:tcW w:w="1344" w:type="dxa"/>
            <w:vAlign w:val="center"/>
          </w:tcPr>
          <w:p w14:paraId="0F411D71">
            <w:pPr>
              <w:adjustRightInd w:val="0"/>
              <w:snapToGrid w:val="0"/>
              <w:jc w:val="center"/>
              <w:rPr>
                <w:bCs/>
                <w:color w:val="auto"/>
                <w:sz w:val="22"/>
                <w:szCs w:val="22"/>
              </w:rPr>
            </w:pPr>
          </w:p>
        </w:tc>
        <w:tc>
          <w:tcPr>
            <w:tcW w:w="1827" w:type="dxa"/>
            <w:vAlign w:val="center"/>
          </w:tcPr>
          <w:p w14:paraId="2BE99A16">
            <w:pPr>
              <w:adjustRightInd w:val="0"/>
              <w:snapToGrid w:val="0"/>
              <w:jc w:val="center"/>
              <w:rPr>
                <w:bCs/>
                <w:color w:val="auto"/>
                <w:sz w:val="22"/>
                <w:szCs w:val="22"/>
              </w:rPr>
            </w:pPr>
          </w:p>
        </w:tc>
        <w:tc>
          <w:tcPr>
            <w:tcW w:w="1020" w:type="dxa"/>
            <w:vAlign w:val="center"/>
          </w:tcPr>
          <w:p w14:paraId="365EBE1C">
            <w:pPr>
              <w:adjustRightInd w:val="0"/>
              <w:snapToGrid w:val="0"/>
              <w:jc w:val="center"/>
              <w:rPr>
                <w:bCs/>
                <w:color w:val="auto"/>
                <w:sz w:val="22"/>
                <w:szCs w:val="22"/>
              </w:rPr>
            </w:pPr>
          </w:p>
        </w:tc>
        <w:tc>
          <w:tcPr>
            <w:tcW w:w="967" w:type="dxa"/>
            <w:vAlign w:val="center"/>
          </w:tcPr>
          <w:p w14:paraId="07B24FBE">
            <w:pPr>
              <w:adjustRightInd w:val="0"/>
              <w:snapToGrid w:val="0"/>
              <w:jc w:val="center"/>
              <w:rPr>
                <w:bCs/>
                <w:color w:val="auto"/>
                <w:sz w:val="22"/>
                <w:szCs w:val="22"/>
              </w:rPr>
            </w:pPr>
          </w:p>
        </w:tc>
        <w:tc>
          <w:tcPr>
            <w:tcW w:w="1559" w:type="dxa"/>
            <w:vAlign w:val="center"/>
          </w:tcPr>
          <w:p w14:paraId="22864E79">
            <w:pPr>
              <w:adjustRightInd w:val="0"/>
              <w:snapToGrid w:val="0"/>
              <w:jc w:val="center"/>
              <w:rPr>
                <w:bCs/>
                <w:color w:val="auto"/>
                <w:sz w:val="22"/>
                <w:szCs w:val="22"/>
              </w:rPr>
            </w:pPr>
          </w:p>
        </w:tc>
      </w:tr>
      <w:tr w14:paraId="18A2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43A06F59">
            <w:pPr>
              <w:adjustRightInd w:val="0"/>
              <w:snapToGrid w:val="0"/>
              <w:jc w:val="center"/>
              <w:rPr>
                <w:bCs/>
                <w:color w:val="auto"/>
                <w:sz w:val="22"/>
                <w:szCs w:val="22"/>
              </w:rPr>
            </w:pPr>
            <w:r>
              <w:rPr>
                <w:rFonts w:hint="eastAsia"/>
                <w:bCs/>
                <w:color w:val="auto"/>
                <w:sz w:val="22"/>
                <w:szCs w:val="22"/>
              </w:rPr>
              <w:t>2</w:t>
            </w:r>
          </w:p>
        </w:tc>
        <w:tc>
          <w:tcPr>
            <w:tcW w:w="1630" w:type="dxa"/>
            <w:vAlign w:val="center"/>
          </w:tcPr>
          <w:p w14:paraId="2E72BBF8">
            <w:pPr>
              <w:adjustRightInd w:val="0"/>
              <w:snapToGrid w:val="0"/>
              <w:jc w:val="center"/>
              <w:rPr>
                <w:bCs/>
                <w:color w:val="auto"/>
                <w:sz w:val="22"/>
                <w:szCs w:val="22"/>
              </w:rPr>
            </w:pPr>
          </w:p>
        </w:tc>
        <w:tc>
          <w:tcPr>
            <w:tcW w:w="1344" w:type="dxa"/>
            <w:vAlign w:val="center"/>
          </w:tcPr>
          <w:p w14:paraId="6BB576BE">
            <w:pPr>
              <w:adjustRightInd w:val="0"/>
              <w:snapToGrid w:val="0"/>
              <w:jc w:val="center"/>
              <w:rPr>
                <w:bCs/>
                <w:color w:val="auto"/>
                <w:sz w:val="22"/>
                <w:szCs w:val="22"/>
              </w:rPr>
            </w:pPr>
          </w:p>
        </w:tc>
        <w:tc>
          <w:tcPr>
            <w:tcW w:w="1827" w:type="dxa"/>
            <w:vAlign w:val="center"/>
          </w:tcPr>
          <w:p w14:paraId="14B9F7D4">
            <w:pPr>
              <w:adjustRightInd w:val="0"/>
              <w:snapToGrid w:val="0"/>
              <w:jc w:val="center"/>
              <w:rPr>
                <w:bCs/>
                <w:color w:val="auto"/>
                <w:sz w:val="22"/>
                <w:szCs w:val="22"/>
              </w:rPr>
            </w:pPr>
          </w:p>
        </w:tc>
        <w:tc>
          <w:tcPr>
            <w:tcW w:w="1020" w:type="dxa"/>
            <w:vAlign w:val="center"/>
          </w:tcPr>
          <w:p w14:paraId="58DFCA39">
            <w:pPr>
              <w:adjustRightInd w:val="0"/>
              <w:snapToGrid w:val="0"/>
              <w:jc w:val="center"/>
              <w:rPr>
                <w:bCs/>
                <w:color w:val="auto"/>
                <w:sz w:val="22"/>
                <w:szCs w:val="22"/>
              </w:rPr>
            </w:pPr>
          </w:p>
        </w:tc>
        <w:tc>
          <w:tcPr>
            <w:tcW w:w="967" w:type="dxa"/>
            <w:vAlign w:val="center"/>
          </w:tcPr>
          <w:p w14:paraId="56A554BD">
            <w:pPr>
              <w:adjustRightInd w:val="0"/>
              <w:snapToGrid w:val="0"/>
              <w:jc w:val="center"/>
              <w:rPr>
                <w:bCs/>
                <w:color w:val="auto"/>
                <w:sz w:val="22"/>
                <w:szCs w:val="22"/>
              </w:rPr>
            </w:pPr>
          </w:p>
        </w:tc>
        <w:tc>
          <w:tcPr>
            <w:tcW w:w="1559" w:type="dxa"/>
            <w:vAlign w:val="center"/>
          </w:tcPr>
          <w:p w14:paraId="02755596">
            <w:pPr>
              <w:adjustRightInd w:val="0"/>
              <w:snapToGrid w:val="0"/>
              <w:jc w:val="center"/>
              <w:rPr>
                <w:bCs/>
                <w:color w:val="auto"/>
                <w:sz w:val="22"/>
                <w:szCs w:val="22"/>
              </w:rPr>
            </w:pPr>
          </w:p>
        </w:tc>
      </w:tr>
      <w:tr w14:paraId="7CD24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3B741A3B">
            <w:pPr>
              <w:adjustRightInd w:val="0"/>
              <w:snapToGrid w:val="0"/>
              <w:jc w:val="center"/>
              <w:rPr>
                <w:bCs/>
                <w:color w:val="auto"/>
                <w:sz w:val="22"/>
                <w:szCs w:val="22"/>
              </w:rPr>
            </w:pPr>
            <w:r>
              <w:rPr>
                <w:rFonts w:hint="eastAsia"/>
                <w:bCs/>
                <w:color w:val="auto"/>
                <w:sz w:val="22"/>
                <w:szCs w:val="22"/>
              </w:rPr>
              <w:t>3</w:t>
            </w:r>
          </w:p>
        </w:tc>
        <w:tc>
          <w:tcPr>
            <w:tcW w:w="1630" w:type="dxa"/>
            <w:vAlign w:val="center"/>
          </w:tcPr>
          <w:p w14:paraId="0C71FFA0">
            <w:pPr>
              <w:adjustRightInd w:val="0"/>
              <w:snapToGrid w:val="0"/>
              <w:jc w:val="center"/>
              <w:rPr>
                <w:bCs/>
                <w:color w:val="auto"/>
                <w:sz w:val="22"/>
                <w:szCs w:val="22"/>
              </w:rPr>
            </w:pPr>
          </w:p>
        </w:tc>
        <w:tc>
          <w:tcPr>
            <w:tcW w:w="1344" w:type="dxa"/>
            <w:vAlign w:val="center"/>
          </w:tcPr>
          <w:p w14:paraId="0D09ECD2">
            <w:pPr>
              <w:adjustRightInd w:val="0"/>
              <w:snapToGrid w:val="0"/>
              <w:jc w:val="center"/>
              <w:rPr>
                <w:bCs/>
                <w:color w:val="auto"/>
                <w:sz w:val="22"/>
                <w:szCs w:val="22"/>
              </w:rPr>
            </w:pPr>
          </w:p>
        </w:tc>
        <w:tc>
          <w:tcPr>
            <w:tcW w:w="1827" w:type="dxa"/>
            <w:vAlign w:val="center"/>
          </w:tcPr>
          <w:p w14:paraId="7986E4C0">
            <w:pPr>
              <w:adjustRightInd w:val="0"/>
              <w:snapToGrid w:val="0"/>
              <w:jc w:val="center"/>
              <w:rPr>
                <w:bCs/>
                <w:color w:val="auto"/>
                <w:sz w:val="22"/>
                <w:szCs w:val="22"/>
              </w:rPr>
            </w:pPr>
          </w:p>
        </w:tc>
        <w:tc>
          <w:tcPr>
            <w:tcW w:w="1020" w:type="dxa"/>
            <w:vAlign w:val="center"/>
          </w:tcPr>
          <w:p w14:paraId="730D03C1">
            <w:pPr>
              <w:adjustRightInd w:val="0"/>
              <w:snapToGrid w:val="0"/>
              <w:jc w:val="center"/>
              <w:rPr>
                <w:bCs/>
                <w:color w:val="auto"/>
                <w:sz w:val="22"/>
                <w:szCs w:val="22"/>
              </w:rPr>
            </w:pPr>
          </w:p>
        </w:tc>
        <w:tc>
          <w:tcPr>
            <w:tcW w:w="967" w:type="dxa"/>
            <w:vAlign w:val="center"/>
          </w:tcPr>
          <w:p w14:paraId="658CA413">
            <w:pPr>
              <w:adjustRightInd w:val="0"/>
              <w:snapToGrid w:val="0"/>
              <w:jc w:val="center"/>
              <w:rPr>
                <w:bCs/>
                <w:color w:val="auto"/>
                <w:sz w:val="22"/>
                <w:szCs w:val="22"/>
              </w:rPr>
            </w:pPr>
          </w:p>
        </w:tc>
        <w:tc>
          <w:tcPr>
            <w:tcW w:w="1559" w:type="dxa"/>
            <w:vAlign w:val="center"/>
          </w:tcPr>
          <w:p w14:paraId="628BC401">
            <w:pPr>
              <w:adjustRightInd w:val="0"/>
              <w:snapToGrid w:val="0"/>
              <w:jc w:val="center"/>
              <w:rPr>
                <w:bCs/>
                <w:color w:val="auto"/>
                <w:sz w:val="22"/>
                <w:szCs w:val="22"/>
              </w:rPr>
            </w:pPr>
          </w:p>
        </w:tc>
      </w:tr>
      <w:tr w14:paraId="0D8A5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0E0D83BC">
            <w:pPr>
              <w:adjustRightInd w:val="0"/>
              <w:snapToGrid w:val="0"/>
              <w:jc w:val="center"/>
              <w:rPr>
                <w:bCs/>
                <w:color w:val="auto"/>
                <w:sz w:val="22"/>
                <w:szCs w:val="22"/>
              </w:rPr>
            </w:pPr>
            <w:r>
              <w:rPr>
                <w:rFonts w:hint="eastAsia"/>
                <w:bCs/>
                <w:color w:val="auto"/>
                <w:sz w:val="22"/>
                <w:szCs w:val="22"/>
              </w:rPr>
              <w:t>4</w:t>
            </w:r>
          </w:p>
        </w:tc>
        <w:tc>
          <w:tcPr>
            <w:tcW w:w="1630" w:type="dxa"/>
            <w:vAlign w:val="center"/>
          </w:tcPr>
          <w:p w14:paraId="2FB066F8">
            <w:pPr>
              <w:adjustRightInd w:val="0"/>
              <w:snapToGrid w:val="0"/>
              <w:jc w:val="center"/>
              <w:rPr>
                <w:bCs/>
                <w:color w:val="auto"/>
                <w:sz w:val="22"/>
                <w:szCs w:val="22"/>
              </w:rPr>
            </w:pPr>
          </w:p>
        </w:tc>
        <w:tc>
          <w:tcPr>
            <w:tcW w:w="1344" w:type="dxa"/>
            <w:vAlign w:val="center"/>
          </w:tcPr>
          <w:p w14:paraId="3EEC67D0">
            <w:pPr>
              <w:adjustRightInd w:val="0"/>
              <w:snapToGrid w:val="0"/>
              <w:jc w:val="center"/>
              <w:rPr>
                <w:bCs/>
                <w:color w:val="auto"/>
                <w:sz w:val="22"/>
                <w:szCs w:val="22"/>
              </w:rPr>
            </w:pPr>
          </w:p>
        </w:tc>
        <w:tc>
          <w:tcPr>
            <w:tcW w:w="1827" w:type="dxa"/>
            <w:vAlign w:val="center"/>
          </w:tcPr>
          <w:p w14:paraId="40C1694D">
            <w:pPr>
              <w:adjustRightInd w:val="0"/>
              <w:snapToGrid w:val="0"/>
              <w:jc w:val="center"/>
              <w:rPr>
                <w:bCs/>
                <w:color w:val="auto"/>
                <w:sz w:val="22"/>
                <w:szCs w:val="22"/>
              </w:rPr>
            </w:pPr>
          </w:p>
        </w:tc>
        <w:tc>
          <w:tcPr>
            <w:tcW w:w="1020" w:type="dxa"/>
            <w:vAlign w:val="center"/>
          </w:tcPr>
          <w:p w14:paraId="390BECF4">
            <w:pPr>
              <w:adjustRightInd w:val="0"/>
              <w:snapToGrid w:val="0"/>
              <w:jc w:val="center"/>
              <w:rPr>
                <w:bCs/>
                <w:color w:val="auto"/>
                <w:sz w:val="22"/>
                <w:szCs w:val="22"/>
              </w:rPr>
            </w:pPr>
          </w:p>
        </w:tc>
        <w:tc>
          <w:tcPr>
            <w:tcW w:w="967" w:type="dxa"/>
            <w:vAlign w:val="center"/>
          </w:tcPr>
          <w:p w14:paraId="5A28ED7B">
            <w:pPr>
              <w:adjustRightInd w:val="0"/>
              <w:snapToGrid w:val="0"/>
              <w:jc w:val="center"/>
              <w:rPr>
                <w:bCs/>
                <w:color w:val="auto"/>
                <w:sz w:val="22"/>
                <w:szCs w:val="22"/>
              </w:rPr>
            </w:pPr>
          </w:p>
        </w:tc>
        <w:tc>
          <w:tcPr>
            <w:tcW w:w="1559" w:type="dxa"/>
            <w:vAlign w:val="center"/>
          </w:tcPr>
          <w:p w14:paraId="5999DB95">
            <w:pPr>
              <w:adjustRightInd w:val="0"/>
              <w:snapToGrid w:val="0"/>
              <w:jc w:val="center"/>
              <w:rPr>
                <w:bCs/>
                <w:color w:val="auto"/>
                <w:sz w:val="22"/>
                <w:szCs w:val="22"/>
              </w:rPr>
            </w:pPr>
          </w:p>
        </w:tc>
      </w:tr>
      <w:tr w14:paraId="60004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0716255B">
            <w:pPr>
              <w:adjustRightInd w:val="0"/>
              <w:snapToGrid w:val="0"/>
              <w:jc w:val="center"/>
              <w:rPr>
                <w:bCs/>
                <w:color w:val="auto"/>
                <w:sz w:val="22"/>
                <w:szCs w:val="22"/>
              </w:rPr>
            </w:pPr>
            <w:r>
              <w:rPr>
                <w:rFonts w:hint="eastAsia"/>
                <w:bCs/>
                <w:color w:val="auto"/>
                <w:sz w:val="22"/>
                <w:szCs w:val="22"/>
              </w:rPr>
              <w:t>5</w:t>
            </w:r>
          </w:p>
        </w:tc>
        <w:tc>
          <w:tcPr>
            <w:tcW w:w="1630" w:type="dxa"/>
            <w:vAlign w:val="center"/>
          </w:tcPr>
          <w:p w14:paraId="7761A133">
            <w:pPr>
              <w:adjustRightInd w:val="0"/>
              <w:snapToGrid w:val="0"/>
              <w:jc w:val="center"/>
              <w:rPr>
                <w:bCs/>
                <w:color w:val="auto"/>
                <w:sz w:val="22"/>
                <w:szCs w:val="22"/>
              </w:rPr>
            </w:pPr>
          </w:p>
        </w:tc>
        <w:tc>
          <w:tcPr>
            <w:tcW w:w="1344" w:type="dxa"/>
            <w:vAlign w:val="center"/>
          </w:tcPr>
          <w:p w14:paraId="7486D6EA">
            <w:pPr>
              <w:adjustRightInd w:val="0"/>
              <w:snapToGrid w:val="0"/>
              <w:jc w:val="center"/>
              <w:rPr>
                <w:bCs/>
                <w:color w:val="auto"/>
                <w:sz w:val="22"/>
                <w:szCs w:val="22"/>
              </w:rPr>
            </w:pPr>
          </w:p>
        </w:tc>
        <w:tc>
          <w:tcPr>
            <w:tcW w:w="1827" w:type="dxa"/>
            <w:vAlign w:val="center"/>
          </w:tcPr>
          <w:p w14:paraId="1B4E6B47">
            <w:pPr>
              <w:adjustRightInd w:val="0"/>
              <w:snapToGrid w:val="0"/>
              <w:jc w:val="center"/>
              <w:rPr>
                <w:bCs/>
                <w:color w:val="auto"/>
                <w:sz w:val="22"/>
                <w:szCs w:val="22"/>
              </w:rPr>
            </w:pPr>
          </w:p>
        </w:tc>
        <w:tc>
          <w:tcPr>
            <w:tcW w:w="1020" w:type="dxa"/>
            <w:vAlign w:val="center"/>
          </w:tcPr>
          <w:p w14:paraId="76992A29">
            <w:pPr>
              <w:adjustRightInd w:val="0"/>
              <w:snapToGrid w:val="0"/>
              <w:jc w:val="center"/>
              <w:rPr>
                <w:bCs/>
                <w:color w:val="auto"/>
                <w:sz w:val="22"/>
                <w:szCs w:val="22"/>
              </w:rPr>
            </w:pPr>
          </w:p>
        </w:tc>
        <w:tc>
          <w:tcPr>
            <w:tcW w:w="967" w:type="dxa"/>
            <w:vAlign w:val="center"/>
          </w:tcPr>
          <w:p w14:paraId="52D0F406">
            <w:pPr>
              <w:adjustRightInd w:val="0"/>
              <w:snapToGrid w:val="0"/>
              <w:jc w:val="center"/>
              <w:rPr>
                <w:bCs/>
                <w:color w:val="auto"/>
                <w:sz w:val="22"/>
                <w:szCs w:val="22"/>
              </w:rPr>
            </w:pPr>
          </w:p>
        </w:tc>
        <w:tc>
          <w:tcPr>
            <w:tcW w:w="1559" w:type="dxa"/>
            <w:vAlign w:val="center"/>
          </w:tcPr>
          <w:p w14:paraId="299BB5CF">
            <w:pPr>
              <w:adjustRightInd w:val="0"/>
              <w:snapToGrid w:val="0"/>
              <w:jc w:val="center"/>
              <w:rPr>
                <w:bCs/>
                <w:color w:val="auto"/>
                <w:sz w:val="22"/>
                <w:szCs w:val="22"/>
              </w:rPr>
            </w:pPr>
          </w:p>
        </w:tc>
      </w:tr>
      <w:tr w14:paraId="1D98B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6" w:type="dxa"/>
            <w:vAlign w:val="center"/>
          </w:tcPr>
          <w:p w14:paraId="3E7DAF37">
            <w:pPr>
              <w:adjustRightInd w:val="0"/>
              <w:snapToGrid w:val="0"/>
              <w:jc w:val="center"/>
              <w:rPr>
                <w:bCs/>
                <w:color w:val="auto"/>
                <w:sz w:val="22"/>
                <w:szCs w:val="22"/>
              </w:rPr>
            </w:pPr>
            <w:r>
              <w:rPr>
                <w:bCs/>
                <w:color w:val="auto"/>
                <w:sz w:val="22"/>
                <w:szCs w:val="22"/>
              </w:rPr>
              <w:t>…</w:t>
            </w:r>
          </w:p>
        </w:tc>
        <w:tc>
          <w:tcPr>
            <w:tcW w:w="1630" w:type="dxa"/>
            <w:vAlign w:val="center"/>
          </w:tcPr>
          <w:p w14:paraId="549C17CA">
            <w:pPr>
              <w:adjustRightInd w:val="0"/>
              <w:snapToGrid w:val="0"/>
              <w:jc w:val="center"/>
              <w:rPr>
                <w:bCs/>
                <w:color w:val="auto"/>
                <w:sz w:val="22"/>
                <w:szCs w:val="22"/>
              </w:rPr>
            </w:pPr>
          </w:p>
        </w:tc>
        <w:tc>
          <w:tcPr>
            <w:tcW w:w="1344" w:type="dxa"/>
            <w:vAlign w:val="center"/>
          </w:tcPr>
          <w:p w14:paraId="07A31B5F">
            <w:pPr>
              <w:adjustRightInd w:val="0"/>
              <w:snapToGrid w:val="0"/>
              <w:jc w:val="center"/>
              <w:rPr>
                <w:bCs/>
                <w:color w:val="auto"/>
                <w:sz w:val="22"/>
                <w:szCs w:val="22"/>
              </w:rPr>
            </w:pPr>
          </w:p>
        </w:tc>
        <w:tc>
          <w:tcPr>
            <w:tcW w:w="1827" w:type="dxa"/>
            <w:vAlign w:val="center"/>
          </w:tcPr>
          <w:p w14:paraId="33E4C9CF">
            <w:pPr>
              <w:adjustRightInd w:val="0"/>
              <w:snapToGrid w:val="0"/>
              <w:jc w:val="center"/>
              <w:rPr>
                <w:bCs/>
                <w:color w:val="auto"/>
                <w:sz w:val="22"/>
                <w:szCs w:val="22"/>
              </w:rPr>
            </w:pPr>
          </w:p>
        </w:tc>
        <w:tc>
          <w:tcPr>
            <w:tcW w:w="1020" w:type="dxa"/>
            <w:vAlign w:val="center"/>
          </w:tcPr>
          <w:p w14:paraId="254B199E">
            <w:pPr>
              <w:adjustRightInd w:val="0"/>
              <w:snapToGrid w:val="0"/>
              <w:jc w:val="center"/>
              <w:rPr>
                <w:bCs/>
                <w:color w:val="auto"/>
                <w:sz w:val="22"/>
                <w:szCs w:val="22"/>
              </w:rPr>
            </w:pPr>
          </w:p>
        </w:tc>
        <w:tc>
          <w:tcPr>
            <w:tcW w:w="967" w:type="dxa"/>
            <w:vAlign w:val="center"/>
          </w:tcPr>
          <w:p w14:paraId="29799B56">
            <w:pPr>
              <w:adjustRightInd w:val="0"/>
              <w:snapToGrid w:val="0"/>
              <w:jc w:val="center"/>
              <w:rPr>
                <w:bCs/>
                <w:color w:val="auto"/>
                <w:sz w:val="22"/>
                <w:szCs w:val="22"/>
              </w:rPr>
            </w:pPr>
          </w:p>
        </w:tc>
        <w:tc>
          <w:tcPr>
            <w:tcW w:w="1559" w:type="dxa"/>
            <w:vAlign w:val="center"/>
          </w:tcPr>
          <w:p w14:paraId="6EC293D1">
            <w:pPr>
              <w:adjustRightInd w:val="0"/>
              <w:snapToGrid w:val="0"/>
              <w:jc w:val="center"/>
              <w:rPr>
                <w:bCs/>
                <w:color w:val="auto"/>
                <w:sz w:val="22"/>
                <w:szCs w:val="22"/>
              </w:rPr>
            </w:pPr>
          </w:p>
        </w:tc>
      </w:tr>
      <w:tr w14:paraId="6DB20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42" w:type="dxa"/>
            <w:gridSpan w:val="3"/>
            <w:vAlign w:val="center"/>
          </w:tcPr>
          <w:p w14:paraId="011FB5B3">
            <w:pPr>
              <w:jc w:val="center"/>
              <w:rPr>
                <w:bCs/>
                <w:color w:val="auto"/>
                <w:sz w:val="22"/>
                <w:szCs w:val="22"/>
              </w:rPr>
            </w:pPr>
            <w:r>
              <w:rPr>
                <w:bCs/>
                <w:color w:val="auto"/>
                <w:sz w:val="22"/>
                <w:szCs w:val="22"/>
              </w:rPr>
              <w:t>总</w:t>
            </w:r>
            <w:r>
              <w:rPr>
                <w:rFonts w:hint="eastAsia"/>
                <w:bCs/>
                <w:color w:val="auto"/>
                <w:sz w:val="22"/>
                <w:szCs w:val="22"/>
              </w:rPr>
              <w:t>报</w:t>
            </w:r>
            <w:r>
              <w:rPr>
                <w:bCs/>
                <w:color w:val="auto"/>
                <w:sz w:val="22"/>
                <w:szCs w:val="22"/>
              </w:rPr>
              <w:t>价（</w:t>
            </w:r>
            <w:r>
              <w:rPr>
                <w:rFonts w:hint="eastAsia"/>
                <w:bCs/>
                <w:color w:val="auto"/>
                <w:sz w:val="22"/>
                <w:szCs w:val="22"/>
              </w:rPr>
              <w:t>人民币</w:t>
            </w:r>
            <w:r>
              <w:rPr>
                <w:bCs/>
                <w:color w:val="auto"/>
                <w:sz w:val="22"/>
                <w:szCs w:val="22"/>
              </w:rPr>
              <w:t>元）</w:t>
            </w:r>
          </w:p>
        </w:tc>
        <w:tc>
          <w:tcPr>
            <w:tcW w:w="5371" w:type="dxa"/>
            <w:gridSpan w:val="4"/>
            <w:vAlign w:val="center"/>
          </w:tcPr>
          <w:p w14:paraId="23E59CB0">
            <w:pPr>
              <w:adjustRightInd w:val="0"/>
              <w:snapToGrid w:val="0"/>
              <w:rPr>
                <w:bCs/>
                <w:color w:val="auto"/>
                <w:sz w:val="22"/>
                <w:szCs w:val="22"/>
              </w:rPr>
            </w:pPr>
            <w:r>
              <w:rPr>
                <w:rFonts w:hint="eastAsia"/>
                <w:bCs/>
                <w:color w:val="auto"/>
                <w:sz w:val="22"/>
                <w:szCs w:val="22"/>
              </w:rPr>
              <w:t>￥：       元（大写金额：            ）</w:t>
            </w:r>
          </w:p>
        </w:tc>
      </w:tr>
    </w:tbl>
    <w:p w14:paraId="1624E51D">
      <w:pPr>
        <w:tabs>
          <w:tab w:val="left" w:pos="1800"/>
          <w:tab w:val="left" w:pos="5580"/>
        </w:tabs>
        <w:jc w:val="left"/>
        <w:rPr>
          <w:color w:val="auto"/>
          <w:sz w:val="24"/>
        </w:rPr>
      </w:pPr>
    </w:p>
    <w:p w14:paraId="46BCC3AB">
      <w:pPr>
        <w:tabs>
          <w:tab w:val="left" w:pos="1800"/>
          <w:tab w:val="left" w:pos="5580"/>
        </w:tabs>
        <w:jc w:val="left"/>
        <w:rPr>
          <w:color w:val="auto"/>
          <w:sz w:val="24"/>
        </w:rPr>
      </w:pPr>
      <w:r>
        <w:rPr>
          <w:color w:val="auto"/>
          <w:sz w:val="24"/>
        </w:rPr>
        <w:t>注：本表</w:t>
      </w:r>
      <w:r>
        <w:rPr>
          <w:rFonts w:hint="eastAsia"/>
          <w:color w:val="auto"/>
          <w:sz w:val="24"/>
        </w:rPr>
        <w:t>填写的总价不得</w:t>
      </w:r>
      <w:r>
        <w:rPr>
          <w:rFonts w:hint="eastAsia" w:ascii="Times New Roman" w:eastAsia="宋体"/>
          <w:color w:val="auto"/>
          <w:sz w:val="24"/>
          <w:lang w:val="en-US" w:eastAsia="zh-CN"/>
        </w:rPr>
        <w:t>超过所投采购包预算金额。</w:t>
      </w:r>
    </w:p>
    <w:p w14:paraId="7A85CF17">
      <w:pPr>
        <w:snapToGrid w:val="0"/>
        <w:spacing w:line="360" w:lineRule="auto"/>
        <w:rPr>
          <w:rFonts w:ascii="黑体" w:hAnsi="黑体" w:eastAsia="黑体"/>
          <w:b/>
          <w:color w:val="auto"/>
        </w:rPr>
      </w:pPr>
      <w:r>
        <w:rPr>
          <w:rFonts w:hint="eastAsia"/>
          <w:color w:val="auto"/>
        </w:rPr>
        <w:t>　　　　　　　　</w:t>
      </w:r>
    </w:p>
    <w:p w14:paraId="03E68C80">
      <w:pPr>
        <w:adjustRightInd w:val="0"/>
        <w:snapToGrid w:val="0"/>
        <w:spacing w:line="400" w:lineRule="exact"/>
        <w:rPr>
          <w:color w:val="auto"/>
          <w:sz w:val="24"/>
        </w:rPr>
      </w:pPr>
      <w:r>
        <w:rPr>
          <w:rFonts w:hint="eastAsia"/>
          <w:color w:val="auto"/>
          <w:sz w:val="24"/>
        </w:rPr>
        <w:t>供应商名称（加盖公章）：</w:t>
      </w:r>
      <w:r>
        <w:rPr>
          <w:rFonts w:hint="eastAsia"/>
          <w:color w:val="auto"/>
          <w:sz w:val="24"/>
          <w:u w:val="single"/>
        </w:rPr>
        <w:t xml:space="preserve">                        </w:t>
      </w:r>
    </w:p>
    <w:p w14:paraId="03F78BD0">
      <w:pPr>
        <w:adjustRightInd w:val="0"/>
        <w:snapToGrid w:val="0"/>
        <w:spacing w:line="400" w:lineRule="exact"/>
        <w:rPr>
          <w:color w:val="auto"/>
          <w:sz w:val="24"/>
        </w:rPr>
      </w:pPr>
      <w:r>
        <w:rPr>
          <w:rFonts w:hint="eastAsia"/>
          <w:color w:val="auto"/>
          <w:sz w:val="24"/>
        </w:rPr>
        <w:t>日期：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 xml:space="preserve"> 月</w:t>
      </w:r>
      <w:r>
        <w:rPr>
          <w:rFonts w:hint="eastAsia"/>
          <w:color w:val="auto"/>
          <w:sz w:val="24"/>
          <w:u w:val="single"/>
        </w:rPr>
        <w:t xml:space="preserve">    　</w:t>
      </w:r>
      <w:r>
        <w:rPr>
          <w:rFonts w:hint="eastAsia"/>
          <w:color w:val="auto"/>
          <w:sz w:val="24"/>
        </w:rPr>
        <w:t xml:space="preserve"> 日</w:t>
      </w:r>
    </w:p>
    <w:p w14:paraId="147D26D0">
      <w:pPr>
        <w:widowControl w:val="0"/>
        <w:autoSpaceDE w:val="0"/>
        <w:autoSpaceDN w:val="0"/>
        <w:adjustRightInd w:val="0"/>
        <w:ind w:firstLine="0"/>
        <w:jc w:val="left"/>
        <w:rPr>
          <w:rFonts w:ascii="宋体" w:hAnsi="宋体" w:eastAsia="宋体" w:cs="宋体"/>
          <w:color w:val="auto"/>
          <w:kern w:val="2"/>
          <w:sz w:val="32"/>
          <w:szCs w:val="32"/>
          <w:lang w:val="en-US" w:eastAsia="zh-CN" w:bidi="ar-SA"/>
        </w:rPr>
      </w:pPr>
    </w:p>
    <w:p w14:paraId="19583D45">
      <w:pPr>
        <w:rPr>
          <w:color w:val="auto"/>
        </w:rPr>
      </w:pPr>
    </w:p>
    <w:p w14:paraId="2D1AD62F">
      <w:pPr>
        <w:rPr>
          <w:color w:val="auto"/>
        </w:rPr>
      </w:pPr>
    </w:p>
    <w:p w14:paraId="093A9115">
      <w:pPr>
        <w:rPr>
          <w:color w:val="auto"/>
        </w:rPr>
      </w:pPr>
    </w:p>
    <w:p w14:paraId="44844474">
      <w:pPr>
        <w:rPr>
          <w:color w:val="auto"/>
        </w:rPr>
      </w:pPr>
    </w:p>
    <w:p w14:paraId="71A2460B">
      <w:pPr>
        <w:rPr>
          <w:color w:val="auto"/>
        </w:rPr>
      </w:pPr>
    </w:p>
    <w:p w14:paraId="1E751E8B">
      <w:pPr>
        <w:rPr>
          <w:color w:val="auto"/>
        </w:rPr>
      </w:pPr>
    </w:p>
    <w:p w14:paraId="23624F9C">
      <w:pPr>
        <w:rPr>
          <w:color w:val="auto"/>
        </w:rPr>
      </w:pPr>
    </w:p>
    <w:p w14:paraId="603F0DF2">
      <w:pPr>
        <w:rPr>
          <w:color w:val="auto"/>
        </w:rPr>
      </w:pPr>
    </w:p>
    <w:p w14:paraId="11B45D81">
      <w:pPr>
        <w:rPr>
          <w:color w:val="auto"/>
        </w:rPr>
      </w:pPr>
    </w:p>
    <w:p w14:paraId="16C6CEB7">
      <w:pPr>
        <w:rPr>
          <w:color w:val="auto"/>
        </w:rPr>
      </w:pPr>
    </w:p>
    <w:p w14:paraId="6A08D983">
      <w:pPr>
        <w:rPr>
          <w:color w:val="auto"/>
        </w:rPr>
      </w:pPr>
    </w:p>
    <w:p w14:paraId="20DB97BD">
      <w:pPr>
        <w:rPr>
          <w:color w:val="auto"/>
        </w:rPr>
      </w:pPr>
    </w:p>
    <w:p w14:paraId="0D0996B5">
      <w:pPr>
        <w:rPr>
          <w:color w:val="auto"/>
        </w:rPr>
      </w:pPr>
    </w:p>
    <w:p w14:paraId="12C63DFE">
      <w:pPr>
        <w:rPr>
          <w:color w:val="auto"/>
        </w:rPr>
      </w:pPr>
    </w:p>
    <w:p w14:paraId="0F06641C">
      <w:pPr>
        <w:rPr>
          <w:color w:val="auto"/>
        </w:rPr>
      </w:pPr>
    </w:p>
    <w:p w14:paraId="2DAEA9AE">
      <w:pPr>
        <w:rPr>
          <w:color w:val="auto"/>
        </w:rPr>
      </w:pPr>
      <w:bookmarkStart w:id="124" w:name="_GoBack"/>
      <w:bookmarkEnd w:id="124"/>
    </w:p>
    <w:p w14:paraId="30521E0B">
      <w:pPr>
        <w:rPr>
          <w:color w:val="auto"/>
        </w:rPr>
      </w:pPr>
    </w:p>
    <w:p w14:paraId="5932D4C5">
      <w:pPr>
        <w:rPr>
          <w:color w:val="auto"/>
        </w:rPr>
      </w:pPr>
    </w:p>
    <w:p w14:paraId="3BA1249F">
      <w:pPr>
        <w:rPr>
          <w:color w:val="auto"/>
        </w:rPr>
      </w:pPr>
    </w:p>
    <w:p w14:paraId="7F0C84F7">
      <w:pPr>
        <w:rPr>
          <w:color w:val="auto"/>
        </w:rPr>
      </w:pPr>
    </w:p>
    <w:p w14:paraId="443D14B3">
      <w:pPr>
        <w:keepNext/>
        <w:keepLines/>
        <w:widowControl w:val="0"/>
        <w:tabs>
          <w:tab w:val="left" w:pos="576"/>
        </w:tabs>
        <w:autoSpaceDE/>
        <w:autoSpaceDN/>
        <w:adjustRightInd/>
        <w:spacing w:before="0" w:line="360" w:lineRule="auto"/>
        <w:ind w:left="578" w:hanging="578"/>
        <w:jc w:val="center"/>
        <w:outlineLvl w:val="1"/>
        <w:rPr>
          <w:rFonts w:ascii="宋体" w:hAnsi="宋体" w:eastAsia="宋体" w:cs="宋体"/>
          <w:b/>
          <w:color w:val="auto"/>
          <w:kern w:val="0"/>
          <w:sz w:val="32"/>
          <w:szCs w:val="32"/>
          <w:lang w:val="en-US" w:eastAsia="zh-CN" w:bidi="ar-SA"/>
        </w:rPr>
      </w:pPr>
      <w:bookmarkStart w:id="103" w:name="_Toc2644"/>
      <w:bookmarkStart w:id="104" w:name="_Toc22554"/>
      <w:r>
        <w:rPr>
          <w:rFonts w:hint="eastAsia" w:ascii="宋体" w:hAnsi="宋体" w:eastAsia="宋体" w:cs="宋体"/>
          <w:b/>
          <w:color w:val="auto"/>
          <w:kern w:val="2"/>
          <w:sz w:val="32"/>
          <w:szCs w:val="32"/>
          <w:lang w:val="en-US" w:eastAsia="zh-CN" w:bidi="ar-SA"/>
        </w:rPr>
        <w:t>七、</w:t>
      </w:r>
      <w:r>
        <w:rPr>
          <w:rFonts w:hint="eastAsia" w:ascii="宋体" w:hAnsi="宋体" w:eastAsia="宋体" w:cs="宋体"/>
          <w:b/>
          <w:color w:val="auto"/>
          <w:kern w:val="0"/>
          <w:sz w:val="32"/>
          <w:szCs w:val="32"/>
          <w:lang w:val="en-US" w:eastAsia="zh-CN" w:bidi="ar-SA"/>
        </w:rPr>
        <w:t>合同条款偏离表</w:t>
      </w:r>
      <w:bookmarkEnd w:id="103"/>
      <w:bookmarkEnd w:id="104"/>
    </w:p>
    <w:p w14:paraId="36E13AFA">
      <w:pPr>
        <w:spacing w:line="360" w:lineRule="auto"/>
        <w:ind w:left="1200" w:hanging="1200" w:hangingChars="500"/>
        <w:jc w:val="left"/>
        <w:rPr>
          <w:rFonts w:ascii="宋体" w:hAnsi="宋体" w:cs="宋体"/>
          <w:color w:val="auto"/>
          <w:sz w:val="24"/>
        </w:rPr>
      </w:pPr>
      <w:r>
        <w:rPr>
          <w:rFonts w:hint="eastAsia" w:ascii="宋体" w:hAnsi="宋体" w:cs="宋体"/>
          <w:bCs/>
          <w:color w:val="auto"/>
          <w:sz w:val="24"/>
        </w:rPr>
        <w:t>项目编号</w:t>
      </w:r>
      <w:r>
        <w:rPr>
          <w:rFonts w:hint="eastAsia" w:ascii="宋体" w:hAnsi="宋体" w:cs="宋体"/>
          <w:color w:val="auto"/>
          <w:sz w:val="24"/>
        </w:rPr>
        <w:t>：</w:t>
      </w:r>
      <w:r>
        <w:rPr>
          <w:rFonts w:hint="eastAsia" w:ascii="宋体" w:hAnsi="宋体" w:cs="宋体"/>
          <w:b/>
          <w:bCs/>
          <w:color w:val="auto"/>
          <w:sz w:val="24"/>
          <w:u w:val="single"/>
        </w:rPr>
        <w:t xml:space="preserve">                      </w:t>
      </w:r>
      <w:r>
        <w:rPr>
          <w:rFonts w:hint="eastAsia" w:ascii="宋体" w:hAnsi="宋体" w:cs="宋体"/>
          <w:color w:val="auto"/>
          <w:sz w:val="24"/>
        </w:rPr>
        <w:t xml:space="preserve">  </w:t>
      </w:r>
    </w:p>
    <w:p w14:paraId="2AC99712">
      <w:pPr>
        <w:spacing w:line="360" w:lineRule="auto"/>
        <w:jc w:val="left"/>
        <w:rPr>
          <w:b/>
          <w:color w:val="auto"/>
          <w:sz w:val="24"/>
        </w:rPr>
      </w:pPr>
      <w:r>
        <w:rPr>
          <w:rFonts w:hint="eastAsia" w:ascii="宋体" w:hAnsi="宋体" w:cs="宋体"/>
          <w:bCs/>
          <w:color w:val="auto"/>
          <w:sz w:val="24"/>
        </w:rPr>
        <w:t>项目名称</w:t>
      </w:r>
      <w:r>
        <w:rPr>
          <w:rFonts w:hint="eastAsia" w:ascii="宋体" w:hAnsi="宋体" w:cs="宋体"/>
          <w:bCs/>
          <w:color w:val="auto"/>
          <w:sz w:val="24"/>
          <w:lang w:val="en-US" w:eastAsia="zh-CN"/>
        </w:rPr>
        <w:t>/包号</w:t>
      </w:r>
      <w:r>
        <w:rPr>
          <w:rFonts w:hint="eastAsia" w:ascii="宋体" w:hAnsi="宋体" w:cs="宋体"/>
          <w:bCs/>
          <w:color w:val="auto"/>
          <w:sz w:val="24"/>
        </w:rPr>
        <w:t>：</w:t>
      </w:r>
      <w:r>
        <w:rPr>
          <w:rFonts w:hint="eastAsia" w:ascii="宋体" w:hAnsi="宋体" w:cs="宋体"/>
          <w:bCs/>
          <w:color w:val="auto"/>
          <w:sz w:val="24"/>
          <w:u w:val="single"/>
        </w:rPr>
        <w:t xml:space="preserve">                      </w:t>
      </w:r>
      <w:r>
        <w:rPr>
          <w:rFonts w:hint="eastAsia" w:ascii="宋体" w:hAnsi="宋体" w:cs="宋体"/>
          <w:bCs/>
          <w:color w:val="auto"/>
          <w:sz w:val="24"/>
        </w:rPr>
        <w:t xml:space="preserve"> </w:t>
      </w:r>
      <w:r>
        <w:rPr>
          <w:rFonts w:hint="eastAsia"/>
          <w:color w:val="auto"/>
          <w:sz w:val="24"/>
        </w:rPr>
        <w:t xml:space="preserve">         </w:t>
      </w:r>
    </w:p>
    <w:tbl>
      <w:tblPr>
        <w:tblStyle w:val="12"/>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9"/>
        <w:gridCol w:w="1560"/>
        <w:gridCol w:w="1777"/>
        <w:gridCol w:w="1778"/>
        <w:gridCol w:w="2184"/>
        <w:gridCol w:w="980"/>
      </w:tblGrid>
      <w:tr w14:paraId="4F32E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52F85375">
            <w:pPr>
              <w:adjustRightInd w:val="0"/>
              <w:snapToGrid w:val="0"/>
              <w:jc w:val="center"/>
              <w:rPr>
                <w:rFonts w:eastAsia="宋体"/>
                <w:color w:val="auto"/>
                <w:sz w:val="24"/>
              </w:rPr>
            </w:pPr>
            <w:r>
              <w:rPr>
                <w:rFonts w:eastAsia="宋体"/>
                <w:color w:val="auto"/>
                <w:sz w:val="24"/>
              </w:rPr>
              <w:t>序号</w:t>
            </w:r>
          </w:p>
        </w:tc>
        <w:tc>
          <w:tcPr>
            <w:tcW w:w="1560" w:type="dxa"/>
            <w:vAlign w:val="center"/>
          </w:tcPr>
          <w:p w14:paraId="3E382C64">
            <w:pPr>
              <w:adjustRightInd w:val="0"/>
              <w:snapToGrid w:val="0"/>
              <w:jc w:val="center"/>
              <w:rPr>
                <w:rFonts w:eastAsia="宋体"/>
                <w:color w:val="auto"/>
                <w:sz w:val="24"/>
              </w:rPr>
            </w:pPr>
            <w:r>
              <w:rPr>
                <w:rFonts w:eastAsia="宋体"/>
                <w:color w:val="auto"/>
                <w:sz w:val="24"/>
                <w:szCs w:val="21"/>
              </w:rPr>
              <w:t>竞争性磋商文件</w:t>
            </w:r>
            <w:r>
              <w:rPr>
                <w:rFonts w:eastAsia="宋体"/>
                <w:color w:val="auto"/>
                <w:sz w:val="24"/>
              </w:rPr>
              <w:t>条目号（页码）</w:t>
            </w:r>
          </w:p>
        </w:tc>
        <w:tc>
          <w:tcPr>
            <w:tcW w:w="1777" w:type="dxa"/>
            <w:vAlign w:val="center"/>
          </w:tcPr>
          <w:p w14:paraId="0152BC88">
            <w:pPr>
              <w:adjustRightInd w:val="0"/>
              <w:snapToGrid w:val="0"/>
              <w:jc w:val="center"/>
              <w:rPr>
                <w:rFonts w:eastAsia="宋体"/>
                <w:color w:val="auto"/>
                <w:sz w:val="24"/>
              </w:rPr>
            </w:pPr>
            <w:r>
              <w:rPr>
                <w:rFonts w:eastAsia="宋体"/>
                <w:color w:val="auto"/>
                <w:sz w:val="24"/>
                <w:szCs w:val="21"/>
              </w:rPr>
              <w:t>竞争性磋商文件</w:t>
            </w:r>
            <w:r>
              <w:rPr>
                <w:rFonts w:eastAsia="宋体"/>
                <w:color w:val="auto"/>
                <w:sz w:val="24"/>
              </w:rPr>
              <w:t>要求</w:t>
            </w:r>
          </w:p>
        </w:tc>
        <w:tc>
          <w:tcPr>
            <w:tcW w:w="1778" w:type="dxa"/>
            <w:vAlign w:val="center"/>
          </w:tcPr>
          <w:p w14:paraId="23C30124">
            <w:pPr>
              <w:adjustRightInd w:val="0"/>
              <w:snapToGrid w:val="0"/>
              <w:jc w:val="center"/>
              <w:rPr>
                <w:rFonts w:eastAsia="宋体"/>
                <w:color w:val="auto"/>
                <w:sz w:val="24"/>
              </w:rPr>
            </w:pPr>
            <w:r>
              <w:rPr>
                <w:rFonts w:eastAsia="宋体"/>
                <w:color w:val="auto"/>
                <w:sz w:val="24"/>
              </w:rPr>
              <w:t>响应文件内容</w:t>
            </w:r>
          </w:p>
        </w:tc>
        <w:tc>
          <w:tcPr>
            <w:tcW w:w="2184" w:type="dxa"/>
            <w:vAlign w:val="center"/>
          </w:tcPr>
          <w:p w14:paraId="23D954F9">
            <w:pPr>
              <w:adjustRightInd w:val="0"/>
              <w:snapToGrid w:val="0"/>
              <w:jc w:val="center"/>
              <w:rPr>
                <w:rFonts w:eastAsia="宋体"/>
                <w:color w:val="auto"/>
                <w:sz w:val="24"/>
              </w:rPr>
            </w:pPr>
            <w:r>
              <w:rPr>
                <w:rFonts w:eastAsia="宋体"/>
                <w:color w:val="auto"/>
                <w:sz w:val="24"/>
              </w:rPr>
              <w:t>偏离情况</w:t>
            </w:r>
          </w:p>
        </w:tc>
        <w:tc>
          <w:tcPr>
            <w:tcW w:w="980" w:type="dxa"/>
            <w:vAlign w:val="center"/>
          </w:tcPr>
          <w:p w14:paraId="175A6E7B">
            <w:pPr>
              <w:adjustRightInd w:val="0"/>
              <w:snapToGrid w:val="0"/>
              <w:jc w:val="center"/>
              <w:rPr>
                <w:rFonts w:eastAsia="宋体"/>
                <w:color w:val="auto"/>
                <w:sz w:val="24"/>
              </w:rPr>
            </w:pPr>
            <w:r>
              <w:rPr>
                <w:rFonts w:eastAsia="宋体"/>
                <w:color w:val="auto"/>
                <w:sz w:val="24"/>
              </w:rPr>
              <w:t>说明</w:t>
            </w:r>
          </w:p>
        </w:tc>
      </w:tr>
      <w:tr w14:paraId="4C83D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0B26BCB7">
            <w:pPr>
              <w:adjustRightInd w:val="0"/>
              <w:snapToGrid w:val="0"/>
              <w:jc w:val="left"/>
              <w:rPr>
                <w:rFonts w:ascii="宋体" w:hAnsi="宋体" w:cs="宋体"/>
                <w:b/>
                <w:color w:val="auto"/>
                <w:sz w:val="24"/>
              </w:rPr>
            </w:pPr>
            <w:r>
              <w:rPr>
                <w:rFonts w:hint="eastAsia" w:ascii="宋体" w:hAnsi="宋体" w:cs="宋体"/>
                <w:b/>
                <w:color w:val="auto"/>
                <w:sz w:val="24"/>
              </w:rPr>
              <w:t>对本项目合同条款的偏离情况（</w:t>
            </w:r>
            <w:r>
              <w:rPr>
                <w:rFonts w:hint="eastAsia" w:ascii="宋体" w:hAnsi="宋体" w:cs="宋体"/>
                <w:bCs/>
                <w:color w:val="auto"/>
                <w:sz w:val="24"/>
              </w:rPr>
              <w:t>应进行选择，未选择</w:t>
            </w:r>
            <w:r>
              <w:rPr>
                <w:rFonts w:hint="eastAsia" w:ascii="宋体" w:hAnsi="宋体" w:cs="宋体"/>
                <w:b/>
                <w:color w:val="auto"/>
                <w:sz w:val="24"/>
              </w:rPr>
              <w:t>响应无效）：</w:t>
            </w:r>
          </w:p>
          <w:p w14:paraId="55B74900">
            <w:pPr>
              <w:adjustRightInd w:val="0"/>
              <w:snapToGrid w:val="0"/>
              <w:jc w:val="left"/>
              <w:rPr>
                <w:rFonts w:ascii="宋体" w:hAnsi="宋体" w:cs="宋体"/>
                <w:b/>
                <w:color w:val="auto"/>
                <w:sz w:val="24"/>
              </w:rPr>
            </w:pPr>
            <w:r>
              <w:rPr>
                <w:rFonts w:hint="eastAsia" w:ascii="宋体" w:hAnsi="宋体" w:cs="宋体"/>
                <w:b/>
                <w:color w:val="auto"/>
                <w:sz w:val="24"/>
              </w:rPr>
              <w:t>□无偏离</w:t>
            </w:r>
            <w:r>
              <w:rPr>
                <w:rFonts w:hint="eastAsia" w:ascii="宋体" w:hAnsi="宋体" w:cs="宋体"/>
                <w:color w:val="auto"/>
                <w:sz w:val="24"/>
              </w:rPr>
              <w:t>（</w:t>
            </w:r>
            <w:r>
              <w:rPr>
                <w:rFonts w:hint="eastAsia" w:ascii="宋体" w:hAnsi="宋体" w:cs="宋体"/>
                <w:color w:val="auto"/>
                <w:sz w:val="24"/>
                <w:szCs w:val="21"/>
              </w:rPr>
              <w:t>如无偏离，仅选择无偏离即可；</w:t>
            </w:r>
            <w:r>
              <w:rPr>
                <w:rFonts w:hint="eastAsia" w:ascii="宋体" w:hAnsi="宋体" w:cs="宋体"/>
                <w:bCs/>
                <w:color w:val="auto"/>
                <w:sz w:val="24"/>
              </w:rPr>
              <w:t>无偏离即为</w:t>
            </w:r>
            <w:r>
              <w:rPr>
                <w:rFonts w:hint="eastAsia" w:ascii="宋体" w:hAnsi="宋体" w:cs="宋体"/>
                <w:color w:val="auto"/>
                <w:sz w:val="24"/>
              </w:rPr>
              <w:t>对合同条款中的所有要求，均视作供应商已对之理解和响应。）</w:t>
            </w:r>
          </w:p>
          <w:p w14:paraId="757F8030">
            <w:pPr>
              <w:adjustRightInd w:val="0"/>
              <w:snapToGrid w:val="0"/>
              <w:jc w:val="left"/>
              <w:rPr>
                <w:rFonts w:eastAsia="宋体"/>
                <w:color w:val="auto"/>
                <w:sz w:val="24"/>
              </w:rPr>
            </w:pPr>
            <w:r>
              <w:rPr>
                <w:rFonts w:hint="eastAsia" w:ascii="宋体" w:hAnsi="宋体" w:cs="宋体"/>
                <w:b/>
                <w:color w:val="auto"/>
                <w:sz w:val="24"/>
              </w:rPr>
              <w:t>□有偏离</w:t>
            </w:r>
            <w:r>
              <w:rPr>
                <w:rFonts w:hint="eastAsia" w:ascii="宋体" w:hAnsi="宋体" w:cs="宋体"/>
                <w:color w:val="auto"/>
                <w:sz w:val="24"/>
              </w:rPr>
              <w:t>（</w:t>
            </w:r>
            <w:r>
              <w:rPr>
                <w:rFonts w:hint="eastAsia" w:ascii="宋体" w:hAnsi="宋体" w:cs="宋体"/>
                <w:color w:val="auto"/>
                <w:sz w:val="24"/>
                <w:szCs w:val="21"/>
              </w:rPr>
              <w:t>如有偏离，</w:t>
            </w:r>
            <w:r>
              <w:rPr>
                <w:rFonts w:hint="eastAsia" w:ascii="宋体" w:hAnsi="宋体" w:cs="宋体"/>
                <w:color w:val="auto"/>
                <w:sz w:val="24"/>
              </w:rPr>
              <w:t>则应在本表中对负偏离项逐一列明，否则</w:t>
            </w:r>
            <w:r>
              <w:rPr>
                <w:rFonts w:hint="eastAsia" w:ascii="宋体" w:hAnsi="宋体" w:cs="宋体"/>
                <w:b/>
                <w:bCs/>
                <w:color w:val="auto"/>
                <w:sz w:val="24"/>
              </w:rPr>
              <w:t>响应无效</w:t>
            </w:r>
            <w:r>
              <w:rPr>
                <w:rFonts w:hint="eastAsia" w:ascii="宋体" w:hAnsi="宋体" w:cs="宋体"/>
                <w:color w:val="auto"/>
                <w:sz w:val="24"/>
              </w:rPr>
              <w:t>；对合同条款中的所有要求，除本表列明的偏离外，均视作供应商已对之理解和响应。）</w:t>
            </w:r>
          </w:p>
        </w:tc>
      </w:tr>
      <w:tr w14:paraId="71DE7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14888D6E">
            <w:pPr>
              <w:adjustRightInd w:val="0"/>
              <w:snapToGrid w:val="0"/>
              <w:jc w:val="center"/>
              <w:rPr>
                <w:rFonts w:eastAsia="宋体"/>
                <w:color w:val="auto"/>
                <w:sz w:val="24"/>
              </w:rPr>
            </w:pPr>
          </w:p>
        </w:tc>
        <w:tc>
          <w:tcPr>
            <w:tcW w:w="1560" w:type="dxa"/>
            <w:vAlign w:val="center"/>
          </w:tcPr>
          <w:p w14:paraId="52EFD7C1">
            <w:pPr>
              <w:adjustRightInd w:val="0"/>
              <w:snapToGrid w:val="0"/>
              <w:jc w:val="center"/>
              <w:rPr>
                <w:rFonts w:eastAsia="宋体"/>
                <w:color w:val="auto"/>
                <w:sz w:val="24"/>
              </w:rPr>
            </w:pPr>
          </w:p>
        </w:tc>
        <w:tc>
          <w:tcPr>
            <w:tcW w:w="1777" w:type="dxa"/>
            <w:vAlign w:val="center"/>
          </w:tcPr>
          <w:p w14:paraId="6B427CEC">
            <w:pPr>
              <w:adjustRightInd w:val="0"/>
              <w:snapToGrid w:val="0"/>
              <w:jc w:val="center"/>
              <w:rPr>
                <w:rFonts w:eastAsia="宋体"/>
                <w:color w:val="auto"/>
                <w:sz w:val="24"/>
              </w:rPr>
            </w:pPr>
          </w:p>
        </w:tc>
        <w:tc>
          <w:tcPr>
            <w:tcW w:w="1778" w:type="dxa"/>
            <w:vAlign w:val="center"/>
          </w:tcPr>
          <w:p w14:paraId="4B9BAC1B">
            <w:pPr>
              <w:adjustRightInd w:val="0"/>
              <w:snapToGrid w:val="0"/>
              <w:jc w:val="center"/>
              <w:rPr>
                <w:rFonts w:eastAsia="宋体"/>
                <w:color w:val="auto"/>
                <w:sz w:val="24"/>
              </w:rPr>
            </w:pPr>
          </w:p>
        </w:tc>
        <w:tc>
          <w:tcPr>
            <w:tcW w:w="2184" w:type="dxa"/>
            <w:vAlign w:val="center"/>
          </w:tcPr>
          <w:p w14:paraId="78C4A6F1">
            <w:pPr>
              <w:adjustRightInd w:val="0"/>
              <w:snapToGrid w:val="0"/>
              <w:jc w:val="center"/>
              <w:rPr>
                <w:rFonts w:eastAsia="宋体"/>
                <w:color w:val="auto"/>
                <w:sz w:val="24"/>
              </w:rPr>
            </w:pPr>
          </w:p>
        </w:tc>
        <w:tc>
          <w:tcPr>
            <w:tcW w:w="980" w:type="dxa"/>
            <w:vAlign w:val="center"/>
          </w:tcPr>
          <w:p w14:paraId="77672780">
            <w:pPr>
              <w:adjustRightInd w:val="0"/>
              <w:snapToGrid w:val="0"/>
              <w:jc w:val="center"/>
              <w:rPr>
                <w:rFonts w:eastAsia="宋体"/>
                <w:color w:val="auto"/>
                <w:sz w:val="24"/>
              </w:rPr>
            </w:pPr>
          </w:p>
        </w:tc>
      </w:tr>
      <w:tr w14:paraId="3582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23955A05">
            <w:pPr>
              <w:adjustRightInd w:val="0"/>
              <w:snapToGrid w:val="0"/>
              <w:jc w:val="center"/>
              <w:rPr>
                <w:rFonts w:eastAsia="宋体"/>
                <w:color w:val="auto"/>
                <w:sz w:val="24"/>
              </w:rPr>
            </w:pPr>
          </w:p>
        </w:tc>
        <w:tc>
          <w:tcPr>
            <w:tcW w:w="1560" w:type="dxa"/>
            <w:vAlign w:val="center"/>
          </w:tcPr>
          <w:p w14:paraId="2A2F94EB">
            <w:pPr>
              <w:adjustRightInd w:val="0"/>
              <w:snapToGrid w:val="0"/>
              <w:jc w:val="center"/>
              <w:rPr>
                <w:rFonts w:eastAsia="宋体"/>
                <w:color w:val="auto"/>
                <w:sz w:val="24"/>
              </w:rPr>
            </w:pPr>
          </w:p>
        </w:tc>
        <w:tc>
          <w:tcPr>
            <w:tcW w:w="1777" w:type="dxa"/>
            <w:vAlign w:val="center"/>
          </w:tcPr>
          <w:p w14:paraId="50571922">
            <w:pPr>
              <w:adjustRightInd w:val="0"/>
              <w:snapToGrid w:val="0"/>
              <w:jc w:val="center"/>
              <w:rPr>
                <w:rFonts w:eastAsia="宋体"/>
                <w:color w:val="auto"/>
                <w:sz w:val="24"/>
              </w:rPr>
            </w:pPr>
          </w:p>
        </w:tc>
        <w:tc>
          <w:tcPr>
            <w:tcW w:w="1778" w:type="dxa"/>
            <w:vAlign w:val="center"/>
          </w:tcPr>
          <w:p w14:paraId="2F4E50E0">
            <w:pPr>
              <w:adjustRightInd w:val="0"/>
              <w:snapToGrid w:val="0"/>
              <w:jc w:val="center"/>
              <w:rPr>
                <w:rFonts w:eastAsia="宋体"/>
                <w:color w:val="auto"/>
                <w:sz w:val="24"/>
              </w:rPr>
            </w:pPr>
          </w:p>
        </w:tc>
        <w:tc>
          <w:tcPr>
            <w:tcW w:w="2184" w:type="dxa"/>
            <w:vAlign w:val="center"/>
          </w:tcPr>
          <w:p w14:paraId="3E230AD1">
            <w:pPr>
              <w:adjustRightInd w:val="0"/>
              <w:snapToGrid w:val="0"/>
              <w:jc w:val="center"/>
              <w:rPr>
                <w:rFonts w:eastAsia="宋体"/>
                <w:color w:val="auto"/>
                <w:sz w:val="24"/>
              </w:rPr>
            </w:pPr>
          </w:p>
        </w:tc>
        <w:tc>
          <w:tcPr>
            <w:tcW w:w="980" w:type="dxa"/>
            <w:vAlign w:val="center"/>
          </w:tcPr>
          <w:p w14:paraId="0DCED58A">
            <w:pPr>
              <w:adjustRightInd w:val="0"/>
              <w:snapToGrid w:val="0"/>
              <w:jc w:val="center"/>
              <w:rPr>
                <w:rFonts w:eastAsia="宋体"/>
                <w:color w:val="auto"/>
                <w:sz w:val="24"/>
              </w:rPr>
            </w:pPr>
          </w:p>
        </w:tc>
      </w:tr>
      <w:tr w14:paraId="5DB4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59B2DBD2">
            <w:pPr>
              <w:adjustRightInd w:val="0"/>
              <w:snapToGrid w:val="0"/>
              <w:jc w:val="center"/>
              <w:rPr>
                <w:rFonts w:eastAsia="宋体"/>
                <w:color w:val="auto"/>
                <w:sz w:val="24"/>
              </w:rPr>
            </w:pPr>
          </w:p>
        </w:tc>
        <w:tc>
          <w:tcPr>
            <w:tcW w:w="1560" w:type="dxa"/>
            <w:vAlign w:val="center"/>
          </w:tcPr>
          <w:p w14:paraId="580E6BE7">
            <w:pPr>
              <w:adjustRightInd w:val="0"/>
              <w:snapToGrid w:val="0"/>
              <w:jc w:val="center"/>
              <w:rPr>
                <w:rFonts w:eastAsia="宋体"/>
                <w:color w:val="auto"/>
                <w:sz w:val="24"/>
              </w:rPr>
            </w:pPr>
          </w:p>
        </w:tc>
        <w:tc>
          <w:tcPr>
            <w:tcW w:w="1777" w:type="dxa"/>
            <w:vAlign w:val="center"/>
          </w:tcPr>
          <w:p w14:paraId="2AAB56FA">
            <w:pPr>
              <w:adjustRightInd w:val="0"/>
              <w:snapToGrid w:val="0"/>
              <w:jc w:val="center"/>
              <w:rPr>
                <w:rFonts w:eastAsia="宋体"/>
                <w:color w:val="auto"/>
                <w:sz w:val="24"/>
              </w:rPr>
            </w:pPr>
          </w:p>
        </w:tc>
        <w:tc>
          <w:tcPr>
            <w:tcW w:w="1778" w:type="dxa"/>
            <w:vAlign w:val="center"/>
          </w:tcPr>
          <w:p w14:paraId="4A7F4143">
            <w:pPr>
              <w:adjustRightInd w:val="0"/>
              <w:snapToGrid w:val="0"/>
              <w:jc w:val="center"/>
              <w:rPr>
                <w:rFonts w:eastAsia="宋体"/>
                <w:color w:val="auto"/>
                <w:sz w:val="24"/>
              </w:rPr>
            </w:pPr>
          </w:p>
        </w:tc>
        <w:tc>
          <w:tcPr>
            <w:tcW w:w="2184" w:type="dxa"/>
            <w:vAlign w:val="center"/>
          </w:tcPr>
          <w:p w14:paraId="70D0B142">
            <w:pPr>
              <w:adjustRightInd w:val="0"/>
              <w:snapToGrid w:val="0"/>
              <w:jc w:val="center"/>
              <w:rPr>
                <w:rFonts w:eastAsia="宋体"/>
                <w:color w:val="auto"/>
                <w:sz w:val="24"/>
              </w:rPr>
            </w:pPr>
          </w:p>
        </w:tc>
        <w:tc>
          <w:tcPr>
            <w:tcW w:w="980" w:type="dxa"/>
            <w:vAlign w:val="center"/>
          </w:tcPr>
          <w:p w14:paraId="199314D4">
            <w:pPr>
              <w:adjustRightInd w:val="0"/>
              <w:snapToGrid w:val="0"/>
              <w:jc w:val="center"/>
              <w:rPr>
                <w:rFonts w:eastAsia="宋体"/>
                <w:color w:val="auto"/>
                <w:sz w:val="24"/>
              </w:rPr>
            </w:pPr>
          </w:p>
        </w:tc>
      </w:tr>
      <w:tr w14:paraId="1DBFE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52FE50AB">
            <w:pPr>
              <w:adjustRightInd w:val="0"/>
              <w:snapToGrid w:val="0"/>
              <w:jc w:val="center"/>
              <w:rPr>
                <w:rFonts w:eastAsia="宋体"/>
                <w:color w:val="auto"/>
                <w:sz w:val="24"/>
              </w:rPr>
            </w:pPr>
          </w:p>
        </w:tc>
        <w:tc>
          <w:tcPr>
            <w:tcW w:w="1560" w:type="dxa"/>
            <w:vAlign w:val="center"/>
          </w:tcPr>
          <w:p w14:paraId="66558617">
            <w:pPr>
              <w:adjustRightInd w:val="0"/>
              <w:snapToGrid w:val="0"/>
              <w:jc w:val="center"/>
              <w:rPr>
                <w:rFonts w:eastAsia="宋体"/>
                <w:color w:val="auto"/>
                <w:sz w:val="24"/>
              </w:rPr>
            </w:pPr>
          </w:p>
        </w:tc>
        <w:tc>
          <w:tcPr>
            <w:tcW w:w="1777" w:type="dxa"/>
            <w:vAlign w:val="center"/>
          </w:tcPr>
          <w:p w14:paraId="55179212">
            <w:pPr>
              <w:adjustRightInd w:val="0"/>
              <w:snapToGrid w:val="0"/>
              <w:jc w:val="center"/>
              <w:rPr>
                <w:rFonts w:eastAsia="宋体"/>
                <w:color w:val="auto"/>
                <w:sz w:val="24"/>
              </w:rPr>
            </w:pPr>
          </w:p>
        </w:tc>
        <w:tc>
          <w:tcPr>
            <w:tcW w:w="1778" w:type="dxa"/>
            <w:vAlign w:val="center"/>
          </w:tcPr>
          <w:p w14:paraId="6BFC3758">
            <w:pPr>
              <w:adjustRightInd w:val="0"/>
              <w:snapToGrid w:val="0"/>
              <w:jc w:val="center"/>
              <w:rPr>
                <w:rFonts w:eastAsia="宋体"/>
                <w:color w:val="auto"/>
                <w:sz w:val="24"/>
              </w:rPr>
            </w:pPr>
          </w:p>
        </w:tc>
        <w:tc>
          <w:tcPr>
            <w:tcW w:w="2184" w:type="dxa"/>
            <w:vAlign w:val="center"/>
          </w:tcPr>
          <w:p w14:paraId="301A300E">
            <w:pPr>
              <w:adjustRightInd w:val="0"/>
              <w:snapToGrid w:val="0"/>
              <w:jc w:val="center"/>
              <w:rPr>
                <w:rFonts w:eastAsia="宋体"/>
                <w:color w:val="auto"/>
                <w:sz w:val="24"/>
              </w:rPr>
            </w:pPr>
          </w:p>
        </w:tc>
        <w:tc>
          <w:tcPr>
            <w:tcW w:w="980" w:type="dxa"/>
            <w:vAlign w:val="center"/>
          </w:tcPr>
          <w:p w14:paraId="1D01636F">
            <w:pPr>
              <w:adjustRightInd w:val="0"/>
              <w:snapToGrid w:val="0"/>
              <w:jc w:val="center"/>
              <w:rPr>
                <w:rFonts w:eastAsia="宋体"/>
                <w:color w:val="auto"/>
                <w:sz w:val="24"/>
              </w:rPr>
            </w:pPr>
          </w:p>
        </w:tc>
      </w:tr>
      <w:tr w14:paraId="1E0E1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09" w:type="dxa"/>
            <w:vAlign w:val="center"/>
          </w:tcPr>
          <w:p w14:paraId="091E9AF8">
            <w:pPr>
              <w:adjustRightInd w:val="0"/>
              <w:snapToGrid w:val="0"/>
              <w:jc w:val="center"/>
              <w:rPr>
                <w:rFonts w:eastAsia="宋体"/>
                <w:color w:val="auto"/>
                <w:sz w:val="24"/>
              </w:rPr>
            </w:pPr>
          </w:p>
        </w:tc>
        <w:tc>
          <w:tcPr>
            <w:tcW w:w="1560" w:type="dxa"/>
            <w:vAlign w:val="center"/>
          </w:tcPr>
          <w:p w14:paraId="4E8701B4">
            <w:pPr>
              <w:adjustRightInd w:val="0"/>
              <w:snapToGrid w:val="0"/>
              <w:jc w:val="center"/>
              <w:rPr>
                <w:rFonts w:eastAsia="宋体"/>
                <w:color w:val="auto"/>
                <w:sz w:val="24"/>
              </w:rPr>
            </w:pPr>
          </w:p>
        </w:tc>
        <w:tc>
          <w:tcPr>
            <w:tcW w:w="1777" w:type="dxa"/>
            <w:vAlign w:val="center"/>
          </w:tcPr>
          <w:p w14:paraId="0823A39A">
            <w:pPr>
              <w:adjustRightInd w:val="0"/>
              <w:snapToGrid w:val="0"/>
              <w:jc w:val="center"/>
              <w:rPr>
                <w:rFonts w:eastAsia="宋体"/>
                <w:color w:val="auto"/>
                <w:sz w:val="24"/>
              </w:rPr>
            </w:pPr>
          </w:p>
        </w:tc>
        <w:tc>
          <w:tcPr>
            <w:tcW w:w="1778" w:type="dxa"/>
            <w:vAlign w:val="center"/>
          </w:tcPr>
          <w:p w14:paraId="52C719D5">
            <w:pPr>
              <w:adjustRightInd w:val="0"/>
              <w:snapToGrid w:val="0"/>
              <w:jc w:val="center"/>
              <w:rPr>
                <w:rFonts w:eastAsia="宋体"/>
                <w:color w:val="auto"/>
                <w:sz w:val="24"/>
              </w:rPr>
            </w:pPr>
          </w:p>
        </w:tc>
        <w:tc>
          <w:tcPr>
            <w:tcW w:w="2184" w:type="dxa"/>
            <w:vAlign w:val="center"/>
          </w:tcPr>
          <w:p w14:paraId="226DEF45">
            <w:pPr>
              <w:adjustRightInd w:val="0"/>
              <w:snapToGrid w:val="0"/>
              <w:jc w:val="center"/>
              <w:rPr>
                <w:rFonts w:eastAsia="宋体"/>
                <w:color w:val="auto"/>
                <w:sz w:val="24"/>
              </w:rPr>
            </w:pPr>
          </w:p>
        </w:tc>
        <w:tc>
          <w:tcPr>
            <w:tcW w:w="980" w:type="dxa"/>
            <w:vAlign w:val="center"/>
          </w:tcPr>
          <w:p w14:paraId="106DCD6D">
            <w:pPr>
              <w:adjustRightInd w:val="0"/>
              <w:snapToGrid w:val="0"/>
              <w:jc w:val="center"/>
              <w:rPr>
                <w:rFonts w:eastAsia="宋体"/>
                <w:color w:val="auto"/>
                <w:sz w:val="24"/>
              </w:rPr>
            </w:pPr>
          </w:p>
        </w:tc>
      </w:tr>
    </w:tbl>
    <w:p w14:paraId="184A9B67">
      <w:pPr>
        <w:tabs>
          <w:tab w:val="left" w:pos="1800"/>
          <w:tab w:val="left" w:pos="5580"/>
        </w:tabs>
        <w:jc w:val="left"/>
        <w:rPr>
          <w:color w:val="auto"/>
          <w:sz w:val="24"/>
        </w:rPr>
      </w:pPr>
      <w:r>
        <w:rPr>
          <w:rFonts w:hint="eastAsia"/>
          <w:color w:val="auto"/>
          <w:sz w:val="24"/>
        </w:rPr>
        <w:t>注：</w:t>
      </w:r>
    </w:p>
    <w:p w14:paraId="2FD6A073">
      <w:pPr>
        <w:tabs>
          <w:tab w:val="left" w:pos="1800"/>
          <w:tab w:val="left" w:pos="5580"/>
        </w:tabs>
        <w:jc w:val="left"/>
        <w:rPr>
          <w:color w:val="auto"/>
          <w:sz w:val="24"/>
        </w:rPr>
      </w:pPr>
      <w:r>
        <w:rPr>
          <w:color w:val="auto"/>
          <w:sz w:val="24"/>
        </w:rPr>
        <w:t xml:space="preserve">1. </w:t>
      </w:r>
      <w:r>
        <w:rPr>
          <w:rFonts w:hint="eastAsia"/>
          <w:color w:val="auto"/>
          <w:sz w:val="24"/>
        </w:rPr>
        <w:t>对合同条款中的所有要求，除本表所列明的所有偏离外，均视作供应商已对之理解和响应。</w:t>
      </w:r>
    </w:p>
    <w:p w14:paraId="02E52F33">
      <w:pPr>
        <w:tabs>
          <w:tab w:val="left" w:pos="1800"/>
          <w:tab w:val="left" w:pos="5580"/>
        </w:tabs>
        <w:jc w:val="left"/>
        <w:rPr>
          <w:color w:val="auto"/>
          <w:sz w:val="24"/>
        </w:rPr>
      </w:pPr>
      <w:r>
        <w:rPr>
          <w:color w:val="auto"/>
          <w:sz w:val="24"/>
        </w:rPr>
        <w:t xml:space="preserve">2. </w:t>
      </w:r>
      <w:r>
        <w:rPr>
          <w:rFonts w:hint="eastAsia"/>
          <w:color w:val="auto"/>
          <w:sz w:val="24"/>
        </w:rPr>
        <w:t>“偏离情况”列应据实填写“正偏离”或“负偏离”。</w:t>
      </w:r>
    </w:p>
    <w:p w14:paraId="4D9C7F52">
      <w:pPr>
        <w:adjustRightInd w:val="0"/>
        <w:snapToGrid w:val="0"/>
        <w:spacing w:line="400" w:lineRule="exact"/>
        <w:rPr>
          <w:color w:val="auto"/>
          <w:sz w:val="24"/>
        </w:rPr>
      </w:pPr>
    </w:p>
    <w:p w14:paraId="25700F1C">
      <w:pPr>
        <w:autoSpaceDE w:val="0"/>
        <w:autoSpaceDN w:val="0"/>
        <w:adjustRightInd w:val="0"/>
        <w:snapToGrid w:val="0"/>
        <w:spacing w:before="25" w:after="25" w:line="360" w:lineRule="auto"/>
        <w:rPr>
          <w:color w:val="auto"/>
          <w:sz w:val="24"/>
        </w:rPr>
      </w:pPr>
      <w:r>
        <w:rPr>
          <w:color w:val="auto"/>
          <w:sz w:val="24"/>
        </w:rPr>
        <w:t>供应商名称（加盖公章）</w:t>
      </w:r>
      <w:r>
        <w:rPr>
          <w:rFonts w:hint="eastAsia" w:ascii="Times New Roman"/>
          <w:color w:val="auto"/>
          <w:sz w:val="24"/>
          <w:lang w:val="zh-CN"/>
        </w:rPr>
        <w:t>：</w:t>
      </w:r>
      <w:r>
        <w:rPr>
          <w:color w:val="auto"/>
          <w:sz w:val="24"/>
          <w:lang w:val="zh-CN"/>
        </w:rPr>
        <w:t xml:space="preserve"> ____________</w:t>
      </w:r>
    </w:p>
    <w:p w14:paraId="0063F491">
      <w:pPr>
        <w:spacing w:line="360" w:lineRule="auto"/>
        <w:rPr>
          <w:b/>
          <w:bCs/>
          <w:color w:val="auto"/>
          <w:sz w:val="32"/>
          <w:szCs w:val="32"/>
        </w:rPr>
      </w:pPr>
      <w:r>
        <w:rPr>
          <w:color w:val="auto"/>
          <w:sz w:val="24"/>
          <w:szCs w:val="20"/>
        </w:rPr>
        <w:t xml:space="preserve">日期：_____年______月______日  </w:t>
      </w:r>
    </w:p>
    <w:p w14:paraId="5D0F355F">
      <w:pPr>
        <w:rPr>
          <w:color w:val="auto"/>
        </w:rPr>
      </w:pPr>
    </w:p>
    <w:p w14:paraId="6B2D0F47">
      <w:pPr>
        <w:rPr>
          <w:color w:val="auto"/>
        </w:rPr>
      </w:pPr>
    </w:p>
    <w:p w14:paraId="3D86091C">
      <w:pPr>
        <w:rPr>
          <w:color w:val="auto"/>
        </w:rPr>
      </w:pPr>
    </w:p>
    <w:p w14:paraId="676362C2">
      <w:pPr>
        <w:rPr>
          <w:color w:val="auto"/>
        </w:rPr>
      </w:pPr>
    </w:p>
    <w:p w14:paraId="45E52C3E">
      <w:pPr>
        <w:rPr>
          <w:color w:val="auto"/>
        </w:rPr>
      </w:pPr>
    </w:p>
    <w:p w14:paraId="1AC77F3C">
      <w:pPr>
        <w:rPr>
          <w:color w:val="auto"/>
        </w:rPr>
      </w:pPr>
    </w:p>
    <w:p w14:paraId="7B78B200">
      <w:pPr>
        <w:rPr>
          <w:color w:val="auto"/>
        </w:rPr>
      </w:pPr>
    </w:p>
    <w:p w14:paraId="083B57CD">
      <w:pPr>
        <w:rPr>
          <w:color w:val="auto"/>
        </w:rPr>
      </w:pPr>
    </w:p>
    <w:bookmarkEnd w:id="72"/>
    <w:bookmarkEnd w:id="73"/>
    <w:bookmarkEnd w:id="74"/>
    <w:bookmarkEnd w:id="75"/>
    <w:bookmarkEnd w:id="76"/>
    <w:p w14:paraId="0B30F4EC">
      <w:pPr>
        <w:spacing w:line="360" w:lineRule="auto"/>
        <w:rPr>
          <w:b/>
          <w:bCs/>
          <w:color w:val="auto"/>
          <w:sz w:val="32"/>
          <w:szCs w:val="32"/>
        </w:rPr>
      </w:pPr>
    </w:p>
    <w:bookmarkEnd w:id="77"/>
    <w:bookmarkEnd w:id="78"/>
    <w:bookmarkEnd w:id="79"/>
    <w:bookmarkEnd w:id="80"/>
    <w:bookmarkEnd w:id="81"/>
    <w:bookmarkEnd w:id="82"/>
    <w:bookmarkEnd w:id="83"/>
    <w:bookmarkEnd w:id="84"/>
    <w:bookmarkEnd w:id="85"/>
    <w:bookmarkEnd w:id="86"/>
    <w:bookmarkEnd w:id="87"/>
    <w:p w14:paraId="2C019E85">
      <w:pPr>
        <w:keepNext/>
        <w:keepLines/>
        <w:widowControl w:val="0"/>
        <w:autoSpaceDE w:val="0"/>
        <w:autoSpaceDN w:val="0"/>
        <w:adjustRightInd w:val="0"/>
        <w:spacing w:before="120" w:line="300" w:lineRule="auto"/>
        <w:jc w:val="center"/>
        <w:outlineLvl w:val="1"/>
        <w:rPr>
          <w:rFonts w:ascii="宋体" w:hAnsi="宋体" w:eastAsia="宋体" w:cs="宋体"/>
          <w:b/>
          <w:color w:val="auto"/>
          <w:kern w:val="0"/>
          <w:sz w:val="32"/>
          <w:szCs w:val="32"/>
          <w:lang w:val="en-US" w:eastAsia="zh-CN" w:bidi="ar-SA"/>
        </w:rPr>
      </w:pPr>
      <w:bookmarkStart w:id="105" w:name="_Toc16891"/>
      <w:bookmarkStart w:id="106" w:name="_Toc14008"/>
      <w:r>
        <w:rPr>
          <w:rFonts w:hint="eastAsia" w:ascii="宋体" w:hAnsi="宋体" w:eastAsia="宋体" w:cs="宋体"/>
          <w:b/>
          <w:color w:val="auto"/>
          <w:kern w:val="0"/>
          <w:sz w:val="32"/>
          <w:szCs w:val="32"/>
          <w:lang w:val="en-US" w:eastAsia="zh-CN" w:bidi="ar-SA"/>
        </w:rPr>
        <w:t>八、采购需求偏离表</w:t>
      </w:r>
      <w:bookmarkEnd w:id="105"/>
      <w:bookmarkEnd w:id="106"/>
    </w:p>
    <w:p w14:paraId="1BAF2911">
      <w:pPr>
        <w:spacing w:line="360" w:lineRule="auto"/>
        <w:ind w:left="1200" w:hanging="1200" w:hangingChars="500"/>
        <w:jc w:val="left"/>
        <w:rPr>
          <w:rFonts w:ascii="宋体" w:hAnsi="宋体" w:cs="宋体"/>
          <w:color w:val="auto"/>
          <w:sz w:val="24"/>
        </w:rPr>
      </w:pPr>
      <w:r>
        <w:rPr>
          <w:rFonts w:hint="eastAsia" w:ascii="宋体" w:hAnsi="宋体" w:cs="宋体"/>
          <w:bCs/>
          <w:color w:val="auto"/>
          <w:sz w:val="24"/>
        </w:rPr>
        <w:t>项目编号</w:t>
      </w:r>
      <w:r>
        <w:rPr>
          <w:rFonts w:hint="eastAsia" w:ascii="宋体" w:hAnsi="宋体" w:cs="宋体"/>
          <w:b/>
          <w:bCs/>
          <w:color w:val="auto"/>
          <w:sz w:val="24"/>
        </w:rPr>
        <w:t>：</w:t>
      </w:r>
      <w:r>
        <w:rPr>
          <w:rFonts w:hint="eastAsia" w:ascii="宋体" w:hAnsi="宋体" w:cs="宋体"/>
          <w:b/>
          <w:bCs/>
          <w:color w:val="auto"/>
          <w:sz w:val="24"/>
          <w:u w:val="single"/>
        </w:rPr>
        <w:t xml:space="preserve">                      </w:t>
      </w:r>
      <w:r>
        <w:rPr>
          <w:rFonts w:hint="eastAsia" w:ascii="宋体" w:hAnsi="宋体" w:cs="宋体"/>
          <w:color w:val="auto"/>
          <w:sz w:val="24"/>
        </w:rPr>
        <w:t xml:space="preserve">  </w:t>
      </w:r>
    </w:p>
    <w:p w14:paraId="4C56CDCA">
      <w:pPr>
        <w:tabs>
          <w:tab w:val="left" w:pos="1800"/>
          <w:tab w:val="left" w:pos="5580"/>
        </w:tabs>
        <w:spacing w:line="360" w:lineRule="auto"/>
        <w:jc w:val="left"/>
        <w:rPr>
          <w:bCs/>
          <w:color w:val="auto"/>
          <w:sz w:val="24"/>
        </w:rPr>
      </w:pPr>
      <w:r>
        <w:rPr>
          <w:rFonts w:hint="eastAsia" w:ascii="宋体" w:hAnsi="宋体" w:cs="宋体"/>
          <w:bCs/>
          <w:color w:val="auto"/>
          <w:sz w:val="24"/>
        </w:rPr>
        <w:t>项目名称</w:t>
      </w:r>
      <w:r>
        <w:rPr>
          <w:rFonts w:hint="eastAsia" w:ascii="宋体" w:hAnsi="宋体" w:cs="宋体"/>
          <w:bCs/>
          <w:color w:val="auto"/>
          <w:sz w:val="24"/>
          <w:lang w:val="en-US" w:eastAsia="zh-CN"/>
        </w:rPr>
        <w:t>/包号</w:t>
      </w:r>
      <w:r>
        <w:rPr>
          <w:rFonts w:hint="eastAsia" w:ascii="宋体" w:hAnsi="宋体" w:cs="宋体"/>
          <w:bCs/>
          <w:color w:val="auto"/>
          <w:sz w:val="24"/>
        </w:rPr>
        <w:t>：</w:t>
      </w:r>
      <w:r>
        <w:rPr>
          <w:rFonts w:hint="eastAsia" w:ascii="宋体" w:hAnsi="宋体" w:cs="宋体"/>
          <w:bCs/>
          <w:color w:val="auto"/>
          <w:sz w:val="24"/>
          <w:u w:val="single"/>
        </w:rPr>
        <w:t xml:space="preserve">                      </w:t>
      </w:r>
      <w:r>
        <w:rPr>
          <w:rFonts w:hint="eastAsia" w:ascii="宋体" w:hAnsi="宋体" w:cs="宋体"/>
          <w:bCs/>
          <w:color w:val="auto"/>
          <w:sz w:val="24"/>
        </w:rPr>
        <w:t xml:space="preserve"> </w:t>
      </w:r>
      <w:r>
        <w:rPr>
          <w:rFonts w:hint="eastAsia"/>
          <w:color w:val="auto"/>
          <w:sz w:val="24"/>
        </w:rPr>
        <w:t xml:space="preserve"> </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407"/>
        <w:gridCol w:w="2266"/>
        <w:gridCol w:w="2020"/>
        <w:gridCol w:w="1782"/>
        <w:gridCol w:w="958"/>
      </w:tblGrid>
      <w:tr w14:paraId="08778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36" w:type="dxa"/>
            <w:vAlign w:val="center"/>
          </w:tcPr>
          <w:p w14:paraId="66609DF9">
            <w:pPr>
              <w:adjustRightInd w:val="0"/>
              <w:snapToGrid w:val="0"/>
              <w:jc w:val="center"/>
              <w:rPr>
                <w:color w:val="auto"/>
                <w:sz w:val="24"/>
              </w:rPr>
            </w:pPr>
            <w:r>
              <w:rPr>
                <w:color w:val="auto"/>
                <w:sz w:val="24"/>
              </w:rPr>
              <w:t>序号</w:t>
            </w:r>
          </w:p>
        </w:tc>
        <w:tc>
          <w:tcPr>
            <w:tcW w:w="1407" w:type="dxa"/>
            <w:vAlign w:val="center"/>
          </w:tcPr>
          <w:p w14:paraId="616DB2E6">
            <w:pPr>
              <w:adjustRightInd w:val="0"/>
              <w:snapToGrid w:val="0"/>
              <w:jc w:val="center"/>
              <w:rPr>
                <w:color w:val="auto"/>
                <w:sz w:val="24"/>
              </w:rPr>
            </w:pPr>
            <w:r>
              <w:rPr>
                <w:rFonts w:hint="eastAsia"/>
                <w:color w:val="auto"/>
                <w:sz w:val="24"/>
              </w:rPr>
              <w:t>磋商</w:t>
            </w:r>
            <w:r>
              <w:rPr>
                <w:color w:val="auto"/>
                <w:sz w:val="24"/>
              </w:rPr>
              <w:t>文件条目号</w:t>
            </w:r>
          </w:p>
          <w:p w14:paraId="00FBBD8C">
            <w:pPr>
              <w:adjustRightInd w:val="0"/>
              <w:snapToGrid w:val="0"/>
              <w:jc w:val="center"/>
              <w:rPr>
                <w:color w:val="auto"/>
                <w:sz w:val="24"/>
              </w:rPr>
            </w:pPr>
            <w:r>
              <w:rPr>
                <w:rFonts w:hint="eastAsia"/>
                <w:color w:val="auto"/>
                <w:sz w:val="24"/>
              </w:rPr>
              <w:t>（</w:t>
            </w:r>
            <w:r>
              <w:rPr>
                <w:color w:val="auto"/>
                <w:sz w:val="24"/>
              </w:rPr>
              <w:t>页码</w:t>
            </w:r>
            <w:r>
              <w:rPr>
                <w:rFonts w:hint="eastAsia"/>
                <w:color w:val="auto"/>
                <w:sz w:val="24"/>
              </w:rPr>
              <w:t>）</w:t>
            </w:r>
          </w:p>
        </w:tc>
        <w:tc>
          <w:tcPr>
            <w:tcW w:w="2266" w:type="dxa"/>
            <w:vAlign w:val="center"/>
          </w:tcPr>
          <w:p w14:paraId="060D75AA">
            <w:pPr>
              <w:adjustRightInd w:val="0"/>
              <w:snapToGrid w:val="0"/>
              <w:jc w:val="center"/>
              <w:rPr>
                <w:color w:val="auto"/>
                <w:sz w:val="24"/>
              </w:rPr>
            </w:pPr>
            <w:r>
              <w:rPr>
                <w:rFonts w:hint="eastAsia"/>
                <w:color w:val="auto"/>
                <w:sz w:val="24"/>
              </w:rPr>
              <w:t>磋商</w:t>
            </w:r>
            <w:r>
              <w:rPr>
                <w:color w:val="auto"/>
                <w:sz w:val="24"/>
              </w:rPr>
              <w:t>文件要求</w:t>
            </w:r>
          </w:p>
        </w:tc>
        <w:tc>
          <w:tcPr>
            <w:tcW w:w="2020" w:type="dxa"/>
            <w:vAlign w:val="center"/>
          </w:tcPr>
          <w:p w14:paraId="0CD82AE7">
            <w:pPr>
              <w:adjustRightInd w:val="0"/>
              <w:snapToGrid w:val="0"/>
              <w:jc w:val="center"/>
              <w:rPr>
                <w:color w:val="auto"/>
                <w:sz w:val="24"/>
              </w:rPr>
            </w:pPr>
            <w:r>
              <w:rPr>
                <w:color w:val="auto"/>
                <w:sz w:val="24"/>
              </w:rPr>
              <w:t>响应内容</w:t>
            </w:r>
          </w:p>
        </w:tc>
        <w:tc>
          <w:tcPr>
            <w:tcW w:w="1782" w:type="dxa"/>
            <w:vAlign w:val="center"/>
          </w:tcPr>
          <w:p w14:paraId="25F33230">
            <w:pPr>
              <w:adjustRightInd w:val="0"/>
              <w:snapToGrid w:val="0"/>
              <w:jc w:val="center"/>
              <w:rPr>
                <w:color w:val="auto"/>
                <w:sz w:val="24"/>
              </w:rPr>
            </w:pPr>
            <w:r>
              <w:rPr>
                <w:color w:val="auto"/>
                <w:sz w:val="24"/>
              </w:rPr>
              <w:t>偏离情况</w:t>
            </w:r>
          </w:p>
          <w:p w14:paraId="7A5E5D17">
            <w:pPr>
              <w:adjustRightInd w:val="0"/>
              <w:snapToGrid w:val="0"/>
              <w:jc w:val="center"/>
              <w:rPr>
                <w:color w:val="auto"/>
                <w:sz w:val="24"/>
              </w:rPr>
            </w:pPr>
            <w:r>
              <w:rPr>
                <w:color w:val="auto"/>
                <w:sz w:val="24"/>
                <w:szCs w:val="21"/>
              </w:rPr>
              <w:t>（据实填写）</w:t>
            </w:r>
          </w:p>
        </w:tc>
        <w:tc>
          <w:tcPr>
            <w:tcW w:w="958" w:type="dxa"/>
            <w:vAlign w:val="center"/>
          </w:tcPr>
          <w:p w14:paraId="2CF896CB">
            <w:pPr>
              <w:adjustRightInd w:val="0"/>
              <w:snapToGrid w:val="0"/>
              <w:jc w:val="center"/>
              <w:rPr>
                <w:color w:val="auto"/>
                <w:sz w:val="24"/>
              </w:rPr>
            </w:pPr>
            <w:r>
              <w:rPr>
                <w:color w:val="auto"/>
                <w:sz w:val="24"/>
              </w:rPr>
              <w:t>说明</w:t>
            </w:r>
          </w:p>
        </w:tc>
      </w:tr>
      <w:tr w14:paraId="45194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6" w:type="dxa"/>
            <w:vAlign w:val="center"/>
          </w:tcPr>
          <w:p w14:paraId="0BE33239">
            <w:pPr>
              <w:adjustRightInd w:val="0"/>
              <w:snapToGrid w:val="0"/>
              <w:jc w:val="center"/>
              <w:rPr>
                <w:color w:val="auto"/>
                <w:sz w:val="24"/>
              </w:rPr>
            </w:pPr>
          </w:p>
        </w:tc>
        <w:tc>
          <w:tcPr>
            <w:tcW w:w="1407" w:type="dxa"/>
            <w:vAlign w:val="center"/>
          </w:tcPr>
          <w:p w14:paraId="3C997A30">
            <w:pPr>
              <w:adjustRightInd w:val="0"/>
              <w:snapToGrid w:val="0"/>
              <w:jc w:val="center"/>
              <w:rPr>
                <w:color w:val="auto"/>
                <w:sz w:val="24"/>
              </w:rPr>
            </w:pPr>
          </w:p>
        </w:tc>
        <w:tc>
          <w:tcPr>
            <w:tcW w:w="2266" w:type="dxa"/>
            <w:vAlign w:val="center"/>
          </w:tcPr>
          <w:p w14:paraId="590B408B">
            <w:pPr>
              <w:adjustRightInd w:val="0"/>
              <w:snapToGrid w:val="0"/>
              <w:jc w:val="center"/>
              <w:rPr>
                <w:color w:val="auto"/>
                <w:sz w:val="24"/>
              </w:rPr>
            </w:pPr>
          </w:p>
        </w:tc>
        <w:tc>
          <w:tcPr>
            <w:tcW w:w="2020" w:type="dxa"/>
            <w:vAlign w:val="center"/>
          </w:tcPr>
          <w:p w14:paraId="414C8B66">
            <w:pPr>
              <w:adjustRightInd w:val="0"/>
              <w:snapToGrid w:val="0"/>
              <w:jc w:val="center"/>
              <w:rPr>
                <w:color w:val="auto"/>
                <w:sz w:val="24"/>
              </w:rPr>
            </w:pPr>
          </w:p>
        </w:tc>
        <w:tc>
          <w:tcPr>
            <w:tcW w:w="1782" w:type="dxa"/>
            <w:vAlign w:val="center"/>
          </w:tcPr>
          <w:p w14:paraId="5C180980">
            <w:pPr>
              <w:adjustRightInd w:val="0"/>
              <w:snapToGrid w:val="0"/>
              <w:jc w:val="center"/>
              <w:rPr>
                <w:color w:val="auto"/>
                <w:sz w:val="24"/>
              </w:rPr>
            </w:pPr>
          </w:p>
        </w:tc>
        <w:tc>
          <w:tcPr>
            <w:tcW w:w="958" w:type="dxa"/>
            <w:vAlign w:val="center"/>
          </w:tcPr>
          <w:p w14:paraId="113F1500">
            <w:pPr>
              <w:adjustRightInd w:val="0"/>
              <w:snapToGrid w:val="0"/>
              <w:jc w:val="center"/>
              <w:rPr>
                <w:color w:val="auto"/>
                <w:sz w:val="24"/>
              </w:rPr>
            </w:pPr>
          </w:p>
        </w:tc>
      </w:tr>
      <w:tr w14:paraId="722EA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6" w:type="dxa"/>
            <w:vAlign w:val="center"/>
          </w:tcPr>
          <w:p w14:paraId="7A649E9E">
            <w:pPr>
              <w:adjustRightInd w:val="0"/>
              <w:snapToGrid w:val="0"/>
              <w:jc w:val="center"/>
              <w:rPr>
                <w:color w:val="auto"/>
                <w:sz w:val="24"/>
              </w:rPr>
            </w:pPr>
          </w:p>
        </w:tc>
        <w:tc>
          <w:tcPr>
            <w:tcW w:w="1407" w:type="dxa"/>
            <w:vAlign w:val="center"/>
          </w:tcPr>
          <w:p w14:paraId="4BA86F2B">
            <w:pPr>
              <w:adjustRightInd w:val="0"/>
              <w:snapToGrid w:val="0"/>
              <w:jc w:val="center"/>
              <w:rPr>
                <w:color w:val="auto"/>
                <w:sz w:val="24"/>
              </w:rPr>
            </w:pPr>
          </w:p>
        </w:tc>
        <w:tc>
          <w:tcPr>
            <w:tcW w:w="2266" w:type="dxa"/>
            <w:vAlign w:val="center"/>
          </w:tcPr>
          <w:p w14:paraId="08575D4B">
            <w:pPr>
              <w:adjustRightInd w:val="0"/>
              <w:snapToGrid w:val="0"/>
              <w:jc w:val="center"/>
              <w:rPr>
                <w:color w:val="auto"/>
                <w:sz w:val="24"/>
              </w:rPr>
            </w:pPr>
          </w:p>
        </w:tc>
        <w:tc>
          <w:tcPr>
            <w:tcW w:w="2020" w:type="dxa"/>
            <w:vAlign w:val="center"/>
          </w:tcPr>
          <w:p w14:paraId="57D0B353">
            <w:pPr>
              <w:adjustRightInd w:val="0"/>
              <w:snapToGrid w:val="0"/>
              <w:jc w:val="center"/>
              <w:rPr>
                <w:color w:val="auto"/>
                <w:sz w:val="24"/>
              </w:rPr>
            </w:pPr>
          </w:p>
        </w:tc>
        <w:tc>
          <w:tcPr>
            <w:tcW w:w="1782" w:type="dxa"/>
            <w:vAlign w:val="center"/>
          </w:tcPr>
          <w:p w14:paraId="08FBD188">
            <w:pPr>
              <w:adjustRightInd w:val="0"/>
              <w:snapToGrid w:val="0"/>
              <w:jc w:val="center"/>
              <w:rPr>
                <w:color w:val="auto"/>
                <w:sz w:val="24"/>
              </w:rPr>
            </w:pPr>
          </w:p>
        </w:tc>
        <w:tc>
          <w:tcPr>
            <w:tcW w:w="958" w:type="dxa"/>
            <w:vAlign w:val="center"/>
          </w:tcPr>
          <w:p w14:paraId="584FF817">
            <w:pPr>
              <w:adjustRightInd w:val="0"/>
              <w:snapToGrid w:val="0"/>
              <w:jc w:val="center"/>
              <w:rPr>
                <w:color w:val="auto"/>
                <w:sz w:val="24"/>
              </w:rPr>
            </w:pPr>
          </w:p>
        </w:tc>
      </w:tr>
      <w:tr w14:paraId="541F6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6" w:type="dxa"/>
            <w:vAlign w:val="center"/>
          </w:tcPr>
          <w:p w14:paraId="1C71AC62">
            <w:pPr>
              <w:adjustRightInd w:val="0"/>
              <w:snapToGrid w:val="0"/>
              <w:jc w:val="center"/>
              <w:rPr>
                <w:color w:val="auto"/>
                <w:sz w:val="24"/>
              </w:rPr>
            </w:pPr>
          </w:p>
        </w:tc>
        <w:tc>
          <w:tcPr>
            <w:tcW w:w="1407" w:type="dxa"/>
            <w:vAlign w:val="center"/>
          </w:tcPr>
          <w:p w14:paraId="42CBF48E">
            <w:pPr>
              <w:adjustRightInd w:val="0"/>
              <w:snapToGrid w:val="0"/>
              <w:jc w:val="center"/>
              <w:rPr>
                <w:color w:val="auto"/>
                <w:sz w:val="24"/>
              </w:rPr>
            </w:pPr>
          </w:p>
        </w:tc>
        <w:tc>
          <w:tcPr>
            <w:tcW w:w="2266" w:type="dxa"/>
            <w:vAlign w:val="center"/>
          </w:tcPr>
          <w:p w14:paraId="6B74400B">
            <w:pPr>
              <w:adjustRightInd w:val="0"/>
              <w:snapToGrid w:val="0"/>
              <w:jc w:val="center"/>
              <w:rPr>
                <w:color w:val="auto"/>
                <w:sz w:val="24"/>
              </w:rPr>
            </w:pPr>
          </w:p>
        </w:tc>
        <w:tc>
          <w:tcPr>
            <w:tcW w:w="2020" w:type="dxa"/>
            <w:vAlign w:val="center"/>
          </w:tcPr>
          <w:p w14:paraId="21BEF9C7">
            <w:pPr>
              <w:adjustRightInd w:val="0"/>
              <w:snapToGrid w:val="0"/>
              <w:jc w:val="center"/>
              <w:rPr>
                <w:color w:val="auto"/>
                <w:sz w:val="24"/>
              </w:rPr>
            </w:pPr>
          </w:p>
        </w:tc>
        <w:tc>
          <w:tcPr>
            <w:tcW w:w="1782" w:type="dxa"/>
            <w:vAlign w:val="center"/>
          </w:tcPr>
          <w:p w14:paraId="6262D858">
            <w:pPr>
              <w:adjustRightInd w:val="0"/>
              <w:snapToGrid w:val="0"/>
              <w:jc w:val="center"/>
              <w:rPr>
                <w:color w:val="auto"/>
                <w:sz w:val="24"/>
              </w:rPr>
            </w:pPr>
          </w:p>
        </w:tc>
        <w:tc>
          <w:tcPr>
            <w:tcW w:w="958" w:type="dxa"/>
            <w:vAlign w:val="center"/>
          </w:tcPr>
          <w:p w14:paraId="75CB5F8B">
            <w:pPr>
              <w:adjustRightInd w:val="0"/>
              <w:snapToGrid w:val="0"/>
              <w:jc w:val="center"/>
              <w:rPr>
                <w:color w:val="auto"/>
                <w:sz w:val="24"/>
              </w:rPr>
            </w:pPr>
          </w:p>
        </w:tc>
      </w:tr>
      <w:tr w14:paraId="39617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6" w:type="dxa"/>
            <w:vAlign w:val="center"/>
          </w:tcPr>
          <w:p w14:paraId="200286EF">
            <w:pPr>
              <w:adjustRightInd w:val="0"/>
              <w:snapToGrid w:val="0"/>
              <w:jc w:val="center"/>
              <w:rPr>
                <w:color w:val="auto"/>
                <w:sz w:val="24"/>
              </w:rPr>
            </w:pPr>
          </w:p>
        </w:tc>
        <w:tc>
          <w:tcPr>
            <w:tcW w:w="1407" w:type="dxa"/>
            <w:vAlign w:val="center"/>
          </w:tcPr>
          <w:p w14:paraId="226E0CAE">
            <w:pPr>
              <w:adjustRightInd w:val="0"/>
              <w:snapToGrid w:val="0"/>
              <w:jc w:val="center"/>
              <w:rPr>
                <w:color w:val="auto"/>
                <w:sz w:val="24"/>
              </w:rPr>
            </w:pPr>
          </w:p>
        </w:tc>
        <w:tc>
          <w:tcPr>
            <w:tcW w:w="2266" w:type="dxa"/>
            <w:vAlign w:val="center"/>
          </w:tcPr>
          <w:p w14:paraId="438BB461">
            <w:pPr>
              <w:adjustRightInd w:val="0"/>
              <w:snapToGrid w:val="0"/>
              <w:jc w:val="center"/>
              <w:rPr>
                <w:color w:val="auto"/>
                <w:sz w:val="24"/>
              </w:rPr>
            </w:pPr>
          </w:p>
        </w:tc>
        <w:tc>
          <w:tcPr>
            <w:tcW w:w="2020" w:type="dxa"/>
            <w:vAlign w:val="center"/>
          </w:tcPr>
          <w:p w14:paraId="6A906C8B">
            <w:pPr>
              <w:adjustRightInd w:val="0"/>
              <w:snapToGrid w:val="0"/>
              <w:jc w:val="center"/>
              <w:rPr>
                <w:color w:val="auto"/>
                <w:sz w:val="24"/>
              </w:rPr>
            </w:pPr>
          </w:p>
        </w:tc>
        <w:tc>
          <w:tcPr>
            <w:tcW w:w="1782" w:type="dxa"/>
            <w:vAlign w:val="center"/>
          </w:tcPr>
          <w:p w14:paraId="050C79CE">
            <w:pPr>
              <w:adjustRightInd w:val="0"/>
              <w:snapToGrid w:val="0"/>
              <w:jc w:val="center"/>
              <w:rPr>
                <w:color w:val="auto"/>
                <w:sz w:val="24"/>
              </w:rPr>
            </w:pPr>
          </w:p>
        </w:tc>
        <w:tc>
          <w:tcPr>
            <w:tcW w:w="958" w:type="dxa"/>
            <w:vAlign w:val="center"/>
          </w:tcPr>
          <w:p w14:paraId="0E6D13E0">
            <w:pPr>
              <w:adjustRightInd w:val="0"/>
              <w:snapToGrid w:val="0"/>
              <w:jc w:val="center"/>
              <w:rPr>
                <w:color w:val="auto"/>
                <w:sz w:val="24"/>
              </w:rPr>
            </w:pPr>
          </w:p>
        </w:tc>
      </w:tr>
      <w:tr w14:paraId="617D9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6" w:type="dxa"/>
            <w:vAlign w:val="center"/>
          </w:tcPr>
          <w:p w14:paraId="46F87F73">
            <w:pPr>
              <w:adjustRightInd w:val="0"/>
              <w:snapToGrid w:val="0"/>
              <w:jc w:val="center"/>
              <w:rPr>
                <w:color w:val="auto"/>
                <w:sz w:val="24"/>
              </w:rPr>
            </w:pPr>
          </w:p>
        </w:tc>
        <w:tc>
          <w:tcPr>
            <w:tcW w:w="1407" w:type="dxa"/>
            <w:vAlign w:val="center"/>
          </w:tcPr>
          <w:p w14:paraId="64F76D62">
            <w:pPr>
              <w:adjustRightInd w:val="0"/>
              <w:snapToGrid w:val="0"/>
              <w:jc w:val="center"/>
              <w:rPr>
                <w:color w:val="auto"/>
                <w:sz w:val="24"/>
              </w:rPr>
            </w:pPr>
          </w:p>
        </w:tc>
        <w:tc>
          <w:tcPr>
            <w:tcW w:w="2266" w:type="dxa"/>
            <w:vAlign w:val="center"/>
          </w:tcPr>
          <w:p w14:paraId="26758560">
            <w:pPr>
              <w:adjustRightInd w:val="0"/>
              <w:snapToGrid w:val="0"/>
              <w:jc w:val="center"/>
              <w:rPr>
                <w:color w:val="auto"/>
                <w:sz w:val="24"/>
              </w:rPr>
            </w:pPr>
          </w:p>
        </w:tc>
        <w:tc>
          <w:tcPr>
            <w:tcW w:w="2020" w:type="dxa"/>
            <w:vAlign w:val="center"/>
          </w:tcPr>
          <w:p w14:paraId="77A2079D">
            <w:pPr>
              <w:adjustRightInd w:val="0"/>
              <w:snapToGrid w:val="0"/>
              <w:jc w:val="center"/>
              <w:rPr>
                <w:color w:val="auto"/>
                <w:sz w:val="24"/>
              </w:rPr>
            </w:pPr>
          </w:p>
        </w:tc>
        <w:tc>
          <w:tcPr>
            <w:tcW w:w="1782" w:type="dxa"/>
            <w:vAlign w:val="center"/>
          </w:tcPr>
          <w:p w14:paraId="0BA06DE1">
            <w:pPr>
              <w:adjustRightInd w:val="0"/>
              <w:snapToGrid w:val="0"/>
              <w:jc w:val="center"/>
              <w:rPr>
                <w:color w:val="auto"/>
                <w:sz w:val="24"/>
              </w:rPr>
            </w:pPr>
          </w:p>
        </w:tc>
        <w:tc>
          <w:tcPr>
            <w:tcW w:w="958" w:type="dxa"/>
            <w:vAlign w:val="center"/>
          </w:tcPr>
          <w:p w14:paraId="52544DE1">
            <w:pPr>
              <w:adjustRightInd w:val="0"/>
              <w:snapToGrid w:val="0"/>
              <w:jc w:val="center"/>
              <w:rPr>
                <w:color w:val="auto"/>
                <w:sz w:val="24"/>
              </w:rPr>
            </w:pPr>
          </w:p>
        </w:tc>
      </w:tr>
      <w:tr w14:paraId="0D794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6" w:type="dxa"/>
            <w:vAlign w:val="center"/>
          </w:tcPr>
          <w:p w14:paraId="47291E12">
            <w:pPr>
              <w:adjustRightInd w:val="0"/>
              <w:snapToGrid w:val="0"/>
              <w:jc w:val="center"/>
              <w:rPr>
                <w:color w:val="auto"/>
                <w:sz w:val="24"/>
              </w:rPr>
            </w:pPr>
          </w:p>
        </w:tc>
        <w:tc>
          <w:tcPr>
            <w:tcW w:w="1407" w:type="dxa"/>
            <w:vAlign w:val="center"/>
          </w:tcPr>
          <w:p w14:paraId="69F92663">
            <w:pPr>
              <w:adjustRightInd w:val="0"/>
              <w:snapToGrid w:val="0"/>
              <w:jc w:val="center"/>
              <w:rPr>
                <w:color w:val="auto"/>
                <w:sz w:val="24"/>
              </w:rPr>
            </w:pPr>
          </w:p>
        </w:tc>
        <w:tc>
          <w:tcPr>
            <w:tcW w:w="2266" w:type="dxa"/>
            <w:vAlign w:val="center"/>
          </w:tcPr>
          <w:p w14:paraId="2059C8AC">
            <w:pPr>
              <w:adjustRightInd w:val="0"/>
              <w:snapToGrid w:val="0"/>
              <w:jc w:val="center"/>
              <w:rPr>
                <w:color w:val="auto"/>
                <w:sz w:val="24"/>
              </w:rPr>
            </w:pPr>
          </w:p>
        </w:tc>
        <w:tc>
          <w:tcPr>
            <w:tcW w:w="2020" w:type="dxa"/>
            <w:vAlign w:val="center"/>
          </w:tcPr>
          <w:p w14:paraId="2216618D">
            <w:pPr>
              <w:adjustRightInd w:val="0"/>
              <w:snapToGrid w:val="0"/>
              <w:jc w:val="center"/>
              <w:rPr>
                <w:color w:val="auto"/>
                <w:sz w:val="24"/>
              </w:rPr>
            </w:pPr>
          </w:p>
        </w:tc>
        <w:tc>
          <w:tcPr>
            <w:tcW w:w="1782" w:type="dxa"/>
            <w:vAlign w:val="center"/>
          </w:tcPr>
          <w:p w14:paraId="50CDBE0C">
            <w:pPr>
              <w:adjustRightInd w:val="0"/>
              <w:snapToGrid w:val="0"/>
              <w:jc w:val="center"/>
              <w:rPr>
                <w:color w:val="auto"/>
                <w:sz w:val="24"/>
              </w:rPr>
            </w:pPr>
          </w:p>
        </w:tc>
        <w:tc>
          <w:tcPr>
            <w:tcW w:w="958" w:type="dxa"/>
            <w:vAlign w:val="center"/>
          </w:tcPr>
          <w:p w14:paraId="14193B9A">
            <w:pPr>
              <w:adjustRightInd w:val="0"/>
              <w:snapToGrid w:val="0"/>
              <w:jc w:val="center"/>
              <w:rPr>
                <w:color w:val="auto"/>
                <w:sz w:val="24"/>
              </w:rPr>
            </w:pPr>
          </w:p>
        </w:tc>
      </w:tr>
    </w:tbl>
    <w:p w14:paraId="4DD5004B">
      <w:pPr>
        <w:tabs>
          <w:tab w:val="left" w:pos="1800"/>
          <w:tab w:val="left" w:pos="5580"/>
        </w:tabs>
        <w:jc w:val="left"/>
        <w:rPr>
          <w:rFonts w:ascii="宋体" w:hAnsi="宋体" w:cs="宋体"/>
          <w:color w:val="auto"/>
          <w:sz w:val="24"/>
        </w:rPr>
      </w:pPr>
      <w:r>
        <w:rPr>
          <w:rFonts w:hint="eastAsia" w:ascii="宋体" w:hAnsi="宋体" w:cs="宋体"/>
          <w:color w:val="auto"/>
          <w:sz w:val="24"/>
        </w:rPr>
        <w:t>注：1.对竞争性磋商文件中的所有技术、商务要求，除本表所列明的所有偏离外，均视作供应商已对之理解和响应。此表中若无任何文字说明，内容为空白的响应无效。</w:t>
      </w:r>
    </w:p>
    <w:p w14:paraId="774876DD">
      <w:pPr>
        <w:numPr>
          <w:ilvl w:val="0"/>
          <w:numId w:val="2"/>
        </w:numPr>
        <w:tabs>
          <w:tab w:val="left" w:pos="1800"/>
          <w:tab w:val="left" w:pos="5580"/>
        </w:tabs>
        <w:ind w:firstLine="480" w:firstLineChars="200"/>
        <w:jc w:val="left"/>
        <w:rPr>
          <w:rFonts w:ascii="宋体" w:hAnsi="宋体" w:cs="宋体"/>
          <w:color w:val="auto"/>
          <w:sz w:val="24"/>
        </w:rPr>
      </w:pPr>
      <w:r>
        <w:rPr>
          <w:rFonts w:hint="eastAsia" w:ascii="宋体" w:hAnsi="宋体" w:cs="宋体"/>
          <w:color w:val="auto"/>
          <w:sz w:val="24"/>
        </w:rPr>
        <w:t>“偏离情况”列应据实填写“无偏离”“正偏离”或“负偏离”。</w:t>
      </w:r>
    </w:p>
    <w:p w14:paraId="5D03BE69">
      <w:pPr>
        <w:tabs>
          <w:tab w:val="left" w:pos="1800"/>
          <w:tab w:val="left" w:pos="5580"/>
        </w:tabs>
        <w:jc w:val="left"/>
        <w:rPr>
          <w:rFonts w:ascii="宋体" w:hAnsi="宋体" w:cs="宋体"/>
          <w:color w:val="auto"/>
          <w:sz w:val="24"/>
        </w:rPr>
      </w:pPr>
    </w:p>
    <w:p w14:paraId="471FFEB0">
      <w:pPr>
        <w:autoSpaceDE w:val="0"/>
        <w:autoSpaceDN w:val="0"/>
        <w:adjustRightInd w:val="0"/>
        <w:snapToGrid w:val="0"/>
        <w:spacing w:before="25" w:after="25" w:line="360" w:lineRule="auto"/>
        <w:rPr>
          <w:color w:val="auto"/>
          <w:sz w:val="24"/>
          <w:lang w:val="zh-CN"/>
        </w:rPr>
      </w:pPr>
      <w:r>
        <w:rPr>
          <w:color w:val="auto"/>
          <w:sz w:val="24"/>
          <w:lang w:val="zh-CN"/>
        </w:rPr>
        <w:t xml:space="preserve">              </w:t>
      </w:r>
    </w:p>
    <w:p w14:paraId="5F6A824B">
      <w:pPr>
        <w:autoSpaceDE w:val="0"/>
        <w:autoSpaceDN w:val="0"/>
        <w:adjustRightInd w:val="0"/>
        <w:snapToGrid w:val="0"/>
        <w:spacing w:before="25" w:after="25" w:line="360" w:lineRule="auto"/>
        <w:rPr>
          <w:color w:val="auto"/>
          <w:sz w:val="24"/>
          <w:lang w:val="zh-CN"/>
        </w:rPr>
      </w:pPr>
      <w:r>
        <w:rPr>
          <w:color w:val="auto"/>
          <w:sz w:val="24"/>
        </w:rPr>
        <w:t>供应商名称（加盖公章）</w:t>
      </w:r>
      <w:r>
        <w:rPr>
          <w:color w:val="auto"/>
          <w:sz w:val="24"/>
          <w:lang w:val="zh-CN"/>
        </w:rPr>
        <w:t>：____________</w:t>
      </w:r>
    </w:p>
    <w:p w14:paraId="2419A3FB">
      <w:pPr>
        <w:autoSpaceDE w:val="0"/>
        <w:autoSpaceDN w:val="0"/>
        <w:adjustRightInd w:val="0"/>
        <w:snapToGrid w:val="0"/>
        <w:spacing w:before="25" w:after="25" w:line="360" w:lineRule="auto"/>
        <w:rPr>
          <w:color w:val="auto"/>
          <w:sz w:val="24"/>
          <w:szCs w:val="20"/>
        </w:rPr>
      </w:pPr>
      <w:r>
        <w:rPr>
          <w:color w:val="auto"/>
          <w:sz w:val="24"/>
          <w:szCs w:val="20"/>
        </w:rPr>
        <w:t xml:space="preserve">日期：_____年______月______日   </w:t>
      </w:r>
    </w:p>
    <w:p w14:paraId="6443E380">
      <w:pPr>
        <w:autoSpaceDE w:val="0"/>
        <w:autoSpaceDN w:val="0"/>
        <w:adjustRightInd w:val="0"/>
        <w:snapToGrid w:val="0"/>
        <w:spacing w:before="25" w:after="25" w:line="360" w:lineRule="auto"/>
        <w:rPr>
          <w:color w:val="auto"/>
          <w:sz w:val="24"/>
          <w:szCs w:val="20"/>
        </w:rPr>
      </w:pPr>
    </w:p>
    <w:p w14:paraId="746B1524">
      <w:pPr>
        <w:autoSpaceDE w:val="0"/>
        <w:autoSpaceDN w:val="0"/>
        <w:adjustRightInd w:val="0"/>
        <w:snapToGrid w:val="0"/>
        <w:spacing w:before="25" w:after="25" w:line="360" w:lineRule="auto"/>
        <w:rPr>
          <w:color w:val="auto"/>
          <w:sz w:val="24"/>
          <w:szCs w:val="20"/>
        </w:rPr>
      </w:pPr>
    </w:p>
    <w:p w14:paraId="2F495E0B">
      <w:pPr>
        <w:autoSpaceDE w:val="0"/>
        <w:autoSpaceDN w:val="0"/>
        <w:adjustRightInd w:val="0"/>
        <w:snapToGrid w:val="0"/>
        <w:spacing w:before="25" w:after="25" w:line="360" w:lineRule="auto"/>
        <w:rPr>
          <w:color w:val="auto"/>
          <w:sz w:val="24"/>
          <w:szCs w:val="20"/>
        </w:rPr>
      </w:pPr>
    </w:p>
    <w:p w14:paraId="2DC8A5F4">
      <w:pPr>
        <w:autoSpaceDE w:val="0"/>
        <w:autoSpaceDN w:val="0"/>
        <w:adjustRightInd w:val="0"/>
        <w:snapToGrid w:val="0"/>
        <w:spacing w:before="25" w:after="25" w:line="360" w:lineRule="auto"/>
        <w:rPr>
          <w:color w:val="auto"/>
          <w:sz w:val="24"/>
          <w:szCs w:val="20"/>
        </w:rPr>
      </w:pPr>
    </w:p>
    <w:p w14:paraId="4F74560C">
      <w:pPr>
        <w:autoSpaceDE w:val="0"/>
        <w:autoSpaceDN w:val="0"/>
        <w:adjustRightInd w:val="0"/>
        <w:snapToGrid w:val="0"/>
        <w:spacing w:before="25" w:after="25" w:line="360" w:lineRule="auto"/>
        <w:rPr>
          <w:color w:val="auto"/>
          <w:sz w:val="24"/>
          <w:szCs w:val="20"/>
          <w:lang w:val="zh-CN"/>
        </w:rPr>
      </w:pPr>
    </w:p>
    <w:p w14:paraId="024F536B">
      <w:pPr>
        <w:keepNext/>
        <w:keepLines/>
        <w:widowControl w:val="0"/>
        <w:tabs>
          <w:tab w:val="left" w:pos="576"/>
        </w:tabs>
        <w:autoSpaceDE w:val="0"/>
        <w:autoSpaceDN w:val="0"/>
        <w:adjustRightInd w:val="0"/>
        <w:spacing w:before="120" w:line="360" w:lineRule="auto"/>
        <w:jc w:val="center"/>
        <w:outlineLvl w:val="1"/>
        <w:rPr>
          <w:rFonts w:ascii="宋体" w:hAnsi="宋体" w:eastAsia="黑体" w:cs="宋体"/>
          <w:b/>
          <w:color w:val="auto"/>
          <w:kern w:val="0"/>
          <w:sz w:val="32"/>
          <w:szCs w:val="32"/>
          <w:lang w:val="en-US" w:eastAsia="zh-CN" w:bidi="ar-SA"/>
        </w:rPr>
      </w:pPr>
      <w:bookmarkStart w:id="107" w:name="_Toc25487"/>
      <w:bookmarkStart w:id="108" w:name="_Toc30149"/>
      <w:bookmarkStart w:id="109" w:name="_Toc1610"/>
      <w:bookmarkStart w:id="110" w:name="_Toc10561"/>
      <w:bookmarkStart w:id="111" w:name="_Toc5321"/>
      <w:r>
        <w:rPr>
          <w:rFonts w:hint="eastAsia" w:ascii="宋体" w:hAnsi="宋体" w:eastAsia="宋体" w:cs="宋体"/>
          <w:b/>
          <w:color w:val="auto"/>
          <w:kern w:val="0"/>
          <w:sz w:val="32"/>
          <w:szCs w:val="32"/>
          <w:lang w:val="en-US" w:eastAsia="zh-CN" w:bidi="ar-SA"/>
        </w:rPr>
        <w:t>九、</w:t>
      </w:r>
      <w:bookmarkEnd w:id="107"/>
      <w:bookmarkEnd w:id="108"/>
      <w:bookmarkEnd w:id="109"/>
      <w:bookmarkEnd w:id="110"/>
      <w:r>
        <w:rPr>
          <w:rFonts w:hint="eastAsia" w:ascii="宋体" w:hAnsi="宋体" w:eastAsia="宋体" w:cs="宋体"/>
          <w:b/>
          <w:color w:val="auto"/>
          <w:kern w:val="0"/>
          <w:sz w:val="32"/>
          <w:szCs w:val="32"/>
          <w:lang w:val="en-US" w:eastAsia="zh-CN" w:bidi="ar-SA"/>
        </w:rPr>
        <w:t>项目实施方案</w:t>
      </w:r>
      <w:bookmarkEnd w:id="111"/>
    </w:p>
    <w:p w14:paraId="1A6EAA7A">
      <w:pPr>
        <w:spacing w:before="120" w:line="360" w:lineRule="auto"/>
        <w:ind w:firstLine="480" w:firstLineChars="200"/>
        <w:jc w:val="left"/>
        <w:rPr>
          <w:rFonts w:ascii="宋体" w:hAnsi="宋体" w:cs="宋体"/>
          <w:color w:val="auto"/>
          <w:sz w:val="24"/>
        </w:rPr>
      </w:pPr>
      <w:r>
        <w:rPr>
          <w:rFonts w:hint="eastAsia" w:ascii="宋体" w:hAnsi="宋体"/>
          <w:color w:val="auto"/>
          <w:sz w:val="24"/>
        </w:rPr>
        <w:t>供应商应根据磋商文件第三章“评审标准——项目实施方案”规定的评审因素以及磋商文件第四章“采购需求”要求，结合本企业实际情况自行编制。</w:t>
      </w:r>
    </w:p>
    <w:p w14:paraId="26CB13E5">
      <w:pPr>
        <w:spacing w:line="360" w:lineRule="auto"/>
        <w:ind w:firstLine="480" w:firstLineChars="200"/>
        <w:rPr>
          <w:color w:val="auto"/>
          <w:sz w:val="24"/>
        </w:rPr>
      </w:pPr>
    </w:p>
    <w:p w14:paraId="0C68A07A">
      <w:pPr>
        <w:spacing w:line="360" w:lineRule="auto"/>
        <w:ind w:firstLine="480" w:firstLineChars="200"/>
        <w:rPr>
          <w:color w:val="auto"/>
          <w:sz w:val="24"/>
        </w:rPr>
      </w:pPr>
    </w:p>
    <w:p w14:paraId="10833DCA">
      <w:pPr>
        <w:spacing w:line="360" w:lineRule="auto"/>
        <w:ind w:firstLine="480" w:firstLineChars="200"/>
        <w:rPr>
          <w:color w:val="auto"/>
          <w:sz w:val="24"/>
        </w:rPr>
      </w:pPr>
    </w:p>
    <w:p w14:paraId="5730AA83">
      <w:pPr>
        <w:spacing w:line="360" w:lineRule="auto"/>
        <w:ind w:firstLine="480" w:firstLineChars="200"/>
        <w:rPr>
          <w:color w:val="auto"/>
          <w:sz w:val="24"/>
        </w:rPr>
      </w:pPr>
    </w:p>
    <w:p w14:paraId="01A39645">
      <w:pPr>
        <w:spacing w:line="360" w:lineRule="auto"/>
        <w:ind w:firstLine="480" w:firstLineChars="200"/>
        <w:rPr>
          <w:color w:val="auto"/>
          <w:sz w:val="24"/>
        </w:rPr>
      </w:pPr>
    </w:p>
    <w:p w14:paraId="1CFC7A44">
      <w:pPr>
        <w:spacing w:line="360" w:lineRule="auto"/>
        <w:ind w:firstLine="480" w:firstLineChars="200"/>
        <w:rPr>
          <w:color w:val="auto"/>
          <w:sz w:val="24"/>
        </w:rPr>
      </w:pPr>
    </w:p>
    <w:p w14:paraId="0703AB95">
      <w:pPr>
        <w:spacing w:line="360" w:lineRule="auto"/>
        <w:ind w:firstLine="480" w:firstLineChars="200"/>
        <w:rPr>
          <w:color w:val="auto"/>
          <w:sz w:val="24"/>
        </w:rPr>
      </w:pPr>
    </w:p>
    <w:p w14:paraId="713BA806">
      <w:pPr>
        <w:spacing w:line="360" w:lineRule="auto"/>
        <w:ind w:firstLine="480" w:firstLineChars="200"/>
        <w:rPr>
          <w:color w:val="auto"/>
          <w:sz w:val="24"/>
        </w:rPr>
      </w:pPr>
    </w:p>
    <w:p w14:paraId="77C7D0AF">
      <w:pPr>
        <w:spacing w:line="360" w:lineRule="auto"/>
        <w:ind w:firstLine="480" w:firstLineChars="200"/>
        <w:rPr>
          <w:color w:val="auto"/>
          <w:sz w:val="24"/>
        </w:rPr>
      </w:pPr>
    </w:p>
    <w:p w14:paraId="4CCE373F">
      <w:pPr>
        <w:spacing w:line="360" w:lineRule="auto"/>
        <w:ind w:firstLine="480" w:firstLineChars="200"/>
        <w:rPr>
          <w:color w:val="auto"/>
          <w:sz w:val="24"/>
        </w:rPr>
      </w:pPr>
    </w:p>
    <w:p w14:paraId="5067353D">
      <w:pPr>
        <w:spacing w:line="360" w:lineRule="auto"/>
        <w:ind w:firstLine="480" w:firstLineChars="200"/>
        <w:rPr>
          <w:color w:val="auto"/>
          <w:sz w:val="24"/>
        </w:rPr>
      </w:pPr>
    </w:p>
    <w:p w14:paraId="60846A98">
      <w:pPr>
        <w:spacing w:line="360" w:lineRule="auto"/>
        <w:ind w:firstLine="480" w:firstLineChars="200"/>
        <w:rPr>
          <w:color w:val="auto"/>
          <w:sz w:val="24"/>
        </w:rPr>
      </w:pPr>
    </w:p>
    <w:p w14:paraId="04937C20">
      <w:pPr>
        <w:spacing w:line="360" w:lineRule="auto"/>
        <w:ind w:firstLine="480" w:firstLineChars="200"/>
        <w:rPr>
          <w:color w:val="auto"/>
          <w:sz w:val="24"/>
        </w:rPr>
      </w:pPr>
    </w:p>
    <w:p w14:paraId="26348F3A">
      <w:pPr>
        <w:spacing w:line="360" w:lineRule="auto"/>
        <w:ind w:firstLine="480" w:firstLineChars="200"/>
        <w:rPr>
          <w:color w:val="auto"/>
          <w:sz w:val="24"/>
        </w:rPr>
      </w:pPr>
    </w:p>
    <w:p w14:paraId="7D777B77">
      <w:pPr>
        <w:spacing w:line="360" w:lineRule="auto"/>
        <w:rPr>
          <w:color w:val="auto"/>
          <w:sz w:val="24"/>
        </w:rPr>
      </w:pPr>
    </w:p>
    <w:p w14:paraId="720530EF">
      <w:pPr>
        <w:widowControl w:val="0"/>
        <w:tabs>
          <w:tab w:val="left" w:pos="567"/>
        </w:tabs>
        <w:spacing w:before="120" w:line="22" w:lineRule="atLeast"/>
        <w:jc w:val="both"/>
        <w:rPr>
          <w:rFonts w:ascii="宋体" w:hAnsi="宋体" w:eastAsia="宋体" w:cs="Times New Roman"/>
          <w:color w:val="auto"/>
          <w:kern w:val="2"/>
          <w:sz w:val="24"/>
          <w:szCs w:val="24"/>
          <w:lang w:val="en-US" w:eastAsia="zh-CN" w:bidi="ar-SA"/>
        </w:rPr>
      </w:pPr>
    </w:p>
    <w:p w14:paraId="329BF3AD">
      <w:pPr>
        <w:spacing w:line="400" w:lineRule="exact"/>
        <w:rPr>
          <w:color w:val="auto"/>
          <w:sz w:val="24"/>
        </w:rPr>
      </w:pPr>
      <w:r>
        <w:rPr>
          <w:rFonts w:hint="eastAsia"/>
          <w:color w:val="auto"/>
          <w:sz w:val="24"/>
        </w:rPr>
        <w:t xml:space="preserve">供应商名称（加盖公章）： ___________        </w:t>
      </w:r>
    </w:p>
    <w:p w14:paraId="5C74AF1E">
      <w:pPr>
        <w:spacing w:line="400" w:lineRule="exact"/>
        <w:jc w:val="center"/>
        <w:rPr>
          <w:color w:val="auto"/>
          <w:sz w:val="24"/>
        </w:rPr>
      </w:pPr>
    </w:p>
    <w:p w14:paraId="69811AE6">
      <w:pPr>
        <w:spacing w:line="400" w:lineRule="exact"/>
        <w:rPr>
          <w:color w:val="auto"/>
          <w:sz w:val="24"/>
        </w:rPr>
      </w:pPr>
      <w:r>
        <w:rPr>
          <w:rFonts w:hint="eastAsia"/>
          <w:color w:val="auto"/>
          <w:sz w:val="24"/>
        </w:rPr>
        <w:t>日期：_____年______月______日</w:t>
      </w:r>
    </w:p>
    <w:p w14:paraId="41004ADE">
      <w:pPr>
        <w:widowControl w:val="0"/>
        <w:ind w:left="1680" w:leftChars="800"/>
        <w:jc w:val="both"/>
        <w:rPr>
          <w:rFonts w:ascii="Times New Roman" w:hAnsi="Times New Roman" w:eastAsia="宋体" w:cs="Times New Roman"/>
          <w:color w:val="auto"/>
          <w:kern w:val="2"/>
          <w:sz w:val="21"/>
          <w:szCs w:val="24"/>
          <w:lang w:val="en-US" w:eastAsia="zh-CN" w:bidi="ar-SA"/>
        </w:rPr>
      </w:pPr>
    </w:p>
    <w:p w14:paraId="542D9EA1">
      <w:pPr>
        <w:spacing w:line="360" w:lineRule="auto"/>
        <w:ind w:firstLine="480" w:firstLineChars="200"/>
        <w:rPr>
          <w:color w:val="auto"/>
          <w:sz w:val="24"/>
        </w:rPr>
      </w:pPr>
    </w:p>
    <w:p w14:paraId="582C0BB9">
      <w:pPr>
        <w:spacing w:line="360" w:lineRule="auto"/>
        <w:ind w:firstLine="480" w:firstLineChars="200"/>
        <w:rPr>
          <w:color w:val="auto"/>
          <w:sz w:val="24"/>
        </w:rPr>
      </w:pPr>
    </w:p>
    <w:p w14:paraId="611616E0">
      <w:pPr>
        <w:spacing w:line="360" w:lineRule="auto"/>
        <w:ind w:firstLine="480" w:firstLineChars="200"/>
        <w:rPr>
          <w:color w:val="auto"/>
          <w:sz w:val="24"/>
        </w:rPr>
      </w:pPr>
    </w:p>
    <w:p w14:paraId="0BAAB118">
      <w:pPr>
        <w:spacing w:line="360" w:lineRule="auto"/>
        <w:ind w:firstLine="480" w:firstLineChars="200"/>
        <w:rPr>
          <w:color w:val="auto"/>
          <w:sz w:val="24"/>
        </w:rPr>
      </w:pPr>
    </w:p>
    <w:p w14:paraId="4E3F94C0">
      <w:pPr>
        <w:spacing w:line="360" w:lineRule="auto"/>
        <w:ind w:firstLine="480" w:firstLineChars="200"/>
        <w:rPr>
          <w:color w:val="auto"/>
          <w:sz w:val="24"/>
        </w:rPr>
      </w:pPr>
    </w:p>
    <w:p w14:paraId="65C9FEE8">
      <w:pPr>
        <w:spacing w:line="360" w:lineRule="auto"/>
        <w:ind w:firstLine="480" w:firstLineChars="200"/>
        <w:rPr>
          <w:color w:val="auto"/>
          <w:sz w:val="24"/>
        </w:rPr>
      </w:pPr>
    </w:p>
    <w:p w14:paraId="33A41721">
      <w:pPr>
        <w:spacing w:line="360" w:lineRule="auto"/>
        <w:ind w:firstLine="480" w:firstLineChars="200"/>
        <w:rPr>
          <w:color w:val="auto"/>
          <w:sz w:val="24"/>
        </w:rPr>
      </w:pPr>
    </w:p>
    <w:p w14:paraId="0339EAE4">
      <w:pPr>
        <w:spacing w:line="360" w:lineRule="auto"/>
        <w:ind w:firstLine="480" w:firstLineChars="200"/>
        <w:rPr>
          <w:color w:val="auto"/>
          <w:sz w:val="24"/>
        </w:rPr>
      </w:pPr>
    </w:p>
    <w:p w14:paraId="15452221">
      <w:pPr>
        <w:rPr>
          <w:color w:val="auto"/>
        </w:rPr>
      </w:pPr>
    </w:p>
    <w:p w14:paraId="1D9E1290">
      <w:pPr>
        <w:keepNext/>
        <w:keepLines/>
        <w:widowControl w:val="0"/>
        <w:tabs>
          <w:tab w:val="left" w:pos="576"/>
        </w:tabs>
        <w:autoSpaceDE/>
        <w:autoSpaceDN/>
        <w:adjustRightInd/>
        <w:spacing w:before="0" w:line="480" w:lineRule="auto"/>
        <w:jc w:val="center"/>
        <w:outlineLvl w:val="1"/>
        <w:rPr>
          <w:rFonts w:ascii="宋体" w:hAnsi="宋体" w:eastAsia="宋体" w:cs="宋体"/>
          <w:b/>
          <w:color w:val="auto"/>
          <w:kern w:val="0"/>
          <w:sz w:val="32"/>
          <w:szCs w:val="32"/>
          <w:lang w:val="en-US" w:eastAsia="zh-CN" w:bidi="ar-SA"/>
        </w:rPr>
      </w:pPr>
      <w:bookmarkStart w:id="112" w:name="_Toc20070"/>
      <w:bookmarkStart w:id="113" w:name="_Toc15890"/>
      <w:bookmarkStart w:id="114" w:name="_Toc11010"/>
      <w:r>
        <w:rPr>
          <w:rFonts w:hint="eastAsia" w:ascii="宋体" w:hAnsi="宋体" w:eastAsia="宋体" w:cs="宋体"/>
          <w:b/>
          <w:color w:val="auto"/>
          <w:kern w:val="0"/>
          <w:sz w:val="32"/>
          <w:szCs w:val="32"/>
          <w:lang w:val="en-US" w:eastAsia="zh-CN" w:bidi="ar-SA"/>
        </w:rPr>
        <w:t>十、</w:t>
      </w:r>
      <w:bookmarkEnd w:id="112"/>
      <w:bookmarkEnd w:id="113"/>
      <w:r>
        <w:rPr>
          <w:rFonts w:hint="eastAsia" w:ascii="宋体" w:hAnsi="宋体" w:eastAsia="宋体" w:cs="宋体"/>
          <w:b/>
          <w:color w:val="auto"/>
          <w:kern w:val="0"/>
          <w:sz w:val="32"/>
          <w:szCs w:val="32"/>
          <w:lang w:val="en-US" w:eastAsia="zh-CN" w:bidi="ar-SA"/>
        </w:rPr>
        <w:t>近年完成的类似</w:t>
      </w:r>
      <w:r>
        <w:rPr>
          <w:rFonts w:ascii="宋体" w:hAnsi="宋体" w:eastAsia="宋体" w:cs="宋体"/>
          <w:b/>
          <w:color w:val="auto"/>
          <w:kern w:val="0"/>
          <w:sz w:val="32"/>
          <w:szCs w:val="32"/>
          <w:lang w:val="en-US" w:eastAsia="zh-CN" w:bidi="ar-SA"/>
        </w:rPr>
        <w:t>业绩</w:t>
      </w:r>
      <w:r>
        <w:rPr>
          <w:rFonts w:hint="eastAsia" w:ascii="宋体" w:hAnsi="宋体" w:eastAsia="宋体" w:cs="宋体"/>
          <w:b/>
          <w:color w:val="auto"/>
          <w:kern w:val="0"/>
          <w:sz w:val="32"/>
          <w:szCs w:val="32"/>
          <w:lang w:val="en-US" w:eastAsia="zh-CN" w:bidi="ar-SA"/>
        </w:rPr>
        <w:t>情况表</w:t>
      </w:r>
      <w:bookmarkEnd w:id="114"/>
    </w:p>
    <w:p w14:paraId="5D1B5F8B">
      <w:pPr>
        <w:widowControl w:val="0"/>
        <w:autoSpaceDE w:val="0"/>
        <w:autoSpaceDN w:val="0"/>
        <w:adjustRightInd/>
        <w:spacing w:line="480" w:lineRule="auto"/>
        <w:ind w:firstLine="0"/>
        <w:jc w:val="left"/>
        <w:rPr>
          <w:rFonts w:ascii="宋体" w:hAnsi="宋体" w:eastAsia="宋体" w:cs="宋体"/>
          <w:bCs/>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项目编号：</w:t>
      </w:r>
      <w:r>
        <w:rPr>
          <w:rFonts w:hint="eastAsia" w:ascii="宋体" w:hAnsi="宋体" w:eastAsia="宋体" w:cs="宋体"/>
          <w:bCs/>
          <w:color w:val="auto"/>
          <w:kern w:val="2"/>
          <w:sz w:val="24"/>
          <w:szCs w:val="24"/>
          <w:u w:val="single"/>
          <w:lang w:val="en-US" w:eastAsia="zh-CN" w:bidi="ar-SA"/>
        </w:rPr>
        <w:t xml:space="preserve">                     </w:t>
      </w:r>
      <w:r>
        <w:rPr>
          <w:rFonts w:hint="eastAsia" w:ascii="宋体" w:hAnsi="宋体" w:eastAsia="宋体" w:cs="宋体"/>
          <w:bCs/>
          <w:color w:val="auto"/>
          <w:kern w:val="2"/>
          <w:sz w:val="24"/>
          <w:szCs w:val="24"/>
          <w:lang w:val="en-US" w:eastAsia="zh-CN" w:bidi="ar-SA"/>
        </w:rPr>
        <w:t xml:space="preserve">     </w:t>
      </w:r>
    </w:p>
    <w:p w14:paraId="11E802F1">
      <w:pPr>
        <w:widowControl w:val="0"/>
        <w:autoSpaceDE w:val="0"/>
        <w:autoSpaceDN w:val="0"/>
        <w:adjustRightInd/>
        <w:spacing w:line="480" w:lineRule="auto"/>
        <w:ind w:firstLine="0"/>
        <w:jc w:val="left"/>
        <w:rPr>
          <w:rFonts w:ascii="宋体" w:hAnsi="宋体" w:eastAsia="宋体" w:cs="宋体"/>
          <w:color w:val="auto"/>
          <w:kern w:val="2"/>
          <w:sz w:val="24"/>
          <w:szCs w:val="24"/>
          <w:lang w:val="en-US" w:eastAsia="zh-CN" w:bidi="ar-SA"/>
        </w:rPr>
      </w:pPr>
      <w:r>
        <w:rPr>
          <w:rFonts w:hint="eastAsia" w:ascii="宋体" w:hAnsi="宋体" w:eastAsia="宋体" w:cs="宋体"/>
          <w:bCs/>
          <w:color w:val="auto"/>
          <w:kern w:val="2"/>
          <w:sz w:val="24"/>
          <w:szCs w:val="24"/>
          <w:lang w:val="en-US" w:eastAsia="zh-CN" w:bidi="ar-SA"/>
        </w:rPr>
        <w:t>项目名称/包号：</w:t>
      </w:r>
      <w:r>
        <w:rPr>
          <w:rFonts w:hint="eastAsia" w:ascii="宋体" w:hAnsi="宋体" w:eastAsia="宋体" w:cs="宋体"/>
          <w:bCs/>
          <w:color w:val="auto"/>
          <w:kern w:val="2"/>
          <w:sz w:val="24"/>
          <w:szCs w:val="24"/>
          <w:u w:val="single"/>
          <w:lang w:val="en-US" w:eastAsia="zh-CN" w:bidi="ar-SA"/>
        </w:rPr>
        <w:t xml:space="preserve">                </w:t>
      </w:r>
      <w:r>
        <w:rPr>
          <w:rFonts w:hint="eastAsia" w:ascii="宋体" w:hAnsi="宋体" w:eastAsia="宋体" w:cs="宋体"/>
          <w:bCs/>
          <w:color w:val="auto"/>
          <w:kern w:val="2"/>
          <w:sz w:val="24"/>
          <w:szCs w:val="24"/>
          <w:lang w:val="en-US" w:eastAsia="zh-CN" w:bidi="ar-SA"/>
        </w:rPr>
        <w:t xml:space="preserve">  </w:t>
      </w:r>
    </w:p>
    <w:tbl>
      <w:tblPr>
        <w:tblStyle w:val="12"/>
        <w:tblW w:w="9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475"/>
        <w:gridCol w:w="2079"/>
        <w:gridCol w:w="1774"/>
        <w:gridCol w:w="1731"/>
        <w:gridCol w:w="1410"/>
      </w:tblGrid>
      <w:tr w14:paraId="58D6B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vAlign w:val="center"/>
          </w:tcPr>
          <w:p w14:paraId="1A6C6F64">
            <w:pPr>
              <w:jc w:val="center"/>
              <w:rPr>
                <w:color w:val="auto"/>
                <w:kern w:val="0"/>
                <w:sz w:val="24"/>
              </w:rPr>
            </w:pPr>
            <w:r>
              <w:rPr>
                <w:rFonts w:hint="eastAsia"/>
                <w:color w:val="auto"/>
                <w:kern w:val="0"/>
                <w:sz w:val="24"/>
              </w:rPr>
              <w:t>序号</w:t>
            </w:r>
          </w:p>
        </w:tc>
        <w:tc>
          <w:tcPr>
            <w:tcW w:w="1475" w:type="dxa"/>
            <w:vAlign w:val="center"/>
          </w:tcPr>
          <w:p w14:paraId="23DADC46">
            <w:pPr>
              <w:jc w:val="center"/>
              <w:rPr>
                <w:color w:val="auto"/>
                <w:kern w:val="0"/>
                <w:sz w:val="24"/>
              </w:rPr>
            </w:pPr>
            <w:r>
              <w:rPr>
                <w:rFonts w:hint="eastAsia"/>
                <w:color w:val="auto"/>
                <w:kern w:val="0"/>
                <w:sz w:val="24"/>
              </w:rPr>
              <w:t>采购人</w:t>
            </w:r>
          </w:p>
        </w:tc>
        <w:tc>
          <w:tcPr>
            <w:tcW w:w="2079" w:type="dxa"/>
            <w:vAlign w:val="center"/>
          </w:tcPr>
          <w:p w14:paraId="15340660">
            <w:pPr>
              <w:jc w:val="center"/>
              <w:rPr>
                <w:color w:val="auto"/>
                <w:kern w:val="0"/>
                <w:sz w:val="24"/>
              </w:rPr>
            </w:pPr>
            <w:r>
              <w:rPr>
                <w:rFonts w:hint="eastAsia"/>
                <w:color w:val="auto"/>
                <w:kern w:val="0"/>
                <w:sz w:val="24"/>
              </w:rPr>
              <w:t>项目名称</w:t>
            </w:r>
          </w:p>
        </w:tc>
        <w:tc>
          <w:tcPr>
            <w:tcW w:w="1774" w:type="dxa"/>
            <w:vAlign w:val="center"/>
          </w:tcPr>
          <w:p w14:paraId="3AEEAD48">
            <w:pPr>
              <w:jc w:val="center"/>
              <w:rPr>
                <w:color w:val="auto"/>
                <w:kern w:val="0"/>
                <w:sz w:val="24"/>
              </w:rPr>
            </w:pPr>
            <w:r>
              <w:rPr>
                <w:rFonts w:hint="eastAsia"/>
                <w:color w:val="auto"/>
                <w:kern w:val="0"/>
                <w:sz w:val="24"/>
              </w:rPr>
              <w:t>采购内容</w:t>
            </w:r>
          </w:p>
        </w:tc>
        <w:tc>
          <w:tcPr>
            <w:tcW w:w="1731" w:type="dxa"/>
            <w:vAlign w:val="center"/>
          </w:tcPr>
          <w:p w14:paraId="45021CEC">
            <w:pPr>
              <w:jc w:val="center"/>
              <w:rPr>
                <w:color w:val="auto"/>
                <w:kern w:val="0"/>
                <w:sz w:val="24"/>
              </w:rPr>
            </w:pPr>
            <w:r>
              <w:rPr>
                <w:rFonts w:hint="eastAsia"/>
                <w:color w:val="auto"/>
                <w:kern w:val="0"/>
                <w:sz w:val="24"/>
              </w:rPr>
              <w:t>合同签订时间</w:t>
            </w:r>
          </w:p>
        </w:tc>
        <w:tc>
          <w:tcPr>
            <w:tcW w:w="1410" w:type="dxa"/>
            <w:vAlign w:val="center"/>
          </w:tcPr>
          <w:p w14:paraId="3FC17294">
            <w:pPr>
              <w:jc w:val="center"/>
              <w:rPr>
                <w:color w:val="auto"/>
                <w:kern w:val="0"/>
                <w:sz w:val="24"/>
              </w:rPr>
            </w:pPr>
            <w:r>
              <w:rPr>
                <w:rFonts w:hint="eastAsia"/>
                <w:color w:val="auto"/>
                <w:kern w:val="0"/>
                <w:sz w:val="24"/>
              </w:rPr>
              <w:t>业主联系电话</w:t>
            </w:r>
          </w:p>
        </w:tc>
      </w:tr>
      <w:tr w14:paraId="176C9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vAlign w:val="center"/>
          </w:tcPr>
          <w:p w14:paraId="6E4710E1">
            <w:pPr>
              <w:jc w:val="center"/>
              <w:rPr>
                <w:color w:val="auto"/>
                <w:kern w:val="0"/>
                <w:sz w:val="24"/>
              </w:rPr>
            </w:pPr>
          </w:p>
        </w:tc>
        <w:tc>
          <w:tcPr>
            <w:tcW w:w="1475" w:type="dxa"/>
            <w:vAlign w:val="center"/>
          </w:tcPr>
          <w:p w14:paraId="5E577309">
            <w:pPr>
              <w:jc w:val="center"/>
              <w:rPr>
                <w:color w:val="auto"/>
                <w:kern w:val="0"/>
                <w:sz w:val="24"/>
              </w:rPr>
            </w:pPr>
          </w:p>
        </w:tc>
        <w:tc>
          <w:tcPr>
            <w:tcW w:w="2079" w:type="dxa"/>
            <w:vAlign w:val="center"/>
          </w:tcPr>
          <w:p w14:paraId="6219FC4C">
            <w:pPr>
              <w:jc w:val="center"/>
              <w:rPr>
                <w:color w:val="auto"/>
                <w:kern w:val="0"/>
                <w:sz w:val="24"/>
              </w:rPr>
            </w:pPr>
          </w:p>
        </w:tc>
        <w:tc>
          <w:tcPr>
            <w:tcW w:w="1774" w:type="dxa"/>
            <w:vAlign w:val="center"/>
          </w:tcPr>
          <w:p w14:paraId="1BDE60CE">
            <w:pPr>
              <w:jc w:val="center"/>
              <w:rPr>
                <w:color w:val="auto"/>
                <w:kern w:val="0"/>
                <w:sz w:val="24"/>
              </w:rPr>
            </w:pPr>
          </w:p>
        </w:tc>
        <w:tc>
          <w:tcPr>
            <w:tcW w:w="1731" w:type="dxa"/>
            <w:vAlign w:val="center"/>
          </w:tcPr>
          <w:p w14:paraId="6281C326">
            <w:pPr>
              <w:jc w:val="center"/>
              <w:rPr>
                <w:color w:val="auto"/>
                <w:kern w:val="0"/>
                <w:sz w:val="24"/>
              </w:rPr>
            </w:pPr>
          </w:p>
        </w:tc>
        <w:tc>
          <w:tcPr>
            <w:tcW w:w="1410" w:type="dxa"/>
            <w:vAlign w:val="center"/>
          </w:tcPr>
          <w:p w14:paraId="69AB3FB1">
            <w:pPr>
              <w:jc w:val="center"/>
              <w:rPr>
                <w:color w:val="auto"/>
                <w:kern w:val="0"/>
                <w:sz w:val="24"/>
              </w:rPr>
            </w:pPr>
          </w:p>
        </w:tc>
      </w:tr>
      <w:tr w14:paraId="62266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vAlign w:val="center"/>
          </w:tcPr>
          <w:p w14:paraId="2EE32CA8">
            <w:pPr>
              <w:jc w:val="center"/>
              <w:rPr>
                <w:color w:val="auto"/>
                <w:kern w:val="0"/>
                <w:sz w:val="24"/>
              </w:rPr>
            </w:pPr>
          </w:p>
        </w:tc>
        <w:tc>
          <w:tcPr>
            <w:tcW w:w="1475" w:type="dxa"/>
            <w:vAlign w:val="center"/>
          </w:tcPr>
          <w:p w14:paraId="741DCF11">
            <w:pPr>
              <w:jc w:val="center"/>
              <w:rPr>
                <w:color w:val="auto"/>
                <w:kern w:val="0"/>
                <w:sz w:val="24"/>
              </w:rPr>
            </w:pPr>
          </w:p>
        </w:tc>
        <w:tc>
          <w:tcPr>
            <w:tcW w:w="2079" w:type="dxa"/>
            <w:vAlign w:val="center"/>
          </w:tcPr>
          <w:p w14:paraId="484FAEAC">
            <w:pPr>
              <w:jc w:val="center"/>
              <w:rPr>
                <w:color w:val="auto"/>
                <w:kern w:val="0"/>
                <w:sz w:val="24"/>
              </w:rPr>
            </w:pPr>
          </w:p>
        </w:tc>
        <w:tc>
          <w:tcPr>
            <w:tcW w:w="1774" w:type="dxa"/>
            <w:vAlign w:val="center"/>
          </w:tcPr>
          <w:p w14:paraId="027524FE">
            <w:pPr>
              <w:jc w:val="center"/>
              <w:rPr>
                <w:color w:val="auto"/>
                <w:kern w:val="0"/>
                <w:sz w:val="24"/>
              </w:rPr>
            </w:pPr>
          </w:p>
        </w:tc>
        <w:tc>
          <w:tcPr>
            <w:tcW w:w="1731" w:type="dxa"/>
            <w:vAlign w:val="center"/>
          </w:tcPr>
          <w:p w14:paraId="33613EE2">
            <w:pPr>
              <w:jc w:val="center"/>
              <w:rPr>
                <w:color w:val="auto"/>
                <w:kern w:val="0"/>
                <w:sz w:val="24"/>
              </w:rPr>
            </w:pPr>
          </w:p>
        </w:tc>
        <w:tc>
          <w:tcPr>
            <w:tcW w:w="1410" w:type="dxa"/>
            <w:vAlign w:val="center"/>
          </w:tcPr>
          <w:p w14:paraId="1B5CE517">
            <w:pPr>
              <w:jc w:val="center"/>
              <w:rPr>
                <w:color w:val="auto"/>
                <w:kern w:val="0"/>
                <w:sz w:val="24"/>
              </w:rPr>
            </w:pPr>
          </w:p>
        </w:tc>
      </w:tr>
      <w:tr w14:paraId="30E3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12" w:type="dxa"/>
            <w:vAlign w:val="center"/>
          </w:tcPr>
          <w:p w14:paraId="4B1ED124">
            <w:pPr>
              <w:jc w:val="center"/>
              <w:rPr>
                <w:color w:val="auto"/>
                <w:kern w:val="0"/>
                <w:sz w:val="24"/>
              </w:rPr>
            </w:pPr>
          </w:p>
        </w:tc>
        <w:tc>
          <w:tcPr>
            <w:tcW w:w="1475" w:type="dxa"/>
            <w:vAlign w:val="center"/>
          </w:tcPr>
          <w:p w14:paraId="723F0BDF">
            <w:pPr>
              <w:jc w:val="center"/>
              <w:rPr>
                <w:color w:val="auto"/>
                <w:kern w:val="0"/>
                <w:sz w:val="24"/>
              </w:rPr>
            </w:pPr>
          </w:p>
        </w:tc>
        <w:tc>
          <w:tcPr>
            <w:tcW w:w="2079" w:type="dxa"/>
            <w:vAlign w:val="center"/>
          </w:tcPr>
          <w:p w14:paraId="6F08D9DE">
            <w:pPr>
              <w:jc w:val="center"/>
              <w:rPr>
                <w:color w:val="auto"/>
                <w:kern w:val="0"/>
                <w:sz w:val="24"/>
              </w:rPr>
            </w:pPr>
          </w:p>
        </w:tc>
        <w:tc>
          <w:tcPr>
            <w:tcW w:w="1774" w:type="dxa"/>
            <w:vAlign w:val="center"/>
          </w:tcPr>
          <w:p w14:paraId="2F0A3A44">
            <w:pPr>
              <w:jc w:val="center"/>
              <w:rPr>
                <w:color w:val="auto"/>
                <w:kern w:val="0"/>
                <w:sz w:val="24"/>
              </w:rPr>
            </w:pPr>
          </w:p>
        </w:tc>
        <w:tc>
          <w:tcPr>
            <w:tcW w:w="1731" w:type="dxa"/>
            <w:vAlign w:val="center"/>
          </w:tcPr>
          <w:p w14:paraId="761B84DF">
            <w:pPr>
              <w:jc w:val="center"/>
              <w:rPr>
                <w:color w:val="auto"/>
                <w:kern w:val="0"/>
                <w:sz w:val="24"/>
              </w:rPr>
            </w:pPr>
          </w:p>
        </w:tc>
        <w:tc>
          <w:tcPr>
            <w:tcW w:w="1410" w:type="dxa"/>
            <w:vAlign w:val="center"/>
          </w:tcPr>
          <w:p w14:paraId="1D33F433">
            <w:pPr>
              <w:jc w:val="center"/>
              <w:rPr>
                <w:color w:val="auto"/>
                <w:kern w:val="0"/>
                <w:sz w:val="24"/>
              </w:rPr>
            </w:pPr>
          </w:p>
        </w:tc>
      </w:tr>
      <w:tr w14:paraId="4422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vAlign w:val="center"/>
          </w:tcPr>
          <w:p w14:paraId="5D8056FE">
            <w:pPr>
              <w:jc w:val="center"/>
              <w:rPr>
                <w:color w:val="auto"/>
                <w:kern w:val="0"/>
                <w:sz w:val="24"/>
              </w:rPr>
            </w:pPr>
          </w:p>
        </w:tc>
        <w:tc>
          <w:tcPr>
            <w:tcW w:w="1475" w:type="dxa"/>
            <w:vAlign w:val="center"/>
          </w:tcPr>
          <w:p w14:paraId="67E43B9B">
            <w:pPr>
              <w:jc w:val="center"/>
              <w:rPr>
                <w:color w:val="auto"/>
                <w:kern w:val="0"/>
                <w:sz w:val="24"/>
              </w:rPr>
            </w:pPr>
          </w:p>
        </w:tc>
        <w:tc>
          <w:tcPr>
            <w:tcW w:w="2079" w:type="dxa"/>
            <w:vAlign w:val="center"/>
          </w:tcPr>
          <w:p w14:paraId="5613A673">
            <w:pPr>
              <w:jc w:val="center"/>
              <w:rPr>
                <w:color w:val="auto"/>
                <w:kern w:val="0"/>
                <w:sz w:val="24"/>
              </w:rPr>
            </w:pPr>
          </w:p>
        </w:tc>
        <w:tc>
          <w:tcPr>
            <w:tcW w:w="1774" w:type="dxa"/>
            <w:vAlign w:val="center"/>
          </w:tcPr>
          <w:p w14:paraId="1116AD5C">
            <w:pPr>
              <w:jc w:val="center"/>
              <w:rPr>
                <w:color w:val="auto"/>
                <w:kern w:val="0"/>
                <w:sz w:val="24"/>
              </w:rPr>
            </w:pPr>
          </w:p>
        </w:tc>
        <w:tc>
          <w:tcPr>
            <w:tcW w:w="1731" w:type="dxa"/>
            <w:vAlign w:val="center"/>
          </w:tcPr>
          <w:p w14:paraId="32DFBD24">
            <w:pPr>
              <w:jc w:val="center"/>
              <w:rPr>
                <w:color w:val="auto"/>
                <w:kern w:val="0"/>
                <w:sz w:val="24"/>
              </w:rPr>
            </w:pPr>
          </w:p>
        </w:tc>
        <w:tc>
          <w:tcPr>
            <w:tcW w:w="1410" w:type="dxa"/>
            <w:vAlign w:val="center"/>
          </w:tcPr>
          <w:p w14:paraId="78E6CF18">
            <w:pPr>
              <w:jc w:val="center"/>
              <w:rPr>
                <w:color w:val="auto"/>
                <w:kern w:val="0"/>
                <w:sz w:val="24"/>
              </w:rPr>
            </w:pPr>
          </w:p>
        </w:tc>
      </w:tr>
      <w:tr w14:paraId="6E6CA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12" w:type="dxa"/>
            <w:vAlign w:val="center"/>
          </w:tcPr>
          <w:p w14:paraId="09C19225">
            <w:pPr>
              <w:jc w:val="center"/>
              <w:rPr>
                <w:color w:val="auto"/>
                <w:kern w:val="0"/>
                <w:sz w:val="24"/>
              </w:rPr>
            </w:pPr>
          </w:p>
        </w:tc>
        <w:tc>
          <w:tcPr>
            <w:tcW w:w="1475" w:type="dxa"/>
            <w:vAlign w:val="center"/>
          </w:tcPr>
          <w:p w14:paraId="4359C2F2">
            <w:pPr>
              <w:jc w:val="center"/>
              <w:rPr>
                <w:color w:val="auto"/>
                <w:kern w:val="0"/>
                <w:sz w:val="24"/>
              </w:rPr>
            </w:pPr>
          </w:p>
        </w:tc>
        <w:tc>
          <w:tcPr>
            <w:tcW w:w="2079" w:type="dxa"/>
            <w:vAlign w:val="center"/>
          </w:tcPr>
          <w:p w14:paraId="41D8511A">
            <w:pPr>
              <w:jc w:val="center"/>
              <w:rPr>
                <w:color w:val="auto"/>
                <w:kern w:val="0"/>
                <w:sz w:val="24"/>
              </w:rPr>
            </w:pPr>
          </w:p>
        </w:tc>
        <w:tc>
          <w:tcPr>
            <w:tcW w:w="1774" w:type="dxa"/>
            <w:vAlign w:val="center"/>
          </w:tcPr>
          <w:p w14:paraId="6BFF8766">
            <w:pPr>
              <w:jc w:val="center"/>
              <w:rPr>
                <w:color w:val="auto"/>
                <w:kern w:val="0"/>
                <w:sz w:val="24"/>
              </w:rPr>
            </w:pPr>
          </w:p>
        </w:tc>
        <w:tc>
          <w:tcPr>
            <w:tcW w:w="1731" w:type="dxa"/>
            <w:vAlign w:val="center"/>
          </w:tcPr>
          <w:p w14:paraId="5233AAE5">
            <w:pPr>
              <w:jc w:val="center"/>
              <w:rPr>
                <w:color w:val="auto"/>
                <w:kern w:val="0"/>
                <w:sz w:val="24"/>
              </w:rPr>
            </w:pPr>
          </w:p>
        </w:tc>
        <w:tc>
          <w:tcPr>
            <w:tcW w:w="1410" w:type="dxa"/>
            <w:vAlign w:val="center"/>
          </w:tcPr>
          <w:p w14:paraId="30351231">
            <w:pPr>
              <w:jc w:val="center"/>
              <w:rPr>
                <w:color w:val="auto"/>
                <w:kern w:val="0"/>
                <w:sz w:val="24"/>
              </w:rPr>
            </w:pPr>
          </w:p>
        </w:tc>
      </w:tr>
      <w:tr w14:paraId="07AE5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vAlign w:val="center"/>
          </w:tcPr>
          <w:p w14:paraId="7DBC7C98">
            <w:pPr>
              <w:jc w:val="center"/>
              <w:rPr>
                <w:color w:val="auto"/>
                <w:kern w:val="0"/>
                <w:sz w:val="24"/>
              </w:rPr>
            </w:pPr>
          </w:p>
        </w:tc>
        <w:tc>
          <w:tcPr>
            <w:tcW w:w="1475" w:type="dxa"/>
            <w:vAlign w:val="center"/>
          </w:tcPr>
          <w:p w14:paraId="7F002252">
            <w:pPr>
              <w:jc w:val="center"/>
              <w:rPr>
                <w:color w:val="auto"/>
                <w:kern w:val="0"/>
                <w:sz w:val="24"/>
              </w:rPr>
            </w:pPr>
          </w:p>
        </w:tc>
        <w:tc>
          <w:tcPr>
            <w:tcW w:w="2079" w:type="dxa"/>
            <w:vAlign w:val="center"/>
          </w:tcPr>
          <w:p w14:paraId="04C79840">
            <w:pPr>
              <w:jc w:val="center"/>
              <w:rPr>
                <w:color w:val="auto"/>
                <w:kern w:val="0"/>
                <w:sz w:val="24"/>
              </w:rPr>
            </w:pPr>
          </w:p>
        </w:tc>
        <w:tc>
          <w:tcPr>
            <w:tcW w:w="1774" w:type="dxa"/>
            <w:vAlign w:val="center"/>
          </w:tcPr>
          <w:p w14:paraId="5E46EE7F">
            <w:pPr>
              <w:jc w:val="center"/>
              <w:rPr>
                <w:color w:val="auto"/>
                <w:kern w:val="0"/>
                <w:sz w:val="24"/>
              </w:rPr>
            </w:pPr>
          </w:p>
        </w:tc>
        <w:tc>
          <w:tcPr>
            <w:tcW w:w="1731" w:type="dxa"/>
            <w:vAlign w:val="center"/>
          </w:tcPr>
          <w:p w14:paraId="71BB1C86">
            <w:pPr>
              <w:jc w:val="center"/>
              <w:rPr>
                <w:color w:val="auto"/>
                <w:kern w:val="0"/>
                <w:sz w:val="24"/>
              </w:rPr>
            </w:pPr>
          </w:p>
        </w:tc>
        <w:tc>
          <w:tcPr>
            <w:tcW w:w="1410" w:type="dxa"/>
            <w:vAlign w:val="center"/>
          </w:tcPr>
          <w:p w14:paraId="60C26314">
            <w:pPr>
              <w:jc w:val="center"/>
              <w:rPr>
                <w:color w:val="auto"/>
                <w:kern w:val="0"/>
                <w:sz w:val="24"/>
              </w:rPr>
            </w:pPr>
          </w:p>
        </w:tc>
      </w:tr>
      <w:tr w14:paraId="40F8F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12" w:type="dxa"/>
          </w:tcPr>
          <w:p w14:paraId="40667B67">
            <w:pPr>
              <w:jc w:val="center"/>
              <w:rPr>
                <w:b/>
                <w:color w:val="auto"/>
                <w:kern w:val="0"/>
                <w:sz w:val="24"/>
              </w:rPr>
            </w:pPr>
          </w:p>
        </w:tc>
        <w:tc>
          <w:tcPr>
            <w:tcW w:w="1475" w:type="dxa"/>
          </w:tcPr>
          <w:p w14:paraId="765DA5F3">
            <w:pPr>
              <w:jc w:val="center"/>
              <w:rPr>
                <w:b/>
                <w:color w:val="auto"/>
                <w:kern w:val="0"/>
                <w:sz w:val="24"/>
              </w:rPr>
            </w:pPr>
          </w:p>
        </w:tc>
        <w:tc>
          <w:tcPr>
            <w:tcW w:w="2079" w:type="dxa"/>
          </w:tcPr>
          <w:p w14:paraId="553D78E9">
            <w:pPr>
              <w:jc w:val="center"/>
              <w:rPr>
                <w:b/>
                <w:color w:val="auto"/>
                <w:kern w:val="0"/>
                <w:sz w:val="24"/>
              </w:rPr>
            </w:pPr>
          </w:p>
        </w:tc>
        <w:tc>
          <w:tcPr>
            <w:tcW w:w="1774" w:type="dxa"/>
          </w:tcPr>
          <w:p w14:paraId="64359FAC">
            <w:pPr>
              <w:jc w:val="center"/>
              <w:rPr>
                <w:b/>
                <w:color w:val="auto"/>
                <w:kern w:val="0"/>
                <w:sz w:val="24"/>
              </w:rPr>
            </w:pPr>
          </w:p>
        </w:tc>
        <w:tc>
          <w:tcPr>
            <w:tcW w:w="1731" w:type="dxa"/>
          </w:tcPr>
          <w:p w14:paraId="54E1A37E">
            <w:pPr>
              <w:jc w:val="center"/>
              <w:rPr>
                <w:b/>
                <w:color w:val="auto"/>
                <w:kern w:val="0"/>
                <w:sz w:val="24"/>
              </w:rPr>
            </w:pPr>
          </w:p>
        </w:tc>
        <w:tc>
          <w:tcPr>
            <w:tcW w:w="1410" w:type="dxa"/>
          </w:tcPr>
          <w:p w14:paraId="63035B8D">
            <w:pPr>
              <w:jc w:val="center"/>
              <w:rPr>
                <w:b/>
                <w:color w:val="auto"/>
                <w:kern w:val="0"/>
                <w:sz w:val="24"/>
              </w:rPr>
            </w:pPr>
          </w:p>
        </w:tc>
      </w:tr>
      <w:tr w14:paraId="2B042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12" w:type="dxa"/>
          </w:tcPr>
          <w:p w14:paraId="48AEE228">
            <w:pPr>
              <w:jc w:val="center"/>
              <w:rPr>
                <w:b/>
                <w:color w:val="auto"/>
                <w:kern w:val="0"/>
                <w:sz w:val="24"/>
              </w:rPr>
            </w:pPr>
          </w:p>
        </w:tc>
        <w:tc>
          <w:tcPr>
            <w:tcW w:w="1475" w:type="dxa"/>
          </w:tcPr>
          <w:p w14:paraId="40FCE97B">
            <w:pPr>
              <w:jc w:val="center"/>
              <w:rPr>
                <w:b/>
                <w:color w:val="auto"/>
                <w:kern w:val="0"/>
                <w:sz w:val="24"/>
              </w:rPr>
            </w:pPr>
          </w:p>
        </w:tc>
        <w:tc>
          <w:tcPr>
            <w:tcW w:w="2079" w:type="dxa"/>
          </w:tcPr>
          <w:p w14:paraId="530E34A8">
            <w:pPr>
              <w:jc w:val="center"/>
              <w:rPr>
                <w:b/>
                <w:color w:val="auto"/>
                <w:kern w:val="0"/>
                <w:sz w:val="24"/>
              </w:rPr>
            </w:pPr>
          </w:p>
        </w:tc>
        <w:tc>
          <w:tcPr>
            <w:tcW w:w="1774" w:type="dxa"/>
          </w:tcPr>
          <w:p w14:paraId="581C353B">
            <w:pPr>
              <w:jc w:val="center"/>
              <w:rPr>
                <w:b/>
                <w:color w:val="auto"/>
                <w:kern w:val="0"/>
                <w:sz w:val="24"/>
              </w:rPr>
            </w:pPr>
          </w:p>
        </w:tc>
        <w:tc>
          <w:tcPr>
            <w:tcW w:w="1731" w:type="dxa"/>
          </w:tcPr>
          <w:p w14:paraId="543CB10D">
            <w:pPr>
              <w:jc w:val="center"/>
              <w:rPr>
                <w:b/>
                <w:color w:val="auto"/>
                <w:kern w:val="0"/>
                <w:sz w:val="24"/>
              </w:rPr>
            </w:pPr>
          </w:p>
        </w:tc>
        <w:tc>
          <w:tcPr>
            <w:tcW w:w="1410" w:type="dxa"/>
          </w:tcPr>
          <w:p w14:paraId="6E60B2F3">
            <w:pPr>
              <w:jc w:val="center"/>
              <w:rPr>
                <w:b/>
                <w:color w:val="auto"/>
                <w:kern w:val="0"/>
                <w:sz w:val="24"/>
              </w:rPr>
            </w:pPr>
          </w:p>
        </w:tc>
      </w:tr>
      <w:tr w14:paraId="46977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2" w:type="dxa"/>
          </w:tcPr>
          <w:p w14:paraId="6524D1C9">
            <w:pPr>
              <w:jc w:val="center"/>
              <w:rPr>
                <w:b/>
                <w:color w:val="auto"/>
                <w:kern w:val="0"/>
                <w:sz w:val="24"/>
              </w:rPr>
            </w:pPr>
          </w:p>
        </w:tc>
        <w:tc>
          <w:tcPr>
            <w:tcW w:w="1475" w:type="dxa"/>
          </w:tcPr>
          <w:p w14:paraId="2443E17C">
            <w:pPr>
              <w:jc w:val="center"/>
              <w:rPr>
                <w:b/>
                <w:color w:val="auto"/>
                <w:kern w:val="0"/>
                <w:sz w:val="24"/>
              </w:rPr>
            </w:pPr>
          </w:p>
        </w:tc>
        <w:tc>
          <w:tcPr>
            <w:tcW w:w="2079" w:type="dxa"/>
          </w:tcPr>
          <w:p w14:paraId="17D4E2D8">
            <w:pPr>
              <w:jc w:val="center"/>
              <w:rPr>
                <w:b/>
                <w:color w:val="auto"/>
                <w:kern w:val="0"/>
                <w:sz w:val="24"/>
              </w:rPr>
            </w:pPr>
          </w:p>
        </w:tc>
        <w:tc>
          <w:tcPr>
            <w:tcW w:w="1774" w:type="dxa"/>
          </w:tcPr>
          <w:p w14:paraId="5EF8B9E6">
            <w:pPr>
              <w:jc w:val="center"/>
              <w:rPr>
                <w:b/>
                <w:color w:val="auto"/>
                <w:kern w:val="0"/>
                <w:sz w:val="24"/>
              </w:rPr>
            </w:pPr>
          </w:p>
        </w:tc>
        <w:tc>
          <w:tcPr>
            <w:tcW w:w="1731" w:type="dxa"/>
          </w:tcPr>
          <w:p w14:paraId="79A803B1">
            <w:pPr>
              <w:jc w:val="center"/>
              <w:rPr>
                <w:b/>
                <w:color w:val="auto"/>
                <w:kern w:val="0"/>
                <w:sz w:val="24"/>
              </w:rPr>
            </w:pPr>
          </w:p>
        </w:tc>
        <w:tc>
          <w:tcPr>
            <w:tcW w:w="1410" w:type="dxa"/>
          </w:tcPr>
          <w:p w14:paraId="5EFD02F4">
            <w:pPr>
              <w:jc w:val="center"/>
              <w:rPr>
                <w:b/>
                <w:color w:val="auto"/>
                <w:kern w:val="0"/>
                <w:sz w:val="24"/>
              </w:rPr>
            </w:pPr>
          </w:p>
        </w:tc>
      </w:tr>
    </w:tbl>
    <w:p w14:paraId="7FE9F042">
      <w:pPr>
        <w:rPr>
          <w:color w:val="auto"/>
        </w:rPr>
      </w:pPr>
    </w:p>
    <w:p w14:paraId="6AE2BFD7">
      <w:pPr>
        <w:spacing w:line="360" w:lineRule="auto"/>
        <w:rPr>
          <w:rFonts w:ascii="宋体" w:hAnsi="宋体" w:cs="宋体"/>
          <w:bCs/>
          <w:color w:val="auto"/>
          <w:kern w:val="0"/>
          <w:sz w:val="24"/>
        </w:rPr>
      </w:pPr>
      <w:r>
        <w:rPr>
          <w:rFonts w:hint="eastAsia" w:ascii="宋体" w:hAnsi="宋体" w:cs="宋体"/>
          <w:bCs/>
          <w:color w:val="auto"/>
          <w:kern w:val="0"/>
          <w:sz w:val="24"/>
        </w:rPr>
        <w:t>注：1.近年指2023年1月1日至今（以合同签订日期为准）。</w:t>
      </w:r>
    </w:p>
    <w:p w14:paraId="5B24D2D4">
      <w:pPr>
        <w:spacing w:line="360" w:lineRule="auto"/>
        <w:ind w:firstLine="480" w:firstLineChars="200"/>
        <w:rPr>
          <w:rFonts w:ascii="宋体" w:hAnsi="宋体" w:cs="宋体"/>
          <w:bCs/>
          <w:color w:val="auto"/>
          <w:kern w:val="0"/>
          <w:sz w:val="24"/>
        </w:rPr>
      </w:pPr>
      <w:r>
        <w:rPr>
          <w:rFonts w:hint="eastAsia" w:ascii="宋体" w:hAnsi="宋体" w:cs="宋体"/>
          <w:bCs/>
          <w:color w:val="auto"/>
          <w:kern w:val="0"/>
          <w:sz w:val="24"/>
        </w:rPr>
        <w:t>2.供应商须提供合同复印件（含合同首页、标的页、金额页、签章页）或验收报告作为证明材料。</w:t>
      </w:r>
    </w:p>
    <w:p w14:paraId="6DAC7CA6">
      <w:pPr>
        <w:rPr>
          <w:b/>
          <w:bCs/>
          <w:color w:val="auto"/>
        </w:rPr>
      </w:pPr>
    </w:p>
    <w:p w14:paraId="06D5F779">
      <w:pPr>
        <w:rPr>
          <w:b/>
          <w:bCs/>
          <w:color w:val="auto"/>
        </w:rPr>
      </w:pPr>
    </w:p>
    <w:p w14:paraId="70833CE3">
      <w:pPr>
        <w:adjustRightInd w:val="0"/>
        <w:snapToGrid w:val="0"/>
        <w:spacing w:line="400" w:lineRule="exact"/>
        <w:rPr>
          <w:color w:val="auto"/>
          <w:sz w:val="24"/>
        </w:rPr>
      </w:pPr>
      <w:r>
        <w:rPr>
          <w:rFonts w:hint="eastAsia"/>
          <w:color w:val="auto"/>
          <w:sz w:val="24"/>
        </w:rPr>
        <w:t>供应商名称（加盖公章）：</w:t>
      </w:r>
      <w:r>
        <w:rPr>
          <w:rFonts w:hint="eastAsia"/>
          <w:color w:val="auto"/>
          <w:sz w:val="24"/>
          <w:u w:val="single"/>
        </w:rPr>
        <w:t xml:space="preserve">                        </w:t>
      </w:r>
    </w:p>
    <w:p w14:paraId="573CCD47">
      <w:pPr>
        <w:adjustRightInd w:val="0"/>
        <w:snapToGrid w:val="0"/>
        <w:spacing w:line="400" w:lineRule="exact"/>
        <w:rPr>
          <w:color w:val="auto"/>
          <w:sz w:val="24"/>
        </w:rPr>
      </w:pPr>
      <w:r>
        <w:rPr>
          <w:rFonts w:hint="eastAsia"/>
          <w:color w:val="auto"/>
          <w:sz w:val="24"/>
        </w:rPr>
        <w:t>日期：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 xml:space="preserve"> 月</w:t>
      </w:r>
      <w:r>
        <w:rPr>
          <w:rFonts w:hint="eastAsia"/>
          <w:color w:val="auto"/>
          <w:sz w:val="24"/>
          <w:u w:val="single"/>
        </w:rPr>
        <w:t xml:space="preserve">    　</w:t>
      </w:r>
      <w:r>
        <w:rPr>
          <w:rFonts w:hint="eastAsia"/>
          <w:color w:val="auto"/>
          <w:sz w:val="24"/>
        </w:rPr>
        <w:t xml:space="preserve"> 日</w:t>
      </w:r>
    </w:p>
    <w:p w14:paraId="1B1B3512">
      <w:pPr>
        <w:widowControl w:val="0"/>
        <w:tabs>
          <w:tab w:val="left" w:pos="567"/>
        </w:tabs>
        <w:spacing w:before="120" w:line="22" w:lineRule="atLeast"/>
        <w:jc w:val="both"/>
        <w:rPr>
          <w:rFonts w:ascii="宋体" w:hAnsi="宋体" w:eastAsia="宋体" w:cs="Times New Roman"/>
          <w:color w:val="auto"/>
          <w:kern w:val="2"/>
          <w:sz w:val="24"/>
          <w:szCs w:val="24"/>
          <w:lang w:val="en-US" w:eastAsia="zh-CN" w:bidi="ar-SA"/>
        </w:rPr>
      </w:pPr>
    </w:p>
    <w:p w14:paraId="167EAF1E">
      <w:pPr>
        <w:rPr>
          <w:color w:val="auto"/>
        </w:rPr>
      </w:pPr>
    </w:p>
    <w:p w14:paraId="62680F71">
      <w:pPr>
        <w:jc w:val="center"/>
        <w:rPr>
          <w:b/>
          <w:color w:val="auto"/>
          <w:sz w:val="32"/>
          <w:szCs w:val="32"/>
        </w:rPr>
      </w:pPr>
    </w:p>
    <w:p w14:paraId="4BE2A044">
      <w:pPr>
        <w:jc w:val="center"/>
        <w:rPr>
          <w:b/>
          <w:color w:val="auto"/>
          <w:sz w:val="32"/>
          <w:szCs w:val="32"/>
        </w:rPr>
      </w:pPr>
    </w:p>
    <w:p w14:paraId="11D684E8">
      <w:pPr>
        <w:rPr>
          <w:color w:val="auto"/>
        </w:rPr>
      </w:pPr>
    </w:p>
    <w:p w14:paraId="52B3DCA4">
      <w:pPr>
        <w:rPr>
          <w:color w:val="auto"/>
        </w:rPr>
      </w:pPr>
    </w:p>
    <w:p w14:paraId="72D6DFA7">
      <w:pPr>
        <w:keepNext/>
        <w:keepLines/>
        <w:widowControl w:val="0"/>
        <w:tabs>
          <w:tab w:val="left" w:pos="576"/>
        </w:tabs>
        <w:autoSpaceDE w:val="0"/>
        <w:autoSpaceDN w:val="0"/>
        <w:adjustRightInd w:val="0"/>
        <w:spacing w:before="120" w:line="360" w:lineRule="auto"/>
        <w:jc w:val="center"/>
        <w:outlineLvl w:val="1"/>
        <w:rPr>
          <w:rFonts w:ascii="宋体" w:hAnsi="宋体" w:eastAsia="宋体" w:cs="宋体"/>
          <w:b/>
          <w:color w:val="auto"/>
          <w:kern w:val="0"/>
          <w:sz w:val="32"/>
          <w:szCs w:val="32"/>
          <w:lang w:val="en-US" w:eastAsia="zh-CN" w:bidi="ar-SA"/>
        </w:rPr>
      </w:pPr>
      <w:bookmarkStart w:id="115" w:name="_Toc8742"/>
      <w:bookmarkStart w:id="116" w:name="_Toc15520"/>
      <w:bookmarkStart w:id="117" w:name="_Toc30813"/>
      <w:bookmarkStart w:id="118" w:name="_Toc21053"/>
      <w:r>
        <w:rPr>
          <w:rFonts w:hint="eastAsia" w:ascii="宋体" w:hAnsi="宋体" w:eastAsia="宋体" w:cs="宋体"/>
          <w:b/>
          <w:color w:val="auto"/>
          <w:kern w:val="0"/>
          <w:sz w:val="32"/>
          <w:szCs w:val="32"/>
          <w:lang w:val="en-US" w:eastAsia="zh-CN" w:bidi="ar-SA"/>
        </w:rPr>
        <w:t>十一、</w:t>
      </w:r>
      <w:bookmarkEnd w:id="115"/>
      <w:r>
        <w:rPr>
          <w:rFonts w:ascii="宋体" w:hAnsi="宋体" w:eastAsia="宋体" w:cs="宋体"/>
          <w:b/>
          <w:color w:val="auto"/>
          <w:kern w:val="0"/>
          <w:sz w:val="32"/>
          <w:szCs w:val="32"/>
          <w:lang w:val="en-US" w:eastAsia="zh-CN" w:bidi="ar-SA"/>
        </w:rPr>
        <w:t>售后服务方案</w:t>
      </w:r>
      <w:bookmarkEnd w:id="116"/>
    </w:p>
    <w:p w14:paraId="29E1681B">
      <w:pPr>
        <w:widowControl w:val="0"/>
        <w:tabs>
          <w:tab w:val="left" w:pos="567"/>
        </w:tabs>
        <w:spacing w:before="120" w:line="360" w:lineRule="auto"/>
        <w:ind w:firstLine="480" w:firstLineChars="200"/>
        <w:jc w:val="both"/>
        <w:rPr>
          <w:rFonts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供应商应根据竞争性磋商文件第三章“评审标准——</w:t>
      </w:r>
      <w:r>
        <w:rPr>
          <w:rFonts w:ascii="宋体" w:hAnsi="宋体" w:eastAsia="宋体" w:cs="宋体"/>
          <w:color w:val="auto"/>
          <w:kern w:val="2"/>
          <w:sz w:val="24"/>
          <w:szCs w:val="24"/>
          <w:lang w:val="en-US" w:eastAsia="zh-CN" w:bidi="ar-SA"/>
        </w:rPr>
        <w:t>售后服务方案</w:t>
      </w:r>
      <w:r>
        <w:rPr>
          <w:rFonts w:hint="eastAsia" w:ascii="宋体" w:hAnsi="宋体" w:eastAsia="宋体" w:cs="宋体"/>
          <w:color w:val="auto"/>
          <w:kern w:val="2"/>
          <w:sz w:val="24"/>
          <w:szCs w:val="24"/>
          <w:lang w:val="en-US" w:eastAsia="zh-CN" w:bidi="ar-SA"/>
        </w:rPr>
        <w:t>”的评审因素以及磋商文件第四章“采购需求”要求，结合本企业实际情况针对本项目自行编制。</w:t>
      </w:r>
    </w:p>
    <w:p w14:paraId="0074934D">
      <w:pPr>
        <w:widowControl w:val="0"/>
        <w:tabs>
          <w:tab w:val="left" w:pos="567"/>
        </w:tabs>
        <w:spacing w:before="120" w:line="360" w:lineRule="auto"/>
        <w:jc w:val="both"/>
        <w:rPr>
          <w:rFonts w:ascii="宋体" w:hAnsi="宋体" w:eastAsia="宋体" w:cs="Times New Roman"/>
          <w:color w:val="auto"/>
          <w:kern w:val="2"/>
          <w:sz w:val="24"/>
          <w:szCs w:val="24"/>
          <w:lang w:val="en-US" w:eastAsia="zh-CN" w:bidi="ar-SA"/>
        </w:rPr>
      </w:pPr>
    </w:p>
    <w:p w14:paraId="060735D6">
      <w:pPr>
        <w:widowControl w:val="0"/>
        <w:tabs>
          <w:tab w:val="left" w:pos="567"/>
        </w:tabs>
        <w:spacing w:before="120" w:line="360" w:lineRule="auto"/>
        <w:jc w:val="both"/>
        <w:rPr>
          <w:rFonts w:ascii="宋体" w:hAnsi="宋体" w:eastAsia="宋体" w:cs="Times New Roman"/>
          <w:color w:val="auto"/>
          <w:kern w:val="2"/>
          <w:sz w:val="24"/>
          <w:szCs w:val="24"/>
          <w:lang w:val="en-US" w:eastAsia="zh-CN" w:bidi="ar-SA"/>
        </w:rPr>
      </w:pPr>
    </w:p>
    <w:p w14:paraId="341C3C01">
      <w:pPr>
        <w:widowControl w:val="0"/>
        <w:tabs>
          <w:tab w:val="left" w:pos="567"/>
        </w:tabs>
        <w:spacing w:before="120" w:line="22" w:lineRule="atLeast"/>
        <w:jc w:val="both"/>
        <w:rPr>
          <w:rFonts w:ascii="宋体" w:hAnsi="宋体" w:eastAsia="宋体" w:cs="Times New Roman"/>
          <w:color w:val="auto"/>
          <w:kern w:val="2"/>
          <w:sz w:val="24"/>
          <w:szCs w:val="24"/>
          <w:lang w:val="en-US" w:eastAsia="zh-CN" w:bidi="ar-SA"/>
        </w:rPr>
      </w:pPr>
    </w:p>
    <w:p w14:paraId="35479C41">
      <w:pPr>
        <w:widowControl w:val="0"/>
        <w:tabs>
          <w:tab w:val="left" w:pos="567"/>
        </w:tabs>
        <w:spacing w:before="120" w:line="22" w:lineRule="atLeast"/>
        <w:jc w:val="both"/>
        <w:rPr>
          <w:rFonts w:ascii="宋体" w:hAnsi="宋体" w:eastAsia="宋体" w:cs="Times New Roman"/>
          <w:color w:val="auto"/>
          <w:kern w:val="2"/>
          <w:sz w:val="24"/>
          <w:szCs w:val="24"/>
          <w:lang w:val="en-US" w:eastAsia="zh-CN" w:bidi="ar-SA"/>
        </w:rPr>
      </w:pPr>
    </w:p>
    <w:p w14:paraId="48C7F083">
      <w:pPr>
        <w:widowControl w:val="0"/>
        <w:tabs>
          <w:tab w:val="left" w:pos="567"/>
        </w:tabs>
        <w:spacing w:before="120" w:line="22" w:lineRule="atLeast"/>
        <w:jc w:val="both"/>
        <w:rPr>
          <w:rFonts w:ascii="宋体" w:hAnsi="宋体" w:eastAsia="宋体" w:cs="Times New Roman"/>
          <w:color w:val="auto"/>
          <w:kern w:val="2"/>
          <w:sz w:val="24"/>
          <w:szCs w:val="24"/>
          <w:lang w:val="en-US" w:eastAsia="zh-CN" w:bidi="ar-SA"/>
        </w:rPr>
      </w:pPr>
    </w:p>
    <w:p w14:paraId="48CDDB42">
      <w:pPr>
        <w:rPr>
          <w:color w:val="auto"/>
        </w:rPr>
      </w:pPr>
    </w:p>
    <w:p w14:paraId="145F7474">
      <w:pPr>
        <w:widowControl w:val="0"/>
        <w:tabs>
          <w:tab w:val="left" w:pos="567"/>
        </w:tabs>
        <w:spacing w:before="120" w:line="22" w:lineRule="atLeast"/>
        <w:jc w:val="both"/>
        <w:rPr>
          <w:rFonts w:ascii="宋体" w:hAnsi="宋体" w:eastAsia="宋体" w:cs="Times New Roman"/>
          <w:color w:val="auto"/>
          <w:kern w:val="2"/>
          <w:sz w:val="24"/>
          <w:szCs w:val="24"/>
          <w:lang w:val="en-US" w:eastAsia="zh-CN" w:bidi="ar-SA"/>
        </w:rPr>
      </w:pPr>
    </w:p>
    <w:p w14:paraId="2A5ED824">
      <w:pPr>
        <w:rPr>
          <w:color w:val="auto"/>
        </w:rPr>
      </w:pPr>
    </w:p>
    <w:p w14:paraId="1BC66836">
      <w:pPr>
        <w:widowControl w:val="0"/>
        <w:tabs>
          <w:tab w:val="left" w:pos="567"/>
        </w:tabs>
        <w:spacing w:before="120" w:line="22" w:lineRule="atLeast"/>
        <w:jc w:val="both"/>
        <w:rPr>
          <w:rFonts w:ascii="宋体" w:hAnsi="宋体" w:eastAsia="宋体" w:cs="Times New Roman"/>
          <w:color w:val="auto"/>
          <w:kern w:val="2"/>
          <w:sz w:val="24"/>
          <w:szCs w:val="24"/>
          <w:lang w:val="en-US" w:eastAsia="zh-CN" w:bidi="ar-SA"/>
        </w:rPr>
      </w:pPr>
    </w:p>
    <w:p w14:paraId="425DB078">
      <w:pPr>
        <w:rPr>
          <w:color w:val="auto"/>
        </w:rPr>
      </w:pPr>
    </w:p>
    <w:p w14:paraId="06F9FB25">
      <w:pPr>
        <w:widowControl w:val="0"/>
        <w:tabs>
          <w:tab w:val="left" w:pos="567"/>
        </w:tabs>
        <w:spacing w:before="120" w:line="22" w:lineRule="atLeast"/>
        <w:jc w:val="both"/>
        <w:rPr>
          <w:rFonts w:ascii="宋体" w:hAnsi="宋体" w:eastAsia="宋体" w:cs="Times New Roman"/>
          <w:color w:val="auto"/>
          <w:kern w:val="2"/>
          <w:sz w:val="24"/>
          <w:szCs w:val="24"/>
          <w:lang w:val="en-US" w:eastAsia="zh-CN" w:bidi="ar-SA"/>
        </w:rPr>
      </w:pPr>
    </w:p>
    <w:p w14:paraId="738CEE07">
      <w:pPr>
        <w:widowControl w:val="0"/>
        <w:tabs>
          <w:tab w:val="left" w:pos="567"/>
        </w:tabs>
        <w:spacing w:before="120" w:line="22" w:lineRule="atLeast"/>
        <w:jc w:val="both"/>
        <w:rPr>
          <w:rFonts w:ascii="宋体" w:hAnsi="宋体" w:eastAsia="宋体" w:cs="Times New Roman"/>
          <w:color w:val="auto"/>
          <w:kern w:val="2"/>
          <w:sz w:val="24"/>
          <w:szCs w:val="24"/>
          <w:lang w:val="en-US" w:eastAsia="zh-CN" w:bidi="ar-SA"/>
        </w:rPr>
      </w:pPr>
    </w:p>
    <w:p w14:paraId="60F9C3CB">
      <w:pPr>
        <w:widowControl w:val="0"/>
        <w:tabs>
          <w:tab w:val="left" w:pos="567"/>
        </w:tabs>
        <w:spacing w:before="120" w:line="22" w:lineRule="atLeast"/>
        <w:jc w:val="both"/>
        <w:rPr>
          <w:rFonts w:ascii="宋体" w:hAnsi="宋体" w:eastAsia="宋体" w:cs="Times New Roman"/>
          <w:color w:val="auto"/>
          <w:kern w:val="2"/>
          <w:sz w:val="24"/>
          <w:szCs w:val="24"/>
          <w:lang w:val="en-US" w:eastAsia="zh-CN" w:bidi="ar-SA"/>
        </w:rPr>
      </w:pPr>
    </w:p>
    <w:p w14:paraId="239E463D">
      <w:pPr>
        <w:adjustRightInd w:val="0"/>
        <w:snapToGrid w:val="0"/>
        <w:spacing w:line="400" w:lineRule="exact"/>
        <w:rPr>
          <w:color w:val="auto"/>
          <w:sz w:val="24"/>
        </w:rPr>
      </w:pPr>
    </w:p>
    <w:p w14:paraId="57C33C19">
      <w:pPr>
        <w:adjustRightInd w:val="0"/>
        <w:snapToGrid w:val="0"/>
        <w:spacing w:line="400" w:lineRule="exact"/>
        <w:rPr>
          <w:color w:val="auto"/>
          <w:sz w:val="24"/>
        </w:rPr>
      </w:pPr>
    </w:p>
    <w:p w14:paraId="1DFBD82F">
      <w:pPr>
        <w:adjustRightInd w:val="0"/>
        <w:snapToGrid w:val="0"/>
        <w:spacing w:line="400" w:lineRule="exact"/>
        <w:rPr>
          <w:color w:val="auto"/>
          <w:sz w:val="24"/>
        </w:rPr>
      </w:pPr>
    </w:p>
    <w:p w14:paraId="127654EA">
      <w:pPr>
        <w:adjustRightInd w:val="0"/>
        <w:snapToGrid w:val="0"/>
        <w:spacing w:line="400" w:lineRule="exact"/>
        <w:rPr>
          <w:color w:val="auto"/>
          <w:sz w:val="24"/>
        </w:rPr>
      </w:pPr>
    </w:p>
    <w:p w14:paraId="466203FD">
      <w:pPr>
        <w:adjustRightInd w:val="0"/>
        <w:snapToGrid w:val="0"/>
        <w:spacing w:line="400" w:lineRule="exact"/>
        <w:rPr>
          <w:color w:val="auto"/>
          <w:sz w:val="24"/>
        </w:rPr>
      </w:pPr>
    </w:p>
    <w:p w14:paraId="1695FCB3">
      <w:pPr>
        <w:adjustRightInd w:val="0"/>
        <w:snapToGrid w:val="0"/>
        <w:spacing w:line="400" w:lineRule="exact"/>
        <w:rPr>
          <w:color w:val="auto"/>
          <w:sz w:val="24"/>
        </w:rPr>
      </w:pPr>
    </w:p>
    <w:p w14:paraId="5E310204">
      <w:pPr>
        <w:adjustRightInd w:val="0"/>
        <w:snapToGrid w:val="0"/>
        <w:spacing w:line="400" w:lineRule="exact"/>
        <w:rPr>
          <w:color w:val="auto"/>
          <w:sz w:val="24"/>
        </w:rPr>
      </w:pPr>
      <w:r>
        <w:rPr>
          <w:rFonts w:hint="eastAsia"/>
          <w:color w:val="auto"/>
          <w:sz w:val="24"/>
        </w:rPr>
        <w:t>供应商名称（加盖公章）：</w:t>
      </w:r>
      <w:r>
        <w:rPr>
          <w:rFonts w:hint="eastAsia"/>
          <w:color w:val="auto"/>
          <w:sz w:val="24"/>
          <w:u w:val="single"/>
        </w:rPr>
        <w:t xml:space="preserve">                        </w:t>
      </w:r>
    </w:p>
    <w:p w14:paraId="6AB5A925">
      <w:pPr>
        <w:adjustRightInd w:val="0"/>
        <w:snapToGrid w:val="0"/>
        <w:spacing w:line="400" w:lineRule="exact"/>
        <w:rPr>
          <w:color w:val="auto"/>
          <w:sz w:val="24"/>
        </w:rPr>
      </w:pPr>
      <w:r>
        <w:rPr>
          <w:rFonts w:hint="eastAsia"/>
          <w:color w:val="auto"/>
          <w:sz w:val="24"/>
        </w:rPr>
        <w:t>日期：</w:t>
      </w:r>
      <w:r>
        <w:rPr>
          <w:rFonts w:hint="eastAsia"/>
          <w:color w:val="auto"/>
          <w:sz w:val="24"/>
          <w:u w:val="single"/>
        </w:rPr>
        <w:t xml:space="preserve">        </w:t>
      </w:r>
      <w:r>
        <w:rPr>
          <w:rFonts w:hint="eastAsia"/>
          <w:color w:val="auto"/>
          <w:sz w:val="24"/>
        </w:rPr>
        <w:t>年</w:t>
      </w:r>
      <w:r>
        <w:rPr>
          <w:rFonts w:hint="eastAsia"/>
          <w:color w:val="auto"/>
          <w:sz w:val="24"/>
          <w:u w:val="single"/>
        </w:rPr>
        <w:t xml:space="preserve">     </w:t>
      </w:r>
      <w:r>
        <w:rPr>
          <w:rFonts w:hint="eastAsia"/>
          <w:color w:val="auto"/>
          <w:sz w:val="24"/>
        </w:rPr>
        <w:t xml:space="preserve"> 月</w:t>
      </w:r>
      <w:r>
        <w:rPr>
          <w:rFonts w:hint="eastAsia"/>
          <w:color w:val="auto"/>
          <w:sz w:val="24"/>
          <w:u w:val="single"/>
        </w:rPr>
        <w:t xml:space="preserve">    　</w:t>
      </w:r>
      <w:r>
        <w:rPr>
          <w:rFonts w:hint="eastAsia"/>
          <w:color w:val="auto"/>
          <w:sz w:val="24"/>
        </w:rPr>
        <w:t xml:space="preserve"> 日</w:t>
      </w:r>
    </w:p>
    <w:p w14:paraId="463AFD4A">
      <w:pPr>
        <w:adjustRightInd w:val="0"/>
        <w:snapToGrid w:val="0"/>
        <w:spacing w:line="400" w:lineRule="exact"/>
        <w:rPr>
          <w:color w:val="auto"/>
          <w:sz w:val="24"/>
        </w:rPr>
      </w:pPr>
    </w:p>
    <w:p w14:paraId="2B08C633">
      <w:pPr>
        <w:adjustRightInd w:val="0"/>
        <w:snapToGrid w:val="0"/>
        <w:spacing w:line="400" w:lineRule="exact"/>
        <w:rPr>
          <w:color w:val="auto"/>
          <w:sz w:val="24"/>
        </w:rPr>
      </w:pPr>
    </w:p>
    <w:p w14:paraId="60C37ACA">
      <w:pPr>
        <w:adjustRightInd w:val="0"/>
        <w:snapToGrid w:val="0"/>
        <w:spacing w:line="400" w:lineRule="exact"/>
        <w:rPr>
          <w:color w:val="auto"/>
          <w:sz w:val="24"/>
        </w:rPr>
      </w:pPr>
    </w:p>
    <w:p w14:paraId="4D55696B">
      <w:pPr>
        <w:adjustRightInd w:val="0"/>
        <w:snapToGrid w:val="0"/>
        <w:spacing w:line="400" w:lineRule="exact"/>
        <w:rPr>
          <w:color w:val="auto"/>
          <w:sz w:val="24"/>
        </w:rPr>
      </w:pPr>
    </w:p>
    <w:p w14:paraId="5240F4D4">
      <w:pPr>
        <w:adjustRightInd w:val="0"/>
        <w:snapToGrid w:val="0"/>
        <w:spacing w:line="400" w:lineRule="exact"/>
        <w:rPr>
          <w:color w:val="auto"/>
          <w:sz w:val="24"/>
        </w:rPr>
      </w:pPr>
    </w:p>
    <w:p w14:paraId="0FBD199D">
      <w:pPr>
        <w:adjustRightInd w:val="0"/>
        <w:snapToGrid w:val="0"/>
        <w:spacing w:line="400" w:lineRule="exact"/>
        <w:rPr>
          <w:color w:val="auto"/>
          <w:sz w:val="24"/>
        </w:rPr>
      </w:pPr>
    </w:p>
    <w:p w14:paraId="4ADF3857">
      <w:pPr>
        <w:adjustRightInd w:val="0"/>
        <w:snapToGrid w:val="0"/>
        <w:spacing w:line="400" w:lineRule="exact"/>
        <w:rPr>
          <w:color w:val="auto"/>
          <w:sz w:val="24"/>
        </w:rPr>
      </w:pPr>
    </w:p>
    <w:p w14:paraId="38115A8A">
      <w:pPr>
        <w:adjustRightInd w:val="0"/>
        <w:snapToGrid w:val="0"/>
        <w:spacing w:line="400" w:lineRule="exact"/>
        <w:rPr>
          <w:color w:val="auto"/>
          <w:sz w:val="24"/>
        </w:rPr>
      </w:pPr>
    </w:p>
    <w:p w14:paraId="19C35503">
      <w:pPr>
        <w:adjustRightInd w:val="0"/>
        <w:snapToGrid w:val="0"/>
        <w:spacing w:line="400" w:lineRule="exact"/>
        <w:rPr>
          <w:color w:val="auto"/>
          <w:sz w:val="24"/>
        </w:rPr>
      </w:pPr>
    </w:p>
    <w:p w14:paraId="09BD6D0E">
      <w:pPr>
        <w:keepNext/>
        <w:keepLines/>
        <w:widowControl w:val="0"/>
        <w:tabs>
          <w:tab w:val="left" w:pos="576"/>
        </w:tabs>
        <w:autoSpaceDE/>
        <w:autoSpaceDN/>
        <w:adjustRightInd/>
        <w:spacing w:before="0" w:line="480" w:lineRule="auto"/>
        <w:jc w:val="center"/>
        <w:outlineLvl w:val="1"/>
        <w:rPr>
          <w:rFonts w:ascii="宋体" w:hAnsi="宋体" w:eastAsia="宋体" w:cs="宋体"/>
          <w:b/>
          <w:color w:val="auto"/>
          <w:kern w:val="0"/>
          <w:sz w:val="32"/>
          <w:szCs w:val="32"/>
          <w:lang w:val="en-US" w:eastAsia="zh-CN" w:bidi="ar-SA"/>
        </w:rPr>
      </w:pPr>
      <w:bookmarkStart w:id="119" w:name="_Toc19033"/>
      <w:r>
        <w:rPr>
          <w:rFonts w:hint="eastAsia" w:ascii="宋体" w:hAnsi="宋体" w:eastAsia="宋体" w:cs="宋体"/>
          <w:b/>
          <w:color w:val="auto"/>
          <w:kern w:val="0"/>
          <w:sz w:val="32"/>
          <w:szCs w:val="32"/>
          <w:lang w:val="en-US" w:eastAsia="zh-CN" w:bidi="ar-SA"/>
        </w:rPr>
        <w:t>十二、磋商文件要求提供或供应商认为应附的其他材料</w:t>
      </w:r>
      <w:bookmarkEnd w:id="117"/>
      <w:bookmarkEnd w:id="118"/>
      <w:bookmarkEnd w:id="119"/>
    </w:p>
    <w:p w14:paraId="0206C7DF">
      <w:pPr>
        <w:spacing w:line="360" w:lineRule="auto"/>
        <w:ind w:firstLine="640"/>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1.现场功能演示（另行提供）</w:t>
      </w:r>
    </w:p>
    <w:p w14:paraId="229019A6">
      <w:pPr>
        <w:spacing w:line="360" w:lineRule="auto"/>
        <w:ind w:firstLine="640"/>
        <w:jc w:val="both"/>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2.其他材料。</w:t>
      </w:r>
    </w:p>
    <w:p w14:paraId="083A3898">
      <w:pPr>
        <w:spacing w:line="360" w:lineRule="auto"/>
        <w:jc w:val="center"/>
        <w:rPr>
          <w:b/>
          <w:bCs/>
          <w:color w:val="auto"/>
          <w:sz w:val="32"/>
          <w:szCs w:val="32"/>
        </w:rPr>
      </w:pPr>
    </w:p>
    <w:p w14:paraId="6AB4E002">
      <w:pPr>
        <w:spacing w:line="360" w:lineRule="auto"/>
        <w:jc w:val="center"/>
        <w:rPr>
          <w:b/>
          <w:bCs/>
          <w:color w:val="auto"/>
          <w:sz w:val="32"/>
          <w:szCs w:val="32"/>
        </w:rPr>
      </w:pPr>
    </w:p>
    <w:p w14:paraId="0ED33098">
      <w:pPr>
        <w:spacing w:line="360" w:lineRule="auto"/>
        <w:jc w:val="center"/>
        <w:rPr>
          <w:b/>
          <w:bCs/>
          <w:color w:val="auto"/>
          <w:sz w:val="32"/>
          <w:szCs w:val="32"/>
        </w:rPr>
      </w:pPr>
    </w:p>
    <w:p w14:paraId="6CB33E6F">
      <w:pPr>
        <w:spacing w:line="360" w:lineRule="auto"/>
        <w:jc w:val="center"/>
        <w:rPr>
          <w:b/>
          <w:bCs/>
          <w:color w:val="auto"/>
          <w:sz w:val="32"/>
          <w:szCs w:val="32"/>
        </w:rPr>
      </w:pPr>
    </w:p>
    <w:p w14:paraId="4AFD5696">
      <w:pPr>
        <w:spacing w:line="360" w:lineRule="auto"/>
        <w:jc w:val="center"/>
        <w:rPr>
          <w:b/>
          <w:bCs/>
          <w:color w:val="auto"/>
          <w:sz w:val="32"/>
          <w:szCs w:val="32"/>
        </w:rPr>
      </w:pPr>
    </w:p>
    <w:p w14:paraId="7C84D333">
      <w:pPr>
        <w:spacing w:line="360" w:lineRule="auto"/>
        <w:jc w:val="center"/>
        <w:rPr>
          <w:b/>
          <w:bCs/>
          <w:color w:val="auto"/>
          <w:sz w:val="32"/>
          <w:szCs w:val="32"/>
        </w:rPr>
      </w:pPr>
    </w:p>
    <w:p w14:paraId="3E54929B">
      <w:pPr>
        <w:spacing w:line="360" w:lineRule="auto"/>
        <w:jc w:val="center"/>
        <w:rPr>
          <w:b/>
          <w:bCs/>
          <w:color w:val="auto"/>
          <w:sz w:val="32"/>
          <w:szCs w:val="32"/>
        </w:rPr>
      </w:pPr>
    </w:p>
    <w:p w14:paraId="59865021">
      <w:pPr>
        <w:spacing w:line="360" w:lineRule="auto"/>
        <w:jc w:val="center"/>
        <w:rPr>
          <w:b/>
          <w:bCs/>
          <w:color w:val="auto"/>
          <w:sz w:val="32"/>
          <w:szCs w:val="32"/>
        </w:rPr>
      </w:pPr>
    </w:p>
    <w:p w14:paraId="4318913D">
      <w:pPr>
        <w:spacing w:line="360" w:lineRule="auto"/>
        <w:jc w:val="center"/>
        <w:rPr>
          <w:b/>
          <w:bCs/>
          <w:color w:val="auto"/>
          <w:sz w:val="32"/>
          <w:szCs w:val="32"/>
        </w:rPr>
      </w:pPr>
    </w:p>
    <w:p w14:paraId="54A66D7A">
      <w:pPr>
        <w:spacing w:line="360" w:lineRule="auto"/>
        <w:jc w:val="center"/>
        <w:rPr>
          <w:b/>
          <w:bCs/>
          <w:color w:val="auto"/>
          <w:sz w:val="32"/>
          <w:szCs w:val="32"/>
        </w:rPr>
      </w:pPr>
    </w:p>
    <w:p w14:paraId="28DEE0C8">
      <w:pPr>
        <w:spacing w:line="360" w:lineRule="auto"/>
        <w:jc w:val="center"/>
        <w:rPr>
          <w:b/>
          <w:bCs/>
          <w:color w:val="auto"/>
          <w:sz w:val="32"/>
          <w:szCs w:val="32"/>
        </w:rPr>
      </w:pPr>
    </w:p>
    <w:p w14:paraId="24E075A6">
      <w:pPr>
        <w:spacing w:line="360" w:lineRule="auto"/>
        <w:jc w:val="center"/>
        <w:rPr>
          <w:b/>
          <w:bCs/>
          <w:color w:val="auto"/>
          <w:sz w:val="32"/>
          <w:szCs w:val="32"/>
        </w:rPr>
      </w:pPr>
    </w:p>
    <w:p w14:paraId="3AEE01EE">
      <w:pPr>
        <w:spacing w:line="360" w:lineRule="auto"/>
        <w:jc w:val="center"/>
        <w:rPr>
          <w:b/>
          <w:bCs/>
          <w:color w:val="auto"/>
          <w:sz w:val="32"/>
          <w:szCs w:val="32"/>
        </w:rPr>
      </w:pPr>
    </w:p>
    <w:p w14:paraId="03102747">
      <w:pPr>
        <w:spacing w:line="360" w:lineRule="auto"/>
        <w:jc w:val="center"/>
        <w:rPr>
          <w:b/>
          <w:bCs/>
          <w:color w:val="auto"/>
          <w:sz w:val="32"/>
          <w:szCs w:val="32"/>
        </w:rPr>
      </w:pPr>
    </w:p>
    <w:p w14:paraId="0DCFE384">
      <w:pPr>
        <w:spacing w:line="360" w:lineRule="auto"/>
        <w:jc w:val="center"/>
        <w:rPr>
          <w:b/>
          <w:bCs/>
          <w:color w:val="auto"/>
          <w:sz w:val="32"/>
          <w:szCs w:val="32"/>
        </w:rPr>
      </w:pPr>
    </w:p>
    <w:p w14:paraId="7C4A365D">
      <w:pPr>
        <w:spacing w:line="360" w:lineRule="auto"/>
        <w:jc w:val="center"/>
        <w:rPr>
          <w:b/>
          <w:bCs/>
          <w:color w:val="auto"/>
          <w:sz w:val="32"/>
          <w:szCs w:val="32"/>
        </w:rPr>
      </w:pPr>
    </w:p>
    <w:p w14:paraId="2A1E4A25">
      <w:pPr>
        <w:spacing w:line="360" w:lineRule="auto"/>
        <w:jc w:val="center"/>
        <w:rPr>
          <w:b/>
          <w:bCs/>
          <w:color w:val="auto"/>
          <w:sz w:val="32"/>
          <w:szCs w:val="32"/>
        </w:rPr>
      </w:pPr>
    </w:p>
    <w:p w14:paraId="1ACE7E99">
      <w:pPr>
        <w:spacing w:line="360" w:lineRule="auto"/>
        <w:jc w:val="center"/>
        <w:rPr>
          <w:b/>
          <w:bCs/>
          <w:color w:val="auto"/>
          <w:sz w:val="32"/>
          <w:szCs w:val="32"/>
        </w:rPr>
      </w:pPr>
    </w:p>
    <w:p w14:paraId="21F93D37">
      <w:pPr>
        <w:spacing w:line="360" w:lineRule="auto"/>
        <w:jc w:val="center"/>
        <w:rPr>
          <w:b/>
          <w:bCs/>
          <w:color w:val="auto"/>
          <w:sz w:val="32"/>
          <w:szCs w:val="32"/>
        </w:rPr>
      </w:pPr>
    </w:p>
    <w:p w14:paraId="74EC9C83">
      <w:pPr>
        <w:spacing w:line="360" w:lineRule="auto"/>
        <w:jc w:val="center"/>
        <w:rPr>
          <w:b/>
          <w:bCs/>
          <w:color w:val="auto"/>
          <w:sz w:val="32"/>
          <w:szCs w:val="32"/>
        </w:rPr>
      </w:pPr>
    </w:p>
    <w:p w14:paraId="4A470A79">
      <w:pPr>
        <w:spacing w:line="360" w:lineRule="auto"/>
        <w:rPr>
          <w:b/>
          <w:bCs/>
          <w:color w:val="auto"/>
          <w:sz w:val="32"/>
          <w:szCs w:val="32"/>
        </w:rPr>
      </w:pPr>
    </w:p>
    <w:p w14:paraId="1FD5FB48">
      <w:pPr>
        <w:keepNext/>
        <w:keepLines/>
        <w:widowControl w:val="0"/>
        <w:autoSpaceDE w:val="0"/>
        <w:autoSpaceDN w:val="0"/>
        <w:adjustRightInd w:val="0"/>
        <w:spacing w:before="120" w:line="300" w:lineRule="auto"/>
        <w:jc w:val="center"/>
        <w:outlineLvl w:val="1"/>
        <w:rPr>
          <w:rFonts w:ascii="宋体" w:hAnsi="宋体" w:eastAsia="宋体" w:cs="宋体"/>
          <w:b/>
          <w:color w:val="auto"/>
          <w:kern w:val="0"/>
          <w:sz w:val="32"/>
          <w:szCs w:val="32"/>
          <w:lang w:val="en-US" w:eastAsia="zh-CN" w:bidi="ar-SA"/>
        </w:rPr>
      </w:pPr>
      <w:bookmarkStart w:id="120" w:name="_Toc2604"/>
      <w:bookmarkStart w:id="121" w:name="_Toc5093"/>
      <w:bookmarkStart w:id="122" w:name="_Toc31242"/>
      <w:bookmarkStart w:id="123" w:name="_Toc23327"/>
      <w:r>
        <w:rPr>
          <w:rFonts w:hint="eastAsia" w:ascii="宋体" w:hAnsi="宋体" w:eastAsia="宋体" w:cs="宋体"/>
          <w:b/>
          <w:color w:val="auto"/>
          <w:kern w:val="0"/>
          <w:sz w:val="32"/>
          <w:szCs w:val="32"/>
          <w:lang w:val="en-US" w:eastAsia="zh-CN" w:bidi="ar-SA"/>
        </w:rPr>
        <w:t>最后报价表</w:t>
      </w:r>
      <w:bookmarkEnd w:id="120"/>
      <w:bookmarkEnd w:id="121"/>
      <w:bookmarkEnd w:id="122"/>
      <w:bookmarkEnd w:id="123"/>
    </w:p>
    <w:p w14:paraId="2BCC0262">
      <w:pPr>
        <w:tabs>
          <w:tab w:val="left" w:pos="1800"/>
          <w:tab w:val="left" w:pos="5580"/>
        </w:tabs>
        <w:spacing w:line="360" w:lineRule="auto"/>
        <w:jc w:val="left"/>
        <w:rPr>
          <w:rFonts w:ascii="宋体" w:hAnsi="宋体" w:cs="宋体"/>
          <w:color w:val="auto"/>
          <w:sz w:val="24"/>
        </w:rPr>
      </w:pPr>
      <w:r>
        <w:rPr>
          <w:rFonts w:hint="eastAsia" w:ascii="宋体" w:hAnsi="宋体" w:cs="宋体"/>
          <w:color w:val="auto"/>
          <w:sz w:val="24"/>
        </w:rPr>
        <w:t xml:space="preserve">项目编号：_______________     </w:t>
      </w:r>
    </w:p>
    <w:p w14:paraId="790C9CDD">
      <w:pPr>
        <w:tabs>
          <w:tab w:val="left" w:pos="1800"/>
          <w:tab w:val="left" w:pos="5580"/>
        </w:tabs>
        <w:spacing w:line="360" w:lineRule="auto"/>
        <w:jc w:val="left"/>
        <w:rPr>
          <w:rFonts w:ascii="宋体" w:hAnsi="宋体" w:cs="宋体"/>
          <w:color w:val="auto"/>
          <w:sz w:val="24"/>
        </w:rPr>
      </w:pPr>
      <w:r>
        <w:rPr>
          <w:rFonts w:hint="eastAsia" w:ascii="宋体" w:hAnsi="宋体" w:cs="宋体"/>
          <w:color w:val="auto"/>
          <w:sz w:val="24"/>
        </w:rPr>
        <w:t>项目名称</w:t>
      </w:r>
      <w:r>
        <w:rPr>
          <w:rFonts w:hint="eastAsia" w:ascii="宋体" w:hAnsi="宋体" w:cs="宋体"/>
          <w:color w:val="auto"/>
          <w:sz w:val="24"/>
          <w:lang w:val="en-US" w:eastAsia="zh-CN"/>
        </w:rPr>
        <w:t>/包号</w:t>
      </w:r>
      <w:r>
        <w:rPr>
          <w:rFonts w:hint="eastAsia" w:ascii="宋体" w:hAnsi="宋体" w:cs="宋体"/>
          <w:color w:val="auto"/>
          <w:sz w:val="24"/>
        </w:rPr>
        <w:t>：__________</w:t>
      </w:r>
    </w:p>
    <w:tbl>
      <w:tblPr>
        <w:tblStyle w:val="12"/>
        <w:tblW w:w="50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0"/>
        <w:gridCol w:w="2695"/>
        <w:gridCol w:w="2325"/>
        <w:gridCol w:w="2037"/>
        <w:gridCol w:w="1135"/>
      </w:tblGrid>
      <w:tr w14:paraId="52CE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jc w:val="center"/>
        </w:trPr>
        <w:tc>
          <w:tcPr>
            <w:tcW w:w="445" w:type="pct"/>
            <w:vMerge w:val="restart"/>
            <w:vAlign w:val="center"/>
          </w:tcPr>
          <w:p w14:paraId="5F27D69A">
            <w:pPr>
              <w:tabs>
                <w:tab w:val="left" w:pos="5580"/>
              </w:tabs>
              <w:jc w:val="center"/>
              <w:rPr>
                <w:b/>
                <w:color w:val="auto"/>
                <w:sz w:val="24"/>
              </w:rPr>
            </w:pPr>
            <w:r>
              <w:rPr>
                <w:b/>
                <w:color w:val="auto"/>
                <w:sz w:val="24"/>
              </w:rPr>
              <w:t>序号</w:t>
            </w:r>
          </w:p>
        </w:tc>
        <w:tc>
          <w:tcPr>
            <w:tcW w:w="1498" w:type="pct"/>
            <w:vMerge w:val="restart"/>
            <w:vAlign w:val="center"/>
          </w:tcPr>
          <w:p w14:paraId="6D939F43">
            <w:pPr>
              <w:tabs>
                <w:tab w:val="left" w:pos="5580"/>
              </w:tabs>
              <w:jc w:val="center"/>
              <w:rPr>
                <w:b/>
                <w:color w:val="auto"/>
                <w:sz w:val="24"/>
              </w:rPr>
            </w:pPr>
            <w:r>
              <w:rPr>
                <w:b/>
                <w:color w:val="auto"/>
                <w:sz w:val="24"/>
              </w:rPr>
              <w:t>供应商名称</w:t>
            </w:r>
          </w:p>
        </w:tc>
        <w:tc>
          <w:tcPr>
            <w:tcW w:w="2424" w:type="pct"/>
            <w:gridSpan w:val="2"/>
            <w:vAlign w:val="center"/>
          </w:tcPr>
          <w:p w14:paraId="427A83AE">
            <w:pPr>
              <w:tabs>
                <w:tab w:val="left" w:pos="5580"/>
              </w:tabs>
              <w:jc w:val="center"/>
              <w:rPr>
                <w:b/>
                <w:color w:val="auto"/>
                <w:sz w:val="24"/>
              </w:rPr>
            </w:pPr>
            <w:r>
              <w:rPr>
                <w:b/>
                <w:color w:val="auto"/>
                <w:sz w:val="24"/>
              </w:rPr>
              <w:t>最后报价</w:t>
            </w:r>
          </w:p>
        </w:tc>
        <w:tc>
          <w:tcPr>
            <w:tcW w:w="631" w:type="pct"/>
            <w:vMerge w:val="restart"/>
            <w:vAlign w:val="center"/>
          </w:tcPr>
          <w:p w14:paraId="6EC527F0">
            <w:pPr>
              <w:tabs>
                <w:tab w:val="left" w:pos="5580"/>
              </w:tabs>
              <w:jc w:val="center"/>
              <w:rPr>
                <w:b/>
                <w:color w:val="auto"/>
                <w:sz w:val="24"/>
              </w:rPr>
            </w:pPr>
            <w:r>
              <w:rPr>
                <w:b/>
                <w:color w:val="auto"/>
                <w:sz w:val="24"/>
              </w:rPr>
              <w:t>其他</w:t>
            </w:r>
          </w:p>
          <w:p w14:paraId="0982A195">
            <w:pPr>
              <w:tabs>
                <w:tab w:val="left" w:pos="5580"/>
              </w:tabs>
              <w:jc w:val="center"/>
              <w:rPr>
                <w:b/>
                <w:color w:val="auto"/>
                <w:sz w:val="24"/>
              </w:rPr>
            </w:pPr>
            <w:r>
              <w:rPr>
                <w:b/>
                <w:color w:val="auto"/>
                <w:sz w:val="24"/>
              </w:rPr>
              <w:t>声明</w:t>
            </w:r>
          </w:p>
        </w:tc>
      </w:tr>
      <w:tr w14:paraId="3EA3E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7" w:hRule="atLeast"/>
          <w:jc w:val="center"/>
        </w:trPr>
        <w:tc>
          <w:tcPr>
            <w:tcW w:w="445" w:type="pct"/>
            <w:vMerge w:val="continue"/>
            <w:vAlign w:val="center"/>
          </w:tcPr>
          <w:p w14:paraId="428C8DDA">
            <w:pPr>
              <w:tabs>
                <w:tab w:val="left" w:pos="5580"/>
              </w:tabs>
              <w:jc w:val="center"/>
              <w:rPr>
                <w:color w:val="auto"/>
                <w:sz w:val="24"/>
              </w:rPr>
            </w:pPr>
          </w:p>
        </w:tc>
        <w:tc>
          <w:tcPr>
            <w:tcW w:w="1498" w:type="pct"/>
            <w:vMerge w:val="continue"/>
            <w:vAlign w:val="center"/>
          </w:tcPr>
          <w:p w14:paraId="56E8BF0D">
            <w:pPr>
              <w:tabs>
                <w:tab w:val="left" w:pos="5580"/>
              </w:tabs>
              <w:jc w:val="center"/>
              <w:rPr>
                <w:color w:val="auto"/>
                <w:sz w:val="24"/>
              </w:rPr>
            </w:pPr>
          </w:p>
        </w:tc>
        <w:tc>
          <w:tcPr>
            <w:tcW w:w="1292" w:type="pct"/>
            <w:vAlign w:val="center"/>
          </w:tcPr>
          <w:p w14:paraId="5861D362">
            <w:pPr>
              <w:tabs>
                <w:tab w:val="left" w:pos="5580"/>
              </w:tabs>
              <w:jc w:val="center"/>
              <w:rPr>
                <w:b/>
                <w:color w:val="auto"/>
                <w:sz w:val="24"/>
              </w:rPr>
            </w:pPr>
            <w:r>
              <w:rPr>
                <w:b/>
                <w:color w:val="auto"/>
                <w:sz w:val="24"/>
              </w:rPr>
              <w:t>大写</w:t>
            </w:r>
          </w:p>
        </w:tc>
        <w:tc>
          <w:tcPr>
            <w:tcW w:w="1131" w:type="pct"/>
            <w:vAlign w:val="center"/>
          </w:tcPr>
          <w:p w14:paraId="131D58B3">
            <w:pPr>
              <w:tabs>
                <w:tab w:val="left" w:pos="5580"/>
              </w:tabs>
              <w:jc w:val="center"/>
              <w:rPr>
                <w:b/>
                <w:color w:val="auto"/>
                <w:sz w:val="24"/>
              </w:rPr>
            </w:pPr>
            <w:r>
              <w:rPr>
                <w:b/>
                <w:color w:val="auto"/>
                <w:sz w:val="24"/>
              </w:rPr>
              <w:t>小写</w:t>
            </w:r>
          </w:p>
        </w:tc>
        <w:tc>
          <w:tcPr>
            <w:tcW w:w="631" w:type="pct"/>
            <w:vMerge w:val="continue"/>
            <w:vAlign w:val="center"/>
          </w:tcPr>
          <w:p w14:paraId="49DF8A16">
            <w:pPr>
              <w:tabs>
                <w:tab w:val="left" w:pos="5580"/>
              </w:tabs>
              <w:ind w:firstLine="482"/>
              <w:jc w:val="center"/>
              <w:rPr>
                <w:b/>
                <w:color w:val="auto"/>
                <w:sz w:val="24"/>
              </w:rPr>
            </w:pPr>
          </w:p>
        </w:tc>
      </w:tr>
      <w:tr w14:paraId="59FF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75" w:hRule="atLeast"/>
          <w:jc w:val="center"/>
        </w:trPr>
        <w:tc>
          <w:tcPr>
            <w:tcW w:w="445" w:type="pct"/>
            <w:vAlign w:val="center"/>
          </w:tcPr>
          <w:p w14:paraId="7496BFA7">
            <w:pPr>
              <w:tabs>
                <w:tab w:val="left" w:pos="5580"/>
              </w:tabs>
              <w:jc w:val="center"/>
              <w:rPr>
                <w:color w:val="auto"/>
                <w:sz w:val="24"/>
              </w:rPr>
            </w:pPr>
          </w:p>
        </w:tc>
        <w:tc>
          <w:tcPr>
            <w:tcW w:w="1498" w:type="pct"/>
            <w:vAlign w:val="center"/>
          </w:tcPr>
          <w:p w14:paraId="7B3A7A81">
            <w:pPr>
              <w:tabs>
                <w:tab w:val="left" w:pos="5580"/>
              </w:tabs>
              <w:jc w:val="center"/>
              <w:rPr>
                <w:color w:val="auto"/>
                <w:sz w:val="24"/>
              </w:rPr>
            </w:pPr>
          </w:p>
        </w:tc>
        <w:tc>
          <w:tcPr>
            <w:tcW w:w="1292" w:type="pct"/>
            <w:vAlign w:val="center"/>
          </w:tcPr>
          <w:p w14:paraId="34156A47">
            <w:pPr>
              <w:tabs>
                <w:tab w:val="left" w:pos="5580"/>
              </w:tabs>
              <w:jc w:val="center"/>
              <w:rPr>
                <w:color w:val="auto"/>
                <w:sz w:val="24"/>
              </w:rPr>
            </w:pPr>
          </w:p>
        </w:tc>
        <w:tc>
          <w:tcPr>
            <w:tcW w:w="1131" w:type="pct"/>
            <w:vAlign w:val="center"/>
          </w:tcPr>
          <w:p w14:paraId="51B4D335">
            <w:pPr>
              <w:tabs>
                <w:tab w:val="left" w:pos="5580"/>
              </w:tabs>
              <w:jc w:val="center"/>
              <w:rPr>
                <w:color w:val="auto"/>
                <w:sz w:val="24"/>
              </w:rPr>
            </w:pPr>
          </w:p>
        </w:tc>
        <w:tc>
          <w:tcPr>
            <w:tcW w:w="631" w:type="pct"/>
            <w:vAlign w:val="center"/>
          </w:tcPr>
          <w:p w14:paraId="35BAE8BA">
            <w:pPr>
              <w:tabs>
                <w:tab w:val="left" w:pos="5580"/>
              </w:tabs>
              <w:jc w:val="center"/>
              <w:rPr>
                <w:color w:val="auto"/>
                <w:sz w:val="24"/>
              </w:rPr>
            </w:pPr>
          </w:p>
        </w:tc>
      </w:tr>
    </w:tbl>
    <w:p w14:paraId="7BE49E15">
      <w:pPr>
        <w:autoSpaceDE w:val="0"/>
        <w:autoSpaceDN w:val="0"/>
        <w:adjustRightInd w:val="0"/>
        <w:jc w:val="left"/>
        <w:rPr>
          <w:color w:val="auto"/>
          <w:kern w:val="0"/>
          <w:sz w:val="24"/>
        </w:rPr>
      </w:pPr>
    </w:p>
    <w:p w14:paraId="2A4A27F6">
      <w:pPr>
        <w:tabs>
          <w:tab w:val="left" w:pos="5580"/>
        </w:tabs>
        <w:rPr>
          <w:color w:val="auto"/>
          <w:sz w:val="24"/>
          <w:lang w:val="zh-CN"/>
        </w:rPr>
      </w:pPr>
      <w:r>
        <w:rPr>
          <w:color w:val="auto"/>
          <w:kern w:val="0"/>
          <w:sz w:val="24"/>
        </w:rPr>
        <w:t>注：</w:t>
      </w:r>
      <w:r>
        <w:rPr>
          <w:color w:val="auto"/>
          <w:sz w:val="24"/>
        </w:rPr>
        <w:t>实质性格式，磋商后提交</w:t>
      </w:r>
      <w:r>
        <w:rPr>
          <w:color w:val="auto"/>
          <w:sz w:val="24"/>
          <w:szCs w:val="20"/>
        </w:rPr>
        <w:t>。</w:t>
      </w:r>
    </w:p>
    <w:p w14:paraId="0BDF9CC8">
      <w:pPr>
        <w:autoSpaceDE w:val="0"/>
        <w:autoSpaceDN w:val="0"/>
        <w:adjustRightInd w:val="0"/>
        <w:snapToGrid w:val="0"/>
        <w:spacing w:before="25" w:after="25" w:line="360" w:lineRule="auto"/>
        <w:rPr>
          <w:color w:val="auto"/>
          <w:sz w:val="24"/>
          <w:lang w:val="zh-CN"/>
        </w:rPr>
      </w:pPr>
      <w:r>
        <w:rPr>
          <w:color w:val="auto"/>
          <w:sz w:val="24"/>
          <w:lang w:val="zh-CN"/>
        </w:rPr>
        <w:t xml:space="preserve">      </w:t>
      </w:r>
    </w:p>
    <w:p w14:paraId="3DC8DBBE">
      <w:pPr>
        <w:autoSpaceDE w:val="0"/>
        <w:autoSpaceDN w:val="0"/>
        <w:adjustRightInd w:val="0"/>
        <w:snapToGrid w:val="0"/>
        <w:spacing w:before="25" w:after="25" w:line="360" w:lineRule="auto"/>
        <w:rPr>
          <w:color w:val="auto"/>
          <w:sz w:val="24"/>
          <w:lang w:val="zh-CN"/>
        </w:rPr>
      </w:pPr>
    </w:p>
    <w:p w14:paraId="5150958A">
      <w:pPr>
        <w:autoSpaceDE w:val="0"/>
        <w:autoSpaceDN w:val="0"/>
        <w:adjustRightInd w:val="0"/>
        <w:snapToGrid w:val="0"/>
        <w:spacing w:before="25" w:after="25" w:line="360" w:lineRule="auto"/>
        <w:rPr>
          <w:color w:val="auto"/>
          <w:sz w:val="24"/>
          <w:lang w:val="zh-CN"/>
        </w:rPr>
      </w:pPr>
      <w:r>
        <w:rPr>
          <w:color w:val="auto"/>
          <w:sz w:val="24"/>
        </w:rPr>
        <w:t>供应商授权代表签字（或加盖供应商公章）</w:t>
      </w:r>
      <w:r>
        <w:rPr>
          <w:color w:val="auto"/>
          <w:sz w:val="24"/>
          <w:lang w:val="zh-CN"/>
        </w:rPr>
        <w:t xml:space="preserve">：___________ </w:t>
      </w:r>
    </w:p>
    <w:p w14:paraId="0B504CBB">
      <w:pPr>
        <w:widowControl/>
        <w:jc w:val="left"/>
        <w:rPr>
          <w:color w:val="auto"/>
          <w:sz w:val="24"/>
          <w:szCs w:val="20"/>
        </w:rPr>
      </w:pPr>
      <w:r>
        <w:rPr>
          <w:color w:val="auto"/>
          <w:sz w:val="24"/>
          <w:szCs w:val="20"/>
        </w:rPr>
        <w:t xml:space="preserve">日期：____年____月____日   </w:t>
      </w:r>
    </w:p>
    <w:p w14:paraId="3CAA4CB9">
      <w:pPr>
        <w:spacing w:line="400" w:lineRule="exact"/>
        <w:rPr>
          <w:b/>
          <w:color w:val="auto"/>
          <w:sz w:val="32"/>
          <w:szCs w:val="32"/>
        </w:rPr>
      </w:pPr>
    </w:p>
    <w:p w14:paraId="34291BE0">
      <w:pPr>
        <w:spacing w:line="360" w:lineRule="auto"/>
        <w:rPr>
          <w:rFonts w:ascii="宋体" w:hAnsi="宋体"/>
          <w:color w:val="auto"/>
          <w:sz w:val="24"/>
        </w:rPr>
      </w:pPr>
    </w:p>
    <w:p w14:paraId="4C1D66C2">
      <w:pPr>
        <w:autoSpaceDE w:val="0"/>
        <w:autoSpaceDN w:val="0"/>
        <w:adjustRightInd w:val="0"/>
        <w:snapToGrid w:val="0"/>
        <w:spacing w:before="25" w:after="25" w:line="360" w:lineRule="auto"/>
        <w:rPr>
          <w:color w:val="auto"/>
          <w:sz w:val="24"/>
          <w:lang w:val="zh-CN"/>
        </w:rPr>
      </w:pPr>
    </w:p>
    <w:p w14:paraId="346F1FC2">
      <w:pPr>
        <w:widowControl/>
        <w:jc w:val="left"/>
        <w:rPr>
          <w:b/>
          <w:color w:val="auto"/>
          <w:sz w:val="36"/>
          <w:szCs w:val="36"/>
        </w:rPr>
      </w:pPr>
    </w:p>
    <w:p w14:paraId="15DCB44B">
      <w:pPr>
        <w:spacing w:line="360" w:lineRule="auto"/>
        <w:rPr>
          <w:b/>
          <w:bCs/>
          <w:color w:val="auto"/>
          <w:sz w:val="32"/>
          <w:szCs w:val="32"/>
        </w:rPr>
      </w:pPr>
    </w:p>
    <w:p w14:paraId="60ACABB7">
      <w:pPr>
        <w:spacing w:line="360" w:lineRule="auto"/>
        <w:jc w:val="center"/>
        <w:rPr>
          <w:b/>
          <w:bCs/>
          <w:color w:val="auto"/>
          <w:sz w:val="30"/>
          <w:szCs w:val="30"/>
        </w:rPr>
      </w:pPr>
    </w:p>
    <w:p w14:paraId="6F4B7829">
      <w:pPr>
        <w:spacing w:line="360" w:lineRule="auto"/>
        <w:jc w:val="center"/>
        <w:rPr>
          <w:b/>
          <w:bCs/>
          <w:color w:val="auto"/>
          <w:sz w:val="30"/>
          <w:szCs w:val="30"/>
        </w:rPr>
      </w:pPr>
    </w:p>
    <w:p w14:paraId="49BFE753">
      <w:pPr>
        <w:widowControl w:val="0"/>
        <w:tabs>
          <w:tab w:val="left" w:pos="567"/>
        </w:tabs>
        <w:spacing w:before="120" w:line="22" w:lineRule="atLeast"/>
        <w:jc w:val="center"/>
        <w:rPr>
          <w:rFonts w:ascii="宋体" w:hAnsi="宋体" w:eastAsia="宋体" w:cs="Times New Roman"/>
          <w:b/>
          <w:color w:val="auto"/>
          <w:kern w:val="2"/>
          <w:sz w:val="28"/>
          <w:szCs w:val="28"/>
          <w:lang w:val="en-US" w:eastAsia="zh-CN" w:bidi="ar-SA"/>
        </w:rPr>
      </w:pPr>
    </w:p>
    <w:p w14:paraId="3FF21804">
      <w:pPr>
        <w:widowControl/>
        <w:tabs>
          <w:tab w:val="left" w:pos="0"/>
          <w:tab w:val="left" w:pos="360"/>
          <w:tab w:val="left" w:pos="540"/>
        </w:tabs>
        <w:rPr>
          <w:b/>
          <w:bCs/>
          <w:color w:val="auto"/>
        </w:rPr>
      </w:pPr>
    </w:p>
    <w:p w14:paraId="7F29C8AF">
      <w:pPr>
        <w:spacing w:line="360" w:lineRule="auto"/>
        <w:rPr>
          <w:rFonts w:ascii="宋体" w:hAnsi="宋体"/>
          <w:color w:val="auto"/>
          <w:sz w:val="24"/>
        </w:rPr>
      </w:pPr>
    </w:p>
    <w:p w14:paraId="7F650AC1">
      <w:pPr>
        <w:spacing w:line="360" w:lineRule="auto"/>
        <w:rPr>
          <w:rFonts w:ascii="宋体" w:hAnsi="宋体"/>
          <w:color w:val="auto"/>
          <w:sz w:val="24"/>
        </w:rPr>
      </w:pPr>
    </w:p>
    <w:p w14:paraId="79F08705">
      <w:pPr>
        <w:spacing w:line="360" w:lineRule="auto"/>
        <w:rPr>
          <w:rFonts w:ascii="宋体" w:hAnsi="宋体"/>
          <w:color w:val="auto"/>
          <w:sz w:val="24"/>
        </w:rPr>
      </w:pPr>
    </w:p>
    <w:p w14:paraId="62B204E2">
      <w:pPr>
        <w:spacing w:line="360" w:lineRule="auto"/>
        <w:rPr>
          <w:rFonts w:ascii="宋体" w:hAnsi="宋体"/>
          <w:color w:val="auto"/>
          <w:sz w:val="24"/>
        </w:rPr>
      </w:pPr>
    </w:p>
    <w:p w14:paraId="3186E1CE">
      <w:pPr>
        <w:rPr>
          <w:color w:val="auto"/>
        </w:rPr>
      </w:pPr>
    </w:p>
    <w:p w14:paraId="10AACECF">
      <w:pPr>
        <w:widowControl w:val="0"/>
        <w:ind w:left="1680" w:leftChars="800"/>
        <w:jc w:val="both"/>
        <w:rPr>
          <w:rFonts w:ascii="Times New Roman" w:hAnsi="Times New Roman" w:eastAsia="宋体" w:cs="Times New Roman"/>
          <w:color w:val="auto"/>
          <w:kern w:val="2"/>
          <w:sz w:val="21"/>
          <w:szCs w:val="24"/>
          <w:lang w:val="en-US" w:eastAsia="zh-CN" w:bidi="ar-SA"/>
        </w:rPr>
      </w:pPr>
    </w:p>
    <w:p w14:paraId="7B8EF2D6">
      <w:pPr>
        <w:spacing w:line="360" w:lineRule="auto"/>
        <w:rPr>
          <w:rFonts w:ascii="宋体" w:hAnsi="宋体"/>
          <w:color w:val="auto"/>
          <w:sz w:val="24"/>
        </w:rPr>
      </w:pPr>
    </w:p>
    <w:p w14:paraId="16235978"/>
    <w:sectPr>
      <w:headerReference r:id="rId12" w:type="first"/>
      <w:footerReference r:id="rId15" w:type="first"/>
      <w:footerReference r:id="rId13" w:type="default"/>
      <w:headerReference r:id="rId11" w:type="even"/>
      <w:footerReference r:id="rId14" w:type="even"/>
      <w:pgSz w:w="11907" w:h="16840"/>
      <w:pgMar w:top="1474" w:right="1474" w:bottom="1474" w:left="1474" w:header="851" w:footer="850" w:gutter="0"/>
      <w:cols w:space="720"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69F33">
    <w:pPr>
      <w:framePr w:wrap="around" w:vAnchor="text" w:hAnchor="margin" w:xAlign="right" w:y="1"/>
      <w:widowControl w:val="0"/>
      <w:tabs>
        <w:tab w:val="center" w:pos="4153"/>
        <w:tab w:val="right" w:pos="8306"/>
      </w:tabs>
      <w:autoSpaceDE w:val="0"/>
      <w:autoSpaceDN w:val="0"/>
      <w:adjustRightInd w:val="0"/>
      <w:snapToGrid w:val="0"/>
      <w:jc w:val="left"/>
      <w:rPr>
        <w:rFonts w:ascii="宋体" w:hAnsi="Times New Roman" w:eastAsia="宋体" w:cs="Times New Roman"/>
        <w:kern w:val="0"/>
        <w:sz w:val="18"/>
        <w:szCs w:val="20"/>
        <w:lang w:val="en-US" w:eastAsia="zh-CN" w:bidi="ar-SA"/>
      </w:rPr>
    </w:pPr>
    <w:r>
      <w:rPr>
        <w:rFonts w:ascii="Times New Roman" w:hAnsi="Times New Roman" w:eastAsia="宋体" w:cs="Times New Roman"/>
        <w:kern w:val="2"/>
        <w:sz w:val="21"/>
        <w:szCs w:val="24"/>
        <w:lang w:val="en-US" w:eastAsia="zh-CN" w:bidi="ar-SA"/>
      </w:rPr>
      <w:fldChar w:fldCharType="begin"/>
    </w:r>
    <w:r>
      <w:rPr>
        <w:rFonts w:ascii="Times New Roman" w:hAnsi="Times New Roman" w:eastAsia="宋体" w:cs="Times New Roman"/>
        <w:kern w:val="2"/>
        <w:sz w:val="21"/>
        <w:szCs w:val="24"/>
        <w:lang w:val="en-US" w:eastAsia="zh-CN" w:bidi="ar-SA"/>
      </w:rPr>
      <w:instrText xml:space="preserve">PAGE  </w:instrText>
    </w:r>
    <w:r>
      <w:rPr>
        <w:rFonts w:ascii="Times New Roman" w:hAnsi="Times New Roman" w:eastAsia="宋体" w:cs="Times New Roman"/>
        <w:kern w:val="2"/>
        <w:sz w:val="21"/>
        <w:szCs w:val="24"/>
        <w:lang w:val="en-US" w:eastAsia="zh-CN" w:bidi="ar-SA"/>
      </w:rPr>
      <w:fldChar w:fldCharType="end"/>
    </w:r>
  </w:p>
  <w:p w14:paraId="5E0C49BF">
    <w:pPr>
      <w:widowControl w:val="0"/>
      <w:tabs>
        <w:tab w:val="center" w:pos="4153"/>
        <w:tab w:val="right" w:pos="8306"/>
      </w:tabs>
      <w:autoSpaceDE w:val="0"/>
      <w:autoSpaceDN w:val="0"/>
      <w:adjustRightInd w:val="0"/>
      <w:snapToGrid w:val="0"/>
      <w:ind w:right="360"/>
      <w:jc w:val="left"/>
      <w:rPr>
        <w:rFonts w:ascii="宋体" w:hAnsi="Times New Roman" w:eastAsia="宋体" w:cs="Times New Roman"/>
        <w:kern w:val="0"/>
        <w:sz w:val="18"/>
        <w:szCs w:val="20"/>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41DC5">
    <w:pPr>
      <w:widowControl w:val="0"/>
      <w:tabs>
        <w:tab w:val="center" w:pos="4153"/>
        <w:tab w:val="right" w:pos="8306"/>
      </w:tabs>
      <w:autoSpaceDE w:val="0"/>
      <w:autoSpaceDN w:val="0"/>
      <w:adjustRightInd w:val="0"/>
      <w:snapToGrid w:val="0"/>
      <w:jc w:val="left"/>
      <w:rPr>
        <w:rFonts w:ascii="宋体" w:hAnsi="Times New Roman" w:eastAsia="宋体" w:cs="Times New Roman"/>
        <w:kern w:val="0"/>
        <w:sz w:val="18"/>
        <w:szCs w:val="20"/>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08373">
    <w:pPr>
      <w:framePr w:wrap="around" w:vAnchor="text" w:hAnchor="margin" w:xAlign="right" w:y="1"/>
      <w:widowControl w:val="0"/>
      <w:tabs>
        <w:tab w:val="center" w:pos="4153"/>
        <w:tab w:val="right" w:pos="8306"/>
      </w:tabs>
      <w:autoSpaceDE w:val="0"/>
      <w:autoSpaceDN w:val="0"/>
      <w:adjustRightInd w:val="0"/>
      <w:snapToGrid w:val="0"/>
      <w:jc w:val="left"/>
      <w:rPr>
        <w:rFonts w:ascii="宋体" w:hAnsi="Times New Roman" w:eastAsia="宋体" w:cs="Times New Roman"/>
        <w:kern w:val="0"/>
        <w:sz w:val="18"/>
        <w:szCs w:val="20"/>
        <w:lang w:val="en-US" w:eastAsia="zh-CN" w:bidi="ar-SA"/>
      </w:rPr>
    </w:pPr>
    <w:r>
      <w:rPr>
        <w:rFonts w:ascii="Times New Roman" w:hAnsi="Times New Roman" w:eastAsia="宋体" w:cs="Times New Roman"/>
        <w:kern w:val="2"/>
        <w:sz w:val="21"/>
        <w:szCs w:val="24"/>
        <w:lang w:val="en-US" w:eastAsia="zh-CN" w:bidi="ar-SA"/>
      </w:rPr>
      <w:fldChar w:fldCharType="begin"/>
    </w:r>
    <w:r>
      <w:rPr>
        <w:rFonts w:ascii="Times New Roman" w:hAnsi="Times New Roman" w:eastAsia="宋体" w:cs="Times New Roman"/>
        <w:kern w:val="2"/>
        <w:sz w:val="21"/>
        <w:szCs w:val="24"/>
        <w:lang w:val="en-US" w:eastAsia="zh-CN" w:bidi="ar-SA"/>
      </w:rPr>
      <w:instrText xml:space="preserve">PAGE  </w:instrText>
    </w:r>
    <w:r>
      <w:rPr>
        <w:rFonts w:ascii="Times New Roman" w:hAnsi="Times New Roman" w:eastAsia="宋体" w:cs="Times New Roman"/>
        <w:kern w:val="2"/>
        <w:sz w:val="21"/>
        <w:szCs w:val="24"/>
        <w:lang w:val="en-US" w:eastAsia="zh-CN" w:bidi="ar-SA"/>
      </w:rPr>
      <w:fldChar w:fldCharType="end"/>
    </w:r>
  </w:p>
  <w:p w14:paraId="5763A7CA">
    <w:pPr>
      <w:widowControl w:val="0"/>
      <w:tabs>
        <w:tab w:val="center" w:pos="4153"/>
        <w:tab w:val="right" w:pos="8306"/>
      </w:tabs>
      <w:autoSpaceDE w:val="0"/>
      <w:autoSpaceDN w:val="0"/>
      <w:adjustRightInd w:val="0"/>
      <w:snapToGrid w:val="0"/>
      <w:ind w:right="360"/>
      <w:jc w:val="left"/>
      <w:rPr>
        <w:rFonts w:ascii="宋体" w:hAnsi="Times New Roman" w:eastAsia="宋体" w:cs="Times New Roman"/>
        <w:kern w:val="0"/>
        <w:sz w:val="18"/>
        <w:szCs w:val="20"/>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A869B">
    <w:pPr>
      <w:widowControl w:val="0"/>
      <w:tabs>
        <w:tab w:val="center" w:pos="4153"/>
        <w:tab w:val="right" w:pos="8306"/>
      </w:tabs>
      <w:autoSpaceDE w:val="0"/>
      <w:autoSpaceDN w:val="0"/>
      <w:adjustRightInd w:val="0"/>
      <w:snapToGrid w:val="0"/>
      <w:jc w:val="left"/>
      <w:rPr>
        <w:rFonts w:ascii="宋体" w:hAnsi="Times New Roman" w:eastAsia="宋体" w:cs="Times New Roman"/>
        <w:kern w:val="0"/>
        <w:sz w:val="18"/>
        <w:szCs w:val="20"/>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4888A">
    <w:pPr>
      <w:pStyle w:val="8"/>
      <w:ind w:right="360"/>
      <w:rPr>
        <w:rStyle w:val="16"/>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081EE6">
                          <w:pPr>
                            <w:pStyle w:val="8"/>
                          </w:pPr>
                          <w:r>
                            <w:fldChar w:fldCharType="begin"/>
                          </w:r>
                          <w:r>
                            <w:instrText xml:space="preserve"> PAGE  \* MERGEFORMAT </w:instrText>
                          </w:r>
                          <w:r>
                            <w:fldChar w:fldCharType="separate"/>
                          </w:r>
                          <w:r>
                            <w:t>46</w:t>
                          </w:r>
                          <w:r>
                            <w:fldChar w:fldCharType="end"/>
                          </w:r>
                        </w:p>
                      </w:txbxContent>
                    </wps:txbx>
                    <wps:bodyPr vert="horz" wrap="none" lIns="0" tIns="0" rIns="0" bIns="0" anchor="t" anchorCtr="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N3gDTXAQAAsgMAAA4AAAAAAAAAAQAgAAAA&#10;HgEAAGRycy9lMm9Eb2MueG1sUEsFBgAAAAAGAAYAWQEAAGcFAAAAAA==&#10;">
              <v:fill on="f" focussize="0,0"/>
              <v:stroke on="f"/>
              <v:imagedata o:title=""/>
              <o:lock v:ext="edit" aspectratio="f"/>
              <v:textbox inset="0mm,0mm,0mm,0mm" style="mso-fit-shape-to-text:t;">
                <w:txbxContent>
                  <w:p w14:paraId="0E081EE6">
                    <w:pPr>
                      <w:pStyle w:val="8"/>
                    </w:pPr>
                    <w:r>
                      <w:fldChar w:fldCharType="begin"/>
                    </w:r>
                    <w:r>
                      <w:instrText xml:space="preserve"> PAGE  \* MERGEFORMAT </w:instrText>
                    </w:r>
                    <w:r>
                      <w:fldChar w:fldCharType="separate"/>
                    </w:r>
                    <w:r>
                      <w:t>46</w:t>
                    </w:r>
                    <w:r>
                      <w:fldChar w:fldCharType="end"/>
                    </w:r>
                  </w:p>
                </w:txbxContent>
              </v:textbox>
            </v:shape>
          </w:pict>
        </mc:Fallback>
      </mc:AlternateContent>
    </w:r>
  </w:p>
  <w:p w14:paraId="2AC6E3E9">
    <w:pPr>
      <w:pStyle w:val="8"/>
      <w:ind w:right="360" w:firstLine="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69C2C">
    <w:pPr>
      <w:pStyle w:val="8"/>
      <w:framePr w:wrap="around" w:vAnchor="text" w:hAnchor="margin" w:xAlign="right" w:y="1"/>
      <w:rPr>
        <w:rStyle w:val="16"/>
      </w:rPr>
    </w:pPr>
    <w:r>
      <w:rPr>
        <w:rStyle w:val="16"/>
      </w:rPr>
      <w:fldChar w:fldCharType="begin"/>
    </w:r>
    <w:r>
      <w:rPr>
        <w:rStyle w:val="16"/>
      </w:rPr>
      <w:instrText xml:space="preserve">PAGE  </w:instrText>
    </w:r>
    <w:r>
      <w:rPr>
        <w:rStyle w:val="16"/>
      </w:rPr>
      <w:fldChar w:fldCharType="end"/>
    </w:r>
  </w:p>
  <w:p w14:paraId="46E1E57A">
    <w:pPr>
      <w:pStyle w:val="8"/>
      <w:ind w:right="360"/>
    </w:pPr>
  </w:p>
  <w:p w14:paraId="632D5A9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3F593">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C415B">
    <w:pPr>
      <w:widowControl w:val="0"/>
      <w:pBdr>
        <w:bottom w:val="single" w:color="auto" w:sz="6"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A5D13">
    <w:pPr>
      <w:widowControl w:val="0"/>
      <w:pBdr>
        <w:bottom w:val="single" w:color="auto" w:sz="6" w:space="1"/>
      </w:pBdr>
      <w:tabs>
        <w:tab w:val="left" w:pos="729"/>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FFCA0">
    <w:pPr>
      <w:widowControl w:val="0"/>
      <w:pBdr>
        <w:bottom w:val="single" w:color="auto" w:sz="6" w:space="1"/>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38700">
    <w:pPr>
      <w:widowControl w:val="0"/>
      <w:pBdr>
        <w:bottom w:val="single" w:color="auto" w:sz="6" w:space="1"/>
      </w:pBdr>
      <w:tabs>
        <w:tab w:val="left" w:pos="729"/>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3AA21">
    <w:pPr>
      <w:pStyle w:val="9"/>
    </w:pPr>
  </w:p>
  <w:p w14:paraId="6292663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033FB">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32F6AE"/>
    <w:multiLevelType w:val="singleLevel"/>
    <w:tmpl w:val="1F32F6AE"/>
    <w:lvl w:ilvl="0" w:tentative="0">
      <w:start w:val="1"/>
      <w:numFmt w:val="decimal"/>
      <w:suff w:val="nothing"/>
      <w:lvlText w:val="（%1）"/>
      <w:lvlJc w:val="left"/>
    </w:lvl>
  </w:abstractNum>
  <w:abstractNum w:abstractNumId="1">
    <w:nsid w:val="3F04C858"/>
    <w:multiLevelType w:val="singleLevel"/>
    <w:tmpl w:val="3F04C858"/>
    <w:lvl w:ilvl="0" w:tentative="0">
      <w:start w:val="1"/>
      <w:numFmt w:val="decimal"/>
      <w:suff w:val="space"/>
      <w:lvlText w:val="%1."/>
      <w:lvlJc w:val="left"/>
    </w:lvl>
  </w:abstractNum>
  <w:abstractNum w:abstractNumId="2">
    <w:nsid w:val="431BFBCB"/>
    <w:multiLevelType w:val="singleLevel"/>
    <w:tmpl w:val="431BFBCB"/>
    <w:lvl w:ilvl="0" w:tentative="0">
      <w:start w:val="1"/>
      <w:numFmt w:val="decimal"/>
      <w:suff w:val="space"/>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492CAA"/>
    <w:rsid w:val="0E945A78"/>
    <w:rsid w:val="1D492CAA"/>
    <w:rsid w:val="2A543CD0"/>
    <w:rsid w:val="2CB2565F"/>
    <w:rsid w:val="38D670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1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4"/>
    <w:basedOn w:val="1"/>
    <w:next w:val="1"/>
    <w:link w:val="1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autoSpaceDE w:val="0"/>
      <w:autoSpaceDN w:val="0"/>
      <w:adjustRightInd w:val="0"/>
      <w:ind w:firstLine="420"/>
      <w:jc w:val="left"/>
    </w:pPr>
    <w:rPr>
      <w:rFonts w:ascii="宋体"/>
      <w:sz w:val="24"/>
    </w:rPr>
  </w:style>
  <w:style w:type="paragraph" w:styleId="6">
    <w:name w:val="Body Text"/>
    <w:basedOn w:val="1"/>
    <w:next w:val="1"/>
    <w:qFormat/>
    <w:uiPriority w:val="0"/>
    <w:pPr>
      <w:tabs>
        <w:tab w:val="left" w:pos="567"/>
      </w:tabs>
      <w:spacing w:before="120" w:line="22" w:lineRule="atLeast"/>
    </w:pPr>
    <w:rPr>
      <w:rFonts w:ascii="宋体" w:hAnsi="宋体"/>
      <w:sz w:val="24"/>
    </w:rPr>
  </w:style>
  <w:style w:type="paragraph" w:styleId="7">
    <w:name w:val="toc 5"/>
    <w:basedOn w:val="1"/>
    <w:next w:val="1"/>
    <w:qFormat/>
    <w:uiPriority w:val="0"/>
    <w:pPr>
      <w:ind w:left="1680" w:leftChars="800"/>
    </w:pPr>
  </w:style>
  <w:style w:type="paragraph" w:styleId="8">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9">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1">
    <w:name w:val="Body Text First Indent"/>
    <w:basedOn w:val="6"/>
    <w:next w:val="1"/>
    <w:qFormat/>
    <w:uiPriority w:val="99"/>
    <w:pPr>
      <w:spacing w:after="120"/>
      <w:ind w:firstLine="420" w:firstLineChars="100"/>
    </w:pPr>
    <w:rPr>
      <w:sz w:val="21"/>
    </w:rPr>
  </w:style>
  <w:style w:type="table" w:styleId="13">
    <w:name w:val="Table Grid"/>
    <w:basedOn w:val="1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
    <w:name w:val="Strong"/>
    <w:qFormat/>
    <w:uiPriority w:val="0"/>
    <w:rPr>
      <w:b/>
      <w:bCs/>
    </w:rPr>
  </w:style>
  <w:style w:type="character" w:styleId="16">
    <w:name w:val="page number"/>
    <w:qFormat/>
    <w:uiPriority w:val="0"/>
  </w:style>
  <w:style w:type="character" w:styleId="17">
    <w:name w:val="Emphasis"/>
    <w:qFormat/>
    <w:uiPriority w:val="0"/>
    <w:rPr>
      <w:color w:val="CC0033"/>
    </w:rPr>
  </w:style>
  <w:style w:type="character" w:customStyle="1" w:styleId="18">
    <w:name w:val="标题 4 字符1"/>
    <w:link w:val="4"/>
    <w:qFormat/>
    <w:uiPriority w:val="0"/>
    <w:rPr>
      <w:rFonts w:ascii="Arial" w:hAnsi="Arial" w:eastAsia="黑体"/>
      <w:b/>
      <w:kern w:val="0"/>
      <w:sz w:val="28"/>
      <w:szCs w:val="20"/>
    </w:rPr>
  </w:style>
  <w:style w:type="character" w:customStyle="1" w:styleId="19">
    <w:name w:val="标题 2 字符1"/>
    <w:link w:val="3"/>
    <w:qFormat/>
    <w:uiPriority w:val="0"/>
    <w:rPr>
      <w:rFonts w:ascii="Arial" w:hAnsi="Arial" w:eastAsia="黑体"/>
      <w:b/>
      <w:kern w:val="0"/>
      <w:sz w:val="3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32249</Words>
  <Characters>33813</Characters>
  <Lines>0</Lines>
  <Paragraphs>0</Paragraphs>
  <TotalTime>0</TotalTime>
  <ScaleCrop>false</ScaleCrop>
  <LinksUpToDate>false</LinksUpToDate>
  <CharactersWithSpaces>34994</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2026-07-04T08:12:00Z</dcterms:created>
  <dc:creator>冰淇淋</dc:creator>
  <cp:lastModifiedBy>冰淇淋</cp:lastModifiedBy>
  <dcterms:modified xsi:type="dcterms:W3CDTF">2026-07-05T03:37:03Z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B6CB6686C5C94230BDA886BAA9B21287_11</vt:lpwstr>
  </property>
  <property fmtid="{D5CDD505-2E9C-101B-9397-08002B2CF9AE}" pid="4" name="KSOTemplateDocerSaveRecord">
    <vt:lpwstr>eyJoZGlkIjoiMTNmNjZjYzQ5N2RjMDM0ZTQ4ZTBiN2IxM2M0MjMzNjAiLCJ1c2VySWQiOiI1NzcwOTcxNzYifQ==</vt:lpwstr>
  </property>
</Properties>
</file>